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F8364C">
      <w:pPr>
        <w:adjustRightInd w:val="0"/>
        <w:snapToGrid w:val="0"/>
        <w:spacing w:after="156" w:afterLines="50" w:line="360" w:lineRule="auto"/>
        <w:jc w:val="center"/>
        <w:outlineLvl w:val="0"/>
        <w:rPr>
          <w:rFonts w:ascii="黑体" w:eastAsia="黑体"/>
          <w:b/>
          <w:color w:val="000000" w:themeColor="text1"/>
          <w:kern w:val="44"/>
          <w:sz w:val="48"/>
          <w:szCs w:val="20"/>
          <w:highlight w:val="none"/>
          <w14:textFill>
            <w14:solidFill>
              <w14:schemeClr w14:val="tx1"/>
            </w14:solidFill>
          </w14:textFill>
        </w:rPr>
      </w:pPr>
      <w:bookmarkStart w:id="0" w:name="_Toc129880039"/>
      <w:bookmarkStart w:id="1" w:name="_Toc512937852"/>
      <w:r>
        <w:rPr>
          <w:rFonts w:hint="eastAsia" w:ascii="宋体" w:hAnsi="宋体"/>
          <w:b/>
          <w:color w:val="000000" w:themeColor="text1"/>
          <w:sz w:val="30"/>
          <w:szCs w:val="30"/>
          <w:highlight w:val="none"/>
          <w14:textFill>
            <w14:solidFill>
              <w14:schemeClr w14:val="tx1"/>
            </w14:solidFill>
          </w14:textFill>
        </w:rPr>
        <w:t>第八部分 采购需求</w:t>
      </w:r>
      <w:bookmarkEnd w:id="0"/>
    </w:p>
    <w:bookmarkEnd w:id="1"/>
    <w:p w14:paraId="0D2777FC">
      <w:pPr>
        <w:adjustRightInd w:val="0"/>
        <w:snapToGrid w:val="0"/>
        <w:spacing w:before="156" w:beforeLines="50" w:after="156" w:afterLines="50" w:line="360" w:lineRule="auto"/>
        <w:jc w:val="cente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货物需求一览表</w:t>
      </w:r>
    </w:p>
    <w:p w14:paraId="16AA18FF">
      <w:pPr>
        <w:adjustRightInd w:val="0"/>
        <w:snapToGrid w:val="0"/>
        <w:jc w:val="center"/>
        <w:rPr>
          <w:rFonts w:hint="eastAsia" w:ascii="宋体" w:hAnsi="宋体"/>
          <w:b/>
          <w:color w:val="000000" w:themeColor="text1"/>
          <w:sz w:val="30"/>
          <w:szCs w:val="30"/>
          <w:highlight w:val="none"/>
          <w14:textFill>
            <w14:solidFill>
              <w14:schemeClr w14:val="tx1"/>
            </w14:solidFill>
          </w14:textFill>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32"/>
        <w:gridCol w:w="2868"/>
        <w:gridCol w:w="1226"/>
        <w:gridCol w:w="2470"/>
      </w:tblGrid>
      <w:tr w14:paraId="70EAB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032" w:type="dxa"/>
            <w:vAlign w:val="center"/>
          </w:tcPr>
          <w:p w14:paraId="597DC388">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包号</w:t>
            </w:r>
          </w:p>
        </w:tc>
        <w:tc>
          <w:tcPr>
            <w:tcW w:w="2868" w:type="dxa"/>
            <w:vAlign w:val="center"/>
          </w:tcPr>
          <w:p w14:paraId="323F808F">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货物名称</w:t>
            </w:r>
          </w:p>
        </w:tc>
        <w:tc>
          <w:tcPr>
            <w:tcW w:w="1226" w:type="dxa"/>
            <w:vAlign w:val="center"/>
          </w:tcPr>
          <w:p w14:paraId="7BFAE28C">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数量</w:t>
            </w:r>
          </w:p>
        </w:tc>
        <w:tc>
          <w:tcPr>
            <w:tcW w:w="2470" w:type="dxa"/>
            <w:vAlign w:val="center"/>
          </w:tcPr>
          <w:p w14:paraId="27F1BEFF">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是否接受进口</w:t>
            </w:r>
          </w:p>
        </w:tc>
      </w:tr>
      <w:tr w14:paraId="247AE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032" w:type="dxa"/>
            <w:vAlign w:val="center"/>
          </w:tcPr>
          <w:p w14:paraId="34DE5D46">
            <w:pPr>
              <w:jc w:val="center"/>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1</w:t>
            </w:r>
          </w:p>
        </w:tc>
        <w:tc>
          <w:tcPr>
            <w:tcW w:w="2868" w:type="dxa"/>
            <w:vAlign w:val="center"/>
          </w:tcPr>
          <w:p w14:paraId="6174C771">
            <w:pPr>
              <w:jc w:val="center"/>
              <w:rPr>
                <w:rFonts w:ascii="Bookman Old Style" w:hAnsi="Bookman Old Style"/>
                <w:color w:val="000000" w:themeColor="text1"/>
                <w:sz w:val="24"/>
                <w:highlight w:val="none"/>
                <w14:textFill>
                  <w14:solidFill>
                    <w14:schemeClr w14:val="tx1"/>
                  </w14:solidFill>
                </w14:textFill>
              </w:rPr>
            </w:pPr>
            <w:r>
              <w:rPr>
                <w:rFonts w:hint="eastAsia" w:ascii="Bookman Old Style" w:hAnsi="Bookman Old Style"/>
                <w:color w:val="000000" w:themeColor="text1"/>
                <w:sz w:val="24"/>
                <w:highlight w:val="none"/>
                <w14:textFill>
                  <w14:solidFill>
                    <w14:schemeClr w14:val="tx1"/>
                  </w14:solidFill>
                </w14:textFill>
              </w:rPr>
              <w:t>双源单波长激发-能量色散X射线荧光光谱仪</w:t>
            </w:r>
          </w:p>
        </w:tc>
        <w:tc>
          <w:tcPr>
            <w:tcW w:w="1226" w:type="dxa"/>
            <w:vAlign w:val="center"/>
          </w:tcPr>
          <w:p w14:paraId="7C7521E6">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1套</w:t>
            </w:r>
          </w:p>
        </w:tc>
        <w:tc>
          <w:tcPr>
            <w:tcW w:w="2470" w:type="dxa"/>
            <w:vAlign w:val="center"/>
          </w:tcPr>
          <w:p w14:paraId="3D0F2F20">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否</w:t>
            </w:r>
          </w:p>
        </w:tc>
      </w:tr>
    </w:tbl>
    <w:p w14:paraId="57A865C3">
      <w:pPr>
        <w:adjustRightInd w:val="0"/>
        <w:snapToGrid w:val="0"/>
        <w:jc w:val="center"/>
        <w:rPr>
          <w:rFonts w:hint="eastAsia" w:ascii="宋体" w:hAnsi="宋体"/>
          <w:b/>
          <w:color w:val="000000" w:themeColor="text1"/>
          <w:sz w:val="30"/>
          <w:szCs w:val="30"/>
          <w:highlight w:val="none"/>
          <w14:textFill>
            <w14:solidFill>
              <w14:schemeClr w14:val="tx1"/>
            </w14:solidFill>
          </w14:textFill>
        </w:rPr>
      </w:pPr>
    </w:p>
    <w:p w14:paraId="1E0801B6">
      <w:pPr>
        <w:adjustRightInd w:val="0"/>
        <w:snapToGrid w:val="0"/>
        <w:jc w:val="center"/>
        <w:rPr>
          <w:rFonts w:hint="eastAsia" w:ascii="宋体" w:hAnsi="宋体"/>
          <w:b/>
          <w:color w:val="000000" w:themeColor="text1"/>
          <w:sz w:val="30"/>
          <w:szCs w:val="30"/>
          <w:highlight w:val="none"/>
          <w14:textFill>
            <w14:solidFill>
              <w14:schemeClr w14:val="tx1"/>
            </w14:solidFill>
          </w14:textFill>
        </w:rPr>
      </w:pPr>
    </w:p>
    <w:p w14:paraId="222B99C4">
      <w:pPr>
        <w:rPr>
          <w:rFonts w:ascii="Bookman Old Style" w:hAnsi="Bookman Old Style"/>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注：投标人须对上述投标内容中完整的一包进行投标，</w:t>
      </w:r>
      <w:r>
        <w:rPr>
          <w:rFonts w:hint="eastAsia" w:ascii="Bookman Old Style" w:hAnsi="Bookman Old Style"/>
          <w:color w:val="000000" w:themeColor="text1"/>
          <w:sz w:val="24"/>
          <w:highlight w:val="none"/>
          <w14:textFill>
            <w14:solidFill>
              <w14:schemeClr w14:val="tx1"/>
            </w14:solidFill>
          </w14:textFill>
        </w:rPr>
        <w:t>不完整的投标将视为非响应性投标予以拒绝。</w:t>
      </w:r>
    </w:p>
    <w:p w14:paraId="0CA38CA0">
      <w:pPr>
        <w:adjustRightInd w:val="0"/>
        <w:snapToGrid w:val="0"/>
        <w:rPr>
          <w:rFonts w:hint="eastAsia" w:ascii="宋体" w:hAnsi="宋体"/>
          <w:color w:val="000000" w:themeColor="text1"/>
          <w:szCs w:val="21"/>
          <w:highlight w:val="none"/>
          <w14:textFill>
            <w14:solidFill>
              <w14:schemeClr w14:val="tx1"/>
            </w14:solidFill>
          </w14:textFill>
        </w:rPr>
      </w:pPr>
    </w:p>
    <w:p w14:paraId="6D67B9DF">
      <w:pPr>
        <w:adjustRightInd w:val="0"/>
        <w:snapToGrid w:val="0"/>
        <w:rPr>
          <w:rFonts w:hint="eastAsia" w:ascii="宋体" w:hAnsi="宋体"/>
          <w:color w:val="000000" w:themeColor="text1"/>
          <w:szCs w:val="21"/>
          <w:highlight w:val="none"/>
          <w14:textFill>
            <w14:solidFill>
              <w14:schemeClr w14:val="tx1"/>
            </w14:solidFill>
          </w14:textFill>
        </w:rPr>
      </w:pPr>
    </w:p>
    <w:p w14:paraId="6FD12944">
      <w:pPr>
        <w:adjustRightInd w:val="0"/>
        <w:snapToGrid w:val="0"/>
        <w:rPr>
          <w:rFonts w:hint="eastAsia" w:ascii="宋体" w:hAnsi="宋体"/>
          <w:color w:val="000000" w:themeColor="text1"/>
          <w:szCs w:val="21"/>
          <w:highlight w:val="none"/>
          <w14:textFill>
            <w14:solidFill>
              <w14:schemeClr w14:val="tx1"/>
            </w14:solidFill>
          </w14:textFill>
        </w:rPr>
      </w:pPr>
    </w:p>
    <w:p w14:paraId="4C6255A5">
      <w:pPr>
        <w:adjustRightInd w:val="0"/>
        <w:snapToGrid w:val="0"/>
        <w:spacing w:line="360" w:lineRule="auto"/>
        <w:rPr>
          <w:rFonts w:hint="eastAsia"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br w:type="page"/>
      </w:r>
      <w:r>
        <w:rPr>
          <w:rFonts w:hint="eastAsia" w:ascii="宋体" w:hAnsi="宋体"/>
          <w:b/>
          <w:color w:val="000000" w:themeColor="text1"/>
          <w:sz w:val="28"/>
          <w:szCs w:val="28"/>
          <w:highlight w:val="none"/>
          <w14:textFill>
            <w14:solidFill>
              <w14:schemeClr w14:val="tx1"/>
            </w14:solidFill>
          </w14:textFill>
        </w:rPr>
        <w:t>一、总则</w:t>
      </w:r>
    </w:p>
    <w:p w14:paraId="1189A07E">
      <w:pPr>
        <w:adjustRightInd w:val="0"/>
        <w:snapToGrid w:val="0"/>
        <w:spacing w:line="360" w:lineRule="auto"/>
        <w:rPr>
          <w:rFonts w:hint="eastAsia"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1</w:t>
      </w:r>
      <w:r>
        <w:rPr>
          <w:rFonts w:hint="eastAsia" w:ascii="宋体" w:hAnsi="宋体"/>
          <w:b/>
          <w:color w:val="000000" w:themeColor="text1"/>
          <w:sz w:val="28"/>
          <w:szCs w:val="28"/>
          <w:highlight w:val="none"/>
          <w14:textFill>
            <w14:solidFill>
              <w14:schemeClr w14:val="tx1"/>
            </w14:solidFill>
          </w14:textFill>
        </w:rPr>
        <w:t>、投标要求</w:t>
      </w:r>
    </w:p>
    <w:p w14:paraId="6AE8AADF">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 </w:t>
      </w:r>
      <w:r>
        <w:rPr>
          <w:rFonts w:hint="eastAsia" w:ascii="宋体" w:hAnsi="宋体"/>
          <w:color w:val="000000" w:themeColor="text1"/>
          <w:sz w:val="24"/>
          <w:highlight w:val="none"/>
          <w14:textFill>
            <w14:solidFill>
              <w14:schemeClr w14:val="tx1"/>
            </w14:solidFill>
          </w14:textFill>
        </w:rPr>
        <w:t xml:space="preserve"> 投标人在准备投标书时，务必在所提供的商品的技术规格文件中，标明型号、商标名称、目录号。</w:t>
      </w:r>
    </w:p>
    <w:p w14:paraId="461774EA">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3C208E20">
      <w:pPr>
        <w:spacing w:line="360" w:lineRule="auto"/>
        <w:ind w:left="554" w:hanging="554" w:hangingChars="231"/>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  </w:t>
      </w:r>
      <w:r>
        <w:rPr>
          <w:rFonts w:hint="eastAsia"/>
          <w:color w:val="000000" w:themeColor="text1"/>
          <w:sz w:val="24"/>
          <w:highlight w:val="none"/>
          <w14:textFill>
            <w14:solidFill>
              <w14:schemeClr w14:val="tx1"/>
            </w14:solidFill>
          </w14:textFill>
        </w:rPr>
        <w:t>投标人提供的</w:t>
      </w:r>
      <w:r>
        <w:rPr>
          <w:rFonts w:hint="eastAsia" w:ascii="宋体"/>
          <w:color w:val="000000" w:themeColor="text1"/>
          <w:sz w:val="24"/>
          <w:highlight w:val="none"/>
          <w14:textFill>
            <w14:solidFill>
              <w14:schemeClr w14:val="tx1"/>
            </w14:solidFill>
          </w14:textFill>
        </w:rPr>
        <w:t>产品</w:t>
      </w:r>
      <w:r>
        <w:rPr>
          <w:rFonts w:hint="eastAsia"/>
          <w:color w:val="000000" w:themeColor="text1"/>
          <w:sz w:val="24"/>
          <w:highlight w:val="none"/>
          <w14:textFill>
            <w14:solidFill>
              <w14:schemeClr w14:val="tx1"/>
            </w14:solidFill>
          </w14:textFill>
        </w:rPr>
        <w:t>样本，必须是“原件”而非复印件，</w:t>
      </w:r>
      <w:r>
        <w:rPr>
          <w:rFonts w:hint="eastAsia" w:ascii="宋体"/>
          <w:color w:val="000000" w:themeColor="text1"/>
          <w:sz w:val="24"/>
          <w:highlight w:val="none"/>
          <w14:textFill>
            <w14:solidFill>
              <w14:schemeClr w14:val="tx1"/>
            </w14:solidFill>
          </w14:textFill>
        </w:rPr>
        <w:t>图表、简图、电路图以及印刷电路板图等都应</w:t>
      </w:r>
      <w:r>
        <w:rPr>
          <w:rFonts w:hint="eastAsia"/>
          <w:color w:val="000000" w:themeColor="text1"/>
          <w:sz w:val="24"/>
          <w:highlight w:val="none"/>
          <w14:textFill>
            <w14:solidFill>
              <w14:schemeClr w14:val="tx1"/>
            </w14:solidFill>
          </w14:textFill>
        </w:rPr>
        <w:t>清晰易读。买方有权</w:t>
      </w:r>
      <w:r>
        <w:rPr>
          <w:rFonts w:hint="eastAsia" w:ascii="宋体"/>
          <w:color w:val="000000" w:themeColor="text1"/>
          <w:sz w:val="24"/>
          <w:highlight w:val="none"/>
          <w14:textFill>
            <w14:solidFill>
              <w14:schemeClr w14:val="tx1"/>
            </w14:solidFill>
          </w14:textFill>
        </w:rPr>
        <w:t>不付任何附加费用</w:t>
      </w:r>
      <w:r>
        <w:rPr>
          <w:rFonts w:hint="eastAsia"/>
          <w:color w:val="000000" w:themeColor="text1"/>
          <w:sz w:val="24"/>
          <w:highlight w:val="none"/>
          <w14:textFill>
            <w14:solidFill>
              <w14:schemeClr w14:val="tx1"/>
            </w14:solidFill>
          </w14:textFill>
        </w:rPr>
        <w:t>复制这些资料</w:t>
      </w:r>
      <w:r>
        <w:rPr>
          <w:rFonts w:hint="eastAsia" w:ascii="宋体"/>
          <w:color w:val="000000" w:themeColor="text1"/>
          <w:sz w:val="24"/>
          <w:highlight w:val="none"/>
          <w14:textFill>
            <w14:solidFill>
              <w14:schemeClr w14:val="tx1"/>
            </w14:solidFill>
          </w14:textFill>
        </w:rPr>
        <w:t>以供参考。</w:t>
      </w:r>
    </w:p>
    <w:p w14:paraId="3B145053">
      <w:pPr>
        <w:spacing w:line="360" w:lineRule="auto"/>
        <w:ind w:left="554" w:hanging="554" w:hangingChars="231"/>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FF7C4F3">
      <w:pPr>
        <w:adjustRightInd w:val="0"/>
        <w:snapToGrid w:val="0"/>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2、评标标准</w:t>
      </w:r>
    </w:p>
    <w:p w14:paraId="2A279611">
      <w:pPr>
        <w:spacing w:line="360" w:lineRule="auto"/>
        <w:ind w:left="554" w:hanging="554" w:hangingChars="231"/>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 xml:space="preserve">1  </w:t>
      </w:r>
      <w:r>
        <w:rPr>
          <w:rFonts w:hint="eastAsia"/>
          <w:color w:val="000000" w:themeColor="text1"/>
          <w:sz w:val="24"/>
          <w:highlight w:val="none"/>
          <w14:textFill>
            <w14:solidFill>
              <w14:schemeClr w14:val="tx1"/>
            </w14:solidFill>
          </w14:textFill>
        </w:rPr>
        <w:t>除招标文件中指定的附件和专用工具外，</w:t>
      </w:r>
      <w:r>
        <w:rPr>
          <w:rFonts w:hint="eastAsia" w:ascii="宋体"/>
          <w:color w:val="000000" w:themeColor="text1"/>
          <w:sz w:val="24"/>
          <w:highlight w:val="none"/>
          <w14:textFill>
            <w14:solidFill>
              <w14:schemeClr w14:val="tx1"/>
            </w14:solidFill>
          </w14:textFill>
        </w:rPr>
        <w:t>投标人应提供仪器设备的正常运行和常规保养所需的全套标准附件、专用工具</w:t>
      </w:r>
      <w:r>
        <w:rPr>
          <w:rFonts w:hint="eastAsia"/>
          <w:color w:val="000000" w:themeColor="text1"/>
          <w:sz w:val="24"/>
          <w:highlight w:val="none"/>
          <w14:textFill>
            <w14:solidFill>
              <w14:schemeClr w14:val="tx1"/>
            </w14:solidFill>
          </w14:textFill>
        </w:rPr>
        <w:t>和消耗品</w:t>
      </w:r>
      <w:r>
        <w:rPr>
          <w:rFonts w:hint="eastAsia" w:ascii="宋体"/>
          <w:color w:val="000000" w:themeColor="text1"/>
          <w:sz w:val="24"/>
          <w:highlight w:val="none"/>
          <w14:textFill>
            <w14:solidFill>
              <w14:schemeClr w14:val="tx1"/>
            </w14:solidFill>
          </w14:textFill>
        </w:rPr>
        <w:t>。投标人在投标书中需列出这些附件和工具的数量和单价的清单，这些附件和工具的报价的总值需计入投标价中。</w:t>
      </w:r>
    </w:p>
    <w:p w14:paraId="6BCE3D51">
      <w:pPr>
        <w:spacing w:line="360" w:lineRule="auto"/>
        <w:ind w:left="554" w:hanging="554" w:hangingChars="231"/>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w:t>
      </w:r>
      <w:r>
        <w:rPr>
          <w:rFonts w:hint="eastAsia"/>
          <w:color w:val="000000" w:themeColor="text1"/>
          <w:sz w:val="24"/>
          <w:highlight w:val="none"/>
          <w14:textFill>
            <w14:solidFill>
              <w14:schemeClr w14:val="tx1"/>
            </w14:solidFill>
          </w14:textFill>
        </w:rPr>
        <w:t>对于标书</w:t>
      </w:r>
      <w:r>
        <w:rPr>
          <w:rFonts w:hint="eastAsia" w:ascii="宋体"/>
          <w:color w:val="000000" w:themeColor="text1"/>
          <w:sz w:val="24"/>
          <w:highlight w:val="none"/>
          <w14:textFill>
            <w14:solidFill>
              <w14:schemeClr w14:val="tx1"/>
            </w14:solidFill>
          </w14:textFill>
        </w:rPr>
        <w:t>技术规范中已列</w:t>
      </w:r>
      <w:r>
        <w:rPr>
          <w:rFonts w:hint="eastAsia"/>
          <w:color w:val="000000" w:themeColor="text1"/>
          <w:sz w:val="24"/>
          <w:highlight w:val="none"/>
          <w14:textFill>
            <w14:solidFill>
              <w14:schemeClr w14:val="tx1"/>
            </w14:solidFill>
          </w14:textFill>
        </w:rPr>
        <w:t>出的作为查询选件的附件、零配件、专用工具和消耗品，投标书中</w:t>
      </w:r>
      <w:r>
        <w:rPr>
          <w:rFonts w:hint="eastAsia" w:ascii="宋体"/>
          <w:color w:val="000000" w:themeColor="text1"/>
          <w:sz w:val="24"/>
          <w:highlight w:val="none"/>
          <w14:textFill>
            <w14:solidFill>
              <w14:schemeClr w14:val="tx1"/>
            </w14:solidFill>
          </w14:textFill>
        </w:rPr>
        <w:t>应列明其数量、单价、总价供买方参考。投标人也可推荐买方没有要求的附件或专用工具作为选件，并列明其数量、单价、总价供买方参考。选件价格不计入评标价中。</w:t>
      </w:r>
    </w:p>
    <w:p w14:paraId="667C963E">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  为便于用户进行接收仪器的准备工作，卖方应在合同生效后</w:t>
      </w:r>
      <w:r>
        <w:rPr>
          <w:rFonts w:hint="eastAsia" w:ascii="宋体" w:hAnsi="宋体"/>
          <w:b/>
          <w:color w:val="000000" w:themeColor="text1"/>
          <w:sz w:val="24"/>
          <w:highlight w:val="none"/>
          <w14:textFill>
            <w14:solidFill>
              <w14:schemeClr w14:val="tx1"/>
            </w14:solidFill>
          </w14:textFill>
        </w:rPr>
        <w:t>60</w:t>
      </w:r>
      <w:r>
        <w:rPr>
          <w:rFonts w:hint="eastAsia" w:ascii="宋体" w:hAnsi="宋体"/>
          <w:color w:val="000000" w:themeColor="text1"/>
          <w:sz w:val="24"/>
          <w:highlight w:val="none"/>
          <w14:textFill>
            <w14:solidFill>
              <w14:schemeClr w14:val="tx1"/>
            </w14:solidFill>
          </w14:textFill>
        </w:rPr>
        <w:t>天内向用户提供一套完整的使用说明书、操作手册、维修及安装说明等文件。另一套完整上述资料应在交货时随货包装提供给用户，这些费用应计入投标价中。</w:t>
      </w:r>
    </w:p>
    <w:p w14:paraId="2D60EF86">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4</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关于设备的安装调试，如果有必要的安装准备条件，卖方应在合同生效后一个月内向买方提出详细的要求或计划。安装调试的费用应计入投标价中，并应单独列出，供评标使用。</w:t>
      </w:r>
    </w:p>
    <w:p w14:paraId="2733D363">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5  制造厂家提供的培训指的是涉及货物的基本原理、操作使用和保养维修等有关内容的培训。培训教员的培训费、旅费、食宿费等费用和培训场地费及培训资料费均应由卖方支付。</w:t>
      </w:r>
    </w:p>
    <w:p w14:paraId="1CFEA52E">
      <w:pPr>
        <w:adjustRightInd w:val="0"/>
        <w:snapToGrid w:val="0"/>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3、工作条件</w:t>
      </w:r>
    </w:p>
    <w:p w14:paraId="7901D215">
      <w:pPr>
        <w:spacing w:after="312" w:afterLines="10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除非在技术规格中另有说明，所有仪器、设备和系统都应符合下列要求：</w:t>
      </w:r>
      <w:r>
        <w:rPr>
          <w:rFonts w:ascii="宋体" w:hAnsi="宋体"/>
          <w:color w:val="000000" w:themeColor="text1"/>
          <w:sz w:val="24"/>
          <w:highlight w:val="none"/>
          <w14:textFill>
            <w14:solidFill>
              <w14:schemeClr w14:val="tx1"/>
            </w14:solidFill>
          </w14:textFill>
        </w:rPr>
        <w:t xml:space="preserve"> </w:t>
      </w:r>
    </w:p>
    <w:p w14:paraId="38D03D1C">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  适于在气温为摄氏</w:t>
      </w:r>
      <w:r>
        <w:rPr>
          <w:rFonts w:ascii="宋体" w:hAnsi="宋体"/>
          <w:b/>
          <w:color w:val="000000" w:themeColor="text1"/>
          <w:sz w:val="24"/>
          <w:highlight w:val="none"/>
          <w14:textFill>
            <w14:solidFill>
              <w14:schemeClr w14:val="tx1"/>
            </w14:solidFill>
          </w14:textFill>
        </w:rPr>
        <w:t>-40</w:t>
      </w:r>
      <w:r>
        <w:rPr>
          <w:rFonts w:hint="eastAsia" w:ascii="宋体" w:hAnsi="宋体"/>
          <w:b/>
          <w:color w:val="000000" w:themeColor="text1"/>
          <w:sz w:val="24"/>
          <w:highlight w:val="none"/>
          <w14:textFill>
            <w14:solidFill>
              <w14:schemeClr w14:val="tx1"/>
            </w14:solidFill>
          </w14:textFill>
        </w:rPr>
        <w:t>℃～＋</w:t>
      </w:r>
      <w:r>
        <w:rPr>
          <w:rFonts w:ascii="宋体" w:hAnsi="宋体"/>
          <w:b/>
          <w:color w:val="000000" w:themeColor="text1"/>
          <w:sz w:val="24"/>
          <w:highlight w:val="none"/>
          <w14:textFill>
            <w14:solidFill>
              <w14:schemeClr w14:val="tx1"/>
            </w14:solidFill>
          </w14:textFill>
        </w:rPr>
        <w:t>50</w:t>
      </w:r>
      <w:r>
        <w:rPr>
          <w:rFonts w:hint="eastAsia" w:ascii="宋体" w:hAnsi="宋体"/>
          <w:b/>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和相对湿度为</w:t>
      </w:r>
      <w:r>
        <w:rPr>
          <w:rFonts w:ascii="宋体" w:hAnsi="宋体"/>
          <w:b/>
          <w:color w:val="000000" w:themeColor="text1"/>
          <w:sz w:val="24"/>
          <w:highlight w:val="none"/>
          <w14:textFill>
            <w14:solidFill>
              <w14:schemeClr w14:val="tx1"/>
            </w14:solidFill>
          </w14:textFill>
        </w:rPr>
        <w:t>90</w:t>
      </w:r>
      <w:r>
        <w:rPr>
          <w:rFonts w:hint="eastAsia" w:ascii="宋体" w:hAnsi="宋体"/>
          <w:b/>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的环境条件下运输和贮存。</w:t>
      </w:r>
    </w:p>
    <w:p w14:paraId="2770C8B1">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  适于在电源</w:t>
      </w:r>
      <w:r>
        <w:rPr>
          <w:rFonts w:ascii="宋体" w:hAnsi="宋体"/>
          <w:b/>
          <w:color w:val="000000" w:themeColor="text1"/>
          <w:sz w:val="24"/>
          <w:highlight w:val="none"/>
          <w14:textFill>
            <w14:solidFill>
              <w14:schemeClr w14:val="tx1"/>
            </w14:solidFill>
          </w14:textFill>
        </w:rPr>
        <w:t>220V</w:t>
      </w:r>
      <w:r>
        <w:rPr>
          <w:rFonts w:hint="eastAsia" w:ascii="宋体" w:hAnsi="宋体"/>
          <w:b/>
          <w:color w:val="000000" w:themeColor="text1"/>
          <w:sz w:val="24"/>
          <w:highlight w:val="none"/>
          <w14:textFill>
            <w14:solidFill>
              <w14:schemeClr w14:val="tx1"/>
            </w14:solidFill>
          </w14:textFill>
        </w:rPr>
        <w:t>（</w:t>
      </w:r>
      <w:r>
        <w:rPr>
          <w:rFonts w:ascii="宋体" w:hAnsi="宋体"/>
          <w:b/>
          <w:color w:val="000000" w:themeColor="text1"/>
          <w:sz w:val="24"/>
          <w:highlight w:val="none"/>
          <w14:textFill>
            <w14:solidFill>
              <w14:schemeClr w14:val="tx1"/>
            </w14:solidFill>
          </w14:textFill>
        </w:rPr>
        <w:sym w:font="Symbol" w:char="F0B1"/>
      </w:r>
      <w:r>
        <w:rPr>
          <w:rFonts w:ascii="宋体" w:hAnsi="宋体"/>
          <w:b/>
          <w:color w:val="000000" w:themeColor="text1"/>
          <w:sz w:val="24"/>
          <w:highlight w:val="none"/>
          <w14:textFill>
            <w14:solidFill>
              <w14:schemeClr w14:val="tx1"/>
            </w14:solidFill>
          </w14:textFill>
        </w:rPr>
        <w:t>10</w:t>
      </w:r>
      <w:r>
        <w:rPr>
          <w:rFonts w:hint="eastAsia" w:ascii="宋体" w:hAnsi="宋体"/>
          <w:b/>
          <w:color w:val="000000" w:themeColor="text1"/>
          <w:sz w:val="24"/>
          <w:highlight w:val="none"/>
          <w14:textFill>
            <w14:solidFill>
              <w14:schemeClr w14:val="tx1"/>
            </w14:solidFill>
          </w14:textFill>
        </w:rPr>
        <w:t>％）</w:t>
      </w:r>
      <w:r>
        <w:rPr>
          <w:rFonts w:ascii="宋体" w:hAnsi="宋体"/>
          <w:b/>
          <w:color w:val="000000" w:themeColor="text1"/>
          <w:sz w:val="24"/>
          <w:highlight w:val="none"/>
          <w14:textFill>
            <w14:solidFill>
              <w14:schemeClr w14:val="tx1"/>
            </w14:solidFill>
          </w14:textFill>
        </w:rPr>
        <w:t>/50Hz</w:t>
      </w:r>
      <w:r>
        <w:rPr>
          <w:rFonts w:hint="eastAsia" w:ascii="宋体" w:hAnsi="宋体"/>
          <w:color w:val="000000" w:themeColor="text1"/>
          <w:sz w:val="24"/>
          <w:highlight w:val="none"/>
          <w14:textFill>
            <w14:solidFill>
              <w14:schemeClr w14:val="tx1"/>
            </w14:solidFill>
          </w14:textFill>
        </w:rPr>
        <w:t>、气温摄氏</w:t>
      </w:r>
      <w:r>
        <w:rPr>
          <w:rFonts w:hint="eastAsia" w:ascii="宋体" w:hAnsi="宋体"/>
          <w:b/>
          <w:color w:val="000000" w:themeColor="text1"/>
          <w:sz w:val="24"/>
          <w:highlight w:val="none"/>
          <w14:textFill>
            <w14:solidFill>
              <w14:schemeClr w14:val="tx1"/>
            </w14:solidFill>
          </w14:textFill>
        </w:rPr>
        <w:t>+1</w:t>
      </w:r>
      <w:r>
        <w:rPr>
          <w:rFonts w:ascii="宋体" w:hAnsi="宋体"/>
          <w:b/>
          <w:color w:val="000000" w:themeColor="text1"/>
          <w:sz w:val="24"/>
          <w:highlight w:val="none"/>
          <w14:textFill>
            <w14:solidFill>
              <w14:schemeClr w14:val="tx1"/>
            </w14:solidFill>
          </w14:textFill>
        </w:rPr>
        <w:t>5</w:t>
      </w:r>
      <w:r>
        <w:rPr>
          <w:rFonts w:hint="eastAsia" w:ascii="宋体" w:hAnsi="宋体"/>
          <w:b/>
          <w:color w:val="000000" w:themeColor="text1"/>
          <w:sz w:val="24"/>
          <w:highlight w:val="none"/>
          <w14:textFill>
            <w14:solidFill>
              <w14:schemeClr w14:val="tx1"/>
            </w14:solidFill>
          </w14:textFill>
        </w:rPr>
        <w:t>℃～＋3</w:t>
      </w:r>
      <w:r>
        <w:rPr>
          <w:rFonts w:ascii="宋体" w:hAnsi="宋体"/>
          <w:b/>
          <w:color w:val="000000" w:themeColor="text1"/>
          <w:sz w:val="24"/>
          <w:highlight w:val="none"/>
          <w14:textFill>
            <w14:solidFill>
              <w14:schemeClr w14:val="tx1"/>
            </w14:solidFill>
          </w14:textFill>
        </w:rPr>
        <w:t>0</w:t>
      </w:r>
      <w:r>
        <w:rPr>
          <w:rFonts w:hint="eastAsia" w:ascii="宋体" w:hAnsi="宋体"/>
          <w:b/>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和相对湿度小于</w:t>
      </w:r>
      <w:r>
        <w:rPr>
          <w:rFonts w:ascii="宋体" w:hAnsi="宋体"/>
          <w:b/>
          <w:color w:val="000000" w:themeColor="text1"/>
          <w:sz w:val="24"/>
          <w:highlight w:val="none"/>
          <w14:textFill>
            <w14:solidFill>
              <w14:schemeClr w14:val="tx1"/>
            </w14:solidFill>
          </w14:textFill>
        </w:rPr>
        <w:t>8</w:t>
      </w:r>
      <w:r>
        <w:rPr>
          <w:rFonts w:hint="eastAsia" w:ascii="宋体" w:hAnsi="宋体"/>
          <w:b/>
          <w:color w:val="000000" w:themeColor="text1"/>
          <w:sz w:val="24"/>
          <w:highlight w:val="none"/>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的环境条件下运行。</w:t>
      </w:r>
      <w:r>
        <w:rPr>
          <w:rFonts w:hint="eastAsia" w:ascii="宋体" w:hAnsi="宋体"/>
          <w:b/>
          <w:color w:val="000000" w:themeColor="text1"/>
          <w:sz w:val="24"/>
          <w:highlight w:val="none"/>
          <w14:textFill>
            <w14:solidFill>
              <w14:schemeClr w14:val="tx1"/>
            </w14:solidFill>
          </w14:textFill>
        </w:rPr>
        <w:t>能够连续正常工作。</w:t>
      </w:r>
    </w:p>
    <w:p w14:paraId="42AF5057">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3.3  配置符合中国有关标准要求的插头，如果没有这样的插头，则需</w:t>
      </w:r>
      <w:r>
        <w:rPr>
          <w:rFonts w:hint="eastAsia" w:ascii="宋体"/>
          <w:color w:val="000000" w:themeColor="text1"/>
          <w:sz w:val="24"/>
          <w:highlight w:val="none"/>
          <w14:textFill>
            <w14:solidFill>
              <w14:schemeClr w14:val="tx1"/>
            </w14:solidFill>
          </w14:textFill>
        </w:rPr>
        <w:t>提供适当的转</w:t>
      </w:r>
      <w:r>
        <w:rPr>
          <w:rFonts w:hint="eastAsia" w:ascii="宋体" w:hAnsi="宋体"/>
          <w:color w:val="000000" w:themeColor="text1"/>
          <w:sz w:val="24"/>
          <w:highlight w:val="none"/>
          <w14:textFill>
            <w14:solidFill>
              <w14:schemeClr w14:val="tx1"/>
            </w14:solidFill>
          </w14:textFill>
        </w:rPr>
        <w:t>换插座。</w:t>
      </w:r>
    </w:p>
    <w:p w14:paraId="3C77BD39">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14:paraId="6F9BFA0A">
      <w:pPr>
        <w:rPr>
          <w:rFonts w:eastAsia="黑体"/>
          <w:b/>
          <w:bCs/>
          <w:color w:val="000000" w:themeColor="text1"/>
          <w:kern w:val="44"/>
          <w:sz w:val="24"/>
          <w:highlight w:val="none"/>
          <w14:textFill>
            <w14:solidFill>
              <w14:schemeClr w14:val="tx1"/>
            </w14:solidFill>
          </w14:textFill>
        </w:rPr>
      </w:pPr>
    </w:p>
    <w:p w14:paraId="53177F56">
      <w:pPr>
        <w:adjustRightInd w:val="0"/>
        <w:snapToGrid w:val="0"/>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4、验收标准</w:t>
      </w:r>
    </w:p>
    <w:p w14:paraId="4CFD188D">
      <w:pPr>
        <w:spacing w:after="312" w:afterLines="10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除非在技术规格中另有说明，所有仪器、设备和系统按下列要求进行验收：</w:t>
      </w:r>
      <w:r>
        <w:rPr>
          <w:rFonts w:ascii="宋体" w:hAnsi="宋体"/>
          <w:color w:val="000000" w:themeColor="text1"/>
          <w:sz w:val="24"/>
          <w:highlight w:val="none"/>
          <w14:textFill>
            <w14:solidFill>
              <w14:schemeClr w14:val="tx1"/>
            </w14:solidFill>
          </w14:textFill>
        </w:rPr>
        <w:t xml:space="preserve"> </w:t>
      </w:r>
    </w:p>
    <w:p w14:paraId="2FDA4773">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4.1  仪器设备运抵安装现场后，买方将与卖方共同开箱验收</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如卖方届时不派人来</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则验收结果应以买方的验收报告为最终验收结果。验收时发现短缺、破损</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买方有权要求卖方负责更换。</w:t>
      </w:r>
    </w:p>
    <w:p w14:paraId="7CAE3866">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  </w:t>
      </w:r>
      <w:r>
        <w:rPr>
          <w:rFonts w:hint="eastAsia"/>
          <w:color w:val="000000" w:themeColor="text1"/>
          <w:sz w:val="24"/>
          <w:highlight w:val="none"/>
          <w14:textFill>
            <w14:solidFill>
              <w14:schemeClr w14:val="tx1"/>
            </w14:solidFill>
          </w14:textFill>
        </w:rPr>
        <w:t>验收标准以中标人提供的投标文件中所列的指标为准（该指标应不低于招标文件所要求的指标）。任何虚假指标响应一经发现即作废标，卖方必须承担由此给买方带来的一切经济损失和其它相关责任。</w:t>
      </w:r>
    </w:p>
    <w:p w14:paraId="3E081979">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  </w:t>
      </w:r>
      <w:r>
        <w:rPr>
          <w:rFonts w:ascii="宋体" w:hAnsi="宋体"/>
          <w:color w:val="000000" w:themeColor="text1"/>
          <w:sz w:val="24"/>
          <w:highlight w:val="none"/>
          <w14:textFill>
            <w14:solidFill>
              <w14:schemeClr w14:val="tx1"/>
            </w14:solidFill>
          </w14:textFill>
        </w:rPr>
        <w:t>验收由采购人、中标人及相关人员依国家有关标准、合同及有关附件要求进行，验收完毕由采购人及中标人在验收报告上签名。</w:t>
      </w:r>
    </w:p>
    <w:p w14:paraId="0AA2FF69">
      <w:pPr>
        <w:pStyle w:val="20"/>
        <w:spacing w:line="360" w:lineRule="auto"/>
        <w:ind w:left="410" w:hanging="410" w:hangingChars="170"/>
        <w:rPr>
          <w:rFonts w:hint="eastAsia" w:hAnsi="宋体"/>
          <w:b/>
          <w:color w:val="000000" w:themeColor="text1"/>
          <w:sz w:val="24"/>
          <w:szCs w:val="24"/>
          <w:highlight w:val="none"/>
          <w14:textFill>
            <w14:solidFill>
              <w14:schemeClr w14:val="tx1"/>
            </w14:solidFill>
          </w14:textFill>
        </w:rPr>
      </w:pPr>
    </w:p>
    <w:p w14:paraId="797556FA">
      <w:pPr>
        <w:adjustRightInd w:val="0"/>
        <w:snapToGrid w:val="0"/>
        <w:spacing w:line="360" w:lineRule="auto"/>
        <w:rPr>
          <w:rFonts w:hint="eastAsia" w:hAnsi="宋体"/>
          <w:b/>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5、本采购需求书中标注“★”号技术条款的为实质性要求，不满足其投标将视为无效投标被拒绝。</w:t>
      </w:r>
    </w:p>
    <w:p w14:paraId="23F03DCE">
      <w:pPr>
        <w:adjustRightInd w:val="0"/>
        <w:snapToGrid w:val="0"/>
        <w:spacing w:line="360" w:lineRule="auto"/>
        <w:rPr>
          <w:rFonts w:hint="eastAsia" w:ascii="宋体" w:hAnsi="宋体"/>
          <w:b/>
          <w:color w:val="000000" w:themeColor="text1"/>
          <w:sz w:val="24"/>
          <w:highlight w:val="none"/>
          <w14:textFill>
            <w14:solidFill>
              <w14:schemeClr w14:val="tx1"/>
            </w14:solidFill>
          </w14:textFill>
        </w:rPr>
      </w:pPr>
    </w:p>
    <w:p w14:paraId="6161A801">
      <w:pPr>
        <w:adjustRightInd w:val="0"/>
        <w:snapToGrid w:val="0"/>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6、如在具体技术规格中有本总则不一致之处，以具体技术规格中的要求为准。</w:t>
      </w:r>
    </w:p>
    <w:p w14:paraId="5F19E369">
      <w:pPr>
        <w:adjustRightInd w:val="0"/>
        <w:snapToGrid w:val="0"/>
        <w:spacing w:line="360" w:lineRule="auto"/>
        <w:rPr>
          <w:rFonts w:hint="eastAsia"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br w:type="page"/>
      </w:r>
      <w:r>
        <w:rPr>
          <w:rFonts w:hint="eastAsia" w:ascii="宋体" w:hAnsi="宋体"/>
          <w:b/>
          <w:color w:val="000000" w:themeColor="text1"/>
          <w:sz w:val="28"/>
          <w:szCs w:val="28"/>
          <w:highlight w:val="none"/>
          <w14:textFill>
            <w14:solidFill>
              <w14:schemeClr w14:val="tx1"/>
            </w14:solidFill>
          </w14:textFill>
        </w:rPr>
        <w:t>二、具体技术规格</w:t>
      </w:r>
    </w:p>
    <w:p w14:paraId="2E806D6B">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第1包 双源单波长激发-能量色散X射线荧光光谱仪</w:t>
      </w:r>
    </w:p>
    <w:p w14:paraId="0FF27D10">
      <w:pPr>
        <w:rPr>
          <w:b/>
          <w:color w:val="000000" w:themeColor="text1"/>
          <w:sz w:val="24"/>
          <w:highlight w:val="none"/>
          <w14:textFill>
            <w14:solidFill>
              <w14:schemeClr w14:val="tx1"/>
            </w14:solidFill>
          </w14:textFill>
        </w:rPr>
      </w:pPr>
    </w:p>
    <w:p w14:paraId="64B48476">
      <w:pPr>
        <w:numPr>
          <w:ilvl w:val="0"/>
          <w:numId w:val="1"/>
        </w:num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技术要求：</w:t>
      </w:r>
    </w:p>
    <w:p w14:paraId="7C4A7ECD">
      <w:pPr>
        <w:tabs>
          <w:tab w:val="left" w:pos="360"/>
        </w:tabs>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1.工作条件：</w:t>
      </w:r>
    </w:p>
    <w:p w14:paraId="50EF79CE">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w:t>
      </w:r>
      <w:r>
        <w:rPr>
          <w:rFonts w:ascii="宋体" w:hAnsi="宋体" w:cs="宋体"/>
          <w:color w:val="000000" w:themeColor="text1"/>
          <w:sz w:val="24"/>
          <w:highlight w:val="none"/>
          <w14:textFill>
            <w14:solidFill>
              <w14:schemeClr w14:val="tx1"/>
            </w14:solidFill>
          </w14:textFill>
        </w:rPr>
        <w:t>电源：220V±1</w:t>
      </w:r>
      <w:r>
        <w:rPr>
          <w:rFonts w:ascii="宋体" w:hAnsi="宋体" w:eastAsia="宋体" w:cs="宋体"/>
          <w:color w:val="000000" w:themeColor="text1"/>
          <w:sz w:val="24"/>
          <w:highlight w:val="none"/>
          <w14:textFill>
            <w14:solidFill>
              <w14:schemeClr w14:val="tx1"/>
            </w14:solidFill>
          </w14:textFill>
        </w:rPr>
        <w:t>0</w:t>
      </w:r>
      <w:r>
        <w:rPr>
          <w:rFonts w:hint="eastAsia" w:ascii="宋体" w:hAnsi="宋体" w:eastAsia="宋体" w:cs="宋体"/>
          <w:color w:val="000000" w:themeColor="text1"/>
          <w:sz w:val="24"/>
          <w:highlight w:val="none"/>
          <w:lang w:val="en-US" w:eastAsia="zh-CN"/>
          <w14:textFill>
            <w14:solidFill>
              <w14:schemeClr w14:val="tx1"/>
            </w14:solidFill>
          </w14:textFill>
        </w:rPr>
        <w:t>V</w:t>
      </w:r>
      <w:r>
        <w:rPr>
          <w:rFonts w:ascii="宋体" w:hAnsi="宋体" w:eastAsia="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50Hz</w:t>
      </w:r>
      <w:r>
        <w:rPr>
          <w:rFonts w:hint="eastAsia" w:ascii="宋体" w:hAnsi="宋体" w:cs="宋体"/>
          <w:color w:val="000000" w:themeColor="text1"/>
          <w:sz w:val="24"/>
          <w:highlight w:val="none"/>
          <w14:textFill>
            <w14:solidFill>
              <w14:schemeClr w14:val="tx1"/>
            </w14:solidFill>
          </w14:textFill>
        </w:rPr>
        <w:t>；</w:t>
      </w:r>
    </w:p>
    <w:p w14:paraId="0E20AD1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1.2温度</w:t>
      </w:r>
      <w:r>
        <w:rPr>
          <w:rFonts w:ascii="宋体" w:hAnsi="宋体" w:cs="宋体"/>
          <w:color w:val="000000" w:themeColor="text1"/>
          <w:sz w:val="24"/>
          <w:highlight w:val="none"/>
          <w14:textFill>
            <w14:solidFill>
              <w14:schemeClr w14:val="tx1"/>
            </w14:solidFill>
          </w14:textFill>
        </w:rPr>
        <w:t>：18～27℃</w:t>
      </w:r>
      <w:r>
        <w:rPr>
          <w:rFonts w:hint="eastAsia" w:ascii="宋体" w:hAnsi="宋体" w:cs="宋体"/>
          <w:color w:val="000000" w:themeColor="text1"/>
          <w:sz w:val="24"/>
          <w:highlight w:val="none"/>
          <w14:textFill>
            <w14:solidFill>
              <w14:schemeClr w14:val="tx1"/>
            </w14:solidFill>
          </w14:textFill>
        </w:rPr>
        <w:t>；</w:t>
      </w:r>
    </w:p>
    <w:p w14:paraId="169C988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1.3湿度：2</w:t>
      </w:r>
      <w:r>
        <w:rPr>
          <w:rFonts w:ascii="宋体" w:hAnsi="宋体" w:cs="宋体"/>
          <w:color w:val="000000" w:themeColor="text1"/>
          <w:sz w:val="24"/>
          <w:highlight w:val="none"/>
          <w14:textFill>
            <w14:solidFill>
              <w14:schemeClr w14:val="tx1"/>
            </w14:solidFill>
          </w14:textFill>
        </w:rPr>
        <w:t>0%</w:t>
      </w:r>
      <w:bookmarkStart w:id="2" w:name="OLE_LINK11"/>
      <w:r>
        <w:rPr>
          <w:rFonts w:hint="eastAsia" w:ascii="宋体" w:hAnsi="宋体" w:cs="宋体"/>
          <w:color w:val="000000" w:themeColor="text1"/>
          <w:sz w:val="24"/>
          <w:highlight w:val="none"/>
          <w14:textFill>
            <w14:solidFill>
              <w14:schemeClr w14:val="tx1"/>
            </w14:solidFill>
          </w14:textFill>
        </w:rPr>
        <w:t>～</w:t>
      </w:r>
      <w:bookmarkEnd w:id="2"/>
      <w:r>
        <w:rPr>
          <w:rFonts w:hint="eastAsia" w:ascii="宋体" w:hAnsi="宋体" w:cs="宋体"/>
          <w:color w:val="000000" w:themeColor="text1"/>
          <w:sz w:val="24"/>
          <w:highlight w:val="none"/>
          <w14:textFill>
            <w14:solidFill>
              <w14:schemeClr w14:val="tx1"/>
            </w14:solidFill>
          </w14:textFill>
        </w:rPr>
        <w:t>8</w:t>
      </w:r>
      <w:r>
        <w:rPr>
          <w:rFonts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w:t>
      </w:r>
    </w:p>
    <w:p w14:paraId="51E6F0F3">
      <w:pPr>
        <w:tabs>
          <w:tab w:val="left" w:pos="360"/>
        </w:tabs>
        <w:spacing w:line="360" w:lineRule="auto"/>
        <w:rPr>
          <w:rFonts w:hint="eastAsia" w:ascii="宋体" w:hAnsi="宋体" w:cs="宋体"/>
          <w:b/>
          <w:color w:val="000000" w:themeColor="text1"/>
          <w:sz w:val="24"/>
          <w:highlight w:val="none"/>
          <w14:textFill>
            <w14:solidFill>
              <w14:schemeClr w14:val="tx1"/>
            </w14:solidFill>
          </w14:textFill>
        </w:rPr>
      </w:pPr>
    </w:p>
    <w:p w14:paraId="10955395">
      <w:pPr>
        <w:tabs>
          <w:tab w:val="left" w:pos="360"/>
        </w:tabs>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2.设备用途：</w:t>
      </w:r>
    </w:p>
    <w:p w14:paraId="4BB4465B">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双源单波长激发-能量色散X射线荧光光谱仪具备全元素（C-U）和全谱拟合的高精度无标定量功能，可以精准分析各类土壤、粉末材料元素组成与含量，溶液、半固体等样品无机元素含量，以及支持各类科研与检测元素分析。</w:t>
      </w:r>
    </w:p>
    <w:p w14:paraId="28DF3C97">
      <w:pPr>
        <w:tabs>
          <w:tab w:val="left" w:pos="360"/>
        </w:tabs>
        <w:spacing w:line="360" w:lineRule="auto"/>
        <w:rPr>
          <w:rFonts w:hint="eastAsia" w:ascii="宋体" w:hAnsi="宋体" w:cs="宋体"/>
          <w:b/>
          <w:color w:val="000000" w:themeColor="text1"/>
          <w:sz w:val="24"/>
          <w:highlight w:val="none"/>
          <w14:textFill>
            <w14:solidFill>
              <w14:schemeClr w14:val="tx1"/>
            </w14:solidFill>
          </w14:textFill>
        </w:rPr>
      </w:pPr>
    </w:p>
    <w:p w14:paraId="5DFBF8FC">
      <w:pPr>
        <w:tabs>
          <w:tab w:val="left" w:pos="360"/>
        </w:tabs>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3.技术规格：</w:t>
      </w:r>
    </w:p>
    <w:p w14:paraId="268BB2EA">
      <w:pPr>
        <w:spacing w:line="360" w:lineRule="auto"/>
        <w:ind w:firstLine="480" w:firstLineChars="200"/>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投标人提供的货物须是成熟的全新的产品，其技术规格应符合招标文件的要求。如与招标文件的技术规格有偏差，应提供技术规格偏差的量值或说明（偏离表）。</w:t>
      </w:r>
    </w:p>
    <w:p w14:paraId="585B8CE7">
      <w:pPr>
        <w:spacing w:line="360" w:lineRule="auto"/>
        <w:rPr>
          <w:rFonts w:hint="eastAsia" w:ascii="Times New Roman" w:hAnsi="Times New Roman" w:cs="宋体"/>
          <w:b w:val="0"/>
          <w:bCs w:val="0"/>
          <w:color w:val="000000" w:themeColor="text1"/>
          <w:sz w:val="24"/>
          <w:highlight w:val="none"/>
          <w14:textFill>
            <w14:solidFill>
              <w14:schemeClr w14:val="tx1"/>
            </w14:solidFill>
          </w14:textFill>
        </w:rPr>
      </w:pPr>
      <w:r>
        <w:rPr>
          <w:rFonts w:ascii="Times New Roman" w:hAnsi="Times New Roman"/>
          <w:b w:val="0"/>
          <w:bCs w:val="0"/>
          <w:color w:val="000000" w:themeColor="text1"/>
          <w:sz w:val="24"/>
          <w:highlight w:val="none"/>
          <w14:textFill>
            <w14:solidFill>
              <w14:schemeClr w14:val="tx1"/>
            </w14:solidFill>
          </w14:textFill>
        </w:rPr>
        <w:t>#</w:t>
      </w:r>
      <w:r>
        <w:rPr>
          <w:rFonts w:hint="eastAsia" w:ascii="Times New Roman" w:hAnsi="Times New Roman" w:cs="宋体"/>
          <w:b w:val="0"/>
          <w:bCs w:val="0"/>
          <w:color w:val="000000" w:themeColor="text1"/>
          <w:sz w:val="24"/>
          <w:highlight w:val="none"/>
          <w14:textFill>
            <w14:solidFill>
              <w14:schemeClr w14:val="tx1"/>
            </w14:solidFill>
          </w14:textFill>
        </w:rPr>
        <w:t>3</w:t>
      </w:r>
      <w:r>
        <w:rPr>
          <w:rFonts w:ascii="Times New Roman" w:hAnsi="Times New Roman" w:cs="宋体"/>
          <w:b w:val="0"/>
          <w:bCs w:val="0"/>
          <w:color w:val="000000" w:themeColor="text1"/>
          <w:sz w:val="24"/>
          <w:highlight w:val="none"/>
          <w14:textFill>
            <w14:solidFill>
              <w14:schemeClr w14:val="tx1"/>
            </w14:solidFill>
          </w14:textFill>
        </w:rPr>
        <w:t>.1</w:t>
      </w:r>
      <w:r>
        <w:rPr>
          <w:rFonts w:hint="eastAsia" w:ascii="Times New Roman" w:hAnsi="Times New Roman" w:cs="宋体"/>
          <w:b w:val="0"/>
          <w:bCs w:val="0"/>
          <w:color w:val="000000" w:themeColor="text1"/>
          <w:sz w:val="24"/>
          <w:highlight w:val="none"/>
          <w14:textFill>
            <w14:solidFill>
              <w14:schemeClr w14:val="tx1"/>
            </w14:solidFill>
          </w14:textFill>
        </w:rPr>
        <w:t>光源：</w:t>
      </w:r>
      <w:r>
        <w:rPr>
          <w:rFonts w:ascii="Times New Roman" w:hAnsi="Times New Roman" w:cs="宋体"/>
          <w:b w:val="0"/>
          <w:bCs w:val="0"/>
          <w:color w:val="000000" w:themeColor="text1"/>
          <w:sz w:val="24"/>
          <w:highlight w:val="none"/>
          <w14:textFill>
            <w14:solidFill>
              <w14:schemeClr w14:val="tx1"/>
            </w14:solidFill>
          </w14:textFill>
        </w:rPr>
        <w:t>Ag</w:t>
      </w:r>
      <w:r>
        <w:rPr>
          <w:rFonts w:hint="eastAsia" w:ascii="Times New Roman" w:hAnsi="Times New Roman" w:cs="宋体"/>
          <w:b w:val="0"/>
          <w:bCs w:val="0"/>
          <w:color w:val="000000" w:themeColor="text1"/>
          <w:sz w:val="24"/>
          <w:highlight w:val="none"/>
          <w14:textFill>
            <w14:solidFill>
              <w14:schemeClr w14:val="tx1"/>
            </w14:solidFill>
          </w14:textFill>
        </w:rPr>
        <w:t>靶和</w:t>
      </w:r>
      <w:r>
        <w:rPr>
          <w:rFonts w:ascii="Times New Roman" w:hAnsi="Times New Roman" w:cs="宋体"/>
          <w:b w:val="0"/>
          <w:bCs w:val="0"/>
          <w:color w:val="000000" w:themeColor="text1"/>
          <w:sz w:val="24"/>
          <w:highlight w:val="none"/>
          <w14:textFill>
            <w14:solidFill>
              <w14:schemeClr w14:val="tx1"/>
            </w14:solidFill>
          </w14:textFill>
        </w:rPr>
        <w:t>W</w:t>
      </w:r>
      <w:r>
        <w:rPr>
          <w:rFonts w:hint="eastAsia" w:ascii="Times New Roman" w:hAnsi="Times New Roman" w:cs="宋体"/>
          <w:b w:val="0"/>
          <w:bCs w:val="0"/>
          <w:color w:val="000000" w:themeColor="text1"/>
          <w:sz w:val="24"/>
          <w:highlight w:val="none"/>
          <w14:textFill>
            <w14:solidFill>
              <w14:schemeClr w14:val="tx1"/>
            </w14:solidFill>
          </w14:textFill>
        </w:rPr>
        <w:t>靶双微焦斑</w:t>
      </w:r>
      <w:r>
        <w:rPr>
          <w:rFonts w:ascii="Times New Roman" w:hAnsi="Times New Roman" w:cs="宋体"/>
          <w:b w:val="0"/>
          <w:bCs w:val="0"/>
          <w:color w:val="000000" w:themeColor="text1"/>
          <w:sz w:val="24"/>
          <w:highlight w:val="none"/>
          <w14:textFill>
            <w14:solidFill>
              <w14:schemeClr w14:val="tx1"/>
            </w14:solidFill>
          </w14:textFill>
        </w:rPr>
        <w:t>X</w:t>
      </w:r>
      <w:r>
        <w:rPr>
          <w:rFonts w:hint="eastAsia" w:ascii="Times New Roman" w:hAnsi="Times New Roman" w:cs="宋体"/>
          <w:b w:val="0"/>
          <w:bCs w:val="0"/>
          <w:color w:val="000000" w:themeColor="text1"/>
          <w:sz w:val="24"/>
          <w:highlight w:val="none"/>
          <w14:textFill>
            <w14:solidFill>
              <w14:schemeClr w14:val="tx1"/>
            </w14:solidFill>
          </w14:textFill>
        </w:rPr>
        <w:t>射线光管；</w:t>
      </w:r>
    </w:p>
    <w:p w14:paraId="4B396836">
      <w:pPr>
        <w:spacing w:line="360" w:lineRule="auto"/>
        <w:rPr>
          <w:rFonts w:hint="eastAsia" w:ascii="Times New Roman" w:hAnsi="Times New Roman" w:cs="宋体"/>
          <w:b w:val="0"/>
          <w:bCs w:val="0"/>
          <w:color w:val="000000" w:themeColor="text1"/>
          <w:sz w:val="24"/>
          <w:highlight w:val="none"/>
          <w14:textFill>
            <w14:solidFill>
              <w14:schemeClr w14:val="tx1"/>
            </w14:solidFill>
          </w14:textFill>
        </w:rPr>
      </w:pPr>
      <w:r>
        <w:rPr>
          <w:rFonts w:hint="eastAsia" w:cs="宋体"/>
          <w:b w:val="0"/>
          <w:bCs w:val="0"/>
          <w:color w:val="000000" w:themeColor="text1"/>
          <w:sz w:val="24"/>
          <w:highlight w:val="none"/>
          <w:lang w:eastAsia="zh-CN"/>
          <w14:textFill>
            <w14:solidFill>
              <w14:schemeClr w14:val="tx1"/>
            </w14:solidFill>
          </w14:textFill>
        </w:rPr>
        <w:t>★</w:t>
      </w:r>
      <w:r>
        <w:rPr>
          <w:rFonts w:hint="eastAsia" w:ascii="Times New Roman" w:hAnsi="Times New Roman" w:cs="宋体"/>
          <w:b w:val="0"/>
          <w:bCs w:val="0"/>
          <w:color w:val="000000" w:themeColor="text1"/>
          <w:sz w:val="24"/>
          <w:highlight w:val="none"/>
          <w14:textFill>
            <w14:solidFill>
              <w14:schemeClr w14:val="tx1"/>
            </w14:solidFill>
          </w14:textFill>
        </w:rPr>
        <w:t>3</w:t>
      </w:r>
      <w:r>
        <w:rPr>
          <w:rFonts w:ascii="Times New Roman" w:hAnsi="Times New Roman" w:cs="宋体"/>
          <w:b w:val="0"/>
          <w:bCs w:val="0"/>
          <w:color w:val="000000" w:themeColor="text1"/>
          <w:sz w:val="24"/>
          <w:highlight w:val="none"/>
          <w14:textFill>
            <w14:solidFill>
              <w14:schemeClr w14:val="tx1"/>
            </w14:solidFill>
          </w14:textFill>
        </w:rPr>
        <w:t>.2</w:t>
      </w:r>
      <w:r>
        <w:rPr>
          <w:rFonts w:hint="eastAsia" w:ascii="Times New Roman" w:hAnsi="Times New Roman" w:cs="宋体"/>
          <w:b w:val="0"/>
          <w:bCs w:val="0"/>
          <w:color w:val="000000" w:themeColor="text1"/>
          <w:sz w:val="24"/>
          <w:highlight w:val="none"/>
          <w14:textFill>
            <w14:solidFill>
              <w14:schemeClr w14:val="tx1"/>
            </w14:solidFill>
          </w14:textFill>
        </w:rPr>
        <w:t>入射方式：下照式（自上向下照射样品），避免样品污染光路系统；</w:t>
      </w:r>
    </w:p>
    <w:p w14:paraId="745FC7D7">
      <w:pPr>
        <w:spacing w:line="360" w:lineRule="auto"/>
        <w:rPr>
          <w:rFonts w:hint="eastAsia" w:ascii="Times New Roman" w:hAnsi="Times New Roman" w:cs="宋体"/>
          <w:b w:val="0"/>
          <w:bCs w:val="0"/>
          <w:color w:val="000000" w:themeColor="text1"/>
          <w:sz w:val="24"/>
          <w:highlight w:val="none"/>
          <w14:textFill>
            <w14:solidFill>
              <w14:schemeClr w14:val="tx1"/>
            </w14:solidFill>
          </w14:textFill>
        </w:rPr>
      </w:pPr>
      <w:r>
        <w:rPr>
          <w:rFonts w:ascii="Times New Roman" w:hAnsi="Times New Roman"/>
          <w:b w:val="0"/>
          <w:bCs w:val="0"/>
          <w:color w:val="000000" w:themeColor="text1"/>
          <w:sz w:val="24"/>
          <w:highlight w:val="none"/>
          <w14:textFill>
            <w14:solidFill>
              <w14:schemeClr w14:val="tx1"/>
            </w14:solidFill>
          </w14:textFill>
        </w:rPr>
        <w:t>#</w:t>
      </w:r>
      <w:r>
        <w:rPr>
          <w:rFonts w:hint="eastAsia" w:ascii="Times New Roman" w:hAnsi="Times New Roman" w:cs="宋体"/>
          <w:b w:val="0"/>
          <w:bCs w:val="0"/>
          <w:color w:val="000000" w:themeColor="text1"/>
          <w:sz w:val="24"/>
          <w:highlight w:val="none"/>
          <w14:textFill>
            <w14:solidFill>
              <w14:schemeClr w14:val="tx1"/>
            </w14:solidFill>
          </w14:textFill>
        </w:rPr>
        <w:t>3</w:t>
      </w:r>
      <w:r>
        <w:rPr>
          <w:rFonts w:ascii="Times New Roman" w:hAnsi="Times New Roman" w:cs="宋体"/>
          <w:b w:val="0"/>
          <w:bCs w:val="0"/>
          <w:color w:val="000000" w:themeColor="text1"/>
          <w:sz w:val="24"/>
          <w:highlight w:val="none"/>
          <w14:textFill>
            <w14:solidFill>
              <w14:schemeClr w14:val="tx1"/>
            </w14:solidFill>
          </w14:textFill>
        </w:rPr>
        <w:t>.</w:t>
      </w:r>
      <w:r>
        <w:rPr>
          <w:rFonts w:hint="eastAsia" w:ascii="Times New Roman" w:hAnsi="Times New Roman" w:cs="宋体"/>
          <w:b w:val="0"/>
          <w:bCs w:val="0"/>
          <w:color w:val="000000" w:themeColor="text1"/>
          <w:sz w:val="24"/>
          <w:highlight w:val="none"/>
          <w14:textFill>
            <w14:solidFill>
              <w14:schemeClr w14:val="tx1"/>
            </w14:solidFill>
          </w14:textFill>
        </w:rPr>
        <w:t>3全聚焦型双曲面弯晶单色化器，单色化聚焦入射光路，分别用于激发低、中、高能量段元素；</w:t>
      </w:r>
    </w:p>
    <w:p w14:paraId="19827659">
      <w:pPr>
        <w:spacing w:line="360" w:lineRule="auto"/>
        <w:rPr>
          <w:rFonts w:hint="eastAsia" w:ascii="Times New Roman" w:hAnsi="Times New Roman" w:cs="宋体"/>
          <w:b w:val="0"/>
          <w:bCs w:val="0"/>
          <w:color w:val="000000" w:themeColor="text1"/>
          <w:sz w:val="24"/>
          <w:highlight w:val="none"/>
          <w14:textFill>
            <w14:solidFill>
              <w14:schemeClr w14:val="tx1"/>
            </w14:solidFill>
          </w14:textFill>
        </w:rPr>
      </w:pPr>
      <w:r>
        <w:rPr>
          <w:rFonts w:hint="eastAsia" w:ascii="Times New Roman" w:hAnsi="Times New Roman" w:cs="宋体"/>
          <w:b w:val="0"/>
          <w:bCs w:val="0"/>
          <w:color w:val="000000" w:themeColor="text1"/>
          <w:sz w:val="24"/>
          <w:highlight w:val="none"/>
          <w14:textFill>
            <w14:solidFill>
              <w14:schemeClr w14:val="tx1"/>
            </w14:solidFill>
          </w14:textFill>
        </w:rPr>
        <w:t>3.4探测器：硅漂移探测器，能量分辨率优于</w:t>
      </w:r>
      <w:r>
        <w:rPr>
          <w:rFonts w:ascii="Times New Roman" w:hAnsi="Times New Roman" w:cs="宋体"/>
          <w:b w:val="0"/>
          <w:bCs w:val="0"/>
          <w:color w:val="000000" w:themeColor="text1"/>
          <w:sz w:val="24"/>
          <w:highlight w:val="none"/>
          <w14:textFill>
            <w14:solidFill>
              <w14:schemeClr w14:val="tx1"/>
            </w14:solidFill>
          </w14:textFill>
        </w:rPr>
        <w:t>135eV@Mn</w:t>
      </w:r>
      <w:r>
        <w:rPr>
          <w:rFonts w:hint="eastAsia" w:ascii="Times New Roman" w:hAnsi="Times New Roman" w:cs="宋体"/>
          <w:b w:val="0"/>
          <w:bCs w:val="0"/>
          <w:color w:val="000000" w:themeColor="text1"/>
          <w:sz w:val="24"/>
          <w:highlight w:val="none"/>
          <w14:textFill>
            <w14:solidFill>
              <w14:schemeClr w14:val="tx1"/>
            </w14:solidFill>
          </w14:textFill>
        </w:rPr>
        <w:t xml:space="preserve"> </w:t>
      </w:r>
      <w:r>
        <w:rPr>
          <w:rFonts w:ascii="Times New Roman" w:hAnsi="Times New Roman" w:cs="宋体"/>
          <w:b w:val="0"/>
          <w:bCs w:val="0"/>
          <w:color w:val="000000" w:themeColor="text1"/>
          <w:sz w:val="24"/>
          <w:highlight w:val="none"/>
          <w14:textFill>
            <w14:solidFill>
              <w14:schemeClr w14:val="tx1"/>
            </w14:solidFill>
          </w14:textFill>
        </w:rPr>
        <w:t>K</w:t>
      </w:r>
      <w:r>
        <w:rPr>
          <w:rFonts w:hint="eastAsia" w:ascii="Times New Roman" w:hAnsi="Times New Roman" w:cs="宋体"/>
          <w:b w:val="0"/>
          <w:bCs w:val="0"/>
          <w:color w:val="000000" w:themeColor="text1"/>
          <w:sz w:val="24"/>
          <w:highlight w:val="none"/>
          <w14:textFill>
            <w14:solidFill>
              <w14:schemeClr w14:val="tx1"/>
            </w14:solidFill>
          </w14:textFill>
        </w:rPr>
        <w:t>α，计数率</w:t>
      </w:r>
      <w:r>
        <w:rPr>
          <w:rFonts w:ascii="Times New Roman" w:hAnsi="Times New Roman" w:cs="宋体"/>
          <w:b w:val="0"/>
          <w:bCs w:val="0"/>
          <w:color w:val="000000" w:themeColor="text1"/>
          <w:sz w:val="24"/>
          <w:highlight w:val="none"/>
          <w14:textFill>
            <w14:solidFill>
              <w14:schemeClr w14:val="tx1"/>
            </w14:solidFill>
          </w14:textFill>
        </w:rPr>
        <w:t>≥</w:t>
      </w:r>
      <w:r>
        <w:rPr>
          <w:rFonts w:hint="eastAsia" w:ascii="Times New Roman" w:hAnsi="Times New Roman" w:cs="宋体"/>
          <w:b w:val="0"/>
          <w:bCs w:val="0"/>
          <w:color w:val="000000" w:themeColor="text1"/>
          <w:sz w:val="24"/>
          <w:highlight w:val="none"/>
          <w14:textFill>
            <w14:solidFill>
              <w14:schemeClr w14:val="tx1"/>
            </w14:solidFill>
          </w14:textFill>
        </w:rPr>
        <w:t xml:space="preserve"> </w:t>
      </w:r>
      <w:r>
        <w:rPr>
          <w:rFonts w:ascii="Times New Roman" w:hAnsi="Times New Roman" w:cs="宋体"/>
          <w:b w:val="0"/>
          <w:bCs w:val="0"/>
          <w:color w:val="000000" w:themeColor="text1"/>
          <w:sz w:val="24"/>
          <w:highlight w:val="none"/>
          <w14:textFill>
            <w14:solidFill>
              <w14:schemeClr w14:val="tx1"/>
            </w14:solidFill>
          </w14:textFill>
        </w:rPr>
        <w:t>1000Kcps</w:t>
      </w:r>
      <w:r>
        <w:rPr>
          <w:rFonts w:hint="eastAsia" w:ascii="Times New Roman" w:hAnsi="Times New Roman" w:cs="宋体"/>
          <w:b w:val="0"/>
          <w:bCs w:val="0"/>
          <w:color w:val="000000" w:themeColor="text1"/>
          <w:sz w:val="24"/>
          <w:highlight w:val="none"/>
          <w14:textFill>
            <w14:solidFill>
              <w14:schemeClr w14:val="tx1"/>
            </w14:solidFill>
          </w14:textFill>
        </w:rPr>
        <w:t>；</w:t>
      </w:r>
    </w:p>
    <w:p w14:paraId="3D02F5E5">
      <w:pPr>
        <w:spacing w:line="360" w:lineRule="auto"/>
        <w:rPr>
          <w:rFonts w:hint="eastAsia" w:ascii="Times New Roman" w:hAnsi="Times New Roman" w:cs="宋体"/>
          <w:b w:val="0"/>
          <w:bCs w:val="0"/>
          <w:color w:val="000000" w:themeColor="text1"/>
          <w:sz w:val="24"/>
          <w:highlight w:val="none"/>
          <w14:textFill>
            <w14:solidFill>
              <w14:schemeClr w14:val="tx1"/>
            </w14:solidFill>
          </w14:textFill>
        </w:rPr>
      </w:pPr>
      <w:r>
        <w:rPr>
          <w:rFonts w:hint="eastAsia" w:ascii="Times New Roman" w:hAnsi="Times New Roman" w:cs="宋体"/>
          <w:b w:val="0"/>
          <w:bCs w:val="0"/>
          <w:color w:val="000000" w:themeColor="text1"/>
          <w:sz w:val="24"/>
          <w:highlight w:val="none"/>
          <w14:textFill>
            <w14:solidFill>
              <w14:schemeClr w14:val="tx1"/>
            </w14:solidFill>
          </w14:textFill>
        </w:rPr>
        <w:t>3</w:t>
      </w:r>
      <w:r>
        <w:rPr>
          <w:rFonts w:ascii="Times New Roman" w:hAnsi="Times New Roman" w:cs="宋体"/>
          <w:b w:val="0"/>
          <w:bCs w:val="0"/>
          <w:color w:val="000000" w:themeColor="text1"/>
          <w:sz w:val="24"/>
          <w:highlight w:val="none"/>
          <w14:textFill>
            <w14:solidFill>
              <w14:schemeClr w14:val="tx1"/>
            </w14:solidFill>
          </w14:textFill>
        </w:rPr>
        <w:t>.</w:t>
      </w:r>
      <w:r>
        <w:rPr>
          <w:rFonts w:hint="eastAsia" w:ascii="Times New Roman" w:hAnsi="Times New Roman" w:cs="宋体"/>
          <w:b w:val="0"/>
          <w:bCs w:val="0"/>
          <w:color w:val="000000" w:themeColor="text1"/>
          <w:sz w:val="24"/>
          <w:highlight w:val="none"/>
          <w14:textFill>
            <w14:solidFill>
              <w14:schemeClr w14:val="tx1"/>
            </w14:solidFill>
          </w14:textFill>
        </w:rPr>
        <w:t>5射线安全：仪器周围</w:t>
      </w:r>
      <w:r>
        <w:rPr>
          <w:rFonts w:ascii="Times New Roman" w:hAnsi="Times New Roman" w:cs="宋体"/>
          <w:b w:val="0"/>
          <w:bCs w:val="0"/>
          <w:color w:val="000000" w:themeColor="text1"/>
          <w:sz w:val="24"/>
          <w:highlight w:val="none"/>
          <w14:textFill>
            <w14:solidFill>
              <w14:schemeClr w14:val="tx1"/>
            </w14:solidFill>
          </w14:textFill>
        </w:rPr>
        <w:t>5cm</w:t>
      </w:r>
      <w:r>
        <w:rPr>
          <w:rFonts w:hint="eastAsia" w:ascii="Times New Roman" w:hAnsi="Times New Roman" w:cs="宋体"/>
          <w:b w:val="0"/>
          <w:bCs w:val="0"/>
          <w:color w:val="000000" w:themeColor="text1"/>
          <w:sz w:val="24"/>
          <w:highlight w:val="none"/>
          <w14:textFill>
            <w14:solidFill>
              <w14:schemeClr w14:val="tx1"/>
            </w14:solidFill>
          </w14:textFill>
        </w:rPr>
        <w:t>内辐射值＜ 3</w:t>
      </w:r>
      <w:bookmarkStart w:id="3" w:name="OLE_LINK12"/>
      <w:r>
        <w:rPr>
          <w:rFonts w:hint="eastAsia" w:ascii="Times New Roman" w:hAnsi="Times New Roman" w:cs="宋体"/>
          <w:b w:val="0"/>
          <w:bCs w:val="0"/>
          <w:color w:val="000000" w:themeColor="text1"/>
          <w:sz w:val="24"/>
          <w:highlight w:val="none"/>
          <w14:textFill>
            <w14:solidFill>
              <w14:schemeClr w14:val="tx1"/>
            </w14:solidFill>
          </w14:textFill>
        </w:rPr>
        <w:t>μGy/</w:t>
      </w:r>
      <w:bookmarkEnd w:id="3"/>
      <w:r>
        <w:rPr>
          <w:rFonts w:hint="eastAsia" w:ascii="Times New Roman" w:hAnsi="Times New Roman" w:cs="宋体"/>
          <w:b w:val="0"/>
          <w:bCs w:val="0"/>
          <w:color w:val="000000" w:themeColor="text1"/>
          <w:sz w:val="24"/>
          <w:highlight w:val="none"/>
          <w14:textFill>
            <w14:solidFill>
              <w14:schemeClr w14:val="tx1"/>
            </w14:solidFill>
          </w14:textFill>
        </w:rPr>
        <w:t>h；（提供第三方出具加盖CMA或者CNAS章的辐射检测报告）</w:t>
      </w:r>
    </w:p>
    <w:p w14:paraId="35A0298F">
      <w:pPr>
        <w:spacing w:line="360" w:lineRule="auto"/>
        <w:rPr>
          <w:rFonts w:hint="eastAsia" w:ascii="Times New Roman" w:hAnsi="Times New Roman" w:cs="宋体"/>
          <w:b w:val="0"/>
          <w:bCs w:val="0"/>
          <w:color w:val="000000" w:themeColor="text1"/>
          <w:sz w:val="24"/>
          <w:highlight w:val="none"/>
          <w14:textFill>
            <w14:solidFill>
              <w14:schemeClr w14:val="tx1"/>
            </w14:solidFill>
          </w14:textFill>
        </w:rPr>
      </w:pPr>
      <w:r>
        <w:rPr>
          <w:rFonts w:hint="eastAsia" w:ascii="Times New Roman" w:hAnsi="Times New Roman" w:cs="宋体"/>
          <w:b w:val="0"/>
          <w:bCs w:val="0"/>
          <w:color w:val="000000" w:themeColor="text1"/>
          <w:sz w:val="24"/>
          <w:highlight w:val="none"/>
          <w14:textFill>
            <w14:solidFill>
              <w14:schemeClr w14:val="tx1"/>
            </w14:solidFill>
          </w14:textFill>
        </w:rPr>
        <w:t>3</w:t>
      </w:r>
      <w:r>
        <w:rPr>
          <w:rFonts w:ascii="Times New Roman" w:hAnsi="Times New Roman" w:cs="宋体"/>
          <w:b w:val="0"/>
          <w:bCs w:val="0"/>
          <w:color w:val="000000" w:themeColor="text1"/>
          <w:sz w:val="24"/>
          <w:highlight w:val="none"/>
          <w14:textFill>
            <w14:solidFill>
              <w14:schemeClr w14:val="tx1"/>
            </w14:solidFill>
          </w14:textFill>
        </w:rPr>
        <w:t>.</w:t>
      </w:r>
      <w:r>
        <w:rPr>
          <w:rFonts w:hint="eastAsia" w:ascii="Times New Roman" w:hAnsi="Times New Roman" w:cs="宋体"/>
          <w:b w:val="0"/>
          <w:bCs w:val="0"/>
          <w:color w:val="000000" w:themeColor="text1"/>
          <w:sz w:val="24"/>
          <w:highlight w:val="none"/>
          <w14:textFill>
            <w14:solidFill>
              <w14:schemeClr w14:val="tx1"/>
            </w14:solidFill>
          </w14:textFill>
        </w:rPr>
        <w:t>6光路气氛保护：气氛保护系统，气路具有湿度、流u量监测功能；</w:t>
      </w:r>
    </w:p>
    <w:p w14:paraId="5C6724D8">
      <w:pPr>
        <w:spacing w:line="360" w:lineRule="auto"/>
        <w:rPr>
          <w:rFonts w:hint="eastAsia" w:ascii="Times New Roman" w:hAnsi="Times New Roman" w:cs="宋体"/>
          <w:b w:val="0"/>
          <w:bCs w:val="0"/>
          <w:color w:val="000000" w:themeColor="text1"/>
          <w:sz w:val="24"/>
          <w:highlight w:val="none"/>
          <w14:textFill>
            <w14:solidFill>
              <w14:schemeClr w14:val="tx1"/>
            </w14:solidFill>
          </w14:textFill>
        </w:rPr>
      </w:pPr>
      <w:r>
        <w:rPr>
          <w:rFonts w:hint="eastAsia" w:cs="宋体"/>
          <w:b w:val="0"/>
          <w:bCs w:val="0"/>
          <w:color w:val="000000" w:themeColor="text1"/>
          <w:sz w:val="24"/>
          <w:highlight w:val="none"/>
          <w:lang w:eastAsia="zh-CN"/>
          <w14:textFill>
            <w14:solidFill>
              <w14:schemeClr w14:val="tx1"/>
            </w14:solidFill>
          </w14:textFill>
        </w:rPr>
        <w:t>★</w:t>
      </w:r>
      <w:r>
        <w:rPr>
          <w:rFonts w:hint="eastAsia" w:ascii="Times New Roman" w:hAnsi="Times New Roman" w:cs="宋体"/>
          <w:b w:val="0"/>
          <w:bCs w:val="0"/>
          <w:color w:val="000000" w:themeColor="text1"/>
          <w:sz w:val="24"/>
          <w:highlight w:val="none"/>
          <w14:textFill>
            <w14:solidFill>
              <w14:schemeClr w14:val="tx1"/>
            </w14:solidFill>
          </w14:textFill>
        </w:rPr>
        <w:t>3</w:t>
      </w:r>
      <w:r>
        <w:rPr>
          <w:rFonts w:ascii="Times New Roman" w:hAnsi="Times New Roman" w:cs="宋体"/>
          <w:b w:val="0"/>
          <w:bCs w:val="0"/>
          <w:color w:val="000000" w:themeColor="text1"/>
          <w:sz w:val="24"/>
          <w:highlight w:val="none"/>
          <w14:textFill>
            <w14:solidFill>
              <w14:schemeClr w14:val="tx1"/>
            </w14:solidFill>
          </w14:textFill>
        </w:rPr>
        <w:t>.</w:t>
      </w:r>
      <w:r>
        <w:rPr>
          <w:rFonts w:hint="eastAsia" w:ascii="Times New Roman" w:hAnsi="Times New Roman" w:cs="宋体"/>
          <w:b w:val="0"/>
          <w:bCs w:val="0"/>
          <w:color w:val="000000" w:themeColor="text1"/>
          <w:sz w:val="24"/>
          <w:highlight w:val="none"/>
          <w14:textFill>
            <w14:solidFill>
              <w14:schemeClr w14:val="tx1"/>
            </w14:solidFill>
          </w14:textFill>
        </w:rPr>
        <w:t>7自动进样器位数：</w:t>
      </w:r>
      <w:r>
        <w:rPr>
          <w:rFonts w:ascii="Times New Roman" w:hAnsi="Times New Roman" w:cs="宋体"/>
          <w:b w:val="0"/>
          <w:bCs w:val="0"/>
          <w:color w:val="000000" w:themeColor="text1"/>
          <w:sz w:val="24"/>
          <w:highlight w:val="none"/>
          <w14:textFill>
            <w14:solidFill>
              <w14:schemeClr w14:val="tx1"/>
            </w14:solidFill>
          </w14:textFill>
        </w:rPr>
        <w:t>≥90</w:t>
      </w:r>
      <w:r>
        <w:rPr>
          <w:rFonts w:hint="eastAsia" w:ascii="Times New Roman" w:hAnsi="Times New Roman" w:cs="宋体"/>
          <w:b w:val="0"/>
          <w:bCs w:val="0"/>
          <w:color w:val="000000" w:themeColor="text1"/>
          <w:sz w:val="24"/>
          <w:highlight w:val="none"/>
          <w14:textFill>
            <w14:solidFill>
              <w14:schemeClr w14:val="tx1"/>
            </w14:solidFill>
          </w14:textFill>
        </w:rPr>
        <w:t>位；</w:t>
      </w:r>
    </w:p>
    <w:p w14:paraId="7BFD60C3">
      <w:pPr>
        <w:spacing w:line="360" w:lineRule="auto"/>
        <w:rPr>
          <w:rFonts w:hint="eastAsia" w:ascii="Times New Roman" w:hAnsi="Times New Roman" w:cs="宋体"/>
          <w:b w:val="0"/>
          <w:bCs w:val="0"/>
          <w:color w:val="000000" w:themeColor="text1"/>
          <w:sz w:val="24"/>
          <w:highlight w:val="none"/>
          <w14:textFill>
            <w14:solidFill>
              <w14:schemeClr w14:val="tx1"/>
            </w14:solidFill>
          </w14:textFill>
        </w:rPr>
      </w:pPr>
      <w:r>
        <w:rPr>
          <w:rFonts w:hint="eastAsia" w:ascii="Times New Roman" w:hAnsi="Times New Roman" w:cs="宋体"/>
          <w:b w:val="0"/>
          <w:bCs w:val="0"/>
          <w:color w:val="000000" w:themeColor="text1"/>
          <w:sz w:val="24"/>
          <w:highlight w:val="none"/>
          <w14:textFill>
            <w14:solidFill>
              <w14:schemeClr w14:val="tx1"/>
            </w14:solidFill>
          </w14:textFill>
        </w:rPr>
        <w:t>3</w:t>
      </w:r>
      <w:r>
        <w:rPr>
          <w:rFonts w:ascii="Times New Roman" w:hAnsi="Times New Roman" w:cs="宋体"/>
          <w:b w:val="0"/>
          <w:bCs w:val="0"/>
          <w:color w:val="000000" w:themeColor="text1"/>
          <w:sz w:val="24"/>
          <w:highlight w:val="none"/>
          <w14:textFill>
            <w14:solidFill>
              <w14:schemeClr w14:val="tx1"/>
            </w14:solidFill>
          </w14:textFill>
        </w:rPr>
        <w:t>.</w:t>
      </w:r>
      <w:r>
        <w:rPr>
          <w:rFonts w:hint="eastAsia" w:ascii="Times New Roman" w:hAnsi="Times New Roman" w:cs="宋体"/>
          <w:b w:val="0"/>
          <w:bCs w:val="0"/>
          <w:color w:val="000000" w:themeColor="text1"/>
          <w:sz w:val="24"/>
          <w:highlight w:val="none"/>
          <w14:textFill>
            <w14:solidFill>
              <w14:schemeClr w14:val="tx1"/>
            </w14:solidFill>
          </w14:textFill>
        </w:rPr>
        <w:t>8全息基本参数法软件功能：仪器硬件状态全景参数配置与显示，仪器控制，谱图显示，基本参数法参数编辑，数据存储与查询，谱图存储与比较，故障诊断等。</w:t>
      </w:r>
    </w:p>
    <w:p w14:paraId="42760111">
      <w:pPr>
        <w:spacing w:line="360" w:lineRule="auto"/>
        <w:rPr>
          <w:rFonts w:hint="eastAsia" w:ascii="Times New Roman" w:hAnsi="Times New Roman" w:cs="宋体"/>
          <w:b w:val="0"/>
          <w:bCs w:val="0"/>
          <w:color w:val="000000" w:themeColor="text1"/>
          <w:sz w:val="24"/>
          <w:highlight w:val="none"/>
          <w14:textFill>
            <w14:solidFill>
              <w14:schemeClr w14:val="tx1"/>
            </w14:solidFill>
          </w14:textFill>
        </w:rPr>
      </w:pPr>
      <w:r>
        <w:rPr>
          <w:rFonts w:hint="eastAsia" w:ascii="Times New Roman" w:hAnsi="Times New Roman" w:cs="宋体"/>
          <w:b w:val="0"/>
          <w:bCs w:val="0"/>
          <w:color w:val="000000" w:themeColor="text1"/>
          <w:sz w:val="24"/>
          <w:highlight w:val="none"/>
          <w14:textFill>
            <w14:solidFill>
              <w14:schemeClr w14:val="tx1"/>
            </w14:solidFill>
          </w14:textFill>
        </w:rPr>
        <w:t>3.9分析性能参数要求</w:t>
      </w:r>
    </w:p>
    <w:p w14:paraId="4413B621">
      <w:pPr>
        <w:spacing w:line="360" w:lineRule="auto"/>
        <w:ind w:firstLine="480" w:firstLineChars="200"/>
        <w:rPr>
          <w:rFonts w:hint="eastAsia" w:ascii="Times New Roman" w:hAnsi="Times New Roman" w:cs="宋体"/>
          <w:b w:val="0"/>
          <w:bCs w:val="0"/>
          <w:color w:val="000000" w:themeColor="text1"/>
          <w:sz w:val="24"/>
          <w:highlight w:val="none"/>
          <w14:textFill>
            <w14:solidFill>
              <w14:schemeClr w14:val="tx1"/>
            </w14:solidFill>
          </w14:textFill>
        </w:rPr>
      </w:pPr>
      <w:bookmarkStart w:id="4" w:name="OLE_LINK6"/>
      <w:r>
        <w:rPr>
          <w:rFonts w:ascii="Times New Roman" w:hAnsi="Times New Roman"/>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3.</w:t>
      </w:r>
      <w:bookmarkStart w:id="5" w:name="OLE_LINK3"/>
      <w:r>
        <w:rPr>
          <w:rFonts w:hint="eastAsia" w:ascii="Times New Roman" w:hAnsi="Times New Roman" w:cs="宋体"/>
          <w:b w:val="0"/>
          <w:bCs w:val="0"/>
          <w:color w:val="000000" w:themeColor="text1"/>
          <w:sz w:val="24"/>
          <w:highlight w:val="none"/>
          <w14:textFill>
            <w14:solidFill>
              <w14:schemeClr w14:val="tx1"/>
            </w14:solidFill>
          </w14:textFill>
        </w:rPr>
        <w:t>9.1</w:t>
      </w:r>
      <w:bookmarkEnd w:id="4"/>
      <w:r>
        <w:rPr>
          <w:rFonts w:hint="eastAsia" w:ascii="Times New Roman" w:hAnsi="Times New Roman" w:cs="宋体"/>
          <w:b w:val="0"/>
          <w:bCs w:val="0"/>
          <w:color w:val="000000" w:themeColor="text1"/>
          <w:sz w:val="24"/>
          <w:highlight w:val="none"/>
          <w14:textFill>
            <w14:solidFill>
              <w14:schemeClr w14:val="tx1"/>
            </w14:solidFill>
          </w14:textFill>
        </w:rPr>
        <w:t>元素分析范围：</w:t>
      </w:r>
      <w:r>
        <w:rPr>
          <w:rFonts w:ascii="Times New Roman" w:hAnsi="Times New Roman" w:cs="宋体"/>
          <w:b w:val="0"/>
          <w:bCs w:val="0"/>
          <w:color w:val="000000" w:themeColor="text1"/>
          <w:sz w:val="24"/>
          <w:highlight w:val="none"/>
          <w14:textFill>
            <w14:solidFill>
              <w14:schemeClr w14:val="tx1"/>
            </w14:solidFill>
          </w14:textFill>
        </w:rPr>
        <w:t>C</w:t>
      </w:r>
      <w:r>
        <w:rPr>
          <w:rFonts w:hint="eastAsia" w:ascii="Times New Roman" w:hAnsi="Times New Roman" w:cs="宋体"/>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U</w:t>
      </w:r>
      <w:r>
        <w:rPr>
          <w:rFonts w:hint="eastAsia" w:ascii="Times New Roman" w:hAnsi="Times New Roman" w:cs="宋体"/>
          <w:b w:val="0"/>
          <w:bCs w:val="0"/>
          <w:color w:val="000000" w:themeColor="text1"/>
          <w:sz w:val="24"/>
          <w:highlight w:val="none"/>
          <w14:textFill>
            <w14:solidFill>
              <w14:schemeClr w14:val="tx1"/>
            </w14:solidFill>
          </w14:textFill>
        </w:rPr>
        <w:t>；</w:t>
      </w:r>
    </w:p>
    <w:p w14:paraId="433ED85F">
      <w:pPr>
        <w:spacing w:line="360" w:lineRule="auto"/>
        <w:ind w:firstLine="480" w:firstLineChars="200"/>
        <w:rPr>
          <w:rFonts w:hint="eastAsia" w:ascii="Times New Roman" w:hAnsi="Times New Roman" w:cs="宋体"/>
          <w:b w:val="0"/>
          <w:bCs w:val="0"/>
          <w:color w:val="000000" w:themeColor="text1"/>
          <w:sz w:val="24"/>
          <w:highlight w:val="none"/>
          <w14:textFill>
            <w14:solidFill>
              <w14:schemeClr w14:val="tx1"/>
            </w14:solidFill>
          </w14:textFill>
        </w:rPr>
      </w:pPr>
      <w:r>
        <w:rPr>
          <w:rFonts w:ascii="Times New Roman" w:hAnsi="Times New Roman" w:cs="宋体"/>
          <w:b w:val="0"/>
          <w:bCs w:val="0"/>
          <w:color w:val="000000" w:themeColor="text1"/>
          <w:sz w:val="24"/>
          <w:highlight w:val="none"/>
          <w14:textFill>
            <w14:solidFill>
              <w14:schemeClr w14:val="tx1"/>
            </w14:solidFill>
          </w14:textFill>
        </w:rPr>
        <w:t>3.</w:t>
      </w:r>
      <w:r>
        <w:rPr>
          <w:rFonts w:hint="eastAsia" w:ascii="Times New Roman" w:hAnsi="Times New Roman" w:cs="宋体"/>
          <w:b w:val="0"/>
          <w:bCs w:val="0"/>
          <w:color w:val="000000" w:themeColor="text1"/>
          <w:sz w:val="24"/>
          <w:highlight w:val="none"/>
          <w14:textFill>
            <w14:solidFill>
              <w14:schemeClr w14:val="tx1"/>
            </w14:solidFill>
          </w14:textFill>
        </w:rPr>
        <w:t>9.2元素检出限</w:t>
      </w:r>
    </w:p>
    <w:p w14:paraId="5CFF79D2">
      <w:pPr>
        <w:spacing w:line="360" w:lineRule="auto"/>
        <w:ind w:firstLine="720" w:firstLineChars="300"/>
        <w:rPr>
          <w:rFonts w:hint="eastAsia" w:ascii="Times New Roman" w:hAnsi="Times New Roman" w:cs="宋体"/>
          <w:b w:val="0"/>
          <w:bCs w:val="0"/>
          <w:color w:val="000000" w:themeColor="text1"/>
          <w:sz w:val="24"/>
          <w:highlight w:val="none"/>
          <w14:textFill>
            <w14:solidFill>
              <w14:schemeClr w14:val="tx1"/>
            </w14:solidFill>
          </w14:textFill>
        </w:rPr>
      </w:pPr>
      <w:bookmarkStart w:id="6" w:name="_Hlk209456513"/>
      <w:r>
        <w:rPr>
          <w:rFonts w:hint="eastAsia" w:ascii="Times New Roman" w:hAnsi="Times New Roman" w:cs="宋体"/>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3.</w:t>
      </w:r>
      <w:r>
        <w:rPr>
          <w:rFonts w:hint="eastAsia" w:ascii="Times New Roman" w:hAnsi="Times New Roman" w:cs="宋体"/>
          <w:b w:val="0"/>
          <w:bCs w:val="0"/>
          <w:color w:val="000000" w:themeColor="text1"/>
          <w:sz w:val="24"/>
          <w:highlight w:val="none"/>
          <w14:textFill>
            <w14:solidFill>
              <w14:schemeClr w14:val="tx1"/>
            </w14:solidFill>
          </w14:textFill>
        </w:rPr>
        <w:t>9.2.1超轻元素（</w:t>
      </w:r>
      <w:r>
        <w:rPr>
          <w:rFonts w:ascii="Times New Roman" w:hAnsi="Times New Roman" w:cs="宋体"/>
          <w:b w:val="0"/>
          <w:bCs w:val="0"/>
          <w:color w:val="000000" w:themeColor="text1"/>
          <w:sz w:val="24"/>
          <w:highlight w:val="none"/>
          <w14:textFill>
            <w14:solidFill>
              <w14:schemeClr w14:val="tx1"/>
            </w14:solidFill>
          </w14:textFill>
        </w:rPr>
        <w:t>C</w:t>
      </w:r>
      <w:r>
        <w:rPr>
          <w:rFonts w:hint="eastAsia" w:ascii="Times New Roman" w:hAnsi="Times New Roman" w:cs="宋体"/>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F</w:t>
      </w:r>
      <w:r>
        <w:rPr>
          <w:rFonts w:hint="eastAsia" w:ascii="Times New Roman" w:hAnsi="Times New Roman" w:cs="宋体"/>
          <w:b w:val="0"/>
          <w:bCs w:val="0"/>
          <w:color w:val="000000" w:themeColor="text1"/>
          <w:sz w:val="24"/>
          <w:highlight w:val="none"/>
          <w14:textFill>
            <w14:solidFill>
              <w14:schemeClr w14:val="tx1"/>
            </w14:solidFill>
          </w14:textFill>
        </w:rPr>
        <w:t>）：C</w:t>
      </w:r>
      <w:r>
        <w:rPr>
          <w:rFonts w:ascii="Times New Roman" w:hAnsi="Times New Roman" w:cs="宋体"/>
          <w:b w:val="0"/>
          <w:bCs w:val="0"/>
          <w:color w:val="000000" w:themeColor="text1"/>
          <w:sz w:val="24"/>
          <w:highlight w:val="none"/>
          <w14:textFill>
            <w14:solidFill>
              <w14:schemeClr w14:val="tx1"/>
            </w14:solidFill>
          </w14:textFill>
        </w:rPr>
        <w:t>-LOD</w:t>
      </w:r>
      <w:r>
        <w:rPr>
          <w:rFonts w:hint="eastAsia" w:ascii="Times New Roman" w:hAnsi="Times New Roman" w:cs="宋体"/>
          <w:b w:val="0"/>
          <w:bCs w:val="0"/>
          <w:color w:val="000000" w:themeColor="text1"/>
          <w:sz w:val="24"/>
          <w:highlight w:val="none"/>
          <w14:textFill>
            <w14:solidFill>
              <w14:schemeClr w14:val="tx1"/>
            </w14:solidFill>
          </w14:textFill>
        </w:rPr>
        <w:t>＜ 1</w:t>
      </w:r>
      <w:r>
        <w:rPr>
          <w:rFonts w:ascii="Times New Roman" w:hAnsi="Times New Roman" w:cs="宋体"/>
          <w:b w:val="0"/>
          <w:bCs w:val="0"/>
          <w:color w:val="000000" w:themeColor="text1"/>
          <w:sz w:val="24"/>
          <w:highlight w:val="none"/>
          <w14:textFill>
            <w14:solidFill>
              <w14:schemeClr w14:val="tx1"/>
            </w14:solidFill>
          </w14:textFill>
        </w:rPr>
        <w:t>%</w:t>
      </w:r>
      <w:r>
        <w:rPr>
          <w:rFonts w:hint="eastAsia" w:ascii="Times New Roman" w:hAnsi="Times New Roman" w:cs="宋体"/>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O-LOD</w:t>
      </w:r>
      <w:r>
        <w:rPr>
          <w:rFonts w:hint="eastAsia" w:ascii="Times New Roman" w:hAnsi="Times New Roman" w:cs="宋体"/>
          <w:b w:val="0"/>
          <w:bCs w:val="0"/>
          <w:color w:val="000000" w:themeColor="text1"/>
          <w:sz w:val="24"/>
          <w:highlight w:val="none"/>
          <w14:textFill>
            <w14:solidFill>
              <w14:schemeClr w14:val="tx1"/>
            </w14:solidFill>
          </w14:textFill>
        </w:rPr>
        <w:t xml:space="preserve">＜ </w:t>
      </w:r>
      <w:r>
        <w:rPr>
          <w:rFonts w:ascii="Times New Roman" w:hAnsi="Times New Roman" w:cs="宋体"/>
          <w:b w:val="0"/>
          <w:bCs w:val="0"/>
          <w:color w:val="000000" w:themeColor="text1"/>
          <w:sz w:val="24"/>
          <w:highlight w:val="none"/>
          <w14:textFill>
            <w14:solidFill>
              <w14:schemeClr w14:val="tx1"/>
            </w14:solidFill>
          </w14:textFill>
        </w:rPr>
        <w:t>0.2</w:t>
      </w:r>
      <w:r>
        <w:rPr>
          <w:rFonts w:hint="eastAsia" w:ascii="Times New Roman" w:hAnsi="Times New Roman" w:cs="宋体"/>
          <w:b w:val="0"/>
          <w:bCs w:val="0"/>
          <w:color w:val="000000" w:themeColor="text1"/>
          <w:sz w:val="24"/>
          <w:highlight w:val="none"/>
          <w14:textFill>
            <w14:solidFill>
              <w14:schemeClr w14:val="tx1"/>
            </w14:solidFill>
          </w14:textFill>
        </w:rPr>
        <w:t>5</w:t>
      </w:r>
      <w:r>
        <w:rPr>
          <w:rFonts w:ascii="Times New Roman" w:hAnsi="Times New Roman" w:cs="宋体"/>
          <w:b w:val="0"/>
          <w:bCs w:val="0"/>
          <w:color w:val="000000" w:themeColor="text1"/>
          <w:sz w:val="24"/>
          <w:highlight w:val="none"/>
          <w14:textFill>
            <w14:solidFill>
              <w14:schemeClr w14:val="tx1"/>
            </w14:solidFill>
          </w14:textFill>
        </w:rPr>
        <w:t>%</w:t>
      </w:r>
      <w:r>
        <w:rPr>
          <w:rFonts w:hint="eastAsia" w:ascii="Times New Roman" w:hAnsi="Times New Roman" w:cs="宋体"/>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F-LOD</w:t>
      </w:r>
      <w:r>
        <w:rPr>
          <w:rFonts w:hint="eastAsia" w:ascii="Times New Roman" w:hAnsi="Times New Roman" w:cs="宋体"/>
          <w:b w:val="0"/>
          <w:bCs w:val="0"/>
          <w:color w:val="000000" w:themeColor="text1"/>
          <w:sz w:val="24"/>
          <w:highlight w:val="none"/>
          <w14:textFill>
            <w14:solidFill>
              <w14:schemeClr w14:val="tx1"/>
            </w14:solidFill>
          </w14:textFill>
        </w:rPr>
        <w:t xml:space="preserve">＜ </w:t>
      </w:r>
      <w:r>
        <w:rPr>
          <w:rFonts w:ascii="Times New Roman" w:hAnsi="Times New Roman" w:cs="宋体"/>
          <w:b w:val="0"/>
          <w:bCs w:val="0"/>
          <w:color w:val="000000" w:themeColor="text1"/>
          <w:sz w:val="24"/>
          <w:highlight w:val="none"/>
          <w14:textFill>
            <w14:solidFill>
              <w14:schemeClr w14:val="tx1"/>
            </w14:solidFill>
          </w14:textFill>
        </w:rPr>
        <w:t>0.10%</w:t>
      </w:r>
      <w:r>
        <w:rPr>
          <w:rFonts w:hint="eastAsia" w:ascii="Times New Roman" w:hAnsi="Times New Roman" w:cs="宋体"/>
          <w:b w:val="0"/>
          <w:bCs w:val="0"/>
          <w:color w:val="000000" w:themeColor="text1"/>
          <w:sz w:val="24"/>
          <w:highlight w:val="none"/>
          <w14:textFill>
            <w14:solidFill>
              <w14:schemeClr w14:val="tx1"/>
            </w14:solidFill>
          </w14:textFill>
        </w:rPr>
        <w:t>；</w:t>
      </w:r>
    </w:p>
    <w:p w14:paraId="4FF147CD">
      <w:pPr>
        <w:spacing w:line="360" w:lineRule="auto"/>
        <w:ind w:firstLine="720" w:firstLineChars="300"/>
        <w:rPr>
          <w:rFonts w:hint="eastAsia" w:ascii="Times New Roman" w:hAnsi="Times New Roman" w:cs="宋体"/>
          <w:b w:val="0"/>
          <w:bCs w:val="0"/>
          <w:color w:val="000000" w:themeColor="text1"/>
          <w:sz w:val="24"/>
          <w:highlight w:val="none"/>
          <w14:textFill>
            <w14:solidFill>
              <w14:schemeClr w14:val="tx1"/>
            </w14:solidFill>
          </w14:textFill>
        </w:rPr>
      </w:pPr>
      <w:r>
        <w:rPr>
          <w:rFonts w:hint="eastAsia" w:ascii="Times New Roman" w:hAnsi="Times New Roman" w:cs="宋体"/>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3.</w:t>
      </w:r>
      <w:r>
        <w:rPr>
          <w:rFonts w:hint="eastAsia" w:ascii="Times New Roman" w:hAnsi="Times New Roman" w:cs="宋体"/>
          <w:b w:val="0"/>
          <w:bCs w:val="0"/>
          <w:color w:val="000000" w:themeColor="text1"/>
          <w:sz w:val="24"/>
          <w:highlight w:val="none"/>
          <w14:textFill>
            <w14:solidFill>
              <w14:schemeClr w14:val="tx1"/>
            </w14:solidFill>
          </w14:textFill>
        </w:rPr>
        <w:t>9.2.2轻元素（</w:t>
      </w:r>
      <w:r>
        <w:rPr>
          <w:rFonts w:ascii="Times New Roman" w:hAnsi="Times New Roman" w:cs="宋体"/>
          <w:b w:val="0"/>
          <w:bCs w:val="0"/>
          <w:color w:val="000000" w:themeColor="text1"/>
          <w:sz w:val="24"/>
          <w:highlight w:val="none"/>
          <w14:textFill>
            <w14:solidFill>
              <w14:schemeClr w14:val="tx1"/>
            </w14:solidFill>
          </w14:textFill>
        </w:rPr>
        <w:t>Na</w:t>
      </w:r>
      <w:r>
        <w:rPr>
          <w:rFonts w:hint="eastAsia" w:ascii="Times New Roman" w:hAnsi="Times New Roman" w:cs="宋体"/>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Cl</w:t>
      </w:r>
      <w:r>
        <w:rPr>
          <w:rFonts w:hint="eastAsia" w:ascii="Times New Roman" w:hAnsi="Times New Roman" w:cs="宋体"/>
          <w:b w:val="0"/>
          <w:bCs w:val="0"/>
          <w:color w:val="000000" w:themeColor="text1"/>
          <w:sz w:val="24"/>
          <w:highlight w:val="none"/>
          <w14:textFill>
            <w14:solidFill>
              <w14:schemeClr w14:val="tx1"/>
            </w14:solidFill>
          </w14:textFill>
        </w:rPr>
        <w:t>）：Na</w:t>
      </w:r>
      <w:r>
        <w:rPr>
          <w:rFonts w:ascii="Times New Roman" w:hAnsi="Times New Roman" w:cs="宋体"/>
          <w:b w:val="0"/>
          <w:bCs w:val="0"/>
          <w:color w:val="000000" w:themeColor="text1"/>
          <w:sz w:val="24"/>
          <w:highlight w:val="none"/>
          <w14:textFill>
            <w14:solidFill>
              <w14:schemeClr w14:val="tx1"/>
            </w14:solidFill>
          </w14:textFill>
        </w:rPr>
        <w:t>-LOD</w:t>
      </w:r>
      <w:r>
        <w:rPr>
          <w:rFonts w:hint="eastAsia" w:ascii="Times New Roman" w:hAnsi="Times New Roman" w:cs="宋体"/>
          <w:b w:val="0"/>
          <w:bCs w:val="0"/>
          <w:color w:val="000000" w:themeColor="text1"/>
          <w:sz w:val="24"/>
          <w:highlight w:val="none"/>
          <w14:textFill>
            <w14:solidFill>
              <w14:schemeClr w14:val="tx1"/>
            </w14:solidFill>
          </w14:textFill>
        </w:rPr>
        <w:t>＜ 150</w:t>
      </w:r>
      <w:r>
        <w:rPr>
          <w:rFonts w:ascii="Times New Roman" w:hAnsi="Times New Roman" w:cs="宋体"/>
          <w:b w:val="0"/>
          <w:bCs w:val="0"/>
          <w:color w:val="000000" w:themeColor="text1"/>
          <w:sz w:val="24"/>
          <w:highlight w:val="none"/>
          <w14:textFill>
            <w14:solidFill>
              <w14:schemeClr w14:val="tx1"/>
            </w14:solidFill>
          </w14:textFill>
        </w:rPr>
        <w:t>mg/kg</w:t>
      </w:r>
      <w:r>
        <w:rPr>
          <w:rFonts w:hint="eastAsia" w:ascii="Times New Roman" w:hAnsi="Times New Roman" w:cs="宋体"/>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Si-LOD</w:t>
      </w:r>
      <w:r>
        <w:rPr>
          <w:rFonts w:hint="eastAsia" w:ascii="Times New Roman" w:hAnsi="Times New Roman" w:cs="宋体"/>
          <w:b w:val="0"/>
          <w:bCs w:val="0"/>
          <w:color w:val="000000" w:themeColor="text1"/>
          <w:sz w:val="24"/>
          <w:highlight w:val="none"/>
          <w14:textFill>
            <w14:solidFill>
              <w14:schemeClr w14:val="tx1"/>
            </w14:solidFill>
          </w14:textFill>
        </w:rPr>
        <w:t xml:space="preserve">＜ </w:t>
      </w:r>
      <w:r>
        <w:rPr>
          <w:rFonts w:ascii="Times New Roman" w:hAnsi="Times New Roman" w:cs="宋体"/>
          <w:b w:val="0"/>
          <w:bCs w:val="0"/>
          <w:color w:val="000000" w:themeColor="text1"/>
          <w:sz w:val="24"/>
          <w:highlight w:val="none"/>
          <w14:textFill>
            <w14:solidFill>
              <w14:schemeClr w14:val="tx1"/>
            </w14:solidFill>
          </w14:textFill>
        </w:rPr>
        <w:t>20mg/kg</w:t>
      </w:r>
      <w:r>
        <w:rPr>
          <w:rFonts w:hint="eastAsia" w:ascii="Times New Roman" w:hAnsi="Times New Roman" w:cs="宋体"/>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Cl-LOD</w:t>
      </w:r>
      <w:r>
        <w:rPr>
          <w:rFonts w:hint="eastAsia" w:ascii="Times New Roman" w:hAnsi="Times New Roman" w:cs="宋体"/>
          <w:b w:val="0"/>
          <w:bCs w:val="0"/>
          <w:color w:val="000000" w:themeColor="text1"/>
          <w:sz w:val="24"/>
          <w:highlight w:val="none"/>
          <w14:textFill>
            <w14:solidFill>
              <w14:schemeClr w14:val="tx1"/>
            </w14:solidFill>
          </w14:textFill>
        </w:rPr>
        <w:t xml:space="preserve">＜ </w:t>
      </w:r>
      <w:r>
        <w:rPr>
          <w:rFonts w:ascii="Times New Roman" w:hAnsi="Times New Roman" w:cs="宋体"/>
          <w:b w:val="0"/>
          <w:bCs w:val="0"/>
          <w:color w:val="000000" w:themeColor="text1"/>
          <w:sz w:val="24"/>
          <w:highlight w:val="none"/>
          <w14:textFill>
            <w14:solidFill>
              <w14:schemeClr w14:val="tx1"/>
            </w14:solidFill>
          </w14:textFill>
        </w:rPr>
        <w:t>2mg/kg</w:t>
      </w:r>
      <w:r>
        <w:rPr>
          <w:rFonts w:hint="eastAsia" w:ascii="Times New Roman" w:hAnsi="Times New Roman" w:cs="宋体"/>
          <w:b w:val="0"/>
          <w:bCs w:val="0"/>
          <w:color w:val="000000" w:themeColor="text1"/>
          <w:sz w:val="24"/>
          <w:highlight w:val="none"/>
          <w14:textFill>
            <w14:solidFill>
              <w14:schemeClr w14:val="tx1"/>
            </w14:solidFill>
          </w14:textFill>
        </w:rPr>
        <w:t>；</w:t>
      </w:r>
    </w:p>
    <w:p w14:paraId="765C6D7E">
      <w:pPr>
        <w:spacing w:line="360" w:lineRule="auto"/>
        <w:ind w:firstLine="720" w:firstLineChars="300"/>
        <w:rPr>
          <w:rFonts w:hint="eastAsia" w:ascii="Times New Roman" w:hAnsi="Times New Roman" w:cs="宋体"/>
          <w:b w:val="0"/>
          <w:bCs w:val="0"/>
          <w:color w:val="000000" w:themeColor="text1"/>
          <w:sz w:val="24"/>
          <w:highlight w:val="none"/>
          <w14:textFill>
            <w14:solidFill>
              <w14:schemeClr w14:val="tx1"/>
            </w14:solidFill>
          </w14:textFill>
        </w:rPr>
      </w:pPr>
      <w:r>
        <w:rPr>
          <w:rFonts w:ascii="Times New Roman" w:hAnsi="Times New Roman" w:cs="宋体"/>
          <w:b w:val="0"/>
          <w:bCs w:val="0"/>
          <w:color w:val="000000" w:themeColor="text1"/>
          <w:sz w:val="24"/>
          <w:highlight w:val="none"/>
          <w14:textFill>
            <w14:solidFill>
              <w14:schemeClr w14:val="tx1"/>
            </w14:solidFill>
          </w14:textFill>
        </w:rPr>
        <w:t>3.</w:t>
      </w:r>
      <w:r>
        <w:rPr>
          <w:rFonts w:hint="eastAsia" w:ascii="Times New Roman" w:hAnsi="Times New Roman" w:cs="宋体"/>
          <w:b w:val="0"/>
          <w:bCs w:val="0"/>
          <w:color w:val="000000" w:themeColor="text1"/>
          <w:sz w:val="24"/>
          <w:highlight w:val="none"/>
          <w14:textFill>
            <w14:solidFill>
              <w14:schemeClr w14:val="tx1"/>
            </w14:solidFill>
          </w14:textFill>
        </w:rPr>
        <w:t>9.2.3金属元素（</w:t>
      </w:r>
      <w:r>
        <w:rPr>
          <w:rFonts w:ascii="Times New Roman" w:hAnsi="Times New Roman" w:cs="宋体"/>
          <w:b w:val="0"/>
          <w:bCs w:val="0"/>
          <w:color w:val="000000" w:themeColor="text1"/>
          <w:sz w:val="24"/>
          <w:highlight w:val="none"/>
          <w14:textFill>
            <w14:solidFill>
              <w14:schemeClr w14:val="tx1"/>
            </w14:solidFill>
          </w14:textFill>
        </w:rPr>
        <w:t>K</w:t>
      </w:r>
      <w:r>
        <w:rPr>
          <w:rFonts w:hint="eastAsia" w:ascii="Times New Roman" w:hAnsi="Times New Roman" w:cs="宋体"/>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Ni</w:t>
      </w:r>
      <w:r>
        <w:rPr>
          <w:rFonts w:hint="eastAsia" w:ascii="Times New Roman" w:hAnsi="Times New Roman" w:cs="宋体"/>
          <w:b w:val="0"/>
          <w:bCs w:val="0"/>
          <w:color w:val="000000" w:themeColor="text1"/>
          <w:sz w:val="24"/>
          <w:highlight w:val="none"/>
          <w14:textFill>
            <w14:solidFill>
              <w14:schemeClr w14:val="tx1"/>
            </w14:solidFill>
          </w14:textFill>
        </w:rPr>
        <w:t>）：K</w:t>
      </w:r>
      <w:r>
        <w:rPr>
          <w:rFonts w:ascii="Times New Roman" w:hAnsi="Times New Roman" w:cs="宋体"/>
          <w:b w:val="0"/>
          <w:bCs w:val="0"/>
          <w:color w:val="000000" w:themeColor="text1"/>
          <w:sz w:val="24"/>
          <w:highlight w:val="none"/>
          <w14:textFill>
            <w14:solidFill>
              <w14:schemeClr w14:val="tx1"/>
            </w14:solidFill>
          </w14:textFill>
        </w:rPr>
        <w:t>-LOD</w:t>
      </w:r>
      <w:r>
        <w:rPr>
          <w:rFonts w:hint="eastAsia" w:ascii="Times New Roman" w:hAnsi="Times New Roman" w:cs="宋体"/>
          <w:b w:val="0"/>
          <w:bCs w:val="0"/>
          <w:color w:val="000000" w:themeColor="text1"/>
          <w:sz w:val="24"/>
          <w:highlight w:val="none"/>
          <w14:textFill>
            <w14:solidFill>
              <w14:schemeClr w14:val="tx1"/>
            </w14:solidFill>
          </w14:textFill>
        </w:rPr>
        <w:t>＜ 2</w:t>
      </w:r>
      <w:r>
        <w:rPr>
          <w:rFonts w:ascii="Times New Roman" w:hAnsi="Times New Roman" w:cs="宋体"/>
          <w:b w:val="0"/>
          <w:bCs w:val="0"/>
          <w:color w:val="000000" w:themeColor="text1"/>
          <w:sz w:val="24"/>
          <w:highlight w:val="none"/>
          <w14:textFill>
            <w14:solidFill>
              <w14:schemeClr w14:val="tx1"/>
            </w14:solidFill>
          </w14:textFill>
        </w:rPr>
        <w:t>mg/kg</w:t>
      </w:r>
      <w:r>
        <w:rPr>
          <w:rFonts w:hint="eastAsia" w:ascii="Times New Roman" w:hAnsi="Times New Roman" w:cs="宋体"/>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Fe-LOD</w:t>
      </w:r>
      <w:r>
        <w:rPr>
          <w:rFonts w:hint="eastAsia" w:ascii="Times New Roman" w:hAnsi="Times New Roman" w:cs="宋体"/>
          <w:b w:val="0"/>
          <w:bCs w:val="0"/>
          <w:color w:val="000000" w:themeColor="text1"/>
          <w:sz w:val="24"/>
          <w:highlight w:val="none"/>
          <w14:textFill>
            <w14:solidFill>
              <w14:schemeClr w14:val="tx1"/>
            </w14:solidFill>
          </w14:textFill>
        </w:rPr>
        <w:t xml:space="preserve">＜ </w:t>
      </w:r>
      <w:r>
        <w:rPr>
          <w:rFonts w:ascii="Times New Roman" w:hAnsi="Times New Roman" w:cs="宋体"/>
          <w:b w:val="0"/>
          <w:bCs w:val="0"/>
          <w:color w:val="000000" w:themeColor="text1"/>
          <w:sz w:val="24"/>
          <w:highlight w:val="none"/>
          <w14:textFill>
            <w14:solidFill>
              <w14:schemeClr w14:val="tx1"/>
            </w14:solidFill>
          </w14:textFill>
        </w:rPr>
        <w:t>2mg/kg</w:t>
      </w:r>
      <w:r>
        <w:rPr>
          <w:rFonts w:hint="eastAsia" w:ascii="Times New Roman" w:hAnsi="Times New Roman" w:cs="宋体"/>
          <w:b w:val="0"/>
          <w:bCs w:val="0"/>
          <w:color w:val="000000" w:themeColor="text1"/>
          <w:sz w:val="24"/>
          <w:highlight w:val="none"/>
          <w14:textFill>
            <w14:solidFill>
              <w14:schemeClr w14:val="tx1"/>
            </w14:solidFill>
          </w14:textFill>
        </w:rPr>
        <w:t xml:space="preserve">，Ni＜ </w:t>
      </w:r>
      <w:r>
        <w:rPr>
          <w:rFonts w:ascii="Times New Roman" w:hAnsi="Times New Roman" w:cs="宋体"/>
          <w:b w:val="0"/>
          <w:bCs w:val="0"/>
          <w:color w:val="000000" w:themeColor="text1"/>
          <w:sz w:val="24"/>
          <w:highlight w:val="none"/>
          <w14:textFill>
            <w14:solidFill>
              <w14:schemeClr w14:val="tx1"/>
            </w14:solidFill>
          </w14:textFill>
        </w:rPr>
        <w:t>2mg/kg</w:t>
      </w:r>
    </w:p>
    <w:p w14:paraId="52E17BCD">
      <w:pPr>
        <w:spacing w:line="360" w:lineRule="auto"/>
        <w:ind w:firstLine="720" w:firstLineChars="300"/>
        <w:rPr>
          <w:rFonts w:hint="eastAsia" w:ascii="Times New Roman" w:hAnsi="Times New Roman" w:cs="宋体"/>
          <w:b w:val="0"/>
          <w:bCs w:val="0"/>
          <w:color w:val="000000" w:themeColor="text1"/>
          <w:sz w:val="24"/>
          <w:highlight w:val="none"/>
          <w14:textFill>
            <w14:solidFill>
              <w14:schemeClr w14:val="tx1"/>
            </w14:solidFill>
          </w14:textFill>
        </w:rPr>
      </w:pPr>
      <w:r>
        <w:rPr>
          <w:rFonts w:ascii="Times New Roman" w:hAnsi="Times New Roman" w:cs="宋体"/>
          <w:b w:val="0"/>
          <w:bCs w:val="0"/>
          <w:color w:val="000000" w:themeColor="text1"/>
          <w:sz w:val="24"/>
          <w:highlight w:val="none"/>
          <w14:textFill>
            <w14:solidFill>
              <w14:schemeClr w14:val="tx1"/>
            </w14:solidFill>
          </w14:textFill>
        </w:rPr>
        <w:t>3.</w:t>
      </w:r>
      <w:r>
        <w:rPr>
          <w:rFonts w:hint="eastAsia" w:ascii="Times New Roman" w:hAnsi="Times New Roman" w:cs="宋体"/>
          <w:b w:val="0"/>
          <w:bCs w:val="0"/>
          <w:color w:val="000000" w:themeColor="text1"/>
          <w:sz w:val="24"/>
          <w:highlight w:val="none"/>
          <w14:textFill>
            <w14:solidFill>
              <w14:schemeClr w14:val="tx1"/>
            </w14:solidFill>
          </w14:textFill>
        </w:rPr>
        <w:t>9.2.4重金属元素（</w:t>
      </w:r>
      <w:r>
        <w:rPr>
          <w:rFonts w:ascii="Times New Roman" w:hAnsi="Times New Roman" w:cs="宋体"/>
          <w:b w:val="0"/>
          <w:bCs w:val="0"/>
          <w:color w:val="000000" w:themeColor="text1"/>
          <w:sz w:val="24"/>
          <w:highlight w:val="none"/>
          <w14:textFill>
            <w14:solidFill>
              <w14:schemeClr w14:val="tx1"/>
            </w14:solidFill>
          </w14:textFill>
        </w:rPr>
        <w:t>Cu</w:t>
      </w:r>
      <w:r>
        <w:rPr>
          <w:rFonts w:hint="eastAsia" w:ascii="Times New Roman" w:hAnsi="Times New Roman" w:cs="宋体"/>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U</w:t>
      </w:r>
      <w:r>
        <w:rPr>
          <w:rFonts w:hint="eastAsia" w:ascii="Times New Roman" w:hAnsi="Times New Roman" w:cs="宋体"/>
          <w:b w:val="0"/>
          <w:bCs w:val="0"/>
          <w:color w:val="000000" w:themeColor="text1"/>
          <w:sz w:val="24"/>
          <w:highlight w:val="none"/>
          <w14:textFill>
            <w14:solidFill>
              <w14:schemeClr w14:val="tx1"/>
            </w14:solidFill>
          </w14:textFill>
        </w:rPr>
        <w:t>）：Cu</w:t>
      </w:r>
      <w:r>
        <w:rPr>
          <w:rFonts w:ascii="Times New Roman" w:hAnsi="Times New Roman" w:cs="宋体"/>
          <w:b w:val="0"/>
          <w:bCs w:val="0"/>
          <w:color w:val="000000" w:themeColor="text1"/>
          <w:sz w:val="24"/>
          <w:highlight w:val="none"/>
          <w14:textFill>
            <w14:solidFill>
              <w14:schemeClr w14:val="tx1"/>
            </w14:solidFill>
          </w14:textFill>
        </w:rPr>
        <w:t>-LOD</w:t>
      </w:r>
      <w:r>
        <w:rPr>
          <w:rFonts w:hint="eastAsia" w:ascii="Times New Roman" w:hAnsi="Times New Roman" w:cs="宋体"/>
          <w:b w:val="0"/>
          <w:bCs w:val="0"/>
          <w:color w:val="000000" w:themeColor="text1"/>
          <w:sz w:val="24"/>
          <w:highlight w:val="none"/>
          <w14:textFill>
            <w14:solidFill>
              <w14:schemeClr w14:val="tx1"/>
            </w14:solidFill>
          </w14:textFill>
        </w:rPr>
        <w:t>＜ 2</w:t>
      </w:r>
      <w:r>
        <w:rPr>
          <w:rFonts w:ascii="Times New Roman" w:hAnsi="Times New Roman" w:cs="宋体"/>
          <w:b w:val="0"/>
          <w:bCs w:val="0"/>
          <w:color w:val="000000" w:themeColor="text1"/>
          <w:sz w:val="24"/>
          <w:highlight w:val="none"/>
          <w14:textFill>
            <w14:solidFill>
              <w14:schemeClr w14:val="tx1"/>
            </w14:solidFill>
          </w14:textFill>
        </w:rPr>
        <w:t>mg/kg</w:t>
      </w:r>
      <w:r>
        <w:rPr>
          <w:rFonts w:hint="eastAsia" w:ascii="Times New Roman" w:hAnsi="Times New Roman" w:cs="宋体"/>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Pb-LOD</w:t>
      </w:r>
      <w:r>
        <w:rPr>
          <w:rFonts w:hint="eastAsia" w:ascii="Times New Roman" w:hAnsi="Times New Roman" w:cs="宋体"/>
          <w:b w:val="0"/>
          <w:bCs w:val="0"/>
          <w:color w:val="000000" w:themeColor="text1"/>
          <w:sz w:val="24"/>
          <w:highlight w:val="none"/>
          <w14:textFill>
            <w14:solidFill>
              <w14:schemeClr w14:val="tx1"/>
            </w14:solidFill>
          </w14:textFill>
        </w:rPr>
        <w:t xml:space="preserve">＜ </w:t>
      </w:r>
      <w:r>
        <w:rPr>
          <w:rFonts w:ascii="Times New Roman" w:hAnsi="Times New Roman" w:cs="宋体"/>
          <w:b w:val="0"/>
          <w:bCs w:val="0"/>
          <w:color w:val="000000" w:themeColor="text1"/>
          <w:sz w:val="24"/>
          <w:highlight w:val="none"/>
          <w14:textFill>
            <w14:solidFill>
              <w14:schemeClr w14:val="tx1"/>
            </w14:solidFill>
          </w14:textFill>
        </w:rPr>
        <w:t>0.</w:t>
      </w:r>
      <w:r>
        <w:rPr>
          <w:rFonts w:hint="eastAsia" w:ascii="Times New Roman" w:hAnsi="Times New Roman" w:cs="宋体"/>
          <w:b w:val="0"/>
          <w:bCs w:val="0"/>
          <w:color w:val="000000" w:themeColor="text1"/>
          <w:sz w:val="24"/>
          <w:highlight w:val="none"/>
          <w14:textFill>
            <w14:solidFill>
              <w14:schemeClr w14:val="tx1"/>
            </w14:solidFill>
          </w14:textFill>
        </w:rPr>
        <w:t>3</w:t>
      </w:r>
      <w:r>
        <w:rPr>
          <w:rFonts w:ascii="Times New Roman" w:hAnsi="Times New Roman" w:cs="宋体"/>
          <w:b w:val="0"/>
          <w:bCs w:val="0"/>
          <w:color w:val="000000" w:themeColor="text1"/>
          <w:sz w:val="24"/>
          <w:highlight w:val="none"/>
          <w14:textFill>
            <w14:solidFill>
              <w14:schemeClr w14:val="tx1"/>
            </w14:solidFill>
          </w14:textFill>
        </w:rPr>
        <w:t>mg/kg</w:t>
      </w:r>
      <w:r>
        <w:rPr>
          <w:rFonts w:hint="eastAsia" w:ascii="Times New Roman" w:hAnsi="Times New Roman" w:cs="宋体"/>
          <w:b w:val="0"/>
          <w:bCs w:val="0"/>
          <w:color w:val="000000" w:themeColor="text1"/>
          <w:sz w:val="24"/>
          <w:highlight w:val="none"/>
          <w14:textFill>
            <w14:solidFill>
              <w14:schemeClr w14:val="tx1"/>
            </w14:solidFill>
          </w14:textFill>
        </w:rPr>
        <w:t>，</w:t>
      </w:r>
      <w:r>
        <w:rPr>
          <w:rFonts w:ascii="Times New Roman" w:hAnsi="Times New Roman" w:cs="宋体"/>
          <w:b w:val="0"/>
          <w:bCs w:val="0"/>
          <w:color w:val="000000" w:themeColor="text1"/>
          <w:sz w:val="24"/>
          <w:highlight w:val="none"/>
          <w14:textFill>
            <w14:solidFill>
              <w14:schemeClr w14:val="tx1"/>
            </w14:solidFill>
          </w14:textFill>
        </w:rPr>
        <w:t>Cd-LOD</w:t>
      </w:r>
      <w:r>
        <w:rPr>
          <w:rFonts w:hint="eastAsia" w:ascii="Times New Roman" w:hAnsi="Times New Roman" w:cs="宋体"/>
          <w:b w:val="0"/>
          <w:bCs w:val="0"/>
          <w:color w:val="000000" w:themeColor="text1"/>
          <w:sz w:val="24"/>
          <w:highlight w:val="none"/>
          <w14:textFill>
            <w14:solidFill>
              <w14:schemeClr w14:val="tx1"/>
            </w14:solidFill>
          </w14:textFill>
        </w:rPr>
        <w:t xml:space="preserve">＜ </w:t>
      </w:r>
      <w:r>
        <w:rPr>
          <w:rFonts w:ascii="Times New Roman" w:hAnsi="Times New Roman" w:cs="宋体"/>
          <w:b w:val="0"/>
          <w:bCs w:val="0"/>
          <w:color w:val="000000" w:themeColor="text1"/>
          <w:sz w:val="24"/>
          <w:highlight w:val="none"/>
          <w14:textFill>
            <w14:solidFill>
              <w14:schemeClr w14:val="tx1"/>
            </w14:solidFill>
          </w14:textFill>
        </w:rPr>
        <w:t>0.1mg/kg</w:t>
      </w:r>
      <w:r>
        <w:rPr>
          <w:rFonts w:hint="eastAsia" w:ascii="Times New Roman" w:hAnsi="Times New Roman" w:cs="宋体"/>
          <w:b w:val="0"/>
          <w:bCs w:val="0"/>
          <w:color w:val="000000" w:themeColor="text1"/>
          <w:sz w:val="24"/>
          <w:highlight w:val="none"/>
          <w14:textFill>
            <w14:solidFill>
              <w14:schemeClr w14:val="tx1"/>
            </w14:solidFill>
          </w14:textFill>
        </w:rPr>
        <w:t>；</w:t>
      </w:r>
    </w:p>
    <w:bookmarkEnd w:id="5"/>
    <w:bookmarkEnd w:id="6"/>
    <w:p w14:paraId="2F573939">
      <w:pPr>
        <w:spacing w:line="360" w:lineRule="auto"/>
        <w:ind w:firstLine="480" w:firstLineChars="200"/>
        <w:rPr>
          <w:rFonts w:hint="eastAsia" w:ascii="Times New Roman" w:hAnsi="Times New Roman" w:cs="宋体"/>
          <w:b w:val="0"/>
          <w:bCs w:val="0"/>
          <w:color w:val="000000" w:themeColor="text1"/>
          <w:sz w:val="24"/>
          <w:highlight w:val="none"/>
          <w14:textFill>
            <w14:solidFill>
              <w14:schemeClr w14:val="tx1"/>
            </w14:solidFill>
          </w14:textFill>
        </w:rPr>
      </w:pPr>
      <w:bookmarkStart w:id="7" w:name="OLE_LINK17"/>
      <w:r>
        <w:rPr>
          <w:rFonts w:ascii="Times New Roman" w:hAnsi="Times New Roman" w:cs="宋体"/>
          <w:b w:val="0"/>
          <w:bCs w:val="0"/>
          <w:color w:val="000000" w:themeColor="text1"/>
          <w:sz w:val="24"/>
          <w:highlight w:val="none"/>
          <w14:textFill>
            <w14:solidFill>
              <w14:schemeClr w14:val="tx1"/>
            </w14:solidFill>
          </w14:textFill>
        </w:rPr>
        <w:t>3.</w:t>
      </w:r>
      <w:r>
        <w:rPr>
          <w:rFonts w:hint="eastAsia" w:ascii="Times New Roman" w:hAnsi="Times New Roman" w:cs="宋体"/>
          <w:b w:val="0"/>
          <w:bCs w:val="0"/>
          <w:color w:val="000000" w:themeColor="text1"/>
          <w:sz w:val="24"/>
          <w:highlight w:val="none"/>
          <w14:textFill>
            <w14:solidFill>
              <w14:schemeClr w14:val="tx1"/>
            </w14:solidFill>
          </w14:textFill>
        </w:rPr>
        <w:t>9.3长期稳定性：</w:t>
      </w:r>
      <w:bookmarkStart w:id="8" w:name="_Hlk209515608"/>
      <w:r>
        <w:rPr>
          <w:rFonts w:ascii="Times New Roman" w:hAnsi="Times New Roman" w:cs="宋体"/>
          <w:b w:val="0"/>
          <w:bCs w:val="0"/>
          <w:color w:val="000000" w:themeColor="text1"/>
          <w:sz w:val="24"/>
          <w:highlight w:val="none"/>
          <w14:textFill>
            <w14:solidFill>
              <w14:schemeClr w14:val="tx1"/>
            </w14:solidFill>
          </w14:textFill>
        </w:rPr>
        <w:t>24</w:t>
      </w:r>
      <w:r>
        <w:rPr>
          <w:rFonts w:hint="eastAsia" w:ascii="Times New Roman" w:hAnsi="Times New Roman" w:cs="宋体"/>
          <w:b w:val="0"/>
          <w:bCs w:val="0"/>
          <w:color w:val="000000" w:themeColor="text1"/>
          <w:sz w:val="24"/>
          <w:highlight w:val="none"/>
          <w14:textFill>
            <w14:solidFill>
              <w14:schemeClr w14:val="tx1"/>
            </w14:solidFill>
          </w14:textFill>
        </w:rPr>
        <w:t xml:space="preserve">小时能量漂移≤ </w:t>
      </w:r>
      <w:r>
        <w:rPr>
          <w:rFonts w:ascii="Times New Roman" w:hAnsi="Times New Roman" w:cs="宋体"/>
          <w:b w:val="0"/>
          <w:bCs w:val="0"/>
          <w:color w:val="000000" w:themeColor="text1"/>
          <w:sz w:val="24"/>
          <w:highlight w:val="none"/>
          <w14:textFill>
            <w14:solidFill>
              <w14:schemeClr w14:val="tx1"/>
            </w14:solidFill>
          </w14:textFill>
        </w:rPr>
        <w:t>±2eV</w:t>
      </w:r>
      <w:bookmarkEnd w:id="8"/>
      <w:r>
        <w:rPr>
          <w:rFonts w:hint="eastAsia" w:ascii="Times New Roman" w:hAnsi="Times New Roman" w:cs="宋体"/>
          <w:b w:val="0"/>
          <w:bCs w:val="0"/>
          <w:color w:val="000000" w:themeColor="text1"/>
          <w:sz w:val="24"/>
          <w:highlight w:val="none"/>
          <w14:textFill>
            <w14:solidFill>
              <w14:schemeClr w14:val="tx1"/>
            </w14:solidFill>
          </w14:textFill>
        </w:rPr>
        <w:t>；</w:t>
      </w:r>
    </w:p>
    <w:bookmarkEnd w:id="7"/>
    <w:p w14:paraId="403AF9B4">
      <w:pPr>
        <w:spacing w:line="360" w:lineRule="auto"/>
        <w:ind w:firstLine="480" w:firstLineChars="200"/>
        <w:rPr>
          <w:rFonts w:hint="eastAsia" w:ascii="Times New Roman" w:hAnsi="Times New Roman" w:cs="宋体"/>
          <w:b w:val="0"/>
          <w:bCs w:val="0"/>
          <w:color w:val="000000" w:themeColor="text1"/>
          <w:sz w:val="24"/>
          <w:highlight w:val="none"/>
          <w14:textFill>
            <w14:solidFill>
              <w14:schemeClr w14:val="tx1"/>
            </w14:solidFill>
          </w14:textFill>
        </w:rPr>
      </w:pPr>
      <w:r>
        <w:rPr>
          <w:rFonts w:ascii="Times New Roman" w:hAnsi="Times New Roman" w:cs="宋体"/>
          <w:b w:val="0"/>
          <w:bCs w:val="0"/>
          <w:color w:val="000000" w:themeColor="text1"/>
          <w:sz w:val="24"/>
          <w:highlight w:val="none"/>
          <w14:textFill>
            <w14:solidFill>
              <w14:schemeClr w14:val="tx1"/>
            </w14:solidFill>
          </w14:textFill>
        </w:rPr>
        <w:t>#</w:t>
      </w:r>
      <w:r>
        <w:rPr>
          <w:rFonts w:hint="eastAsia" w:ascii="Times New Roman" w:hAnsi="Times New Roman" w:cs="宋体"/>
          <w:b w:val="0"/>
          <w:bCs w:val="0"/>
          <w:color w:val="000000" w:themeColor="text1"/>
          <w:sz w:val="24"/>
          <w:highlight w:val="none"/>
          <w14:textFill>
            <w14:solidFill>
              <w14:schemeClr w14:val="tx1"/>
            </w14:solidFill>
          </w14:textFill>
        </w:rPr>
        <w:t>3.9.4</w:t>
      </w:r>
      <w:r>
        <w:rPr>
          <w:rFonts w:ascii="Times New Roman" w:hAnsi="Times New Roman" w:cs="宋体"/>
          <w:b w:val="0"/>
          <w:bCs w:val="0"/>
          <w:color w:val="000000" w:themeColor="text1"/>
          <w:sz w:val="24"/>
          <w:highlight w:val="none"/>
          <w14:textFill>
            <w14:solidFill>
              <w14:schemeClr w14:val="tx1"/>
            </w14:solidFill>
          </w14:textFill>
        </w:rPr>
        <w:t>具备无标定量分析能力，基本参数法与先进数学模型定量精度：主量元素（</w:t>
      </w:r>
      <w:r>
        <w:rPr>
          <w:rFonts w:hint="eastAsia" w:ascii="Times New Roman" w:hAnsi="Times New Roman" w:cs="宋体"/>
          <w:b w:val="0"/>
          <w:bCs w:val="0"/>
          <w:color w:val="000000" w:themeColor="text1"/>
          <w:sz w:val="24"/>
          <w:highlight w:val="none"/>
          <w14:textFill>
            <w14:solidFill>
              <w14:schemeClr w14:val="tx1"/>
            </w14:solidFill>
          </w14:textFill>
        </w:rPr>
        <w:t>Al、Si、Fe</w:t>
      </w:r>
      <w:r>
        <w:rPr>
          <w:rFonts w:ascii="Times New Roman" w:hAnsi="Times New Roman" w:cs="宋体"/>
          <w:b w:val="0"/>
          <w:bCs w:val="0"/>
          <w:color w:val="000000" w:themeColor="text1"/>
          <w:sz w:val="24"/>
          <w:highlight w:val="none"/>
          <w14:textFill>
            <w14:solidFill>
              <w14:schemeClr w14:val="tx1"/>
            </w14:solidFill>
          </w14:textFill>
        </w:rPr>
        <w:t>含量范围1%～90%），相对误差±15%；杂质元素（</w:t>
      </w:r>
      <w:r>
        <w:rPr>
          <w:rFonts w:hint="eastAsia" w:ascii="Times New Roman" w:hAnsi="Times New Roman" w:cs="宋体"/>
          <w:b w:val="0"/>
          <w:bCs w:val="0"/>
          <w:color w:val="000000" w:themeColor="text1"/>
          <w:sz w:val="24"/>
          <w:highlight w:val="none"/>
          <w14:textFill>
            <w14:solidFill>
              <w14:schemeClr w14:val="tx1"/>
            </w14:solidFill>
          </w14:textFill>
        </w:rPr>
        <w:t>Mn、Ti</w:t>
      </w:r>
      <w:r>
        <w:rPr>
          <w:rFonts w:ascii="Times New Roman" w:hAnsi="Times New Roman" w:cs="宋体"/>
          <w:b w:val="0"/>
          <w:bCs w:val="0"/>
          <w:color w:val="000000" w:themeColor="text1"/>
          <w:sz w:val="24"/>
          <w:highlight w:val="none"/>
          <w14:textFill>
            <w14:solidFill>
              <w14:schemeClr w14:val="tx1"/>
            </w14:solidFill>
          </w14:textFill>
        </w:rPr>
        <w:t>含量范围0.01%～1%），相对误差±20%；微量元素（</w:t>
      </w:r>
      <w:r>
        <w:rPr>
          <w:rFonts w:hint="eastAsia" w:ascii="Times New Roman" w:hAnsi="Times New Roman" w:cs="宋体"/>
          <w:b w:val="0"/>
          <w:bCs w:val="0"/>
          <w:color w:val="000000" w:themeColor="text1"/>
          <w:sz w:val="24"/>
          <w:highlight w:val="none"/>
          <w14:textFill>
            <w14:solidFill>
              <w14:schemeClr w14:val="tx1"/>
            </w14:solidFill>
          </w14:textFill>
        </w:rPr>
        <w:t xml:space="preserve">Cu、Ni、Zn、Pb、As </w:t>
      </w:r>
      <w:r>
        <w:rPr>
          <w:rFonts w:ascii="Times New Roman" w:hAnsi="Times New Roman" w:cs="宋体"/>
          <w:b w:val="0"/>
          <w:bCs w:val="0"/>
          <w:color w:val="000000" w:themeColor="text1"/>
          <w:sz w:val="24"/>
          <w:highlight w:val="none"/>
          <w14:textFill>
            <w14:solidFill>
              <w14:schemeClr w14:val="tx1"/>
            </w14:solidFill>
          </w14:textFill>
        </w:rPr>
        <w:t>含量范围0.0001%～0.01%），相对误差±25%；</w:t>
      </w:r>
      <w:r>
        <w:rPr>
          <w:rFonts w:hint="eastAsia" w:ascii="Times New Roman" w:hAnsi="Times New Roman" w:cs="宋体"/>
          <w:b w:val="0"/>
          <w:bCs w:val="0"/>
          <w:color w:val="000000" w:themeColor="text1"/>
          <w:sz w:val="24"/>
          <w:highlight w:val="none"/>
          <w14:textFill>
            <w14:solidFill>
              <w14:schemeClr w14:val="tx1"/>
            </w14:solidFill>
          </w14:textFill>
        </w:rPr>
        <w:t>可以依靠标准物质或定量物质建立校准曲线，进一步提升定量准确度；</w:t>
      </w:r>
    </w:p>
    <w:p w14:paraId="318A387F">
      <w:pPr>
        <w:spacing w:line="360" w:lineRule="auto"/>
        <w:ind w:firstLine="480" w:firstLineChars="200"/>
        <w:rPr>
          <w:rFonts w:hint="eastAsia" w:ascii="Times New Roman" w:hAnsi="Times New Roman" w:cs="宋体"/>
          <w:b w:val="0"/>
          <w:bCs w:val="0"/>
          <w:color w:val="000000" w:themeColor="text1"/>
          <w:sz w:val="24"/>
          <w:highlight w:val="none"/>
          <w14:textFill>
            <w14:solidFill>
              <w14:schemeClr w14:val="tx1"/>
            </w14:solidFill>
          </w14:textFill>
        </w:rPr>
      </w:pPr>
      <w:r>
        <w:rPr>
          <w:rFonts w:hint="eastAsia" w:ascii="Times New Roman" w:hAnsi="Times New Roman" w:cs="宋体"/>
          <w:b w:val="0"/>
          <w:bCs w:val="0"/>
          <w:color w:val="000000" w:themeColor="text1"/>
          <w:sz w:val="24"/>
          <w:highlight w:val="none"/>
          <w14:textFill>
            <w14:solidFill>
              <w14:schemeClr w14:val="tx1"/>
            </w14:solidFill>
          </w14:textFill>
        </w:rPr>
        <w:t>3.9.5样品分析时间：30秒～600秒，依据样品类型和精度要求在软件中设定；</w:t>
      </w:r>
    </w:p>
    <w:p w14:paraId="2F75EF71">
      <w:pPr>
        <w:spacing w:line="360" w:lineRule="auto"/>
        <w:rPr>
          <w:rFonts w:hint="eastAsia" w:ascii="宋体" w:hAnsi="宋体" w:cs="宋体"/>
          <w:b/>
          <w:bCs/>
          <w:color w:val="000000" w:themeColor="text1"/>
          <w:sz w:val="24"/>
          <w:highlight w:val="none"/>
          <w14:textFill>
            <w14:solidFill>
              <w14:schemeClr w14:val="tx1"/>
            </w14:solidFill>
          </w14:textFill>
        </w:rPr>
      </w:pPr>
    </w:p>
    <w:p w14:paraId="1EA62C44">
      <w:pPr>
        <w:spacing w:line="360" w:lineRule="auto"/>
        <w:rPr>
          <w:rFonts w:hint="eastAsia"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4.</w:t>
      </w:r>
      <w:r>
        <w:rPr>
          <w:rFonts w:hint="eastAsia" w:ascii="宋体" w:hAnsi="宋体" w:cs="宋体"/>
          <w:b/>
          <w:bCs/>
          <w:color w:val="000000" w:themeColor="text1"/>
          <w:sz w:val="24"/>
          <w:highlight w:val="none"/>
          <w14:textFill>
            <w14:solidFill>
              <w14:schemeClr w14:val="tx1"/>
            </w14:solidFill>
          </w14:textFill>
        </w:rPr>
        <w:t>产品配置要求</w:t>
      </w:r>
    </w:p>
    <w:p w14:paraId="67FCF528">
      <w:pP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4.1主机（</w:t>
      </w:r>
      <w:r>
        <w:rPr>
          <w:rFonts w:hint="eastAsia" w:ascii="宋体" w:hAnsi="宋体" w:cs="宋体"/>
          <w:color w:val="000000" w:themeColor="text1"/>
          <w:sz w:val="24"/>
          <w:highlight w:val="none"/>
          <w14:textFill>
            <w14:solidFill>
              <w14:schemeClr w14:val="tx1"/>
            </w14:solidFill>
          </w14:textFill>
        </w:rPr>
        <w:t>包含</w:t>
      </w:r>
      <w:r>
        <w:rPr>
          <w:rFonts w:ascii="宋体" w:hAnsi="宋体" w:cs="宋体"/>
          <w:color w:val="000000" w:themeColor="text1"/>
          <w:sz w:val="24"/>
          <w:highlight w:val="none"/>
          <w14:textFill>
            <w14:solidFill>
              <w14:schemeClr w14:val="tx1"/>
            </w14:solidFill>
          </w14:textFill>
        </w:rPr>
        <w:t>：双X射线管、全聚焦型双曲面弯晶组、SDD探测器、自旋装置、气路控制系统等） 1台</w:t>
      </w:r>
      <w:r>
        <w:rPr>
          <w:rFonts w:hint="eastAsia" w:ascii="宋体" w:hAnsi="宋体" w:cs="宋体"/>
          <w:color w:val="000000" w:themeColor="text1"/>
          <w:sz w:val="24"/>
          <w:highlight w:val="none"/>
          <w14:textFill>
            <w14:solidFill>
              <w14:schemeClr w14:val="tx1"/>
            </w14:solidFill>
          </w14:textFill>
        </w:rPr>
        <w:t>;</w:t>
      </w:r>
    </w:p>
    <w:p w14:paraId="6E55F22B">
      <w:pP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4.2完整基本参数法分析软件 1套；</w:t>
      </w:r>
    </w:p>
    <w:p w14:paraId="72385860">
      <w:pP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4.3自动进样</w:t>
      </w:r>
      <w:r>
        <w:rPr>
          <w:rFonts w:hint="eastAsia" w:ascii="宋体" w:hAnsi="宋体" w:cs="宋体"/>
          <w:color w:val="000000" w:themeColor="text1"/>
          <w:sz w:val="24"/>
          <w:highlight w:val="none"/>
          <w14:textFill>
            <w14:solidFill>
              <w14:schemeClr w14:val="tx1"/>
            </w14:solidFill>
          </w14:textFill>
        </w:rPr>
        <w:t>器</w:t>
      </w:r>
      <w:r>
        <w:rPr>
          <w:rFonts w:ascii="宋体" w:hAnsi="宋体" w:cs="宋体"/>
          <w:color w:val="000000" w:themeColor="text1"/>
          <w:sz w:val="24"/>
          <w:highlight w:val="none"/>
          <w14:textFill>
            <w14:solidFill>
              <w14:schemeClr w14:val="tx1"/>
            </w14:solidFill>
          </w14:textFill>
        </w:rPr>
        <w:t xml:space="preserve"> 1套；</w:t>
      </w:r>
    </w:p>
    <w:p w14:paraId="76A34558">
      <w:pP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4</w:t>
      </w:r>
      <w:r>
        <w:rPr>
          <w:rFonts w:ascii="宋体" w:hAnsi="宋体" w:cs="宋体"/>
          <w:color w:val="000000" w:themeColor="text1"/>
          <w:sz w:val="24"/>
          <w:highlight w:val="none"/>
          <w14:textFill>
            <w14:solidFill>
              <w14:schemeClr w14:val="tx1"/>
            </w14:solidFill>
          </w14:textFill>
        </w:rPr>
        <w:t>全自动压片机</w:t>
      </w:r>
      <w:bookmarkStart w:id="9" w:name="_Hlk209455319"/>
      <w:r>
        <w:rPr>
          <w:rFonts w:ascii="宋体" w:hAnsi="宋体" w:cs="宋体"/>
          <w:color w:val="000000" w:themeColor="text1"/>
          <w:sz w:val="24"/>
          <w:highlight w:val="none"/>
          <w14:textFill>
            <w14:solidFill>
              <w14:schemeClr w14:val="tx1"/>
            </w14:solidFill>
          </w14:textFill>
        </w:rPr>
        <w:t>（</w:t>
      </w:r>
      <w:r>
        <w:rPr>
          <w:rFonts w:hint="eastAsia" w:ascii="宋体" w:hAnsiTheme="minorEastAsia" w:cstheme="minorEastAsia"/>
          <w:color w:val="000000" w:themeColor="text1"/>
          <w:sz w:val="24"/>
          <w:highlight w:val="none"/>
          <w14:textFill>
            <w14:solidFill>
              <w14:schemeClr w14:val="tx1"/>
            </w14:solidFill>
          </w14:textFill>
        </w:rPr>
        <w:t>模具2套，最大压力≥ 40吨</w:t>
      </w:r>
      <w:r>
        <w:rPr>
          <w:rFonts w:ascii="宋体" w:hAnsi="宋体" w:cs="宋体"/>
          <w:color w:val="000000" w:themeColor="text1"/>
          <w:sz w:val="24"/>
          <w:highlight w:val="none"/>
          <w14:textFill>
            <w14:solidFill>
              <w14:schemeClr w14:val="tx1"/>
            </w14:solidFill>
          </w14:textFill>
        </w:rPr>
        <w:t>）</w:t>
      </w:r>
      <w:bookmarkEnd w:id="9"/>
      <w:r>
        <w:rPr>
          <w:rFonts w:ascii="宋体" w:hAnsi="宋体" w:cs="宋体"/>
          <w:color w:val="000000" w:themeColor="text1"/>
          <w:sz w:val="24"/>
          <w:highlight w:val="none"/>
          <w14:textFill>
            <w14:solidFill>
              <w14:schemeClr w14:val="tx1"/>
            </w14:solidFill>
          </w14:textFill>
        </w:rPr>
        <w:t xml:space="preserve"> 1台；</w:t>
      </w:r>
    </w:p>
    <w:p w14:paraId="70A84584">
      <w:pP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5</w:t>
      </w:r>
      <w:r>
        <w:rPr>
          <w:rFonts w:ascii="宋体" w:hAnsi="宋体" w:cs="宋体"/>
          <w:color w:val="000000" w:themeColor="text1"/>
          <w:sz w:val="24"/>
          <w:highlight w:val="none"/>
          <w14:textFill>
            <w14:solidFill>
              <w14:schemeClr w14:val="tx1"/>
            </w14:solidFill>
          </w14:textFill>
        </w:rPr>
        <w:t>手持式高性能工业破碎机1台；</w:t>
      </w:r>
    </w:p>
    <w:p w14:paraId="027FBF3C">
      <w:pP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6</w:t>
      </w:r>
      <w:r>
        <w:rPr>
          <w:rFonts w:ascii="宋体" w:hAnsi="宋体" w:cs="宋体"/>
          <w:color w:val="000000" w:themeColor="text1"/>
          <w:sz w:val="24"/>
          <w:highlight w:val="none"/>
          <w14:textFill>
            <w14:solidFill>
              <w14:schemeClr w14:val="tx1"/>
            </w14:solidFill>
          </w14:textFill>
        </w:rPr>
        <w:t>控制分析</w:t>
      </w:r>
      <w:r>
        <w:rPr>
          <w:rFonts w:hint="eastAsia" w:ascii="宋体" w:hAnsi="宋体" w:cs="宋体"/>
          <w:color w:val="000000" w:themeColor="text1"/>
          <w:sz w:val="24"/>
          <w:highlight w:val="none"/>
          <w14:textFill>
            <w14:solidFill>
              <w14:schemeClr w14:val="tx1"/>
            </w14:solidFill>
          </w14:textFill>
        </w:rPr>
        <w:t xml:space="preserve">工作站 </w:t>
      </w:r>
      <w:r>
        <w:rPr>
          <w:rFonts w:ascii="宋体" w:hAnsi="宋体" w:cs="宋体"/>
          <w:color w:val="000000" w:themeColor="text1"/>
          <w:sz w:val="24"/>
          <w:highlight w:val="none"/>
          <w14:textFill>
            <w14:solidFill>
              <w14:schemeClr w14:val="tx1"/>
            </w14:solidFill>
          </w14:textFill>
        </w:rPr>
        <w:t xml:space="preserve"> 1</w:t>
      </w:r>
      <w:r>
        <w:rPr>
          <w:rFonts w:hint="eastAsia" w:ascii="宋体" w:hAnsi="宋体" w:cs="宋体"/>
          <w:color w:val="000000" w:themeColor="text1"/>
          <w:sz w:val="24"/>
          <w:highlight w:val="none"/>
          <w14:textFill>
            <w14:solidFill>
              <w14:schemeClr w14:val="tx1"/>
            </w14:solidFill>
          </w14:textFill>
        </w:rPr>
        <w:t>套</w:t>
      </w:r>
      <w:r>
        <w:rPr>
          <w:rFonts w:ascii="宋体" w:hAnsi="宋体" w:cs="宋体"/>
          <w:color w:val="000000" w:themeColor="text1"/>
          <w:sz w:val="24"/>
          <w:highlight w:val="none"/>
          <w14:textFill>
            <w14:solidFill>
              <w14:schemeClr w14:val="tx1"/>
            </w14:solidFill>
          </w14:textFill>
        </w:rPr>
        <w:t>；</w:t>
      </w:r>
    </w:p>
    <w:p w14:paraId="79D81206">
      <w:pPr>
        <w:spacing w:line="360" w:lineRule="auto"/>
        <w:rPr>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7</w:t>
      </w:r>
      <w:r>
        <w:rPr>
          <w:rFonts w:ascii="宋体" w:hAnsi="宋体" w:cs="宋体"/>
          <w:color w:val="000000" w:themeColor="text1"/>
          <w:sz w:val="24"/>
          <w:highlight w:val="none"/>
          <w14:textFill>
            <w14:solidFill>
              <w14:schemeClr w14:val="tx1"/>
            </w14:solidFill>
          </w14:textFill>
        </w:rPr>
        <w:t>消耗</w:t>
      </w:r>
      <w:r>
        <w:rPr>
          <w:color w:val="000000" w:themeColor="text1"/>
          <w:sz w:val="24"/>
          <w:highlight w:val="none"/>
          <w14:textFill>
            <w14:solidFill>
              <w14:schemeClr w14:val="tx1"/>
            </w14:solidFill>
          </w14:textFill>
        </w:rPr>
        <w:t>品及配件：铝制样品环/塑料样品环 各500个，液体样品杯 200个，样品保护膜200米，维护工具包 1套；</w:t>
      </w:r>
    </w:p>
    <w:p w14:paraId="02809C43">
      <w:pPr>
        <w:spacing w:line="360" w:lineRule="auto"/>
        <w:rPr>
          <w:rFonts w:hint="eastAsia" w:ascii="宋体" w:hAnsi="宋体" w:cs="宋体"/>
          <w:b/>
          <w:color w:val="000000" w:themeColor="text1"/>
          <w:sz w:val="24"/>
          <w:highlight w:val="none"/>
          <w14:textFill>
            <w14:solidFill>
              <w14:schemeClr w14:val="tx1"/>
            </w14:solidFill>
          </w14:textFill>
        </w:rPr>
      </w:pPr>
    </w:p>
    <w:p w14:paraId="713856FB">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（二）质保及售后服务：</w:t>
      </w:r>
    </w:p>
    <w:p w14:paraId="196DD432">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1.安装调试的要求</w:t>
      </w:r>
    </w:p>
    <w:p w14:paraId="25724321">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仪器设备运抵安装现场后，在七个工作日内，工程师前往设备使用现场，免费安装调试设备。买方发现所提供的仪器品质和技术规范不符合合同要求时，或有明显损坏，买方有权要求卖方负责更换。卖方应承担相应责任并负责赔偿全部损失，并承担由此给买方带来延期使用等方面造成的损失。</w:t>
      </w:r>
    </w:p>
    <w:p w14:paraId="2B860EF9">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1.2验收由采购人及相关人员依国家有关标准、合同及有关附件要求进行，验收完毕由采购人在验收报告上签名。</w:t>
      </w:r>
    </w:p>
    <w:p w14:paraId="50F932F5">
      <w:pPr>
        <w:spacing w:line="360" w:lineRule="auto"/>
        <w:rPr>
          <w:rFonts w:hint="eastAsia" w:ascii="宋体" w:hAnsi="宋体" w:cs="宋体"/>
          <w:color w:val="000000" w:themeColor="text1"/>
          <w:sz w:val="24"/>
          <w:highlight w:val="none"/>
          <w14:textFill>
            <w14:solidFill>
              <w14:schemeClr w14:val="tx1"/>
            </w14:solidFill>
          </w14:textFill>
        </w:rPr>
      </w:pPr>
    </w:p>
    <w:p w14:paraId="0324CC4E">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2.技术培训</w:t>
      </w:r>
    </w:p>
    <w:p w14:paraId="35BE8402">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2.1现场培训：在安装仪器时由专业工程师进行免费安装调试和现场培训。讲解仪器内部构造、仪器维护保养以及简单的故障排除方法，直至用户技术人员熟练使用仪器以及会应用仪器完成整个分析检测工作。</w:t>
      </w:r>
    </w:p>
    <w:p w14:paraId="68DB18FE">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2.2现场回访培训。根据用户使用情况及需求，供应商不定期安排专业应用工程师免费对用户的使用情况进行提高培训，帮助客户解决遇到的问题和项目开发，并进行技术提高和方法开发等高级培训。</w:t>
      </w:r>
    </w:p>
    <w:p w14:paraId="385AB811">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2.3厂家培训中心培训：提供2个名额的学习班系统培训，包括仪器原理、操作、维护等。</w:t>
      </w:r>
    </w:p>
    <w:p w14:paraId="0B543E51">
      <w:pPr>
        <w:spacing w:line="360" w:lineRule="auto"/>
        <w:rPr>
          <w:rFonts w:hint="eastAsia" w:ascii="宋体" w:hAnsi="宋体" w:cs="宋体"/>
          <w:color w:val="000000" w:themeColor="text1"/>
          <w:sz w:val="24"/>
          <w:highlight w:val="none"/>
          <w14:textFill>
            <w14:solidFill>
              <w14:schemeClr w14:val="tx1"/>
            </w14:solidFill>
          </w14:textFill>
        </w:rPr>
      </w:pPr>
    </w:p>
    <w:p w14:paraId="39E7709C">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3.保修期</w:t>
      </w:r>
      <w:bookmarkStart w:id="11" w:name="_GoBack"/>
      <w:bookmarkEnd w:id="11"/>
    </w:p>
    <w:p w14:paraId="7ED7D99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提供四年的免费保修服务。包含维修工时费及维修所需的基本耗材，制造商在国内的技术服务中心（包括维修中心）应当提供所有的服务，包括备有零件及易耗品。</w:t>
      </w:r>
    </w:p>
    <w:p w14:paraId="39C2D27D">
      <w:pPr>
        <w:spacing w:line="360" w:lineRule="auto"/>
        <w:rPr>
          <w:rFonts w:hint="eastAsia" w:ascii="宋体" w:hAnsi="宋体" w:cs="宋体"/>
          <w:color w:val="000000" w:themeColor="text1"/>
          <w:sz w:val="24"/>
          <w:highlight w:val="none"/>
          <w14:textFill>
            <w14:solidFill>
              <w14:schemeClr w14:val="tx1"/>
            </w14:solidFill>
          </w14:textFill>
        </w:rPr>
      </w:pPr>
    </w:p>
    <w:p w14:paraId="0211E972">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4.售后服务</w:t>
      </w:r>
    </w:p>
    <w:p w14:paraId="04355A56">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4.1 供应商在中国境内有固定的办事处、维修部及零配件保存仓库。质保期内如设备出现故障，供方应在接到需方通知后的2小时内响应，24小时内确定故障原因和维修方法。如需要到现场维修，供方维修工程师应在48小时内（遇见不可抗拒的因素除外）到达现场，免费更换受损元件和提供免费服务，快速排除故障。</w:t>
      </w:r>
    </w:p>
    <w:p w14:paraId="0DD75742">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质保期后，供方承诺将为需方提供长期维修服务，对于需方的任何投诉和要求，供方将在4小时内做出相应答复；当仪器出现故障时，供方工程师在接到需方故障通知后24小时内提出处理意见；供方在接到需方维修通知后72小时到达现场修复，维修费用由双方协商解决。</w:t>
      </w:r>
    </w:p>
    <w:p w14:paraId="193B4A6C">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4.2 后期更换配件及易耗品成本价提供。保障投标设备停产后10年的关键零部件（包括易耗品）供应。</w:t>
      </w:r>
    </w:p>
    <w:p w14:paraId="12A2D875">
      <w:pPr>
        <w:spacing w:line="360" w:lineRule="auto"/>
        <w:rPr>
          <w:rFonts w:hint="eastAsia" w:ascii="宋体" w:hAnsi="宋体" w:cs="宋体"/>
          <w:color w:val="000000" w:themeColor="text1"/>
          <w:sz w:val="24"/>
          <w:highlight w:val="none"/>
          <w14:textFill>
            <w14:solidFill>
              <w14:schemeClr w14:val="tx1"/>
            </w14:solidFill>
          </w14:textFill>
        </w:rPr>
      </w:pPr>
    </w:p>
    <w:p w14:paraId="0C56B9B7">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（三） 订货数量：</w:t>
      </w:r>
    </w:p>
    <w:p w14:paraId="761F5BF6">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1套</w:t>
      </w:r>
    </w:p>
    <w:p w14:paraId="2C17D096">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p>
    <w:p w14:paraId="28A9CF0E">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（四）交货地：</w:t>
      </w:r>
    </w:p>
    <w:p w14:paraId="15790748">
      <w:pPr>
        <w:spacing w:line="360" w:lineRule="auto"/>
        <w:ind w:firstLine="470" w:firstLineChars="196"/>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用户指定地点</w:t>
      </w:r>
    </w:p>
    <w:p w14:paraId="5F191BAA">
      <w:pPr>
        <w:spacing w:line="360" w:lineRule="auto"/>
        <w:ind w:firstLine="470" w:firstLineChars="196"/>
        <w:rPr>
          <w:color w:val="000000" w:themeColor="text1"/>
          <w:sz w:val="24"/>
          <w:highlight w:val="none"/>
          <w14:textFill>
            <w14:solidFill>
              <w14:schemeClr w14:val="tx1"/>
            </w14:solidFill>
          </w14:textFill>
        </w:rPr>
      </w:pPr>
    </w:p>
    <w:p w14:paraId="61471FAC">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（五）交货日期：</w:t>
      </w:r>
    </w:p>
    <w:p w14:paraId="0096FE4D">
      <w:pPr>
        <w:spacing w:line="360" w:lineRule="auto"/>
        <w:ind w:firstLine="470" w:firstLineChars="196"/>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合同生效后6个月      </w:t>
      </w:r>
    </w:p>
    <w:p w14:paraId="3BA68A44">
      <w:pPr>
        <w:spacing w:line="360" w:lineRule="auto"/>
        <w:ind w:firstLine="470" w:firstLineChars="196"/>
        <w:rPr>
          <w:color w:val="000000" w:themeColor="text1"/>
          <w:sz w:val="24"/>
          <w:highlight w:val="none"/>
          <w14:textFill>
            <w14:solidFill>
              <w14:schemeClr w14:val="tx1"/>
            </w14:solidFill>
          </w14:textFill>
        </w:rPr>
      </w:pPr>
    </w:p>
    <w:p w14:paraId="7F1338AE">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（六）执行的相关标准</w:t>
      </w:r>
    </w:p>
    <w:p w14:paraId="1F7258AF">
      <w:pPr>
        <w:spacing w:line="360" w:lineRule="auto"/>
        <w:rPr>
          <w:rFonts w:hint="eastAsia" w:ascii="inherit" w:hAnsi="inherit" w:cs="宋体"/>
          <w:color w:val="000000" w:themeColor="text1"/>
          <w:kern w:val="0"/>
          <w:sz w:val="24"/>
          <w:highlight w:val="none"/>
          <w14:textFill>
            <w14:solidFill>
              <w14:schemeClr w14:val="tx1"/>
            </w14:solidFill>
          </w14:textFill>
        </w:rPr>
      </w:pPr>
      <w:r>
        <w:rPr>
          <w:rFonts w:hint="eastAsia" w:ascii="inherit" w:hAnsi="inherit" w:cs="宋体"/>
          <w:color w:val="000000" w:themeColor="text1"/>
          <w:kern w:val="0"/>
          <w:sz w:val="24"/>
          <w:highlight w:val="none"/>
          <w14:textFill>
            <w14:solidFill>
              <w14:schemeClr w14:val="tx1"/>
            </w14:solidFill>
          </w14:textFill>
        </w:rPr>
        <w:t xml:space="preserve">   产品应满足相关国家标准及行业标准。</w:t>
      </w:r>
    </w:p>
    <w:p w14:paraId="5441D543">
      <w:pPr>
        <w:spacing w:line="360" w:lineRule="auto"/>
        <w:rPr>
          <w:rFonts w:hint="eastAsia" w:ascii="inherit" w:hAnsi="inherit" w:cs="宋体"/>
          <w:b/>
          <w:bCs/>
          <w:color w:val="000000" w:themeColor="text1"/>
          <w:kern w:val="0"/>
          <w:sz w:val="24"/>
          <w:highlight w:val="none"/>
          <w14:textFill>
            <w14:solidFill>
              <w14:schemeClr w14:val="tx1"/>
            </w14:solidFill>
          </w14:textFill>
        </w:rPr>
      </w:pPr>
    </w:p>
    <w:p w14:paraId="0A073650">
      <w:pPr>
        <w:spacing w:line="360" w:lineRule="auto"/>
        <w:rPr>
          <w:rFonts w:hint="eastAsia" w:ascii="inherit" w:hAnsi="inherit" w:cs="宋体"/>
          <w:b/>
          <w:bCs/>
          <w:color w:val="000000" w:themeColor="text1"/>
          <w:kern w:val="0"/>
          <w:sz w:val="24"/>
          <w:highlight w:val="none"/>
          <w14:textFill>
            <w14:solidFill>
              <w14:schemeClr w14:val="tx1"/>
            </w14:solidFill>
          </w14:textFill>
        </w:rPr>
      </w:pPr>
      <w:r>
        <w:rPr>
          <w:rFonts w:hint="eastAsia" w:ascii="inherit" w:hAnsi="inherit" w:cs="宋体"/>
          <w:b/>
          <w:bCs/>
          <w:color w:val="000000" w:themeColor="text1"/>
          <w:kern w:val="0"/>
          <w:sz w:val="24"/>
          <w:highlight w:val="none"/>
          <w14:textFill>
            <w14:solidFill>
              <w14:schemeClr w14:val="tx1"/>
            </w14:solidFill>
          </w14:textFill>
        </w:rPr>
        <w:t>（</w:t>
      </w:r>
      <w:r>
        <w:rPr>
          <w:rFonts w:hint="eastAsia" w:ascii="inherit" w:hAnsi="inherit" w:cs="宋体"/>
          <w:b/>
          <w:bCs/>
          <w:color w:val="000000" w:themeColor="text1"/>
          <w:kern w:val="0"/>
          <w:sz w:val="24"/>
          <w:highlight w:val="none"/>
          <w:lang w:val="en-US" w:eastAsia="zh-CN"/>
          <w14:textFill>
            <w14:solidFill>
              <w14:schemeClr w14:val="tx1"/>
            </w14:solidFill>
          </w14:textFill>
        </w:rPr>
        <w:t>七</w:t>
      </w:r>
      <w:r>
        <w:rPr>
          <w:rFonts w:hint="eastAsia" w:ascii="inherit" w:hAnsi="inherit" w:cs="宋体"/>
          <w:b/>
          <w:bCs/>
          <w:color w:val="000000" w:themeColor="text1"/>
          <w:kern w:val="0"/>
          <w:sz w:val="24"/>
          <w:highlight w:val="none"/>
          <w14:textFill>
            <w14:solidFill>
              <w14:schemeClr w14:val="tx1"/>
            </w14:solidFill>
          </w14:textFill>
        </w:rPr>
        <w:t>）付款方式：</w:t>
      </w:r>
    </w:p>
    <w:p w14:paraId="60D1C124">
      <w:pPr>
        <w:adjustRightInd w:val="0"/>
        <w:snapToGrid w:val="0"/>
        <w:spacing w:line="360" w:lineRule="auto"/>
        <w:ind w:firstLine="720" w:firstLineChars="3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100%凭用户代表签字并加盖单位公章后的验收报告支付。</w:t>
      </w:r>
    </w:p>
    <w:p w14:paraId="52E3C178">
      <w:pPr>
        <w:spacing w:line="360" w:lineRule="auto"/>
        <w:rPr>
          <w:rFonts w:hint="eastAsia" w:ascii="inherit" w:hAnsi="inherit" w:eastAsia="宋体" w:cs="宋体"/>
          <w:color w:val="000000" w:themeColor="text1"/>
          <w:kern w:val="0"/>
          <w:sz w:val="24"/>
          <w:highlight w:val="none"/>
          <w14:textFill>
            <w14:solidFill>
              <w14:schemeClr w14:val="tx1"/>
            </w14:solidFill>
          </w14:textFill>
        </w:rPr>
      </w:pPr>
    </w:p>
    <w:p w14:paraId="5D947562">
      <w:pPr>
        <w:spacing w:line="360" w:lineRule="auto"/>
        <w:rPr>
          <w:rFonts w:hint="eastAsia" w:ascii="inherit" w:hAnsi="inherit" w:eastAsia="宋体" w:cs="宋体"/>
          <w:b/>
          <w:bCs/>
          <w:color w:val="000000" w:themeColor="text1"/>
          <w:kern w:val="0"/>
          <w:sz w:val="24"/>
          <w:highlight w:val="none"/>
          <w14:textFill>
            <w14:solidFill>
              <w14:schemeClr w14:val="tx1"/>
            </w14:solidFill>
          </w14:textFill>
        </w:rPr>
      </w:pPr>
      <w:r>
        <w:rPr>
          <w:rFonts w:hint="eastAsia" w:ascii="inherit" w:hAnsi="inherit" w:eastAsia="宋体" w:cs="宋体"/>
          <w:b/>
          <w:bCs/>
          <w:color w:val="000000" w:themeColor="text1"/>
          <w:kern w:val="0"/>
          <w:sz w:val="24"/>
          <w:highlight w:val="none"/>
          <w14:textFill>
            <w14:solidFill>
              <w14:schemeClr w14:val="tx1"/>
            </w14:solidFill>
          </w14:textFill>
        </w:rPr>
        <w:t>（</w:t>
      </w:r>
      <w:r>
        <w:rPr>
          <w:rFonts w:hint="eastAsia" w:ascii="inherit" w:hAnsi="inherit" w:eastAsia="宋体" w:cs="宋体"/>
          <w:b/>
          <w:bCs/>
          <w:color w:val="000000" w:themeColor="text1"/>
          <w:kern w:val="0"/>
          <w:sz w:val="24"/>
          <w:highlight w:val="none"/>
          <w:lang w:val="en-US" w:eastAsia="zh-CN"/>
          <w14:textFill>
            <w14:solidFill>
              <w14:schemeClr w14:val="tx1"/>
            </w14:solidFill>
          </w14:textFill>
        </w:rPr>
        <w:t>八</w:t>
      </w:r>
      <w:r>
        <w:rPr>
          <w:rFonts w:hint="eastAsia" w:ascii="inherit" w:hAnsi="inherit" w:eastAsia="宋体" w:cs="宋体"/>
          <w:b/>
          <w:bCs/>
          <w:color w:val="000000" w:themeColor="text1"/>
          <w:kern w:val="0"/>
          <w:sz w:val="24"/>
          <w:highlight w:val="none"/>
          <w14:textFill>
            <w14:solidFill>
              <w14:schemeClr w14:val="tx1"/>
            </w14:solidFill>
          </w14:textFill>
        </w:rPr>
        <w:t>）验收要求：</w:t>
      </w:r>
    </w:p>
    <w:p w14:paraId="74273FC2">
      <w:pPr>
        <w:spacing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*1.</w:t>
      </w:r>
      <w:r>
        <w:rPr>
          <w:rFonts w:ascii="Times New Roman" w:hAnsi="Times New Roman" w:eastAsia="宋体" w:cs="Times New Roman"/>
          <w:color w:val="000000" w:themeColor="text1"/>
          <w:sz w:val="24"/>
          <w:highlight w:val="none"/>
          <w14:textFill>
            <w14:solidFill>
              <w14:schemeClr w14:val="tx1"/>
            </w14:solidFill>
          </w14:textFill>
        </w:rPr>
        <w:tab/>
      </w:r>
      <w:r>
        <w:rPr>
          <w:rFonts w:ascii="Times New Roman" w:hAnsi="Times New Roman" w:eastAsia="宋体" w:cs="Times New Roman"/>
          <w:color w:val="000000" w:themeColor="text1"/>
          <w:sz w:val="24"/>
          <w:highlight w:val="none"/>
          <w14:textFill>
            <w14:solidFill>
              <w14:schemeClr w14:val="tx1"/>
            </w14:solidFill>
          </w14:textFill>
        </w:rPr>
        <w:t>设备的配置、功能和技术指标必须满足招标文件要求，所有技术指标必须能够现场验收或提供第三方权威机构的证明材料，投标商需在投标文件中提供完备的现场验收方案，</w:t>
      </w:r>
      <w:r>
        <w:rPr>
          <w:rFonts w:hint="eastAsia" w:ascii="Times New Roman" w:hAnsi="Times New Roman" w:eastAsia="宋体" w:cs="Times New Roman"/>
          <w:b/>
          <w:bCs/>
          <w:color w:val="000000" w:themeColor="text1"/>
          <w:sz w:val="24"/>
          <w:highlight w:val="none"/>
          <w14:textFill>
            <w14:solidFill>
              <w14:schemeClr w14:val="tx1"/>
            </w14:solidFill>
          </w14:textFill>
        </w:rPr>
        <w:t>未提交现场验收方案将作为废标处理</w:t>
      </w:r>
      <w:r>
        <w:rPr>
          <w:rFonts w:ascii="Times New Roman" w:hAnsi="Times New Roman" w:eastAsia="宋体" w:cs="Times New Roman"/>
          <w:color w:val="000000" w:themeColor="text1"/>
          <w:sz w:val="24"/>
          <w:highlight w:val="none"/>
          <w14:textFill>
            <w14:solidFill>
              <w14:schemeClr w14:val="tx1"/>
            </w14:solidFill>
          </w14:textFill>
        </w:rPr>
        <w:t>。</w:t>
      </w:r>
    </w:p>
    <w:p w14:paraId="78DD02D4">
      <w:pPr>
        <w:spacing w:line="360" w:lineRule="auto"/>
        <w:rPr>
          <w:rFonts w:hint="eastAsia" w:ascii="宋体" w:hAnsi="宋体" w:eastAsia="宋体" w:cs="Times New Roman"/>
          <w:b/>
          <w:color w:val="000000" w:themeColor="text1"/>
          <w:sz w:val="30"/>
          <w:szCs w:val="30"/>
          <w:highlight w:val="none"/>
          <w14:textFill>
            <w14:solidFill>
              <w14:schemeClr w14:val="tx1"/>
            </w14:solidFill>
          </w14:textFill>
        </w:rPr>
      </w:pPr>
      <w:bookmarkStart w:id="10" w:name="_Hlk139638902"/>
      <w:r>
        <w:rPr>
          <w:rFonts w:ascii="Times New Roman" w:hAnsi="Times New Roman" w:eastAsia="宋体" w:cs="Times New Roman"/>
          <w:color w:val="000000" w:themeColor="text1"/>
          <w:sz w:val="24"/>
          <w:highlight w:val="none"/>
          <w14:textFill>
            <w14:solidFill>
              <w14:schemeClr w14:val="tx1"/>
            </w14:solidFill>
          </w14:textFill>
        </w:rPr>
        <w:t>#2.</w:t>
      </w:r>
      <w:r>
        <w:rPr>
          <w:rFonts w:ascii="Times New Roman" w:hAnsi="Times New Roman" w:eastAsia="宋体" w:cs="Times New Roman"/>
          <w:color w:val="000000" w:themeColor="text1"/>
          <w:sz w:val="24"/>
          <w:highlight w:val="none"/>
          <w14:textFill>
            <w14:solidFill>
              <w14:schemeClr w14:val="tx1"/>
            </w14:solidFill>
          </w14:textFill>
        </w:rPr>
        <w:tab/>
      </w:r>
      <w:r>
        <w:rPr>
          <w:rFonts w:ascii="Times New Roman" w:hAnsi="Times New Roman" w:eastAsia="宋体" w:cs="Times New Roman"/>
          <w:color w:val="000000" w:themeColor="text1"/>
          <w:sz w:val="24"/>
          <w:highlight w:val="none"/>
          <w14:textFill>
            <w14:solidFill>
              <w14:schemeClr w14:val="tx1"/>
            </w14:solidFill>
          </w14:textFill>
        </w:rPr>
        <w:t>技术指标现场验收方案科学</w:t>
      </w:r>
      <w:r>
        <w:rPr>
          <w:rFonts w:hint="eastAsia" w:ascii="Times New Roman" w:hAnsi="Times New Roman" w:eastAsia="宋体" w:cs="Times New Roman"/>
          <w:color w:val="000000" w:themeColor="text1"/>
          <w:sz w:val="24"/>
          <w:highlight w:val="none"/>
          <w14:textFill>
            <w14:solidFill>
              <w14:schemeClr w14:val="tx1"/>
            </w14:solidFill>
          </w14:textFill>
        </w:rPr>
        <w:t>、</w:t>
      </w:r>
      <w:r>
        <w:rPr>
          <w:rFonts w:ascii="Times New Roman" w:hAnsi="Times New Roman" w:eastAsia="宋体" w:cs="Times New Roman"/>
          <w:color w:val="000000" w:themeColor="text1"/>
          <w:sz w:val="24"/>
          <w:highlight w:val="none"/>
          <w14:textFill>
            <w14:solidFill>
              <w14:schemeClr w14:val="tx1"/>
            </w14:solidFill>
          </w14:textFill>
        </w:rPr>
        <w:t>合理</w:t>
      </w:r>
      <w:r>
        <w:rPr>
          <w:rFonts w:hint="eastAsia" w:ascii="Times New Roman" w:hAnsi="Times New Roman" w:eastAsia="宋体" w:cs="Times New Roman"/>
          <w:color w:val="000000" w:themeColor="text1"/>
          <w:sz w:val="24"/>
          <w:highlight w:val="none"/>
          <w14:textFill>
            <w14:solidFill>
              <w14:schemeClr w14:val="tx1"/>
            </w14:solidFill>
          </w14:textFill>
        </w:rPr>
        <w:t>，具有</w:t>
      </w:r>
      <w:r>
        <w:rPr>
          <w:rFonts w:ascii="Times New Roman" w:hAnsi="Times New Roman" w:eastAsia="宋体" w:cs="Times New Roman"/>
          <w:color w:val="000000" w:themeColor="text1"/>
          <w:sz w:val="24"/>
          <w:highlight w:val="none"/>
          <w14:textFill>
            <w14:solidFill>
              <w14:schemeClr w14:val="tx1"/>
            </w14:solidFill>
          </w14:textFill>
        </w:rPr>
        <w:t>可行性。</w:t>
      </w:r>
      <w:bookmarkEnd w:id="10"/>
      <w:r>
        <w:rPr>
          <w:rFonts w:hint="eastAsia" w:ascii="Times New Roman" w:hAnsi="Times New Roman" w:eastAsia="宋体" w:cs="Times New Roman"/>
          <w:color w:val="000000" w:themeColor="text1"/>
          <w:sz w:val="24"/>
          <w:highlight w:val="none"/>
          <w14:textFill>
            <w14:solidFill>
              <w14:schemeClr w14:val="tx1"/>
            </w14:solidFill>
          </w14:textFill>
        </w:rPr>
        <w:tab/>
      </w:r>
    </w:p>
    <w:p w14:paraId="53D6679C">
      <w:pPr>
        <w:spacing w:line="360" w:lineRule="auto"/>
        <w:rPr>
          <w:color w:val="000000" w:themeColor="text1"/>
          <w:sz w:val="24"/>
          <w:highlight w:val="none"/>
          <w14:textFill>
            <w14:solidFill>
              <w14:schemeClr w14:val="tx1"/>
            </w14:solidFill>
          </w14:textFill>
        </w:rPr>
      </w:pP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仿宋"/>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inherit">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CB4CD">
    <w:pPr>
      <w:pStyle w:val="25"/>
      <w:jc w:val="center"/>
    </w:pPr>
    <w:r>
      <w:fldChar w:fldCharType="begin"/>
    </w:r>
    <w:r>
      <w:instrText xml:space="preserve">PAGE   \* MERGEFORMAT</w:instrText>
    </w:r>
    <w:r>
      <w:fldChar w:fldCharType="separate"/>
    </w:r>
    <w:r>
      <w:rPr>
        <w:lang w:val="zh-CN"/>
      </w:rPr>
      <w:t>86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AADE0">
    <w:pPr>
      <w:pStyle w:val="25"/>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A53A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05E60"/>
    <w:rsid w:val="00027C8D"/>
    <w:rsid w:val="0003766C"/>
    <w:rsid w:val="00040005"/>
    <w:rsid w:val="000543E7"/>
    <w:rsid w:val="0006010D"/>
    <w:rsid w:val="000668DC"/>
    <w:rsid w:val="000678B4"/>
    <w:rsid w:val="00071927"/>
    <w:rsid w:val="00081ADD"/>
    <w:rsid w:val="00092A30"/>
    <w:rsid w:val="000969BB"/>
    <w:rsid w:val="000973D2"/>
    <w:rsid w:val="000B12EC"/>
    <w:rsid w:val="000B636A"/>
    <w:rsid w:val="000C13D1"/>
    <w:rsid w:val="000C1F98"/>
    <w:rsid w:val="000C325D"/>
    <w:rsid w:val="000C505C"/>
    <w:rsid w:val="000D1A3C"/>
    <w:rsid w:val="000D6611"/>
    <w:rsid w:val="000E0B0C"/>
    <w:rsid w:val="000E0F76"/>
    <w:rsid w:val="000E17D4"/>
    <w:rsid w:val="000E4DA9"/>
    <w:rsid w:val="000F0512"/>
    <w:rsid w:val="000F4571"/>
    <w:rsid w:val="00103352"/>
    <w:rsid w:val="00105333"/>
    <w:rsid w:val="00107AF4"/>
    <w:rsid w:val="00111E76"/>
    <w:rsid w:val="001140D0"/>
    <w:rsid w:val="00114260"/>
    <w:rsid w:val="001235CA"/>
    <w:rsid w:val="00137D93"/>
    <w:rsid w:val="001437EA"/>
    <w:rsid w:val="001444BD"/>
    <w:rsid w:val="00144505"/>
    <w:rsid w:val="00144DDA"/>
    <w:rsid w:val="0014761F"/>
    <w:rsid w:val="00153F11"/>
    <w:rsid w:val="00154F47"/>
    <w:rsid w:val="00155A34"/>
    <w:rsid w:val="00164E27"/>
    <w:rsid w:val="00165562"/>
    <w:rsid w:val="001660EA"/>
    <w:rsid w:val="001921CA"/>
    <w:rsid w:val="00194900"/>
    <w:rsid w:val="001A0E56"/>
    <w:rsid w:val="001A6E63"/>
    <w:rsid w:val="001B195C"/>
    <w:rsid w:val="001B62CC"/>
    <w:rsid w:val="001B66E1"/>
    <w:rsid w:val="001B6E57"/>
    <w:rsid w:val="001C3AFF"/>
    <w:rsid w:val="001D7301"/>
    <w:rsid w:val="001E1467"/>
    <w:rsid w:val="001E152C"/>
    <w:rsid w:val="001E3480"/>
    <w:rsid w:val="001F18B7"/>
    <w:rsid w:val="001F1D2B"/>
    <w:rsid w:val="001F5FAD"/>
    <w:rsid w:val="001F79B6"/>
    <w:rsid w:val="002024C7"/>
    <w:rsid w:val="00206639"/>
    <w:rsid w:val="0021259E"/>
    <w:rsid w:val="00213C28"/>
    <w:rsid w:val="00224FE7"/>
    <w:rsid w:val="00233C8A"/>
    <w:rsid w:val="00240E7B"/>
    <w:rsid w:val="00241551"/>
    <w:rsid w:val="00247ED0"/>
    <w:rsid w:val="00251DB7"/>
    <w:rsid w:val="00256309"/>
    <w:rsid w:val="002672D1"/>
    <w:rsid w:val="00275598"/>
    <w:rsid w:val="002761A3"/>
    <w:rsid w:val="0028124D"/>
    <w:rsid w:val="00282A80"/>
    <w:rsid w:val="00282F14"/>
    <w:rsid w:val="00292E0B"/>
    <w:rsid w:val="002A40F5"/>
    <w:rsid w:val="002B3C13"/>
    <w:rsid w:val="002B44BD"/>
    <w:rsid w:val="002B6E7A"/>
    <w:rsid w:val="002B7380"/>
    <w:rsid w:val="002C47B5"/>
    <w:rsid w:val="002D5C47"/>
    <w:rsid w:val="002E03AA"/>
    <w:rsid w:val="002E6A76"/>
    <w:rsid w:val="002F1704"/>
    <w:rsid w:val="002F6DE0"/>
    <w:rsid w:val="002F6FCA"/>
    <w:rsid w:val="002F7EF8"/>
    <w:rsid w:val="00301191"/>
    <w:rsid w:val="00322611"/>
    <w:rsid w:val="003248D5"/>
    <w:rsid w:val="00326D72"/>
    <w:rsid w:val="0033189B"/>
    <w:rsid w:val="003442AE"/>
    <w:rsid w:val="0034443A"/>
    <w:rsid w:val="003474B8"/>
    <w:rsid w:val="00353E66"/>
    <w:rsid w:val="00357C16"/>
    <w:rsid w:val="003612E2"/>
    <w:rsid w:val="003637C6"/>
    <w:rsid w:val="003732CC"/>
    <w:rsid w:val="00373B63"/>
    <w:rsid w:val="00374F9A"/>
    <w:rsid w:val="00382C0C"/>
    <w:rsid w:val="00397F24"/>
    <w:rsid w:val="003A298A"/>
    <w:rsid w:val="003B4F45"/>
    <w:rsid w:val="003B6193"/>
    <w:rsid w:val="003C172D"/>
    <w:rsid w:val="003C2FA5"/>
    <w:rsid w:val="003C7092"/>
    <w:rsid w:val="003C785A"/>
    <w:rsid w:val="003D2B81"/>
    <w:rsid w:val="003E410D"/>
    <w:rsid w:val="003E4FAF"/>
    <w:rsid w:val="003F5F7A"/>
    <w:rsid w:val="004043A2"/>
    <w:rsid w:val="00404EA5"/>
    <w:rsid w:val="00415144"/>
    <w:rsid w:val="00420D92"/>
    <w:rsid w:val="0042297A"/>
    <w:rsid w:val="004248D5"/>
    <w:rsid w:val="004362C7"/>
    <w:rsid w:val="0044106E"/>
    <w:rsid w:val="00446E68"/>
    <w:rsid w:val="00447503"/>
    <w:rsid w:val="00457522"/>
    <w:rsid w:val="0046038A"/>
    <w:rsid w:val="00460CF2"/>
    <w:rsid w:val="00471176"/>
    <w:rsid w:val="00484FF8"/>
    <w:rsid w:val="004A0EB1"/>
    <w:rsid w:val="004A3B49"/>
    <w:rsid w:val="004A5C14"/>
    <w:rsid w:val="004B3476"/>
    <w:rsid w:val="004B36B8"/>
    <w:rsid w:val="004C387C"/>
    <w:rsid w:val="004D0AB9"/>
    <w:rsid w:val="004E042A"/>
    <w:rsid w:val="004E4504"/>
    <w:rsid w:val="004F0FDE"/>
    <w:rsid w:val="004F3E07"/>
    <w:rsid w:val="00504FD3"/>
    <w:rsid w:val="00512882"/>
    <w:rsid w:val="005143FF"/>
    <w:rsid w:val="00516FEB"/>
    <w:rsid w:val="005244F5"/>
    <w:rsid w:val="00524665"/>
    <w:rsid w:val="00543C0A"/>
    <w:rsid w:val="0054699B"/>
    <w:rsid w:val="005515EB"/>
    <w:rsid w:val="0055226E"/>
    <w:rsid w:val="00552E7C"/>
    <w:rsid w:val="00555817"/>
    <w:rsid w:val="005601D0"/>
    <w:rsid w:val="005613B2"/>
    <w:rsid w:val="0056304A"/>
    <w:rsid w:val="0057066D"/>
    <w:rsid w:val="00572671"/>
    <w:rsid w:val="00573E7D"/>
    <w:rsid w:val="00585DAC"/>
    <w:rsid w:val="00591688"/>
    <w:rsid w:val="005916DF"/>
    <w:rsid w:val="00595627"/>
    <w:rsid w:val="00595D3F"/>
    <w:rsid w:val="00595EAC"/>
    <w:rsid w:val="005A2F5B"/>
    <w:rsid w:val="005A52D6"/>
    <w:rsid w:val="005B7263"/>
    <w:rsid w:val="005C574A"/>
    <w:rsid w:val="005D09A0"/>
    <w:rsid w:val="005D479D"/>
    <w:rsid w:val="005E416B"/>
    <w:rsid w:val="005E7A21"/>
    <w:rsid w:val="005F24B2"/>
    <w:rsid w:val="0060103A"/>
    <w:rsid w:val="00602911"/>
    <w:rsid w:val="00602A7A"/>
    <w:rsid w:val="0060509A"/>
    <w:rsid w:val="006125F5"/>
    <w:rsid w:val="00612A9B"/>
    <w:rsid w:val="00614D00"/>
    <w:rsid w:val="006225E2"/>
    <w:rsid w:val="0062676A"/>
    <w:rsid w:val="00640DB1"/>
    <w:rsid w:val="006416E9"/>
    <w:rsid w:val="00641A29"/>
    <w:rsid w:val="0064545D"/>
    <w:rsid w:val="00646C82"/>
    <w:rsid w:val="00647CD5"/>
    <w:rsid w:val="006548A6"/>
    <w:rsid w:val="00655478"/>
    <w:rsid w:val="00664D7F"/>
    <w:rsid w:val="00673641"/>
    <w:rsid w:val="00681CB4"/>
    <w:rsid w:val="006858B6"/>
    <w:rsid w:val="0069730F"/>
    <w:rsid w:val="006A377B"/>
    <w:rsid w:val="006B0930"/>
    <w:rsid w:val="006C4384"/>
    <w:rsid w:val="006C5135"/>
    <w:rsid w:val="006C546E"/>
    <w:rsid w:val="006D29F2"/>
    <w:rsid w:val="006E2DE0"/>
    <w:rsid w:val="006E5A8E"/>
    <w:rsid w:val="0070081C"/>
    <w:rsid w:val="0071653B"/>
    <w:rsid w:val="00721985"/>
    <w:rsid w:val="00724C84"/>
    <w:rsid w:val="007252A8"/>
    <w:rsid w:val="00725C0A"/>
    <w:rsid w:val="00727F36"/>
    <w:rsid w:val="0073119D"/>
    <w:rsid w:val="0073199C"/>
    <w:rsid w:val="00736195"/>
    <w:rsid w:val="007376B0"/>
    <w:rsid w:val="007378AD"/>
    <w:rsid w:val="00740508"/>
    <w:rsid w:val="00743776"/>
    <w:rsid w:val="00747AE0"/>
    <w:rsid w:val="00751428"/>
    <w:rsid w:val="0075674B"/>
    <w:rsid w:val="00761F2B"/>
    <w:rsid w:val="00763B74"/>
    <w:rsid w:val="007731D0"/>
    <w:rsid w:val="00775B16"/>
    <w:rsid w:val="00783049"/>
    <w:rsid w:val="00785A0A"/>
    <w:rsid w:val="00787CED"/>
    <w:rsid w:val="007967F8"/>
    <w:rsid w:val="007A3772"/>
    <w:rsid w:val="007A45D2"/>
    <w:rsid w:val="007C2696"/>
    <w:rsid w:val="007C4C31"/>
    <w:rsid w:val="007C5EA5"/>
    <w:rsid w:val="007D381E"/>
    <w:rsid w:val="007D3EE2"/>
    <w:rsid w:val="007E03CA"/>
    <w:rsid w:val="007E6193"/>
    <w:rsid w:val="007F2F97"/>
    <w:rsid w:val="007F387D"/>
    <w:rsid w:val="007F6A74"/>
    <w:rsid w:val="007F7152"/>
    <w:rsid w:val="0081061E"/>
    <w:rsid w:val="00815919"/>
    <w:rsid w:val="008203E6"/>
    <w:rsid w:val="00822633"/>
    <w:rsid w:val="0082648E"/>
    <w:rsid w:val="00830107"/>
    <w:rsid w:val="00831B02"/>
    <w:rsid w:val="00833174"/>
    <w:rsid w:val="00846609"/>
    <w:rsid w:val="00852958"/>
    <w:rsid w:val="0085467F"/>
    <w:rsid w:val="00864F77"/>
    <w:rsid w:val="008661F8"/>
    <w:rsid w:val="008712FA"/>
    <w:rsid w:val="00876AA9"/>
    <w:rsid w:val="00876EFF"/>
    <w:rsid w:val="00882892"/>
    <w:rsid w:val="00883AB2"/>
    <w:rsid w:val="008861B2"/>
    <w:rsid w:val="00887A5A"/>
    <w:rsid w:val="00896377"/>
    <w:rsid w:val="008A09F5"/>
    <w:rsid w:val="008A4B18"/>
    <w:rsid w:val="008A738C"/>
    <w:rsid w:val="008B2645"/>
    <w:rsid w:val="008B503A"/>
    <w:rsid w:val="008C36D3"/>
    <w:rsid w:val="008C4E6C"/>
    <w:rsid w:val="008C6252"/>
    <w:rsid w:val="008D0675"/>
    <w:rsid w:val="008D1425"/>
    <w:rsid w:val="008D3BC8"/>
    <w:rsid w:val="008D6F23"/>
    <w:rsid w:val="008E5EB5"/>
    <w:rsid w:val="008F04C7"/>
    <w:rsid w:val="008F1070"/>
    <w:rsid w:val="008F21A5"/>
    <w:rsid w:val="008F2440"/>
    <w:rsid w:val="008F7729"/>
    <w:rsid w:val="00914619"/>
    <w:rsid w:val="009202C8"/>
    <w:rsid w:val="009246BA"/>
    <w:rsid w:val="00930CDE"/>
    <w:rsid w:val="00935AA1"/>
    <w:rsid w:val="00942E07"/>
    <w:rsid w:val="00944AFF"/>
    <w:rsid w:val="009451DC"/>
    <w:rsid w:val="009467F2"/>
    <w:rsid w:val="0095655E"/>
    <w:rsid w:val="0095732B"/>
    <w:rsid w:val="009718ED"/>
    <w:rsid w:val="0097297B"/>
    <w:rsid w:val="009762ED"/>
    <w:rsid w:val="0098154C"/>
    <w:rsid w:val="0098549E"/>
    <w:rsid w:val="009857EF"/>
    <w:rsid w:val="009941D8"/>
    <w:rsid w:val="009963B1"/>
    <w:rsid w:val="00996404"/>
    <w:rsid w:val="009A2C18"/>
    <w:rsid w:val="009C0A0B"/>
    <w:rsid w:val="009C14BD"/>
    <w:rsid w:val="009D1AF8"/>
    <w:rsid w:val="009D32B1"/>
    <w:rsid w:val="009E0107"/>
    <w:rsid w:val="009E1C84"/>
    <w:rsid w:val="009E32D4"/>
    <w:rsid w:val="009E4080"/>
    <w:rsid w:val="009E4DCB"/>
    <w:rsid w:val="009E5187"/>
    <w:rsid w:val="009E580F"/>
    <w:rsid w:val="009E686B"/>
    <w:rsid w:val="009F5A6A"/>
    <w:rsid w:val="00A01B3A"/>
    <w:rsid w:val="00A0205F"/>
    <w:rsid w:val="00A03914"/>
    <w:rsid w:val="00A04E9D"/>
    <w:rsid w:val="00A06893"/>
    <w:rsid w:val="00A21886"/>
    <w:rsid w:val="00A25682"/>
    <w:rsid w:val="00A2638C"/>
    <w:rsid w:val="00A27417"/>
    <w:rsid w:val="00A27AFD"/>
    <w:rsid w:val="00A354A8"/>
    <w:rsid w:val="00A4031E"/>
    <w:rsid w:val="00A44A2B"/>
    <w:rsid w:val="00A46F60"/>
    <w:rsid w:val="00A53234"/>
    <w:rsid w:val="00A57F47"/>
    <w:rsid w:val="00A63BE8"/>
    <w:rsid w:val="00A746B7"/>
    <w:rsid w:val="00A90B20"/>
    <w:rsid w:val="00AA7A0D"/>
    <w:rsid w:val="00AB113B"/>
    <w:rsid w:val="00AC2FA5"/>
    <w:rsid w:val="00AC3043"/>
    <w:rsid w:val="00AD2FD2"/>
    <w:rsid w:val="00AD41E6"/>
    <w:rsid w:val="00AD4ECF"/>
    <w:rsid w:val="00AD70C8"/>
    <w:rsid w:val="00AF6067"/>
    <w:rsid w:val="00B04039"/>
    <w:rsid w:val="00B07AAD"/>
    <w:rsid w:val="00B15273"/>
    <w:rsid w:val="00B16887"/>
    <w:rsid w:val="00B1746F"/>
    <w:rsid w:val="00B27A2B"/>
    <w:rsid w:val="00B27DD0"/>
    <w:rsid w:val="00B31F00"/>
    <w:rsid w:val="00B351A2"/>
    <w:rsid w:val="00B41959"/>
    <w:rsid w:val="00B42C18"/>
    <w:rsid w:val="00B43CF7"/>
    <w:rsid w:val="00B44327"/>
    <w:rsid w:val="00B44E6F"/>
    <w:rsid w:val="00B53944"/>
    <w:rsid w:val="00B61FDD"/>
    <w:rsid w:val="00B758E7"/>
    <w:rsid w:val="00B75B80"/>
    <w:rsid w:val="00B81149"/>
    <w:rsid w:val="00B83CEC"/>
    <w:rsid w:val="00B8672D"/>
    <w:rsid w:val="00B94FB1"/>
    <w:rsid w:val="00BC179B"/>
    <w:rsid w:val="00BC7FBC"/>
    <w:rsid w:val="00BD11D6"/>
    <w:rsid w:val="00BD2A3B"/>
    <w:rsid w:val="00BD646D"/>
    <w:rsid w:val="00BD6A33"/>
    <w:rsid w:val="00BD7ED0"/>
    <w:rsid w:val="00BE5E06"/>
    <w:rsid w:val="00BE643E"/>
    <w:rsid w:val="00BE7CED"/>
    <w:rsid w:val="00BF0475"/>
    <w:rsid w:val="00BF59BF"/>
    <w:rsid w:val="00C056B5"/>
    <w:rsid w:val="00C10630"/>
    <w:rsid w:val="00C12939"/>
    <w:rsid w:val="00C14E3B"/>
    <w:rsid w:val="00C208CE"/>
    <w:rsid w:val="00C23BA4"/>
    <w:rsid w:val="00C241B2"/>
    <w:rsid w:val="00C34485"/>
    <w:rsid w:val="00C40AB3"/>
    <w:rsid w:val="00C43805"/>
    <w:rsid w:val="00C43E24"/>
    <w:rsid w:val="00C45235"/>
    <w:rsid w:val="00C60EF2"/>
    <w:rsid w:val="00C615B2"/>
    <w:rsid w:val="00C702F0"/>
    <w:rsid w:val="00C74553"/>
    <w:rsid w:val="00C75753"/>
    <w:rsid w:val="00C8112C"/>
    <w:rsid w:val="00C87EF4"/>
    <w:rsid w:val="00C954A4"/>
    <w:rsid w:val="00CA25D1"/>
    <w:rsid w:val="00CA623E"/>
    <w:rsid w:val="00CA630F"/>
    <w:rsid w:val="00CB4C32"/>
    <w:rsid w:val="00CB4EB2"/>
    <w:rsid w:val="00CB7A41"/>
    <w:rsid w:val="00CC7A0B"/>
    <w:rsid w:val="00CD0A52"/>
    <w:rsid w:val="00CD0EEF"/>
    <w:rsid w:val="00CD64CD"/>
    <w:rsid w:val="00CE2041"/>
    <w:rsid w:val="00CE3059"/>
    <w:rsid w:val="00CE4960"/>
    <w:rsid w:val="00CE56FA"/>
    <w:rsid w:val="00CF0912"/>
    <w:rsid w:val="00CF6512"/>
    <w:rsid w:val="00D0060C"/>
    <w:rsid w:val="00D027B8"/>
    <w:rsid w:val="00D04134"/>
    <w:rsid w:val="00D0571C"/>
    <w:rsid w:val="00D0679B"/>
    <w:rsid w:val="00D11879"/>
    <w:rsid w:val="00D12547"/>
    <w:rsid w:val="00D13BEE"/>
    <w:rsid w:val="00D15AAB"/>
    <w:rsid w:val="00D22D44"/>
    <w:rsid w:val="00D31616"/>
    <w:rsid w:val="00D378BA"/>
    <w:rsid w:val="00D40668"/>
    <w:rsid w:val="00D433DF"/>
    <w:rsid w:val="00D54CDF"/>
    <w:rsid w:val="00D6263A"/>
    <w:rsid w:val="00D778D7"/>
    <w:rsid w:val="00D83934"/>
    <w:rsid w:val="00D861C3"/>
    <w:rsid w:val="00D91A0C"/>
    <w:rsid w:val="00D9239C"/>
    <w:rsid w:val="00D95955"/>
    <w:rsid w:val="00D979AB"/>
    <w:rsid w:val="00DA590C"/>
    <w:rsid w:val="00DA703D"/>
    <w:rsid w:val="00DB54CF"/>
    <w:rsid w:val="00DC1546"/>
    <w:rsid w:val="00DD2172"/>
    <w:rsid w:val="00DD37F6"/>
    <w:rsid w:val="00DD4A09"/>
    <w:rsid w:val="00DD4C25"/>
    <w:rsid w:val="00DD6A1F"/>
    <w:rsid w:val="00DE4C00"/>
    <w:rsid w:val="00DE5C67"/>
    <w:rsid w:val="00DF2449"/>
    <w:rsid w:val="00DF7ACF"/>
    <w:rsid w:val="00E004CA"/>
    <w:rsid w:val="00E03391"/>
    <w:rsid w:val="00E0373B"/>
    <w:rsid w:val="00E07308"/>
    <w:rsid w:val="00E14474"/>
    <w:rsid w:val="00E179B5"/>
    <w:rsid w:val="00E26286"/>
    <w:rsid w:val="00E30AC2"/>
    <w:rsid w:val="00E33D84"/>
    <w:rsid w:val="00E34813"/>
    <w:rsid w:val="00E356D2"/>
    <w:rsid w:val="00E36A54"/>
    <w:rsid w:val="00E401B3"/>
    <w:rsid w:val="00E458DA"/>
    <w:rsid w:val="00E5687E"/>
    <w:rsid w:val="00E639CC"/>
    <w:rsid w:val="00E63D5B"/>
    <w:rsid w:val="00E671AD"/>
    <w:rsid w:val="00E746F6"/>
    <w:rsid w:val="00E82011"/>
    <w:rsid w:val="00E83E40"/>
    <w:rsid w:val="00E857B8"/>
    <w:rsid w:val="00E907E5"/>
    <w:rsid w:val="00E943B8"/>
    <w:rsid w:val="00EA11F7"/>
    <w:rsid w:val="00EA20B9"/>
    <w:rsid w:val="00EA4549"/>
    <w:rsid w:val="00EB6DDC"/>
    <w:rsid w:val="00EC5FC7"/>
    <w:rsid w:val="00EC7098"/>
    <w:rsid w:val="00ED0B37"/>
    <w:rsid w:val="00ED22DF"/>
    <w:rsid w:val="00ED4C66"/>
    <w:rsid w:val="00ED6781"/>
    <w:rsid w:val="00EE3B36"/>
    <w:rsid w:val="00EE4BD8"/>
    <w:rsid w:val="00EF5BA0"/>
    <w:rsid w:val="00F13600"/>
    <w:rsid w:val="00F15FC0"/>
    <w:rsid w:val="00F17042"/>
    <w:rsid w:val="00F175D1"/>
    <w:rsid w:val="00F2198F"/>
    <w:rsid w:val="00F21DA9"/>
    <w:rsid w:val="00F22A75"/>
    <w:rsid w:val="00F30C1E"/>
    <w:rsid w:val="00F3185D"/>
    <w:rsid w:val="00F35217"/>
    <w:rsid w:val="00F35C50"/>
    <w:rsid w:val="00F42D68"/>
    <w:rsid w:val="00F436FE"/>
    <w:rsid w:val="00F500D2"/>
    <w:rsid w:val="00F51A9D"/>
    <w:rsid w:val="00F57792"/>
    <w:rsid w:val="00F60048"/>
    <w:rsid w:val="00F6185A"/>
    <w:rsid w:val="00F73FE2"/>
    <w:rsid w:val="00F74944"/>
    <w:rsid w:val="00F8497C"/>
    <w:rsid w:val="00F91E41"/>
    <w:rsid w:val="00FA238D"/>
    <w:rsid w:val="00FA3835"/>
    <w:rsid w:val="00FA45EF"/>
    <w:rsid w:val="00FA6816"/>
    <w:rsid w:val="00FB5D79"/>
    <w:rsid w:val="00FE3D91"/>
    <w:rsid w:val="00FE55D2"/>
    <w:rsid w:val="00FF5179"/>
    <w:rsid w:val="00FF728E"/>
    <w:rsid w:val="020B291A"/>
    <w:rsid w:val="02111A30"/>
    <w:rsid w:val="0538200B"/>
    <w:rsid w:val="053E2C54"/>
    <w:rsid w:val="06710E08"/>
    <w:rsid w:val="0762073E"/>
    <w:rsid w:val="08A04AF6"/>
    <w:rsid w:val="09120680"/>
    <w:rsid w:val="09A45050"/>
    <w:rsid w:val="09FA1199"/>
    <w:rsid w:val="0A182626"/>
    <w:rsid w:val="0A5B05D9"/>
    <w:rsid w:val="0A7730A6"/>
    <w:rsid w:val="0AE0030A"/>
    <w:rsid w:val="0D6B0DE4"/>
    <w:rsid w:val="0D8A6F81"/>
    <w:rsid w:val="0DFB64CD"/>
    <w:rsid w:val="0E39045D"/>
    <w:rsid w:val="0E865ECE"/>
    <w:rsid w:val="0E936CC2"/>
    <w:rsid w:val="0EE967FA"/>
    <w:rsid w:val="0F4075C9"/>
    <w:rsid w:val="0F4672D5"/>
    <w:rsid w:val="0F4E40DD"/>
    <w:rsid w:val="0F6F4465"/>
    <w:rsid w:val="103412D0"/>
    <w:rsid w:val="105738F2"/>
    <w:rsid w:val="10E279BE"/>
    <w:rsid w:val="11F50142"/>
    <w:rsid w:val="122E6778"/>
    <w:rsid w:val="124949E7"/>
    <w:rsid w:val="13B76BA2"/>
    <w:rsid w:val="154649B5"/>
    <w:rsid w:val="15D708BB"/>
    <w:rsid w:val="15F52619"/>
    <w:rsid w:val="17CB6513"/>
    <w:rsid w:val="17E30CEE"/>
    <w:rsid w:val="185D6BC0"/>
    <w:rsid w:val="195E346D"/>
    <w:rsid w:val="19A5164A"/>
    <w:rsid w:val="19AE7309"/>
    <w:rsid w:val="19BA4B96"/>
    <w:rsid w:val="1A18361C"/>
    <w:rsid w:val="1A902BB0"/>
    <w:rsid w:val="1B9E3D36"/>
    <w:rsid w:val="1BA06E8C"/>
    <w:rsid w:val="1BBA3A2F"/>
    <w:rsid w:val="1C28358D"/>
    <w:rsid w:val="1C686EB5"/>
    <w:rsid w:val="1C8F2A04"/>
    <w:rsid w:val="1CFA3D20"/>
    <w:rsid w:val="1D8B6157"/>
    <w:rsid w:val="20365C75"/>
    <w:rsid w:val="20863AF3"/>
    <w:rsid w:val="20FD3BD3"/>
    <w:rsid w:val="218B2C39"/>
    <w:rsid w:val="22597BF6"/>
    <w:rsid w:val="227819CB"/>
    <w:rsid w:val="22811364"/>
    <w:rsid w:val="23256975"/>
    <w:rsid w:val="23423424"/>
    <w:rsid w:val="240C4724"/>
    <w:rsid w:val="243F7370"/>
    <w:rsid w:val="2473547F"/>
    <w:rsid w:val="2488030D"/>
    <w:rsid w:val="2547125A"/>
    <w:rsid w:val="26053E04"/>
    <w:rsid w:val="26DD3CEE"/>
    <w:rsid w:val="270359EC"/>
    <w:rsid w:val="2734580E"/>
    <w:rsid w:val="27F05BD9"/>
    <w:rsid w:val="27F12816"/>
    <w:rsid w:val="28862099"/>
    <w:rsid w:val="2A03029E"/>
    <w:rsid w:val="2A8E004C"/>
    <w:rsid w:val="2ACC7B67"/>
    <w:rsid w:val="2B6A1BE2"/>
    <w:rsid w:val="2C425EFD"/>
    <w:rsid w:val="2CB90995"/>
    <w:rsid w:val="2D5179CF"/>
    <w:rsid w:val="2ED5581D"/>
    <w:rsid w:val="2F0A0AC9"/>
    <w:rsid w:val="2F25260C"/>
    <w:rsid w:val="2F633FA7"/>
    <w:rsid w:val="2F93758B"/>
    <w:rsid w:val="308A097E"/>
    <w:rsid w:val="30EF7EC2"/>
    <w:rsid w:val="319039E6"/>
    <w:rsid w:val="32085AE3"/>
    <w:rsid w:val="327F0D3B"/>
    <w:rsid w:val="331A4758"/>
    <w:rsid w:val="3369385E"/>
    <w:rsid w:val="33865134"/>
    <w:rsid w:val="33CA23C6"/>
    <w:rsid w:val="345C4021"/>
    <w:rsid w:val="35C0542C"/>
    <w:rsid w:val="36483084"/>
    <w:rsid w:val="372B2789"/>
    <w:rsid w:val="384F06F9"/>
    <w:rsid w:val="395026E3"/>
    <w:rsid w:val="39904B26"/>
    <w:rsid w:val="39A43A9C"/>
    <w:rsid w:val="3AE72E6B"/>
    <w:rsid w:val="3AFF33E8"/>
    <w:rsid w:val="3B3E4CD7"/>
    <w:rsid w:val="3C1B2370"/>
    <w:rsid w:val="3C2D3B80"/>
    <w:rsid w:val="3D467226"/>
    <w:rsid w:val="3D476359"/>
    <w:rsid w:val="3D9A658C"/>
    <w:rsid w:val="3DE10046"/>
    <w:rsid w:val="3DEE1D80"/>
    <w:rsid w:val="3DF338D5"/>
    <w:rsid w:val="3EA378DA"/>
    <w:rsid w:val="3EF73899"/>
    <w:rsid w:val="3F651E10"/>
    <w:rsid w:val="42380887"/>
    <w:rsid w:val="426C16E4"/>
    <w:rsid w:val="427A5EEA"/>
    <w:rsid w:val="42C41CE4"/>
    <w:rsid w:val="42D51FF3"/>
    <w:rsid w:val="437D79C7"/>
    <w:rsid w:val="43D85920"/>
    <w:rsid w:val="442742D8"/>
    <w:rsid w:val="442F62DC"/>
    <w:rsid w:val="443B5FD6"/>
    <w:rsid w:val="450779FD"/>
    <w:rsid w:val="459220B9"/>
    <w:rsid w:val="46DB7A17"/>
    <w:rsid w:val="47D227AD"/>
    <w:rsid w:val="48333FF5"/>
    <w:rsid w:val="485E6BC5"/>
    <w:rsid w:val="493D6FFD"/>
    <w:rsid w:val="49430615"/>
    <w:rsid w:val="49B72972"/>
    <w:rsid w:val="49FA5FEB"/>
    <w:rsid w:val="4A3E0C6F"/>
    <w:rsid w:val="4ADE0F37"/>
    <w:rsid w:val="4B914BF5"/>
    <w:rsid w:val="4C3C2346"/>
    <w:rsid w:val="4C7D3400"/>
    <w:rsid w:val="4CB171D5"/>
    <w:rsid w:val="4CB230FF"/>
    <w:rsid w:val="4D180705"/>
    <w:rsid w:val="4D413CB4"/>
    <w:rsid w:val="4EE564B0"/>
    <w:rsid w:val="4FFC159D"/>
    <w:rsid w:val="50ED0658"/>
    <w:rsid w:val="50FC37C6"/>
    <w:rsid w:val="51832493"/>
    <w:rsid w:val="51CD3614"/>
    <w:rsid w:val="522400A9"/>
    <w:rsid w:val="529E0D9A"/>
    <w:rsid w:val="531539E5"/>
    <w:rsid w:val="53D55AFF"/>
    <w:rsid w:val="53FC6986"/>
    <w:rsid w:val="542F0A3D"/>
    <w:rsid w:val="54A60BE9"/>
    <w:rsid w:val="54A65E3F"/>
    <w:rsid w:val="54E3684D"/>
    <w:rsid w:val="559A7000"/>
    <w:rsid w:val="5628185A"/>
    <w:rsid w:val="56770AFB"/>
    <w:rsid w:val="573C6F55"/>
    <w:rsid w:val="57D63A28"/>
    <w:rsid w:val="57F95C42"/>
    <w:rsid w:val="581B6CF3"/>
    <w:rsid w:val="583E0F9F"/>
    <w:rsid w:val="58527420"/>
    <w:rsid w:val="585F0652"/>
    <w:rsid w:val="591A5625"/>
    <w:rsid w:val="5978102D"/>
    <w:rsid w:val="5980136F"/>
    <w:rsid w:val="59DD58A1"/>
    <w:rsid w:val="5A2108E3"/>
    <w:rsid w:val="5A8F0516"/>
    <w:rsid w:val="5AE900E2"/>
    <w:rsid w:val="5AE92129"/>
    <w:rsid w:val="5B1C7423"/>
    <w:rsid w:val="5C7F1F93"/>
    <w:rsid w:val="5CFE2534"/>
    <w:rsid w:val="5E72647F"/>
    <w:rsid w:val="5E834DD9"/>
    <w:rsid w:val="5F236DE7"/>
    <w:rsid w:val="5F9D42E7"/>
    <w:rsid w:val="5FE76832"/>
    <w:rsid w:val="604D2EC1"/>
    <w:rsid w:val="608E3660"/>
    <w:rsid w:val="60A5089F"/>
    <w:rsid w:val="61201EA9"/>
    <w:rsid w:val="617B7B59"/>
    <w:rsid w:val="620B4DE2"/>
    <w:rsid w:val="621505DC"/>
    <w:rsid w:val="62307304"/>
    <w:rsid w:val="625D22A8"/>
    <w:rsid w:val="63025693"/>
    <w:rsid w:val="643735C6"/>
    <w:rsid w:val="648D7D30"/>
    <w:rsid w:val="64C764C7"/>
    <w:rsid w:val="64FD5243"/>
    <w:rsid w:val="657340D8"/>
    <w:rsid w:val="65C0401D"/>
    <w:rsid w:val="65C45F55"/>
    <w:rsid w:val="662648F8"/>
    <w:rsid w:val="665F1537"/>
    <w:rsid w:val="678F4E88"/>
    <w:rsid w:val="67AB5867"/>
    <w:rsid w:val="67D85B6C"/>
    <w:rsid w:val="68203EB1"/>
    <w:rsid w:val="682616CA"/>
    <w:rsid w:val="68ED6A71"/>
    <w:rsid w:val="69317B0A"/>
    <w:rsid w:val="69F67FAD"/>
    <w:rsid w:val="6A3D2C1C"/>
    <w:rsid w:val="6ABE40FE"/>
    <w:rsid w:val="6BC009EB"/>
    <w:rsid w:val="6C67192F"/>
    <w:rsid w:val="6CE60189"/>
    <w:rsid w:val="6E04301E"/>
    <w:rsid w:val="6E1C5389"/>
    <w:rsid w:val="6F135C55"/>
    <w:rsid w:val="6F215C44"/>
    <w:rsid w:val="6F5A2F04"/>
    <w:rsid w:val="6FDB37E3"/>
    <w:rsid w:val="705D3AFA"/>
    <w:rsid w:val="72757F8D"/>
    <w:rsid w:val="732820F7"/>
    <w:rsid w:val="734D446A"/>
    <w:rsid w:val="73FD389D"/>
    <w:rsid w:val="740972B4"/>
    <w:rsid w:val="74C80B12"/>
    <w:rsid w:val="75F011DC"/>
    <w:rsid w:val="77FE4FE3"/>
    <w:rsid w:val="78617CDA"/>
    <w:rsid w:val="78C830A0"/>
    <w:rsid w:val="78D36201"/>
    <w:rsid w:val="792F1A3C"/>
    <w:rsid w:val="79B5177D"/>
    <w:rsid w:val="7A1643C2"/>
    <w:rsid w:val="7A463EB9"/>
    <w:rsid w:val="7A8377B3"/>
    <w:rsid w:val="7B8216EB"/>
    <w:rsid w:val="7D9D4043"/>
    <w:rsid w:val="7DE54E45"/>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71"/>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basedOn w:val="40"/>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Char"/>
    <w:qFormat/>
    <w:uiPriority w:val="0"/>
    <w:rPr>
      <w:rFonts w:ascii="宋体" w:hAnsi="Courier New" w:eastAsia="宋体"/>
      <w:kern w:val="2"/>
      <w:sz w:val="21"/>
      <w:lang w:val="en-US" w:eastAsia="zh-CN" w:bidi="ar-SA"/>
    </w:rPr>
  </w:style>
  <w:style w:type="paragraph" w:customStyle="1" w:styleId="54">
    <w:name w:val="Char1"/>
    <w:basedOn w:val="1"/>
    <w:qFormat/>
    <w:uiPriority w:val="0"/>
    <w:rPr>
      <w:rFonts w:ascii="Tahoma" w:hAnsi="Tahoma"/>
      <w:sz w:val="24"/>
      <w:szCs w:val="20"/>
    </w:rPr>
  </w:style>
  <w:style w:type="paragraph" w:customStyle="1" w:styleId="55">
    <w:name w:val="彩色列表 - 强调文字颜色 11"/>
    <w:basedOn w:val="1"/>
    <w:qFormat/>
    <w:uiPriority w:val="34"/>
    <w:pPr>
      <w:ind w:firstLine="420" w:firstLineChars="200"/>
    </w:pPr>
    <w:rPr>
      <w:rFonts w:ascii="Calibri" w:hAnsi="Calibri"/>
      <w:szCs w:val="22"/>
    </w:rPr>
  </w:style>
  <w:style w:type="paragraph" w:customStyle="1" w:styleId="56">
    <w:name w:val="正文文本 21"/>
    <w:basedOn w:val="1"/>
    <w:qFormat/>
    <w:uiPriority w:val="0"/>
    <w:pPr>
      <w:adjustRightInd w:val="0"/>
      <w:spacing w:before="120" w:line="360" w:lineRule="auto"/>
      <w:ind w:firstLine="480"/>
      <w:textAlignment w:val="baseline"/>
    </w:pPr>
    <w:rPr>
      <w:sz w:val="24"/>
      <w:szCs w:val="20"/>
    </w:rPr>
  </w:style>
  <w:style w:type="paragraph" w:customStyle="1" w:styleId="57">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8">
    <w:name w:val="正文文本缩进 21"/>
    <w:basedOn w:val="1"/>
    <w:qFormat/>
    <w:uiPriority w:val="0"/>
    <w:pPr>
      <w:adjustRightInd w:val="0"/>
      <w:spacing w:before="120"/>
      <w:ind w:firstLine="420"/>
      <w:textAlignment w:val="baseline"/>
    </w:pPr>
    <w:rPr>
      <w:sz w:val="24"/>
      <w:szCs w:val="20"/>
    </w:rPr>
  </w:style>
  <w:style w:type="character" w:customStyle="1" w:styleId="59">
    <w:name w:val="Char2"/>
    <w:qFormat/>
    <w:uiPriority w:val="0"/>
    <w:rPr>
      <w:rFonts w:ascii="宋体" w:hAnsi="Courier New" w:eastAsia="宋体" w:cs="宋体"/>
      <w:kern w:val="2"/>
      <w:sz w:val="21"/>
      <w:szCs w:val="21"/>
      <w:lang w:val="en-US" w:eastAsia="zh-CN"/>
    </w:rPr>
  </w:style>
  <w:style w:type="paragraph" w:customStyle="1" w:styleId="60">
    <w:name w:val="标题1"/>
    <w:basedOn w:val="36"/>
    <w:qFormat/>
    <w:uiPriority w:val="0"/>
    <w:pPr>
      <w:spacing w:before="240" w:after="240"/>
      <w:outlineLvl w:val="0"/>
    </w:pPr>
    <w:rPr>
      <w:rFonts w:ascii="Arial" w:hAnsi="Arial" w:cs="Arial"/>
      <w:b/>
      <w:bCs/>
      <w:spacing w:val="2"/>
      <w:sz w:val="44"/>
      <w:szCs w:val="44"/>
    </w:rPr>
  </w:style>
  <w:style w:type="paragraph" w:customStyle="1" w:styleId="61">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2">
    <w:name w:val="样式"/>
    <w:basedOn w:val="1"/>
    <w:next w:val="20"/>
    <w:qFormat/>
    <w:uiPriority w:val="0"/>
    <w:rPr>
      <w:rFonts w:ascii="宋体" w:hAnsi="Courier New" w:cs="宋体"/>
      <w:szCs w:val="21"/>
    </w:rPr>
  </w:style>
  <w:style w:type="paragraph" w:customStyle="1" w:styleId="63">
    <w:name w:val="Char11"/>
    <w:basedOn w:val="1"/>
    <w:qFormat/>
    <w:uiPriority w:val="0"/>
    <w:rPr>
      <w:rFonts w:ascii="Tahoma" w:hAnsi="Tahoma"/>
      <w:sz w:val="24"/>
      <w:szCs w:val="20"/>
    </w:rPr>
  </w:style>
  <w:style w:type="paragraph" w:customStyle="1" w:styleId="64">
    <w:name w:val="Char Char Char Char"/>
    <w:basedOn w:val="1"/>
    <w:qFormat/>
    <w:uiPriority w:val="0"/>
    <w:pPr>
      <w:spacing w:after="160" w:line="240" w:lineRule="exact"/>
    </w:pPr>
    <w:rPr>
      <w:rFonts w:ascii="Cambria" w:hAnsi="Cambria"/>
      <w:szCs w:val="21"/>
    </w:rPr>
  </w:style>
  <w:style w:type="paragraph" w:customStyle="1" w:styleId="65">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6">
    <w:name w:val="List Paragraph"/>
    <w:basedOn w:val="1"/>
    <w:qFormat/>
    <w:uiPriority w:val="34"/>
    <w:pPr>
      <w:ind w:left="205" w:right="169" w:firstLine="655"/>
    </w:pPr>
    <w:rPr>
      <w:rFonts w:ascii="Cambria" w:hAnsi="Cambria"/>
      <w:szCs w:val="21"/>
    </w:rPr>
  </w:style>
  <w:style w:type="table" w:customStyle="1" w:styleId="67">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69">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0">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71">
    <w:name w:val="批注主题 字符"/>
    <w:basedOn w:val="47"/>
    <w:link w:val="37"/>
    <w:qFormat/>
    <w:uiPriority w:val="0"/>
    <w:rPr>
      <w:rFonts w:ascii="Cambria" w:hAnsi="Cambria"/>
      <w:b/>
      <w:bCs/>
      <w:kern w:val="2"/>
      <w:sz w:val="21"/>
      <w:szCs w:val="24"/>
    </w:rPr>
  </w:style>
  <w:style w:type="paragraph" w:customStyle="1" w:styleId="72">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7</Pages>
  <Words>3546</Words>
  <Characters>3936</Characters>
  <Lines>1558</Lines>
  <Paragraphs>1445</Paragraphs>
  <TotalTime>2</TotalTime>
  <ScaleCrop>false</ScaleCrop>
  <LinksUpToDate>false</LinksUpToDate>
  <CharactersWithSpaces>4017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2025-10-23T08:43:00Z</dcterms:created>
  <dc:creator>caowuning</dc:creator>
  <cp:lastModifiedBy>冀松阳</cp:lastModifiedBy>
  <cp:lastPrinted>2009-04-21T09:03:00Z</cp:lastPrinted>
  <dcterms:modified xsi:type="dcterms:W3CDTF">2025-10-27T09:19:10Z</dcterms:modified>
  <dc:title>北 京 市 政 府 采 购</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E47962E8ADA94195A03632BB8A72759E_13</vt:lpwstr>
  </property>
  <property fmtid="{D5CDD505-2E9C-101B-9397-08002B2CF9AE}" pid="4" name="KSOTemplateDocerSaveRecord">
    <vt:lpwstr>eyJoZGlkIjoiNTI5ZmZjMjA2MjdiMDFiYzZmZWIzNjQ5YThhMzQxMzIiLCJ1c2VySWQiOiIxMDI1MTk0NTMzIn0=</vt:lpwstr>
  </property>
</Properties>
</file>