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440404-2024-00276</w:t>
      </w:r>
    </w:p>
    <w:p>
      <w:pPr>
        <w:pStyle w:val="null3"/>
        <w:jc w:val="center"/>
        <w:outlineLvl w:val="3"/>
      </w:pPr>
      <w:r>
        <w:rPr>
          <w:b/>
          <w:sz w:val="24"/>
        </w:rPr>
        <w:t>采购项目编号：</w:t>
      </w:r>
      <w:r>
        <w:rPr>
          <w:b/>
          <w:sz w:val="24"/>
        </w:rPr>
        <w:t>CFZB2024-ZC-001FG</w:t>
      </w:r>
    </w:p>
    <w:p>
      <w:pPr>
        <w:pStyle w:val="null3"/>
        <w:jc w:val="center"/>
        <w:outlineLvl w:val="3"/>
      </w:pPr>
      <w:r>
        <w:rPr>
          <w:b/>
          <w:sz w:val="24"/>
        </w:rPr>
        <w:t>项目名称：</w:t>
      </w:r>
      <w:r>
        <w:rPr>
          <w:b/>
          <w:sz w:val="24"/>
        </w:rPr>
        <w:t>珠海市金湾区红旗镇卫生院2024年年度员工配餐服务采购项目(二次)</w:t>
      </w:r>
    </w:p>
    <w:p>
      <w:pPr>
        <w:pStyle w:val="null3"/>
        <w:jc w:val="center"/>
        <w:outlineLvl w:val="3"/>
      </w:pPr>
      <w:r>
        <w:rPr>
          <w:b/>
          <w:sz w:val="24"/>
        </w:rPr>
        <w:t>采购人：</w:t>
      </w:r>
      <w:r>
        <w:rPr>
          <w:b/>
          <w:sz w:val="24"/>
        </w:rPr>
        <w:t>珠海市金湾区红旗镇卫生院</w:t>
      </w:r>
    </w:p>
    <w:p>
      <w:pPr>
        <w:pStyle w:val="null3"/>
        <w:jc w:val="center"/>
        <w:outlineLvl w:val="3"/>
      </w:pPr>
      <w:r>
        <w:rPr>
          <w:b/>
          <w:sz w:val="24"/>
        </w:rPr>
        <w:t>采购代理机构：</w:t>
      </w:r>
      <w:r>
        <w:rPr>
          <w:b/>
          <w:sz w:val="24"/>
        </w:rPr>
        <w:t>珠海铖锋招标代理有限公司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珠海铖锋招标代理有限公司</w:t>
      </w:r>
      <w:r>
        <w:rPr/>
        <w:t>受</w:t>
      </w:r>
      <w:r>
        <w:rPr/>
        <w:t>珠海市金湾区红旗镇卫生院</w:t>
      </w:r>
      <w:r>
        <w:rPr/>
        <w:t>的委托，采用</w:t>
      </w:r>
      <w:r>
        <w:rPr/>
        <w:t>公开招标</w:t>
      </w:r>
      <w:r>
        <w:rPr/>
        <w:t>方式组织采购</w:t>
      </w:r>
      <w:r>
        <w:rPr/>
        <w:t>珠海市金湾区红旗镇卫生院2024年年度员工配餐服务采购项目(二次)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珠海市金湾区红旗镇卫生院2024年年度员工配餐服务采购项目(二次)</w:t>
      </w:r>
    </w:p>
    <w:p>
      <w:pPr>
        <w:pStyle w:val="null3"/>
        <w:ind w:firstLine="480"/>
      </w:pPr>
      <w:r>
        <w:rPr/>
        <w:t>采购计划编号：</w:t>
      </w:r>
      <w:r>
        <w:rPr/>
        <w:t>440404-2024-00276</w:t>
      </w:r>
    </w:p>
    <w:p>
      <w:pPr>
        <w:pStyle w:val="null3"/>
        <w:ind w:firstLine="480"/>
      </w:pPr>
      <w:r>
        <w:rPr/>
        <w:t>采购项目编号：</w:t>
      </w:r>
      <w:r>
        <w:rPr/>
        <w:t>CFZB2024-ZC-001FG</w:t>
      </w:r>
    </w:p>
    <w:p>
      <w:pPr>
        <w:pStyle w:val="null3"/>
        <w:ind w:firstLine="480"/>
      </w:pPr>
      <w:r>
        <w:rPr/>
        <w:t>采购方式：</w:t>
      </w:r>
      <w:r>
        <w:rPr/>
        <w:t>公开招标</w:t>
      </w:r>
    </w:p>
    <w:p>
      <w:pPr>
        <w:pStyle w:val="null3"/>
        <w:ind w:firstLine="480"/>
      </w:pPr>
      <w:r>
        <w:rPr/>
        <w:t>预算金额：</w:t>
      </w:r>
      <w:r>
        <w:rPr/>
        <w:t>1,250,000.00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采购包1(2024年年度员工配餐服务):</w:t>
      </w:r>
    </w:p>
    <w:p>
      <w:pPr>
        <w:pStyle w:val="null3"/>
      </w:pPr>
      <w:r>
        <w:rPr/>
        <w:t>采购包预算金额：1,250,000.00元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2024年职工配餐服务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1,250,000.00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合同履行期限：合同签订之日起至2024年12月31日止。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2）有依法缴纳税收和社会保障资金的良好记录：投标文件中提供《资格条件承诺函》，格式详见招标公告附件。</w:t>
      </w:r>
    </w:p>
    <w:p>
      <w:pPr>
        <w:pStyle w:val="null3"/>
      </w:pPr>
    </w:p>
    <w:p>
      <w:pPr>
        <w:pStyle w:val="null3"/>
      </w:pPr>
      <w:r>
        <w:rPr/>
        <w:t>3）具有良好的商业信誉和健全的财务会计制度：投标文件中提供《资格条件承诺函》，格式详见招标公告附件。</w:t>
      </w:r>
    </w:p>
    <w:p>
      <w:pPr>
        <w:pStyle w:val="null3"/>
      </w:pPr>
    </w:p>
    <w:p>
      <w:pPr>
        <w:pStyle w:val="null3"/>
      </w:pPr>
      <w:r>
        <w:rPr/>
        <w:t>4）履行合同所必需的设备和专业技术能力：投标文件中提供《资格条件承诺函》，格式详见招标公告附件。</w:t>
      </w:r>
    </w:p>
    <w:p>
      <w:pPr>
        <w:pStyle w:val="null3"/>
      </w:pPr>
    </w:p>
    <w:p>
      <w:pPr>
        <w:pStyle w:val="null3"/>
      </w:pPr>
      <w:r>
        <w:rPr/>
        <w:t>5）参加采购活动前3年内，在经营活动中没有重大违法记录：投标文件中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采购包1（2024年年度员工配餐服务）：</w:t>
      </w:r>
      <w:r>
        <w:rPr/>
        <w:t>本项目属于专门面向中小企业采购的项目。供应商须为符合本项目采购标的对应行业(餐饮业)划分标准的中小企业(监狱企业、残疾人福利单位视同小型、微型企业)。 注：中小企业以供应商填写的《中小企业声明函》(见投标格式) 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采购包1（2024年年度员工配餐服务）：</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3)投标人应具有有效的食品经营许可证或食品药品经营许可证（主体业态须包含集体用餐配送单位）投标文件中提供相关证明文件复印件并加盖公章。</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珠海市金湾区红旗镇卫生院</w:t>
      </w:r>
    </w:p>
    <w:p>
      <w:pPr>
        <w:pStyle w:val="null3"/>
        <w:ind w:firstLine="480"/>
      </w:pPr>
      <w:r>
        <w:rPr/>
        <w:t>地址：</w:t>
      </w:r>
      <w:r>
        <w:rPr/>
        <w:t>珠海市金湾区红旗镇藤山一路1号</w:t>
      </w:r>
    </w:p>
    <w:p>
      <w:pPr>
        <w:pStyle w:val="null3"/>
        <w:ind w:firstLine="480"/>
      </w:pPr>
      <w:r>
        <w:rPr/>
        <w:t>联系方式：</w:t>
      </w:r>
      <w:r>
        <w:rPr/>
        <w:t>0756-7260226</w:t>
      </w:r>
    </w:p>
    <w:p>
      <w:pPr>
        <w:pStyle w:val="null3"/>
        <w:outlineLvl w:val="3"/>
      </w:pPr>
      <w:r>
        <w:rPr>
          <w:b/>
          <w:sz w:val="24"/>
        </w:rPr>
        <w:t>2.采购代理机构信息</w:t>
      </w:r>
    </w:p>
    <w:p>
      <w:pPr>
        <w:pStyle w:val="null3"/>
        <w:ind w:firstLine="480"/>
      </w:pPr>
      <w:r>
        <w:rPr/>
        <w:t>名称：</w:t>
      </w:r>
      <w:r>
        <w:rPr/>
        <w:t>珠海铖锋招标代理有限公司</w:t>
      </w:r>
    </w:p>
    <w:p>
      <w:pPr>
        <w:pStyle w:val="null3"/>
        <w:ind w:firstLine="480"/>
      </w:pPr>
      <w:r>
        <w:rPr/>
        <w:t>地址：</w:t>
      </w:r>
      <w:r>
        <w:rPr/>
        <w:t>广东省珠海市香洲区珠海市香洲区沿河东路363号三楼302之一</w:t>
      </w:r>
    </w:p>
    <w:p>
      <w:pPr>
        <w:pStyle w:val="null3"/>
        <w:ind w:firstLine="480"/>
      </w:pPr>
      <w:r>
        <w:rPr/>
        <w:t>联系方式：</w:t>
      </w:r>
      <w:r>
        <w:rPr/>
        <w:t>0756-2189002</w:t>
      </w:r>
    </w:p>
    <w:p>
      <w:pPr>
        <w:pStyle w:val="null3"/>
        <w:outlineLvl w:val="3"/>
      </w:pPr>
      <w:r>
        <w:rPr>
          <w:b/>
          <w:sz w:val="24"/>
        </w:rPr>
        <w:t>3.项目联系方式</w:t>
      </w:r>
    </w:p>
    <w:p>
      <w:pPr>
        <w:pStyle w:val="null3"/>
        <w:ind w:firstLine="480"/>
      </w:pPr>
      <w:r>
        <w:rPr/>
        <w:t>项目联系人：</w:t>
      </w:r>
      <w:r>
        <w:rPr/>
        <w:t>冯越</w:t>
      </w:r>
    </w:p>
    <w:p>
      <w:pPr>
        <w:pStyle w:val="null3"/>
        <w:ind w:firstLine="480"/>
      </w:pPr>
      <w:r>
        <w:rPr/>
        <w:t>电话：</w:t>
      </w:r>
      <w:r>
        <w:rPr/>
        <w:t>0756-2189002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珠海铖锋招标代理有限公司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spacing w:before="60"/>
        <w:ind w:left="105" w:firstLine="240"/>
        <w:jc w:val="left"/>
      </w:pP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2372"/>
        <w:gridCol w:w="2161"/>
        <w:gridCol w:w="1623"/>
        <w:gridCol w:w="2146"/>
      </w:tblGrid>
      <w:tr>
        <w:tc>
          <w:tcPr>
            <w:tcW w:type="dxa" w:w="2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采购内容</w:t>
            </w:r>
          </w:p>
        </w:tc>
        <w:tc>
          <w:tcPr>
            <w:tcW w:type="dxa" w:w="2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单价</w:t>
            </w:r>
            <w:r>
              <w:rPr>
                <w:b/>
                <w:sz w:val="21"/>
              </w:rPr>
              <w:t>最高限价</w:t>
            </w:r>
          </w:p>
          <w:p>
            <w:pPr>
              <w:pStyle w:val="null3"/>
              <w:ind w:firstLine="380"/>
              <w:jc w:val="center"/>
            </w:pPr>
            <w:r>
              <w:rPr>
                <w:b/>
                <w:sz w:val="21"/>
              </w:rPr>
              <w:t>（</w:t>
            </w:r>
            <w:r>
              <w:rPr>
                <w:b/>
                <w:sz w:val="21"/>
              </w:rPr>
              <w:t>人民币</w:t>
            </w:r>
            <w:r>
              <w:rPr>
                <w:b/>
                <w:sz w:val="21"/>
              </w:rPr>
              <w:t>元</w:t>
            </w:r>
            <w:r>
              <w:rPr>
                <w:b/>
                <w:sz w:val="21"/>
              </w:rPr>
              <w:t>/人</w:t>
            </w:r>
            <w:r>
              <w:rPr>
                <w:b/>
                <w:sz w:val="21"/>
              </w:rPr>
              <w:t>/天</w:t>
            </w:r>
            <w:r>
              <w:rPr>
                <w:b/>
                <w:sz w:val="21"/>
              </w:rPr>
              <w:t>）</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采购预算</w:t>
            </w:r>
          </w:p>
          <w:p>
            <w:pPr>
              <w:pStyle w:val="null3"/>
              <w:ind w:firstLine="380"/>
              <w:jc w:val="center"/>
            </w:pPr>
            <w:r>
              <w:rPr>
                <w:b/>
                <w:sz w:val="21"/>
              </w:rPr>
              <w:t>（人民币</w:t>
            </w:r>
            <w:r>
              <w:rPr>
                <w:b/>
                <w:sz w:val="21"/>
              </w:rPr>
              <w:t xml:space="preserve"> </w:t>
            </w:r>
            <w:r>
              <w:rPr>
                <w:b/>
                <w:sz w:val="21"/>
              </w:rPr>
              <w:t>元）</w:t>
            </w:r>
          </w:p>
        </w:tc>
        <w:tc>
          <w:tcPr>
            <w:tcW w:type="dxa" w:w="2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w:t>
            </w:r>
            <w:r>
              <w:rPr>
                <w:b/>
                <w:sz w:val="21"/>
              </w:rPr>
              <w:t>服务期</w:t>
            </w:r>
          </w:p>
        </w:tc>
      </w:tr>
      <w:tr>
        <w:tc>
          <w:tcPr>
            <w:tcW w:type="dxa" w:w="2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2024年职工配餐服务</w:t>
            </w:r>
          </w:p>
        </w:tc>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r>
              <w:rPr>
                <w:sz w:val="21"/>
              </w:rPr>
              <w:t>4</w:t>
            </w:r>
            <w:r>
              <w:rPr>
                <w:sz w:val="21"/>
              </w:rPr>
              <w:t>.30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1,250,000.00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合同签订之日起至</w:t>
            </w:r>
            <w:r>
              <w:rPr>
                <w:sz w:val="21"/>
              </w:rPr>
              <w:t>2024年12月31日止。</w:t>
            </w:r>
          </w:p>
        </w:tc>
      </w:tr>
      <w:tr>
        <w:tc>
          <w:tcPr>
            <w:tcW w:type="dxa" w:w="83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说明：</w:t>
            </w:r>
          </w:p>
          <w:p>
            <w:pPr>
              <w:pStyle w:val="null3"/>
              <w:ind w:firstLine="380"/>
              <w:jc w:val="left"/>
            </w:pPr>
            <w:r>
              <w:rPr>
                <w:sz w:val="21"/>
              </w:rPr>
              <w:t>1.</w:t>
            </w:r>
            <w:r>
              <w:rPr>
                <w:b/>
                <w:sz w:val="21"/>
              </w:rPr>
              <w:t>本项目采购预算人民币</w:t>
            </w:r>
            <w:r>
              <w:rPr>
                <w:b/>
                <w:sz w:val="21"/>
              </w:rPr>
              <w:t>1,250,000.00</w:t>
            </w:r>
            <w:r>
              <w:rPr>
                <w:b/>
                <w:sz w:val="21"/>
              </w:rPr>
              <w:t>元，具体以实际结算为准</w:t>
            </w:r>
            <w:r>
              <w:rPr>
                <w:b/>
                <w:sz w:val="21"/>
              </w:rPr>
              <w:t>，</w:t>
            </w:r>
            <w:r>
              <w:rPr>
                <w:b/>
                <w:sz w:val="21"/>
              </w:rPr>
              <w:t>投标报价总价超采购预算或投标</w:t>
            </w:r>
            <w:r>
              <w:rPr>
                <w:b/>
                <w:sz w:val="21"/>
              </w:rPr>
              <w:t>单价超上限的按无效</w:t>
            </w:r>
            <w:r>
              <w:rPr>
                <w:b/>
                <w:sz w:val="21"/>
              </w:rPr>
              <w:t>报价</w:t>
            </w:r>
            <w:r>
              <w:rPr>
                <w:b/>
                <w:sz w:val="21"/>
              </w:rPr>
              <w:t>处理</w:t>
            </w:r>
            <w:r>
              <w:rPr>
                <w:sz w:val="21"/>
              </w:rPr>
              <w:t>；</w:t>
            </w:r>
          </w:p>
          <w:p>
            <w:pPr>
              <w:pStyle w:val="null3"/>
              <w:ind w:firstLine="380"/>
              <w:jc w:val="left"/>
            </w:pPr>
            <w:r>
              <w:rPr>
                <w:sz w:val="21"/>
              </w:rPr>
              <w:t>2.</w:t>
            </w:r>
            <w:r>
              <w:rPr>
                <w:b/>
                <w:sz w:val="21"/>
              </w:rPr>
              <w:t>本项目用餐时间按</w:t>
            </w:r>
            <w:r>
              <w:rPr>
                <w:b/>
                <w:sz w:val="21"/>
              </w:rPr>
              <w:t>198</w:t>
            </w:r>
            <w:r>
              <w:rPr>
                <w:b/>
                <w:sz w:val="21"/>
              </w:rPr>
              <w:t>个工作日计算（用餐总人数为</w:t>
            </w:r>
            <w:r>
              <w:rPr>
                <w:b/>
                <w:sz w:val="21"/>
              </w:rPr>
              <w:t>260</w:t>
            </w:r>
            <w:r>
              <w:rPr>
                <w:b/>
                <w:sz w:val="21"/>
              </w:rPr>
              <w:t>人）</w:t>
            </w:r>
            <w:r>
              <w:rPr>
                <w:sz w:val="21"/>
              </w:rPr>
              <w:t>；</w:t>
            </w:r>
            <w:r>
              <w:rPr>
                <w:b/>
                <w:sz w:val="21"/>
              </w:rPr>
              <w:t>如单价报价为</w:t>
            </w:r>
            <w:r>
              <w:rPr>
                <w:b/>
                <w:sz w:val="21"/>
              </w:rPr>
              <w:t>24.20元，即投标报价总价为24.2×（198×260）=1,245,816.00元</w:t>
            </w:r>
          </w:p>
          <w:p>
            <w:pPr>
              <w:pStyle w:val="null3"/>
              <w:ind w:firstLine="380"/>
              <w:jc w:val="left"/>
            </w:pPr>
            <w:r>
              <w:rPr>
                <w:sz w:val="21"/>
              </w:rPr>
              <w:t>3.本项目以投标报价总价进行价格评分的计算；</w:t>
            </w:r>
          </w:p>
          <w:p>
            <w:pPr>
              <w:pStyle w:val="null3"/>
              <w:ind w:firstLine="380"/>
              <w:jc w:val="left"/>
            </w:pPr>
            <w:r>
              <w:rPr>
                <w:sz w:val="21"/>
              </w:rPr>
              <w:t>4.</w:t>
            </w:r>
            <w:r>
              <w:rPr>
                <w:b/>
                <w:sz w:val="21"/>
              </w:rPr>
              <w:t>本项目投标报价总价及分项报价均须按招标要求提供，否则按无效投标处理</w:t>
            </w:r>
            <w:r>
              <w:rPr>
                <w:sz w:val="21"/>
              </w:rPr>
              <w:t>。</w:t>
            </w:r>
          </w:p>
        </w:tc>
      </w:tr>
    </w:tbl>
    <w:p>
      <w:pPr>
        <w:pStyle w:val="null3"/>
        <w:ind w:firstLine="480"/>
        <w:jc w:val="both"/>
      </w:pPr>
      <w:r>
        <w:rPr>
          <w:sz w:val="21"/>
        </w:rPr>
        <w:t>备注：</w:t>
      </w:r>
    </w:p>
    <w:p>
      <w:pPr>
        <w:pStyle w:val="null3"/>
        <w:ind w:firstLine="420"/>
        <w:jc w:val="both"/>
      </w:pPr>
      <w:r>
        <w:rPr>
          <w:sz w:val="21"/>
        </w:rPr>
        <w:t>1.投标人须对本项目以采购包为单位的采购标的进行整体投标，任何只对以采购包为单位的采购标的其中一部分内容、数量进行的投标都被视为无效投标。</w:t>
      </w:r>
    </w:p>
    <w:p>
      <w:pPr>
        <w:pStyle w:val="null3"/>
        <w:ind w:firstLine="420"/>
        <w:jc w:val="both"/>
      </w:pPr>
      <w:r>
        <w:rPr>
          <w:sz w:val="21"/>
        </w:rPr>
        <w:t>2.详细服务技术规范请参阅招标文件中的用户需求书。投标人必须对本项目全部内容进行投标报价，如有缺漏，将导致投标无效。如投标报价超出最高限价，将导致投标无效。本项目采购本国产品及服务。</w:t>
      </w:r>
    </w:p>
    <w:p>
      <w:pPr>
        <w:pStyle w:val="null3"/>
        <w:ind w:firstLine="420"/>
        <w:jc w:val="both"/>
      </w:pPr>
      <w:r>
        <w:rPr>
          <w:sz w:val="21"/>
        </w:rPr>
        <w:t>3.凡标注“★”号的条款为实质性响应条款，必须逐条进行响应，投标人如有任何一条负偏离或不响应或不满足的，将导致投标无效。</w:t>
      </w:r>
    </w:p>
    <w:p>
      <w:pPr>
        <w:pStyle w:val="null3"/>
        <w:ind w:firstLine="420"/>
        <w:jc w:val="both"/>
      </w:pPr>
      <w:r>
        <w:rPr>
          <w:sz w:val="21"/>
        </w:rPr>
        <w:t>4.需要落实的政府采购政策：《政府采购促进中小企业发展管理办法》（财库〔2020〕46号）、《关于进一步加大政府采购支持中小企业力度的通知》（财库〔2022〕19）、《关于政府采购支持监狱企业发展有关问题的通知》(财库〔2014〕68号)、《关于促进残疾人就业政府采购政策的通知》（财库〔2017〕141号)、《关于调整优化节能产品、环境标志产品政府采购执行机制的通知》（财库〔2019〕9号）、《关于运用政府采购政策支持乡村产业振兴的通知》（财库〔2021〕19 号）、《商品包装政府采购需求标准（试行）》（财办库〔2020〕123 号、《快递包装政府采购需求标准（试行）》（财办库〔2020〕123号）等。</w:t>
      </w:r>
    </w:p>
    <w:p>
      <w:pPr>
        <w:pStyle w:val="null3"/>
      </w:pPr>
    </w:p>
    <w:p>
      <w:pPr>
        <w:pStyle w:val="null3"/>
      </w:pPr>
      <w:r>
        <w:rPr/>
        <w:t>采购包1（2024年年度员工配餐服务）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合同签订之日起至2024年12月31日止。</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每月5日前中标人根据采购人上月实际发生的供餐总金额向采购人开具符合国家规定的正规发票，采购人应在收到正确无误的发票后10个工作日内以转账的形式向中标人付款（如遇节日顺延）。结算前，双方应对当月实际用餐数量及金额进行核对，确认无误之后方可结账； （以上款项均为无息支付。中标人凭以下有效文件与采购人结算:（1）合同；（2）中标人开具的正式发票；（3）中标通知书（复印件加盖中标人公章））</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一）验收方法：中标人将食品送至采购人指定地点后，由采购人指定相关人员对食品的品种、数量、质量进行逐项验收，验收合格后由采购人签名确认；若发现有与采购人要求不符的情况，采购人有权要求中标人重新配餐（含退货、重新采购等）。 验收在采购人和中标人双方共同参与下按国家有关规定、规范以及招标文件的要求和技术指标、投标文件及承诺与合同约定的标准进行验收。</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收取比例：0.8%,说明：合同签订前，中标人须向采购人交纳人民币壹万元整的履约保证金。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其他，本项目要求未尽事宜，中标人须无条件按照采购人的合理要求执行。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2024年职工配餐服务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1,250,000.00</w:t>
            </w:r>
          </w:p>
        </w:tc>
        <w:tc>
          <w:tcPr>
            <w:tcW w:type="dxa" w:w="933"/>
          </w:tcPr>
          <w:p>
            <w:pPr>
              <w:pStyle w:val="null3"/>
              <w:jc w:val="right"/>
            </w:pPr>
            <w:r>
              <w:rPr/>
              <w:t>1,250,000.00</w:t>
            </w:r>
          </w:p>
        </w:tc>
        <w:tc>
          <w:tcPr>
            <w:tcW w:type="dxa" w:w="840"/>
          </w:tcPr>
          <w:p>
            <w:pPr>
              <w:pStyle w:val="null3"/>
            </w:pPr>
            <w:r>
              <w:rPr/>
              <w:t>餐饮业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2024年职工配餐服务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（一）配餐清单： 用餐总人数：约260人，具体以实际为准。 注：配送费用由中标人承担，不另行支付费用。配餐点如因配餐需要增加或调整，由采购人与中标人另行协商确定。</w:t>
            </w:r>
          </w:p>
        </w:tc>
      </w:tr>
      <w:tr>
        <w:tc>
          <w:tcPr>
            <w:tcW w:type="dxa" w:w="2076"/>
          </w:tcPr>
          <w:p/>
        </w:tc>
        <w:tc>
          <w:tcPr>
            <w:tcW w:type="dxa" w:w="415"/>
          </w:tcPr>
          <w:p>
            <w:pPr>
              <w:pStyle w:val="null3"/>
            </w:pPr>
            <w:r>
              <w:rPr/>
              <w:t>2</w:t>
            </w:r>
          </w:p>
        </w:tc>
        <w:tc>
          <w:tcPr>
            <w:tcW w:type="dxa" w:w="5814"/>
          </w:tcPr>
          <w:p>
            <w:pPr>
              <w:pStyle w:val="null3"/>
            </w:pPr>
            <w:r>
              <w:rPr/>
              <w:t>（二）食品安全管理要求 （1）中标人应针对本项目制定食品安全管理制度[包括但不限于：原材料管理制度、卫生制度（内容包括蔬菜、生肉、鱼、香料等的清洗规程、餐具及锅勺等的清洗与消毒规程、厨房员工卫生操作规程、厨房卫生及垃圾处理规程、库房卫生管理制度、食品留样制度）、索证制度。 （2）采购人有权随时检查中标人的工作现场情况，有权对中标人食堂的原料食品、品质、数量、卫生服务及加工等环节进行监管，有权对原料食品的检验报告进行抽检以及复印备案，定期对中标人的服务进行评定并向中标人提出合理的改善建议。 (3)中标人应派遣训练有素且持有餐饮从业人员合格健康证明的工作人员为采购人提供配餐服务，人员着装必须符合相关卫生要求。中标人应将所有从事该项目配餐服务工作人员的健康证等有关资料提供给采购人备案。若采购人发现中标人配餐工作人员不具备有效健康证，有权要求中标人立即更换符合要求的工作人员，并对中标人处以1000元/次的罚金，在当月的结算款中直接扣除。 (4)中标人配餐工作人员有变，须提前和采购人沟通并提供新进人员有效健康证的复印件。 (5)中标人负责免费提供符合相关卫生要求的餐具作为盛装饭菜的容器。 (6)中标人操作现场须符合有关卫生标准和要求。 (7)中标人保证所购原料和消耗材料质量符合国家卫生部门规定的标准。必须提供无变质腐坏、无泥沙、无公害并符合食品卫生标准的新鲜蔬菜，鲜活的水产和禽类；鲜肉、干货、冻品须由符合国家食品安全相关管理规定的供应商供应；标明生产厂家、生产日期、并在保质期内的封装食品等，并能随时向采购人提供原料商的营运资格证明，预防万一出现食物卫生问题时可迅速追溯源头。 (8)中标人须遵守国家及地方性有关食品卫生、安全方面的法律法规或其他规范性文件的规定。 (9)中标人严格保证食品原料、餐具的质量和卫生状况，并应当购买食品卫生责任保险并向采购人出示相应凭证（并交采购人存档备案），以保证在发生食物中毒事件时其有能力对受害者进行赔付。如因食用中标人提供的食物而发生食物中毒造成的后果由中标人承担全部责任（包括但不限于中毒员工的治疗费、医药费、手术费、住院费、营养费及治疗期间所要支付的工资等，及因员工中毒所造成的采购人的其他经济损失）。 (10)中标人承诺所制作的食品符合国家卫生部门要求，并对每天提供的主要食品留样48小时，采购人有权利随时检查中标人是否有将食物留样。 (11)中标人负责餐厅环境的卫生保洁工作，并承担由此而产生的相关费用。 (12)中标人须具备对食品安全进行检测和检验的能力，以确保所提供的餐食能够满足相关标准和要求。</w:t>
            </w:r>
          </w:p>
        </w:tc>
      </w:tr>
      <w:tr>
        <w:tc>
          <w:tcPr>
            <w:tcW w:type="dxa" w:w="2076"/>
          </w:tcPr>
          <w:p/>
        </w:tc>
        <w:tc>
          <w:tcPr>
            <w:tcW w:type="dxa" w:w="415"/>
          </w:tcPr>
          <w:p>
            <w:pPr>
              <w:pStyle w:val="null3"/>
            </w:pPr>
            <w:r>
              <w:rPr/>
              <w:t>3</w:t>
            </w:r>
          </w:p>
        </w:tc>
        <w:tc>
          <w:tcPr>
            <w:tcW w:type="dxa" w:w="5814"/>
          </w:tcPr>
          <w:p>
            <w:pPr>
              <w:pStyle w:val="null3"/>
            </w:pPr>
            <w:r>
              <w:rPr/>
              <w:t>（三）应急突发事件处理要求 （1）中标人需制定突发应急保障应对方案，遇不可抗力因素造成不能供餐时， 中标人须提供临时配餐方案以保障采购人职工不误餐。 （2）突发应急保障包括但不限于极端天气、停水停电、原材料无法及时到达厨房、临时增加就餐人员、食物中毒（就餐人员中发现两人以上食物中毒迹象时）、个别服务人员意外严重缺员、哄抢扰乱供餐秩序等。 （3）采购人应指定每个配餐点的专人负责每天与中标人核对送餐数量，因中标人原因造成误餐，采购人有权要求中标人按当天误餐人数乘以费用的1倍的金额进行经济赔偿。 （4）采购人因故需大面积停餐将提前一周书面通知中标人。 （5）中标人须按约定时间按时送餐，晚点不能超过15分钟（特殊情况，提前与采购人沟通，并征得采购人同意），若有因中标人未能按时送餐且没有提前通知采购人的情况下，无法提供送餐服务的，中标人应立即提供补救措施或赔偿由采购人临时性订餐所支付的全部费用。 (6)如果在中标人提供的饭菜中发现有非食物类的异物，采购人有权要求中标人免费更换新鲜饭菜。如有员工因食入中标人提供的饭菜中的异物出现身体上的不适，因此而产生的费用及损失全部由中标人承担。</w:t>
            </w:r>
          </w:p>
        </w:tc>
      </w:tr>
      <w:tr>
        <w:tc>
          <w:tcPr>
            <w:tcW w:type="dxa" w:w="2076"/>
          </w:tcPr>
          <w:p/>
        </w:tc>
        <w:tc>
          <w:tcPr>
            <w:tcW w:type="dxa" w:w="415"/>
          </w:tcPr>
          <w:p>
            <w:pPr>
              <w:pStyle w:val="null3"/>
            </w:pPr>
            <w:r>
              <w:rPr/>
              <w:t>4</w:t>
            </w:r>
          </w:p>
        </w:tc>
        <w:tc>
          <w:tcPr>
            <w:tcW w:type="dxa" w:w="5814"/>
          </w:tcPr>
          <w:p>
            <w:pPr>
              <w:pStyle w:val="null3"/>
            </w:pPr>
            <w:r>
              <w:rPr/>
              <w:t>（四）膳食配送要求 （1）服务时间：每天午餐于11：20前送达，中标人提供饭盒，并负责清洁。 （2）中标人应提供至少一台车辆为采购人进行送餐。饭菜加工出锅至配送到指定送餐点的时间不得超过2个小时（个别送餐点与其他送餐点送餐时间相差较大的，饭菜应分别制作），应使用保温箱进行配送，且保温箱送达指定送餐点后采购人用餐人员取餐完毕后方可收箱。 （3）中标人员工每天在规定时间将盒饭送到采购人指定地点，与采购人工作人员确定好盒饭餐数，并签名确认。 （4）配餐人数确认：采购人每天16：00前将第二天就餐人数以双方商定的方式报给中标人，以确认人数结算。因中标人原因造成误餐，采购人有权要求中标人按当天误餐人数乘以费用的1倍的金额进行经济赔偿。 （5）采购人有权利要求中标人每周日提供下一周菜谱及要求中标人合理更改菜谱，两周内主菜不重复，采购人应指定专人负责统计每天员工订餐人数，每天16：00前将次日就餐人数以双方商定的方式报给中标人。 （6）中标人根据采购人要求提供以下配餐标准：早餐标准为主食、鸡蛋、牛奶；午、晚餐标准为二荤一配菜（配菜按不低于肉4菜6的比例组成）一素菜一米饭（米饭不少于350克）一汤的组合，为全包价，含发票税金、配送点费用、食材、人工等所有与配餐有关的费用，中标人自行制定除米饭之外的菜式。食材要求：大米使用台山油粘米或同品质以上大米，菜肴制作用油为金龙鱼调和油或同类品质以上用油，所有加工原料必须符合食品卫生标准，严禁用假冒、伪劣、变质的原料制作。 (7)中标人将指派至少一名员工担任本项目的专职管理人员，负责供餐服务现场的监督和协调工作以及同采购人的日常联络工作。 (8)中标人根据本招标文件及合同约定负责安排菜单及其他有关的供餐服务事宜。 (9)中标人应定期与采购人保持互动或不定期对餐饮服务总体水平进行满意度调查。例如：饭菜的卫生情况、菜式品种及口味是否满意；送餐员工服务态度等内容。并对调查中所提出的建议或问题制定后续改进计划，同时将一份计划书交付采购人备案。 (10)中标人不得将采购人的送餐服务转包给第三方，如有类似行为，一经发现则采购人有权立即终止合同及不做任何赔偿并保留追责权利。 （11）配餐形式：饭盒；标准。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1.采购代理机构：本项目是指珠海铖锋招标代理有限公司，负责整个采购活动的组织，依法负责编制和发布招标文件，对招标文件拥有最终的解释权，不以任何身份出任评标委员会成员。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珠海市金湾区红旗镇卫生院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采用差额定率累进法计算，以采购预算作为采购代理服务费的计算基数。参照“计价格〔2002〕1980号、发改办价格〔2003〕857号、发改价格〔2011〕534号”规定的服务类的标准，费率如下：中标金额人民币100万元以下部分的收费费率为1.8%；中标金额人民币100万-500万元部分的收费费率为1.32%。按计算后的服务费用下浮5%向中标人收取，如采购代理服务费不足人民币5000.00元的按人民币5000元收取。</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珠海铖锋招标代理有限公司</w:t>
      </w:r>
      <w:r>
        <w:rPr/>
        <w:t>代收。具体操作要求详见</w:t>
      </w:r>
      <w:r>
        <w:rPr/>
        <w:t>珠海铖锋招标代理有限公司</w:t>
      </w:r>
      <w:r>
        <w:rPr/>
        <w:t>有关指引，递交事宜请自行咨询</w:t>
      </w:r>
      <w:r>
        <w:rPr/>
        <w:t>珠海铖锋招标代理有限公司</w:t>
      </w:r>
      <w:r>
        <w:rPr/>
        <w:t>；请各投标人在投标文件递交截止时间前按须知前附表规定的金额递交至</w:t>
      </w:r>
      <w:r>
        <w:rPr/>
        <w:t>珠海铖锋招标代理有限公司</w:t>
      </w:r>
      <w:r>
        <w:rPr/>
        <w:t>，到账情况以开标时</w:t>
      </w:r>
      <w:r>
        <w:rPr/>
        <w:t>珠海铖锋招标代理有限公司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陆先生</w:t>
      </w:r>
    </w:p>
    <w:p>
      <w:pPr>
        <w:pStyle w:val="null3"/>
        <w:ind w:firstLine="480"/>
      </w:pPr>
      <w:r>
        <w:rPr/>
        <w:t>电话：</w:t>
      </w:r>
      <w:r>
        <w:rPr/>
        <w:t>0756--2189002</w:t>
      </w:r>
    </w:p>
    <w:p>
      <w:pPr>
        <w:pStyle w:val="null3"/>
        <w:ind w:firstLine="480"/>
      </w:pPr>
      <w:r>
        <w:rPr/>
        <w:t>传真：</w:t>
      </w:r>
      <w:r>
        <w:rPr/>
        <w:t>/</w:t>
      </w:r>
    </w:p>
    <w:p>
      <w:pPr>
        <w:pStyle w:val="null3"/>
        <w:ind w:firstLine="480"/>
      </w:pPr>
      <w:r>
        <w:rPr/>
        <w:t>邮箱：</w:t>
      </w:r>
      <w:r>
        <w:rPr/>
        <w:t>cfbaoming@126.com</w:t>
      </w:r>
    </w:p>
    <w:p>
      <w:pPr>
        <w:pStyle w:val="null3"/>
        <w:ind w:firstLine="480"/>
      </w:pPr>
      <w:r>
        <w:rPr/>
        <w:t>地址：</w:t>
      </w:r>
      <w:r>
        <w:rPr/>
        <w:t>珠海市香洲区沿河东路363号三楼302房之一</w:t>
      </w:r>
    </w:p>
    <w:p>
      <w:pPr>
        <w:pStyle w:val="null3"/>
        <w:ind w:firstLine="480"/>
      </w:pPr>
      <w:r>
        <w:rPr/>
        <w:t>邮编：</w:t>
      </w:r>
      <w:r>
        <w:rPr/>
        <w:t>519000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政府采购监督管理机构名称：珠海市金湾区财政局</w:t>
      </w:r>
    </w:p>
    <w:p>
      <w:pPr>
        <w:pStyle w:val="null3"/>
      </w:pPr>
      <w:r>
        <w:rPr/>
        <w:t>地  址：珠海市金湾区西湖城区德城路1号</w:t>
      </w:r>
    </w:p>
    <w:p>
      <w:pPr>
        <w:pStyle w:val="null3"/>
      </w:pPr>
      <w:r>
        <w:rPr/>
        <w:t>电  话：0756-7261511</w:t>
      </w:r>
    </w:p>
    <w:p>
      <w:pPr>
        <w:pStyle w:val="null3"/>
      </w:pPr>
      <w:r>
        <w:rPr/>
        <w:t>邮  编：519090</w:t>
      </w:r>
    </w:p>
    <w:p>
      <w:pPr>
        <w:pStyle w:val="null3"/>
      </w:pPr>
      <w:r>
        <w:rPr/>
        <w:t>传  真：无</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采购包1(2024年年度员工配餐服务)：综合评分法,是指投标文件满足招标文件全部实质性要求，且按照评审因素的量化指标评审得分最高的投标人为中标候选人的评标方法。（最低报价不是中标的唯一依据。）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珠海铖锋招标代理有限公司</w:t>
      </w:r>
      <w:r>
        <w:rPr/>
        <w:t>统一对外发布。</w:t>
      </w:r>
    </w:p>
    <w:p>
      <w:pPr>
        <w:pStyle w:val="null3"/>
        <w:ind w:firstLine="480"/>
      </w:pPr>
      <w:r>
        <w:rPr/>
        <w:t>（2）对</w:t>
      </w:r>
      <w:r>
        <w:rPr/>
        <w:t>珠海铖锋招标代理有限公司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采购包1（2024年年度员工配餐服务）：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采购包1（2024年年度员工配餐服务）：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投标人应具有有效的食品经营许可证或食品药品经营许可证（主体业态须包含集体用餐配送单位）投标文件中提供相关证明文件复印件并加盖公章。</w:t>
            </w:r>
          </w:p>
        </w:tc>
        <w:tc>
          <w:tcPr>
            <w:tcW w:type="dxa" w:w="4238"/>
          </w:tcPr>
          <w:p>
            <w:pPr>
              <w:pStyle w:val="null3"/>
            </w:pPr>
            <w:r>
              <w:rPr/>
              <w:t>投标人应具有有效的食品经营许可证或食品药品经营许可证（主体业态须包含集体用餐配送单位）投标文件中提供相关证明文件复印件并加盖公章。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本项目属于专门面向中小企业采购的项目。供应商须为符合本项目采购标的对应行业(餐饮业)划分标准的中小企业(监狱企业、残疾人福利单位视同小型、微型企业)。 注：中小企业以供应商填写的《中小企业声明函》(见投标格式) 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采购包1（2024年年度员工配餐服务）：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投标报价满足招标文件要求</w:t>
            </w:r>
          </w:p>
        </w:tc>
        <w:tc>
          <w:tcPr>
            <w:tcW w:type="dxa" w:w="4238"/>
          </w:tcPr>
          <w:p>
            <w:pPr>
              <w:pStyle w:val="null3"/>
            </w:pPr>
            <w:r>
              <w:rPr/>
              <w:t>投标报价满足招标文件要求</w:t>
            </w:r>
          </w:p>
        </w:tc>
      </w:tr>
      <w:tr>
        <w:tc>
          <w:tcPr>
            <w:tcW w:type="dxa" w:w="890"/>
          </w:tcPr>
          <w:p>
            <w:pPr>
              <w:pStyle w:val="null3"/>
            </w:pPr>
            <w:r>
              <w:rPr/>
              <w:t>4</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采购包1(2024年年度员工配餐服务):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商务部分48.0分</w:t>
            </w:r>
          </w:p>
          <w:p>
            <w:pPr>
              <w:pStyle w:val="null3"/>
            </w:pPr>
            <w:r>
              <w:rPr/>
              <w:t>技术部分42.0分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食品安全管理方案 (12.0分)</w:t>
            </w:r>
            <w:r>
              <w:rPr/>
              <w:t>，（等次分值选择：</w:t>
            </w:r>
            <w:r>
              <w:rPr/>
              <w:t>0.0;</w:t>
            </w:r>
            <w:r>
              <w:rPr/>
              <w:t>4.0;</w:t>
            </w:r>
            <w:r>
              <w:rPr/>
              <w:t>8.0;</w:t>
            </w:r>
            <w:r>
              <w:rPr/>
              <w:t>12.0;</w:t>
            </w:r>
            <w:r>
              <w:rPr/>
              <w:t>）</w:t>
            </w:r>
          </w:p>
        </w:tc>
        <w:tc>
          <w:tcPr>
            <w:tcW w:type="dxa" w:w="5076"/>
          </w:tcPr>
          <w:p>
            <w:pPr>
              <w:pStyle w:val="null3"/>
              <w:jc w:val="left"/>
            </w:pPr>
            <w:r>
              <w:rPr/>
              <w:t>根据投标人针对第二章采购需求中附表1-1“（二）食品安全管理要求”的相关要求（包括但不限于）进行响应并制定相应的保障实施方案进行综合评分： 1.食品安全管理方案内容详细全面，针对本项目提出的各项保障措施非常切合实际的，完全满足且优于采购需求的，得12分； 2.食品安全管理方案内容全面，针对本项目提出的各项保障措施符合实际，完全满足采购需求的，得8分； 3.食品安全管理方案内容简单，只能满足部分采购需求的，得 4分； 4.食品安全管理方案内容欠缺，各项保障措施不完整的，不能满足采购人项目要求的，得0分。 注：未提供方案不得分。</w:t>
            </w:r>
          </w:p>
        </w:tc>
      </w:tr>
      <w:tr>
        <w:tc>
          <w:tcPr>
            <w:tcW w:type="dxa" w:w="922"/>
            <w:gridSpan w:val="2"/>
            <w:vMerge/>
          </w:tcPr>
          <w:p/>
        </w:tc>
        <w:tc>
          <w:tcPr>
            <w:tcW w:type="dxa" w:w="2307"/>
          </w:tcPr>
          <w:p>
            <w:pPr>
              <w:pStyle w:val="null3"/>
              <w:jc w:val="left"/>
            </w:pPr>
            <w:r>
              <w:rPr/>
              <w:t>应急突发事件处理 (10.0分)</w:t>
            </w:r>
            <w:r>
              <w:rPr/>
              <w:t>，（等次分值选择：</w:t>
            </w:r>
            <w:r>
              <w:rPr/>
              <w:t>0.0;</w:t>
            </w:r>
            <w:r>
              <w:rPr/>
              <w:t>4.0;</w:t>
            </w:r>
            <w:r>
              <w:rPr/>
              <w:t>7.0;</w:t>
            </w:r>
            <w:r>
              <w:rPr/>
              <w:t>10.0;</w:t>
            </w:r>
            <w:r>
              <w:rPr/>
              <w:t>）</w:t>
            </w:r>
          </w:p>
        </w:tc>
        <w:tc>
          <w:tcPr>
            <w:tcW w:type="dxa" w:w="5076"/>
          </w:tcPr>
          <w:p>
            <w:pPr>
              <w:pStyle w:val="null3"/>
              <w:jc w:val="left"/>
            </w:pPr>
            <w:r>
              <w:rPr/>
              <w:t>根据投标人针对第二章采购需求中附表1-1“（三）应急突发事件处理要求”的相关要求（包括但不限于）进行响应并制定相应的保障实施方案进行综合评分： 1.非常全面的紧急情况分析，并能针对突发紧急情况出具非常科学合理的应对措施，完全满足且优于采购需求的，得10分；  2.有全面的紧急情况分析，并能针对紧急情况出具合理的应对措施，完全满足采购需求的，得7分；  3.有紧急情况分析并能出具基本的应对措施但只能满足部分采购需求的，得4分；  4.应急处理方案内容欠缺，不能满足采购人项目要求的，得0分。 注：未提供方案不得分。</w:t>
            </w:r>
          </w:p>
        </w:tc>
      </w:tr>
      <w:tr>
        <w:tc>
          <w:tcPr>
            <w:tcW w:type="dxa" w:w="922"/>
            <w:gridSpan w:val="2"/>
            <w:vMerge/>
          </w:tcPr>
          <w:p/>
        </w:tc>
        <w:tc>
          <w:tcPr>
            <w:tcW w:type="dxa" w:w="2307"/>
          </w:tcPr>
          <w:p>
            <w:pPr>
              <w:pStyle w:val="null3"/>
              <w:jc w:val="left"/>
            </w:pPr>
            <w:r>
              <w:rPr/>
              <w:t>膳食配送方案 (10.0分)</w:t>
            </w:r>
            <w:r>
              <w:rPr/>
              <w:t>，（等次分值选择：</w:t>
            </w:r>
            <w:r>
              <w:rPr/>
              <w:t>0.0;</w:t>
            </w:r>
            <w:r>
              <w:rPr/>
              <w:t>4.0;</w:t>
            </w:r>
            <w:r>
              <w:rPr/>
              <w:t>7.0;</w:t>
            </w:r>
            <w:r>
              <w:rPr/>
              <w:t>10.0;</w:t>
            </w:r>
            <w:r>
              <w:rPr/>
              <w:t>）</w:t>
            </w:r>
          </w:p>
        </w:tc>
        <w:tc>
          <w:tcPr>
            <w:tcW w:type="dxa" w:w="5076"/>
          </w:tcPr>
          <w:p>
            <w:pPr>
              <w:pStyle w:val="null3"/>
              <w:jc w:val="left"/>
            </w:pPr>
            <w:r>
              <w:rPr/>
              <w:t>根据投标人针对第二章采购需求中附表1-1“（四）膳食配送要求”的相关要求（包括但不限于）进行响应并制定相应的保障实施方案进行综合评分： 1.膳食配送方案内容完整，表达清晰，完全满足且优于采购需求的，得10分；  2.膳食配送方案内容明确、完全满足采购需求的，得7分；  3.膳食配送方案内容基本全面但只能满足部分采购需求的，得4分；  4.膳食配送方案内容欠缺，不能满足采购人项目要求的，得0分。 注：未提供方案不得分。</w:t>
            </w:r>
          </w:p>
        </w:tc>
      </w:tr>
      <w:tr>
        <w:tc>
          <w:tcPr>
            <w:tcW w:type="dxa" w:w="922"/>
            <w:gridSpan w:val="2"/>
            <w:vMerge/>
          </w:tcPr>
          <w:p/>
        </w:tc>
        <w:tc>
          <w:tcPr>
            <w:tcW w:type="dxa" w:w="2307"/>
          </w:tcPr>
          <w:p>
            <w:pPr>
              <w:pStyle w:val="null3"/>
              <w:jc w:val="left"/>
            </w:pPr>
            <w:r>
              <w:rPr/>
              <w:t>食品安全投保 (10.0分)</w:t>
            </w:r>
            <w:r>
              <w:rPr/>
              <w:t>，（等次分值选择：</w:t>
            </w:r>
            <w:r>
              <w:rPr/>
              <w:t>0.0;</w:t>
            </w:r>
            <w:r>
              <w:rPr/>
              <w:t>10.0;</w:t>
            </w:r>
            <w:r>
              <w:rPr/>
              <w:t>）</w:t>
            </w:r>
          </w:p>
        </w:tc>
        <w:tc>
          <w:tcPr>
            <w:tcW w:type="dxa" w:w="5076"/>
          </w:tcPr>
          <w:p>
            <w:pPr>
              <w:pStyle w:val="null3"/>
              <w:jc w:val="left"/>
            </w:pPr>
            <w:r>
              <w:rPr/>
              <w:t>根据投标人承诺服务期内为本项目购买食品安全责任保险（有效期覆盖本项目合同期限的）的情况： 1.累计赔偿限额大于或等于人民币200万元，且每次事故每人赔偿限额大于或等于人民币30万元的，得10分； 注：投标文件中须提供有效的食品安全保险单复印件或相关承诺函，不提供不得分。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原材料入货渠道及质量安全保障 (20.0分)</w:t>
            </w:r>
          </w:p>
        </w:tc>
        <w:tc>
          <w:tcPr>
            <w:tcW w:type="dxa" w:w="5076"/>
          </w:tcPr>
          <w:p>
            <w:pPr>
              <w:pStyle w:val="null3"/>
              <w:jc w:val="left"/>
            </w:pPr>
            <w:r>
              <w:rPr/>
              <w:t>（一）根据投标人提供的原材料入货渠道证明文件进行评审： 投标人具有食品原材料大米、油、蔬菜、猪肉、水产、家禽等正规有效供货渠道的，每提供一项得2分，满分12分。 注：投标文件中须提供进货合同（或进货发票）及供货单位营业执照复印件加盖公章，如原材料为自有的需提供生产基地证明材料盖公章，否则不得分。 （二）根据各投标人自有的检测能力进行评分：    投标人拟投入的食品安全检验检测设备具有以下功能：农药残留、食用油酸、过氧化值快速检测，黄曲霉素检测的，每具有一项功能的，得2分，最高8分。 注：投标文件中须提供上述设备购买发票、图片及相关功能证明材料加盖投标人公章，否则不得分。</w:t>
            </w:r>
          </w:p>
        </w:tc>
      </w:tr>
      <w:tr>
        <w:tc>
          <w:tcPr>
            <w:tcW w:type="dxa" w:w="922"/>
            <w:gridSpan w:val="2"/>
            <w:vMerge/>
          </w:tcPr>
          <w:p/>
        </w:tc>
        <w:tc>
          <w:tcPr>
            <w:tcW w:type="dxa" w:w="2307"/>
          </w:tcPr>
          <w:p>
            <w:pPr>
              <w:pStyle w:val="null3"/>
              <w:jc w:val="left"/>
            </w:pPr>
            <w:r>
              <w:rPr/>
              <w:t>拟投入本项目人员素质 (15.0分)</w:t>
            </w:r>
          </w:p>
        </w:tc>
        <w:tc>
          <w:tcPr>
            <w:tcW w:type="dxa" w:w="5076"/>
          </w:tcPr>
          <w:p>
            <w:pPr>
              <w:pStyle w:val="null3"/>
              <w:jc w:val="left"/>
            </w:pPr>
            <w:r>
              <w:rPr/>
              <w:t>1、投标人拟投入本项目人员中通过高级食品安全员考试合格的（提供食品药品或市场监督管理主管部门监制的证书复印件并加盖投标人公章），每人得4分，本项最高得12分； 2、投标人拟投入人员中具有营养师证的，每人得3分，本项最高得3分。（提供相关证书复印件并加盖投标人公章）</w:t>
            </w:r>
          </w:p>
        </w:tc>
      </w:tr>
      <w:tr>
        <w:tc>
          <w:tcPr>
            <w:tcW w:type="dxa" w:w="922"/>
            <w:gridSpan w:val="2"/>
            <w:vMerge/>
          </w:tcPr>
          <w:p/>
        </w:tc>
        <w:tc>
          <w:tcPr>
            <w:tcW w:type="dxa" w:w="2307"/>
          </w:tcPr>
          <w:p>
            <w:pPr>
              <w:pStyle w:val="null3"/>
              <w:jc w:val="left"/>
            </w:pPr>
            <w:r>
              <w:rPr/>
              <w:t>相关业绩 (8.0分)</w:t>
            </w:r>
            <w:r>
              <w:rPr/>
              <w:t>，（等次分值选择：</w:t>
            </w:r>
            <w:r>
              <w:rPr/>
              <w:t>0.0;</w:t>
            </w:r>
            <w:r>
              <w:rPr/>
              <w:t>4.0;</w:t>
            </w:r>
            <w:r>
              <w:rPr/>
              <w:t>8.0;</w:t>
            </w:r>
            <w:r>
              <w:rPr/>
              <w:t>）</w:t>
            </w:r>
          </w:p>
        </w:tc>
        <w:tc>
          <w:tcPr>
            <w:tcW w:type="dxa" w:w="5076"/>
          </w:tcPr>
          <w:p>
            <w:pPr>
              <w:pStyle w:val="null3"/>
              <w:jc w:val="left"/>
            </w:pPr>
            <w:r>
              <w:rPr/>
              <w:t>2021年1月以来，投标人承担过同类项目（是指集体用餐配送服务）业务的：每一个项目得4分，最高得8分； 注：投标文件须提供相关合同关键页（含签订合同双方的单位名称、合同项目名称、签订合同双方的落款盖章、签订日期的关键页），否则不得分。同一业主项目只计一次得分。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供应商诚信管理有关事项的通知》(珠财采通(2022)20号)要求，对供应商的诚信状况（普通失信行为）进行评分，具体计算公式如下：诚信记录评审得分=供应商上一年度诚信记录得分×5%。 注：1.采购代理机构于投标截止时间后，在评审活动开始前，通过广东政府采购网“其他监管检查公告”栏和珠海市财政局网站“信用财政”栏查询投标（响应）供应商的诚信状况（即供应商上一年度的诚信记录得分），提供给评标委员会，由评标委员会根据上述公式进行评审打分。2.首次参加珠海市政府采购活动的供应商诚信管理基础得分为100分，在广东政府采购网“其他监管检查公告”栏和珠海市财政局网站“信用财政”栏查询不到相关供应商扣分记录的，视为该供应商上一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sz w:val="30"/>
        </w:rPr>
        <w:t xml:space="preserve"> </w:t>
      </w:r>
    </w:p>
    <w:p>
      <w:pPr>
        <w:pStyle w:val="null3"/>
        <w:spacing w:before="0" w:after="0"/>
        <w:ind w:left="0" w:right="0" w:firstLine="480"/>
        <w:jc w:val="center"/>
      </w:pPr>
      <w:r>
        <w:rPr>
          <w:b/>
          <w:sz w:val="30"/>
        </w:rPr>
        <w:t>广东省政府采购</w:t>
      </w:r>
    </w:p>
    <w:p>
      <w:pPr>
        <w:pStyle w:val="null3"/>
        <w:spacing w:before="150" w:after="150"/>
        <w:ind w:left="0" w:right="0" w:firstLine="480"/>
        <w:jc w:val="both"/>
      </w:pPr>
      <w:r>
        <w:rPr>
          <w:color w:val="222222"/>
          <w:sz w:val="30"/>
        </w:rPr>
        <w:t xml:space="preserve"> </w:t>
      </w:r>
    </w:p>
    <w:p>
      <w:pPr>
        <w:pStyle w:val="null3"/>
        <w:spacing w:before="0" w:after="0"/>
        <w:ind w:left="0" w:right="0" w:firstLine="480"/>
        <w:jc w:val="center"/>
      </w:pPr>
      <w:r>
        <w:rPr>
          <w:b/>
          <w:sz w:val="30"/>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sz w:val="21"/>
        </w:rPr>
        <w:t xml:space="preserve">甲方： </w:t>
      </w:r>
      <w:r>
        <w:rPr>
          <w:sz w:val="21"/>
          <w:u w:val="single"/>
        </w:rPr>
        <w:t>　　　　　</w:t>
      </w:r>
      <w:r>
        <w:rPr>
          <w:sz w:val="21"/>
          <w:u w:val="single"/>
        </w:rPr>
        <w:t xml:space="preserve"> </w:t>
      </w:r>
      <w:r>
        <w:rPr>
          <w:sz w:val="21"/>
          <w:u w:val="single"/>
        </w:rPr>
        <w:t xml:space="preserve"> </w:t>
      </w:r>
    </w:p>
    <w:p>
      <w:pPr>
        <w:pStyle w:val="null3"/>
        <w:spacing w:before="0" w:after="0"/>
        <w:ind w:left="0" w:right="0" w:firstLine="480"/>
        <w:jc w:val="both"/>
      </w:pPr>
      <w:r>
        <w:rPr>
          <w:color w:val="222222"/>
          <w:sz w:val="21"/>
        </w:rPr>
        <w:t>电话：</w:t>
      </w:r>
      <w:r>
        <w:rPr>
          <w:color w:val="222222"/>
          <w:sz w:val="21"/>
        </w:rPr>
        <w:t xml:space="preserve"> </w:t>
      </w:r>
      <w:r>
        <w:rPr>
          <w:sz w:val="21"/>
          <w:u w:val="single"/>
        </w:rPr>
        <w:t>　　　　</w:t>
      </w:r>
      <w:r>
        <w:rPr>
          <w:sz w:val="21"/>
          <w:u w:val="single"/>
        </w:rPr>
        <w:t xml:space="preserve"> </w:t>
      </w:r>
      <w:r>
        <w:rPr>
          <w:sz w:val="21"/>
          <w:u w:val="single"/>
        </w:rPr>
        <w:t xml:space="preserve"> </w:t>
      </w:r>
      <w:r>
        <w:rPr>
          <w:color w:val="222222"/>
          <w:sz w:val="21"/>
        </w:rPr>
        <w:t>传真</w:t>
      </w:r>
      <w:r>
        <w:rPr>
          <w:color w:val="222222"/>
          <w:sz w:val="21"/>
        </w:rPr>
        <w:t xml:space="preserve"> </w:t>
      </w:r>
      <w:r>
        <w:rPr>
          <w:color w:val="222222"/>
          <w:sz w:val="21"/>
        </w:rPr>
        <w:t>：</w:t>
      </w:r>
      <w:r>
        <w:rPr>
          <w:color w:val="222222"/>
          <w:sz w:val="21"/>
        </w:rPr>
        <w:t xml:space="preserve"> </w:t>
      </w:r>
      <w:r>
        <w:rPr>
          <w:sz w:val="21"/>
          <w:u w:val="single"/>
        </w:rPr>
        <w:t>　　　</w:t>
      </w:r>
      <w:r>
        <w:rPr>
          <w:sz w:val="21"/>
          <w:u w:val="single"/>
        </w:rPr>
        <w:t xml:space="preserve"> </w:t>
      </w:r>
      <w:r>
        <w:rPr>
          <w:sz w:val="21"/>
          <w:u w:val="single"/>
        </w:rPr>
        <w:t xml:space="preserve"> </w:t>
      </w:r>
      <w:r>
        <w:rPr>
          <w:color w:val="222222"/>
          <w:sz w:val="21"/>
        </w:rPr>
        <w:t>地址：</w:t>
      </w:r>
      <w:r>
        <w:rPr>
          <w:color w:val="222222"/>
          <w:sz w:val="21"/>
        </w:rPr>
        <w:t xml:space="preserve"> </w:t>
      </w:r>
      <w:r>
        <w:rPr>
          <w:sz w:val="21"/>
          <w:u w:val="single"/>
        </w:rPr>
        <w:t>　　　</w:t>
      </w:r>
      <w:r>
        <w:rPr>
          <w:sz w:val="21"/>
          <w:u w:val="single"/>
        </w:rPr>
        <w:t xml:space="preserve"> </w:t>
      </w:r>
      <w:r>
        <w:rPr>
          <w:sz w:val="21"/>
          <w:u w:val="single"/>
        </w:rPr>
        <w:t xml:space="preserve"> </w:t>
      </w:r>
      <w:r>
        <w:rPr>
          <w:sz w:val="21"/>
          <w:u w:val="single"/>
        </w:rPr>
        <w:t xml:space="preserve"> </w:t>
      </w:r>
    </w:p>
    <w:p>
      <w:pPr>
        <w:pStyle w:val="null3"/>
        <w:spacing w:before="0" w:after="0"/>
        <w:ind w:left="0" w:right="0" w:firstLine="480"/>
        <w:jc w:val="both"/>
      </w:pPr>
      <w:r>
        <w:rPr>
          <w:b/>
          <w:sz w:val="21"/>
        </w:rPr>
        <w:t xml:space="preserve">乙方： </w:t>
      </w:r>
      <w:r>
        <w:rPr>
          <w:sz w:val="21"/>
          <w:u w:val="single"/>
        </w:rPr>
        <w:t>　　　　　</w:t>
      </w:r>
      <w:r>
        <w:rPr>
          <w:sz w:val="21"/>
          <w:u w:val="single"/>
        </w:rPr>
        <w:t xml:space="preserve"> </w:t>
      </w:r>
      <w:r>
        <w:rPr>
          <w:sz w:val="21"/>
          <w:u w:val="single"/>
        </w:rPr>
        <w:t xml:space="preserve"> </w:t>
      </w:r>
    </w:p>
    <w:p>
      <w:pPr>
        <w:pStyle w:val="null3"/>
        <w:spacing w:before="0" w:after="0"/>
        <w:ind w:left="0" w:right="0" w:firstLine="480"/>
        <w:jc w:val="both"/>
      </w:pPr>
      <w:r>
        <w:rPr>
          <w:color w:val="222222"/>
          <w:sz w:val="21"/>
        </w:rPr>
        <w:t>电话：</w:t>
      </w:r>
      <w:r>
        <w:rPr>
          <w:color w:val="222222"/>
          <w:sz w:val="21"/>
        </w:rPr>
        <w:t xml:space="preserve"> </w:t>
      </w:r>
      <w:r>
        <w:rPr>
          <w:sz w:val="21"/>
          <w:u w:val="single"/>
        </w:rPr>
        <w:t>　　　　</w:t>
      </w:r>
      <w:r>
        <w:rPr>
          <w:sz w:val="21"/>
          <w:u w:val="single"/>
        </w:rPr>
        <w:t xml:space="preserve"> </w:t>
      </w:r>
      <w:r>
        <w:rPr>
          <w:sz w:val="21"/>
          <w:u w:val="single"/>
        </w:rPr>
        <w:t xml:space="preserve"> </w:t>
      </w:r>
      <w:r>
        <w:rPr>
          <w:sz w:val="21"/>
          <w:u w:val="single"/>
        </w:rPr>
        <w:t xml:space="preserve"> </w:t>
      </w:r>
      <w:r>
        <w:rPr>
          <w:color w:val="222222"/>
          <w:sz w:val="21"/>
        </w:rPr>
        <w:t>传真：</w:t>
      </w:r>
      <w:r>
        <w:rPr>
          <w:sz w:val="21"/>
          <w:u w:val="single"/>
        </w:rPr>
        <w:t>　　　</w:t>
      </w:r>
      <w:r>
        <w:rPr>
          <w:sz w:val="21"/>
          <w:u w:val="single"/>
        </w:rPr>
        <w:t xml:space="preserve"> </w:t>
      </w:r>
      <w:r>
        <w:rPr>
          <w:sz w:val="21"/>
          <w:u w:val="single"/>
        </w:rPr>
        <w:t xml:space="preserve"> </w:t>
      </w:r>
      <w:r>
        <w:rPr>
          <w:sz w:val="21"/>
          <w:u w:val="single"/>
        </w:rPr>
        <w:t xml:space="preserve"> </w:t>
      </w:r>
      <w:r>
        <w:rPr>
          <w:color w:val="222222"/>
          <w:sz w:val="21"/>
        </w:rPr>
        <w:t>地址：</w:t>
      </w:r>
      <w:r>
        <w:rPr>
          <w:color w:val="222222"/>
          <w:sz w:val="21"/>
        </w:rPr>
        <w:t xml:space="preserve"> </w:t>
      </w:r>
      <w:r>
        <w:rPr>
          <w:sz w:val="21"/>
          <w:u w:val="single"/>
        </w:rPr>
        <w:t>　　　</w:t>
      </w:r>
      <w:r>
        <w:rPr>
          <w:sz w:val="21"/>
          <w:u w:val="single"/>
        </w:rPr>
        <w:t xml:space="preserve"> </w:t>
      </w:r>
      <w:r>
        <w:rPr>
          <w:sz w:val="21"/>
          <w:u w:val="single"/>
        </w:rPr>
        <w:t xml:space="preserve">  </w:t>
      </w:r>
    </w:p>
    <w:p>
      <w:pPr>
        <w:pStyle w:val="null3"/>
        <w:spacing w:before="150" w:after="150"/>
        <w:ind w:left="0" w:right="0" w:firstLine="480"/>
        <w:jc w:val="both"/>
      </w:pPr>
      <w:r>
        <w:rPr>
          <w:color w:val="222222"/>
          <w:sz w:val="21"/>
        </w:rPr>
        <w:t xml:space="preserve"> </w:t>
      </w:r>
    </w:p>
    <w:p>
      <w:pPr>
        <w:pStyle w:val="null3"/>
        <w:spacing w:before="0" w:after="0"/>
        <w:ind w:left="0" w:right="0" w:firstLine="480"/>
        <w:jc w:val="both"/>
      </w:pPr>
      <w:r>
        <w:rPr>
          <w:color w:val="222222"/>
          <w:sz w:val="21"/>
        </w:rPr>
        <w:t xml:space="preserve"> </w:t>
      </w:r>
      <w:r>
        <w:rPr>
          <w:color w:val="222222"/>
          <w:sz w:val="21"/>
        </w:rPr>
        <w:t xml:space="preserve"> </w:t>
      </w:r>
      <w:r>
        <w:rPr>
          <w:color w:val="222222"/>
          <w:sz w:val="21"/>
        </w:rPr>
        <w:t>根据</w:t>
      </w:r>
      <w:r>
        <w:rPr>
          <w:color w:val="222222"/>
          <w:sz w:val="21"/>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项目</w:t>
      </w:r>
      <w:r>
        <w:rPr>
          <w:sz w:val="21"/>
          <w:u w:val="single"/>
        </w:rPr>
        <w:t xml:space="preserve"> </w:t>
      </w:r>
      <w:r>
        <w:rPr>
          <w:color w:val="222222"/>
          <w:sz w:val="21"/>
        </w:rPr>
        <w:t>的采购结果，按照《中华人民共和国政府采购法》，《</w:t>
      </w:r>
      <w:r>
        <w:rPr>
          <w:color w:val="222222"/>
          <w:sz w:val="21"/>
        </w:rPr>
        <w:t>中华人民共和国民法典(合同编)</w:t>
      </w:r>
      <w:r>
        <w:rPr>
          <w:color w:val="222222"/>
          <w:sz w:val="21"/>
        </w:rPr>
        <w:t>》的规定，经双方协商，本着平等互利和诚实信用的原则，一致同意遵守本合同如下。</w:t>
      </w:r>
    </w:p>
    <w:p>
      <w:pPr>
        <w:pStyle w:val="null3"/>
        <w:spacing w:before="0" w:after="0"/>
        <w:ind w:left="0" w:right="0" w:firstLine="480"/>
        <w:jc w:val="both"/>
      </w:pPr>
      <w:r>
        <w:rPr>
          <w:b/>
          <w:sz w:val="21"/>
        </w:rPr>
        <w:t>一、合同金额</w:t>
      </w:r>
    </w:p>
    <w:p>
      <w:pPr>
        <w:pStyle w:val="null3"/>
        <w:spacing w:before="0" w:after="0"/>
        <w:ind w:left="0" w:right="0" w:firstLine="480"/>
        <w:jc w:val="both"/>
      </w:pPr>
      <w:r>
        <w:rPr>
          <w:color w:val="222222"/>
          <w:sz w:val="21"/>
        </w:rPr>
        <w:t>　　合同金额为（大写）：_____________元（￥_________元）人民币。</w:t>
      </w:r>
    </w:p>
    <w:p>
      <w:pPr>
        <w:pStyle w:val="null3"/>
        <w:ind w:firstLine="480"/>
        <w:jc w:val="both"/>
      </w:pPr>
      <w:r>
        <w:rPr>
          <w:b/>
          <w:sz w:val="21"/>
        </w:rPr>
        <w:t>二、服务条例及配餐标准</w:t>
      </w:r>
    </w:p>
    <w:p>
      <w:pPr>
        <w:pStyle w:val="null3"/>
        <w:ind w:firstLine="480"/>
        <w:jc w:val="both"/>
      </w:pPr>
      <w:r>
        <w:rPr>
          <w:sz w:val="21"/>
        </w:rPr>
        <w:t>（一）服务时间：于11：20前送达，乙方提供饭盒，并负责清洁。</w:t>
      </w:r>
    </w:p>
    <w:p>
      <w:pPr>
        <w:pStyle w:val="null3"/>
        <w:ind w:firstLine="480"/>
        <w:jc w:val="both"/>
      </w:pPr>
      <w:r>
        <w:rPr>
          <w:sz w:val="21"/>
        </w:rPr>
        <w:t>（二）乙方应提供至少两台车辆为甲方进行送餐。饭菜加工出锅至配送到指定送餐点的时间不得超过2个小时（个别送餐点与其他送餐点送餐时间相差较大的，饭菜应分别制作），应使用保温箱进行配送，且保温箱送达指定送餐点后甲方用餐人员取餐完毕后方可收箱。</w:t>
      </w:r>
    </w:p>
    <w:p>
      <w:pPr>
        <w:pStyle w:val="null3"/>
        <w:ind w:firstLine="480"/>
        <w:jc w:val="both"/>
      </w:pPr>
      <w:r>
        <w:rPr>
          <w:sz w:val="21"/>
        </w:rPr>
        <w:t>（三）乙方员工每天在规定时间将盒饭送到甲方指定地点，与甲方工作人员确定好盒饭餐数，并签名确认。</w:t>
      </w:r>
    </w:p>
    <w:p>
      <w:pPr>
        <w:pStyle w:val="null3"/>
        <w:ind w:firstLine="480"/>
        <w:jc w:val="both"/>
      </w:pPr>
      <w:r>
        <w:rPr>
          <w:sz w:val="21"/>
        </w:rPr>
        <w:t>（四）配餐人数确认：甲方每天16：00前将第二天就餐人数以双方商定的方式报给乙方，以确认人数结算。因乙方原因造成误餐，甲方有权要求乙方按当天误餐人数乘以费用的1倍的金额进行经济赔偿。</w:t>
      </w:r>
    </w:p>
    <w:p>
      <w:pPr>
        <w:pStyle w:val="null3"/>
        <w:ind w:firstLine="480"/>
        <w:jc w:val="both"/>
      </w:pPr>
      <w:r>
        <w:rPr>
          <w:sz w:val="21"/>
        </w:rPr>
        <w:t>（五）乙方根据协商的配餐标准提前编制配餐菜单并发给甲方；</w:t>
      </w:r>
    </w:p>
    <w:p>
      <w:pPr>
        <w:pStyle w:val="null3"/>
        <w:ind w:firstLine="480"/>
        <w:jc w:val="both"/>
      </w:pPr>
      <w:r>
        <w:rPr>
          <w:sz w:val="21"/>
        </w:rPr>
        <w:t>（六）乙方根据甲方要求提供以下配餐标准：     元/天（含税），节假日加菜的，另行计价，以甲方通知为准。配餐形式：饭盒；标准：（按乙方中标时所制定的菜式标准，如因甲方要求提高伙食标准或配餐标准价双方另行协议）。早餐标准为主食、鸡蛋、牛奶；午、晚餐标准为二荤一配菜（配菜按不低于肉4菜6的比例组成）一素菜一米饭（米饭不少于350克）一汤的组合，为全包价，含发票税金、配送点费用、食材、人工等所有与配餐有关的费用，乙方自行制定除米饭之外的菜式。</w:t>
      </w:r>
    </w:p>
    <w:p>
      <w:pPr>
        <w:pStyle w:val="null3"/>
        <w:ind w:firstLine="480"/>
        <w:jc w:val="both"/>
      </w:pPr>
      <w:r>
        <w:rPr>
          <w:sz w:val="21"/>
        </w:rPr>
        <w:t>（七）食材要求：大米使用台山油粘米或同品质以上大米，菜肴制作用油为金龙鱼调和油或同类品质以上用油，所有加工原料必须符合食品卫生标准，严禁用假冒、伪劣、变质的原料制作。</w:t>
      </w:r>
    </w:p>
    <w:p>
      <w:pPr>
        <w:pStyle w:val="null3"/>
        <w:ind w:firstLine="480"/>
        <w:jc w:val="both"/>
      </w:pPr>
      <w:r>
        <w:rPr>
          <w:b/>
          <w:sz w:val="21"/>
        </w:rPr>
        <w:t>三、甲方乙方的权利和义务</w:t>
      </w:r>
    </w:p>
    <w:p>
      <w:pPr>
        <w:pStyle w:val="null3"/>
        <w:ind w:firstLine="420"/>
        <w:jc w:val="both"/>
      </w:pPr>
      <w:r>
        <w:rPr>
          <w:sz w:val="21"/>
        </w:rPr>
        <w:t>1.甲方的权利与义务：</w:t>
      </w:r>
    </w:p>
    <w:p>
      <w:pPr>
        <w:pStyle w:val="null3"/>
        <w:ind w:firstLine="367"/>
        <w:jc w:val="both"/>
      </w:pPr>
      <w:r>
        <w:rPr>
          <w:sz w:val="21"/>
          <w:shd w:fill="FFFFFF" w:val="clear"/>
        </w:rPr>
        <w:t>（一）甲方有权利要求乙方每周四提供下一周菜谱及要求乙方合理更改菜谱，两周内主菜不重复，甲方应指定专人负责统计每天员工订餐人数，每天16：00前将次日就餐人数以双方商定的方式报给乙方。</w:t>
      </w:r>
    </w:p>
    <w:p>
      <w:pPr>
        <w:pStyle w:val="null3"/>
        <w:ind w:firstLine="367"/>
        <w:jc w:val="both"/>
      </w:pPr>
      <w:r>
        <w:rPr>
          <w:sz w:val="21"/>
          <w:shd w:fill="FFFFFF" w:val="clear"/>
        </w:rPr>
        <w:t>（二）甲方有权随时检查乙方的工作现场情况，有权对乙方食堂的原料食品、品质、数量、卫生服务及加工等环节进行监管，有权对原料食品的检验报告进行抽检以及复印备案，定期对乙方的服务进行评定并向乙方提出合理的改善建议。</w:t>
      </w:r>
    </w:p>
    <w:p>
      <w:pPr>
        <w:pStyle w:val="null3"/>
        <w:ind w:firstLine="367"/>
        <w:jc w:val="both"/>
      </w:pPr>
      <w:r>
        <w:rPr>
          <w:sz w:val="21"/>
          <w:shd w:fill="FFFFFF" w:val="clear"/>
        </w:rPr>
        <w:t>（三）甲方应指定每个点专人负责每天与乙方核对送餐数量，因乙方原因造成误餐，甲方有权要求乙方按当天误餐人数乘以费用的1倍的金额进行经济赔偿。</w:t>
      </w:r>
    </w:p>
    <w:p>
      <w:pPr>
        <w:pStyle w:val="null3"/>
        <w:ind w:firstLine="367"/>
        <w:jc w:val="both"/>
      </w:pPr>
      <w:r>
        <w:rPr>
          <w:sz w:val="21"/>
          <w:shd w:fill="FFFFFF" w:val="clear"/>
        </w:rPr>
        <w:t>（四）甲方因故需大面积停餐应当提前一周书面通知乙方。</w:t>
      </w:r>
    </w:p>
    <w:p>
      <w:pPr>
        <w:pStyle w:val="null3"/>
        <w:ind w:firstLine="420"/>
        <w:jc w:val="both"/>
      </w:pPr>
      <w:r>
        <w:rPr>
          <w:sz w:val="21"/>
        </w:rPr>
        <w:t>2.乙方的权利和义务：</w:t>
      </w:r>
    </w:p>
    <w:p>
      <w:pPr>
        <w:pStyle w:val="null3"/>
        <w:ind w:firstLine="420"/>
        <w:jc w:val="both"/>
      </w:pPr>
      <w:r>
        <w:rPr>
          <w:sz w:val="21"/>
        </w:rPr>
        <w:t>（一）乙方须具备政府规定的有效营运资质，并在合同期内保持营运资质的有效性，否则甲方有权解除本合同。</w:t>
      </w:r>
    </w:p>
    <w:p>
      <w:pPr>
        <w:pStyle w:val="null3"/>
        <w:ind w:firstLine="420"/>
        <w:jc w:val="both"/>
      </w:pPr>
      <w:r>
        <w:rPr>
          <w:sz w:val="21"/>
        </w:rPr>
        <w:t>（二）乙方将指派至少一名员工担任本项目的专职管理人员，负责供餐服务现场的监督和协调工作以及同甲方的日常联络工作。</w:t>
      </w:r>
    </w:p>
    <w:p>
      <w:pPr>
        <w:pStyle w:val="null3"/>
        <w:ind w:firstLine="420"/>
        <w:jc w:val="both"/>
      </w:pPr>
      <w:r>
        <w:rPr>
          <w:sz w:val="21"/>
        </w:rPr>
        <w:t>（三）乙方根据本协议约定负责安排菜单及其他有关的供餐服务事宜。</w:t>
      </w:r>
    </w:p>
    <w:p>
      <w:pPr>
        <w:pStyle w:val="null3"/>
        <w:ind w:firstLine="420"/>
        <w:jc w:val="both"/>
      </w:pPr>
      <w:r>
        <w:rPr>
          <w:sz w:val="21"/>
        </w:rPr>
        <w:t>（四）乙方应派遣训练有素且持有餐饮从业人员合格健康证明的工作人员为甲方提供配餐服务，人员着装必须符合相关卫生要求。乙方应将所有从事该项目配餐服务工作人员的健康证等有关资料提供给甲方备案。若甲方发现乙方配餐工作人员不具备有效健康证，有权要求乙方立即更换符合要求的工作人员，并对乙方处以1000元/次的罚金，在当月的结算款中直接扣除。</w:t>
      </w:r>
    </w:p>
    <w:p>
      <w:pPr>
        <w:pStyle w:val="null3"/>
        <w:ind w:firstLine="420"/>
        <w:jc w:val="both"/>
      </w:pPr>
      <w:r>
        <w:rPr>
          <w:sz w:val="21"/>
        </w:rPr>
        <w:t>（五）乙方配餐工作人员有变，须提前和甲方沟通并提供新进人员有效健康证的复印件。</w:t>
      </w:r>
    </w:p>
    <w:p>
      <w:pPr>
        <w:pStyle w:val="null3"/>
        <w:ind w:firstLine="420"/>
        <w:jc w:val="both"/>
      </w:pPr>
      <w:r>
        <w:rPr>
          <w:sz w:val="21"/>
        </w:rPr>
        <w:t>（六）乙方负责免费提供符合相关卫生要求的餐具作为盛装饭菜的容器。</w:t>
      </w:r>
    </w:p>
    <w:p>
      <w:pPr>
        <w:pStyle w:val="null3"/>
        <w:ind w:firstLine="420"/>
        <w:jc w:val="both"/>
      </w:pPr>
      <w:r>
        <w:rPr>
          <w:sz w:val="21"/>
        </w:rPr>
        <w:t>（七）乙方操作现场须符合有关卫生标准和要求。</w:t>
      </w:r>
    </w:p>
    <w:p>
      <w:pPr>
        <w:pStyle w:val="null3"/>
        <w:ind w:firstLine="420"/>
        <w:jc w:val="both"/>
      </w:pPr>
      <w:r>
        <w:rPr>
          <w:sz w:val="21"/>
        </w:rPr>
        <w:t>（八）乙方须按约定时间按时送餐，晚点不能超过15分钟（特殊情况，提前与甲方沟通，并征得甲方同意），若有因乙方未能按时送餐且没有提前通知甲方的情况下，无法提供送餐服务的，乙方应立即提供补救措施或赔偿由甲方临时性订餐所支付的全部费用。</w:t>
      </w:r>
    </w:p>
    <w:p>
      <w:pPr>
        <w:pStyle w:val="null3"/>
        <w:ind w:firstLine="420"/>
        <w:jc w:val="both"/>
      </w:pPr>
      <w:r>
        <w:rPr>
          <w:sz w:val="21"/>
        </w:rPr>
        <w:t>（九）乙方保证所购原料和消耗材料质量符合国家卫生部门规定的标准。必须提供无变质腐坏、无泥沙、无公害并符合食品卫生标准的新鲜蔬菜，鲜活的水产和禽类；鲜肉、干货、冻品须由符合国家食品安全相关管理规定的供应商供应；标明生产厂家、生产日期、并在保质期内的封装食品等，并能随时向甲方提供原料商的营运资格证明，预防万一出现食物卫生问题时可迅速追溯源头。</w:t>
      </w:r>
    </w:p>
    <w:p>
      <w:pPr>
        <w:pStyle w:val="null3"/>
        <w:ind w:firstLine="420"/>
        <w:jc w:val="both"/>
      </w:pPr>
      <w:r>
        <w:rPr>
          <w:sz w:val="21"/>
        </w:rPr>
        <w:t>（十）乙方须遵守国家及地方性有关食品卫生、安全方面的法律、法规或其它规范文件的规定。</w:t>
      </w:r>
    </w:p>
    <w:p>
      <w:pPr>
        <w:pStyle w:val="null3"/>
        <w:ind w:firstLine="420"/>
        <w:jc w:val="both"/>
      </w:pPr>
      <w:r>
        <w:rPr>
          <w:sz w:val="21"/>
        </w:rPr>
        <w:t>（十一）乙方定期与甲方保持互动或不定期对餐饮服务总体水平进行满意度调查。例如：饭菜的卫生情况、菜式品种及口味是否满意；送餐员工服务态度等内容。并对调查中所提出的建议或问题制定后续改进计划，同时将一份计划书交付甲方备案。</w:t>
      </w:r>
    </w:p>
    <w:p>
      <w:pPr>
        <w:pStyle w:val="null3"/>
        <w:ind w:firstLine="420"/>
        <w:jc w:val="both"/>
      </w:pPr>
      <w:r>
        <w:rPr>
          <w:sz w:val="21"/>
        </w:rPr>
        <w:t>（十二）乙方严格保证食品原料、餐具的质量和卫生状况，并应当购买食品卫生责任保险并向甲方出示相应凭证（并交甲方存档备案），以保证在发生食物中毒事件时其有能力对受害者进行赔付。如因食用乙方提供的食物而发生食物中毒造成的后果由乙方承担全部责任（包括但不限于中毒员工的治疗费、医药费、手术费、住院费、营养费及治疗期间所要支付的工资等，及因员工中毒所造成的甲方的其他经济损失）。</w:t>
      </w:r>
    </w:p>
    <w:p>
      <w:pPr>
        <w:pStyle w:val="null3"/>
        <w:ind w:firstLine="420"/>
        <w:jc w:val="both"/>
      </w:pPr>
      <w:r>
        <w:rPr>
          <w:sz w:val="21"/>
        </w:rPr>
        <w:t>（十三）乙方承诺所制作的食品符合国家卫生部门要求，并对每天提供的主要食品留样48小时，甲方有权利随时检查乙方是否有将食物留样。</w:t>
      </w:r>
    </w:p>
    <w:p>
      <w:pPr>
        <w:pStyle w:val="null3"/>
        <w:ind w:firstLine="420"/>
        <w:jc w:val="both"/>
      </w:pPr>
      <w:r>
        <w:rPr>
          <w:sz w:val="21"/>
        </w:rPr>
        <w:t>（十四）如果在乙方提供的饭菜中发现有非食物类的异物，甲方有权要求乙方免费更换新鲜饭菜。如有员工因食入乙方提供的饭菜中的异物出现身体上的不适，因此而产生的费用及损失全部由乙方承担。</w:t>
      </w:r>
    </w:p>
    <w:p>
      <w:pPr>
        <w:pStyle w:val="null3"/>
        <w:ind w:firstLine="420"/>
        <w:jc w:val="both"/>
      </w:pPr>
      <w:r>
        <w:rPr>
          <w:sz w:val="21"/>
        </w:rPr>
        <w:t>（十五）乙方不得将甲方的送餐服务转包给第三方，如有类似行为，一经发现则甲方有权立即终止合同及不做任何赔偿并保留追责权利。</w:t>
      </w:r>
    </w:p>
    <w:p>
      <w:pPr>
        <w:pStyle w:val="null3"/>
        <w:ind w:firstLine="420"/>
        <w:jc w:val="both"/>
      </w:pPr>
      <w:r>
        <w:rPr>
          <w:sz w:val="21"/>
        </w:rPr>
        <w:t>（十六）乙方负责餐厅环境的卫生保洁工作，并承担由此而产生的相关费用。</w:t>
      </w:r>
    </w:p>
    <w:p>
      <w:pPr>
        <w:pStyle w:val="null3"/>
        <w:ind w:firstLine="420"/>
        <w:jc w:val="both"/>
      </w:pPr>
      <w:r>
        <w:rPr>
          <w:sz w:val="21"/>
        </w:rPr>
        <w:t>（十七）合同签订前，乙方应向甲方交纳1万元履约保证金，若合同期内无扣罚事项的，甲方在合同期满后无息退还给乙方。</w:t>
      </w:r>
    </w:p>
    <w:p>
      <w:pPr>
        <w:pStyle w:val="null3"/>
        <w:ind w:firstLine="480"/>
        <w:jc w:val="both"/>
      </w:pPr>
      <w:r>
        <w:rPr>
          <w:b/>
          <w:sz w:val="21"/>
        </w:rPr>
        <w:t>四、服务期间（项目完成期限）</w:t>
      </w:r>
    </w:p>
    <w:p>
      <w:pPr>
        <w:pStyle w:val="null3"/>
        <w:ind w:firstLine="420"/>
        <w:jc w:val="both"/>
      </w:pPr>
      <w:r>
        <w:rPr>
          <w:sz w:val="21"/>
        </w:rPr>
        <w:t>1.试用期为    个月，从    年  月  日起至   年  月  日止，试用期内因乙方饭菜分量、质量及保温等达不到本合同要求或与投标承诺存在较大差距的，甲乙有权单方解除本合同。</w:t>
      </w:r>
    </w:p>
    <w:p>
      <w:pPr>
        <w:pStyle w:val="null3"/>
        <w:ind w:firstLine="420"/>
        <w:jc w:val="both"/>
      </w:pPr>
      <w:r>
        <w:rPr>
          <w:sz w:val="21"/>
        </w:rPr>
        <w:t>2.本协议期限含（试用期），自   年   月   日至     年   月   日起止。</w:t>
      </w:r>
    </w:p>
    <w:p>
      <w:pPr>
        <w:pStyle w:val="null3"/>
        <w:ind w:firstLine="480"/>
        <w:jc w:val="both"/>
      </w:pPr>
      <w:r>
        <w:rPr>
          <w:b/>
          <w:sz w:val="21"/>
        </w:rPr>
        <w:t>五、付款方式</w:t>
      </w:r>
    </w:p>
    <w:p>
      <w:pPr>
        <w:pStyle w:val="null3"/>
        <w:ind w:firstLine="420"/>
        <w:jc w:val="both"/>
      </w:pPr>
      <w:r>
        <w:rPr>
          <w:sz w:val="21"/>
        </w:rPr>
        <w:t>（一）乙方按照本协议及附件的约定提供服务后，将在每月5日前根据甲方上月实际发生的供餐总金额向甲方开具符合国家规定的正规发票，甲方应在收到正确无误的发票后7个工作日内以转账的形式向乙方付款（如遇节日顺延）。结算前，甲乙双方应对当月实际用餐数量及金额进行核对，确认无误之后方可结账。</w:t>
      </w:r>
    </w:p>
    <w:p>
      <w:pPr>
        <w:pStyle w:val="null3"/>
        <w:ind w:firstLine="420"/>
        <w:jc w:val="both"/>
      </w:pPr>
      <w:r>
        <w:rPr>
          <w:sz w:val="21"/>
        </w:rPr>
        <w:t>（二）乙方发票开具单位、收款银行账户名需与本合同一致，出现不一致情况的，甲方有权拒付当月用餐费用。</w:t>
      </w:r>
    </w:p>
    <w:p>
      <w:pPr>
        <w:pStyle w:val="null3"/>
        <w:ind w:firstLine="420"/>
        <w:jc w:val="both"/>
      </w:pPr>
      <w:r>
        <w:rPr>
          <w:sz w:val="21"/>
        </w:rPr>
        <w:t>（三）如果甲方对乙方开具的发票的合规性及金额存有异议，甲方应在收到发票后3日内告知乙方，并附有必要的确凿依据。如乙方原计算的金额确有误差，乙方应按双方共同认可的金额重新开票，而甲方应在收到此修正发票后10个工作日内以转账的形式向乙方付款。</w:t>
      </w:r>
    </w:p>
    <w:p>
      <w:pPr>
        <w:pStyle w:val="null3"/>
        <w:ind w:firstLine="420"/>
        <w:jc w:val="both"/>
      </w:pPr>
      <w:r>
        <w:rPr>
          <w:sz w:val="21"/>
        </w:rPr>
        <w:t>（四）乙方承担因提供本协议约定的供餐服务而产生的应缴所有税费。</w:t>
      </w:r>
    </w:p>
    <w:p>
      <w:pPr>
        <w:pStyle w:val="null3"/>
        <w:ind w:firstLine="420"/>
        <w:jc w:val="both"/>
      </w:pPr>
      <w:r>
        <w:rPr>
          <w:sz w:val="21"/>
        </w:rPr>
        <w:t>（五）乙方银行资料</w:t>
      </w:r>
    </w:p>
    <w:p>
      <w:pPr>
        <w:pStyle w:val="null3"/>
        <w:ind w:firstLine="420"/>
        <w:jc w:val="both"/>
      </w:pPr>
      <w:r>
        <w:rPr>
          <w:sz w:val="21"/>
        </w:rPr>
        <w:t>开户行：</w:t>
      </w:r>
    </w:p>
    <w:p>
      <w:pPr>
        <w:pStyle w:val="null3"/>
        <w:ind w:firstLine="420"/>
        <w:jc w:val="both"/>
      </w:pPr>
      <w:r>
        <w:rPr>
          <w:sz w:val="21"/>
        </w:rPr>
        <w:t>户  名：</w:t>
      </w:r>
    </w:p>
    <w:p>
      <w:pPr>
        <w:pStyle w:val="null3"/>
        <w:ind w:firstLine="420"/>
        <w:jc w:val="both"/>
      </w:pPr>
      <w:r>
        <w:rPr>
          <w:sz w:val="21"/>
        </w:rPr>
        <w:t>账  户：</w:t>
      </w:r>
    </w:p>
    <w:p>
      <w:pPr>
        <w:pStyle w:val="null3"/>
        <w:ind w:firstLine="480"/>
        <w:jc w:val="both"/>
      </w:pPr>
      <w:r>
        <w:rPr>
          <w:b/>
          <w:sz w:val="21"/>
        </w:rPr>
        <w:t>六、履约保证金及考评期</w:t>
      </w:r>
    </w:p>
    <w:p>
      <w:pPr>
        <w:pStyle w:val="null3"/>
        <w:ind w:firstLine="420"/>
        <w:jc w:val="both"/>
      </w:pPr>
      <w:r>
        <w:rPr>
          <w:sz w:val="21"/>
        </w:rPr>
        <w:t>（一）乙方须在签订合同前，向甲方缴纳一万元的履约保证金。</w:t>
      </w:r>
    </w:p>
    <w:p>
      <w:pPr>
        <w:pStyle w:val="null3"/>
        <w:ind w:firstLine="420"/>
        <w:jc w:val="both"/>
      </w:pPr>
      <w:r>
        <w:rPr>
          <w:sz w:val="21"/>
        </w:rPr>
        <w:t>（二）合同期内，如乙方无违反合同规定，则期满时无息退还；若出现乙方违反合同规定的，甲方有权按照相应条款对其进行处罚，处罚金额在当月结算金额中抵扣，结算金额不够抵扣的部分在履约保证金中抵扣，剩余部分履约保证金期满时无息退还。</w:t>
      </w:r>
    </w:p>
    <w:p>
      <w:pPr>
        <w:pStyle w:val="null3"/>
        <w:ind w:firstLine="480"/>
        <w:jc w:val="both"/>
      </w:pPr>
      <w:r>
        <w:rPr>
          <w:sz w:val="21"/>
        </w:rPr>
        <w:t>七、合同终止及违约责任</w:t>
      </w:r>
    </w:p>
    <w:p>
      <w:pPr>
        <w:pStyle w:val="null3"/>
        <w:ind w:firstLine="421"/>
        <w:jc w:val="both"/>
      </w:pPr>
      <w:r>
        <w:rPr>
          <w:sz w:val="21"/>
        </w:rPr>
        <w:t>如果一方有下述情况发生，本合同解除：</w:t>
      </w:r>
    </w:p>
    <w:p>
      <w:pPr>
        <w:pStyle w:val="null3"/>
        <w:ind w:firstLine="421"/>
        <w:jc w:val="both"/>
      </w:pPr>
      <w:r>
        <w:rPr>
          <w:sz w:val="21"/>
        </w:rPr>
        <w:t>（一）一方成为解散、清算、破产程序的主体；或者该 方的债权人接管其经营，或者一方的相当大一部分的财产或资产因政府、法院扣押、查封或是没收从而实质性影响其履行本合同的能力的。</w:t>
      </w:r>
    </w:p>
    <w:p>
      <w:pPr>
        <w:pStyle w:val="null3"/>
        <w:ind w:firstLine="421"/>
        <w:jc w:val="both"/>
      </w:pPr>
      <w:r>
        <w:rPr>
          <w:sz w:val="21"/>
        </w:rPr>
        <w:t>（二）如乙方单方提前解除本合同，应提前30天书面通知甲方，并征得甲方同意，否则要承担甲方的损失。</w:t>
      </w:r>
    </w:p>
    <w:p>
      <w:pPr>
        <w:pStyle w:val="null3"/>
        <w:ind w:firstLine="421"/>
        <w:jc w:val="both"/>
      </w:pPr>
      <w:r>
        <w:rPr>
          <w:sz w:val="21"/>
        </w:rPr>
        <w:t>（三）由于乙方没有履行合同中规定的全部责任，在甲方书面三次整改后，乙方仍未改进，甲方有权随时终止本协议。</w:t>
      </w:r>
    </w:p>
    <w:p>
      <w:pPr>
        <w:pStyle w:val="null3"/>
        <w:ind w:firstLine="421"/>
        <w:jc w:val="both"/>
      </w:pPr>
      <w:r>
        <w:rPr>
          <w:sz w:val="21"/>
        </w:rPr>
        <w:t>（四）如甲方在乙方没有过错的情况下，单方提出解除本合同，应提前30天书面通知乙方。否则要承担乙方的损失。</w:t>
      </w:r>
    </w:p>
    <w:p>
      <w:pPr>
        <w:pStyle w:val="null3"/>
        <w:ind w:firstLine="421"/>
        <w:jc w:val="both"/>
      </w:pPr>
      <w:r>
        <w:rPr>
          <w:sz w:val="21"/>
        </w:rPr>
        <w:t>（五）由于乙方的过失所引起的如下重大意外责任事故或者由乙方给甲方造成重大损失和不良影响的，甲方有权随时通知乙方终止本协议，并要求乙方支付相应的赔偿：乙方供餐期间出现严重的食品质量问题，引发人员中毒事件；乙方供餐期间出现重大安全事故（如火灾、人员重大伤亡事故等）；甲方发现乙方使用变质、腐烂、过期、发霉等食品原材料进行加工，经三次投诉后仍无作相应改善措施的。</w:t>
      </w:r>
    </w:p>
    <w:p>
      <w:pPr>
        <w:pStyle w:val="null3"/>
        <w:ind w:firstLine="421"/>
        <w:jc w:val="both"/>
      </w:pPr>
      <w:r>
        <w:rPr>
          <w:sz w:val="21"/>
        </w:rPr>
        <w:t>（六）如因乙方的过错导致终止合同，甲方有权利从保证金或应付账款里面相应扣除甲方的损失。</w:t>
      </w:r>
    </w:p>
    <w:p>
      <w:pPr>
        <w:pStyle w:val="null3"/>
        <w:ind w:firstLine="421"/>
        <w:jc w:val="both"/>
      </w:pPr>
      <w:r>
        <w:rPr>
          <w:sz w:val="21"/>
        </w:rPr>
        <w:t>（七）其他不可抗力因素需终止合同的。</w:t>
      </w:r>
    </w:p>
    <w:p>
      <w:pPr>
        <w:pStyle w:val="null3"/>
        <w:ind w:firstLine="480"/>
        <w:jc w:val="both"/>
      </w:pPr>
      <w:r>
        <w:rPr>
          <w:b/>
          <w:sz w:val="21"/>
        </w:rPr>
        <w:t>八、争议的解决</w:t>
      </w:r>
    </w:p>
    <w:p>
      <w:pPr>
        <w:pStyle w:val="null3"/>
        <w:ind w:firstLine="420"/>
        <w:jc w:val="both"/>
      </w:pPr>
      <w:r>
        <w:rPr>
          <w:sz w:val="21"/>
        </w:rPr>
        <w:t>因履行本协议产生纠纷，甲乙双方应友好协商解决，如无法解决，可诉讼至当地人民法院。</w:t>
      </w:r>
    </w:p>
    <w:p>
      <w:pPr>
        <w:pStyle w:val="null3"/>
        <w:jc w:val="both"/>
      </w:pPr>
      <w:r>
        <w:rPr>
          <w:b/>
          <w:sz w:val="21"/>
        </w:rPr>
        <w:t>九、不可抗力</w:t>
      </w:r>
    </w:p>
    <w:p>
      <w:pPr>
        <w:pStyle w:val="null3"/>
        <w:ind w:firstLine="420"/>
        <w:jc w:val="both"/>
      </w:pP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1"/>
        </w:rPr>
        <w:t>十、税费</w:t>
      </w:r>
    </w:p>
    <w:p>
      <w:pPr>
        <w:pStyle w:val="null3"/>
        <w:ind w:firstLine="420"/>
        <w:jc w:val="both"/>
      </w:pPr>
      <w:r>
        <w:rPr>
          <w:sz w:val="21"/>
        </w:rPr>
        <w:t>在中国境内、外发生的与本合同执行有关的一切税费均由乙方负担。</w:t>
      </w:r>
    </w:p>
    <w:p>
      <w:pPr>
        <w:pStyle w:val="null3"/>
        <w:ind w:firstLine="480"/>
        <w:jc w:val="both"/>
      </w:pPr>
      <w:r>
        <w:rPr>
          <w:b/>
          <w:sz w:val="21"/>
        </w:rPr>
        <w:t>十一、</w:t>
      </w:r>
      <w:r>
        <w:rPr>
          <w:sz w:val="21"/>
        </w:rPr>
        <w:t xml:space="preserve"> </w:t>
      </w:r>
      <w:r>
        <w:rPr>
          <w:b/>
          <w:sz w:val="21"/>
        </w:rPr>
        <w:t>其它</w:t>
      </w:r>
    </w:p>
    <w:p>
      <w:pPr>
        <w:pStyle w:val="null3"/>
        <w:ind w:firstLine="420"/>
        <w:jc w:val="both"/>
      </w:pPr>
      <w:r>
        <w:rPr>
          <w:sz w:val="21"/>
        </w:rPr>
        <w:t>（一）本合同未尽事宜，甲、乙双方在今后的工作中共同协商制定形成的补充协议，与本合同具有同等法律效力。</w:t>
      </w:r>
    </w:p>
    <w:p>
      <w:pPr>
        <w:pStyle w:val="null3"/>
        <w:ind w:firstLine="420"/>
        <w:jc w:val="both"/>
      </w:pPr>
      <w:r>
        <w:rPr>
          <w:sz w:val="21"/>
        </w:rPr>
        <w:t>（二）下列文件为合同文件的有效组成部分：</w:t>
      </w:r>
    </w:p>
    <w:p>
      <w:pPr>
        <w:pStyle w:val="null3"/>
        <w:ind w:firstLine="420"/>
        <w:jc w:val="both"/>
      </w:pPr>
      <w:r>
        <w:rPr>
          <w:sz w:val="21"/>
        </w:rPr>
        <w:t>1.本合同的补充协议；</w:t>
      </w:r>
    </w:p>
    <w:p>
      <w:pPr>
        <w:pStyle w:val="null3"/>
        <w:ind w:firstLine="420"/>
        <w:jc w:val="both"/>
      </w:pPr>
      <w:r>
        <w:rPr>
          <w:sz w:val="21"/>
        </w:rPr>
        <w:t>2.本合同；</w:t>
      </w:r>
    </w:p>
    <w:p>
      <w:pPr>
        <w:pStyle w:val="null3"/>
        <w:ind w:firstLine="420"/>
        <w:jc w:val="both"/>
      </w:pPr>
      <w:r>
        <w:rPr>
          <w:sz w:val="21"/>
        </w:rPr>
        <w:t>3.招标文件补充文书；</w:t>
      </w:r>
    </w:p>
    <w:p>
      <w:pPr>
        <w:pStyle w:val="null3"/>
        <w:ind w:firstLine="420"/>
        <w:jc w:val="both"/>
      </w:pPr>
      <w:r>
        <w:rPr>
          <w:sz w:val="21"/>
        </w:rPr>
        <w:t>4.招标文件；</w:t>
      </w:r>
    </w:p>
    <w:p>
      <w:pPr>
        <w:pStyle w:val="null3"/>
        <w:ind w:firstLine="420"/>
        <w:jc w:val="both"/>
      </w:pPr>
      <w:r>
        <w:rPr>
          <w:sz w:val="21"/>
        </w:rPr>
        <w:t>5.投标人的投标文件</w:t>
      </w:r>
    </w:p>
    <w:p>
      <w:pPr>
        <w:pStyle w:val="null3"/>
        <w:ind w:firstLine="420"/>
        <w:jc w:val="both"/>
      </w:pPr>
      <w:r>
        <w:rPr>
          <w:sz w:val="21"/>
        </w:rPr>
        <w:t>注：上述文件的效力优先性按上述次序排列，当前项文件未规定时，依次参考后项文件；当前项文件与后项文件间发生冲突时，则以前项文件为准。</w:t>
      </w:r>
    </w:p>
    <w:p>
      <w:pPr>
        <w:pStyle w:val="null3"/>
        <w:ind w:firstLine="480"/>
        <w:jc w:val="both"/>
      </w:pPr>
      <w:r>
        <w:rPr>
          <w:b/>
          <w:sz w:val="21"/>
        </w:rPr>
        <w:t>十二、合同生效</w:t>
      </w:r>
    </w:p>
    <w:p>
      <w:pPr>
        <w:pStyle w:val="null3"/>
        <w:ind w:firstLine="480"/>
        <w:jc w:val="both"/>
      </w:pPr>
      <w:r>
        <w:rPr>
          <w:sz w:val="21"/>
        </w:rPr>
        <w:t>1.本合同在甲乙双方法人代表或其授权代表签字盖章后生效。</w:t>
      </w:r>
    </w:p>
    <w:p>
      <w:pPr>
        <w:pStyle w:val="null3"/>
        <w:ind w:firstLine="480"/>
        <w:jc w:val="both"/>
      </w:pPr>
      <w:r>
        <w:rPr>
          <w:sz w:val="21"/>
        </w:rPr>
        <w:t>2.合同一式四份</w:t>
      </w:r>
      <w:r>
        <w:rPr>
          <w:sz w:val="21"/>
        </w:rPr>
        <w:t>，甲、乙双方各执贰份。</w:t>
      </w:r>
    </w:p>
    <w:p>
      <w:pPr>
        <w:pStyle w:val="null3"/>
        <w:spacing w:before="0" w:after="0"/>
        <w:ind w:left="0" w:right="0" w:firstLine="480"/>
        <w:jc w:val="both"/>
      </w:pP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b/>
          <w:sz w:val="24"/>
        </w:rPr>
        <w:t>甲方（盖章）：</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乙方（盖章）：</w:t>
      </w:r>
    </w:p>
    <w:p>
      <w:pPr>
        <w:pStyle w:val="null3"/>
        <w:spacing w:before="0" w:after="0"/>
        <w:ind w:left="0" w:right="0" w:firstLine="480"/>
        <w:jc w:val="both"/>
      </w:pPr>
      <w:r>
        <w:rPr>
          <w:b/>
          <w:sz w:val="24"/>
        </w:rPr>
        <w:t>代表：</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 xml:space="preserve"> </w:t>
      </w:r>
      <w:r>
        <w:rPr>
          <w:b/>
          <w:sz w:val="24"/>
        </w:rPr>
        <w:t>代表：</w:t>
      </w:r>
    </w:p>
    <w:p>
      <w:pPr>
        <w:pStyle w:val="null3"/>
        <w:spacing w:before="0" w:after="0"/>
        <w:ind w:left="0" w:right="0" w:firstLine="480"/>
        <w:jc w:val="both"/>
      </w:pPr>
      <w:r>
        <w:rPr>
          <w:color w:val="222222"/>
          <w:sz w:val="24"/>
        </w:rPr>
        <w:t>签订地点：</w:t>
      </w:r>
    </w:p>
    <w:p>
      <w:pPr>
        <w:pStyle w:val="null3"/>
        <w:spacing w:before="0" w:after="0"/>
        <w:ind w:left="0" w:right="0" w:firstLine="480"/>
        <w:jc w:val="both"/>
      </w:pPr>
      <w:r>
        <w:rPr>
          <w:color w:val="222222"/>
          <w:sz w:val="24"/>
        </w:rPr>
        <w:t>签订日期：　　　年　　月　　日</w:t>
      </w:r>
      <w:r>
        <w:rPr>
          <w:color w:val="222222"/>
          <w:sz w:val="24"/>
        </w:rPr>
        <w:t xml:space="preserve"> </w:t>
      </w:r>
      <w:r>
        <w:rPr>
          <w:color w:val="222222"/>
          <w:sz w:val="24"/>
        </w:rPr>
        <w:t>签订日期：　　　年　　月　　日</w:t>
      </w:r>
    </w:p>
    <w:p>
      <w:pPr>
        <w:pStyle w:val="null3"/>
        <w:spacing w:before="0" w:after="0"/>
        <w:ind w:left="0" w:right="0" w:firstLine="480"/>
        <w:jc w:val="both"/>
      </w:pPr>
      <w:r>
        <w:rPr>
          <w:color w:val="222222"/>
          <w:sz w:val="24"/>
        </w:rPr>
        <w:t>开户名称：</w:t>
      </w:r>
    </w:p>
    <w:p>
      <w:pPr>
        <w:pStyle w:val="null3"/>
        <w:spacing w:before="0" w:after="0"/>
        <w:ind w:left="0" w:right="0" w:firstLine="480"/>
        <w:jc w:val="both"/>
      </w:pPr>
      <w:r>
        <w:rPr>
          <w:color w:val="222222"/>
          <w:sz w:val="24"/>
        </w:rPr>
        <w:t>银行帐号：</w:t>
      </w:r>
    </w:p>
    <w:p>
      <w:pPr>
        <w:pStyle w:val="null3"/>
        <w:spacing w:before="0" w:after="0"/>
        <w:ind w:left="0" w:right="0" w:firstLine="480"/>
        <w:jc w:val="both"/>
      </w:pPr>
      <w:r>
        <w:rPr>
          <w:color w:val="222222"/>
          <w:sz w:val="24"/>
        </w:rPr>
        <w:t>开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440404-2024-00276</w:t>
      </w:r>
    </w:p>
    <w:p>
      <w:pPr>
        <w:pStyle w:val="null3"/>
        <w:ind w:firstLine="480"/>
        <w:jc w:val="center"/>
        <w:outlineLvl w:val="3"/>
      </w:pPr>
      <w:r>
        <w:rPr>
          <w:b/>
          <w:sz w:val="24"/>
        </w:rPr>
        <w:t>采购项目编号：</w:t>
      </w:r>
      <w:r>
        <w:rPr>
          <w:b/>
          <w:sz w:val="24"/>
        </w:rPr>
        <w:t>CFZB2024-ZC-001FG</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珠海铖锋招标代理有限公司</w:t>
      </w:r>
    </w:p>
    <w:p>
      <w:pPr>
        <w:pStyle w:val="null3"/>
        <w:ind w:firstLine="480"/>
      </w:pPr>
      <w:r>
        <w:rPr/>
        <w:t>你方组织的</w:t>
      </w:r>
      <w:r>
        <w:rPr>
          <w:u w:val="single"/>
        </w:rPr>
        <w:t>“</w:t>
      </w:r>
      <w:r>
        <w:rPr>
          <w:u w:val="single"/>
        </w:rPr>
        <w:t>珠海市金湾区红旗镇卫生院2024年年度员工配餐服务采购项目(二次)</w:t>
      </w:r>
      <w:r>
        <w:rPr>
          <w:u w:val="single"/>
        </w:rPr>
        <w:t>”</w:t>
      </w:r>
      <w:r>
        <w:rPr/>
        <w:t>项目的招标[采购项目编号为：</w:t>
      </w:r>
      <w:r>
        <w:rPr>
          <w:u w:val="single"/>
        </w:rPr>
        <w:t>CFZB2024-ZC-001FG</w:t>
      </w:r>
      <w:r>
        <w:rPr/>
        <w:t>]，我方愿参与投标。</w:t>
      </w:r>
    </w:p>
    <w:p>
      <w:pPr>
        <w:pStyle w:val="null3"/>
        <w:ind w:firstLine="480"/>
      </w:pPr>
      <w:r>
        <w:rPr/>
        <w:t>我方确认收到贵方提供的</w:t>
      </w:r>
      <w:r>
        <w:rPr>
          <w:u w:val="single"/>
        </w:rPr>
        <w:t>“</w:t>
      </w:r>
      <w:r>
        <w:rPr>
          <w:u w:val="single"/>
        </w:rPr>
        <w:t>珠海市金湾区红旗镇卫生院2024年年度员工配餐服务采购项目(二次)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珠海铖锋招标代理有限公司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珠海市金湾区红旗镇卫生院2024年年度员工配餐服务采购项目(二次)</w:t>
      </w:r>
      <w:r>
        <w:rPr/>
        <w:t>”项目采购[采购项目编号为</w:t>
      </w:r>
      <w:r>
        <w:rPr/>
        <w:t>CFZB2024-ZC-001FG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珠海市金湾区红旗镇卫生院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珠海铖锋招标代理有限公司</w:t>
      </w:r>
    </w:p>
    <w:p>
      <w:pPr>
        <w:pStyle w:val="null3"/>
        <w:ind w:firstLine="480"/>
      </w:pPr>
      <w:r>
        <w:rPr/>
        <w:t>如果我方在贵采购代理机构组织的</w:t>
      </w:r>
      <w:r>
        <w:rPr/>
        <w:t>珠海市金湾区红旗镇卫生院2024年年度员工配餐服务采购项目(二次)</w:t>
      </w:r>
      <w:r>
        <w:rPr/>
        <w:t>招标中获中标（采购项目编号：</w:t>
      </w:r>
      <w:r>
        <w:rPr/>
        <w:t>CFZB2024-ZC-001FG</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珠海铖锋招标代理有限公司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珠海铖锋招标代理有限公司</w:t>
      </w:r>
    </w:p>
    <w:p>
      <w:pPr>
        <w:pStyle w:val="null3"/>
        <w:ind w:firstLine="480"/>
      </w:pPr>
      <w:r>
        <w:rPr/>
        <w:t>我单位已登记并准备参与“</w:t>
      </w:r>
      <w:r>
        <w:rPr/>
        <w:t>珠海市金湾区红旗镇卫生院2024年年度员工配餐服务采购项目(二次)</w:t>
      </w:r>
      <w:r>
        <w:rPr/>
        <w:t>”项目（采购项目编号：</w:t>
      </w:r>
      <w:r>
        <w:rPr/>
        <w:t>CFZB2024-ZC-001FG</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