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71BBFE">
      <w:pPr>
        <w:spacing w:line="360" w:lineRule="auto"/>
        <w:jc w:val="center"/>
        <w:rPr>
          <w:rFonts w:hint="eastAsia" w:ascii="宋体" w:hAnsi="宋体" w:cs="宋体"/>
          <w:b/>
          <w:bCs w:val="0"/>
          <w:color w:val="auto"/>
          <w:sz w:val="28"/>
          <w:szCs w:val="28"/>
          <w:highlight w:val="none"/>
          <w:lang w:eastAsia="zh-CN"/>
        </w:rPr>
      </w:pPr>
    </w:p>
    <w:p w14:paraId="5F77247B">
      <w:pPr>
        <w:spacing w:line="360" w:lineRule="auto"/>
        <w:jc w:val="center"/>
        <w:rPr>
          <w:rFonts w:ascii="宋体" w:hAnsi="宋体" w:cs="宋体"/>
          <w:b/>
          <w:bCs w:val="0"/>
          <w:color w:val="auto"/>
          <w:sz w:val="52"/>
          <w:szCs w:val="52"/>
          <w:highlight w:val="none"/>
        </w:rPr>
      </w:pPr>
      <w:r>
        <w:rPr>
          <w:rFonts w:hint="eastAsia" w:ascii="宋体" w:hAnsi="宋体" w:cs="宋体"/>
          <w:b/>
          <w:bCs w:val="0"/>
          <w:color w:val="auto"/>
          <w:sz w:val="52"/>
          <w:szCs w:val="52"/>
          <w:highlight w:val="none"/>
          <w:lang w:eastAsia="zh-CN"/>
        </w:rPr>
        <w:t>盐津县2025年地方优势特色农业保险采购（二次）</w:t>
      </w:r>
    </w:p>
    <w:p w14:paraId="7397F116">
      <w:pPr>
        <w:spacing w:line="360" w:lineRule="auto"/>
        <w:jc w:val="center"/>
        <w:rPr>
          <w:rFonts w:ascii="宋体" w:hAnsi="宋体" w:cs="宋体"/>
          <w:b/>
          <w:bCs w:val="0"/>
          <w:color w:val="auto"/>
          <w:sz w:val="52"/>
          <w:szCs w:val="52"/>
          <w:highlight w:val="none"/>
        </w:rPr>
      </w:pPr>
      <w:bookmarkStart w:id="169" w:name="_GoBack"/>
      <w:bookmarkEnd w:id="169"/>
    </w:p>
    <w:p w14:paraId="604325CC">
      <w:pPr>
        <w:spacing w:line="360" w:lineRule="auto"/>
        <w:jc w:val="center"/>
        <w:rPr>
          <w:rFonts w:ascii="宋体" w:hAnsi="宋体" w:cs="宋体"/>
          <w:b/>
          <w:bCs w:val="0"/>
          <w:color w:val="auto"/>
          <w:sz w:val="52"/>
          <w:szCs w:val="52"/>
          <w:highlight w:val="none"/>
        </w:rPr>
      </w:pPr>
    </w:p>
    <w:p w14:paraId="55661E05">
      <w:pPr>
        <w:pStyle w:val="15"/>
        <w:jc w:val="center"/>
        <w:rPr>
          <w:rFonts w:ascii="宋体" w:hAnsi="宋体" w:cs="宋体"/>
          <w:b/>
          <w:bCs w:val="0"/>
          <w:color w:val="auto"/>
          <w:sz w:val="96"/>
          <w:szCs w:val="96"/>
          <w:highlight w:val="none"/>
        </w:rPr>
      </w:pPr>
      <w:r>
        <w:rPr>
          <w:rFonts w:hint="eastAsia" w:ascii="宋体" w:hAnsi="宋体" w:cs="宋体"/>
          <w:b/>
          <w:bCs w:val="0"/>
          <w:color w:val="auto"/>
          <w:sz w:val="96"/>
          <w:szCs w:val="96"/>
          <w:highlight w:val="none"/>
        </w:rPr>
        <w:t>招 标 文 件</w:t>
      </w:r>
    </w:p>
    <w:p w14:paraId="4F4C131D">
      <w:pPr>
        <w:jc w:val="center"/>
        <w:rPr>
          <w:rFonts w:hint="eastAsia" w:ascii="宋体" w:hAnsi="宋体" w:eastAsia="宋体" w:cs="宋体"/>
          <w:b/>
          <w:bCs w:val="0"/>
          <w:color w:val="auto"/>
          <w:sz w:val="36"/>
          <w:szCs w:val="28"/>
          <w:highlight w:val="none"/>
          <w:lang w:eastAsia="zh-CN"/>
        </w:rPr>
      </w:pPr>
      <w:r>
        <w:rPr>
          <w:rFonts w:hint="eastAsia" w:ascii="宋体" w:hAnsi="宋体" w:cs="宋体"/>
          <w:b/>
          <w:bCs w:val="0"/>
          <w:color w:val="auto"/>
          <w:sz w:val="36"/>
          <w:szCs w:val="28"/>
          <w:highlight w:val="none"/>
          <w:lang w:eastAsia="zh-CN"/>
        </w:rPr>
        <w:t>项目编号</w:t>
      </w:r>
      <w:r>
        <w:rPr>
          <w:rFonts w:hint="eastAsia" w:ascii="宋体" w:hAnsi="宋体" w:cs="宋体"/>
          <w:b/>
          <w:bCs w:val="0"/>
          <w:color w:val="auto"/>
          <w:sz w:val="36"/>
          <w:szCs w:val="28"/>
          <w:highlight w:val="none"/>
        </w:rPr>
        <w:t>：</w:t>
      </w:r>
      <w:r>
        <w:rPr>
          <w:rFonts w:hint="eastAsia" w:ascii="宋体" w:hAnsi="宋体" w:cs="宋体"/>
          <w:b/>
          <w:bCs w:val="0"/>
          <w:color w:val="auto"/>
          <w:sz w:val="36"/>
          <w:szCs w:val="28"/>
          <w:highlight w:val="none"/>
          <w:lang w:eastAsia="zh-CN"/>
        </w:rPr>
        <w:t>ZTZC2025-G3-00777-YNTY-0003</w:t>
      </w:r>
    </w:p>
    <w:p w14:paraId="5C717DBC">
      <w:pPr>
        <w:jc w:val="center"/>
        <w:rPr>
          <w:rFonts w:ascii="宋体" w:hAnsi="宋体" w:cs="宋体"/>
          <w:b/>
          <w:bCs w:val="0"/>
          <w:color w:val="auto"/>
          <w:sz w:val="28"/>
          <w:highlight w:val="none"/>
        </w:rPr>
      </w:pPr>
    </w:p>
    <w:p w14:paraId="2E2096C4">
      <w:pPr>
        <w:rPr>
          <w:rFonts w:ascii="宋体" w:hAnsi="宋体" w:cs="宋体"/>
          <w:b/>
          <w:bCs w:val="0"/>
          <w:color w:val="auto"/>
          <w:sz w:val="28"/>
          <w:highlight w:val="none"/>
        </w:rPr>
      </w:pPr>
    </w:p>
    <w:p w14:paraId="6D1DFC01">
      <w:pPr>
        <w:pStyle w:val="15"/>
        <w:rPr>
          <w:rFonts w:ascii="宋体" w:hAnsi="宋体" w:cs="宋体"/>
          <w:b/>
          <w:bCs w:val="0"/>
          <w:color w:val="auto"/>
          <w:kern w:val="2"/>
          <w:sz w:val="30"/>
          <w:szCs w:val="30"/>
          <w:highlight w:val="none"/>
        </w:rPr>
      </w:pPr>
    </w:p>
    <w:p w14:paraId="6C9A24A8">
      <w:pPr>
        <w:spacing w:line="1000" w:lineRule="exact"/>
        <w:ind w:firstLine="318" w:firstLineChars="99"/>
        <w:jc w:val="left"/>
        <w:rPr>
          <w:rFonts w:ascii="宋体" w:hAnsi="宋体" w:cs="宋体"/>
          <w:b/>
          <w:bCs w:val="0"/>
          <w:color w:val="auto"/>
          <w:sz w:val="32"/>
          <w:szCs w:val="32"/>
          <w:highlight w:val="none"/>
        </w:rPr>
      </w:pPr>
    </w:p>
    <w:p w14:paraId="0DC99375">
      <w:pPr>
        <w:keepNext w:val="0"/>
        <w:keepLines w:val="0"/>
        <w:pageBreakBefore w:val="0"/>
        <w:widowControl w:val="0"/>
        <w:kinsoku/>
        <w:wordWrap/>
        <w:overflowPunct/>
        <w:topLinePunct w:val="0"/>
        <w:autoSpaceDE/>
        <w:autoSpaceDN/>
        <w:bidi w:val="0"/>
        <w:adjustRightInd/>
        <w:snapToGrid/>
        <w:spacing w:line="1200" w:lineRule="exact"/>
        <w:ind w:firstLine="1442" w:firstLineChars="399"/>
        <w:jc w:val="both"/>
        <w:textAlignment w:val="auto"/>
        <w:rPr>
          <w:rFonts w:hint="eastAsia" w:ascii="宋体" w:hAnsi="宋体" w:cs="宋体"/>
          <w:b/>
          <w:bCs w:val="0"/>
          <w:color w:val="auto"/>
          <w:sz w:val="18"/>
          <w:szCs w:val="18"/>
          <w:highlight w:val="none"/>
          <w:lang w:eastAsia="zh-CN"/>
        </w:rPr>
      </w:pPr>
      <w:r>
        <w:rPr>
          <w:rFonts w:hint="eastAsia" w:ascii="宋体" w:hAnsi="宋体" w:cs="宋体"/>
          <w:b/>
          <w:bCs w:val="0"/>
          <w:color w:val="auto"/>
          <w:sz w:val="36"/>
          <w:szCs w:val="36"/>
          <w:highlight w:val="none"/>
          <w:lang w:val="en-US" w:eastAsia="zh-CN"/>
        </w:rPr>
        <w:t>采   购</w:t>
      </w:r>
      <w:r>
        <w:rPr>
          <w:rFonts w:hint="eastAsia" w:ascii="宋体" w:hAnsi="宋体" w:cs="宋体"/>
          <w:b/>
          <w:bCs w:val="0"/>
          <w:color w:val="auto"/>
          <w:sz w:val="36"/>
          <w:szCs w:val="36"/>
          <w:highlight w:val="none"/>
        </w:rPr>
        <w:t xml:space="preserve">  人：</w:t>
      </w:r>
      <w:r>
        <w:rPr>
          <w:rFonts w:hint="eastAsia" w:ascii="宋体" w:hAnsi="宋体" w:cs="宋体"/>
          <w:b/>
          <w:bCs w:val="0"/>
          <w:color w:val="auto"/>
          <w:sz w:val="36"/>
          <w:szCs w:val="36"/>
          <w:highlight w:val="none"/>
          <w:lang w:eastAsia="zh-CN"/>
        </w:rPr>
        <w:t>盐津县农业农村局</w:t>
      </w:r>
    </w:p>
    <w:p w14:paraId="3732779D">
      <w:pPr>
        <w:keepNext w:val="0"/>
        <w:keepLines w:val="0"/>
        <w:pageBreakBefore w:val="0"/>
        <w:widowControl w:val="0"/>
        <w:kinsoku/>
        <w:wordWrap/>
        <w:overflowPunct/>
        <w:topLinePunct w:val="0"/>
        <w:autoSpaceDE/>
        <w:autoSpaceDN/>
        <w:bidi w:val="0"/>
        <w:adjustRightInd/>
        <w:snapToGrid/>
        <w:spacing w:line="1200" w:lineRule="exact"/>
        <w:ind w:firstLine="358" w:firstLineChars="99"/>
        <w:jc w:val="center"/>
        <w:textAlignment w:val="auto"/>
        <w:rPr>
          <w:rFonts w:hint="eastAsia" w:ascii="宋体" w:hAnsi="宋体" w:eastAsia="宋体" w:cs="宋体"/>
          <w:b/>
          <w:bCs w:val="0"/>
          <w:color w:val="auto"/>
          <w:sz w:val="36"/>
          <w:szCs w:val="36"/>
          <w:highlight w:val="none"/>
          <w:lang w:eastAsia="zh-CN"/>
        </w:rPr>
      </w:pPr>
      <w:r>
        <w:rPr>
          <w:rFonts w:hint="eastAsia" w:ascii="宋体" w:hAnsi="宋体" w:cs="宋体"/>
          <w:b/>
          <w:bCs w:val="0"/>
          <w:color w:val="auto"/>
          <w:sz w:val="36"/>
          <w:szCs w:val="36"/>
          <w:highlight w:val="none"/>
          <w:lang w:eastAsia="zh-CN"/>
        </w:rPr>
        <w:t>采购代理机构</w:t>
      </w:r>
      <w:r>
        <w:rPr>
          <w:rFonts w:hint="eastAsia" w:ascii="宋体" w:hAnsi="宋体" w:cs="宋体"/>
          <w:b/>
          <w:bCs w:val="0"/>
          <w:color w:val="auto"/>
          <w:sz w:val="36"/>
          <w:szCs w:val="36"/>
          <w:highlight w:val="none"/>
        </w:rPr>
        <w:t>：</w:t>
      </w:r>
      <w:r>
        <w:rPr>
          <w:rFonts w:hint="eastAsia" w:ascii="宋体" w:hAnsi="宋体" w:cs="宋体"/>
          <w:b/>
          <w:bCs w:val="0"/>
          <w:color w:val="auto"/>
          <w:sz w:val="36"/>
          <w:szCs w:val="36"/>
          <w:highlight w:val="none"/>
          <w:lang w:eastAsia="zh-CN"/>
        </w:rPr>
        <w:t>云南同益工程咨询有限公司</w:t>
      </w:r>
    </w:p>
    <w:p w14:paraId="73A80E2B">
      <w:pPr>
        <w:keepNext w:val="0"/>
        <w:keepLines w:val="0"/>
        <w:pageBreakBefore w:val="0"/>
        <w:widowControl w:val="0"/>
        <w:kinsoku/>
        <w:wordWrap/>
        <w:overflowPunct/>
        <w:topLinePunct w:val="0"/>
        <w:autoSpaceDE/>
        <w:autoSpaceDN/>
        <w:bidi w:val="0"/>
        <w:adjustRightInd/>
        <w:snapToGrid/>
        <w:spacing w:line="1200" w:lineRule="exact"/>
        <w:ind w:firstLine="358" w:firstLineChars="99"/>
        <w:jc w:val="center"/>
        <w:textAlignment w:val="auto"/>
        <w:rPr>
          <w:rFonts w:ascii="宋体" w:hAnsi="宋体" w:cs="宋体"/>
          <w:b/>
          <w:color w:val="auto"/>
          <w:sz w:val="36"/>
          <w:szCs w:val="36"/>
          <w:highlight w:val="none"/>
        </w:rPr>
        <w:sectPr>
          <w:footerReference r:id="rId4" w:type="first"/>
          <w:headerReference r:id="rId3" w:type="default"/>
          <w:pgSz w:w="11906" w:h="16838"/>
          <w:pgMar w:top="1440" w:right="1349" w:bottom="1327" w:left="1349" w:header="850" w:footer="907" w:gutter="0"/>
          <w:cols w:space="0" w:num="1"/>
          <w:rtlGutter w:val="0"/>
          <w:docGrid w:linePitch="312" w:charSpace="0"/>
        </w:sectPr>
      </w:pPr>
      <w:r>
        <w:rPr>
          <w:rFonts w:hint="eastAsia" w:ascii="宋体" w:hAnsi="宋体" w:cs="宋体"/>
          <w:b/>
          <w:bCs w:val="0"/>
          <w:color w:val="auto"/>
          <w:sz w:val="36"/>
          <w:szCs w:val="36"/>
          <w:highlight w:val="none"/>
        </w:rPr>
        <w:t>二〇二</w:t>
      </w:r>
      <w:r>
        <w:rPr>
          <w:rFonts w:hint="eastAsia" w:ascii="宋体" w:hAnsi="宋体" w:cs="宋体"/>
          <w:b/>
          <w:bCs w:val="0"/>
          <w:color w:val="auto"/>
          <w:sz w:val="36"/>
          <w:szCs w:val="36"/>
          <w:highlight w:val="none"/>
          <w:lang w:val="en-US" w:eastAsia="zh-CN"/>
        </w:rPr>
        <w:t>五</w:t>
      </w:r>
      <w:r>
        <w:rPr>
          <w:rFonts w:hint="eastAsia" w:ascii="宋体" w:hAnsi="宋体" w:cs="宋体"/>
          <w:b/>
          <w:bCs w:val="0"/>
          <w:color w:val="auto"/>
          <w:sz w:val="36"/>
          <w:szCs w:val="36"/>
          <w:highlight w:val="none"/>
        </w:rPr>
        <w:t>年</w:t>
      </w:r>
      <w:r>
        <w:rPr>
          <w:rFonts w:hint="eastAsia" w:ascii="宋体" w:hAnsi="宋体" w:cs="宋体"/>
          <w:b/>
          <w:bCs w:val="0"/>
          <w:color w:val="auto"/>
          <w:sz w:val="36"/>
          <w:szCs w:val="36"/>
          <w:highlight w:val="none"/>
          <w:lang w:val="en-US" w:eastAsia="zh-CN"/>
        </w:rPr>
        <w:t>七</w:t>
      </w:r>
      <w:r>
        <w:rPr>
          <w:rFonts w:hint="eastAsia" w:ascii="宋体" w:hAnsi="宋体" w:cs="宋体"/>
          <w:b/>
          <w:bCs w:val="0"/>
          <w:color w:val="auto"/>
          <w:sz w:val="36"/>
          <w:szCs w:val="36"/>
          <w:highlight w:val="none"/>
        </w:rPr>
        <w:t>月</w:t>
      </w:r>
    </w:p>
    <w:p w14:paraId="0A6B8286">
      <w:pPr>
        <w:jc w:val="center"/>
        <w:rPr>
          <w:color w:val="auto"/>
          <w:highlight w:val="none"/>
        </w:rPr>
      </w:pPr>
      <w:r>
        <w:rPr>
          <w:rFonts w:ascii="宋体" w:hAnsi="宋体"/>
          <w:b/>
          <w:bCs/>
          <w:color w:val="auto"/>
          <w:sz w:val="44"/>
          <w:szCs w:val="44"/>
          <w:highlight w:val="none"/>
        </w:rPr>
        <w:t>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录</w:t>
      </w:r>
    </w:p>
    <w:p w14:paraId="66F61D04">
      <w:pPr>
        <w:pStyle w:val="92"/>
        <w:tabs>
          <w:tab w:val="right" w:leader="dot" w:pos="8306"/>
        </w:tabs>
        <w:spacing w:line="720" w:lineRule="auto"/>
        <w:rPr>
          <w:rFonts w:ascii="宋体" w:hAnsi="宋体" w:cs="宋体"/>
          <w:color w:val="auto"/>
          <w:highlight w:val="none"/>
          <w:lang w:val="zh-CN"/>
        </w:rPr>
      </w:pPr>
    </w:p>
    <w:p w14:paraId="7ABE3727">
      <w:pPr>
        <w:pStyle w:val="92"/>
        <w:tabs>
          <w:tab w:val="right" w:leader="dot" w:pos="8306"/>
        </w:tabs>
        <w:spacing w:line="720" w:lineRule="auto"/>
        <w:jc w:val="center"/>
        <w:rPr>
          <w:rFonts w:ascii="宋体" w:hAnsi="宋体" w:cs="宋体"/>
          <w:b/>
          <w:bCs/>
          <w:color w:val="auto"/>
          <w:sz w:val="32"/>
          <w:szCs w:val="32"/>
          <w:highlight w:val="none"/>
        </w:rPr>
      </w:pPr>
      <w:r>
        <w:rPr>
          <w:rFonts w:hint="eastAsia" w:ascii="宋体" w:hAnsi="宋体" w:cs="宋体"/>
          <w:b/>
          <w:bCs/>
          <w:color w:val="auto"/>
          <w:sz w:val="21"/>
          <w:szCs w:val="21"/>
          <w:highlight w:val="none"/>
          <w:lang w:val="zh-CN"/>
        </w:rPr>
        <w:fldChar w:fldCharType="begin"/>
      </w:r>
      <w:r>
        <w:rPr>
          <w:rFonts w:hint="eastAsia" w:ascii="宋体" w:hAnsi="宋体" w:cs="宋体"/>
          <w:b/>
          <w:bCs/>
          <w:color w:val="auto"/>
          <w:sz w:val="21"/>
          <w:szCs w:val="21"/>
          <w:highlight w:val="none"/>
          <w:lang w:val="zh-CN"/>
        </w:rPr>
        <w:instrText xml:space="preserve">TOC \o "1-1" \h \u </w:instrText>
      </w:r>
      <w:r>
        <w:rPr>
          <w:rFonts w:hint="eastAsia" w:ascii="宋体" w:hAnsi="宋体" w:cs="宋体"/>
          <w:b/>
          <w:bCs/>
          <w:color w:val="auto"/>
          <w:sz w:val="21"/>
          <w:szCs w:val="21"/>
          <w:highlight w:val="none"/>
          <w:lang w:val="zh-CN"/>
        </w:rPr>
        <w:fldChar w:fldCharType="separate"/>
      </w:r>
      <w:r>
        <w:rPr>
          <w:b/>
          <w:bCs/>
          <w:color w:val="auto"/>
          <w:sz w:val="21"/>
          <w:szCs w:val="21"/>
          <w:highlight w:val="none"/>
        </w:rPr>
        <w:fldChar w:fldCharType="begin"/>
      </w:r>
      <w:r>
        <w:rPr>
          <w:b/>
          <w:bCs/>
          <w:color w:val="auto"/>
          <w:sz w:val="21"/>
          <w:szCs w:val="21"/>
          <w:highlight w:val="none"/>
        </w:rPr>
        <w:instrText xml:space="preserve"> HYPERLINK \l "_Toc30330" </w:instrText>
      </w:r>
      <w:r>
        <w:rPr>
          <w:b/>
          <w:bCs/>
          <w:color w:val="auto"/>
          <w:sz w:val="21"/>
          <w:szCs w:val="21"/>
          <w:highlight w:val="none"/>
        </w:rPr>
        <w:fldChar w:fldCharType="separate"/>
      </w:r>
      <w:r>
        <w:rPr>
          <w:rFonts w:hint="eastAsia" w:ascii="宋体" w:hAnsi="宋体" w:cs="宋体"/>
          <w:b/>
          <w:bCs/>
          <w:color w:val="auto"/>
          <w:sz w:val="32"/>
          <w:szCs w:val="32"/>
          <w:highlight w:val="none"/>
        </w:rPr>
        <w:t>第一章 招标公告</w:t>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PAGEREF _Toc30330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- 1 -</w:t>
      </w:r>
      <w:r>
        <w:rPr>
          <w:rFonts w:hint="eastAsia" w:ascii="宋体" w:hAnsi="宋体" w:cs="宋体"/>
          <w:b/>
          <w:bCs/>
          <w:color w:val="auto"/>
          <w:sz w:val="32"/>
          <w:szCs w:val="32"/>
          <w:highlight w:val="none"/>
        </w:rPr>
        <w:fldChar w:fldCharType="end"/>
      </w:r>
      <w:r>
        <w:rPr>
          <w:rFonts w:hint="eastAsia" w:ascii="宋体" w:hAnsi="宋体" w:cs="宋体"/>
          <w:b/>
          <w:bCs/>
          <w:color w:val="auto"/>
          <w:sz w:val="32"/>
          <w:szCs w:val="32"/>
          <w:highlight w:val="none"/>
        </w:rPr>
        <w:fldChar w:fldCharType="end"/>
      </w:r>
    </w:p>
    <w:p w14:paraId="35E98A9E">
      <w:pPr>
        <w:pStyle w:val="92"/>
        <w:tabs>
          <w:tab w:val="right" w:leader="dot" w:pos="8306"/>
        </w:tabs>
        <w:spacing w:line="720" w:lineRule="auto"/>
        <w:jc w:val="center"/>
        <w:rPr>
          <w:rFonts w:ascii="宋体" w:hAnsi="宋体" w:cs="宋体"/>
          <w:b/>
          <w:bCs/>
          <w:color w:val="auto"/>
          <w:sz w:val="32"/>
          <w:szCs w:val="32"/>
          <w:highlight w:val="none"/>
        </w:rPr>
      </w:pPr>
      <w:r>
        <w:rPr>
          <w:b/>
          <w:bCs/>
          <w:color w:val="auto"/>
          <w:sz w:val="21"/>
          <w:szCs w:val="21"/>
          <w:highlight w:val="none"/>
        </w:rPr>
        <w:fldChar w:fldCharType="begin"/>
      </w:r>
      <w:r>
        <w:rPr>
          <w:b/>
          <w:bCs/>
          <w:color w:val="auto"/>
          <w:sz w:val="21"/>
          <w:szCs w:val="21"/>
          <w:highlight w:val="none"/>
        </w:rPr>
        <w:instrText xml:space="preserve"> HYPERLINK \l "_Toc10824" </w:instrText>
      </w:r>
      <w:r>
        <w:rPr>
          <w:b/>
          <w:bCs/>
          <w:color w:val="auto"/>
          <w:sz w:val="21"/>
          <w:szCs w:val="21"/>
          <w:highlight w:val="none"/>
        </w:rPr>
        <w:fldChar w:fldCharType="separate"/>
      </w:r>
      <w:r>
        <w:rPr>
          <w:rFonts w:hint="eastAsia" w:ascii="宋体" w:hAnsi="宋体" w:cs="宋体"/>
          <w:b/>
          <w:bCs/>
          <w:smallCaps/>
          <w:color w:val="auto"/>
          <w:sz w:val="32"/>
          <w:szCs w:val="32"/>
          <w:highlight w:val="none"/>
        </w:rPr>
        <w:t>第二章 投标人须知</w:t>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PAGEREF _Toc10824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- 5 -</w:t>
      </w:r>
      <w:r>
        <w:rPr>
          <w:rFonts w:hint="eastAsia" w:ascii="宋体" w:hAnsi="宋体" w:cs="宋体"/>
          <w:b/>
          <w:bCs/>
          <w:color w:val="auto"/>
          <w:sz w:val="32"/>
          <w:szCs w:val="32"/>
          <w:highlight w:val="none"/>
        </w:rPr>
        <w:fldChar w:fldCharType="end"/>
      </w:r>
      <w:r>
        <w:rPr>
          <w:rFonts w:hint="eastAsia" w:ascii="宋体" w:hAnsi="宋体" w:cs="宋体"/>
          <w:b/>
          <w:bCs/>
          <w:color w:val="auto"/>
          <w:sz w:val="32"/>
          <w:szCs w:val="32"/>
          <w:highlight w:val="none"/>
        </w:rPr>
        <w:fldChar w:fldCharType="end"/>
      </w:r>
    </w:p>
    <w:p w14:paraId="60C3DDAC">
      <w:pPr>
        <w:pStyle w:val="92"/>
        <w:tabs>
          <w:tab w:val="right" w:leader="dot" w:pos="8306"/>
        </w:tabs>
        <w:spacing w:line="720" w:lineRule="auto"/>
        <w:jc w:val="center"/>
        <w:rPr>
          <w:rFonts w:ascii="宋体" w:hAnsi="宋体" w:cs="宋体"/>
          <w:b/>
          <w:bCs/>
          <w:color w:val="auto"/>
          <w:sz w:val="32"/>
          <w:szCs w:val="32"/>
          <w:highlight w:val="none"/>
        </w:rPr>
      </w:pPr>
      <w:r>
        <w:rPr>
          <w:b/>
          <w:bCs/>
          <w:color w:val="auto"/>
          <w:sz w:val="21"/>
          <w:szCs w:val="21"/>
          <w:highlight w:val="none"/>
        </w:rPr>
        <w:fldChar w:fldCharType="begin"/>
      </w:r>
      <w:r>
        <w:rPr>
          <w:b/>
          <w:bCs/>
          <w:color w:val="auto"/>
          <w:sz w:val="21"/>
          <w:szCs w:val="21"/>
          <w:highlight w:val="none"/>
        </w:rPr>
        <w:instrText xml:space="preserve"> HYPERLINK \l "_Toc27986" </w:instrText>
      </w:r>
      <w:r>
        <w:rPr>
          <w:b/>
          <w:bCs/>
          <w:color w:val="auto"/>
          <w:sz w:val="21"/>
          <w:szCs w:val="21"/>
          <w:highlight w:val="none"/>
        </w:rPr>
        <w:fldChar w:fldCharType="separate"/>
      </w:r>
      <w:r>
        <w:rPr>
          <w:rFonts w:hint="eastAsia" w:ascii="宋体" w:hAnsi="宋体" w:cs="宋体"/>
          <w:b/>
          <w:bCs/>
          <w:color w:val="auto"/>
          <w:sz w:val="32"/>
          <w:szCs w:val="32"/>
          <w:highlight w:val="none"/>
        </w:rPr>
        <w:t>第三章 采购需求</w:t>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PAGEREF _Toc27986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24</w:t>
      </w:r>
      <w:r>
        <w:rPr>
          <w:rFonts w:hint="eastAsia" w:ascii="宋体" w:hAnsi="宋体" w:cs="宋体"/>
          <w:b/>
          <w:bCs/>
          <w:color w:val="auto"/>
          <w:sz w:val="32"/>
          <w:szCs w:val="32"/>
          <w:highlight w:val="none"/>
        </w:rPr>
        <w:fldChar w:fldCharType="end"/>
      </w:r>
      <w:r>
        <w:rPr>
          <w:rFonts w:hint="eastAsia" w:ascii="宋体" w:hAnsi="宋体" w:cs="宋体"/>
          <w:b/>
          <w:bCs/>
          <w:color w:val="auto"/>
          <w:sz w:val="32"/>
          <w:szCs w:val="32"/>
          <w:highlight w:val="none"/>
        </w:rPr>
        <w:fldChar w:fldCharType="end"/>
      </w:r>
    </w:p>
    <w:p w14:paraId="4334ABEA">
      <w:pPr>
        <w:pStyle w:val="92"/>
        <w:tabs>
          <w:tab w:val="right" w:leader="dot" w:pos="8306"/>
        </w:tabs>
        <w:spacing w:line="720" w:lineRule="auto"/>
        <w:jc w:val="center"/>
        <w:rPr>
          <w:rFonts w:ascii="宋体" w:hAnsi="宋体" w:cs="宋体"/>
          <w:b/>
          <w:bCs/>
          <w:color w:val="auto"/>
          <w:sz w:val="32"/>
          <w:szCs w:val="32"/>
          <w:highlight w:val="none"/>
        </w:rPr>
      </w:pPr>
      <w:r>
        <w:rPr>
          <w:b/>
          <w:bCs/>
          <w:color w:val="auto"/>
          <w:sz w:val="21"/>
          <w:szCs w:val="21"/>
          <w:highlight w:val="none"/>
        </w:rPr>
        <w:fldChar w:fldCharType="begin"/>
      </w:r>
      <w:r>
        <w:rPr>
          <w:b/>
          <w:bCs/>
          <w:color w:val="auto"/>
          <w:sz w:val="21"/>
          <w:szCs w:val="21"/>
          <w:highlight w:val="none"/>
        </w:rPr>
        <w:instrText xml:space="preserve"> HYPERLINK \l "_Toc30474" </w:instrText>
      </w:r>
      <w:r>
        <w:rPr>
          <w:b/>
          <w:bCs/>
          <w:color w:val="auto"/>
          <w:sz w:val="21"/>
          <w:szCs w:val="21"/>
          <w:highlight w:val="none"/>
        </w:rPr>
        <w:fldChar w:fldCharType="separate"/>
      </w:r>
      <w:r>
        <w:rPr>
          <w:rFonts w:hint="eastAsia" w:ascii="宋体" w:hAnsi="宋体" w:cs="宋体"/>
          <w:b/>
          <w:bCs/>
          <w:color w:val="auto"/>
          <w:sz w:val="32"/>
          <w:szCs w:val="32"/>
          <w:highlight w:val="none"/>
        </w:rPr>
        <w:t>第四章 合同主要条款</w:t>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PAGEREF _Toc30474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27</w:t>
      </w:r>
      <w:r>
        <w:rPr>
          <w:rFonts w:hint="eastAsia" w:ascii="宋体" w:hAnsi="宋体" w:cs="宋体"/>
          <w:b/>
          <w:bCs/>
          <w:color w:val="auto"/>
          <w:sz w:val="32"/>
          <w:szCs w:val="32"/>
          <w:highlight w:val="none"/>
        </w:rPr>
        <w:fldChar w:fldCharType="end"/>
      </w:r>
      <w:r>
        <w:rPr>
          <w:rFonts w:hint="eastAsia" w:ascii="宋体" w:hAnsi="宋体" w:cs="宋体"/>
          <w:b/>
          <w:bCs/>
          <w:color w:val="auto"/>
          <w:sz w:val="32"/>
          <w:szCs w:val="32"/>
          <w:highlight w:val="none"/>
        </w:rPr>
        <w:fldChar w:fldCharType="end"/>
      </w:r>
    </w:p>
    <w:p w14:paraId="56324EFB">
      <w:pPr>
        <w:pStyle w:val="92"/>
        <w:tabs>
          <w:tab w:val="right" w:leader="dot" w:pos="8306"/>
        </w:tabs>
        <w:spacing w:line="720" w:lineRule="auto"/>
        <w:jc w:val="center"/>
        <w:rPr>
          <w:rFonts w:ascii="宋体" w:hAnsi="宋体" w:cs="宋体"/>
          <w:b/>
          <w:bCs/>
          <w:color w:val="auto"/>
          <w:sz w:val="32"/>
          <w:szCs w:val="32"/>
          <w:highlight w:val="none"/>
        </w:rPr>
      </w:pPr>
      <w:r>
        <w:rPr>
          <w:b/>
          <w:bCs/>
          <w:color w:val="auto"/>
          <w:sz w:val="21"/>
          <w:szCs w:val="21"/>
          <w:highlight w:val="none"/>
        </w:rPr>
        <w:fldChar w:fldCharType="begin"/>
      </w:r>
      <w:r>
        <w:rPr>
          <w:b/>
          <w:bCs/>
          <w:color w:val="auto"/>
          <w:sz w:val="21"/>
          <w:szCs w:val="21"/>
          <w:highlight w:val="none"/>
        </w:rPr>
        <w:instrText xml:space="preserve"> HYPERLINK \l "_Toc19847" </w:instrText>
      </w:r>
      <w:r>
        <w:rPr>
          <w:b/>
          <w:bCs/>
          <w:color w:val="auto"/>
          <w:sz w:val="21"/>
          <w:szCs w:val="21"/>
          <w:highlight w:val="none"/>
        </w:rPr>
        <w:fldChar w:fldCharType="separate"/>
      </w:r>
      <w:r>
        <w:rPr>
          <w:rFonts w:hint="eastAsia" w:ascii="宋体" w:hAnsi="宋体" w:cs="宋体"/>
          <w:b/>
          <w:bCs/>
          <w:color w:val="auto"/>
          <w:sz w:val="32"/>
          <w:szCs w:val="32"/>
          <w:highlight w:val="none"/>
        </w:rPr>
        <w:t>第五章 投标文件格式</w:t>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PAGEREF _Toc19847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28</w:t>
      </w:r>
      <w:r>
        <w:rPr>
          <w:rFonts w:hint="eastAsia" w:ascii="宋体" w:hAnsi="宋体" w:cs="宋体"/>
          <w:b/>
          <w:bCs/>
          <w:color w:val="auto"/>
          <w:sz w:val="32"/>
          <w:szCs w:val="32"/>
          <w:highlight w:val="none"/>
        </w:rPr>
        <w:fldChar w:fldCharType="end"/>
      </w:r>
      <w:r>
        <w:rPr>
          <w:rFonts w:hint="eastAsia" w:ascii="宋体" w:hAnsi="宋体" w:cs="宋体"/>
          <w:b/>
          <w:bCs/>
          <w:color w:val="auto"/>
          <w:sz w:val="32"/>
          <w:szCs w:val="32"/>
          <w:highlight w:val="none"/>
        </w:rPr>
        <w:fldChar w:fldCharType="end"/>
      </w:r>
    </w:p>
    <w:p w14:paraId="57B7702A">
      <w:pPr>
        <w:pStyle w:val="92"/>
        <w:tabs>
          <w:tab w:val="right" w:leader="dot" w:pos="8306"/>
        </w:tabs>
        <w:spacing w:line="720" w:lineRule="auto"/>
        <w:jc w:val="center"/>
        <w:rPr>
          <w:b/>
          <w:bCs/>
          <w:color w:val="auto"/>
          <w:sz w:val="21"/>
          <w:szCs w:val="21"/>
          <w:highlight w:val="none"/>
        </w:rPr>
      </w:pPr>
      <w:r>
        <w:rPr>
          <w:b/>
          <w:bCs/>
          <w:color w:val="auto"/>
          <w:sz w:val="21"/>
          <w:szCs w:val="21"/>
          <w:highlight w:val="none"/>
        </w:rPr>
        <w:fldChar w:fldCharType="begin"/>
      </w:r>
      <w:r>
        <w:rPr>
          <w:b/>
          <w:bCs/>
          <w:color w:val="auto"/>
          <w:sz w:val="21"/>
          <w:szCs w:val="21"/>
          <w:highlight w:val="none"/>
        </w:rPr>
        <w:instrText xml:space="preserve"> HYPERLINK \l "_Toc7600" </w:instrText>
      </w:r>
      <w:r>
        <w:rPr>
          <w:b/>
          <w:bCs/>
          <w:color w:val="auto"/>
          <w:sz w:val="21"/>
          <w:szCs w:val="21"/>
          <w:highlight w:val="none"/>
        </w:rPr>
        <w:fldChar w:fldCharType="separate"/>
      </w:r>
      <w:r>
        <w:rPr>
          <w:rFonts w:hint="eastAsia" w:ascii="宋体" w:hAnsi="宋体" w:cs="宋体"/>
          <w:b/>
          <w:bCs/>
          <w:color w:val="auto"/>
          <w:sz w:val="32"/>
          <w:szCs w:val="32"/>
          <w:highlight w:val="none"/>
        </w:rPr>
        <w:t>第六章 评标办法</w:t>
      </w:r>
      <w:r>
        <w:rPr>
          <w:rFonts w:hint="eastAsia" w:ascii="宋体" w:hAnsi="宋体" w:cs="宋体"/>
          <w:b/>
          <w:bCs/>
          <w:color w:val="auto"/>
          <w:sz w:val="32"/>
          <w:szCs w:val="32"/>
          <w:highlight w:val="none"/>
        </w:rPr>
        <w:tab/>
      </w:r>
      <w:r>
        <w:rPr>
          <w:rFonts w:hint="eastAsia" w:ascii="宋体" w:hAnsi="宋体" w:cs="宋体"/>
          <w:b/>
          <w:bCs/>
          <w:color w:val="auto"/>
          <w:sz w:val="32"/>
          <w:szCs w:val="32"/>
          <w:highlight w:val="none"/>
        </w:rPr>
        <w:fldChar w:fldCharType="begin"/>
      </w:r>
      <w:r>
        <w:rPr>
          <w:rFonts w:hint="eastAsia" w:ascii="宋体" w:hAnsi="宋体" w:cs="宋体"/>
          <w:b/>
          <w:bCs/>
          <w:color w:val="auto"/>
          <w:sz w:val="32"/>
          <w:szCs w:val="32"/>
          <w:highlight w:val="none"/>
        </w:rPr>
        <w:instrText xml:space="preserve"> PAGEREF _Toc7600 </w:instrText>
      </w:r>
      <w:r>
        <w:rPr>
          <w:rFonts w:hint="eastAsia" w:ascii="宋体" w:hAnsi="宋体" w:cs="宋体"/>
          <w:b/>
          <w:bCs/>
          <w:color w:val="auto"/>
          <w:sz w:val="32"/>
          <w:szCs w:val="32"/>
          <w:highlight w:val="none"/>
        </w:rPr>
        <w:fldChar w:fldCharType="separate"/>
      </w:r>
      <w:r>
        <w:rPr>
          <w:rFonts w:hint="eastAsia" w:ascii="宋体" w:hAnsi="宋体" w:cs="宋体"/>
          <w:b/>
          <w:bCs/>
          <w:color w:val="auto"/>
          <w:sz w:val="32"/>
          <w:szCs w:val="32"/>
          <w:highlight w:val="none"/>
        </w:rPr>
        <w:t>47</w:t>
      </w:r>
      <w:r>
        <w:rPr>
          <w:rFonts w:hint="eastAsia" w:ascii="宋体" w:hAnsi="宋体" w:cs="宋体"/>
          <w:b/>
          <w:bCs/>
          <w:color w:val="auto"/>
          <w:sz w:val="32"/>
          <w:szCs w:val="32"/>
          <w:highlight w:val="none"/>
        </w:rPr>
        <w:fldChar w:fldCharType="end"/>
      </w:r>
      <w:r>
        <w:rPr>
          <w:rFonts w:hint="eastAsia" w:ascii="宋体" w:hAnsi="宋体" w:cs="宋体"/>
          <w:b/>
          <w:bCs/>
          <w:color w:val="auto"/>
          <w:sz w:val="32"/>
          <w:szCs w:val="32"/>
          <w:highlight w:val="none"/>
        </w:rPr>
        <w:fldChar w:fldCharType="end"/>
      </w:r>
    </w:p>
    <w:p w14:paraId="4CE7DA54">
      <w:pPr>
        <w:jc w:val="center"/>
        <w:rPr>
          <w:rFonts w:ascii="宋体" w:hAnsi="宋体" w:cs="宋体"/>
          <w:color w:val="auto"/>
          <w:highlight w:val="none"/>
          <w:lang w:val="zh-CN"/>
        </w:rPr>
      </w:pPr>
      <w:r>
        <w:rPr>
          <w:rFonts w:hint="eastAsia" w:ascii="宋体" w:hAnsi="宋体" w:cs="宋体"/>
          <w:b/>
          <w:bCs/>
          <w:color w:val="auto"/>
          <w:sz w:val="22"/>
          <w:szCs w:val="28"/>
          <w:highlight w:val="none"/>
          <w:lang w:val="zh-CN"/>
        </w:rPr>
        <w:fldChar w:fldCharType="end"/>
      </w:r>
    </w:p>
    <w:p w14:paraId="54EC9672">
      <w:pPr>
        <w:pStyle w:val="33"/>
        <w:outlineLvl w:val="9"/>
        <w:rPr>
          <w:rStyle w:val="72"/>
          <w:rFonts w:ascii="宋体" w:hAnsi="宋体" w:eastAsia="宋体" w:cs="宋体"/>
          <w:b/>
          <w:color w:val="auto"/>
          <w:sz w:val="44"/>
          <w:szCs w:val="44"/>
          <w:highlight w:val="none"/>
          <w:lang w:eastAsia="zh-CN"/>
        </w:rPr>
        <w:sectPr>
          <w:footerReference r:id="rId5" w:type="default"/>
          <w:pgSz w:w="11906" w:h="16838"/>
          <w:pgMar w:top="1440" w:right="1349" w:bottom="1327" w:left="1349" w:header="850" w:footer="907" w:gutter="0"/>
          <w:pgNumType w:start="1"/>
          <w:cols w:space="0" w:num="1"/>
          <w:rtlGutter w:val="0"/>
          <w:docGrid w:linePitch="312" w:charSpace="0"/>
        </w:sectPr>
      </w:pPr>
      <w:bookmarkStart w:id="0" w:name="_Toc522010556"/>
    </w:p>
    <w:p w14:paraId="452BE406">
      <w:pPr>
        <w:pStyle w:val="33"/>
        <w:rPr>
          <w:rFonts w:ascii="宋体" w:hAnsi="宋体" w:cs="宋体"/>
          <w:color w:val="auto"/>
          <w:sz w:val="44"/>
          <w:szCs w:val="44"/>
          <w:highlight w:val="none"/>
        </w:rPr>
      </w:pPr>
      <w:bookmarkStart w:id="1" w:name="_Toc30330"/>
      <w:r>
        <w:rPr>
          <w:rStyle w:val="72"/>
          <w:rFonts w:hint="eastAsia" w:ascii="宋体" w:hAnsi="宋体" w:eastAsia="宋体" w:cs="宋体"/>
          <w:b/>
          <w:color w:val="auto"/>
          <w:sz w:val="44"/>
          <w:szCs w:val="44"/>
          <w:highlight w:val="none"/>
          <w:lang w:eastAsia="zh-CN"/>
        </w:rPr>
        <w:t xml:space="preserve">第一章 </w:t>
      </w:r>
      <w:r>
        <w:rPr>
          <w:rStyle w:val="72"/>
          <w:rFonts w:hint="eastAsia" w:ascii="宋体" w:hAnsi="宋体" w:eastAsia="宋体" w:cs="宋体"/>
          <w:b w:val="0"/>
          <w:color w:val="auto"/>
          <w:sz w:val="44"/>
          <w:szCs w:val="44"/>
          <w:highlight w:val="none"/>
          <w:lang w:eastAsia="zh-CN"/>
        </w:rPr>
        <w:t xml:space="preserve"> </w:t>
      </w:r>
      <w:r>
        <w:rPr>
          <w:rFonts w:hint="eastAsia" w:ascii="宋体" w:hAnsi="宋体" w:cs="宋体"/>
          <w:color w:val="auto"/>
          <w:sz w:val="44"/>
          <w:szCs w:val="44"/>
          <w:highlight w:val="none"/>
        </w:rPr>
        <w:t>招标公告</w:t>
      </w:r>
      <w:bookmarkEnd w:id="0"/>
      <w:bookmarkEnd w:id="1"/>
    </w:p>
    <w:p w14:paraId="1A8DD3BA">
      <w:pPr>
        <w:rPr>
          <w:color w:val="auto"/>
          <w:highlight w:val="none"/>
        </w:rPr>
      </w:pPr>
      <w:bookmarkStart w:id="2" w:name="_Toc522010557"/>
    </w:p>
    <w:p w14:paraId="70D7E7A7">
      <w:pPr>
        <w:spacing w:before="120" w:beforeLines="50" w:after="120" w:afterLines="50"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lang w:eastAsia="zh-CN"/>
        </w:rPr>
        <w:t>盐津县2025年地方优势特色农业保险采购（二次）</w:t>
      </w:r>
      <w:r>
        <w:rPr>
          <w:rFonts w:hint="eastAsia" w:ascii="宋体" w:hAnsi="宋体" w:cs="宋体"/>
          <w:b/>
          <w:color w:val="auto"/>
          <w:sz w:val="32"/>
          <w:szCs w:val="32"/>
          <w:highlight w:val="none"/>
        </w:rPr>
        <w:t>公开招标公告</w:t>
      </w:r>
    </w:p>
    <w:tbl>
      <w:tblPr>
        <w:tblStyle w:val="35"/>
        <w:tblW w:w="0" w:type="auto"/>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9224"/>
      </w:tblGrid>
      <w:tr w14:paraId="4AF832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0" w:type="auto"/>
            <w:tcBorders>
              <w:top w:val="outset" w:color="auto" w:sz="6" w:space="0"/>
              <w:left w:val="outset" w:color="auto" w:sz="6" w:space="0"/>
              <w:bottom w:val="outset" w:color="auto" w:sz="6" w:space="0"/>
              <w:right w:val="outset" w:color="auto" w:sz="6" w:space="0"/>
            </w:tcBorders>
            <w:shd w:val="clear" w:color="auto" w:fill="auto"/>
            <w:vAlign w:val="center"/>
          </w:tcPr>
          <w:p w14:paraId="516CD7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left"/>
              <w:textAlignment w:val="auto"/>
              <w:rPr>
                <w:rFonts w:hint="default" w:ascii="宋体" w:hAnsi="宋体" w:cs="宋体"/>
                <w:b/>
                <w:bCs/>
                <w:color w:val="auto"/>
                <w:kern w:val="0"/>
                <w:szCs w:val="21"/>
                <w:highlight w:val="none"/>
                <w:lang w:bidi="ar"/>
              </w:rPr>
            </w:pPr>
            <w:r>
              <w:rPr>
                <w:rFonts w:hint="eastAsia" w:ascii="宋体" w:hAnsi="宋体" w:cs="宋体"/>
                <w:b/>
                <w:bCs/>
                <w:color w:val="auto"/>
                <w:kern w:val="0"/>
                <w:szCs w:val="21"/>
                <w:highlight w:val="none"/>
                <w:lang w:bidi="ar"/>
              </w:rPr>
              <w:t>项目概况</w:t>
            </w:r>
          </w:p>
          <w:p w14:paraId="568B99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jc w:val="left"/>
              <w:textAlignment w:val="auto"/>
              <w:rPr>
                <w:rFonts w:hint="default" w:ascii="宋体" w:hAnsi="宋体" w:cs="宋体"/>
                <w:color w:val="auto"/>
                <w:szCs w:val="21"/>
                <w:highlight w:val="none"/>
              </w:rPr>
            </w:pPr>
            <w:r>
              <w:rPr>
                <w:rFonts w:hint="eastAsia" w:ascii="宋体" w:hAnsi="宋体" w:cs="宋体"/>
                <w:color w:val="auto"/>
                <w:kern w:val="0"/>
                <w:szCs w:val="21"/>
                <w:highlight w:val="none"/>
                <w:u w:val="single"/>
                <w:lang w:eastAsia="zh-CN" w:bidi="ar"/>
              </w:rPr>
              <w:t>盐津县2025年地方优势特色农业保险采购（二次）</w:t>
            </w:r>
            <w:r>
              <w:rPr>
                <w:rFonts w:hint="eastAsia" w:ascii="宋体" w:hAnsi="宋体" w:cs="宋体"/>
                <w:color w:val="auto"/>
                <w:kern w:val="0"/>
                <w:szCs w:val="21"/>
                <w:highlight w:val="none"/>
                <w:lang w:bidi="ar"/>
              </w:rPr>
              <w:t>的潜在投标人应在</w:t>
            </w:r>
            <w:r>
              <w:rPr>
                <w:rFonts w:hint="eastAsia" w:ascii="宋体" w:hAnsi="宋体" w:cs="宋体"/>
                <w:color w:val="auto"/>
                <w:kern w:val="0"/>
                <w:szCs w:val="21"/>
                <w:highlight w:val="none"/>
                <w:u w:val="single"/>
                <w:lang w:bidi="ar"/>
              </w:rPr>
              <w:t>政采云平台（https://www.zcygov.cn/）</w:t>
            </w:r>
            <w:r>
              <w:rPr>
                <w:rFonts w:hint="eastAsia" w:ascii="宋体" w:hAnsi="宋体" w:cs="宋体"/>
                <w:color w:val="auto"/>
                <w:kern w:val="0"/>
                <w:szCs w:val="21"/>
                <w:highlight w:val="none"/>
                <w:lang w:bidi="ar"/>
              </w:rPr>
              <w:t>获取采购文件，并于</w:t>
            </w:r>
            <w:r>
              <w:rPr>
                <w:rFonts w:hint="eastAsia" w:ascii="宋体" w:hAnsi="宋体" w:cs="宋体"/>
                <w:color w:val="auto"/>
                <w:kern w:val="0"/>
                <w:szCs w:val="21"/>
                <w:highlight w:val="none"/>
                <w:u w:val="single"/>
                <w:lang w:eastAsia="zh-CN" w:bidi="ar"/>
              </w:rPr>
              <w:t>2025年08月14日1</w:t>
            </w:r>
            <w:r>
              <w:rPr>
                <w:rFonts w:hint="eastAsia" w:ascii="宋体" w:hAnsi="宋体" w:cs="宋体"/>
                <w:color w:val="auto"/>
                <w:kern w:val="0"/>
                <w:szCs w:val="21"/>
                <w:highlight w:val="none"/>
                <w:u w:val="single"/>
                <w:lang w:val="en-US" w:eastAsia="zh-CN" w:bidi="ar"/>
              </w:rPr>
              <w:t>5</w:t>
            </w:r>
            <w:r>
              <w:rPr>
                <w:rFonts w:hint="eastAsia" w:ascii="宋体" w:hAnsi="宋体" w:cs="宋体"/>
                <w:color w:val="auto"/>
                <w:kern w:val="0"/>
                <w:szCs w:val="21"/>
                <w:highlight w:val="none"/>
                <w:u w:val="single"/>
                <w:lang w:eastAsia="zh-CN" w:bidi="ar"/>
              </w:rPr>
              <w:t>时</w:t>
            </w:r>
            <w:r>
              <w:rPr>
                <w:rFonts w:hint="eastAsia" w:ascii="宋体" w:hAnsi="宋体" w:cs="宋体"/>
                <w:color w:val="auto"/>
                <w:kern w:val="0"/>
                <w:szCs w:val="21"/>
                <w:highlight w:val="none"/>
                <w:u w:val="single"/>
                <w:lang w:val="en-US" w:eastAsia="zh-CN" w:bidi="ar"/>
              </w:rPr>
              <w:t>0</w:t>
            </w:r>
            <w:r>
              <w:rPr>
                <w:rFonts w:hint="eastAsia" w:ascii="宋体" w:hAnsi="宋体" w:cs="宋体"/>
                <w:color w:val="auto"/>
                <w:kern w:val="0"/>
                <w:szCs w:val="21"/>
                <w:highlight w:val="none"/>
                <w:u w:val="single"/>
                <w:lang w:eastAsia="zh-CN" w:bidi="ar"/>
              </w:rPr>
              <w:t>0分</w:t>
            </w:r>
            <w:r>
              <w:rPr>
                <w:rFonts w:hint="eastAsia" w:ascii="宋体" w:hAnsi="宋体" w:cs="宋体"/>
                <w:color w:val="auto"/>
                <w:kern w:val="0"/>
                <w:szCs w:val="21"/>
                <w:highlight w:val="none"/>
                <w:lang w:bidi="ar"/>
              </w:rPr>
              <w:t>（北京时间）前在政采云平台提交投标文件。</w:t>
            </w:r>
          </w:p>
        </w:tc>
      </w:tr>
    </w:tbl>
    <w:p w14:paraId="4A76F8E8">
      <w:pPr>
        <w:pStyle w:val="5"/>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一、项目基本情况</w:t>
      </w:r>
    </w:p>
    <w:p w14:paraId="3F36CE0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ZTZC2025-G3-00777-YNTY-0003</w:t>
      </w:r>
    </w:p>
    <w:p w14:paraId="2EDF2CEC">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盐津县2025年地方优势特色农业保险采购（二次）</w:t>
      </w:r>
    </w:p>
    <w:p w14:paraId="5F289135">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default" w:ascii="宋体" w:hAnsi="宋体" w:eastAsia="宋体" w:cs="宋体"/>
          <w:color w:val="auto"/>
          <w:sz w:val="21"/>
          <w:szCs w:val="21"/>
          <w:highlight w:val="none"/>
          <w:lang w:val="en-US"/>
        </w:rPr>
      </w:pPr>
      <w:r>
        <w:rPr>
          <w:rFonts w:hint="eastAsia"/>
          <w:color w:val="auto"/>
          <w:sz w:val="21"/>
          <w:szCs w:val="21"/>
          <w:highlight w:val="none"/>
        </w:rPr>
        <w:t>预算</w:t>
      </w:r>
      <w:r>
        <w:rPr>
          <w:rFonts w:hint="eastAsia" w:ascii="宋体" w:hAnsi="宋体" w:eastAsia="宋体" w:cs="宋体"/>
          <w:color w:val="auto"/>
          <w:sz w:val="21"/>
          <w:szCs w:val="21"/>
          <w:highlight w:val="none"/>
        </w:rPr>
        <w:t>金额：</w:t>
      </w:r>
      <w:r>
        <w:rPr>
          <w:rFonts w:hint="eastAsia" w:ascii="宋体" w:hAnsi="宋体" w:eastAsia="宋体" w:cs="宋体"/>
          <w:color w:val="auto"/>
          <w:sz w:val="21"/>
          <w:szCs w:val="21"/>
          <w:highlight w:val="none"/>
          <w:lang w:val="en-US" w:eastAsia="zh-CN"/>
        </w:rPr>
        <w:t>340万元（225元/头，根据实际数量结算）</w:t>
      </w:r>
    </w:p>
    <w:p w14:paraId="55B2C1F2">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最高限价：</w:t>
      </w:r>
      <w:r>
        <w:rPr>
          <w:rFonts w:hint="eastAsia" w:ascii="宋体" w:hAnsi="宋体" w:eastAsia="宋体" w:cs="宋体"/>
          <w:color w:val="auto"/>
          <w:sz w:val="21"/>
          <w:szCs w:val="21"/>
          <w:highlight w:val="none"/>
          <w:lang w:val="en-US" w:eastAsia="zh-CN"/>
        </w:rPr>
        <w:t>340万元（225元/头，根据实际数量结算）</w:t>
      </w:r>
    </w:p>
    <w:p w14:paraId="1A28310E">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color w:val="auto"/>
          <w:sz w:val="21"/>
          <w:szCs w:val="21"/>
          <w:highlight w:val="none"/>
        </w:rPr>
      </w:pPr>
      <w:r>
        <w:rPr>
          <w:rFonts w:hint="eastAsia"/>
          <w:color w:val="auto"/>
          <w:sz w:val="21"/>
          <w:szCs w:val="21"/>
          <w:highlight w:val="none"/>
        </w:rPr>
        <w:t>采购需求：</w:t>
      </w:r>
      <w:r>
        <w:rPr>
          <w:rFonts w:hint="eastAsia"/>
          <w:color w:val="auto"/>
          <w:sz w:val="21"/>
          <w:szCs w:val="21"/>
          <w:highlight w:val="none"/>
          <w:lang w:val="en-US" w:eastAsia="zh-CN"/>
        </w:rPr>
        <w:t>采购</w:t>
      </w:r>
      <w:r>
        <w:rPr>
          <w:rFonts w:hint="eastAsia"/>
          <w:color w:val="auto"/>
          <w:sz w:val="21"/>
          <w:szCs w:val="21"/>
          <w:highlight w:val="none"/>
        </w:rPr>
        <w:t>一家保险公司负责承保</w:t>
      </w:r>
      <w:r>
        <w:rPr>
          <w:rFonts w:hint="eastAsia"/>
          <w:color w:val="auto"/>
          <w:sz w:val="21"/>
          <w:szCs w:val="21"/>
          <w:highlight w:val="none"/>
          <w:lang w:val="en-US" w:eastAsia="zh-CN"/>
        </w:rPr>
        <w:t>盐津</w:t>
      </w:r>
      <w:r>
        <w:rPr>
          <w:rFonts w:hint="eastAsia"/>
          <w:color w:val="auto"/>
          <w:sz w:val="21"/>
          <w:szCs w:val="21"/>
          <w:highlight w:val="none"/>
        </w:rPr>
        <w:t>县</w:t>
      </w:r>
      <w:r>
        <w:rPr>
          <w:rFonts w:hint="eastAsia"/>
          <w:color w:val="auto"/>
          <w:sz w:val="21"/>
          <w:szCs w:val="21"/>
          <w:highlight w:val="none"/>
          <w:lang w:val="en-US" w:eastAsia="zh-CN"/>
        </w:rPr>
        <w:t>肉牛养殖地点死亡</w:t>
      </w:r>
      <w:r>
        <w:rPr>
          <w:rFonts w:hint="eastAsia"/>
          <w:color w:val="auto"/>
          <w:sz w:val="21"/>
          <w:szCs w:val="21"/>
          <w:highlight w:val="none"/>
        </w:rPr>
        <w:t>保险业务</w:t>
      </w:r>
      <w:r>
        <w:rPr>
          <w:rFonts w:hint="eastAsia" w:ascii="宋体" w:hAnsi="宋体" w:eastAsia="宋体" w:cs="宋体"/>
          <w:color w:val="auto"/>
          <w:sz w:val="21"/>
          <w:szCs w:val="21"/>
          <w:highlight w:val="none"/>
          <w:lang w:val="en-US" w:eastAsia="zh-CN"/>
        </w:rPr>
        <w:t>。</w:t>
      </w:r>
      <w:r>
        <w:rPr>
          <w:rFonts w:hint="eastAsia"/>
          <w:color w:val="auto"/>
          <w:sz w:val="21"/>
          <w:szCs w:val="21"/>
          <w:highlight w:val="none"/>
        </w:rPr>
        <w:t>具体需求详见《招标文件》第三章。</w:t>
      </w:r>
    </w:p>
    <w:p w14:paraId="22832320">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rPr>
      </w:pPr>
      <w:r>
        <w:rPr>
          <w:rFonts w:hint="eastAsia"/>
          <w:color w:val="auto"/>
          <w:sz w:val="21"/>
          <w:szCs w:val="21"/>
          <w:highlight w:val="none"/>
        </w:rPr>
        <w:t>合同履行期限：</w:t>
      </w:r>
      <w:r>
        <w:rPr>
          <w:rFonts w:hint="eastAsia"/>
          <w:color w:val="auto"/>
          <w:sz w:val="21"/>
          <w:szCs w:val="21"/>
          <w:highlight w:val="none"/>
          <w:lang w:val="en-US" w:eastAsia="zh-CN"/>
        </w:rPr>
        <w:t>1年</w:t>
      </w:r>
      <w:r>
        <w:rPr>
          <w:rFonts w:hint="eastAsia"/>
          <w:color w:val="auto"/>
          <w:sz w:val="21"/>
          <w:szCs w:val="21"/>
          <w:highlight w:val="none"/>
        </w:rPr>
        <w:t>。</w:t>
      </w:r>
    </w:p>
    <w:p w14:paraId="756546A4">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eastAsia="zh-CN"/>
        </w:rPr>
      </w:pPr>
      <w:r>
        <w:rPr>
          <w:rFonts w:hint="eastAsia"/>
          <w:color w:val="auto"/>
          <w:sz w:val="21"/>
          <w:szCs w:val="21"/>
          <w:highlight w:val="none"/>
        </w:rPr>
        <w:t>服务标准</w:t>
      </w:r>
      <w:r>
        <w:rPr>
          <w:rFonts w:hint="eastAsia"/>
          <w:color w:val="auto"/>
          <w:sz w:val="21"/>
          <w:szCs w:val="21"/>
          <w:highlight w:val="none"/>
          <w:lang w:eastAsia="zh-CN"/>
        </w:rPr>
        <w:t>：满足采购人要求并考核合格。</w:t>
      </w:r>
    </w:p>
    <w:p w14:paraId="467DDE1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lang w:val="en-US" w:eastAsia="zh-CN"/>
        </w:rPr>
        <w:t>本项目不接受联合体投标</w:t>
      </w:r>
      <w:r>
        <w:rPr>
          <w:rFonts w:hint="eastAsia"/>
          <w:color w:val="auto"/>
          <w:sz w:val="21"/>
          <w:szCs w:val="21"/>
          <w:highlight w:val="none"/>
        </w:rPr>
        <w:t>。</w:t>
      </w:r>
    </w:p>
    <w:p w14:paraId="721751ED">
      <w:pPr>
        <w:pStyle w:val="5"/>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二、申请人的资格要求：</w:t>
      </w:r>
    </w:p>
    <w:p w14:paraId="17CF1FF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1.满足《中华人民共和国政府采购法》第二十二条规定，即：</w:t>
      </w:r>
    </w:p>
    <w:p w14:paraId="68DB98A6">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（1）具有独立承担民事责任的能力（投标人应具备经行政管理部门登记注册的独立企业（事业）法人或其他组织，并在人员、设备、资金等方面具有完成本项目相应的能力）；</w:t>
      </w:r>
    </w:p>
    <w:p w14:paraId="110AC32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（2）具有良好的商业信誉和健全的财务会计制度（</w:t>
      </w:r>
      <w:r>
        <w:rPr>
          <w:rFonts w:hint="eastAsia"/>
          <w:color w:val="auto"/>
          <w:sz w:val="21"/>
          <w:szCs w:val="21"/>
          <w:highlight w:val="none"/>
          <w:lang w:eastAsia="zh-CN"/>
        </w:rPr>
        <w:t>提供2021-2024任意三年的经会计师事务所或审计机构审计的财务审计报告</w:t>
      </w:r>
      <w:r>
        <w:rPr>
          <w:rFonts w:hint="eastAsia"/>
          <w:color w:val="auto"/>
          <w:sz w:val="21"/>
          <w:szCs w:val="21"/>
          <w:highlight w:val="none"/>
        </w:rPr>
        <w:t>【包括但不限于：资产负债表、利润表（或损益表）、现金流量表】；新成立企业不满一年的，可提供开户银行出具的资信证明或资金存款证明）。</w:t>
      </w:r>
    </w:p>
    <w:p w14:paraId="4F49B633">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（3）投标人须具有履行合同所必需的设备和专业技术能力（提供书面声明）。</w:t>
      </w:r>
    </w:p>
    <w:p w14:paraId="52A88A9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4）由相关主管部门出具的最近一个年度内任意三个月缴纳社会保障资金的凭据复印件（专用收据或社会保险缴纳清单）（在本项目公告发布之日前不需要缴纳社会保障资金的，提供不需要缴纳社会保障金声明函）。</w:t>
      </w:r>
    </w:p>
    <w:p w14:paraId="081C14A0">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rPr>
      </w:pPr>
      <w:r>
        <w:rPr>
          <w:rFonts w:hint="eastAsia"/>
          <w:color w:val="auto"/>
          <w:sz w:val="21"/>
          <w:szCs w:val="21"/>
          <w:highlight w:val="none"/>
        </w:rPr>
        <w:t>（5）信用中国（https：//www.creditchina.gov.cn）平台上无失信记录（未被列入失信被执行人名单、重大税收违法案件当事人名单）截图的复印件。</w:t>
      </w:r>
    </w:p>
    <w:p w14:paraId="0822FED5">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6）申请人需提供</w:t>
      </w:r>
      <w:r>
        <w:rPr>
          <w:rFonts w:hint="eastAsia"/>
          <w:color w:val="auto"/>
          <w:sz w:val="21"/>
          <w:szCs w:val="21"/>
          <w:highlight w:val="none"/>
          <w:lang w:eastAsia="zh-CN"/>
        </w:rPr>
        <w:t>银行开具的银行资信证明复印件、最近两个年度财务审计报告，包括资产负债表、利润（损益）表、现金流量表、所有者权益变动表（若有）及其附注。</w:t>
      </w:r>
    </w:p>
    <w:p w14:paraId="147F169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lang w:eastAsia="zh-CN"/>
        </w:rPr>
      </w:pPr>
      <w:r>
        <w:rPr>
          <w:rFonts w:hint="eastAsia"/>
          <w:color w:val="auto"/>
          <w:sz w:val="21"/>
          <w:szCs w:val="21"/>
          <w:highlight w:val="none"/>
          <w:lang w:val="en-US" w:eastAsia="zh-CN"/>
        </w:rPr>
        <w:t>（7）</w:t>
      </w:r>
      <w:r>
        <w:rPr>
          <w:rFonts w:hint="eastAsia"/>
          <w:color w:val="auto"/>
          <w:sz w:val="21"/>
          <w:szCs w:val="21"/>
          <w:highlight w:val="none"/>
          <w:lang w:eastAsia="zh-CN"/>
        </w:rPr>
        <w:t>最近一个年度内任意三个月依法缴纳税收的缴税凭据复印件加盖公章，如免纳税的，提供免纳税声明函。</w:t>
      </w:r>
    </w:p>
    <w:p w14:paraId="1EDAC621">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8）</w:t>
      </w:r>
      <w:r>
        <w:rPr>
          <w:rFonts w:hint="eastAsia"/>
          <w:color w:val="auto"/>
          <w:sz w:val="21"/>
          <w:szCs w:val="21"/>
          <w:highlight w:val="none"/>
          <w:lang w:eastAsia="zh-CN"/>
        </w:rPr>
        <w:t>上级总公司与中国农业再保险股份有限公司（以下简称中国农再）约定分保业务信息系统进行对接的证明材料。上级总公司与中国农再签署的《政策性农业保险再保险标准协议》。</w:t>
      </w:r>
    </w:p>
    <w:p w14:paraId="3EE2AFAA">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9</w:t>
      </w:r>
      <w:r>
        <w:rPr>
          <w:rFonts w:hint="eastAsia"/>
          <w:color w:val="auto"/>
          <w:sz w:val="21"/>
          <w:szCs w:val="21"/>
          <w:highlight w:val="none"/>
        </w:rPr>
        <w:t>）法律、行政法规规定的其他条件。</w:t>
      </w:r>
    </w:p>
    <w:p w14:paraId="189CD6E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2.落实政府采购政策需满足的资格要求：</w:t>
      </w:r>
      <w:r>
        <w:rPr>
          <w:rFonts w:hint="eastAsia"/>
          <w:b/>
          <w:bCs/>
          <w:color w:val="auto"/>
          <w:sz w:val="21"/>
          <w:szCs w:val="21"/>
          <w:highlight w:val="none"/>
        </w:rPr>
        <w:t>本项目</w:t>
      </w:r>
      <w:r>
        <w:rPr>
          <w:rFonts w:hint="eastAsia"/>
          <w:b/>
          <w:bCs/>
          <w:color w:val="auto"/>
          <w:sz w:val="21"/>
          <w:szCs w:val="21"/>
          <w:highlight w:val="none"/>
          <w:lang w:val="en-US" w:eastAsia="zh-CN"/>
        </w:rPr>
        <w:t>不</w:t>
      </w:r>
      <w:r>
        <w:rPr>
          <w:rFonts w:hint="eastAsia"/>
          <w:b/>
          <w:bCs/>
          <w:color w:val="auto"/>
          <w:sz w:val="21"/>
          <w:szCs w:val="21"/>
          <w:highlight w:val="none"/>
        </w:rPr>
        <w:t>专门面向中小企业</w:t>
      </w:r>
      <w:r>
        <w:rPr>
          <w:rFonts w:hint="eastAsia"/>
          <w:color w:val="auto"/>
          <w:sz w:val="21"/>
          <w:szCs w:val="21"/>
          <w:highlight w:val="none"/>
        </w:rPr>
        <w:t>；</w:t>
      </w:r>
    </w:p>
    <w:p w14:paraId="5281E3FC">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val="en-US" w:eastAsia="zh-CN"/>
        </w:rPr>
      </w:pPr>
      <w:r>
        <w:rPr>
          <w:rFonts w:hint="eastAsia"/>
          <w:color w:val="auto"/>
          <w:sz w:val="21"/>
          <w:szCs w:val="21"/>
          <w:highlight w:val="none"/>
        </w:rPr>
        <w:t>3.</w:t>
      </w:r>
      <w:r>
        <w:rPr>
          <w:rFonts w:hint="eastAsia"/>
          <w:color w:val="auto"/>
          <w:sz w:val="21"/>
          <w:szCs w:val="21"/>
          <w:highlight w:val="none"/>
          <w:lang w:eastAsia="zh-CN"/>
        </w:rPr>
        <w:t>本项目的特定资格要求：在中国境内合法注册企业、具有独立法人资格的单位或其分支机构，且没有处于被责令停业，磋商资格被取消，财产被接管、冻结，破产状态，同时须具备中国银行保险监督管理委员会颁发有效的《经营保险业务许可证》</w:t>
      </w:r>
      <w:r>
        <w:rPr>
          <w:rFonts w:hint="eastAsia"/>
          <w:color w:val="auto"/>
          <w:sz w:val="21"/>
          <w:szCs w:val="21"/>
          <w:highlight w:val="none"/>
          <w:lang w:val="en-US" w:eastAsia="zh-CN"/>
        </w:rPr>
        <w:t>。</w:t>
      </w:r>
    </w:p>
    <w:p w14:paraId="3F6CA545">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textAlignment w:val="auto"/>
        <w:rPr>
          <w:b/>
          <w:bCs/>
          <w:color w:val="auto"/>
          <w:sz w:val="21"/>
          <w:szCs w:val="21"/>
          <w:highlight w:val="none"/>
        </w:rPr>
      </w:pPr>
      <w:r>
        <w:rPr>
          <w:rFonts w:hint="eastAsia"/>
          <w:b/>
          <w:bCs/>
          <w:color w:val="auto"/>
          <w:sz w:val="21"/>
          <w:szCs w:val="21"/>
          <w:highlight w:val="none"/>
        </w:rPr>
        <w:t>三、获取招标文件</w:t>
      </w:r>
    </w:p>
    <w:p w14:paraId="1B937062">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时间：</w:t>
      </w:r>
      <w:r>
        <w:rPr>
          <w:rFonts w:hint="eastAsia"/>
          <w:color w:val="auto"/>
          <w:sz w:val="21"/>
          <w:szCs w:val="21"/>
          <w:highlight w:val="none"/>
          <w:lang w:eastAsia="zh-CN"/>
        </w:rPr>
        <w:t>2025年07月</w:t>
      </w:r>
      <w:r>
        <w:rPr>
          <w:rFonts w:hint="eastAsia"/>
          <w:color w:val="auto"/>
          <w:sz w:val="21"/>
          <w:szCs w:val="21"/>
          <w:highlight w:val="none"/>
          <w:lang w:val="en-US" w:eastAsia="zh-CN"/>
        </w:rPr>
        <w:t>25</w:t>
      </w:r>
      <w:r>
        <w:rPr>
          <w:rFonts w:hint="eastAsia"/>
          <w:color w:val="auto"/>
          <w:sz w:val="21"/>
          <w:szCs w:val="21"/>
          <w:highlight w:val="none"/>
        </w:rPr>
        <w:t>日</w:t>
      </w:r>
      <w:r>
        <w:rPr>
          <w:rFonts w:hint="eastAsia"/>
          <w:color w:val="auto"/>
          <w:sz w:val="21"/>
          <w:szCs w:val="21"/>
          <w:highlight w:val="none"/>
          <w:lang w:val="en-US" w:eastAsia="zh-CN"/>
        </w:rPr>
        <w:t>23</w:t>
      </w:r>
      <w:r>
        <w:rPr>
          <w:rFonts w:hint="eastAsia"/>
          <w:color w:val="auto"/>
          <w:sz w:val="21"/>
          <w:szCs w:val="21"/>
          <w:highlight w:val="none"/>
        </w:rPr>
        <w:t>时</w:t>
      </w:r>
      <w:r>
        <w:rPr>
          <w:rFonts w:hint="eastAsia"/>
          <w:color w:val="auto"/>
          <w:sz w:val="21"/>
          <w:szCs w:val="21"/>
          <w:highlight w:val="none"/>
          <w:lang w:val="en-US" w:eastAsia="zh-CN"/>
        </w:rPr>
        <w:t>59</w:t>
      </w:r>
      <w:r>
        <w:rPr>
          <w:rFonts w:hint="eastAsia"/>
          <w:color w:val="auto"/>
          <w:sz w:val="21"/>
          <w:szCs w:val="21"/>
          <w:highlight w:val="none"/>
        </w:rPr>
        <w:t>分至</w:t>
      </w:r>
      <w:r>
        <w:rPr>
          <w:rFonts w:hint="eastAsia"/>
          <w:color w:val="auto"/>
          <w:sz w:val="21"/>
          <w:szCs w:val="21"/>
          <w:highlight w:val="none"/>
          <w:lang w:eastAsia="zh-CN"/>
        </w:rPr>
        <w:t>2025年07月</w:t>
      </w:r>
      <w:r>
        <w:rPr>
          <w:rFonts w:hint="eastAsia"/>
          <w:color w:val="auto"/>
          <w:sz w:val="21"/>
          <w:szCs w:val="21"/>
          <w:highlight w:val="none"/>
          <w:lang w:val="en-US" w:eastAsia="zh-CN"/>
        </w:rPr>
        <w:t>31日23</w:t>
      </w:r>
      <w:r>
        <w:rPr>
          <w:rFonts w:hint="eastAsia"/>
          <w:color w:val="auto"/>
          <w:sz w:val="21"/>
          <w:szCs w:val="21"/>
          <w:highlight w:val="none"/>
        </w:rPr>
        <w:t>时</w:t>
      </w:r>
      <w:r>
        <w:rPr>
          <w:rFonts w:hint="eastAsia"/>
          <w:color w:val="auto"/>
          <w:sz w:val="21"/>
          <w:szCs w:val="21"/>
          <w:highlight w:val="none"/>
          <w:lang w:val="en-US" w:eastAsia="zh-CN"/>
        </w:rPr>
        <w:t>59</w:t>
      </w:r>
      <w:r>
        <w:rPr>
          <w:rFonts w:hint="eastAsia"/>
          <w:color w:val="auto"/>
          <w:sz w:val="21"/>
          <w:szCs w:val="21"/>
          <w:highlight w:val="none"/>
        </w:rPr>
        <w:t>分（北京时间，法定节假日除外）</w:t>
      </w:r>
    </w:p>
    <w:p w14:paraId="031533C1">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地点：“政采云”平台（http：//www.zcygov.cn）（操作路径：登录“政采云”平台-项目采购-获取采购文件-找到本项目-点击“申请获取采购文件”）。</w:t>
      </w:r>
    </w:p>
    <w:p w14:paraId="2D4EC84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rPr>
      </w:pPr>
      <w:r>
        <w:rPr>
          <w:rFonts w:hint="eastAsia"/>
          <w:color w:val="auto"/>
          <w:sz w:val="21"/>
          <w:szCs w:val="21"/>
          <w:highlight w:val="none"/>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69E9104F">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rPr>
      </w:pPr>
      <w:r>
        <w:rPr>
          <w:rFonts w:hint="eastAsia"/>
          <w:color w:val="auto"/>
          <w:sz w:val="21"/>
          <w:szCs w:val="21"/>
          <w:highlight w:val="none"/>
        </w:rPr>
        <w:t>2.按上述要求获取文件的供应商视为合法获取了本项目采购文件，具备本项目的投标资格。</w:t>
      </w:r>
    </w:p>
    <w:p w14:paraId="72500599">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各投标人应在开标前确保成为政采云平台投标人，并完成CA数字证书申领。如因投标人自身原因，如：未注册入库，未办理CA数字证书、导致在规定时间内无法正常解密的(如:浏览器故障、未安装相关驱动、网络故障、加密CA与解密CA不一致等），造成无法投标或投标失败等由投标人自行承担。</w:t>
      </w:r>
    </w:p>
    <w:p w14:paraId="4BDB9123">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售价（元）：0</w:t>
      </w:r>
    </w:p>
    <w:p w14:paraId="0862FE33">
      <w:pPr>
        <w:pStyle w:val="32"/>
        <w:keepNext w:val="0"/>
        <w:keepLines w:val="0"/>
        <w:pageBreakBefore w:val="0"/>
        <w:widowControl/>
        <w:numPr>
          <w:ilvl w:val="0"/>
          <w:numId w:val="5"/>
        </w:numPr>
        <w:kinsoku/>
        <w:wordWrap/>
        <w:overflowPunct/>
        <w:topLinePunct w:val="0"/>
        <w:autoSpaceDE/>
        <w:autoSpaceDN/>
        <w:bidi w:val="0"/>
        <w:adjustRightInd/>
        <w:snapToGrid/>
        <w:spacing w:before="0" w:beforeAutospacing="0" w:after="0" w:afterAutospacing="0" w:line="500" w:lineRule="exact"/>
        <w:textAlignment w:val="auto"/>
        <w:rPr>
          <w:b/>
          <w:bCs/>
          <w:color w:val="auto"/>
          <w:sz w:val="21"/>
          <w:szCs w:val="21"/>
          <w:highlight w:val="none"/>
        </w:rPr>
      </w:pPr>
      <w:r>
        <w:rPr>
          <w:rFonts w:hint="eastAsia"/>
          <w:b/>
          <w:bCs/>
          <w:color w:val="auto"/>
          <w:sz w:val="21"/>
          <w:szCs w:val="21"/>
          <w:highlight w:val="none"/>
        </w:rPr>
        <w:t>提交投标文件截止时间、开标时间和地点</w:t>
      </w:r>
    </w:p>
    <w:p w14:paraId="0667E5A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left="420" w:leftChars="200"/>
        <w:textAlignment w:val="auto"/>
        <w:rPr>
          <w:color w:val="auto"/>
          <w:sz w:val="21"/>
          <w:szCs w:val="21"/>
          <w:highlight w:val="none"/>
        </w:rPr>
      </w:pPr>
      <w:r>
        <w:rPr>
          <w:rFonts w:hint="eastAsia"/>
          <w:color w:val="auto"/>
          <w:sz w:val="21"/>
          <w:szCs w:val="21"/>
          <w:highlight w:val="none"/>
        </w:rPr>
        <w:t>截止时间：</w:t>
      </w:r>
      <w:r>
        <w:rPr>
          <w:rFonts w:hint="eastAsia"/>
          <w:color w:val="auto"/>
          <w:sz w:val="21"/>
          <w:szCs w:val="21"/>
          <w:highlight w:val="none"/>
          <w:lang w:eastAsia="zh-CN"/>
        </w:rPr>
        <w:t>2025年08月14日1</w:t>
      </w:r>
      <w:r>
        <w:rPr>
          <w:rFonts w:hint="eastAsia"/>
          <w:color w:val="auto"/>
          <w:sz w:val="21"/>
          <w:szCs w:val="21"/>
          <w:highlight w:val="none"/>
          <w:lang w:val="en-US" w:eastAsia="zh-CN"/>
        </w:rPr>
        <w:t>5</w:t>
      </w:r>
      <w:r>
        <w:rPr>
          <w:rFonts w:hint="eastAsia"/>
          <w:color w:val="auto"/>
          <w:sz w:val="21"/>
          <w:szCs w:val="21"/>
          <w:highlight w:val="none"/>
          <w:lang w:eastAsia="zh-CN"/>
        </w:rPr>
        <w:t>时</w:t>
      </w:r>
      <w:r>
        <w:rPr>
          <w:rFonts w:hint="eastAsia"/>
          <w:color w:val="auto"/>
          <w:sz w:val="21"/>
          <w:szCs w:val="21"/>
          <w:highlight w:val="none"/>
          <w:lang w:val="en-US" w:eastAsia="zh-CN"/>
        </w:rPr>
        <w:t>0</w:t>
      </w:r>
      <w:r>
        <w:rPr>
          <w:rFonts w:hint="eastAsia"/>
          <w:color w:val="auto"/>
          <w:sz w:val="21"/>
          <w:szCs w:val="21"/>
          <w:highlight w:val="none"/>
          <w:lang w:eastAsia="zh-CN"/>
        </w:rPr>
        <w:t>0分</w:t>
      </w:r>
      <w:r>
        <w:rPr>
          <w:rFonts w:hint="eastAsia"/>
          <w:color w:val="auto"/>
          <w:sz w:val="21"/>
          <w:szCs w:val="21"/>
          <w:highlight w:val="none"/>
        </w:rPr>
        <w:t>（北京时间）</w:t>
      </w:r>
    </w:p>
    <w:p w14:paraId="62F7D206">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地点：投标人应按照本项目采购文件和"政采云"平台的要求编制、加密后在响应文件提交截止时间前上传至"政采云"平台，响应文件提交截止时间前未完成响应文件上传的，视为撤回响应文件。申请人在"政采云"平台提交电子版响应文件时，请填写参加远程采购活动经办人联系方式。</w:t>
      </w:r>
    </w:p>
    <w:p w14:paraId="661899F3">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注：投标人应当在首次响应文件提交截止时间前完成电子响应文件的上传、递交，响应文件提交截止时间前可以补充、修改或者撤回响应文件。补充或者修改响应文件的，应当先行撤回原文件，补充、修改后重新上传、递交。响应截止时间前未完成上传、递交的，视为撤回响应文件。响应文件提交截止时间以后上传递交的响应文件的，“政采云”平台将予以拒收。</w:t>
      </w:r>
    </w:p>
    <w:p w14:paraId="28C8965F">
      <w:pPr>
        <w:pStyle w:val="5"/>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五、公告期限</w:t>
      </w:r>
    </w:p>
    <w:p w14:paraId="2DA21BEF">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自本公告发布之日起5个工作日。</w:t>
      </w:r>
    </w:p>
    <w:p w14:paraId="42BC9EAB">
      <w:pPr>
        <w:pStyle w:val="5"/>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六、其他补充事宜</w:t>
      </w:r>
    </w:p>
    <w:p w14:paraId="36EDFDFA">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开标方式:网上开标</w:t>
      </w:r>
    </w:p>
    <w:p w14:paraId="47D9548A">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是否需要缴纳投标保证金:否</w:t>
      </w:r>
    </w:p>
    <w:p w14:paraId="382FE7B3">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其他:1.发布公告的媒介：本次公告在云南省政府采购网（http://www.yngp.com）上发布，采购人及采购代理机构对其他网站发布或转载的公告内容不承担任何责任。</w:t>
      </w:r>
    </w:p>
    <w:p w14:paraId="0013B52A">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2.无论采购结果如何，采购人和采购代理机构不承担投标人准备响应文件和递交响应文件以及参加本次采购活动所发生的任何成本或费用。</w:t>
      </w:r>
    </w:p>
    <w:p w14:paraId="789BD76C">
      <w:pPr>
        <w:pStyle w:val="5"/>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七、对本次招标提出询问，请按以下方式联系。</w:t>
      </w:r>
    </w:p>
    <w:p w14:paraId="4C2012E2">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1.采购人信息</w:t>
      </w:r>
    </w:p>
    <w:p w14:paraId="6D520564">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eastAsia="zh-CN"/>
        </w:rPr>
      </w:pPr>
      <w:r>
        <w:rPr>
          <w:rFonts w:hint="eastAsia"/>
          <w:color w:val="auto"/>
          <w:sz w:val="21"/>
          <w:szCs w:val="21"/>
          <w:highlight w:val="none"/>
        </w:rPr>
        <w:t xml:space="preserve">名 </w:t>
      </w:r>
      <w:r>
        <w:rPr>
          <w:rFonts w:hint="eastAsia"/>
          <w:color w:val="auto"/>
          <w:sz w:val="21"/>
          <w:szCs w:val="21"/>
          <w:highlight w:val="none"/>
          <w:lang w:val="en-US" w:eastAsia="zh-CN"/>
        </w:rPr>
        <w:t xml:space="preserve">   </w:t>
      </w:r>
      <w:r>
        <w:rPr>
          <w:rFonts w:hint="eastAsia"/>
          <w:color w:val="auto"/>
          <w:sz w:val="21"/>
          <w:szCs w:val="21"/>
          <w:highlight w:val="none"/>
        </w:rPr>
        <w:t>称：</w:t>
      </w:r>
      <w:r>
        <w:rPr>
          <w:rFonts w:hint="eastAsia"/>
          <w:color w:val="auto"/>
          <w:sz w:val="21"/>
          <w:szCs w:val="21"/>
          <w:highlight w:val="none"/>
          <w:lang w:eastAsia="zh-CN"/>
        </w:rPr>
        <w:t>盐津县农业农村局</w:t>
      </w:r>
    </w:p>
    <w:p w14:paraId="6DDC3842">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eastAsia="zh-CN"/>
        </w:rPr>
      </w:pPr>
      <w:r>
        <w:rPr>
          <w:rFonts w:hint="eastAsia"/>
          <w:color w:val="auto"/>
          <w:sz w:val="21"/>
          <w:szCs w:val="21"/>
          <w:highlight w:val="none"/>
        </w:rPr>
        <w:t>地</w:t>
      </w:r>
      <w:r>
        <w:rPr>
          <w:rFonts w:hint="eastAsia"/>
          <w:color w:val="auto"/>
          <w:sz w:val="21"/>
          <w:szCs w:val="21"/>
          <w:highlight w:val="none"/>
          <w:lang w:val="en-US" w:eastAsia="zh-CN"/>
        </w:rPr>
        <w:t xml:space="preserve">    </w:t>
      </w:r>
      <w:r>
        <w:rPr>
          <w:rFonts w:hint="eastAsia"/>
          <w:color w:val="auto"/>
          <w:sz w:val="21"/>
          <w:szCs w:val="21"/>
          <w:highlight w:val="none"/>
        </w:rPr>
        <w:t>址：</w:t>
      </w:r>
      <w:r>
        <w:rPr>
          <w:rFonts w:hint="eastAsia"/>
          <w:color w:val="auto"/>
          <w:sz w:val="21"/>
          <w:szCs w:val="21"/>
          <w:highlight w:val="none"/>
          <w:lang w:eastAsia="zh-CN"/>
        </w:rPr>
        <w:t>盐津县农业农村局</w:t>
      </w:r>
    </w:p>
    <w:p w14:paraId="383EE95F">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default" w:eastAsia="宋体"/>
          <w:color w:val="auto"/>
          <w:sz w:val="21"/>
          <w:szCs w:val="21"/>
          <w:highlight w:val="none"/>
          <w:lang w:val="en-US" w:eastAsia="zh-CN"/>
        </w:rPr>
      </w:pPr>
      <w:r>
        <w:rPr>
          <w:rFonts w:hint="eastAsia"/>
          <w:color w:val="auto"/>
          <w:sz w:val="21"/>
          <w:szCs w:val="21"/>
          <w:highlight w:val="none"/>
        </w:rPr>
        <w:t>联系方式：</w:t>
      </w:r>
      <w:r>
        <w:rPr>
          <w:rFonts w:hint="eastAsia"/>
          <w:color w:val="auto"/>
          <w:sz w:val="21"/>
          <w:szCs w:val="21"/>
          <w:highlight w:val="none"/>
          <w:lang w:val="en-US" w:eastAsia="zh-CN"/>
        </w:rPr>
        <w:t>13887105918</w:t>
      </w:r>
    </w:p>
    <w:p w14:paraId="4E43F473">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p>
    <w:p w14:paraId="431A08FA">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2.采购代理机构信息</w:t>
      </w:r>
    </w:p>
    <w:p w14:paraId="7CC2ED83">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eastAsia="zh-CN"/>
        </w:rPr>
      </w:pPr>
      <w:r>
        <w:rPr>
          <w:rFonts w:hint="eastAsia"/>
          <w:color w:val="auto"/>
          <w:sz w:val="21"/>
          <w:szCs w:val="21"/>
          <w:highlight w:val="none"/>
        </w:rPr>
        <w:t xml:space="preserve">名 </w:t>
      </w:r>
      <w:r>
        <w:rPr>
          <w:rFonts w:hint="eastAsia"/>
          <w:color w:val="auto"/>
          <w:sz w:val="21"/>
          <w:szCs w:val="21"/>
          <w:highlight w:val="none"/>
          <w:lang w:val="en-US" w:eastAsia="zh-CN"/>
        </w:rPr>
        <w:t xml:space="preserve">   </w:t>
      </w:r>
      <w:r>
        <w:rPr>
          <w:rFonts w:hint="eastAsia"/>
          <w:color w:val="auto"/>
          <w:sz w:val="21"/>
          <w:szCs w:val="21"/>
          <w:highlight w:val="none"/>
        </w:rPr>
        <w:t>称：</w:t>
      </w:r>
      <w:r>
        <w:rPr>
          <w:rFonts w:hint="eastAsia"/>
          <w:color w:val="auto"/>
          <w:sz w:val="21"/>
          <w:szCs w:val="21"/>
          <w:highlight w:val="none"/>
          <w:lang w:eastAsia="zh-CN"/>
        </w:rPr>
        <w:t>云南同益工程咨询有限公司</w:t>
      </w:r>
    </w:p>
    <w:p w14:paraId="6B97FB7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eastAsia="zh-CN"/>
        </w:rPr>
      </w:pPr>
      <w:r>
        <w:rPr>
          <w:rFonts w:hint="eastAsia"/>
          <w:color w:val="auto"/>
          <w:sz w:val="21"/>
          <w:szCs w:val="21"/>
          <w:highlight w:val="none"/>
        </w:rPr>
        <w:t>地</w:t>
      </w:r>
      <w:r>
        <w:rPr>
          <w:rFonts w:hint="eastAsia"/>
          <w:color w:val="auto"/>
          <w:sz w:val="21"/>
          <w:szCs w:val="21"/>
          <w:highlight w:val="none"/>
          <w:lang w:val="en-US" w:eastAsia="zh-CN"/>
        </w:rPr>
        <w:t xml:space="preserve">    </w:t>
      </w:r>
      <w:r>
        <w:rPr>
          <w:rFonts w:hint="eastAsia"/>
          <w:color w:val="auto"/>
          <w:sz w:val="21"/>
          <w:szCs w:val="21"/>
          <w:highlight w:val="none"/>
        </w:rPr>
        <w:t>址：</w:t>
      </w:r>
      <w:r>
        <w:rPr>
          <w:rFonts w:hint="eastAsia"/>
          <w:color w:val="auto"/>
          <w:sz w:val="21"/>
          <w:szCs w:val="21"/>
          <w:highlight w:val="none"/>
          <w:lang w:eastAsia="zh-CN"/>
        </w:rPr>
        <w:t>昭通市盐津县盐井镇坪街沙坪桥南向176号11楼</w:t>
      </w:r>
    </w:p>
    <w:p w14:paraId="21EEDFF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sz w:val="21"/>
          <w:szCs w:val="21"/>
          <w:highlight w:val="none"/>
          <w:lang w:eastAsia="zh-CN"/>
        </w:rPr>
      </w:pPr>
      <w:r>
        <w:rPr>
          <w:rFonts w:hint="eastAsia"/>
          <w:color w:val="auto"/>
          <w:sz w:val="21"/>
          <w:szCs w:val="21"/>
          <w:highlight w:val="none"/>
        </w:rPr>
        <w:t>联系方式：</w:t>
      </w:r>
      <w:r>
        <w:rPr>
          <w:rFonts w:hint="eastAsia"/>
          <w:color w:val="auto"/>
          <w:sz w:val="21"/>
          <w:szCs w:val="21"/>
          <w:highlight w:val="none"/>
          <w:lang w:eastAsia="zh-CN"/>
        </w:rPr>
        <w:t>13408867809</w:t>
      </w:r>
    </w:p>
    <w:p w14:paraId="1EF52E3E">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p>
    <w:p w14:paraId="5C558D08">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rPr>
        <w:t>3.项目联系方式</w:t>
      </w:r>
    </w:p>
    <w:p w14:paraId="29557B9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default" w:eastAsia="宋体"/>
          <w:color w:val="auto"/>
          <w:sz w:val="21"/>
          <w:szCs w:val="21"/>
          <w:highlight w:val="none"/>
          <w:lang w:val="en-US" w:eastAsia="zh-CN"/>
        </w:rPr>
      </w:pPr>
      <w:r>
        <w:rPr>
          <w:rFonts w:hint="eastAsia"/>
          <w:color w:val="auto"/>
          <w:sz w:val="21"/>
          <w:szCs w:val="21"/>
          <w:highlight w:val="none"/>
        </w:rPr>
        <w:t>项目联系人：</w:t>
      </w:r>
      <w:r>
        <w:rPr>
          <w:rFonts w:hint="eastAsia"/>
          <w:color w:val="auto"/>
          <w:sz w:val="21"/>
          <w:szCs w:val="21"/>
          <w:highlight w:val="none"/>
          <w:lang w:val="en-US" w:eastAsia="zh-CN"/>
        </w:rPr>
        <w:t>胡春</w:t>
      </w:r>
    </w:p>
    <w:p w14:paraId="1D192FE2">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eastAsia="宋体"/>
          <w:color w:val="auto"/>
          <w:highlight w:val="none"/>
          <w:lang w:eastAsia="zh-CN"/>
        </w:rPr>
      </w:pPr>
      <w:r>
        <w:rPr>
          <w:rFonts w:hint="eastAsia"/>
          <w:color w:val="auto"/>
          <w:sz w:val="21"/>
          <w:szCs w:val="21"/>
          <w:highlight w:val="none"/>
        </w:rPr>
        <w:t>电　</w:t>
      </w:r>
      <w:r>
        <w:rPr>
          <w:rFonts w:hint="eastAsia"/>
          <w:color w:val="auto"/>
          <w:sz w:val="21"/>
          <w:szCs w:val="21"/>
          <w:highlight w:val="none"/>
          <w:lang w:val="en-US" w:eastAsia="zh-CN"/>
        </w:rPr>
        <w:t xml:space="preserve">    </w:t>
      </w:r>
      <w:r>
        <w:rPr>
          <w:rFonts w:hint="eastAsia"/>
          <w:color w:val="auto"/>
          <w:sz w:val="21"/>
          <w:szCs w:val="21"/>
          <w:highlight w:val="none"/>
        </w:rPr>
        <w:t>话：</w:t>
      </w:r>
      <w:r>
        <w:rPr>
          <w:rFonts w:hint="eastAsia"/>
          <w:color w:val="auto"/>
          <w:sz w:val="21"/>
          <w:szCs w:val="21"/>
          <w:highlight w:val="none"/>
          <w:lang w:eastAsia="zh-CN"/>
        </w:rPr>
        <w:t>13408867809</w:t>
      </w:r>
    </w:p>
    <w:p w14:paraId="5F93447A">
      <w:pPr>
        <w:pStyle w:val="5"/>
        <w:rPr>
          <w:color w:val="auto"/>
          <w:highlight w:val="none"/>
          <w:lang w:eastAsia="zh-CN"/>
        </w:rPr>
        <w:sectPr>
          <w:footerReference r:id="rId6" w:type="default"/>
          <w:pgSz w:w="11906" w:h="16838"/>
          <w:pgMar w:top="1440" w:right="1349" w:bottom="1327" w:left="1349" w:header="850" w:footer="907" w:gutter="0"/>
          <w:pgNumType w:fmt="numberInDash" w:start="1"/>
          <w:cols w:space="0" w:num="1"/>
          <w:rtlGutter w:val="0"/>
          <w:docGrid w:linePitch="312" w:charSpace="0"/>
        </w:sectPr>
      </w:pPr>
    </w:p>
    <w:p w14:paraId="575EEF11">
      <w:pPr>
        <w:pStyle w:val="2"/>
        <w:numPr>
          <w:ilvl w:val="0"/>
          <w:numId w:val="0"/>
        </w:numPr>
        <w:spacing w:line="240" w:lineRule="auto"/>
        <w:jc w:val="center"/>
        <w:rPr>
          <w:rFonts w:ascii="宋体" w:hAnsi="宋体" w:cs="宋体"/>
          <w:color w:val="auto"/>
          <w:sz w:val="44"/>
          <w:szCs w:val="44"/>
          <w:highlight w:val="none"/>
          <w:lang w:eastAsia="zh-CN"/>
        </w:rPr>
      </w:pPr>
      <w:bookmarkStart w:id="3" w:name="_Toc10824"/>
      <w:r>
        <w:rPr>
          <w:rStyle w:val="72"/>
          <w:rFonts w:hint="eastAsia" w:ascii="宋体" w:hAnsi="宋体" w:eastAsia="宋体" w:cs="宋体"/>
          <w:b/>
          <w:bCs/>
          <w:smallCaps/>
          <w:color w:val="auto"/>
          <w:sz w:val="44"/>
          <w:szCs w:val="44"/>
          <w:highlight w:val="none"/>
          <w:lang w:eastAsia="zh-CN"/>
        </w:rPr>
        <w:t>第二章  投标人须知</w:t>
      </w:r>
      <w:bookmarkEnd w:id="2"/>
      <w:bookmarkEnd w:id="3"/>
    </w:p>
    <w:p w14:paraId="17E5C516">
      <w:pPr>
        <w:pStyle w:val="33"/>
        <w:spacing w:before="120" w:beforeLines="50" w:after="120" w:afterLines="50"/>
        <w:rPr>
          <w:rFonts w:ascii="宋体" w:hAnsi="宋体" w:cs="宋体"/>
          <w:color w:val="auto"/>
          <w:highlight w:val="none"/>
        </w:rPr>
      </w:pPr>
      <w:bookmarkStart w:id="4" w:name="_Toc522010558"/>
      <w:bookmarkStart w:id="5" w:name="_Toc29447"/>
      <w:bookmarkStart w:id="6" w:name="_Toc233082481"/>
      <w:r>
        <w:rPr>
          <w:rFonts w:hint="eastAsia" w:ascii="宋体" w:hAnsi="宋体" w:cs="宋体"/>
          <w:color w:val="auto"/>
          <w:highlight w:val="none"/>
        </w:rPr>
        <w:t>投标人须知前附表</w:t>
      </w:r>
      <w:bookmarkEnd w:id="4"/>
      <w:bookmarkEnd w:id="5"/>
      <w:bookmarkEnd w:id="6"/>
    </w:p>
    <w:p w14:paraId="07651E8F">
      <w:pPr>
        <w:rPr>
          <w:rFonts w:ascii="宋体" w:hAnsi="宋体" w:cs="宋体"/>
          <w:color w:val="auto"/>
          <w:highlight w:val="none"/>
        </w:rPr>
      </w:pPr>
    </w:p>
    <w:tbl>
      <w:tblPr>
        <w:tblStyle w:val="35"/>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715"/>
        <w:gridCol w:w="6975"/>
      </w:tblGrid>
      <w:tr w14:paraId="04686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29" w:type="dxa"/>
            <w:vAlign w:val="center"/>
          </w:tcPr>
          <w:p w14:paraId="145E29EE">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项号</w:t>
            </w:r>
          </w:p>
        </w:tc>
        <w:tc>
          <w:tcPr>
            <w:tcW w:w="1715" w:type="dxa"/>
            <w:vAlign w:val="center"/>
          </w:tcPr>
          <w:p w14:paraId="63137B3A">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c>
          <w:tcPr>
            <w:tcW w:w="6975" w:type="dxa"/>
            <w:vAlign w:val="center"/>
          </w:tcPr>
          <w:p w14:paraId="1F8CEF1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说明与要求</w:t>
            </w:r>
          </w:p>
        </w:tc>
      </w:tr>
      <w:tr w14:paraId="01E2E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9" w:type="dxa"/>
            <w:vAlign w:val="center"/>
          </w:tcPr>
          <w:p w14:paraId="434661BB">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1715" w:type="dxa"/>
            <w:vAlign w:val="center"/>
          </w:tcPr>
          <w:p w14:paraId="4D819EBD">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采购人</w:t>
            </w:r>
          </w:p>
        </w:tc>
        <w:tc>
          <w:tcPr>
            <w:tcW w:w="6975" w:type="dxa"/>
            <w:vAlign w:val="center"/>
          </w:tcPr>
          <w:p w14:paraId="680B61B0">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采购人</w:t>
            </w:r>
            <w:r>
              <w:rPr>
                <w:rFonts w:hint="eastAsia" w:ascii="宋体" w:hAnsi="宋体" w:eastAsia="宋体" w:cs="宋体"/>
                <w:bCs/>
                <w:color w:val="auto"/>
                <w:szCs w:val="21"/>
                <w:highlight w:val="none"/>
              </w:rPr>
              <w:t>：</w:t>
            </w:r>
            <w:r>
              <w:rPr>
                <w:rFonts w:hint="eastAsia" w:ascii="宋体" w:hAnsi="宋体" w:cs="宋体"/>
                <w:bCs/>
                <w:color w:val="auto"/>
                <w:szCs w:val="21"/>
                <w:highlight w:val="none"/>
                <w:lang w:eastAsia="zh-CN"/>
              </w:rPr>
              <w:t>盐津县农业农村局</w:t>
            </w:r>
          </w:p>
          <w:p w14:paraId="4B42F375">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联系人：</w:t>
            </w:r>
            <w:r>
              <w:rPr>
                <w:rFonts w:hint="eastAsia" w:ascii="宋体" w:hAnsi="宋体" w:cs="宋体"/>
                <w:bCs/>
                <w:color w:val="auto"/>
                <w:szCs w:val="21"/>
                <w:highlight w:val="none"/>
                <w:lang w:val="en-US" w:eastAsia="zh-CN"/>
              </w:rPr>
              <w:t>王先生</w:t>
            </w:r>
          </w:p>
          <w:p w14:paraId="7E24C3FA">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电  话：</w:t>
            </w:r>
            <w:r>
              <w:rPr>
                <w:rFonts w:hint="eastAsia" w:ascii="宋体" w:hAnsi="宋体" w:cs="宋体"/>
                <w:color w:val="auto"/>
                <w:szCs w:val="21"/>
                <w:highlight w:val="none"/>
                <w:lang w:eastAsia="zh-CN"/>
              </w:rPr>
              <w:t>13887105918</w:t>
            </w:r>
          </w:p>
          <w:p w14:paraId="4CE60016">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rPr>
              <w:t>地  址：</w:t>
            </w:r>
            <w:r>
              <w:rPr>
                <w:rFonts w:hint="eastAsia" w:ascii="宋体" w:hAnsi="宋体" w:cs="宋体"/>
                <w:color w:val="auto"/>
                <w:szCs w:val="21"/>
                <w:highlight w:val="none"/>
                <w:lang w:eastAsia="zh-CN"/>
              </w:rPr>
              <w:t>盐津县农业农村局</w:t>
            </w:r>
          </w:p>
        </w:tc>
      </w:tr>
      <w:tr w14:paraId="3FE4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9" w:type="dxa"/>
            <w:vAlign w:val="center"/>
          </w:tcPr>
          <w:p w14:paraId="56473510">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p>
        </w:tc>
        <w:tc>
          <w:tcPr>
            <w:tcW w:w="1715" w:type="dxa"/>
            <w:vAlign w:val="center"/>
          </w:tcPr>
          <w:p w14:paraId="7150E7C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采购代理机构</w:t>
            </w:r>
          </w:p>
        </w:tc>
        <w:tc>
          <w:tcPr>
            <w:tcW w:w="6975" w:type="dxa"/>
            <w:vAlign w:val="center"/>
          </w:tcPr>
          <w:p w14:paraId="0407BD75">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采购代理机构</w:t>
            </w:r>
            <w:r>
              <w:rPr>
                <w:rFonts w:hint="eastAsia" w:ascii="宋体" w:hAnsi="宋体" w:eastAsia="宋体" w:cs="宋体"/>
                <w:color w:val="auto"/>
                <w:szCs w:val="21"/>
                <w:highlight w:val="none"/>
              </w:rPr>
              <w:t>：</w:t>
            </w:r>
            <w:r>
              <w:rPr>
                <w:rFonts w:hint="eastAsia" w:ascii="宋体" w:hAnsi="宋体" w:cs="宋体"/>
                <w:color w:val="auto"/>
                <w:szCs w:val="21"/>
                <w:highlight w:val="none"/>
                <w:lang w:eastAsia="zh-CN"/>
              </w:rPr>
              <w:t>云南同益工程咨询有限公司</w:t>
            </w:r>
          </w:p>
          <w:p w14:paraId="05849855">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联 系 人：</w:t>
            </w:r>
            <w:r>
              <w:rPr>
                <w:rFonts w:hint="eastAsia" w:ascii="宋体" w:hAnsi="宋体" w:cs="宋体"/>
                <w:color w:val="auto"/>
                <w:szCs w:val="21"/>
                <w:highlight w:val="none"/>
                <w:shd w:val="clear" w:color="auto" w:fill="FFFFFF"/>
                <w:lang w:eastAsia="zh-CN"/>
              </w:rPr>
              <w:t>胡春</w:t>
            </w:r>
          </w:p>
          <w:p w14:paraId="1B9E7203">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电   话：</w:t>
            </w:r>
            <w:r>
              <w:rPr>
                <w:rFonts w:hint="eastAsia" w:ascii="宋体" w:hAnsi="宋体" w:cs="宋体"/>
                <w:color w:val="auto"/>
                <w:szCs w:val="21"/>
                <w:highlight w:val="none"/>
                <w:shd w:val="clear" w:color="auto" w:fill="FFFFFF"/>
                <w:lang w:eastAsia="zh-CN"/>
              </w:rPr>
              <w:t>13408867809</w:t>
            </w:r>
          </w:p>
          <w:p w14:paraId="26B00A59">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lang w:eastAsia="zh-CN"/>
              </w:rPr>
            </w:pPr>
            <w:r>
              <w:rPr>
                <w:rFonts w:hint="eastAsia" w:ascii="宋体" w:hAnsi="宋体" w:eastAsia="宋体" w:cs="宋体"/>
                <w:color w:val="auto"/>
                <w:szCs w:val="21"/>
                <w:highlight w:val="none"/>
              </w:rPr>
              <w:t>地   址：</w:t>
            </w:r>
            <w:r>
              <w:rPr>
                <w:rFonts w:hint="eastAsia" w:ascii="宋体" w:hAnsi="宋体" w:cs="宋体"/>
                <w:color w:val="auto"/>
                <w:szCs w:val="21"/>
                <w:highlight w:val="none"/>
                <w:lang w:eastAsia="zh-CN"/>
              </w:rPr>
              <w:t>昭通市盐津县盐井镇坪街沙坪桥南向176号11楼</w:t>
            </w:r>
          </w:p>
        </w:tc>
      </w:tr>
      <w:tr w14:paraId="31247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9" w:type="dxa"/>
            <w:vAlign w:val="center"/>
          </w:tcPr>
          <w:p w14:paraId="57DFD69D">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p>
        </w:tc>
        <w:tc>
          <w:tcPr>
            <w:tcW w:w="1715" w:type="dxa"/>
            <w:vAlign w:val="center"/>
          </w:tcPr>
          <w:p w14:paraId="47BF20F7">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项目名称</w:t>
            </w:r>
          </w:p>
        </w:tc>
        <w:tc>
          <w:tcPr>
            <w:tcW w:w="6975" w:type="dxa"/>
            <w:vAlign w:val="center"/>
          </w:tcPr>
          <w:p w14:paraId="244FE537">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eastAsia="zh-CN"/>
              </w:rPr>
              <w:t>盐津县2025年地方优势特色农业保险采购（二次）</w:t>
            </w:r>
          </w:p>
        </w:tc>
      </w:tr>
      <w:tr w14:paraId="2313B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9" w:type="dxa"/>
            <w:vAlign w:val="center"/>
          </w:tcPr>
          <w:p w14:paraId="15F58B2D">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w:t>
            </w:r>
          </w:p>
        </w:tc>
        <w:tc>
          <w:tcPr>
            <w:tcW w:w="1715" w:type="dxa"/>
            <w:vAlign w:val="center"/>
          </w:tcPr>
          <w:p w14:paraId="4940B0C3">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招标范围</w:t>
            </w:r>
          </w:p>
        </w:tc>
        <w:tc>
          <w:tcPr>
            <w:tcW w:w="6975" w:type="dxa"/>
            <w:vAlign w:val="center"/>
          </w:tcPr>
          <w:p w14:paraId="07E76D31">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color w:val="auto"/>
                <w:sz w:val="21"/>
                <w:szCs w:val="21"/>
                <w:highlight w:val="none"/>
                <w:lang w:val="en-US" w:eastAsia="zh-CN"/>
              </w:rPr>
              <w:t>采购</w:t>
            </w:r>
            <w:r>
              <w:rPr>
                <w:rFonts w:hint="eastAsia"/>
                <w:color w:val="auto"/>
                <w:sz w:val="21"/>
                <w:szCs w:val="21"/>
                <w:highlight w:val="none"/>
              </w:rPr>
              <w:t>一家保险公司负责承保</w:t>
            </w:r>
            <w:r>
              <w:rPr>
                <w:rFonts w:hint="eastAsia"/>
                <w:color w:val="auto"/>
                <w:sz w:val="21"/>
                <w:szCs w:val="21"/>
                <w:highlight w:val="none"/>
                <w:lang w:val="en-US" w:eastAsia="zh-CN"/>
              </w:rPr>
              <w:t>盐津</w:t>
            </w:r>
            <w:r>
              <w:rPr>
                <w:rFonts w:hint="eastAsia"/>
                <w:color w:val="auto"/>
                <w:sz w:val="21"/>
                <w:szCs w:val="21"/>
                <w:highlight w:val="none"/>
              </w:rPr>
              <w:t>县</w:t>
            </w:r>
            <w:r>
              <w:rPr>
                <w:rFonts w:hint="eastAsia"/>
                <w:color w:val="auto"/>
                <w:sz w:val="21"/>
                <w:szCs w:val="21"/>
                <w:highlight w:val="none"/>
                <w:lang w:val="en-US" w:eastAsia="zh-CN"/>
              </w:rPr>
              <w:t>肉牛养殖地点死亡</w:t>
            </w:r>
            <w:r>
              <w:rPr>
                <w:rFonts w:hint="eastAsia"/>
                <w:color w:val="auto"/>
                <w:sz w:val="21"/>
                <w:szCs w:val="21"/>
                <w:highlight w:val="none"/>
              </w:rPr>
              <w:t>保险业务</w:t>
            </w:r>
            <w:r>
              <w:rPr>
                <w:rFonts w:hint="eastAsia" w:ascii="宋体" w:hAnsi="宋体" w:eastAsia="宋体" w:cs="宋体"/>
                <w:color w:val="auto"/>
                <w:sz w:val="21"/>
                <w:szCs w:val="21"/>
                <w:highlight w:val="none"/>
                <w:lang w:val="en-US" w:eastAsia="zh-CN"/>
              </w:rPr>
              <w:t>。</w:t>
            </w:r>
            <w:r>
              <w:rPr>
                <w:rFonts w:hint="eastAsia"/>
                <w:color w:val="auto"/>
                <w:sz w:val="21"/>
                <w:szCs w:val="21"/>
                <w:highlight w:val="none"/>
              </w:rPr>
              <w:t>具体需求详见《招标文件》第三章</w:t>
            </w:r>
            <w:r>
              <w:rPr>
                <w:rFonts w:hint="eastAsia" w:ascii="宋体" w:hAnsi="宋体" w:eastAsia="宋体" w:cs="宋体"/>
                <w:color w:val="auto"/>
                <w:szCs w:val="21"/>
                <w:highlight w:val="none"/>
              </w:rPr>
              <w:t>。</w:t>
            </w:r>
          </w:p>
        </w:tc>
      </w:tr>
      <w:tr w14:paraId="2C4ED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9" w:type="dxa"/>
            <w:vAlign w:val="center"/>
          </w:tcPr>
          <w:p w14:paraId="774F41A3">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w:t>
            </w:r>
          </w:p>
        </w:tc>
        <w:tc>
          <w:tcPr>
            <w:tcW w:w="1715" w:type="dxa"/>
            <w:vAlign w:val="center"/>
          </w:tcPr>
          <w:p w14:paraId="51282D14">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预算金额</w:t>
            </w:r>
          </w:p>
        </w:tc>
        <w:tc>
          <w:tcPr>
            <w:tcW w:w="6975" w:type="dxa"/>
            <w:vAlign w:val="center"/>
          </w:tcPr>
          <w:p w14:paraId="16174573">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340万元（225元/头，根据实际数量结算）</w:t>
            </w:r>
          </w:p>
        </w:tc>
      </w:tr>
      <w:tr w14:paraId="7DB6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9" w:type="dxa"/>
            <w:vAlign w:val="center"/>
          </w:tcPr>
          <w:p w14:paraId="3ECD0DDE">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w:t>
            </w:r>
          </w:p>
        </w:tc>
        <w:tc>
          <w:tcPr>
            <w:tcW w:w="1715" w:type="dxa"/>
            <w:vAlign w:val="center"/>
          </w:tcPr>
          <w:p w14:paraId="56F3055E">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资金来源情况</w:t>
            </w:r>
          </w:p>
        </w:tc>
        <w:tc>
          <w:tcPr>
            <w:tcW w:w="6975" w:type="dxa"/>
            <w:vAlign w:val="center"/>
          </w:tcPr>
          <w:p w14:paraId="26887D25">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100%财政资金，已落实</w:t>
            </w:r>
          </w:p>
        </w:tc>
      </w:tr>
      <w:tr w14:paraId="52D09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9" w:type="dxa"/>
            <w:vAlign w:val="center"/>
          </w:tcPr>
          <w:p w14:paraId="4357EDD2">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7</w:t>
            </w:r>
          </w:p>
        </w:tc>
        <w:tc>
          <w:tcPr>
            <w:tcW w:w="1715" w:type="dxa"/>
            <w:vAlign w:val="center"/>
          </w:tcPr>
          <w:p w14:paraId="008D38BE">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合同履行期限、服务标准</w:t>
            </w:r>
          </w:p>
        </w:tc>
        <w:tc>
          <w:tcPr>
            <w:tcW w:w="6975" w:type="dxa"/>
            <w:vAlign w:val="center"/>
          </w:tcPr>
          <w:p w14:paraId="21F2FF96">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r>
              <w:rPr>
                <w:rFonts w:hint="eastAsia" w:ascii="宋体" w:hAnsi="宋体" w:cs="宋体"/>
                <w:color w:val="auto"/>
                <w:szCs w:val="21"/>
                <w:highlight w:val="none"/>
                <w:lang w:val="en-US" w:eastAsia="zh-CN"/>
              </w:rPr>
              <w:t>1年</w:t>
            </w:r>
            <w:r>
              <w:rPr>
                <w:rFonts w:hint="eastAsia" w:ascii="宋体" w:hAnsi="宋体" w:eastAsia="宋体" w:cs="宋体"/>
                <w:color w:val="auto"/>
                <w:szCs w:val="21"/>
                <w:highlight w:val="none"/>
              </w:rPr>
              <w:t>。</w:t>
            </w:r>
          </w:p>
          <w:p w14:paraId="2CCB54A2">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服务标准</w:t>
            </w:r>
            <w:r>
              <w:rPr>
                <w:rFonts w:hint="eastAsia" w:ascii="宋体" w:hAnsi="宋体" w:eastAsia="宋体" w:cs="宋体"/>
                <w:bCs/>
                <w:color w:val="auto"/>
                <w:szCs w:val="21"/>
                <w:highlight w:val="none"/>
                <w:lang w:eastAsia="zh-CN"/>
              </w:rPr>
              <w:t>：</w:t>
            </w:r>
            <w:r>
              <w:rPr>
                <w:rFonts w:hint="eastAsia" w:ascii="宋体" w:hAnsi="宋体" w:cs="宋体"/>
                <w:bCs/>
                <w:color w:val="auto"/>
                <w:szCs w:val="21"/>
                <w:highlight w:val="none"/>
                <w:lang w:eastAsia="zh-CN"/>
              </w:rPr>
              <w:t>满足采购人要求并考核合格。</w:t>
            </w:r>
          </w:p>
        </w:tc>
      </w:tr>
      <w:tr w14:paraId="0A6D4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29" w:type="dxa"/>
            <w:vAlign w:val="center"/>
          </w:tcPr>
          <w:p w14:paraId="55829DED">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w:t>
            </w:r>
          </w:p>
        </w:tc>
        <w:tc>
          <w:tcPr>
            <w:tcW w:w="1715" w:type="dxa"/>
            <w:vAlign w:val="center"/>
          </w:tcPr>
          <w:p w14:paraId="05DD35F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服务内容、服务地点</w:t>
            </w:r>
          </w:p>
        </w:tc>
        <w:tc>
          <w:tcPr>
            <w:tcW w:w="6975" w:type="dxa"/>
            <w:vAlign w:val="center"/>
          </w:tcPr>
          <w:p w14:paraId="5B439A4D">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服务内容：</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一家保险公司负责承保</w:t>
            </w:r>
            <w:r>
              <w:rPr>
                <w:rFonts w:hint="eastAsia" w:ascii="宋体" w:hAnsi="宋体" w:eastAsia="宋体" w:cs="宋体"/>
                <w:color w:val="auto"/>
                <w:szCs w:val="21"/>
                <w:highlight w:val="none"/>
                <w:lang w:val="en-US" w:eastAsia="zh-CN"/>
              </w:rPr>
              <w:t>盐津</w:t>
            </w:r>
            <w:r>
              <w:rPr>
                <w:rFonts w:hint="eastAsia" w:ascii="宋体" w:hAnsi="宋体" w:eastAsia="宋体" w:cs="宋体"/>
                <w:color w:val="auto"/>
                <w:szCs w:val="21"/>
                <w:highlight w:val="none"/>
              </w:rPr>
              <w:t>县</w:t>
            </w:r>
            <w:r>
              <w:rPr>
                <w:rFonts w:hint="eastAsia" w:ascii="宋体" w:hAnsi="宋体" w:eastAsia="宋体" w:cs="宋体"/>
                <w:color w:val="auto"/>
                <w:szCs w:val="21"/>
                <w:highlight w:val="none"/>
                <w:lang w:val="en-US" w:eastAsia="zh-CN"/>
              </w:rPr>
              <w:t>肉牛养殖地点死亡</w:t>
            </w:r>
            <w:r>
              <w:rPr>
                <w:rFonts w:hint="eastAsia" w:ascii="宋体" w:hAnsi="宋体" w:eastAsia="宋体" w:cs="宋体"/>
                <w:color w:val="auto"/>
                <w:szCs w:val="21"/>
                <w:highlight w:val="none"/>
              </w:rPr>
              <w:t>保险业务</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具体需求详见《招标文件》第三章。</w:t>
            </w:r>
          </w:p>
          <w:p w14:paraId="153FFBD5">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服务地点：采购人指定地点</w:t>
            </w:r>
          </w:p>
        </w:tc>
      </w:tr>
      <w:tr w14:paraId="35972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29" w:type="dxa"/>
            <w:vAlign w:val="center"/>
          </w:tcPr>
          <w:p w14:paraId="197C4CD2">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w:t>
            </w:r>
          </w:p>
        </w:tc>
        <w:tc>
          <w:tcPr>
            <w:tcW w:w="1715" w:type="dxa"/>
            <w:vAlign w:val="center"/>
          </w:tcPr>
          <w:p w14:paraId="630F0485">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投标人资格要求</w:t>
            </w:r>
          </w:p>
        </w:tc>
        <w:tc>
          <w:tcPr>
            <w:tcW w:w="6975" w:type="dxa"/>
            <w:vAlign w:val="center"/>
          </w:tcPr>
          <w:p w14:paraId="5B1D72FB">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default"/>
                <w:color w:val="auto"/>
                <w:sz w:val="21"/>
                <w:szCs w:val="21"/>
                <w:highlight w:val="none"/>
              </w:rPr>
            </w:pPr>
            <w:r>
              <w:rPr>
                <w:rFonts w:hint="eastAsia"/>
                <w:color w:val="auto"/>
                <w:sz w:val="21"/>
                <w:szCs w:val="21"/>
                <w:highlight w:val="none"/>
              </w:rPr>
              <w:t>1.满足《中华人民共和国政府采购法》第二十二条规定，即：</w:t>
            </w:r>
          </w:p>
          <w:p w14:paraId="5A55B2CB">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default"/>
                <w:color w:val="auto"/>
                <w:sz w:val="21"/>
                <w:szCs w:val="21"/>
                <w:highlight w:val="none"/>
              </w:rPr>
            </w:pPr>
            <w:r>
              <w:rPr>
                <w:rFonts w:hint="eastAsia"/>
                <w:color w:val="auto"/>
                <w:sz w:val="21"/>
                <w:szCs w:val="21"/>
                <w:highlight w:val="none"/>
              </w:rPr>
              <w:t>（1）具有独立承担民事责任的能力（投标人应具备经行政管理部门登记注册的独立企业（事业）法人或其他组织，并在人员、设备、资金等方面具有完成本项目相应的能力）；</w:t>
            </w:r>
          </w:p>
          <w:p w14:paraId="40FFB938">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default"/>
                <w:color w:val="auto"/>
                <w:sz w:val="21"/>
                <w:szCs w:val="21"/>
                <w:highlight w:val="none"/>
              </w:rPr>
            </w:pPr>
            <w:r>
              <w:rPr>
                <w:rFonts w:hint="eastAsia"/>
                <w:color w:val="auto"/>
                <w:sz w:val="21"/>
                <w:szCs w:val="21"/>
                <w:highlight w:val="none"/>
              </w:rPr>
              <w:t>（2）具有良好的商业信誉和健全的财务会计制度（</w:t>
            </w:r>
            <w:r>
              <w:rPr>
                <w:rFonts w:hint="eastAsia"/>
                <w:color w:val="auto"/>
                <w:sz w:val="21"/>
                <w:szCs w:val="21"/>
                <w:highlight w:val="none"/>
                <w:lang w:eastAsia="zh-CN"/>
              </w:rPr>
              <w:t>提供2021-2024任意三年的经会计师事务所或审计机构审计的财务审计报告</w:t>
            </w:r>
            <w:r>
              <w:rPr>
                <w:rFonts w:hint="eastAsia"/>
                <w:color w:val="auto"/>
                <w:sz w:val="21"/>
                <w:szCs w:val="21"/>
                <w:highlight w:val="none"/>
              </w:rPr>
              <w:t>【包括但不限于：资产负债表、利润表（或损益表）、现金流量表】；新成立企业不满一年的，可提供开户银行出具的资信证明或资金存款证明）。</w:t>
            </w:r>
          </w:p>
          <w:p w14:paraId="2B519C33">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default"/>
                <w:color w:val="auto"/>
                <w:sz w:val="21"/>
                <w:szCs w:val="21"/>
                <w:highlight w:val="none"/>
              </w:rPr>
            </w:pPr>
            <w:r>
              <w:rPr>
                <w:rFonts w:hint="eastAsia"/>
                <w:color w:val="auto"/>
                <w:sz w:val="21"/>
                <w:szCs w:val="21"/>
                <w:highlight w:val="none"/>
              </w:rPr>
              <w:t>（3）投标人须具有履行合同所必需的设备和专业技术能力（提供书面声明）。</w:t>
            </w:r>
          </w:p>
          <w:p w14:paraId="650FDFBF">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default"/>
                <w:color w:val="auto"/>
                <w:sz w:val="21"/>
                <w:szCs w:val="21"/>
                <w:highlight w:val="none"/>
              </w:rPr>
            </w:pPr>
            <w:r>
              <w:rPr>
                <w:rFonts w:hint="eastAsia"/>
                <w:color w:val="auto"/>
                <w:sz w:val="21"/>
                <w:szCs w:val="21"/>
                <w:highlight w:val="none"/>
              </w:rPr>
              <w:t>（4）由相关主管部门出具的最近一个年度内任意三个月缴纳社会保障资金的凭据复印件（专用收据或社会保险缴纳清单）（在本项目公告发布之日前不需要缴纳社会保障资金的，提供不需要缴纳社会保障金声明函）。</w:t>
            </w:r>
          </w:p>
          <w:p w14:paraId="50E529F0">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eastAsia"/>
                <w:color w:val="auto"/>
                <w:sz w:val="21"/>
                <w:szCs w:val="21"/>
                <w:highlight w:val="none"/>
              </w:rPr>
            </w:pPr>
            <w:r>
              <w:rPr>
                <w:rFonts w:hint="eastAsia"/>
                <w:color w:val="auto"/>
                <w:sz w:val="21"/>
                <w:szCs w:val="21"/>
                <w:highlight w:val="none"/>
              </w:rPr>
              <w:t>（5）信用中国（https：//www.creditchina.gov.cn）平台上无失信记录（未被列入失信被执行人名单、重大税收违法案件当事人名单）截图的复印件。</w:t>
            </w:r>
          </w:p>
          <w:p w14:paraId="606F5B26">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eastAsia"/>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6）申请人需提供</w:t>
            </w:r>
            <w:r>
              <w:rPr>
                <w:rFonts w:hint="eastAsia"/>
                <w:color w:val="auto"/>
                <w:sz w:val="21"/>
                <w:szCs w:val="21"/>
                <w:highlight w:val="none"/>
                <w:lang w:eastAsia="zh-CN"/>
              </w:rPr>
              <w:t>银行开具的银行资信证明复印件、最近两个年度财务审计报告，包括资产负债表、利润（损益）表、现金流量表、所有者权益变动表（若有）及其附注。</w:t>
            </w:r>
          </w:p>
          <w:p w14:paraId="06F0F615">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eastAsia"/>
                <w:color w:val="auto"/>
                <w:sz w:val="21"/>
                <w:szCs w:val="21"/>
                <w:highlight w:val="none"/>
                <w:lang w:eastAsia="zh-CN"/>
              </w:rPr>
            </w:pPr>
            <w:r>
              <w:rPr>
                <w:rFonts w:hint="eastAsia"/>
                <w:color w:val="auto"/>
                <w:sz w:val="21"/>
                <w:szCs w:val="21"/>
                <w:highlight w:val="none"/>
                <w:lang w:val="en-US" w:eastAsia="zh-CN"/>
              </w:rPr>
              <w:t>（7）</w:t>
            </w:r>
            <w:r>
              <w:rPr>
                <w:rFonts w:hint="eastAsia"/>
                <w:color w:val="auto"/>
                <w:sz w:val="21"/>
                <w:szCs w:val="21"/>
                <w:highlight w:val="none"/>
                <w:lang w:eastAsia="zh-CN"/>
              </w:rPr>
              <w:t>最近一个年度内任意三个月依法缴纳税收的缴税凭据复印件加盖公章，如免纳税的，提供免纳税声明函。</w:t>
            </w:r>
          </w:p>
          <w:p w14:paraId="36CCC833">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eastAsia"/>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8）</w:t>
            </w:r>
            <w:r>
              <w:rPr>
                <w:rFonts w:hint="eastAsia"/>
                <w:color w:val="auto"/>
                <w:sz w:val="21"/>
                <w:szCs w:val="21"/>
                <w:highlight w:val="none"/>
                <w:lang w:eastAsia="zh-CN"/>
              </w:rPr>
              <w:t>上级总公司与中国农业再保险股份有限公司（以下简称中国农再）约定分保业务信息系统进行对接的证明材料。上级总公司与中国农再签署的《政策性农业保险再保险标准协议》。</w:t>
            </w:r>
          </w:p>
          <w:p w14:paraId="0CB3FC67">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default"/>
                <w:color w:val="auto"/>
                <w:sz w:val="21"/>
                <w:szCs w:val="21"/>
                <w:highlight w:val="none"/>
                <w:lang w:val="en-US" w:eastAsia="zh-CN"/>
              </w:rPr>
            </w:pPr>
            <w:r>
              <w:rPr>
                <w:rFonts w:hint="eastAsia"/>
                <w:color w:val="auto"/>
                <w:sz w:val="21"/>
                <w:szCs w:val="21"/>
                <w:highlight w:val="none"/>
              </w:rPr>
              <w:t>（</w:t>
            </w:r>
            <w:r>
              <w:rPr>
                <w:rFonts w:hint="eastAsia"/>
                <w:color w:val="auto"/>
                <w:sz w:val="21"/>
                <w:szCs w:val="21"/>
                <w:highlight w:val="none"/>
                <w:lang w:val="en-US" w:eastAsia="zh-CN"/>
              </w:rPr>
              <w:t>9</w:t>
            </w:r>
            <w:r>
              <w:rPr>
                <w:rFonts w:hint="eastAsia"/>
                <w:color w:val="auto"/>
                <w:sz w:val="21"/>
                <w:szCs w:val="21"/>
                <w:highlight w:val="none"/>
              </w:rPr>
              <w:t>）法律、行政法规规定的其他条件。</w:t>
            </w:r>
          </w:p>
          <w:p w14:paraId="677D3346">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default"/>
                <w:color w:val="auto"/>
                <w:sz w:val="21"/>
                <w:szCs w:val="21"/>
                <w:highlight w:val="none"/>
              </w:rPr>
            </w:pPr>
            <w:r>
              <w:rPr>
                <w:rFonts w:hint="eastAsia"/>
                <w:color w:val="auto"/>
                <w:sz w:val="21"/>
                <w:szCs w:val="21"/>
                <w:highlight w:val="none"/>
              </w:rPr>
              <w:t>2.落实政府采购政策需满足的资格要求：</w:t>
            </w:r>
            <w:r>
              <w:rPr>
                <w:rFonts w:hint="eastAsia"/>
                <w:b/>
                <w:bCs/>
                <w:color w:val="auto"/>
                <w:sz w:val="21"/>
                <w:szCs w:val="21"/>
                <w:highlight w:val="none"/>
              </w:rPr>
              <w:t>本项目</w:t>
            </w:r>
            <w:r>
              <w:rPr>
                <w:rFonts w:hint="eastAsia"/>
                <w:b/>
                <w:bCs/>
                <w:color w:val="auto"/>
                <w:sz w:val="21"/>
                <w:szCs w:val="21"/>
                <w:highlight w:val="none"/>
                <w:lang w:val="en-US" w:eastAsia="zh-CN"/>
              </w:rPr>
              <w:t>不</w:t>
            </w:r>
            <w:r>
              <w:rPr>
                <w:rFonts w:hint="eastAsia"/>
                <w:b/>
                <w:bCs/>
                <w:color w:val="auto"/>
                <w:sz w:val="21"/>
                <w:szCs w:val="21"/>
                <w:highlight w:val="none"/>
              </w:rPr>
              <w:t>专门面向中小企业</w:t>
            </w:r>
            <w:r>
              <w:rPr>
                <w:rFonts w:hint="eastAsia"/>
                <w:color w:val="auto"/>
                <w:sz w:val="21"/>
                <w:szCs w:val="21"/>
                <w:highlight w:val="none"/>
              </w:rPr>
              <w:t>；</w:t>
            </w:r>
          </w:p>
          <w:p w14:paraId="172A49C0">
            <w:pPr>
              <w:pStyle w:val="3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420" w:firstLineChars="200"/>
              <w:textAlignment w:val="auto"/>
              <w:rPr>
                <w:rFonts w:hint="eastAsia" w:ascii="宋体" w:hAnsi="宋体" w:eastAsia="宋体" w:cs="宋体"/>
                <w:color w:val="auto"/>
                <w:szCs w:val="21"/>
                <w:highlight w:val="none"/>
                <w:lang w:val="en-US" w:eastAsia="zh-CN"/>
              </w:rPr>
            </w:pPr>
            <w:r>
              <w:rPr>
                <w:rFonts w:hint="eastAsia"/>
                <w:color w:val="auto"/>
                <w:sz w:val="21"/>
                <w:szCs w:val="21"/>
                <w:highlight w:val="none"/>
              </w:rPr>
              <w:t>3.</w:t>
            </w:r>
            <w:r>
              <w:rPr>
                <w:rFonts w:hint="eastAsia"/>
                <w:color w:val="auto"/>
                <w:sz w:val="21"/>
                <w:szCs w:val="21"/>
                <w:highlight w:val="none"/>
                <w:lang w:eastAsia="zh-CN"/>
              </w:rPr>
              <w:t>本项目的特定资格要求：在中国境内合法注册企业、具有独立法人资格的单位或其分支机构，且没有处于被责令停业，磋商资格被取消，财产被接管、冻结，破产状态，同时须具备中国银行保险监督管理委员会颁发有效的《经营保险业务许可证》</w:t>
            </w:r>
            <w:r>
              <w:rPr>
                <w:rFonts w:hint="eastAsia"/>
                <w:color w:val="auto"/>
                <w:sz w:val="21"/>
                <w:szCs w:val="21"/>
                <w:highlight w:val="none"/>
                <w:lang w:val="en-US" w:eastAsia="zh-CN"/>
              </w:rPr>
              <w:t>。</w:t>
            </w:r>
          </w:p>
        </w:tc>
      </w:tr>
      <w:tr w14:paraId="28684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5147D5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10</w:t>
            </w:r>
          </w:p>
        </w:tc>
        <w:tc>
          <w:tcPr>
            <w:tcW w:w="1715" w:type="dxa"/>
            <w:vAlign w:val="center"/>
          </w:tcPr>
          <w:p w14:paraId="540E220F">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投标人信誉要求</w:t>
            </w:r>
          </w:p>
        </w:tc>
        <w:tc>
          <w:tcPr>
            <w:tcW w:w="6975" w:type="dxa"/>
            <w:vAlign w:val="center"/>
          </w:tcPr>
          <w:p w14:paraId="7EF254C9">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投标人必须有良好的社会信誉，不得存在下列情形之一：</w:t>
            </w:r>
          </w:p>
          <w:p w14:paraId="6BFF7EAB">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（1）被责令停业的；</w:t>
            </w:r>
          </w:p>
          <w:p w14:paraId="034F4BB4">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（2）被暂停或取消投标资格的；</w:t>
            </w:r>
          </w:p>
          <w:p w14:paraId="2634C981">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（3）财产被接管或冻结的；</w:t>
            </w:r>
          </w:p>
          <w:p w14:paraId="33C79FF1">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（4）近三年内存在骗取中标、严重违约或服务质量存在严重问题的。</w:t>
            </w:r>
          </w:p>
        </w:tc>
      </w:tr>
      <w:tr w14:paraId="315E7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AC4FAA0">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11</w:t>
            </w:r>
          </w:p>
        </w:tc>
        <w:tc>
          <w:tcPr>
            <w:tcW w:w="1715" w:type="dxa"/>
            <w:vAlign w:val="center"/>
          </w:tcPr>
          <w:p w14:paraId="115931A0">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资格审查方式</w:t>
            </w:r>
          </w:p>
        </w:tc>
        <w:tc>
          <w:tcPr>
            <w:tcW w:w="6975" w:type="dxa"/>
            <w:vAlign w:val="center"/>
          </w:tcPr>
          <w:p w14:paraId="51F598A0">
            <w:pPr>
              <w:pStyle w:val="13"/>
              <w:keepNext w:val="0"/>
              <w:keepLines w:val="0"/>
              <w:pageBreakBefore w:val="0"/>
              <w:widowControl/>
              <w:suppressLineNumbers w:val="0"/>
              <w:kinsoku/>
              <w:wordWrap/>
              <w:overflowPunct/>
              <w:topLinePunct w:val="0"/>
              <w:bidi w:val="0"/>
              <w:spacing w:before="0" w:beforeAutospacing="0" w:after="0" w:afterAutospacing="0" w:line="500" w:lineRule="exact"/>
              <w:ind w:left="0" w:right="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资格后审</w:t>
            </w:r>
          </w:p>
        </w:tc>
      </w:tr>
      <w:tr w14:paraId="0FF40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FAAD7D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12</w:t>
            </w:r>
          </w:p>
        </w:tc>
        <w:tc>
          <w:tcPr>
            <w:tcW w:w="1715" w:type="dxa"/>
            <w:vAlign w:val="center"/>
          </w:tcPr>
          <w:p w14:paraId="7D8D4372">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是否接受联合体投标</w:t>
            </w:r>
          </w:p>
        </w:tc>
        <w:tc>
          <w:tcPr>
            <w:tcW w:w="6975" w:type="dxa"/>
            <w:vAlign w:val="center"/>
          </w:tcPr>
          <w:p w14:paraId="65FB4AA0">
            <w:pPr>
              <w:keepNext w:val="0"/>
              <w:keepLines w:val="0"/>
              <w:pageBreakBefore w:val="0"/>
              <w:suppressLineNumbers w:val="0"/>
              <w:kinsoku/>
              <w:wordWrap/>
              <w:overflowPunct/>
              <w:topLinePunct w:val="0"/>
              <w:bidi w:val="0"/>
              <w:spacing w:before="0" w:beforeAutospacing="0" w:after="0" w:afterAutospacing="0" w:line="500" w:lineRule="exact"/>
              <w:ind w:left="0" w:right="0" w:firstLine="422" w:firstLineChars="200"/>
              <w:jc w:val="left"/>
              <w:rPr>
                <w:rFonts w:hint="eastAsia" w:ascii="宋体" w:hAnsi="宋体" w:eastAsia="宋体" w:cs="宋体"/>
                <w:bCs/>
                <w:color w:val="auto"/>
                <w:szCs w:val="21"/>
                <w:highlight w:val="none"/>
              </w:rPr>
            </w:pPr>
            <w:r>
              <w:rPr>
                <w:rFonts w:hint="eastAsia" w:ascii="宋体" w:hAnsi="宋体" w:cs="宋体"/>
                <w:b/>
                <w:bCs/>
                <w:color w:val="auto"/>
                <w:szCs w:val="21"/>
                <w:highlight w:val="none"/>
                <w:u w:val="single"/>
                <w:lang w:val="en-US" w:eastAsia="zh-CN"/>
              </w:rPr>
              <w:t>不</w:t>
            </w:r>
            <w:r>
              <w:rPr>
                <w:rFonts w:hint="eastAsia" w:ascii="宋体" w:hAnsi="宋体" w:eastAsia="宋体" w:cs="宋体"/>
                <w:b/>
                <w:bCs/>
                <w:color w:val="auto"/>
                <w:szCs w:val="21"/>
                <w:highlight w:val="none"/>
                <w:u w:val="single"/>
              </w:rPr>
              <w:t>接受</w:t>
            </w:r>
            <w:r>
              <w:rPr>
                <w:rFonts w:hint="eastAsia" w:ascii="宋体" w:hAnsi="宋体" w:eastAsia="宋体" w:cs="宋体"/>
                <w:color w:val="auto"/>
                <w:szCs w:val="21"/>
                <w:highlight w:val="none"/>
              </w:rPr>
              <w:t>联合体投标</w:t>
            </w:r>
          </w:p>
        </w:tc>
      </w:tr>
      <w:tr w14:paraId="5F44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5FE4F7F8">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13</w:t>
            </w:r>
          </w:p>
        </w:tc>
        <w:tc>
          <w:tcPr>
            <w:tcW w:w="1715" w:type="dxa"/>
            <w:vAlign w:val="center"/>
          </w:tcPr>
          <w:p w14:paraId="64B96867">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投标预备会</w:t>
            </w:r>
          </w:p>
        </w:tc>
        <w:tc>
          <w:tcPr>
            <w:tcW w:w="6975" w:type="dxa"/>
            <w:vAlign w:val="center"/>
          </w:tcPr>
          <w:p w14:paraId="78783D7A">
            <w:pPr>
              <w:pStyle w:val="13"/>
              <w:keepNext w:val="0"/>
              <w:keepLines w:val="0"/>
              <w:pageBreakBefore w:val="0"/>
              <w:widowControl/>
              <w:suppressLineNumbers w:val="0"/>
              <w:kinsoku/>
              <w:wordWrap/>
              <w:overflowPunct/>
              <w:topLinePunct w:val="0"/>
              <w:bidi w:val="0"/>
              <w:spacing w:before="0" w:beforeAutospacing="0" w:after="0" w:afterAutospacing="0" w:line="500" w:lineRule="exact"/>
              <w:ind w:left="0" w:right="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不召开</w:t>
            </w:r>
          </w:p>
        </w:tc>
      </w:tr>
      <w:tr w14:paraId="1557B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0B8C9D48">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14.1</w:t>
            </w:r>
          </w:p>
        </w:tc>
        <w:tc>
          <w:tcPr>
            <w:tcW w:w="1715" w:type="dxa"/>
            <w:vAlign w:val="center"/>
          </w:tcPr>
          <w:p w14:paraId="403ECEAD">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投标人提出问题的截止时间和方法</w:t>
            </w:r>
          </w:p>
        </w:tc>
        <w:tc>
          <w:tcPr>
            <w:tcW w:w="6975" w:type="dxa"/>
            <w:vAlign w:val="center"/>
          </w:tcPr>
          <w:p w14:paraId="6BCE7205">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在投标截止时间10日前，以书面形式要求采购人或采购代理机构予以澄清。对于没有提出澄清又参与了本项目的投标人将被视为完全认同本招标文件。</w:t>
            </w:r>
          </w:p>
        </w:tc>
      </w:tr>
      <w:tr w14:paraId="1F41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EF6EB55">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14.2</w:t>
            </w:r>
          </w:p>
        </w:tc>
        <w:tc>
          <w:tcPr>
            <w:tcW w:w="1715" w:type="dxa"/>
            <w:vAlign w:val="center"/>
          </w:tcPr>
          <w:p w14:paraId="0BB1D9B8">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投标人要求澄清招标文件的截止时间</w:t>
            </w:r>
          </w:p>
        </w:tc>
        <w:tc>
          <w:tcPr>
            <w:tcW w:w="6975" w:type="dxa"/>
            <w:vAlign w:val="center"/>
          </w:tcPr>
          <w:p w14:paraId="465C276B">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在投标截止时间10日前，投标人应仔细阅读和检查釆购文件的全部内容。如发现缺页或附件不全，应及时向釆购人或代理机构提出，以便补齐。如有疑问，以书面形式要求采购人或采购代理机构予以澄清。</w:t>
            </w:r>
          </w:p>
        </w:tc>
      </w:tr>
      <w:tr w14:paraId="52519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ED3DFD8">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15</w:t>
            </w:r>
          </w:p>
        </w:tc>
        <w:tc>
          <w:tcPr>
            <w:tcW w:w="1715" w:type="dxa"/>
            <w:vAlign w:val="center"/>
          </w:tcPr>
          <w:p w14:paraId="6B717BBF">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lang w:eastAsia="zh-CN"/>
              </w:rPr>
              <w:t>采购人</w:t>
            </w:r>
            <w:r>
              <w:rPr>
                <w:rFonts w:hint="eastAsia" w:ascii="宋体" w:hAnsi="宋体" w:eastAsia="宋体" w:cs="宋体"/>
                <w:color w:val="auto"/>
                <w:kern w:val="0"/>
                <w:szCs w:val="21"/>
                <w:highlight w:val="none"/>
              </w:rPr>
              <w:t>澄清的时间和方法</w:t>
            </w:r>
          </w:p>
        </w:tc>
        <w:tc>
          <w:tcPr>
            <w:tcW w:w="6975" w:type="dxa"/>
            <w:vAlign w:val="center"/>
          </w:tcPr>
          <w:p w14:paraId="57E636EA">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投标截止时间至少15日前，在“云南省政府采购网(http://www.yngp.com)”上发布更正公告，并以有邮件形式通知所有获取招标文件的投标人，该澄清或修改的内容作为招标文件的组成部分。</w:t>
            </w:r>
          </w:p>
        </w:tc>
      </w:tr>
      <w:tr w14:paraId="1C3C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21D9E8EB">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16</w:t>
            </w:r>
          </w:p>
        </w:tc>
        <w:tc>
          <w:tcPr>
            <w:tcW w:w="1715" w:type="dxa"/>
            <w:vAlign w:val="center"/>
          </w:tcPr>
          <w:p w14:paraId="6059B53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投标人确认收到招标文件澄清的时间</w:t>
            </w:r>
          </w:p>
        </w:tc>
        <w:tc>
          <w:tcPr>
            <w:tcW w:w="6975" w:type="dxa"/>
            <w:vAlign w:val="center"/>
          </w:tcPr>
          <w:p w14:paraId="09C8D035">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在收到相应澄清文件后24小时内</w:t>
            </w:r>
          </w:p>
        </w:tc>
      </w:tr>
      <w:tr w14:paraId="1AAB1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35EC38C7">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17</w:t>
            </w:r>
          </w:p>
        </w:tc>
        <w:tc>
          <w:tcPr>
            <w:tcW w:w="1715" w:type="dxa"/>
            <w:vAlign w:val="center"/>
          </w:tcPr>
          <w:p w14:paraId="1B277F60">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投标人确认收到招标文件修改的时间</w:t>
            </w:r>
          </w:p>
        </w:tc>
        <w:tc>
          <w:tcPr>
            <w:tcW w:w="6975" w:type="dxa"/>
            <w:vAlign w:val="center"/>
          </w:tcPr>
          <w:p w14:paraId="05CC9A7B">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在收到相应修改文件后24小时内</w:t>
            </w:r>
          </w:p>
        </w:tc>
      </w:tr>
      <w:tr w14:paraId="2639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D83D458">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18</w:t>
            </w:r>
          </w:p>
        </w:tc>
        <w:tc>
          <w:tcPr>
            <w:tcW w:w="1715" w:type="dxa"/>
            <w:vAlign w:val="center"/>
          </w:tcPr>
          <w:p w14:paraId="630CA219">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分包</w:t>
            </w:r>
          </w:p>
        </w:tc>
        <w:tc>
          <w:tcPr>
            <w:tcW w:w="6975" w:type="dxa"/>
            <w:vAlign w:val="center"/>
          </w:tcPr>
          <w:p w14:paraId="43F316F5">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不允许</w:t>
            </w:r>
          </w:p>
        </w:tc>
      </w:tr>
      <w:tr w14:paraId="500EB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CDF04B5">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19</w:t>
            </w:r>
          </w:p>
        </w:tc>
        <w:tc>
          <w:tcPr>
            <w:tcW w:w="1715" w:type="dxa"/>
            <w:vAlign w:val="center"/>
          </w:tcPr>
          <w:p w14:paraId="5E917EF8">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偏离</w:t>
            </w:r>
          </w:p>
        </w:tc>
        <w:tc>
          <w:tcPr>
            <w:tcW w:w="6975" w:type="dxa"/>
            <w:vAlign w:val="center"/>
          </w:tcPr>
          <w:p w14:paraId="16AB683C">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不允许负偏离</w:t>
            </w:r>
          </w:p>
        </w:tc>
      </w:tr>
      <w:tr w14:paraId="262BF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1B0ED657">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20</w:t>
            </w:r>
          </w:p>
        </w:tc>
        <w:tc>
          <w:tcPr>
            <w:tcW w:w="1715" w:type="dxa"/>
            <w:vAlign w:val="center"/>
          </w:tcPr>
          <w:p w14:paraId="65F77490">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投标有效期</w:t>
            </w:r>
          </w:p>
        </w:tc>
        <w:tc>
          <w:tcPr>
            <w:tcW w:w="6975" w:type="dxa"/>
            <w:vAlign w:val="center"/>
          </w:tcPr>
          <w:p w14:paraId="10703C20">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8" w:leftChars="-4"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90日历天（从投标截止之日算起）</w:t>
            </w:r>
          </w:p>
        </w:tc>
      </w:tr>
      <w:tr w14:paraId="0D749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7" w:hRule="atLeast"/>
          <w:jc w:val="center"/>
        </w:trPr>
        <w:tc>
          <w:tcPr>
            <w:tcW w:w="729" w:type="dxa"/>
            <w:vAlign w:val="center"/>
          </w:tcPr>
          <w:p w14:paraId="236BF5F4">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21</w:t>
            </w:r>
          </w:p>
        </w:tc>
        <w:tc>
          <w:tcPr>
            <w:tcW w:w="1715" w:type="dxa"/>
            <w:vAlign w:val="center"/>
          </w:tcPr>
          <w:p w14:paraId="487E133E">
            <w:pPr>
              <w:keepNext w:val="0"/>
              <w:keepLines w:val="0"/>
              <w:pageBreakBefore w:val="0"/>
              <w:suppressLineNumbers w:val="0"/>
              <w:kinsoku/>
              <w:wordWrap/>
              <w:overflowPunct/>
              <w:topLinePunct w:val="0"/>
              <w:autoSpaceDE w:val="0"/>
              <w:autoSpaceDN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投标保证金</w:t>
            </w:r>
          </w:p>
        </w:tc>
        <w:tc>
          <w:tcPr>
            <w:tcW w:w="6975" w:type="dxa"/>
            <w:vAlign w:val="center"/>
          </w:tcPr>
          <w:p w14:paraId="0606AA8C">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rPr>
            </w:pPr>
            <w:r>
              <w:rPr>
                <w:rFonts w:hint="eastAsia" w:ascii="宋体" w:hAnsi="宋体" w:eastAsia="宋体" w:cs="宋体"/>
                <w:b w:val="0"/>
                <w:bCs w:val="0"/>
                <w:color w:val="auto"/>
                <w:szCs w:val="21"/>
                <w:highlight w:val="none"/>
              </w:rPr>
              <w:t>本项目无需缴纳保证金。</w:t>
            </w:r>
          </w:p>
        </w:tc>
      </w:tr>
      <w:tr w14:paraId="15EDB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29" w:type="dxa"/>
            <w:vAlign w:val="center"/>
          </w:tcPr>
          <w:p w14:paraId="330F98C0">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22</w:t>
            </w:r>
          </w:p>
        </w:tc>
        <w:tc>
          <w:tcPr>
            <w:tcW w:w="1715" w:type="dxa"/>
            <w:vAlign w:val="center"/>
          </w:tcPr>
          <w:p w14:paraId="243A2E97">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是否允许递交备选投标方案</w:t>
            </w:r>
          </w:p>
        </w:tc>
        <w:tc>
          <w:tcPr>
            <w:tcW w:w="6975" w:type="dxa"/>
            <w:vAlign w:val="center"/>
          </w:tcPr>
          <w:p w14:paraId="68552509">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不允许</w:t>
            </w:r>
          </w:p>
        </w:tc>
      </w:tr>
      <w:tr w14:paraId="3DD38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729" w:type="dxa"/>
            <w:vAlign w:val="center"/>
          </w:tcPr>
          <w:p w14:paraId="3FEB07EF">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23</w:t>
            </w:r>
          </w:p>
        </w:tc>
        <w:tc>
          <w:tcPr>
            <w:tcW w:w="1715" w:type="dxa"/>
            <w:vAlign w:val="center"/>
          </w:tcPr>
          <w:p w14:paraId="15862AFB">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构成投标文件的其他材料</w:t>
            </w:r>
          </w:p>
        </w:tc>
        <w:tc>
          <w:tcPr>
            <w:tcW w:w="6975" w:type="dxa"/>
            <w:vAlign w:val="center"/>
          </w:tcPr>
          <w:p w14:paraId="1846D789">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b/>
                <w:bCs/>
                <w:color w:val="auto"/>
                <w:szCs w:val="21"/>
                <w:highlight w:val="none"/>
              </w:rPr>
            </w:pPr>
            <w:r>
              <w:rPr>
                <w:rFonts w:hint="eastAsia" w:ascii="宋体" w:hAnsi="宋体" w:eastAsia="宋体" w:cs="宋体"/>
                <w:color w:val="auto"/>
                <w:kern w:val="0"/>
                <w:szCs w:val="21"/>
                <w:highlight w:val="none"/>
                <w:u w:val="single"/>
              </w:rPr>
              <w:fldChar w:fldCharType="begin"/>
            </w:r>
            <w:r>
              <w:rPr>
                <w:rFonts w:hint="eastAsia" w:ascii="宋体" w:hAnsi="宋体" w:eastAsia="宋体" w:cs="宋体"/>
                <w:color w:val="auto"/>
                <w:kern w:val="0"/>
                <w:szCs w:val="21"/>
                <w:highlight w:val="none"/>
                <w:u w:val="single"/>
              </w:rPr>
              <w:instrText xml:space="preserve"> AUTOTEXT  input137 \* MERGEFORMAT </w:instrText>
            </w:r>
            <w:r>
              <w:rPr>
                <w:rFonts w:hint="eastAsia" w:ascii="宋体" w:hAnsi="宋体" w:eastAsia="宋体" w:cs="宋体"/>
                <w:color w:val="auto"/>
                <w:kern w:val="0"/>
                <w:szCs w:val="21"/>
                <w:highlight w:val="none"/>
                <w:u w:val="single"/>
              </w:rPr>
              <w:fldChar w:fldCharType="separate"/>
            </w:r>
            <w:r>
              <w:rPr>
                <w:rFonts w:hint="eastAsia" w:ascii="宋体" w:hAnsi="宋体" w:eastAsia="宋体" w:cs="宋体"/>
                <w:color w:val="auto"/>
                <w:kern w:val="0"/>
                <w:szCs w:val="21"/>
                <w:highlight w:val="none"/>
                <w:u w:val="single"/>
              </w:rPr>
              <w:t>投标人认为有必要提供的其他材料</w:t>
            </w:r>
            <w:r>
              <w:rPr>
                <w:rFonts w:hint="eastAsia" w:ascii="宋体" w:hAnsi="宋体" w:eastAsia="宋体" w:cs="宋体"/>
                <w:color w:val="auto"/>
                <w:kern w:val="0"/>
                <w:szCs w:val="21"/>
                <w:highlight w:val="none"/>
                <w:u w:val="single"/>
              </w:rPr>
              <w:fldChar w:fldCharType="end"/>
            </w:r>
          </w:p>
        </w:tc>
      </w:tr>
      <w:tr w14:paraId="75B1D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7D791D0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24</w:t>
            </w:r>
          </w:p>
        </w:tc>
        <w:tc>
          <w:tcPr>
            <w:tcW w:w="1715" w:type="dxa"/>
            <w:vAlign w:val="center"/>
          </w:tcPr>
          <w:p w14:paraId="3D9BEDE9">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500" w:lineRule="exact"/>
              <w:ind w:left="0" w:right="0"/>
              <w:jc w:val="center"/>
              <w:textAlignment w:val="bottom"/>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投标文件的签署</w:t>
            </w:r>
          </w:p>
        </w:tc>
        <w:tc>
          <w:tcPr>
            <w:tcW w:w="6975" w:type="dxa"/>
            <w:vAlign w:val="center"/>
          </w:tcPr>
          <w:p w14:paraId="362BF1AE">
            <w:pPr>
              <w:keepNext w:val="0"/>
              <w:keepLines w:val="0"/>
              <w:pageBreakBefore w:val="0"/>
              <w:numPr>
                <w:ilvl w:val="0"/>
                <w:numId w:val="6"/>
              </w:numPr>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按招标文件要求，采用单位和个人数字证书电子签章及电子签名（法定代表人的授权委托书可为委托代理人签字后的扫描件）；</w:t>
            </w:r>
          </w:p>
          <w:p w14:paraId="0286D1A8">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2、在需要电子签章的地方进行电子签章，无需逐页电子签章。</w:t>
            </w:r>
          </w:p>
        </w:tc>
      </w:tr>
      <w:tr w14:paraId="36082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9" w:type="dxa"/>
            <w:vAlign w:val="center"/>
          </w:tcPr>
          <w:p w14:paraId="4FB7F681">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25</w:t>
            </w:r>
          </w:p>
        </w:tc>
        <w:tc>
          <w:tcPr>
            <w:tcW w:w="1715" w:type="dxa"/>
            <w:vAlign w:val="center"/>
          </w:tcPr>
          <w:p w14:paraId="0E980C03">
            <w:pPr>
              <w:pStyle w:val="21"/>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投标文件的提交</w:t>
            </w:r>
          </w:p>
        </w:tc>
        <w:tc>
          <w:tcPr>
            <w:tcW w:w="6975" w:type="dxa"/>
            <w:vAlign w:val="center"/>
          </w:tcPr>
          <w:p w14:paraId="63424E50">
            <w:pPr>
              <w:pStyle w:val="21"/>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本项目采用在政府采购云平台（www.zcygov.cn）上进行采购与提交响应文件，响应文件递交要求如下：</w:t>
            </w:r>
          </w:p>
          <w:p w14:paraId="4A3E814D">
            <w:pPr>
              <w:pStyle w:val="21"/>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（1）网上提交：投标人网上提交需登录政府采购云平台（www.zcygov.cn），在响应文件提交截止时间前完成所有电子响应文件的上传，提交截止时间前未完成上传的，视为撤回响应文件。</w:t>
            </w:r>
          </w:p>
          <w:p w14:paraId="44CDBAEC">
            <w:pPr>
              <w:pStyle w:val="21"/>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（2）本项目采用在政府采购云平台（www.zcygov.cn）上进行采购与提交响应文件，无需现场提交纸质文件，但应在响应文件提交截止时间前登录系统，并根据开标系统的提示操作解密文件。</w:t>
            </w:r>
          </w:p>
          <w:p w14:paraId="2729D6E2">
            <w:pPr>
              <w:pStyle w:val="21"/>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（3）投标人若有幸成交，须在领取中标通知书时向采购人提交纸质响应文件一正一副。</w:t>
            </w:r>
          </w:p>
        </w:tc>
      </w:tr>
      <w:tr w14:paraId="536D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729" w:type="dxa"/>
            <w:vAlign w:val="center"/>
          </w:tcPr>
          <w:p w14:paraId="197FCC17">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26</w:t>
            </w:r>
          </w:p>
        </w:tc>
        <w:tc>
          <w:tcPr>
            <w:tcW w:w="1715" w:type="dxa"/>
            <w:vAlign w:val="center"/>
          </w:tcPr>
          <w:p w14:paraId="4445BEA3">
            <w:pPr>
              <w:pStyle w:val="21"/>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sz w:val="21"/>
                <w:szCs w:val="21"/>
                <w:highlight w:val="none"/>
              </w:rPr>
              <w:t>开标时间和地点</w:t>
            </w:r>
          </w:p>
        </w:tc>
        <w:tc>
          <w:tcPr>
            <w:tcW w:w="6975" w:type="dxa"/>
            <w:vAlign w:val="center"/>
          </w:tcPr>
          <w:p w14:paraId="6CC5001B">
            <w:pPr>
              <w:pStyle w:val="21"/>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开标时间：同投标截止时间</w:t>
            </w:r>
          </w:p>
          <w:p w14:paraId="7E260617">
            <w:pPr>
              <w:pStyle w:val="21"/>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开标地点：</w:t>
            </w:r>
            <w:r>
              <w:rPr>
                <w:rFonts w:hint="eastAsia" w:hAnsi="宋体" w:cs="宋体"/>
                <w:color w:val="auto"/>
                <w:sz w:val="21"/>
                <w:szCs w:val="21"/>
                <w:highlight w:val="none"/>
                <w:lang w:eastAsia="zh-CN"/>
              </w:rPr>
              <w:t>云南同益工程咨询有限公司</w:t>
            </w:r>
            <w:r>
              <w:rPr>
                <w:rFonts w:hint="eastAsia" w:ascii="宋体" w:hAnsi="宋体" w:eastAsia="宋体" w:cs="宋体"/>
                <w:color w:val="auto"/>
                <w:sz w:val="21"/>
                <w:szCs w:val="21"/>
                <w:highlight w:val="none"/>
                <w:lang w:eastAsia="zh-CN"/>
              </w:rPr>
              <w:t>开标室</w:t>
            </w:r>
          </w:p>
        </w:tc>
      </w:tr>
      <w:tr w14:paraId="1CEC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729" w:type="dxa"/>
            <w:vAlign w:val="center"/>
          </w:tcPr>
          <w:p w14:paraId="4382C225">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27</w:t>
            </w:r>
          </w:p>
        </w:tc>
        <w:tc>
          <w:tcPr>
            <w:tcW w:w="1715" w:type="dxa"/>
            <w:vAlign w:val="center"/>
          </w:tcPr>
          <w:p w14:paraId="4CD3775F">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开标程序</w:t>
            </w:r>
          </w:p>
        </w:tc>
        <w:tc>
          <w:tcPr>
            <w:tcW w:w="6975" w:type="dxa"/>
            <w:vAlign w:val="center"/>
          </w:tcPr>
          <w:p w14:paraId="12050CAE">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按照政采云平台系统开标系统顺序开标。</w:t>
            </w:r>
          </w:p>
        </w:tc>
      </w:tr>
      <w:tr w14:paraId="725CF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729" w:type="dxa"/>
            <w:vAlign w:val="center"/>
          </w:tcPr>
          <w:p w14:paraId="151E8FD7">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28</w:t>
            </w:r>
          </w:p>
        </w:tc>
        <w:tc>
          <w:tcPr>
            <w:tcW w:w="1715" w:type="dxa"/>
            <w:vAlign w:val="center"/>
          </w:tcPr>
          <w:p w14:paraId="206F7AA8">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评标委员会的组建</w:t>
            </w:r>
          </w:p>
        </w:tc>
        <w:tc>
          <w:tcPr>
            <w:tcW w:w="6975" w:type="dxa"/>
            <w:vAlign w:val="center"/>
          </w:tcPr>
          <w:p w14:paraId="5ECFFF1F">
            <w:pPr>
              <w:keepNext w:val="0"/>
              <w:keepLines w:val="0"/>
              <w:pageBreakBefore w:val="0"/>
              <w:suppressLineNumbers w:val="0"/>
              <w:kinsoku/>
              <w:wordWrap/>
              <w:overflowPunct/>
              <w:topLinePunct w:val="0"/>
              <w:autoSpaceDE w:val="0"/>
              <w:autoSpaceDN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评标委员会构成为</w:t>
            </w:r>
            <w:r>
              <w:rPr>
                <w:rFonts w:hint="eastAsia" w:ascii="宋体" w:hAnsi="宋体" w:eastAsia="宋体" w:cs="宋体"/>
                <w:color w:val="auto"/>
                <w:kern w:val="0"/>
                <w:szCs w:val="21"/>
                <w:highlight w:val="none"/>
                <w:u w:val="single"/>
              </w:rPr>
              <w:t xml:space="preserve"> 5 </w:t>
            </w:r>
            <w:r>
              <w:rPr>
                <w:rFonts w:hint="eastAsia" w:ascii="宋体" w:hAnsi="宋体" w:eastAsia="宋体" w:cs="宋体"/>
                <w:color w:val="auto"/>
                <w:kern w:val="0"/>
                <w:szCs w:val="21"/>
                <w:highlight w:val="none"/>
              </w:rPr>
              <w:t>人，其中</w:t>
            </w:r>
            <w:r>
              <w:rPr>
                <w:rFonts w:hint="eastAsia" w:ascii="宋体" w:hAnsi="宋体" w:eastAsia="宋体" w:cs="宋体"/>
                <w:color w:val="auto"/>
                <w:kern w:val="0"/>
                <w:szCs w:val="21"/>
                <w:highlight w:val="none"/>
                <w:lang w:eastAsia="zh-CN"/>
              </w:rPr>
              <w:t>采购人</w:t>
            </w:r>
            <w:r>
              <w:rPr>
                <w:rFonts w:hint="eastAsia" w:ascii="宋体" w:hAnsi="宋体" w:eastAsia="宋体" w:cs="宋体"/>
                <w:color w:val="auto"/>
                <w:kern w:val="0"/>
                <w:szCs w:val="21"/>
                <w:highlight w:val="none"/>
              </w:rPr>
              <w:t>代表</w:t>
            </w:r>
            <w:r>
              <w:rPr>
                <w:rFonts w:hint="eastAsia" w:ascii="宋体" w:hAnsi="宋体" w:eastAsia="宋体" w:cs="宋体"/>
                <w:color w:val="auto"/>
                <w:kern w:val="0"/>
                <w:szCs w:val="21"/>
                <w:highlight w:val="none"/>
                <w:u w:val="single"/>
              </w:rPr>
              <w:t xml:space="preserve"> 1 </w:t>
            </w:r>
            <w:r>
              <w:rPr>
                <w:rFonts w:hint="eastAsia" w:ascii="宋体" w:hAnsi="宋体" w:eastAsia="宋体" w:cs="宋体"/>
                <w:color w:val="auto"/>
                <w:kern w:val="0"/>
                <w:szCs w:val="21"/>
                <w:highlight w:val="none"/>
              </w:rPr>
              <w:t>人，评审专家</w:t>
            </w:r>
            <w:r>
              <w:rPr>
                <w:rFonts w:hint="eastAsia" w:ascii="宋体" w:hAnsi="宋体" w:eastAsia="宋体" w:cs="宋体"/>
                <w:color w:val="auto"/>
                <w:kern w:val="0"/>
                <w:szCs w:val="21"/>
                <w:highlight w:val="none"/>
                <w:u w:val="single"/>
              </w:rPr>
              <w:t xml:space="preserve"> 4 </w:t>
            </w:r>
            <w:r>
              <w:rPr>
                <w:rFonts w:hint="eastAsia" w:ascii="宋体" w:hAnsi="宋体" w:eastAsia="宋体" w:cs="宋体"/>
                <w:color w:val="auto"/>
                <w:kern w:val="0"/>
                <w:szCs w:val="21"/>
                <w:highlight w:val="none"/>
              </w:rPr>
              <w:t>人。</w:t>
            </w:r>
          </w:p>
          <w:p w14:paraId="5CEFC4CE">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bCs/>
                <w:color w:val="auto"/>
                <w:szCs w:val="21"/>
                <w:highlight w:val="none"/>
              </w:rPr>
            </w:pPr>
            <w:r>
              <w:rPr>
                <w:rFonts w:hint="eastAsia" w:ascii="宋体" w:hAnsi="宋体" w:eastAsia="宋体" w:cs="宋体"/>
                <w:color w:val="auto"/>
                <w:kern w:val="0"/>
                <w:szCs w:val="21"/>
                <w:highlight w:val="none"/>
              </w:rPr>
              <w:t>评标专家确定方式：</w:t>
            </w:r>
            <w:r>
              <w:rPr>
                <w:rFonts w:hint="eastAsia" w:ascii="宋体" w:hAnsi="宋体" w:eastAsia="宋体" w:cs="宋体"/>
                <w:color w:val="auto"/>
                <w:kern w:val="0"/>
                <w:szCs w:val="21"/>
                <w:highlight w:val="none"/>
                <w:u w:val="single"/>
              </w:rPr>
              <w:fldChar w:fldCharType="begin"/>
            </w:r>
            <w:r>
              <w:rPr>
                <w:rFonts w:hint="eastAsia" w:ascii="宋体" w:hAnsi="宋体" w:eastAsia="宋体" w:cs="宋体"/>
                <w:color w:val="auto"/>
                <w:kern w:val="0"/>
                <w:szCs w:val="21"/>
                <w:highlight w:val="none"/>
                <w:u w:val="single"/>
              </w:rPr>
              <w:instrText xml:space="preserve"> AUTOTEXT  input160 \* MERGEFORMAT </w:instrText>
            </w:r>
            <w:r>
              <w:rPr>
                <w:rFonts w:hint="eastAsia" w:ascii="宋体" w:hAnsi="宋体" w:eastAsia="宋体" w:cs="宋体"/>
                <w:color w:val="auto"/>
                <w:kern w:val="0"/>
                <w:szCs w:val="21"/>
                <w:highlight w:val="none"/>
                <w:u w:val="single"/>
              </w:rPr>
              <w:fldChar w:fldCharType="separate"/>
            </w:r>
            <w:r>
              <w:rPr>
                <w:rFonts w:hint="eastAsia" w:ascii="宋体" w:hAnsi="宋体" w:eastAsia="宋体" w:cs="宋体"/>
                <w:color w:val="auto"/>
                <w:kern w:val="0"/>
                <w:szCs w:val="21"/>
                <w:highlight w:val="none"/>
                <w:u w:val="single"/>
              </w:rPr>
              <w:fldChar w:fldCharType="begin"/>
            </w:r>
            <w:r>
              <w:rPr>
                <w:rFonts w:hint="eastAsia" w:ascii="宋体" w:hAnsi="宋体" w:eastAsia="宋体" w:cs="宋体"/>
                <w:color w:val="auto"/>
                <w:kern w:val="0"/>
                <w:szCs w:val="21"/>
                <w:highlight w:val="none"/>
                <w:u w:val="single"/>
              </w:rPr>
              <w:instrText xml:space="preserve"> AUTOTEXT  input160 \* MERGEFORMAT </w:instrText>
            </w:r>
            <w:r>
              <w:rPr>
                <w:rFonts w:hint="eastAsia" w:ascii="宋体" w:hAnsi="宋体" w:eastAsia="宋体" w:cs="宋体"/>
                <w:color w:val="auto"/>
                <w:kern w:val="0"/>
                <w:szCs w:val="21"/>
                <w:highlight w:val="none"/>
                <w:u w:val="single"/>
              </w:rPr>
              <w:fldChar w:fldCharType="separate"/>
            </w:r>
            <w:r>
              <w:rPr>
                <w:rFonts w:hint="eastAsia" w:ascii="宋体" w:hAnsi="宋体" w:eastAsia="宋体" w:cs="宋体"/>
                <w:color w:val="auto"/>
                <w:kern w:val="0"/>
                <w:szCs w:val="21"/>
                <w:highlight w:val="none"/>
                <w:u w:val="single"/>
              </w:rPr>
              <w:t>从</w:t>
            </w:r>
            <w:r>
              <w:rPr>
                <w:rFonts w:hint="eastAsia" w:ascii="宋体" w:hAnsi="宋体" w:eastAsia="宋体" w:cs="宋体"/>
                <w:color w:val="auto"/>
                <w:kern w:val="0"/>
                <w:szCs w:val="21"/>
                <w:highlight w:val="none"/>
                <w:u w:val="single"/>
                <w:lang w:eastAsia="zh-CN"/>
              </w:rPr>
              <w:t>云南省</w:t>
            </w:r>
            <w:r>
              <w:rPr>
                <w:rFonts w:hint="eastAsia" w:ascii="宋体" w:hAnsi="宋体" w:eastAsia="宋体" w:cs="宋体"/>
                <w:color w:val="auto"/>
                <w:kern w:val="0"/>
                <w:szCs w:val="21"/>
                <w:highlight w:val="none"/>
                <w:u w:val="single"/>
              </w:rPr>
              <w:t>政府采购专家库中</w:t>
            </w:r>
            <w:r>
              <w:rPr>
                <w:rFonts w:hint="eastAsia" w:ascii="宋体" w:hAnsi="宋体" w:eastAsia="宋体" w:cs="宋体"/>
                <w:color w:val="auto"/>
                <w:kern w:val="0"/>
                <w:szCs w:val="21"/>
                <w:highlight w:val="none"/>
                <w:u w:val="single"/>
              </w:rPr>
              <w:fldChar w:fldCharType="end"/>
            </w:r>
            <w:r>
              <w:rPr>
                <w:rFonts w:hint="eastAsia" w:ascii="宋体" w:hAnsi="宋体" w:eastAsia="宋体" w:cs="宋体"/>
                <w:color w:val="auto"/>
                <w:kern w:val="0"/>
                <w:szCs w:val="21"/>
                <w:highlight w:val="none"/>
                <w:u w:val="single"/>
              </w:rPr>
              <w:t>随机抽取</w:t>
            </w:r>
            <w:r>
              <w:rPr>
                <w:rFonts w:hint="eastAsia" w:ascii="宋体" w:hAnsi="宋体" w:eastAsia="宋体" w:cs="宋体"/>
                <w:color w:val="auto"/>
                <w:kern w:val="0"/>
                <w:szCs w:val="21"/>
                <w:highlight w:val="none"/>
                <w:u w:val="single"/>
              </w:rPr>
              <w:fldChar w:fldCharType="end"/>
            </w:r>
            <w:r>
              <w:rPr>
                <w:rFonts w:hint="eastAsia" w:ascii="宋体" w:hAnsi="宋体" w:eastAsia="宋体" w:cs="宋体"/>
                <w:color w:val="auto"/>
                <w:kern w:val="0"/>
                <w:szCs w:val="21"/>
                <w:highlight w:val="none"/>
              </w:rPr>
              <w:t>。</w:t>
            </w:r>
          </w:p>
        </w:tc>
      </w:tr>
      <w:tr w14:paraId="5C18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729" w:type="dxa"/>
            <w:vAlign w:val="center"/>
          </w:tcPr>
          <w:p w14:paraId="7DD673CB">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29</w:t>
            </w:r>
          </w:p>
        </w:tc>
        <w:tc>
          <w:tcPr>
            <w:tcW w:w="1715" w:type="dxa"/>
            <w:vAlign w:val="center"/>
          </w:tcPr>
          <w:p w14:paraId="134178AC">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是否授权评标委员会确定中标人</w:t>
            </w:r>
          </w:p>
        </w:tc>
        <w:tc>
          <w:tcPr>
            <w:tcW w:w="6975" w:type="dxa"/>
            <w:vAlign w:val="center"/>
          </w:tcPr>
          <w:p w14:paraId="3BC92FE2">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□是</w:t>
            </w:r>
          </w:p>
          <w:p w14:paraId="7CD0D8DD">
            <w:pPr>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eq \o\ac(</w:instrText>
            </w:r>
            <w:r>
              <w:rPr>
                <w:rFonts w:hint="eastAsia" w:ascii="宋体" w:hAnsi="宋体" w:eastAsia="宋体" w:cs="宋体"/>
                <w:bCs/>
                <w:color w:val="auto"/>
                <w:position w:val="-4"/>
                <w:sz w:val="31"/>
                <w:szCs w:val="21"/>
                <w:highlight w:val="none"/>
              </w:rPr>
              <w:instrText xml:space="preserve">□</w:instrText>
            </w:r>
            <w:r>
              <w:rPr>
                <w:rFonts w:hint="eastAsia" w:ascii="宋体" w:hAnsi="宋体" w:eastAsia="宋体" w:cs="宋体"/>
                <w:bCs/>
                <w:color w:val="auto"/>
                <w:szCs w:val="21"/>
                <w:highlight w:val="none"/>
              </w:rPr>
              <w:instrText xml:space="preserve">,√)</w:instrTex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否 ：向</w:t>
            </w:r>
            <w:r>
              <w:rPr>
                <w:rFonts w:hint="eastAsia" w:ascii="宋体" w:hAnsi="宋体" w:eastAsia="宋体" w:cs="宋体"/>
                <w:bCs/>
                <w:color w:val="auto"/>
                <w:szCs w:val="21"/>
                <w:highlight w:val="none"/>
                <w:lang w:eastAsia="zh-CN"/>
              </w:rPr>
              <w:t>采购人</w:t>
            </w:r>
            <w:r>
              <w:rPr>
                <w:rFonts w:hint="eastAsia" w:ascii="宋体" w:hAnsi="宋体" w:eastAsia="宋体" w:cs="宋体"/>
                <w:bCs/>
                <w:color w:val="auto"/>
                <w:szCs w:val="21"/>
                <w:highlight w:val="none"/>
              </w:rPr>
              <w:t>推荐的中标候选人的人数为</w:t>
            </w:r>
            <w:r>
              <w:rPr>
                <w:rFonts w:hint="eastAsia" w:ascii="宋体" w:hAnsi="宋体" w:eastAsia="宋体" w:cs="宋体"/>
                <w:b/>
                <w:color w:val="auto"/>
                <w:szCs w:val="21"/>
                <w:highlight w:val="none"/>
                <w:u w:val="single"/>
              </w:rPr>
              <w:t xml:space="preserve"> 3 </w:t>
            </w:r>
            <w:r>
              <w:rPr>
                <w:rFonts w:hint="eastAsia" w:ascii="宋体" w:hAnsi="宋体" w:eastAsia="宋体" w:cs="宋体"/>
                <w:bCs/>
                <w:color w:val="auto"/>
                <w:szCs w:val="21"/>
                <w:highlight w:val="none"/>
              </w:rPr>
              <w:t>名。</w:t>
            </w:r>
          </w:p>
        </w:tc>
      </w:tr>
      <w:tr w14:paraId="38479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729" w:type="dxa"/>
            <w:vAlign w:val="center"/>
          </w:tcPr>
          <w:p w14:paraId="5D6B0B4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30</w:t>
            </w:r>
          </w:p>
        </w:tc>
        <w:tc>
          <w:tcPr>
            <w:tcW w:w="1715" w:type="dxa"/>
            <w:vAlign w:val="center"/>
          </w:tcPr>
          <w:p w14:paraId="3CE32B83">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履约保证金</w:t>
            </w:r>
          </w:p>
        </w:tc>
        <w:tc>
          <w:tcPr>
            <w:tcW w:w="6975" w:type="dxa"/>
            <w:vAlign w:val="center"/>
          </w:tcPr>
          <w:p w14:paraId="545E6454">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☑不要求</w:t>
            </w:r>
          </w:p>
          <w:p w14:paraId="516C6840">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□要求：</w:t>
            </w:r>
          </w:p>
          <w:p w14:paraId="53169A79">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履约保证金金额：合同价款的</w:t>
            </w:r>
            <w:r>
              <w:rPr>
                <w:rFonts w:hint="eastAsia" w:ascii="宋体" w:hAnsi="宋体" w:eastAsia="宋体" w:cs="宋体"/>
                <w:color w:val="auto"/>
                <w:kern w:val="0"/>
                <w:szCs w:val="21"/>
                <w:highlight w:val="none"/>
                <w:u w:val="single"/>
              </w:rPr>
              <w:t xml:space="preserve">  /  </w:t>
            </w:r>
            <w:r>
              <w:rPr>
                <w:rFonts w:hint="eastAsia" w:ascii="宋体" w:hAnsi="宋体" w:eastAsia="宋体" w:cs="宋体"/>
                <w:color w:val="auto"/>
                <w:kern w:val="0"/>
                <w:szCs w:val="21"/>
                <w:highlight w:val="none"/>
              </w:rPr>
              <w:t>%</w:t>
            </w:r>
          </w:p>
          <w:p w14:paraId="77AC3C27">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履约保证金形式：</w:t>
            </w:r>
            <w:r>
              <w:rPr>
                <w:rFonts w:hint="eastAsia" w:ascii="宋体" w:hAnsi="宋体" w:eastAsia="宋体" w:cs="宋体"/>
                <w:color w:val="auto"/>
                <w:kern w:val="0"/>
                <w:szCs w:val="21"/>
                <w:highlight w:val="none"/>
                <w:u w:val="single"/>
              </w:rPr>
              <w:t>银行转账或银行保函等非现金形式提交</w:t>
            </w:r>
            <w:r>
              <w:rPr>
                <w:rFonts w:hint="eastAsia" w:ascii="宋体" w:hAnsi="宋体" w:eastAsia="宋体" w:cs="宋体"/>
                <w:color w:val="auto"/>
                <w:kern w:val="0"/>
                <w:szCs w:val="21"/>
                <w:highlight w:val="none"/>
              </w:rPr>
              <w:t>。</w:t>
            </w:r>
          </w:p>
          <w:p w14:paraId="22C82DBA">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履约保证金有效期限：</w:t>
            </w:r>
            <w:r>
              <w:rPr>
                <w:rFonts w:hint="eastAsia" w:ascii="宋体" w:hAnsi="宋体" w:eastAsia="宋体" w:cs="宋体"/>
                <w:color w:val="auto"/>
                <w:kern w:val="0"/>
                <w:szCs w:val="21"/>
                <w:highlight w:val="none"/>
                <w:u w:val="single"/>
              </w:rPr>
              <w:t xml:space="preserve">  /</w:t>
            </w:r>
          </w:p>
          <w:p w14:paraId="4A58ED3F">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递交时间：</w:t>
            </w:r>
            <w:r>
              <w:rPr>
                <w:rFonts w:hint="eastAsia" w:ascii="宋体" w:hAnsi="宋体" w:eastAsia="宋体" w:cs="宋体"/>
                <w:color w:val="auto"/>
                <w:kern w:val="0"/>
                <w:szCs w:val="21"/>
                <w:highlight w:val="none"/>
                <w:u w:val="single"/>
              </w:rPr>
              <w:t xml:space="preserve">  /</w:t>
            </w:r>
          </w:p>
          <w:p w14:paraId="7A69BEAD">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其他要求:</w:t>
            </w:r>
            <w:r>
              <w:rPr>
                <w:rFonts w:hint="eastAsia" w:ascii="宋体" w:hAnsi="宋体" w:eastAsia="宋体" w:cs="宋体"/>
                <w:color w:val="auto"/>
                <w:kern w:val="0"/>
                <w:szCs w:val="21"/>
                <w:highlight w:val="none"/>
                <w:u w:val="single"/>
              </w:rPr>
              <w:t xml:space="preserve">  /</w:t>
            </w:r>
          </w:p>
        </w:tc>
      </w:tr>
      <w:tr w14:paraId="23B2A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29" w:type="dxa"/>
            <w:vAlign w:val="center"/>
          </w:tcPr>
          <w:p w14:paraId="482AE323">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31</w:t>
            </w:r>
          </w:p>
        </w:tc>
        <w:tc>
          <w:tcPr>
            <w:tcW w:w="1715" w:type="dxa"/>
            <w:vAlign w:val="center"/>
          </w:tcPr>
          <w:p w14:paraId="63144E5A">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报价方式</w:t>
            </w:r>
          </w:p>
        </w:tc>
        <w:tc>
          <w:tcPr>
            <w:tcW w:w="6975" w:type="dxa"/>
            <w:vAlign w:val="center"/>
          </w:tcPr>
          <w:p w14:paraId="2C9583A0">
            <w:pPr>
              <w:pStyle w:val="66"/>
              <w:keepNext w:val="0"/>
              <w:keepLines w:val="0"/>
              <w:pageBreakBefore w:val="0"/>
              <w:suppressLineNumbers w:val="0"/>
              <w:kinsoku/>
              <w:wordWrap/>
              <w:overflowPunct/>
              <w:topLinePunct w:val="0"/>
              <w:bidi w:val="0"/>
              <w:snapToGrid w:val="0"/>
              <w:spacing w:before="0" w:beforeAutospacing="0" w:after="0" w:afterAutospacing="0" w:line="500" w:lineRule="exact"/>
              <w:ind w:left="0" w:right="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投标总报价，本项目预算金额</w:t>
            </w:r>
            <w:r>
              <w:rPr>
                <w:rFonts w:hint="eastAsia" w:ascii="宋体" w:hAnsi="宋体" w:cs="宋体"/>
                <w:bCs/>
                <w:color w:val="auto"/>
                <w:szCs w:val="21"/>
                <w:highlight w:val="none"/>
                <w:lang w:val="en-US" w:eastAsia="zh-CN"/>
              </w:rPr>
              <w:t>340万元（225元/头，根据实际数量结算）</w:t>
            </w:r>
            <w:r>
              <w:rPr>
                <w:rFonts w:hint="eastAsia" w:ascii="宋体" w:hAnsi="宋体" w:eastAsia="宋体" w:cs="宋体"/>
                <w:bCs/>
                <w:color w:val="auto"/>
                <w:szCs w:val="21"/>
                <w:highlight w:val="none"/>
              </w:rPr>
              <w:t>。</w:t>
            </w:r>
          </w:p>
          <w:p w14:paraId="111410D7">
            <w:pPr>
              <w:keepNext w:val="0"/>
              <w:keepLines w:val="0"/>
              <w:suppressLineNumbers w:val="0"/>
              <w:spacing w:before="0" w:beforeAutospacing="0" w:after="0" w:afterAutospacing="0"/>
              <w:ind w:left="0" w:right="0"/>
              <w:rPr>
                <w:rFonts w:hint="eastAsia"/>
                <w:color w:val="auto"/>
                <w:highlight w:val="none"/>
              </w:rPr>
            </w:pPr>
          </w:p>
          <w:p w14:paraId="354E6804">
            <w:pPr>
              <w:keepNext w:val="0"/>
              <w:keepLines w:val="0"/>
              <w:suppressLineNumbers w:val="0"/>
              <w:spacing w:before="0" w:beforeAutospacing="0" w:after="0" w:afterAutospacing="0"/>
              <w:ind w:left="0" w:right="0"/>
              <w:rPr>
                <w:rFonts w:hint="default" w:eastAsia="宋体"/>
                <w:color w:val="auto"/>
                <w:highlight w:val="none"/>
                <w:lang w:val="en-US" w:eastAsia="zh-CN"/>
              </w:rPr>
            </w:pPr>
            <w:r>
              <w:rPr>
                <w:rFonts w:hint="eastAsia" w:ascii="宋体" w:hAnsi="宋体" w:cs="宋体"/>
                <w:bCs/>
                <w:color w:val="auto"/>
                <w:szCs w:val="21"/>
                <w:highlight w:val="none"/>
                <w:lang w:val="en-US" w:eastAsia="zh-CN"/>
              </w:rPr>
              <w:t xml:space="preserve">   </w:t>
            </w:r>
            <w:r>
              <w:rPr>
                <w:rFonts w:hint="eastAsia" w:ascii="宋体" w:hAnsi="宋体" w:cs="宋体"/>
                <w:b/>
                <w:bCs w:val="0"/>
                <w:color w:val="auto"/>
                <w:szCs w:val="21"/>
                <w:highlight w:val="none"/>
                <w:lang w:val="en-US" w:eastAsia="zh-CN"/>
              </w:rPr>
              <w:t xml:space="preserve"> 注：本项目费用为固定金额，投标单位对金额不得更改。</w:t>
            </w:r>
          </w:p>
        </w:tc>
      </w:tr>
      <w:tr w14:paraId="364A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29" w:type="dxa"/>
            <w:vAlign w:val="center"/>
          </w:tcPr>
          <w:p w14:paraId="6DD47B1F">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32</w:t>
            </w:r>
          </w:p>
        </w:tc>
        <w:tc>
          <w:tcPr>
            <w:tcW w:w="1715" w:type="dxa"/>
            <w:vAlign w:val="center"/>
          </w:tcPr>
          <w:p w14:paraId="0B29BC56">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中标人费用承担</w:t>
            </w:r>
          </w:p>
        </w:tc>
        <w:tc>
          <w:tcPr>
            <w:tcW w:w="6975" w:type="dxa"/>
            <w:vAlign w:val="center"/>
          </w:tcPr>
          <w:p w14:paraId="2D092141">
            <w:pPr>
              <w:pStyle w:val="80"/>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rPr>
                <w:rFonts w:hint="eastAsia" w:ascii="宋体" w:hAnsi="宋体" w:eastAsia="宋体" w:cs="宋体"/>
                <w:bCs/>
                <w:color w:val="auto"/>
                <w:kern w:val="2"/>
                <w:sz w:val="21"/>
                <w:szCs w:val="21"/>
                <w:highlight w:val="none"/>
                <w:lang w:eastAsia="zh-CN" w:bidi="ar-SA"/>
              </w:rPr>
            </w:pPr>
            <w:r>
              <w:rPr>
                <w:rFonts w:hint="eastAsia" w:ascii="宋体" w:hAnsi="宋体" w:cs="宋体"/>
                <w:bCs/>
                <w:color w:val="auto"/>
                <w:kern w:val="2"/>
                <w:sz w:val="21"/>
                <w:szCs w:val="21"/>
                <w:highlight w:val="none"/>
                <w:lang w:val="en-US" w:eastAsia="zh-CN" w:bidi="ar-SA"/>
              </w:rPr>
              <w:t>包干价15000.00元，由</w:t>
            </w:r>
            <w:r>
              <w:rPr>
                <w:rFonts w:hint="eastAsia" w:ascii="宋体" w:hAnsi="宋体" w:eastAsia="宋体" w:cs="宋体"/>
                <w:bCs/>
                <w:color w:val="auto"/>
                <w:kern w:val="2"/>
                <w:sz w:val="21"/>
                <w:szCs w:val="21"/>
                <w:highlight w:val="none"/>
                <w:lang w:eastAsia="zh-CN" w:bidi="ar-SA"/>
              </w:rPr>
              <w:t>成交人</w:t>
            </w:r>
            <w:r>
              <w:rPr>
                <w:rFonts w:hint="eastAsia" w:ascii="宋体" w:hAnsi="宋体" w:cs="宋体"/>
                <w:bCs/>
                <w:color w:val="auto"/>
                <w:kern w:val="2"/>
                <w:sz w:val="21"/>
                <w:szCs w:val="21"/>
                <w:highlight w:val="none"/>
                <w:lang w:val="en-US" w:eastAsia="zh-CN" w:bidi="ar-SA"/>
              </w:rPr>
              <w:t>在领取中标通知书一次性支付</w:t>
            </w:r>
            <w:r>
              <w:rPr>
                <w:rFonts w:hint="eastAsia" w:ascii="宋体" w:hAnsi="宋体" w:eastAsia="宋体" w:cs="宋体"/>
                <w:bCs/>
                <w:color w:val="auto"/>
                <w:kern w:val="2"/>
                <w:sz w:val="21"/>
                <w:szCs w:val="21"/>
                <w:highlight w:val="none"/>
                <w:lang w:eastAsia="zh-CN" w:bidi="ar-SA"/>
              </w:rPr>
              <w:t>。</w:t>
            </w:r>
          </w:p>
          <w:p w14:paraId="4C2BB67D">
            <w:pPr>
              <w:pStyle w:val="80"/>
              <w:keepNext w:val="0"/>
              <w:keepLines w:val="0"/>
              <w:pageBreakBefore w:val="0"/>
              <w:suppressLineNumbers w:val="0"/>
              <w:kinsoku/>
              <w:wordWrap/>
              <w:overflowPunct/>
              <w:topLinePunct w:val="0"/>
              <w:bidi w:val="0"/>
              <w:spacing w:before="0" w:beforeAutospacing="0" w:after="0" w:afterAutospacing="0" w:line="500" w:lineRule="exact"/>
              <w:ind w:left="0" w:right="0" w:firstLine="420" w:firstLineChars="200"/>
              <w:rPr>
                <w:rFonts w:hint="eastAsia" w:ascii="宋体" w:hAnsi="宋体" w:eastAsia="宋体" w:cs="宋体"/>
                <w:color w:val="auto"/>
                <w:szCs w:val="21"/>
                <w:highlight w:val="none"/>
                <w:lang w:eastAsia="zh-CN"/>
              </w:rPr>
            </w:pPr>
            <w:r>
              <w:rPr>
                <w:rFonts w:hint="eastAsia" w:ascii="宋体" w:hAnsi="宋体" w:eastAsia="宋体" w:cs="宋体"/>
                <w:bCs/>
                <w:color w:val="auto"/>
                <w:kern w:val="2"/>
                <w:sz w:val="21"/>
                <w:szCs w:val="21"/>
                <w:highlight w:val="none"/>
                <w:lang w:eastAsia="zh-CN" w:bidi="ar-SA"/>
              </w:rPr>
              <w:t>不论结果如何，投标人均应自行承担所有与本项目有关的全部费用。请各投标人在报价时综合考虑。</w:t>
            </w:r>
          </w:p>
        </w:tc>
      </w:tr>
      <w:tr w14:paraId="309F6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729" w:type="dxa"/>
            <w:vAlign w:val="center"/>
          </w:tcPr>
          <w:p w14:paraId="1534403B">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33</w:t>
            </w:r>
          </w:p>
        </w:tc>
        <w:tc>
          <w:tcPr>
            <w:tcW w:w="8690" w:type="dxa"/>
            <w:gridSpan w:val="2"/>
            <w:vAlign w:val="center"/>
          </w:tcPr>
          <w:p w14:paraId="6E6B3172">
            <w:pPr>
              <w:pStyle w:val="66"/>
              <w:keepNext w:val="0"/>
              <w:keepLines w:val="0"/>
              <w:pageBreakBefore w:val="0"/>
              <w:suppressLineNumbers w:val="0"/>
              <w:kinsoku/>
              <w:wordWrap/>
              <w:overflowPunct/>
              <w:topLinePunct w:val="0"/>
              <w:bidi w:val="0"/>
              <w:snapToGrid w:val="0"/>
              <w:spacing w:before="0" w:beforeAutospacing="0" w:after="0" w:afterAutospacing="0" w:line="500" w:lineRule="exact"/>
              <w:ind w:left="0" w:right="0" w:firstLine="0"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补充的其他内容</w:t>
            </w:r>
          </w:p>
        </w:tc>
      </w:tr>
      <w:tr w14:paraId="65DD5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29" w:type="dxa"/>
            <w:vAlign w:val="center"/>
          </w:tcPr>
          <w:p w14:paraId="285008E3">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33.1</w:t>
            </w:r>
          </w:p>
        </w:tc>
        <w:tc>
          <w:tcPr>
            <w:tcW w:w="1715" w:type="dxa"/>
            <w:vAlign w:val="center"/>
          </w:tcPr>
          <w:p w14:paraId="1CF46C6D">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
                <w:color w:val="auto"/>
                <w:szCs w:val="21"/>
                <w:highlight w:val="none"/>
              </w:rPr>
            </w:pPr>
            <w:r>
              <w:rPr>
                <w:rFonts w:hint="eastAsia" w:ascii="宋体" w:hAnsi="宋体" w:eastAsia="宋体" w:cs="宋体"/>
                <w:bCs/>
                <w:color w:val="auto"/>
                <w:szCs w:val="21"/>
                <w:highlight w:val="none"/>
              </w:rPr>
              <w:t>政策鼓励</w:t>
            </w:r>
          </w:p>
        </w:tc>
        <w:tc>
          <w:tcPr>
            <w:tcW w:w="6975" w:type="dxa"/>
            <w:vAlign w:val="center"/>
          </w:tcPr>
          <w:p w14:paraId="43AB9069">
            <w:pPr>
              <w:pStyle w:val="66"/>
              <w:keepNext w:val="0"/>
              <w:keepLines w:val="0"/>
              <w:pageBreakBefore w:val="0"/>
              <w:suppressLineNumbers w:val="0"/>
              <w:kinsoku/>
              <w:wordWrap/>
              <w:overflowPunct/>
              <w:topLinePunct w:val="0"/>
              <w:bidi w:val="0"/>
              <w:snapToGrid w:val="0"/>
              <w:spacing w:before="0" w:beforeAutospacing="0" w:after="0" w:afterAutospacing="0" w:line="500" w:lineRule="exact"/>
              <w:ind w:left="0" w:right="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因本项目专门面向中小微企业采购，根据工业和信息化部《关于印发中小企业划型标准规定的通知》（工信部联企业〔2011〕300号）、《政府采购促进中小企业发展管理办法》（财库〔2020〕46号）、云南省财政厅关于贯彻《财政部关于进一步加大政府采购支持中小企业力度的通知》的通知（云财采〔2022〕9号）的规定，对符合条件的小微企业投标人，在报价评审时不再给与扣除。监狱企业和残疾人福利性单位视同小微企业。政府采购政策具体落实情况详见本项目采购文件</w:t>
            </w:r>
          </w:p>
          <w:p w14:paraId="29E68B84">
            <w:pPr>
              <w:pStyle w:val="66"/>
              <w:keepNext w:val="0"/>
              <w:keepLines w:val="0"/>
              <w:pageBreakBefore w:val="0"/>
              <w:suppressLineNumbers w:val="0"/>
              <w:kinsoku/>
              <w:wordWrap/>
              <w:overflowPunct/>
              <w:topLinePunct w:val="0"/>
              <w:bidi w:val="0"/>
              <w:snapToGrid w:val="0"/>
              <w:spacing w:before="0" w:beforeAutospacing="0" w:after="0" w:afterAutospacing="0" w:line="500" w:lineRule="exact"/>
              <w:ind w:left="0" w:right="0" w:firstLine="422"/>
              <w:jc w:val="left"/>
              <w:rPr>
                <w:rFonts w:hint="eastAsia" w:ascii="宋体" w:hAnsi="宋体" w:eastAsia="宋体" w:cs="宋体"/>
                <w:bCs/>
                <w:color w:val="auto"/>
                <w:kern w:val="0"/>
                <w:szCs w:val="21"/>
                <w:highlight w:val="none"/>
              </w:rPr>
            </w:pPr>
            <w:r>
              <w:rPr>
                <w:rFonts w:hint="eastAsia" w:ascii="宋体" w:hAnsi="宋体" w:eastAsia="宋体" w:cs="宋体"/>
                <w:b/>
                <w:color w:val="auto"/>
                <w:kern w:val="0"/>
                <w:szCs w:val="21"/>
                <w:highlight w:val="none"/>
              </w:rPr>
              <w:t>本项目所属行业为其他未列明行业</w:t>
            </w:r>
          </w:p>
        </w:tc>
      </w:tr>
      <w:tr w14:paraId="251E8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29" w:type="dxa"/>
            <w:vAlign w:val="center"/>
          </w:tcPr>
          <w:p w14:paraId="618B1ACB">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33.2</w:t>
            </w:r>
          </w:p>
        </w:tc>
        <w:tc>
          <w:tcPr>
            <w:tcW w:w="1715" w:type="dxa"/>
            <w:vAlign w:val="center"/>
          </w:tcPr>
          <w:p w14:paraId="5ACB8C17">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特别说明</w:t>
            </w:r>
          </w:p>
        </w:tc>
        <w:tc>
          <w:tcPr>
            <w:tcW w:w="6975" w:type="dxa"/>
            <w:vAlign w:val="center"/>
          </w:tcPr>
          <w:p w14:paraId="301894F6">
            <w:pPr>
              <w:pStyle w:val="66"/>
              <w:keepNext w:val="0"/>
              <w:keepLines w:val="0"/>
              <w:pageBreakBefore w:val="0"/>
              <w:suppressLineNumbers w:val="0"/>
              <w:kinsoku/>
              <w:wordWrap/>
              <w:overflowPunct/>
              <w:topLinePunct w:val="0"/>
              <w:bidi w:val="0"/>
              <w:snapToGrid w:val="0"/>
              <w:spacing w:before="0" w:beforeAutospacing="0" w:after="0" w:afterAutospacing="0" w:line="500" w:lineRule="exact"/>
              <w:ind w:left="0" w:right="0" w:firstLine="422"/>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根据《中华人民共和国政府采购法》第五十二条“投标人认为采购文件、采购过程和中标、成交结果使自己的权益受到损害的，可以在知道或者应知其权益受到损害之日起七个工作日内，以书面形式向采购人提出质疑”。</w:t>
            </w:r>
          </w:p>
          <w:p w14:paraId="623A8C5E">
            <w:pPr>
              <w:pStyle w:val="66"/>
              <w:keepNext w:val="0"/>
              <w:keepLines w:val="0"/>
              <w:pageBreakBefore w:val="0"/>
              <w:suppressLineNumbers w:val="0"/>
              <w:kinsoku/>
              <w:wordWrap/>
              <w:overflowPunct/>
              <w:topLinePunct w:val="0"/>
              <w:bidi w:val="0"/>
              <w:snapToGrid w:val="0"/>
              <w:spacing w:before="0" w:beforeAutospacing="0" w:after="0" w:afterAutospacing="0" w:line="500" w:lineRule="exact"/>
              <w:ind w:left="0" w:right="0" w:firstLine="422"/>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潜在投标人已依法获取招标文件，并决定参加投标的投标人，若认为招标文件的资格要求和技术要求有等倾向性或不公正性，应当在获取招标文件截止时间后7个工作日内，登录政府采购云平台（https://www.zcygov.cn）通过网络在线方式或书面方式向</w:t>
            </w:r>
            <w:r>
              <w:rPr>
                <w:rFonts w:hint="eastAsia" w:ascii="宋体" w:hAnsi="宋体" w:eastAsia="宋体" w:cs="宋体"/>
                <w:b/>
                <w:color w:val="auto"/>
                <w:kern w:val="0"/>
                <w:szCs w:val="21"/>
                <w:highlight w:val="none"/>
                <w:lang w:eastAsia="zh-CN"/>
              </w:rPr>
              <w:t>采购人</w:t>
            </w:r>
            <w:r>
              <w:rPr>
                <w:rFonts w:hint="eastAsia" w:ascii="宋体" w:hAnsi="宋体" w:eastAsia="宋体" w:cs="宋体"/>
                <w:b/>
                <w:color w:val="auto"/>
                <w:kern w:val="0"/>
                <w:szCs w:val="21"/>
                <w:highlight w:val="none"/>
              </w:rPr>
              <w:t>或招标代理进行质疑提问。质疑内容不得含有虚假、恶意成分。当事人对自己提出的主张，有责任提供证据，提出质疑时应同时提交相关证据材料和注明事实的确切来源。对于没有提出澄清又参与了该项目的投标人将被视为完全认同该项目的招标文件，投标开始后不再受理针对招标文件的相关质疑及投诉。前述截止时间后提出质疑提问的，由</w:t>
            </w:r>
            <w:r>
              <w:rPr>
                <w:rFonts w:hint="eastAsia" w:ascii="宋体" w:hAnsi="宋体" w:eastAsia="宋体" w:cs="宋体"/>
                <w:b/>
                <w:color w:val="auto"/>
                <w:kern w:val="0"/>
                <w:szCs w:val="21"/>
                <w:highlight w:val="none"/>
                <w:lang w:eastAsia="zh-CN"/>
              </w:rPr>
              <w:t>采购人</w:t>
            </w:r>
            <w:r>
              <w:rPr>
                <w:rFonts w:hint="eastAsia" w:ascii="宋体" w:hAnsi="宋体" w:eastAsia="宋体" w:cs="宋体"/>
                <w:b/>
                <w:color w:val="auto"/>
                <w:kern w:val="0"/>
                <w:szCs w:val="21"/>
                <w:highlight w:val="none"/>
              </w:rPr>
              <w:t>决定是否澄清。</w:t>
            </w:r>
          </w:p>
        </w:tc>
      </w:tr>
      <w:tr w14:paraId="7EA18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29" w:type="dxa"/>
            <w:vAlign w:val="center"/>
          </w:tcPr>
          <w:p w14:paraId="7D5CCC6C">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33.3</w:t>
            </w:r>
          </w:p>
        </w:tc>
        <w:tc>
          <w:tcPr>
            <w:tcW w:w="1715" w:type="dxa"/>
            <w:vAlign w:val="center"/>
          </w:tcPr>
          <w:p w14:paraId="37652B28">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开标程序</w:t>
            </w:r>
          </w:p>
        </w:tc>
        <w:tc>
          <w:tcPr>
            <w:tcW w:w="6975" w:type="dxa"/>
            <w:vAlign w:val="center"/>
          </w:tcPr>
          <w:p w14:paraId="1925553B">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本次采购采用在政府采购云平台（www.zcygov.cn）上进行采购与递交响应文件，采购过程具体操作流程请各投标人在政府采购云平台（https://www. zcygov.cn/）的网站操作指南中下载《投标人操作指南》查看操作或在该网站中采购学院中观看《政府采购电子交易投标人线上培训》相关视频。</w:t>
            </w:r>
          </w:p>
          <w:p w14:paraId="78BEC163">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在递交响应文件截止时间前提前进入到“网上开标室”，根据网上远程解密、开标要求，在下达解密指令后，在规定时间内完成远程解密，因投标人操作失误或自身原因导致解密失败的，视为放弃此次投标。</w:t>
            </w:r>
          </w:p>
          <w:p w14:paraId="40823EB9">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采购代理机构依托电子交易平台发起开始解密指令，投标人须使用加密时所用的 CA 锁按平台提示和采购文件的规定登录到“政采云”平台电子开标大厅签到，并在发起解密指令之时起 30 分钟内完成对电子响应文件在线解密。</w:t>
            </w:r>
          </w:p>
          <w:p w14:paraId="665B5671">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发起解密指令之时起 10 分钟内投标人还未进行解密的，代理机构可通知投标人，投标人未预留联系方式或预留联系方式无效，导致代理机构无法联系到投标人进行解密的，视为撤回响应文件。</w:t>
            </w:r>
          </w:p>
        </w:tc>
      </w:tr>
      <w:tr w14:paraId="39D6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29" w:type="dxa"/>
            <w:vAlign w:val="center"/>
          </w:tcPr>
          <w:p w14:paraId="0694349E">
            <w:pPr>
              <w:keepNext w:val="0"/>
              <w:keepLines w:val="0"/>
              <w:pageBreakBefore w:val="0"/>
              <w:suppressLineNumbers w:val="0"/>
              <w:kinsoku/>
              <w:wordWrap/>
              <w:overflowPunct/>
              <w:topLinePunct w:val="0"/>
              <w:bidi w:val="0"/>
              <w:spacing w:before="0" w:beforeAutospacing="0" w:after="0" w:afterAutospacing="0" w:line="500" w:lineRule="exact"/>
              <w:ind w:left="0" w:right="0"/>
              <w:jc w:val="center"/>
              <w:rPr>
                <w:rFonts w:hint="eastAsia" w:ascii="宋体" w:hAnsi="宋体" w:eastAsia="宋体" w:cs="宋体"/>
                <w:bCs/>
                <w:color w:val="auto"/>
                <w:szCs w:val="21"/>
                <w:highlight w:val="none"/>
              </w:rPr>
            </w:pPr>
            <w:bookmarkStart w:id="7" w:name="_Toc518560877"/>
            <w:bookmarkStart w:id="8" w:name="_Toc520578604"/>
            <w:r>
              <w:rPr>
                <w:rFonts w:hint="eastAsia" w:ascii="宋体" w:hAnsi="宋体" w:eastAsia="宋体" w:cs="宋体"/>
                <w:bCs/>
                <w:color w:val="auto"/>
                <w:szCs w:val="21"/>
                <w:highlight w:val="none"/>
              </w:rPr>
              <w:t>33.4</w:t>
            </w:r>
          </w:p>
        </w:tc>
        <w:tc>
          <w:tcPr>
            <w:tcW w:w="8690" w:type="dxa"/>
            <w:gridSpan w:val="2"/>
            <w:vAlign w:val="center"/>
          </w:tcPr>
          <w:p w14:paraId="6236BEE1">
            <w:pPr>
              <w:keepNext w:val="0"/>
              <w:keepLines w:val="0"/>
              <w:pageBreakBefore w:val="0"/>
              <w:suppressLineNumbers w:val="0"/>
              <w:kinsoku/>
              <w:wordWrap/>
              <w:overflowPunct/>
              <w:topLinePunct w:val="0"/>
              <w:bidi w:val="0"/>
              <w:adjustRightInd w:val="0"/>
              <w:snapToGrid w:val="0"/>
              <w:spacing w:before="0" w:beforeAutospacing="0" w:after="0" w:afterAutospacing="0" w:line="500" w:lineRule="exact"/>
              <w:ind w:left="0" w:right="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投标人为其他组织或以分支机构身份参加竞标的，本招标文件第五章投标文件格式中要求的“法定代表人”为其营业执照上载明的人员。</w:t>
            </w:r>
          </w:p>
        </w:tc>
      </w:tr>
    </w:tbl>
    <w:p w14:paraId="41985902">
      <w:pPr>
        <w:pStyle w:val="4"/>
        <w:numPr>
          <w:ilvl w:val="0"/>
          <w:numId w:val="0"/>
        </w:numPr>
        <w:spacing w:line="440" w:lineRule="exact"/>
        <w:jc w:val="center"/>
        <w:rPr>
          <w:rFonts w:ascii="宋体" w:hAnsi="宋体" w:eastAsia="宋体" w:cs="宋体"/>
          <w:color w:val="auto"/>
          <w:sz w:val="28"/>
          <w:szCs w:val="28"/>
          <w:highlight w:val="none"/>
          <w:shd w:val="clear" w:color="auto" w:fill="FFFFFF"/>
        </w:rPr>
        <w:sectPr>
          <w:pgSz w:w="11906" w:h="16838"/>
          <w:pgMar w:top="1440" w:right="1349" w:bottom="1327" w:left="1349" w:header="850" w:footer="907" w:gutter="0"/>
          <w:pgNumType w:fmt="numberInDash"/>
          <w:cols w:space="0" w:num="1"/>
          <w:rtlGutter w:val="0"/>
          <w:docGrid w:linePitch="312" w:charSpace="0"/>
        </w:sectPr>
      </w:pPr>
    </w:p>
    <w:p w14:paraId="1A6598D3">
      <w:pPr>
        <w:pStyle w:val="4"/>
        <w:numPr>
          <w:ilvl w:val="0"/>
          <w:numId w:val="0"/>
        </w:numPr>
        <w:spacing w:line="440" w:lineRule="exact"/>
        <w:jc w:val="center"/>
        <w:rPr>
          <w:rFonts w:ascii="宋体" w:hAnsi="宋体" w:eastAsia="宋体" w:cs="宋体"/>
          <w:color w:val="auto"/>
          <w:sz w:val="28"/>
          <w:szCs w:val="28"/>
          <w:highlight w:val="none"/>
          <w:shd w:val="clear" w:color="auto" w:fill="FFFFFF"/>
        </w:rPr>
      </w:pPr>
      <w:r>
        <w:rPr>
          <w:rFonts w:hint="eastAsia" w:ascii="宋体" w:hAnsi="宋体" w:eastAsia="宋体" w:cs="宋体"/>
          <w:color w:val="auto"/>
          <w:sz w:val="28"/>
          <w:szCs w:val="28"/>
          <w:highlight w:val="none"/>
          <w:shd w:val="clear" w:color="auto" w:fill="FFFFFF"/>
        </w:rPr>
        <w:t>1.总则</w:t>
      </w:r>
      <w:bookmarkEnd w:id="7"/>
      <w:bookmarkEnd w:id="8"/>
    </w:p>
    <w:p w14:paraId="75BF8A31">
      <w:pPr>
        <w:spacing w:line="440" w:lineRule="exact"/>
        <w:jc w:val="left"/>
        <w:rPr>
          <w:rFonts w:ascii="宋体" w:hAnsi="宋体" w:cs="宋体"/>
          <w:b/>
          <w:color w:val="auto"/>
          <w:szCs w:val="21"/>
          <w:highlight w:val="none"/>
          <w:shd w:val="clear" w:color="auto" w:fill="FFFFFF"/>
        </w:rPr>
      </w:pPr>
      <w:bookmarkStart w:id="9" w:name="_bookmark21"/>
      <w:bookmarkEnd w:id="9"/>
      <w:r>
        <w:rPr>
          <w:rFonts w:hint="eastAsia" w:ascii="宋体" w:hAnsi="宋体" w:cs="宋体"/>
          <w:b/>
          <w:color w:val="auto"/>
          <w:szCs w:val="21"/>
          <w:highlight w:val="none"/>
          <w:shd w:val="clear" w:color="auto" w:fill="FFFFFF"/>
        </w:rPr>
        <w:t>1.1 招标项目概况</w:t>
      </w:r>
    </w:p>
    <w:p w14:paraId="7627E0F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1.1.1 根据《中华人民共和国政府采购法》、《中华人民共和国政府采购法实施条例》及《政府采购货物和服务招标投标管理办法（财政部令第87号）》等有关法律、法规和规章的规定，本招标项目已具备招标条件，现对该项目进行招标。</w:t>
      </w:r>
    </w:p>
    <w:p w14:paraId="466F3BF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1.1.2 </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：见投标人须知前附表。</w:t>
      </w:r>
    </w:p>
    <w:p w14:paraId="127C64FA">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1.1.3 </w:t>
      </w:r>
      <w:r>
        <w:rPr>
          <w:rFonts w:hint="eastAsia" w:ascii="宋体" w:hAnsi="宋体" w:cs="宋体"/>
          <w:color w:val="auto"/>
          <w:highlight w:val="none"/>
          <w:shd w:val="clear" w:color="auto" w:fill="FFFFFF"/>
          <w:lang w:eastAsia="zh-CN"/>
        </w:rPr>
        <w:t>采购代理机构</w:t>
      </w:r>
      <w:r>
        <w:rPr>
          <w:rFonts w:hint="eastAsia" w:ascii="宋体" w:hAnsi="宋体" w:cs="宋体"/>
          <w:color w:val="auto"/>
          <w:highlight w:val="none"/>
          <w:shd w:val="clear" w:color="auto" w:fill="FFFFFF"/>
        </w:rPr>
        <w:t>：见投标人须知前附表。</w:t>
      </w:r>
    </w:p>
    <w:p w14:paraId="0AC2A8B2">
      <w:pPr>
        <w:spacing w:line="440" w:lineRule="exact"/>
        <w:jc w:val="left"/>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1.2 招标项目的资金来源和落实情况</w:t>
      </w:r>
    </w:p>
    <w:p w14:paraId="7533CA2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1.2.1 资金来源及比例：见投标人须知前附表。</w:t>
      </w:r>
    </w:p>
    <w:p w14:paraId="6A3C34FC">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1.2.2 资金落实情况：见投标人须知前附表。</w:t>
      </w:r>
    </w:p>
    <w:p w14:paraId="0C5E3936">
      <w:pPr>
        <w:spacing w:line="440" w:lineRule="exact"/>
        <w:jc w:val="left"/>
        <w:rPr>
          <w:rFonts w:ascii="宋体" w:hAnsi="宋体" w:cs="宋体"/>
          <w:b/>
          <w:color w:val="auto"/>
          <w:szCs w:val="21"/>
          <w:highlight w:val="none"/>
          <w:shd w:val="clear" w:color="auto" w:fill="FFFFFF"/>
        </w:rPr>
      </w:pPr>
      <w:bookmarkStart w:id="10" w:name="_bookmark23"/>
      <w:bookmarkEnd w:id="10"/>
      <w:r>
        <w:rPr>
          <w:rFonts w:hint="eastAsia" w:ascii="宋体" w:hAnsi="宋体" w:cs="宋体"/>
          <w:b/>
          <w:color w:val="auto"/>
          <w:szCs w:val="21"/>
          <w:highlight w:val="none"/>
          <w:shd w:val="clear" w:color="auto" w:fill="FFFFFF"/>
        </w:rPr>
        <w:t>1.3 招标范围</w:t>
      </w:r>
    </w:p>
    <w:p w14:paraId="65C2BE4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1.3.1 招标范围：见投标人须知前附表。</w:t>
      </w:r>
    </w:p>
    <w:p w14:paraId="2EA04A7B">
      <w:pPr>
        <w:spacing w:line="440" w:lineRule="exact"/>
        <w:jc w:val="left"/>
        <w:rPr>
          <w:rFonts w:ascii="宋体" w:hAnsi="宋体" w:cs="宋体"/>
          <w:b/>
          <w:color w:val="auto"/>
          <w:szCs w:val="21"/>
          <w:highlight w:val="none"/>
          <w:shd w:val="clear" w:color="auto" w:fill="FFFFFF"/>
        </w:rPr>
      </w:pPr>
      <w:bookmarkStart w:id="11" w:name="_bookmark24"/>
      <w:bookmarkEnd w:id="11"/>
      <w:r>
        <w:rPr>
          <w:rFonts w:hint="eastAsia" w:ascii="宋体" w:hAnsi="宋体" w:cs="宋体"/>
          <w:b/>
          <w:color w:val="auto"/>
          <w:szCs w:val="21"/>
          <w:highlight w:val="none"/>
          <w:shd w:val="clear" w:color="auto" w:fill="FFFFFF"/>
        </w:rPr>
        <w:t>1.4 投标人资格要求</w:t>
      </w:r>
    </w:p>
    <w:p w14:paraId="6550693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1.4.1 投标人应具备承担本招标项目资质条件、能力和信誉：见投标人须知前附表；</w:t>
      </w:r>
    </w:p>
    <w:p w14:paraId="6C1C8BC5">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1.4.2 投标人须知前附表规定接受联合体投标的，联合体除应符合本章第 1.4.1 项和投标人须知前附表的要求外，还应遵守以下规定：</w:t>
      </w:r>
    </w:p>
    <w:p w14:paraId="47321BA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（1）联合体各方应按招标文件提供的格式签订联合体协议书，明确联合体牵头人和各方权利义务，并承诺就中标项目向</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承担连带责任；</w:t>
      </w:r>
    </w:p>
    <w:p w14:paraId="45B295D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（2）联合体各方不得再以自己名义单独或参加其他联合体在本招标项目中投标，否则各相关投标均无效。</w:t>
      </w:r>
    </w:p>
    <w:p w14:paraId="7A5F024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1.4.3 投标人不得存在下列情形之一：</w:t>
      </w:r>
    </w:p>
    <w:p w14:paraId="48C0210C">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（1）与</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存在利害关系且可能影响招标公正性；</w:t>
      </w:r>
    </w:p>
    <w:p w14:paraId="2246C98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（2）与本招标项目的其他投标人为同一个单位负责人；</w:t>
      </w:r>
    </w:p>
    <w:p w14:paraId="323C580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（3）与本招标项目的其他投标人存在控股、管理关系；</w:t>
      </w:r>
    </w:p>
    <w:p w14:paraId="49C4508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（4）与本招标项目其他投标人代理同一个制造商同一品牌同一型号的材料投标；</w:t>
      </w:r>
    </w:p>
    <w:p w14:paraId="6E39903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（5）为本招标项目的代建人；</w:t>
      </w:r>
    </w:p>
    <w:p w14:paraId="07D64E0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（6）为本招标项目的</w:t>
      </w:r>
      <w:r>
        <w:rPr>
          <w:rFonts w:hint="eastAsia" w:ascii="宋体" w:hAnsi="宋体" w:cs="宋体"/>
          <w:color w:val="auto"/>
          <w:highlight w:val="none"/>
          <w:shd w:val="clear" w:color="auto" w:fill="FFFFFF"/>
          <w:lang w:eastAsia="zh-CN"/>
        </w:rPr>
        <w:t>采购代理机构</w:t>
      </w:r>
      <w:r>
        <w:rPr>
          <w:rFonts w:hint="eastAsia" w:ascii="宋体" w:hAnsi="宋体" w:cs="宋体"/>
          <w:color w:val="auto"/>
          <w:highlight w:val="none"/>
          <w:shd w:val="clear" w:color="auto" w:fill="FFFFFF"/>
        </w:rPr>
        <w:t>；</w:t>
      </w:r>
    </w:p>
    <w:p w14:paraId="023C0C1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（7）与本招标项目的代建人或</w:t>
      </w:r>
      <w:r>
        <w:rPr>
          <w:rFonts w:hint="eastAsia" w:ascii="宋体" w:hAnsi="宋体" w:cs="宋体"/>
          <w:color w:val="auto"/>
          <w:highlight w:val="none"/>
          <w:shd w:val="clear" w:color="auto" w:fill="FFFFFF"/>
          <w:lang w:eastAsia="zh-CN"/>
        </w:rPr>
        <w:t>采购代理机构</w:t>
      </w:r>
      <w:r>
        <w:rPr>
          <w:rFonts w:hint="eastAsia" w:ascii="宋体" w:hAnsi="宋体" w:cs="宋体"/>
          <w:color w:val="auto"/>
          <w:highlight w:val="none"/>
          <w:shd w:val="clear" w:color="auto" w:fill="FFFFFF"/>
        </w:rPr>
        <w:t>同为一个法定代表人；</w:t>
      </w:r>
    </w:p>
    <w:p w14:paraId="0F8746C7">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（8）与本招标项目的代建人或</w:t>
      </w:r>
      <w:r>
        <w:rPr>
          <w:rFonts w:hint="eastAsia" w:ascii="宋体" w:hAnsi="宋体" w:cs="宋体"/>
          <w:color w:val="auto"/>
          <w:highlight w:val="none"/>
          <w:shd w:val="clear" w:color="auto" w:fill="FFFFFF"/>
          <w:lang w:eastAsia="zh-CN"/>
        </w:rPr>
        <w:t>采购代理机构</w:t>
      </w:r>
      <w:r>
        <w:rPr>
          <w:rFonts w:hint="eastAsia" w:ascii="宋体" w:hAnsi="宋体" w:cs="宋体"/>
          <w:color w:val="auto"/>
          <w:highlight w:val="none"/>
          <w:shd w:val="clear" w:color="auto" w:fill="FFFFFF"/>
        </w:rPr>
        <w:t>存在控股或参股关系；</w:t>
      </w:r>
    </w:p>
    <w:p w14:paraId="7DE75CB0">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（9）被依法暂停或者取消投标资格；</w:t>
      </w:r>
    </w:p>
    <w:p w14:paraId="784D35D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（10）被责令停产停业、暂扣或者吊销许可证、暂扣或者吊销执照；</w:t>
      </w:r>
    </w:p>
    <w:p w14:paraId="0E2C740C">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（11）进入清算程序，或被宣告破产，或其他丧失履约能力的情形；</w:t>
      </w:r>
    </w:p>
    <w:p w14:paraId="08B90DE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（12）在最近三年内发生重大问题（以相关行业主管部门的行政处罚决定或司法机关出具的有关法律文书为准）；</w:t>
      </w:r>
    </w:p>
    <w:p w14:paraId="3714708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（13）被工商行政管理机关在全国企业信用信息公示系统中列入严重违法失信企业名单；</w:t>
      </w:r>
    </w:p>
    <w:p w14:paraId="3758143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（14）被最高人民法院在“信用中国”网站（</w:t>
      </w:r>
      <w:r>
        <w:rPr>
          <w:color w:val="auto"/>
          <w:highlight w:val="none"/>
        </w:rPr>
        <w:fldChar w:fldCharType="begin"/>
      </w:r>
      <w:r>
        <w:rPr>
          <w:color w:val="auto"/>
          <w:highlight w:val="none"/>
        </w:rPr>
        <w:instrText xml:space="preserve"> HYPERLINK "http://www.creditchina.gov.cn/" \h </w:instrText>
      </w:r>
      <w:r>
        <w:rPr>
          <w:color w:val="auto"/>
          <w:highlight w:val="none"/>
        </w:rPr>
        <w:fldChar w:fldCharType="separate"/>
      </w:r>
      <w:r>
        <w:rPr>
          <w:rStyle w:val="40"/>
          <w:rFonts w:hint="eastAsia" w:ascii="宋体" w:hAnsi="宋体" w:cs="宋体"/>
          <w:color w:val="auto"/>
          <w:highlight w:val="none"/>
          <w:shd w:val="clear" w:color="auto" w:fill="FFFFFF"/>
        </w:rPr>
        <w:t>www.creditc</w:t>
      </w:r>
      <w:bookmarkStart w:id="12" w:name="_Hlt519168106"/>
      <w:r>
        <w:rPr>
          <w:rStyle w:val="40"/>
          <w:rFonts w:hint="eastAsia" w:ascii="宋体" w:hAnsi="宋体" w:cs="宋体"/>
          <w:color w:val="auto"/>
          <w:highlight w:val="none"/>
          <w:shd w:val="clear" w:color="auto" w:fill="FFFFFF"/>
        </w:rPr>
        <w:t>h</w:t>
      </w:r>
      <w:bookmarkEnd w:id="12"/>
      <w:r>
        <w:rPr>
          <w:rStyle w:val="40"/>
          <w:rFonts w:hint="eastAsia" w:ascii="宋体" w:hAnsi="宋体" w:cs="宋体"/>
          <w:color w:val="auto"/>
          <w:highlight w:val="none"/>
          <w:shd w:val="clear" w:color="auto" w:fill="FFFFFF"/>
        </w:rPr>
        <w:t>ina.gov.cn</w:t>
      </w:r>
      <w:r>
        <w:rPr>
          <w:rStyle w:val="40"/>
          <w:rFonts w:hint="eastAsia" w:ascii="宋体" w:hAnsi="宋体" w:cs="宋体"/>
          <w:color w:val="auto"/>
          <w:highlight w:val="none"/>
          <w:shd w:val="clear" w:color="auto" w:fill="FFFFFF"/>
        </w:rPr>
        <w:fldChar w:fldCharType="end"/>
      </w:r>
      <w:r>
        <w:rPr>
          <w:rFonts w:hint="eastAsia" w:ascii="宋体" w:hAnsi="宋体" w:cs="宋体"/>
          <w:color w:val="auto"/>
          <w:highlight w:val="none"/>
          <w:shd w:val="clear" w:color="auto" w:fill="FFFFFF"/>
        </w:rPr>
        <w:t>）或各级信用信息共享平台中列入失信被执行人名单；</w:t>
      </w:r>
    </w:p>
    <w:p w14:paraId="53468F93">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（15）法律法规或投标人须知前附表规定的其他情形。</w:t>
      </w:r>
    </w:p>
    <w:p w14:paraId="22AB0115">
      <w:pPr>
        <w:spacing w:line="440" w:lineRule="exact"/>
        <w:jc w:val="left"/>
        <w:rPr>
          <w:rFonts w:ascii="宋体" w:hAnsi="宋体" w:cs="宋体"/>
          <w:b/>
          <w:color w:val="auto"/>
          <w:szCs w:val="21"/>
          <w:highlight w:val="none"/>
          <w:shd w:val="clear" w:color="auto" w:fill="FFFFFF"/>
        </w:rPr>
      </w:pPr>
      <w:bookmarkStart w:id="13" w:name="_bookmark25"/>
      <w:bookmarkEnd w:id="13"/>
      <w:r>
        <w:rPr>
          <w:rFonts w:hint="eastAsia" w:ascii="宋体" w:hAnsi="宋体" w:cs="宋体"/>
          <w:b/>
          <w:color w:val="auto"/>
          <w:szCs w:val="21"/>
          <w:highlight w:val="none"/>
          <w:shd w:val="clear" w:color="auto" w:fill="FFFFFF"/>
        </w:rPr>
        <w:t>1.5 费用承担</w:t>
      </w:r>
    </w:p>
    <w:p w14:paraId="356A7E0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投标人准备和参加投标活动发生的费用自理。</w:t>
      </w:r>
    </w:p>
    <w:p w14:paraId="4CDECF53">
      <w:pPr>
        <w:spacing w:line="440" w:lineRule="exact"/>
        <w:jc w:val="left"/>
        <w:rPr>
          <w:rFonts w:ascii="宋体" w:hAnsi="宋体" w:cs="宋体"/>
          <w:b/>
          <w:color w:val="auto"/>
          <w:szCs w:val="21"/>
          <w:highlight w:val="none"/>
          <w:shd w:val="clear" w:color="auto" w:fill="FFFFFF"/>
        </w:rPr>
      </w:pPr>
      <w:bookmarkStart w:id="14" w:name="_bookmark26"/>
      <w:bookmarkEnd w:id="14"/>
      <w:r>
        <w:rPr>
          <w:rFonts w:hint="eastAsia" w:ascii="宋体" w:hAnsi="宋体" w:cs="宋体"/>
          <w:b/>
          <w:color w:val="auto"/>
          <w:szCs w:val="21"/>
          <w:highlight w:val="none"/>
          <w:shd w:val="clear" w:color="auto" w:fill="FFFFFF"/>
        </w:rPr>
        <w:t>1.6 保密</w:t>
      </w:r>
    </w:p>
    <w:p w14:paraId="4B6E527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参与招标投标活动的各方应对招标文件和投标文件中的商业和技术等秘密保密，否则应承担相应的法律责任。</w:t>
      </w:r>
    </w:p>
    <w:p w14:paraId="6FDB8136">
      <w:pPr>
        <w:spacing w:line="440" w:lineRule="exact"/>
        <w:jc w:val="left"/>
        <w:rPr>
          <w:rFonts w:ascii="宋体" w:hAnsi="宋体" w:cs="宋体"/>
          <w:b/>
          <w:color w:val="auto"/>
          <w:szCs w:val="21"/>
          <w:highlight w:val="none"/>
          <w:shd w:val="clear" w:color="auto" w:fill="FFFFFF"/>
        </w:rPr>
      </w:pPr>
      <w:bookmarkStart w:id="15" w:name="_bookmark27"/>
      <w:bookmarkEnd w:id="15"/>
      <w:r>
        <w:rPr>
          <w:rFonts w:hint="eastAsia" w:ascii="宋体" w:hAnsi="宋体" w:cs="宋体"/>
          <w:b/>
          <w:color w:val="auto"/>
          <w:szCs w:val="21"/>
          <w:highlight w:val="none"/>
          <w:shd w:val="clear" w:color="auto" w:fill="FFFFFF"/>
        </w:rPr>
        <w:t>1.7 语言文字</w:t>
      </w:r>
    </w:p>
    <w:p w14:paraId="23E130B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招标投标文件使用的语言文字为中文。专用术语使用外文的，应附有中文注释。</w:t>
      </w:r>
    </w:p>
    <w:p w14:paraId="17BB5917">
      <w:pPr>
        <w:spacing w:line="440" w:lineRule="exact"/>
        <w:jc w:val="left"/>
        <w:rPr>
          <w:rFonts w:ascii="宋体" w:hAnsi="宋体" w:cs="宋体"/>
          <w:b/>
          <w:color w:val="auto"/>
          <w:szCs w:val="21"/>
          <w:highlight w:val="none"/>
          <w:shd w:val="clear" w:color="auto" w:fill="FFFFFF"/>
        </w:rPr>
      </w:pPr>
      <w:bookmarkStart w:id="16" w:name="_bookmark28"/>
      <w:bookmarkEnd w:id="16"/>
      <w:r>
        <w:rPr>
          <w:rFonts w:hint="eastAsia" w:ascii="宋体" w:hAnsi="宋体" w:cs="宋体"/>
          <w:b/>
          <w:color w:val="auto"/>
          <w:szCs w:val="21"/>
          <w:highlight w:val="none"/>
          <w:shd w:val="clear" w:color="auto" w:fill="FFFFFF"/>
        </w:rPr>
        <w:t>1.8 计量单位</w:t>
      </w:r>
    </w:p>
    <w:p w14:paraId="5E98F39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所有计量均采用中华人民共和国法定计量单位。</w:t>
      </w:r>
    </w:p>
    <w:p w14:paraId="27BE3439">
      <w:pPr>
        <w:spacing w:line="440" w:lineRule="exact"/>
        <w:jc w:val="left"/>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1.9 踏勘现场</w:t>
      </w:r>
    </w:p>
    <w:p w14:paraId="23EFBD81">
      <w:pPr>
        <w:spacing w:line="440" w:lineRule="exact"/>
        <w:ind w:firstLine="420" w:firstLineChars="20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1.9.1 投标人须知前附表规定组织踏勘现场的，</w:t>
      </w:r>
      <w:r>
        <w:rPr>
          <w:rFonts w:hint="eastAsia" w:ascii="宋体" w:hAnsi="宋体" w:cs="宋体"/>
          <w:color w:val="auto"/>
          <w:szCs w:val="21"/>
          <w:highlight w:val="none"/>
          <w:shd w:val="clear" w:color="auto" w:fill="FFFFFF"/>
          <w:lang w:eastAsia="zh-CN"/>
        </w:rPr>
        <w:t>采购人</w:t>
      </w:r>
      <w:r>
        <w:rPr>
          <w:rFonts w:hint="eastAsia" w:ascii="宋体" w:hAnsi="宋体" w:cs="宋体"/>
          <w:color w:val="auto"/>
          <w:szCs w:val="21"/>
          <w:highlight w:val="none"/>
          <w:shd w:val="clear" w:color="auto" w:fill="FFFFFF"/>
        </w:rPr>
        <w:t>按投标人须知前附表规定的时间、地点组织投标人踏勘项目现场。</w:t>
      </w:r>
    </w:p>
    <w:p w14:paraId="7A8E5666">
      <w:pPr>
        <w:spacing w:line="440" w:lineRule="exact"/>
        <w:ind w:firstLine="420" w:firstLineChars="20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1.9.2 投标人踏勘现场发生的费用自理。</w:t>
      </w:r>
    </w:p>
    <w:p w14:paraId="479E2195">
      <w:pPr>
        <w:spacing w:line="440" w:lineRule="exact"/>
        <w:ind w:firstLine="420" w:firstLineChars="20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1.9.3 除</w:t>
      </w:r>
      <w:r>
        <w:rPr>
          <w:rFonts w:hint="eastAsia" w:ascii="宋体" w:hAnsi="宋体" w:cs="宋体"/>
          <w:color w:val="auto"/>
          <w:szCs w:val="21"/>
          <w:highlight w:val="none"/>
          <w:shd w:val="clear" w:color="auto" w:fill="FFFFFF"/>
          <w:lang w:eastAsia="zh-CN"/>
        </w:rPr>
        <w:t>采购人</w:t>
      </w:r>
      <w:r>
        <w:rPr>
          <w:rFonts w:hint="eastAsia" w:ascii="宋体" w:hAnsi="宋体" w:cs="宋体"/>
          <w:color w:val="auto"/>
          <w:szCs w:val="21"/>
          <w:highlight w:val="none"/>
          <w:shd w:val="clear" w:color="auto" w:fill="FFFFFF"/>
        </w:rPr>
        <w:t>的原因外，投标人自行负责在踏勘现场中所发生的人员伤亡和财产损失。</w:t>
      </w:r>
    </w:p>
    <w:p w14:paraId="5FC287F5">
      <w:pPr>
        <w:spacing w:line="440" w:lineRule="exact"/>
        <w:ind w:firstLine="420" w:firstLineChars="20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1.9.4 </w:t>
      </w:r>
      <w:r>
        <w:rPr>
          <w:rFonts w:hint="eastAsia" w:ascii="宋体" w:hAnsi="宋体" w:cs="宋体"/>
          <w:color w:val="auto"/>
          <w:szCs w:val="21"/>
          <w:highlight w:val="none"/>
          <w:shd w:val="clear" w:color="auto" w:fill="FFFFFF"/>
          <w:lang w:eastAsia="zh-CN"/>
        </w:rPr>
        <w:t>采购人</w:t>
      </w:r>
      <w:r>
        <w:rPr>
          <w:rFonts w:hint="eastAsia" w:ascii="宋体" w:hAnsi="宋体" w:cs="宋体"/>
          <w:color w:val="auto"/>
          <w:szCs w:val="21"/>
          <w:highlight w:val="none"/>
          <w:shd w:val="clear" w:color="auto" w:fill="FFFFFF"/>
        </w:rPr>
        <w:t>在踏勘现场中介绍的工程场地和相关的周边环境情况，供投标人在编制投标文件时参考，</w:t>
      </w:r>
      <w:r>
        <w:rPr>
          <w:rFonts w:hint="eastAsia" w:ascii="宋体" w:hAnsi="宋体" w:cs="宋体"/>
          <w:color w:val="auto"/>
          <w:szCs w:val="21"/>
          <w:highlight w:val="none"/>
          <w:shd w:val="clear" w:color="auto" w:fill="FFFFFF"/>
          <w:lang w:eastAsia="zh-CN"/>
        </w:rPr>
        <w:t>采购人</w:t>
      </w:r>
      <w:r>
        <w:rPr>
          <w:rFonts w:hint="eastAsia" w:ascii="宋体" w:hAnsi="宋体" w:cs="宋体"/>
          <w:color w:val="auto"/>
          <w:szCs w:val="21"/>
          <w:highlight w:val="none"/>
          <w:shd w:val="clear" w:color="auto" w:fill="FFFFFF"/>
        </w:rPr>
        <w:t>不对投标人据此作出的判断和决策负责。</w:t>
      </w:r>
    </w:p>
    <w:p w14:paraId="2CB75319">
      <w:pPr>
        <w:spacing w:line="440" w:lineRule="exact"/>
        <w:jc w:val="left"/>
        <w:rPr>
          <w:rFonts w:ascii="宋体" w:hAnsi="宋体" w:cs="宋体"/>
          <w:b/>
          <w:color w:val="auto"/>
          <w:szCs w:val="21"/>
          <w:highlight w:val="none"/>
          <w:shd w:val="clear" w:color="auto" w:fill="FFFFFF"/>
        </w:rPr>
      </w:pPr>
      <w:bookmarkStart w:id="17" w:name="_bookmark29"/>
      <w:bookmarkEnd w:id="17"/>
      <w:r>
        <w:rPr>
          <w:rFonts w:hint="eastAsia" w:ascii="宋体" w:hAnsi="宋体" w:cs="宋体"/>
          <w:b/>
          <w:color w:val="auto"/>
          <w:szCs w:val="21"/>
          <w:highlight w:val="none"/>
          <w:shd w:val="clear" w:color="auto" w:fill="FFFFFF"/>
        </w:rPr>
        <w:t>1.10 投标预备会</w:t>
      </w:r>
    </w:p>
    <w:p w14:paraId="74BAF356">
      <w:pPr>
        <w:spacing w:line="440" w:lineRule="exact"/>
        <w:ind w:firstLine="420" w:firstLineChars="200"/>
        <w:jc w:val="left"/>
        <w:rPr>
          <w:rFonts w:ascii="宋体" w:hAnsi="宋体" w:cs="宋体"/>
          <w:color w:val="auto"/>
          <w:highlight w:val="none"/>
          <w:shd w:val="clear" w:color="auto" w:fill="FFFFFF"/>
        </w:rPr>
      </w:pPr>
      <w:bookmarkStart w:id="18" w:name="_bookmark30"/>
      <w:bookmarkEnd w:id="18"/>
      <w:r>
        <w:rPr>
          <w:rFonts w:hint="eastAsia" w:ascii="宋体" w:hAnsi="宋体" w:cs="宋体"/>
          <w:color w:val="auto"/>
          <w:highlight w:val="none"/>
          <w:shd w:val="clear" w:color="auto" w:fill="FFFFFF"/>
        </w:rPr>
        <w:t>本项目不召开投标预备会。</w:t>
      </w:r>
    </w:p>
    <w:p w14:paraId="6595F683">
      <w:pPr>
        <w:spacing w:line="440" w:lineRule="exact"/>
        <w:jc w:val="left"/>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1.11 分包</w:t>
      </w:r>
    </w:p>
    <w:p w14:paraId="6CCE4168">
      <w:pPr>
        <w:spacing w:line="440" w:lineRule="exact"/>
        <w:ind w:firstLine="420" w:firstLineChars="200"/>
        <w:jc w:val="left"/>
        <w:rPr>
          <w:rFonts w:ascii="宋体" w:hAnsi="宋体" w:cs="宋体"/>
          <w:color w:val="auto"/>
          <w:highlight w:val="none"/>
          <w:shd w:val="clear" w:color="auto" w:fill="FFFFFF"/>
        </w:rPr>
      </w:pPr>
      <w:bookmarkStart w:id="19" w:name="_bookmark31"/>
      <w:bookmarkEnd w:id="19"/>
      <w:r>
        <w:rPr>
          <w:rFonts w:hint="eastAsia" w:ascii="宋体" w:hAnsi="宋体" w:cs="宋体"/>
          <w:color w:val="auto"/>
          <w:highlight w:val="none"/>
          <w:shd w:val="clear" w:color="auto" w:fill="FFFFFF"/>
        </w:rPr>
        <w:t>本项目不划分包件。</w:t>
      </w:r>
    </w:p>
    <w:p w14:paraId="0E19C0A8">
      <w:pPr>
        <w:spacing w:line="440" w:lineRule="exact"/>
        <w:jc w:val="left"/>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1.12 响应和偏差</w:t>
      </w:r>
    </w:p>
    <w:p w14:paraId="0B341DEB">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投标文件应当对招标文件的实质性要求和条件作出满足性或更有利于</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的响应，否则，投标人的投标将被否决。实质性要求和条件见投标人须知前附表。</w:t>
      </w:r>
    </w:p>
    <w:p w14:paraId="70E27DD0">
      <w:pPr>
        <w:pStyle w:val="4"/>
        <w:numPr>
          <w:ilvl w:val="0"/>
          <w:numId w:val="0"/>
        </w:numPr>
        <w:spacing w:line="440" w:lineRule="exact"/>
        <w:jc w:val="center"/>
        <w:rPr>
          <w:rFonts w:ascii="宋体" w:hAnsi="宋体" w:eastAsia="宋体" w:cs="宋体"/>
          <w:color w:val="auto"/>
          <w:sz w:val="28"/>
          <w:szCs w:val="28"/>
          <w:highlight w:val="none"/>
          <w:shd w:val="clear" w:color="auto" w:fill="FFFFFF"/>
        </w:rPr>
      </w:pPr>
      <w:bookmarkStart w:id="20" w:name="_bookmark32"/>
      <w:bookmarkEnd w:id="20"/>
      <w:bookmarkStart w:id="21" w:name="_Toc518560878"/>
      <w:bookmarkStart w:id="22" w:name="_Toc520578605"/>
      <w:r>
        <w:rPr>
          <w:rFonts w:hint="eastAsia" w:ascii="宋体" w:hAnsi="宋体" w:eastAsia="宋体" w:cs="宋体"/>
          <w:color w:val="auto"/>
          <w:sz w:val="28"/>
          <w:szCs w:val="28"/>
          <w:highlight w:val="none"/>
          <w:shd w:val="clear" w:color="auto" w:fill="FFFFFF"/>
        </w:rPr>
        <w:t>2.招标文件</w:t>
      </w:r>
      <w:bookmarkEnd w:id="21"/>
      <w:bookmarkEnd w:id="22"/>
    </w:p>
    <w:p w14:paraId="597B69FF">
      <w:pPr>
        <w:spacing w:line="440" w:lineRule="exact"/>
        <w:jc w:val="left"/>
        <w:rPr>
          <w:rFonts w:ascii="宋体" w:hAnsi="宋体" w:cs="宋体"/>
          <w:b/>
          <w:color w:val="auto"/>
          <w:szCs w:val="21"/>
          <w:highlight w:val="none"/>
          <w:shd w:val="clear" w:color="auto" w:fill="FFFFFF"/>
        </w:rPr>
      </w:pPr>
      <w:bookmarkStart w:id="23" w:name="_bookmark33"/>
      <w:bookmarkEnd w:id="23"/>
      <w:r>
        <w:rPr>
          <w:rFonts w:hint="eastAsia" w:ascii="宋体" w:hAnsi="宋体" w:cs="宋体"/>
          <w:b/>
          <w:color w:val="auto"/>
          <w:szCs w:val="21"/>
          <w:highlight w:val="none"/>
          <w:shd w:val="clear" w:color="auto" w:fill="FFFFFF"/>
        </w:rPr>
        <w:t>2.1 招标文件的组成</w:t>
      </w:r>
    </w:p>
    <w:p w14:paraId="3DAA42D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本招标文件包括：</w:t>
      </w:r>
    </w:p>
    <w:p w14:paraId="2745E145">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（1）招标公告；</w:t>
      </w:r>
    </w:p>
    <w:p w14:paraId="3426CBB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（2）投标人须知；</w:t>
      </w:r>
    </w:p>
    <w:p w14:paraId="3C7E9B6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（3）采购需求</w:t>
      </w:r>
    </w:p>
    <w:p w14:paraId="011D309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（4）合同主要条款【参考格式】；</w:t>
      </w:r>
    </w:p>
    <w:p w14:paraId="1BC62CB6">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（5）投标文件格式；</w:t>
      </w:r>
    </w:p>
    <w:p w14:paraId="2F8C0D1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（6）评标办法；</w:t>
      </w:r>
    </w:p>
    <w:p w14:paraId="372A9EC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根据本章第 2.2 款和第 2.3 款对招标文件所作的澄清、修改，构成招标文件的组成部分。</w:t>
      </w:r>
    </w:p>
    <w:p w14:paraId="59CFAAB0">
      <w:pPr>
        <w:spacing w:line="440" w:lineRule="exact"/>
        <w:jc w:val="left"/>
        <w:rPr>
          <w:rFonts w:ascii="宋体" w:hAnsi="宋体" w:cs="宋体"/>
          <w:b/>
          <w:color w:val="auto"/>
          <w:szCs w:val="21"/>
          <w:highlight w:val="none"/>
          <w:shd w:val="clear" w:color="auto" w:fill="FFFFFF"/>
        </w:rPr>
      </w:pPr>
      <w:bookmarkStart w:id="24" w:name="_bookmark34"/>
      <w:bookmarkEnd w:id="24"/>
      <w:r>
        <w:rPr>
          <w:rFonts w:hint="eastAsia" w:ascii="宋体" w:hAnsi="宋体" w:cs="宋体"/>
          <w:b/>
          <w:color w:val="auto"/>
          <w:szCs w:val="21"/>
          <w:highlight w:val="none"/>
          <w:shd w:val="clear" w:color="auto" w:fill="FFFFFF"/>
        </w:rPr>
        <w:t>2.2 招标文件的澄清</w:t>
      </w:r>
    </w:p>
    <w:p w14:paraId="503B4EFA">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2.2.1 投标人应仔细阅读和检查招标文件的全部内容。如发现缺页或附件不全，应及时向</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提出，以便补齐。如有疑问，应按投标人须知前附表规定的时间和形式将提出的问题送达</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，要求</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对招标文件予以澄清。</w:t>
      </w:r>
    </w:p>
    <w:p w14:paraId="11202D3A">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2.2.2 招标文件的澄清以投标人须知前附表规定的形式发给所有购买招标文件的投标人，但不指明澄清问题的来源。澄清发出的时间距本章“投标人须知前附表”第26项规定的投标截止时间不足15日、并且澄清内容可能影响投标文件编制的，将相应延长投标截止时间。</w:t>
      </w:r>
    </w:p>
    <w:p w14:paraId="236A190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2.2.3 除非</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认为确有必要答复，否则，</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有权拒绝回复投标人在本章第2.2.1 项规定的时间后的任何澄清要求。</w:t>
      </w:r>
    </w:p>
    <w:p w14:paraId="67A637EA">
      <w:pPr>
        <w:spacing w:line="440" w:lineRule="exact"/>
        <w:jc w:val="left"/>
        <w:rPr>
          <w:rFonts w:ascii="宋体" w:hAnsi="宋体" w:cs="宋体"/>
          <w:b/>
          <w:color w:val="auto"/>
          <w:szCs w:val="21"/>
          <w:highlight w:val="none"/>
          <w:shd w:val="clear" w:color="auto" w:fill="FFFFFF"/>
        </w:rPr>
      </w:pPr>
      <w:bookmarkStart w:id="25" w:name="_bookmark35"/>
      <w:bookmarkEnd w:id="25"/>
      <w:r>
        <w:rPr>
          <w:rFonts w:hint="eastAsia" w:ascii="宋体" w:hAnsi="宋体" w:cs="宋体"/>
          <w:b/>
          <w:color w:val="auto"/>
          <w:szCs w:val="21"/>
          <w:highlight w:val="none"/>
          <w:shd w:val="clear" w:color="auto" w:fill="FFFFFF"/>
        </w:rPr>
        <w:t>2.3 招标文件的修改</w:t>
      </w:r>
    </w:p>
    <w:p w14:paraId="4446AF9B">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以投标人须知前附表规定的形式修改招标文件，并通知所有已购买招标文件的投标人。修改招标文件的时间距本章“投标人须知前附表”第26项规定的投标截止时间不足15日、并且修改内容可能影响投标文件编制的，将相应延长投标截止时间。</w:t>
      </w:r>
    </w:p>
    <w:p w14:paraId="49F71F07">
      <w:pPr>
        <w:spacing w:line="440" w:lineRule="exact"/>
        <w:jc w:val="left"/>
        <w:rPr>
          <w:rFonts w:ascii="宋体" w:hAnsi="宋体" w:cs="宋体"/>
          <w:b/>
          <w:color w:val="auto"/>
          <w:szCs w:val="21"/>
          <w:highlight w:val="none"/>
          <w:shd w:val="clear" w:color="auto" w:fill="FFFFFF"/>
        </w:rPr>
      </w:pPr>
      <w:bookmarkStart w:id="26" w:name="_bookmark36"/>
      <w:bookmarkEnd w:id="26"/>
      <w:r>
        <w:rPr>
          <w:rFonts w:hint="eastAsia" w:ascii="宋体" w:hAnsi="宋体" w:cs="宋体"/>
          <w:b/>
          <w:color w:val="auto"/>
          <w:szCs w:val="21"/>
          <w:highlight w:val="none"/>
          <w:shd w:val="clear" w:color="auto" w:fill="FFFFFF"/>
        </w:rPr>
        <w:t>2.4 招标文件的异议</w:t>
      </w:r>
    </w:p>
    <w:p w14:paraId="1A58F0E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投标人或者其他利害关系人对招标文件有异议的，应当在投标截止时间10日前以书面形式提出。</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将在收到异议之日起3日内作出答复；在作出答复前，将暂停招标投标活动。</w:t>
      </w:r>
    </w:p>
    <w:p w14:paraId="6E637D70">
      <w:pPr>
        <w:pStyle w:val="4"/>
        <w:numPr>
          <w:ilvl w:val="0"/>
          <w:numId w:val="0"/>
        </w:numPr>
        <w:spacing w:line="440" w:lineRule="exact"/>
        <w:jc w:val="center"/>
        <w:rPr>
          <w:rFonts w:ascii="宋体" w:hAnsi="宋体" w:eastAsia="宋体" w:cs="宋体"/>
          <w:color w:val="auto"/>
          <w:sz w:val="28"/>
          <w:szCs w:val="28"/>
          <w:highlight w:val="none"/>
          <w:shd w:val="clear" w:color="auto" w:fill="FFFFFF"/>
        </w:rPr>
      </w:pPr>
      <w:bookmarkStart w:id="27" w:name="_bookmark37"/>
      <w:bookmarkEnd w:id="27"/>
      <w:bookmarkStart w:id="28" w:name="_Toc518560879"/>
      <w:bookmarkStart w:id="29" w:name="_Toc520578606"/>
      <w:r>
        <w:rPr>
          <w:rFonts w:hint="eastAsia" w:ascii="宋体" w:hAnsi="宋体" w:eastAsia="宋体" w:cs="宋体"/>
          <w:color w:val="auto"/>
          <w:sz w:val="28"/>
          <w:szCs w:val="28"/>
          <w:highlight w:val="none"/>
          <w:shd w:val="clear" w:color="auto" w:fill="FFFFFF"/>
        </w:rPr>
        <w:t>3.投标文件</w:t>
      </w:r>
      <w:bookmarkEnd w:id="28"/>
      <w:bookmarkEnd w:id="29"/>
    </w:p>
    <w:p w14:paraId="26E1A78B">
      <w:pPr>
        <w:spacing w:line="440" w:lineRule="exact"/>
        <w:jc w:val="left"/>
        <w:rPr>
          <w:rFonts w:ascii="宋体" w:hAnsi="宋体" w:cs="宋体"/>
          <w:b/>
          <w:color w:val="auto"/>
          <w:szCs w:val="21"/>
          <w:highlight w:val="none"/>
          <w:shd w:val="clear" w:color="auto" w:fill="FFFFFF"/>
        </w:rPr>
      </w:pPr>
      <w:bookmarkStart w:id="30" w:name="_bookmark38"/>
      <w:bookmarkEnd w:id="30"/>
      <w:r>
        <w:rPr>
          <w:rFonts w:hint="eastAsia" w:ascii="宋体" w:hAnsi="宋体" w:cs="宋体"/>
          <w:b/>
          <w:color w:val="auto"/>
          <w:szCs w:val="21"/>
          <w:highlight w:val="none"/>
          <w:shd w:val="clear" w:color="auto" w:fill="FFFFFF"/>
        </w:rPr>
        <w:t>3.1 投标文件的组成</w:t>
      </w:r>
    </w:p>
    <w:p w14:paraId="3067EBF6">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详见投标文件格式部分。</w:t>
      </w:r>
    </w:p>
    <w:p w14:paraId="101BEF1B">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投标人在评标过程中作出的符合法律法规和招标文件规定的澄清确认，构成投标文件的组成部分。</w:t>
      </w:r>
    </w:p>
    <w:p w14:paraId="69C7108B">
      <w:pPr>
        <w:spacing w:line="440" w:lineRule="exact"/>
        <w:jc w:val="left"/>
        <w:rPr>
          <w:rFonts w:ascii="宋体" w:hAnsi="宋体" w:cs="宋体"/>
          <w:b/>
          <w:color w:val="auto"/>
          <w:szCs w:val="21"/>
          <w:highlight w:val="none"/>
          <w:shd w:val="clear" w:color="auto" w:fill="FFFFFF"/>
        </w:rPr>
      </w:pPr>
      <w:bookmarkStart w:id="31" w:name="_bookmark39"/>
      <w:bookmarkEnd w:id="31"/>
      <w:r>
        <w:rPr>
          <w:rFonts w:hint="eastAsia" w:ascii="宋体" w:hAnsi="宋体" w:cs="宋体"/>
          <w:b/>
          <w:color w:val="auto"/>
          <w:szCs w:val="21"/>
          <w:highlight w:val="none"/>
          <w:shd w:val="clear" w:color="auto" w:fill="FFFFFF"/>
        </w:rPr>
        <w:t>3.2 投标报价</w:t>
      </w:r>
    </w:p>
    <w:p w14:paraId="7300CA1D">
      <w:pPr>
        <w:spacing w:line="440" w:lineRule="exact"/>
        <w:ind w:firstLine="420" w:firstLineChars="200"/>
        <w:jc w:val="left"/>
        <w:rPr>
          <w:rFonts w:ascii="宋体" w:hAnsi="宋体" w:cs="宋体"/>
          <w:color w:val="auto"/>
          <w:highlight w:val="none"/>
          <w:shd w:val="clear" w:color="auto" w:fill="FFFFFF"/>
        </w:rPr>
      </w:pPr>
      <w:bookmarkStart w:id="32" w:name="_bookmark40"/>
      <w:bookmarkEnd w:id="32"/>
      <w:r>
        <w:rPr>
          <w:rFonts w:hint="eastAsia" w:ascii="宋体" w:hAnsi="宋体" w:cs="宋体"/>
          <w:color w:val="auto"/>
          <w:highlight w:val="none"/>
          <w:shd w:val="clear" w:color="auto" w:fill="FFFFFF"/>
        </w:rPr>
        <w:t>3.2.1 投标人应充分了解该项目的总体情况以及影响投标报价的其他要素。</w:t>
      </w:r>
    </w:p>
    <w:p w14:paraId="62D58FC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3.2.2 </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设有最高投标限价的，投标人的投标报价不得超过最高投标限价，最高投标限价在投标人须知前附表中载明。</w:t>
      </w:r>
    </w:p>
    <w:p w14:paraId="2AA71FA7">
      <w:pPr>
        <w:spacing w:line="440" w:lineRule="exact"/>
        <w:jc w:val="left"/>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3.3 投标有效期</w:t>
      </w:r>
    </w:p>
    <w:p w14:paraId="33570E6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3.3.1 除投标人须知前附表另有规定外，投标有效期为</w:t>
      </w:r>
      <w:r>
        <w:rPr>
          <w:rFonts w:hint="eastAsia" w:ascii="宋体" w:hAnsi="宋体" w:cs="宋体"/>
          <w:color w:val="auto"/>
          <w:highlight w:val="none"/>
          <w:u w:val="single"/>
          <w:shd w:val="clear" w:color="auto" w:fill="FFFFFF"/>
        </w:rPr>
        <w:t xml:space="preserve"> 90 </w:t>
      </w:r>
      <w:r>
        <w:rPr>
          <w:rFonts w:hint="eastAsia" w:ascii="宋体" w:hAnsi="宋体" w:cs="宋体"/>
          <w:color w:val="auto"/>
          <w:highlight w:val="none"/>
          <w:shd w:val="clear" w:color="auto" w:fill="FFFFFF"/>
        </w:rPr>
        <w:t>天。</w:t>
      </w:r>
    </w:p>
    <w:p w14:paraId="1D2DA78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3.3.2 在投标有效期内，投标人撤销投标文件的，应承担招标文件和法律规定的责任。</w:t>
      </w:r>
    </w:p>
    <w:p w14:paraId="155F22A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3.3.3 出现特殊情况需要延长投标有效期的，</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729C88C1">
      <w:pPr>
        <w:spacing w:line="440" w:lineRule="exact"/>
        <w:jc w:val="left"/>
        <w:rPr>
          <w:rFonts w:ascii="宋体" w:hAnsi="宋体" w:cs="宋体"/>
          <w:b/>
          <w:color w:val="auto"/>
          <w:szCs w:val="21"/>
          <w:highlight w:val="none"/>
          <w:shd w:val="clear" w:color="auto" w:fill="FFFFFF"/>
        </w:rPr>
      </w:pPr>
      <w:bookmarkStart w:id="33" w:name="_bookmark41"/>
      <w:bookmarkEnd w:id="33"/>
      <w:r>
        <w:rPr>
          <w:rFonts w:hint="eastAsia" w:ascii="宋体" w:hAnsi="宋体" w:cs="宋体"/>
          <w:b/>
          <w:color w:val="auto"/>
          <w:szCs w:val="21"/>
          <w:highlight w:val="none"/>
          <w:shd w:val="clear" w:color="auto" w:fill="FFFFFF"/>
        </w:rPr>
        <w:t>3.4 投标保证金</w:t>
      </w:r>
    </w:p>
    <w:p w14:paraId="4E9416A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3.4.1 投标人在递交投标文件的同时，应按投标人须知前附表规定的金额、形式和第五章“投标文件格式”规定的投标保证金格式递交投标保证金，并作为其投标文件的组成部分。投标保证金应当从其基本账户转出并在投标文件中附上基本账户开户证明。</w:t>
      </w:r>
    </w:p>
    <w:p w14:paraId="257F0F5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3.4.2 投标人不按本章第3.4.1项要求提交投标保证金的，评标委员会将否决其投标。</w:t>
      </w:r>
    </w:p>
    <w:p w14:paraId="1498B596">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3.4.3 未中标人的投标保证金将在中标公告发出后5个工作日退还；中标人的投标保证金将在采购合同签订之日起5个工作日内退还。</w:t>
      </w:r>
    </w:p>
    <w:p w14:paraId="2F907B93">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3.4.4 有下列情形之一的，投标保证金将不予退还：</w:t>
      </w:r>
    </w:p>
    <w:p w14:paraId="1C5E1030">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（1）投标人在投标有效期内撤销投标文件；</w:t>
      </w:r>
    </w:p>
    <w:p w14:paraId="5A170E5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（2）中标人在收到中标通知书后，无正当理由不与</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订立合同，在签订合同时向</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提出附加条件，或者不按照招标文件要求提交履约保证金；</w:t>
      </w:r>
    </w:p>
    <w:p w14:paraId="5A0A7FB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（3）发生投标人须知前附表规定的其他可以不予退还投标保证金的情形。</w:t>
      </w:r>
    </w:p>
    <w:p w14:paraId="5AB1EB46">
      <w:pPr>
        <w:spacing w:line="440" w:lineRule="exact"/>
        <w:jc w:val="left"/>
        <w:rPr>
          <w:rFonts w:ascii="宋体" w:hAnsi="宋体" w:cs="宋体"/>
          <w:b/>
          <w:color w:val="auto"/>
          <w:szCs w:val="21"/>
          <w:highlight w:val="none"/>
          <w:shd w:val="clear" w:color="auto" w:fill="FFFFFF"/>
        </w:rPr>
      </w:pPr>
      <w:bookmarkStart w:id="34" w:name="_bookmark43"/>
      <w:bookmarkEnd w:id="34"/>
      <w:bookmarkStart w:id="35" w:name="_bookmark42"/>
      <w:bookmarkEnd w:id="35"/>
      <w:r>
        <w:rPr>
          <w:rFonts w:hint="eastAsia" w:ascii="宋体" w:hAnsi="宋体" w:cs="宋体"/>
          <w:b/>
          <w:color w:val="auto"/>
          <w:szCs w:val="21"/>
          <w:highlight w:val="none"/>
          <w:shd w:val="clear" w:color="auto" w:fill="FFFFFF"/>
        </w:rPr>
        <w:t>3.5 资格审查资料</w:t>
      </w:r>
    </w:p>
    <w:p w14:paraId="72F9424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除投标人须知前附表另有规定外，投标人应按下列规定提供资格审查资料，以证明其满足本章第1.4款规定的资质、财务、信誉等要求。 </w:t>
      </w:r>
    </w:p>
    <w:p w14:paraId="1D1E63D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3.5.1 “投标人基本情况”应附投标人资格或者资质证书副本等的扫描件以及：</w:t>
      </w:r>
    </w:p>
    <w:p w14:paraId="2E170FD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（1）投标人为企业的，应提交营业执照、税务登记证和组织机构代码证的复印件（按照“三证合一”或“五证合一”登记制度进行登记的，可仅提供营业执照复印件）；</w:t>
      </w:r>
    </w:p>
    <w:p w14:paraId="767AD0BB">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（2）投标人为依法允许经营的事业单位的，应提交事业单位法人证书和组织机构代码证的扫描件。</w:t>
      </w:r>
    </w:p>
    <w:p w14:paraId="0CF0955C">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3.5.2 “近年财务状况表”应附经会计师事务所或审计机构审计的财务会计报表，包括资产负债表、现金流量表、利润表的扫描件，具体年份要求见投标人须知前附表。投标人的成立时间少于投标人须知前附表规定年份的，应提供成立以来的财务状况表。</w:t>
      </w:r>
    </w:p>
    <w:p w14:paraId="5C2F636B">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3.5.3 “近年发生的诉讼及仲裁情况”应说明投标人败诉的相关情况，并附法院或仲裁机构作出的判决、裁决等有关法律文书扫描件，具体时间要求见投标人须知前附表.</w:t>
      </w:r>
    </w:p>
    <w:p w14:paraId="579A5B3E">
      <w:pPr>
        <w:spacing w:line="440" w:lineRule="exact"/>
        <w:jc w:val="left"/>
        <w:rPr>
          <w:rFonts w:ascii="宋体" w:hAnsi="宋体" w:cs="宋体"/>
          <w:b/>
          <w:color w:val="auto"/>
          <w:szCs w:val="21"/>
          <w:highlight w:val="none"/>
          <w:shd w:val="clear" w:color="auto" w:fill="FFFFFF"/>
        </w:rPr>
      </w:pPr>
      <w:bookmarkStart w:id="36" w:name="_bookmark44"/>
      <w:bookmarkEnd w:id="36"/>
      <w:r>
        <w:rPr>
          <w:rFonts w:hint="eastAsia" w:ascii="宋体" w:hAnsi="宋体" w:cs="宋体"/>
          <w:b/>
          <w:color w:val="auto"/>
          <w:szCs w:val="21"/>
          <w:highlight w:val="none"/>
          <w:shd w:val="clear" w:color="auto" w:fill="FFFFFF"/>
        </w:rPr>
        <w:t>3.6 备选投标方案</w:t>
      </w:r>
    </w:p>
    <w:p w14:paraId="43E848AA">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3.6.1 除投标人须知前附表规定允许外，投标人不得递交备选投标方案，否则其投标将被否决。</w:t>
      </w:r>
    </w:p>
    <w:p w14:paraId="4A86D1D3">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3.6.2 允许投标人递交备选投标方案的，只有中标人所递交的备选投标方案方可予以考虑。评标委员会认为中标人的备选投标方案优于其按照招标文件要求编制的投标方案的，</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可以接受该备选投标方案。</w:t>
      </w:r>
    </w:p>
    <w:p w14:paraId="25396DF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3.6.3 投标人提供两个或两个以上投标报价，或者在投标文件中提供一个报价，但同时提供两个或两个以上供货方案的，视为提供备选方案。</w:t>
      </w:r>
    </w:p>
    <w:p w14:paraId="1C6DC666">
      <w:pPr>
        <w:spacing w:line="440" w:lineRule="exact"/>
        <w:jc w:val="left"/>
        <w:rPr>
          <w:rFonts w:ascii="宋体" w:hAnsi="宋体" w:cs="宋体"/>
          <w:b/>
          <w:color w:val="auto"/>
          <w:szCs w:val="21"/>
          <w:highlight w:val="none"/>
          <w:shd w:val="clear" w:color="auto" w:fill="FFFFFF"/>
        </w:rPr>
      </w:pPr>
      <w:bookmarkStart w:id="37" w:name="_bookmark45"/>
      <w:bookmarkEnd w:id="37"/>
      <w:r>
        <w:rPr>
          <w:rFonts w:hint="eastAsia" w:ascii="宋体" w:hAnsi="宋体" w:cs="宋体"/>
          <w:b/>
          <w:color w:val="auto"/>
          <w:szCs w:val="21"/>
          <w:highlight w:val="none"/>
          <w:shd w:val="clear" w:color="auto" w:fill="FFFFFF"/>
        </w:rPr>
        <w:t>3.7 投标文件的编制</w:t>
      </w:r>
    </w:p>
    <w:p w14:paraId="2F0ED837">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投标人在制作响应文件前，需先下载政采云电子投标客户端并进行安装，下载安装完成之后，可通过账号密码或CA登录客户端制作响应文件。（政采云电子投标客户端下载网址： https://customer.zcygov.cn/CA-driver-download ）</w:t>
      </w:r>
    </w:p>
    <w:p w14:paraId="28FBC9CB">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3.7.1 投标文件全部采用电子文档除投标人须知前附表另有规定外，投标文件所附证书证件均为原件扫描件。</w:t>
      </w:r>
    </w:p>
    <w:p w14:paraId="2B33EC0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3.7.2 如投标人上传的电子标书不符合4.1要求或开标时无法读取导入或解密，其投标文件将不予受理。</w:t>
      </w:r>
    </w:p>
    <w:p w14:paraId="6C9445E3">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3.7.3 投标文件电子签章及电子签名要求：见投标人须知前附表。</w:t>
      </w:r>
    </w:p>
    <w:p w14:paraId="73824A18">
      <w:pPr>
        <w:pStyle w:val="4"/>
        <w:numPr>
          <w:ilvl w:val="0"/>
          <w:numId w:val="0"/>
        </w:numPr>
        <w:spacing w:line="440" w:lineRule="exact"/>
        <w:jc w:val="center"/>
        <w:rPr>
          <w:rFonts w:ascii="宋体" w:hAnsi="宋体" w:eastAsia="宋体" w:cs="宋体"/>
          <w:color w:val="auto"/>
          <w:sz w:val="28"/>
          <w:szCs w:val="28"/>
          <w:highlight w:val="none"/>
          <w:shd w:val="clear" w:color="auto" w:fill="FFFFFF"/>
        </w:rPr>
      </w:pPr>
      <w:bookmarkStart w:id="38" w:name="_bookmark46"/>
      <w:bookmarkEnd w:id="38"/>
      <w:bookmarkStart w:id="39" w:name="_Toc518560880"/>
      <w:bookmarkStart w:id="40" w:name="_Toc520578607"/>
      <w:r>
        <w:rPr>
          <w:rFonts w:hint="eastAsia" w:ascii="宋体" w:hAnsi="宋体" w:eastAsia="宋体" w:cs="宋体"/>
          <w:color w:val="auto"/>
          <w:sz w:val="28"/>
          <w:szCs w:val="28"/>
          <w:highlight w:val="none"/>
          <w:shd w:val="clear" w:color="auto" w:fill="FFFFFF"/>
        </w:rPr>
        <w:t>4.投标</w:t>
      </w:r>
      <w:bookmarkEnd w:id="39"/>
      <w:bookmarkEnd w:id="40"/>
    </w:p>
    <w:p w14:paraId="36C2BF12">
      <w:pPr>
        <w:spacing w:line="440" w:lineRule="exact"/>
        <w:jc w:val="left"/>
        <w:rPr>
          <w:rFonts w:ascii="宋体" w:hAnsi="宋体" w:cs="宋体"/>
          <w:b/>
          <w:color w:val="auto"/>
          <w:szCs w:val="21"/>
          <w:highlight w:val="none"/>
          <w:shd w:val="clear" w:color="auto" w:fill="FFFFFF"/>
        </w:rPr>
      </w:pPr>
      <w:bookmarkStart w:id="41" w:name="_bookmark47"/>
      <w:bookmarkEnd w:id="41"/>
      <w:r>
        <w:rPr>
          <w:rFonts w:hint="eastAsia" w:ascii="宋体" w:hAnsi="宋体" w:cs="宋体"/>
          <w:b/>
          <w:color w:val="auto"/>
          <w:szCs w:val="21"/>
          <w:highlight w:val="none"/>
          <w:shd w:val="clear" w:color="auto" w:fill="FFFFFF"/>
        </w:rPr>
        <w:t>4.1 投标文件的密封和标记</w:t>
      </w:r>
    </w:p>
    <w:p w14:paraId="00A4DD86">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4.1.1 投标人应当按照招标文件和政采云平台的要求加密投标文件。</w:t>
      </w:r>
    </w:p>
    <w:p w14:paraId="0D66F5D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4.1.2 投标人未按规定加密的投标文件，政采云平台应当拒收并提示。</w:t>
      </w:r>
    </w:p>
    <w:p w14:paraId="7BE7FE00">
      <w:pPr>
        <w:spacing w:line="440" w:lineRule="exact"/>
        <w:jc w:val="left"/>
        <w:rPr>
          <w:rFonts w:ascii="宋体" w:hAnsi="宋体" w:cs="宋体"/>
          <w:b/>
          <w:color w:val="auto"/>
          <w:szCs w:val="21"/>
          <w:highlight w:val="none"/>
          <w:shd w:val="clear" w:color="auto" w:fill="FFFFFF"/>
        </w:rPr>
      </w:pPr>
      <w:bookmarkStart w:id="42" w:name="_bookmark48"/>
      <w:bookmarkEnd w:id="42"/>
      <w:r>
        <w:rPr>
          <w:rFonts w:hint="eastAsia" w:ascii="宋体" w:hAnsi="宋体" w:cs="宋体"/>
          <w:b/>
          <w:color w:val="auto"/>
          <w:szCs w:val="21"/>
          <w:highlight w:val="none"/>
          <w:shd w:val="clear" w:color="auto" w:fill="FFFFFF"/>
        </w:rPr>
        <w:t>4.2 投标文件的递交</w:t>
      </w:r>
    </w:p>
    <w:p w14:paraId="0A6F0E50">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4.2.1本项目采用在政府采购云平台（www.zcygov.cn）上进行采购与递交响应文件，无需现场递交纸质文件，但应在文件递交截止时间的登录系统，并根据开标系统的提示操作解密文件（采用现场参会解密响应文件的，请在会议现场指定电脑进行解密响应文件）。</w:t>
      </w:r>
    </w:p>
    <w:p w14:paraId="05D47225">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4.2.2本次采购采用在政府采购云平台（www.zcygov.cn）上进行采购与递交响应文件，采购过程具体操作流程请各投标人在政府采购云平台（https://www. zcygov.cn/）的网站操作指南中下载《投标人操作指南》查看操作或在该网站中采购学院中观看《政府采购电子交易投标人线上培训》相关视频。</w:t>
      </w:r>
    </w:p>
    <w:p w14:paraId="4FC46361">
      <w:pPr>
        <w:spacing w:line="440" w:lineRule="exact"/>
        <w:jc w:val="left"/>
        <w:rPr>
          <w:rFonts w:ascii="宋体" w:hAnsi="宋体" w:cs="宋体"/>
          <w:b/>
          <w:color w:val="auto"/>
          <w:szCs w:val="21"/>
          <w:highlight w:val="none"/>
          <w:shd w:val="clear" w:color="auto" w:fill="FFFFFF"/>
        </w:rPr>
      </w:pPr>
      <w:bookmarkStart w:id="43" w:name="_bookmark49"/>
      <w:bookmarkEnd w:id="43"/>
      <w:r>
        <w:rPr>
          <w:rFonts w:hint="eastAsia" w:ascii="宋体" w:hAnsi="宋体" w:cs="宋体"/>
          <w:b/>
          <w:color w:val="auto"/>
          <w:szCs w:val="21"/>
          <w:highlight w:val="none"/>
          <w:shd w:val="clear" w:color="auto" w:fill="FFFFFF"/>
        </w:rPr>
        <w:t>4.3 投标文件的修改与撤回</w:t>
      </w:r>
    </w:p>
    <w:p w14:paraId="02851B03">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4.3.1 在本章“投标人须知前附表”第26项规定的投标截止时间前，投标人可以修改或撤回已在网上上传的投标文件，无须书面形式通知</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w:t>
      </w:r>
    </w:p>
    <w:p w14:paraId="34DD365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4.3.2 投标人撤回投标文件的，可在规定时间内申请退还已缴纳的投标保证金。</w:t>
      </w:r>
    </w:p>
    <w:p w14:paraId="617FECC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4.3.3 修改的内容为投标文件的组成部分。修改的投标文件应按照本章第3条、第4条规定进行编制和上传。</w:t>
      </w:r>
    </w:p>
    <w:p w14:paraId="101AAC63">
      <w:pPr>
        <w:pStyle w:val="4"/>
        <w:numPr>
          <w:ilvl w:val="0"/>
          <w:numId w:val="0"/>
        </w:numPr>
        <w:spacing w:line="440" w:lineRule="exact"/>
        <w:jc w:val="center"/>
        <w:rPr>
          <w:rFonts w:ascii="宋体" w:hAnsi="宋体" w:eastAsia="宋体" w:cs="宋体"/>
          <w:color w:val="auto"/>
          <w:sz w:val="28"/>
          <w:szCs w:val="28"/>
          <w:highlight w:val="none"/>
          <w:shd w:val="clear" w:color="auto" w:fill="FFFFFF"/>
        </w:rPr>
      </w:pPr>
      <w:bookmarkStart w:id="44" w:name="_bookmark50"/>
      <w:bookmarkEnd w:id="44"/>
      <w:bookmarkStart w:id="45" w:name="_Toc518560881"/>
      <w:bookmarkStart w:id="46" w:name="_Toc520578608"/>
      <w:r>
        <w:rPr>
          <w:rFonts w:hint="eastAsia" w:ascii="宋体" w:hAnsi="宋体" w:eastAsia="宋体" w:cs="宋体"/>
          <w:color w:val="auto"/>
          <w:sz w:val="28"/>
          <w:szCs w:val="28"/>
          <w:highlight w:val="none"/>
          <w:shd w:val="clear" w:color="auto" w:fill="FFFFFF"/>
        </w:rPr>
        <w:t>5.开标</w:t>
      </w:r>
      <w:bookmarkEnd w:id="45"/>
      <w:bookmarkEnd w:id="46"/>
    </w:p>
    <w:p w14:paraId="70AE7D3B">
      <w:pPr>
        <w:spacing w:line="440" w:lineRule="exact"/>
        <w:jc w:val="left"/>
        <w:rPr>
          <w:rFonts w:ascii="宋体" w:hAnsi="宋体" w:cs="宋体"/>
          <w:b/>
          <w:color w:val="auto"/>
          <w:szCs w:val="21"/>
          <w:highlight w:val="none"/>
          <w:shd w:val="clear" w:color="auto" w:fill="FFFFFF"/>
        </w:rPr>
      </w:pPr>
      <w:bookmarkStart w:id="47" w:name="_bookmark51"/>
      <w:bookmarkEnd w:id="47"/>
      <w:r>
        <w:rPr>
          <w:rFonts w:hint="eastAsia" w:ascii="宋体" w:hAnsi="宋体" w:cs="宋体"/>
          <w:b/>
          <w:color w:val="auto"/>
          <w:szCs w:val="21"/>
          <w:highlight w:val="none"/>
          <w:shd w:val="clear" w:color="auto" w:fill="FFFFFF"/>
        </w:rPr>
        <w:t>5.1 开标时间和地点</w:t>
      </w:r>
    </w:p>
    <w:p w14:paraId="7A325F1C">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在本章“投标人须知前附表”第26项规定的投标截止时间（开标时间）和投标人须知前附表规定的地点通过政采云平台公开开标，邀请所有投标人的法定代表人或其委托代理人准时参加。</w:t>
      </w:r>
    </w:p>
    <w:p w14:paraId="2B9C8A82">
      <w:pPr>
        <w:spacing w:line="440" w:lineRule="exact"/>
        <w:jc w:val="left"/>
        <w:rPr>
          <w:rFonts w:ascii="宋体" w:hAnsi="宋体" w:cs="宋体"/>
          <w:b/>
          <w:color w:val="auto"/>
          <w:szCs w:val="21"/>
          <w:highlight w:val="none"/>
          <w:shd w:val="clear" w:color="auto" w:fill="FFFFFF"/>
        </w:rPr>
      </w:pPr>
      <w:bookmarkStart w:id="48" w:name="_bookmark53"/>
      <w:bookmarkEnd w:id="48"/>
      <w:bookmarkStart w:id="49" w:name="_bookmark52"/>
      <w:bookmarkEnd w:id="49"/>
      <w:r>
        <w:rPr>
          <w:rFonts w:hint="eastAsia" w:ascii="宋体" w:hAnsi="宋体" w:cs="宋体"/>
          <w:b/>
          <w:color w:val="auto"/>
          <w:szCs w:val="21"/>
          <w:highlight w:val="none"/>
          <w:shd w:val="clear" w:color="auto" w:fill="FFFFFF"/>
        </w:rPr>
        <w:t>5.2 开标程序</w:t>
      </w:r>
    </w:p>
    <w:p w14:paraId="5D26BE6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5.2.1 </w:t>
      </w:r>
      <w:r>
        <w:rPr>
          <w:rFonts w:hint="eastAsia" w:ascii="宋体" w:hAnsi="宋体" w:cs="宋体"/>
          <w:color w:val="auto"/>
          <w:highlight w:val="none"/>
          <w:shd w:val="clear" w:color="auto" w:fill="FFFFFF"/>
          <w:lang w:eastAsia="zh-CN"/>
        </w:rPr>
        <w:t>采购代理机构</w:t>
      </w:r>
      <w:r>
        <w:rPr>
          <w:rFonts w:hint="eastAsia" w:ascii="宋体" w:hAnsi="宋体" w:cs="宋体"/>
          <w:color w:val="auto"/>
          <w:highlight w:val="none"/>
          <w:shd w:val="clear" w:color="auto" w:fill="FFFFFF"/>
        </w:rPr>
        <w:t>将在“投标人须知前附表”规定的开标时间和地点组织公开开标。</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代表、投标人代表（法定代表人或其委托代理人）及有关工作人员参加；参加开标的投标人代表应签名报到以证明其出席，并在“唱标一览表”中签字确认开标结果。</w:t>
      </w:r>
    </w:p>
    <w:p w14:paraId="5C41C36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5.2.2开标时，政采云平台提取所有已成功上传的投标文件，由投标人对网上上传已加密的投标文件进行现场解密，解密完成后导入有效投标人的电子投标文件。</w:t>
      </w:r>
    </w:p>
    <w:p w14:paraId="51E179E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5.2.3因投标人原因造成投标文件未解密的，视为撤销其投标文件；因投标人之外的原因造成投标文件未解密的，视为撤回其投标文件，投标人有权要求责任方赔偿因此遭受的直接损失。部分投标文件未解密的，其他投标文件的开标可以继续进行。</w:t>
      </w:r>
    </w:p>
    <w:p w14:paraId="2F9C429C">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5.2.4有以下情形之一者，将作为无效标书处理：</w:t>
      </w:r>
    </w:p>
    <w:p w14:paraId="1869927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（1）投标文件逾期送达的；</w:t>
      </w:r>
    </w:p>
    <w:p w14:paraId="797D382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（2）投标文件未按要求加密的；</w:t>
      </w:r>
    </w:p>
    <w:p w14:paraId="6828918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（3）投标文件未按招标文件要求进行电子签名的；</w:t>
      </w:r>
    </w:p>
    <w:p w14:paraId="0A7C24C0">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（4）投标文件未按规定的格式、内容和要求填写的；</w:t>
      </w:r>
    </w:p>
    <w:p w14:paraId="1EF6AB4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（5）投标人未能按要求提交投标保证金的；</w:t>
      </w:r>
    </w:p>
    <w:p w14:paraId="3FF9B27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（6）内容填写不全或则扫描件模糊不清的。</w:t>
      </w:r>
    </w:p>
    <w:p w14:paraId="16E3ADF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5.2.5有以下情形之一者，将作为串标处理：</w:t>
      </w:r>
    </w:p>
    <w:p w14:paraId="11EACFA7">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（1）不同投标人的投标文件是由同一台电脑编制的；</w:t>
      </w:r>
    </w:p>
    <w:p w14:paraId="44D783C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（2）不同投标人委托同一人投标的；</w:t>
      </w:r>
    </w:p>
    <w:p w14:paraId="6BBD9DB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（3）投标人在投标文件上电子签名与其他投标人在投标文件上的电子签名相同的。</w:t>
      </w:r>
    </w:p>
    <w:p w14:paraId="0F86E682">
      <w:pPr>
        <w:spacing w:line="440" w:lineRule="exact"/>
        <w:jc w:val="left"/>
        <w:rPr>
          <w:rFonts w:ascii="宋体" w:hAnsi="宋体" w:cs="宋体"/>
          <w:b/>
          <w:color w:val="auto"/>
          <w:szCs w:val="21"/>
          <w:highlight w:val="none"/>
          <w:shd w:val="clear" w:color="auto" w:fill="FFFFFF"/>
        </w:rPr>
      </w:pPr>
      <w:bookmarkStart w:id="50" w:name="_bookmark54"/>
      <w:bookmarkEnd w:id="50"/>
      <w:r>
        <w:rPr>
          <w:rFonts w:hint="eastAsia" w:ascii="宋体" w:hAnsi="宋体" w:cs="宋体"/>
          <w:b/>
          <w:color w:val="auto"/>
          <w:szCs w:val="21"/>
          <w:highlight w:val="none"/>
          <w:shd w:val="clear" w:color="auto" w:fill="FFFFFF"/>
        </w:rPr>
        <w:t>5.3 开标异议</w:t>
      </w:r>
    </w:p>
    <w:p w14:paraId="53C56EE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投标人对开标有异议的，应当在开标现场提出，</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当场作出答复，并制作记录。</w:t>
      </w:r>
    </w:p>
    <w:p w14:paraId="31942750">
      <w:pPr>
        <w:pStyle w:val="4"/>
        <w:numPr>
          <w:ilvl w:val="0"/>
          <w:numId w:val="0"/>
        </w:numPr>
        <w:spacing w:line="440" w:lineRule="exact"/>
        <w:jc w:val="center"/>
        <w:rPr>
          <w:rFonts w:ascii="宋体" w:hAnsi="宋体" w:eastAsia="宋体" w:cs="宋体"/>
          <w:color w:val="auto"/>
          <w:sz w:val="28"/>
          <w:szCs w:val="28"/>
          <w:highlight w:val="none"/>
          <w:shd w:val="clear" w:color="auto" w:fill="FFFFFF"/>
        </w:rPr>
      </w:pPr>
      <w:bookmarkStart w:id="51" w:name="_bookmark55"/>
      <w:bookmarkEnd w:id="51"/>
      <w:bookmarkStart w:id="52" w:name="_Toc520578609"/>
      <w:bookmarkStart w:id="53" w:name="_Toc518560882"/>
      <w:r>
        <w:rPr>
          <w:rFonts w:hint="eastAsia" w:ascii="宋体" w:hAnsi="宋体" w:eastAsia="宋体" w:cs="宋体"/>
          <w:color w:val="auto"/>
          <w:sz w:val="28"/>
          <w:szCs w:val="28"/>
          <w:highlight w:val="none"/>
          <w:shd w:val="clear" w:color="auto" w:fill="FFFFFF"/>
        </w:rPr>
        <w:t>6.评标</w:t>
      </w:r>
      <w:bookmarkEnd w:id="52"/>
      <w:bookmarkEnd w:id="53"/>
    </w:p>
    <w:p w14:paraId="37D5816F">
      <w:pPr>
        <w:spacing w:line="440" w:lineRule="exact"/>
        <w:jc w:val="left"/>
        <w:rPr>
          <w:rFonts w:ascii="宋体" w:hAnsi="宋体" w:cs="宋体"/>
          <w:b/>
          <w:color w:val="auto"/>
          <w:szCs w:val="21"/>
          <w:highlight w:val="none"/>
          <w:shd w:val="clear" w:color="auto" w:fill="FFFFFF"/>
        </w:rPr>
      </w:pPr>
      <w:bookmarkStart w:id="54" w:name="_bookmark56"/>
      <w:bookmarkEnd w:id="54"/>
      <w:r>
        <w:rPr>
          <w:rFonts w:hint="eastAsia" w:ascii="宋体" w:hAnsi="宋体" w:cs="宋体"/>
          <w:b/>
          <w:color w:val="auto"/>
          <w:szCs w:val="21"/>
          <w:highlight w:val="none"/>
          <w:shd w:val="clear" w:color="auto" w:fill="FFFFFF"/>
        </w:rPr>
        <w:t>6.1 评标委员会</w:t>
      </w:r>
    </w:p>
    <w:p w14:paraId="6EEF209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6.1.1 评标由</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依法组建的评标委员会负责。评标委员会由</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或其委托的</w:t>
      </w:r>
      <w:r>
        <w:rPr>
          <w:rFonts w:hint="eastAsia" w:ascii="宋体" w:hAnsi="宋体" w:cs="宋体"/>
          <w:color w:val="auto"/>
          <w:highlight w:val="none"/>
          <w:shd w:val="clear" w:color="auto" w:fill="FFFFFF"/>
          <w:lang w:eastAsia="zh-CN"/>
        </w:rPr>
        <w:t>采购代理机构</w:t>
      </w:r>
      <w:r>
        <w:rPr>
          <w:rFonts w:hint="eastAsia" w:ascii="宋体" w:hAnsi="宋体" w:cs="宋体"/>
          <w:color w:val="auto"/>
          <w:highlight w:val="none"/>
          <w:shd w:val="clear" w:color="auto" w:fill="FFFFFF"/>
        </w:rPr>
        <w:t>熟悉相关业务的代表，以及有关技术、经济等方面的专家组成。评标委员会成员人数以及技术、经济等方面专家的确定方式见投标人须知前附表。</w:t>
      </w:r>
    </w:p>
    <w:p w14:paraId="0AC856D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6.1.2 评标委员会成员有下列情形之一的，应当回避：</w:t>
      </w:r>
    </w:p>
    <w:p w14:paraId="3C62E430">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（1）投标人或投标人主要负责人的近亲属；</w:t>
      </w:r>
    </w:p>
    <w:p w14:paraId="4C0A062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（2）项目主管部门或者行政监督部门的人员；</w:t>
      </w:r>
    </w:p>
    <w:p w14:paraId="3D12272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（3）与投标人有经济利益关系，可能影响对投标公正评审的；</w:t>
      </w:r>
    </w:p>
    <w:p w14:paraId="1AEA0736">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（4）曾因在招标、评标以及其他与招标投标有关活动中从事违法行为而受过行政处罚或刑事处罚的；</w:t>
      </w:r>
    </w:p>
    <w:p w14:paraId="62AB6BC3">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（5）与投标人有其他利害关系。</w:t>
      </w:r>
    </w:p>
    <w:p w14:paraId="530E912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6.1.3 评标过程中，评标委员会成员有回避事由、擅离职守或者因健康等原因不能继续评标的，</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有权更换。被更换的评标委员会成员作出的评审结论无效，由更换后的评标委员会成员重新进行评审。</w:t>
      </w:r>
    </w:p>
    <w:p w14:paraId="55653336">
      <w:pPr>
        <w:spacing w:line="440" w:lineRule="exact"/>
        <w:jc w:val="left"/>
        <w:rPr>
          <w:rFonts w:ascii="宋体" w:hAnsi="宋体" w:cs="宋体"/>
          <w:b/>
          <w:color w:val="auto"/>
          <w:szCs w:val="21"/>
          <w:highlight w:val="none"/>
          <w:shd w:val="clear" w:color="auto" w:fill="FFFFFF"/>
        </w:rPr>
      </w:pPr>
      <w:bookmarkStart w:id="55" w:name="_bookmark57"/>
      <w:bookmarkEnd w:id="55"/>
      <w:r>
        <w:rPr>
          <w:rFonts w:hint="eastAsia" w:ascii="宋体" w:hAnsi="宋体" w:cs="宋体"/>
          <w:b/>
          <w:color w:val="auto"/>
          <w:szCs w:val="21"/>
          <w:highlight w:val="none"/>
          <w:shd w:val="clear" w:color="auto" w:fill="FFFFFF"/>
        </w:rPr>
        <w:t>6.2 评标原则</w:t>
      </w:r>
    </w:p>
    <w:p w14:paraId="1A8B667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评标活动遵循公平、公正、科学和择优的原则。</w:t>
      </w:r>
    </w:p>
    <w:p w14:paraId="4DBB6226">
      <w:pPr>
        <w:spacing w:line="440" w:lineRule="exact"/>
        <w:jc w:val="left"/>
        <w:rPr>
          <w:rFonts w:ascii="宋体" w:hAnsi="宋体" w:cs="宋体"/>
          <w:b/>
          <w:color w:val="auto"/>
          <w:szCs w:val="21"/>
          <w:highlight w:val="none"/>
          <w:shd w:val="clear" w:color="auto" w:fill="FFFFFF"/>
        </w:rPr>
      </w:pPr>
      <w:bookmarkStart w:id="56" w:name="_bookmark58"/>
      <w:bookmarkEnd w:id="56"/>
      <w:r>
        <w:rPr>
          <w:rFonts w:hint="eastAsia" w:ascii="宋体" w:hAnsi="宋体" w:cs="宋体"/>
          <w:b/>
          <w:color w:val="auto"/>
          <w:szCs w:val="21"/>
          <w:highlight w:val="none"/>
          <w:shd w:val="clear" w:color="auto" w:fill="FFFFFF"/>
        </w:rPr>
        <w:t>6.3 评标</w:t>
      </w:r>
    </w:p>
    <w:p w14:paraId="0731281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6.3.1评标委员会按照第六章“评标办法”规定的方法、评审因素、标准和程序对投标文件进行评审。第六章“评标办法”没有规定的方法、评审因素和标准，不作为评标依据。</w:t>
      </w:r>
    </w:p>
    <w:p w14:paraId="73D2E86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6.3.2评标完成后，评标委员会应当向</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提交书面评标报告和中标候选人名单。评标委员会推荐中标候选人的人数见投标人须知前附表。</w:t>
      </w:r>
    </w:p>
    <w:p w14:paraId="381DF4CB">
      <w:pPr>
        <w:pStyle w:val="4"/>
        <w:numPr>
          <w:ilvl w:val="0"/>
          <w:numId w:val="0"/>
        </w:numPr>
        <w:spacing w:line="440" w:lineRule="exact"/>
        <w:jc w:val="center"/>
        <w:rPr>
          <w:rFonts w:ascii="宋体" w:hAnsi="宋体" w:eastAsia="宋体" w:cs="宋体"/>
          <w:color w:val="auto"/>
          <w:sz w:val="28"/>
          <w:szCs w:val="28"/>
          <w:highlight w:val="none"/>
          <w:shd w:val="clear" w:color="auto" w:fill="FFFFFF"/>
        </w:rPr>
      </w:pPr>
      <w:bookmarkStart w:id="57" w:name="_bookmark59"/>
      <w:bookmarkEnd w:id="57"/>
      <w:bookmarkStart w:id="58" w:name="_Toc518560883"/>
      <w:bookmarkStart w:id="59" w:name="_Toc520578610"/>
      <w:r>
        <w:rPr>
          <w:rFonts w:hint="eastAsia" w:ascii="宋体" w:hAnsi="宋体" w:eastAsia="宋体" w:cs="宋体"/>
          <w:color w:val="auto"/>
          <w:sz w:val="28"/>
          <w:szCs w:val="28"/>
          <w:highlight w:val="none"/>
          <w:shd w:val="clear" w:color="auto" w:fill="FFFFFF"/>
        </w:rPr>
        <w:t>7.合同授予</w:t>
      </w:r>
      <w:bookmarkEnd w:id="58"/>
      <w:bookmarkEnd w:id="59"/>
    </w:p>
    <w:p w14:paraId="3D575689">
      <w:pPr>
        <w:spacing w:line="440" w:lineRule="exact"/>
        <w:jc w:val="left"/>
        <w:rPr>
          <w:rFonts w:ascii="宋体" w:hAnsi="宋体" w:cs="宋体"/>
          <w:b/>
          <w:color w:val="auto"/>
          <w:szCs w:val="21"/>
          <w:highlight w:val="none"/>
          <w:shd w:val="clear" w:color="auto" w:fill="FFFFFF"/>
        </w:rPr>
      </w:pPr>
      <w:bookmarkStart w:id="60" w:name="_bookmark60"/>
      <w:bookmarkEnd w:id="60"/>
      <w:r>
        <w:rPr>
          <w:rFonts w:hint="eastAsia" w:ascii="宋体" w:hAnsi="宋体" w:cs="宋体"/>
          <w:b/>
          <w:color w:val="auto"/>
          <w:szCs w:val="21"/>
          <w:highlight w:val="none"/>
          <w:shd w:val="clear" w:color="auto" w:fill="FFFFFF"/>
        </w:rPr>
        <w:t>7.1 中标结果公示</w:t>
      </w:r>
    </w:p>
    <w:p w14:paraId="2123F0F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采购代理机构应当在评标结束之日起2个工作日内将评标报告送采购人确认。</w:t>
      </w:r>
    </w:p>
    <w:p w14:paraId="05E0950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采购人应当在收到评标报告之日起5个工作日内，在评标报告中推荐的中标候选人中按顺序确定中标人。</w:t>
      </w:r>
    </w:p>
    <w:p w14:paraId="6755C7F9">
      <w:pPr>
        <w:spacing w:line="440" w:lineRule="exact"/>
        <w:jc w:val="left"/>
        <w:rPr>
          <w:rFonts w:ascii="宋体" w:hAnsi="宋体" w:cs="宋体"/>
          <w:b/>
          <w:color w:val="auto"/>
          <w:szCs w:val="21"/>
          <w:highlight w:val="none"/>
          <w:shd w:val="clear" w:color="auto" w:fill="FFFFFF"/>
        </w:rPr>
      </w:pPr>
      <w:bookmarkStart w:id="61" w:name="_bookmark61"/>
      <w:bookmarkEnd w:id="61"/>
      <w:r>
        <w:rPr>
          <w:rFonts w:hint="eastAsia" w:ascii="宋体" w:hAnsi="宋体" w:cs="宋体"/>
          <w:b/>
          <w:color w:val="auto"/>
          <w:szCs w:val="21"/>
          <w:highlight w:val="none"/>
          <w:shd w:val="clear" w:color="auto" w:fill="FFFFFF"/>
        </w:rPr>
        <w:t>7.2 评标结果异议</w:t>
      </w:r>
    </w:p>
    <w:p w14:paraId="025E6300">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投标人或者其他利害关系人对评标结果有异议的，应当在中标结果公示期间提出。</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将在收到异议之日起 3 日内作出答复；作出答复前，将暂停招标投标活动。</w:t>
      </w:r>
    </w:p>
    <w:p w14:paraId="4391C3D5">
      <w:pPr>
        <w:spacing w:line="440" w:lineRule="exact"/>
        <w:jc w:val="left"/>
        <w:rPr>
          <w:rFonts w:ascii="宋体" w:hAnsi="宋体" w:cs="宋体"/>
          <w:b/>
          <w:color w:val="auto"/>
          <w:szCs w:val="21"/>
          <w:highlight w:val="none"/>
          <w:shd w:val="clear" w:color="auto" w:fill="FFFFFF"/>
        </w:rPr>
      </w:pPr>
      <w:bookmarkStart w:id="62" w:name="_bookmark62"/>
      <w:bookmarkEnd w:id="62"/>
      <w:r>
        <w:rPr>
          <w:rFonts w:hint="eastAsia" w:ascii="宋体" w:hAnsi="宋体" w:cs="宋体"/>
          <w:b/>
          <w:color w:val="auto"/>
          <w:szCs w:val="21"/>
          <w:highlight w:val="none"/>
          <w:shd w:val="clear" w:color="auto" w:fill="FFFFFF"/>
        </w:rPr>
        <w:t>7.3 中标候选人履约能力审查</w:t>
      </w:r>
    </w:p>
    <w:p w14:paraId="2A51B01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中标候选人的经营、财务状况发生较大变化或存在违法行为，</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认为可能影响其履约能力的，将在发出中标通知书前提请原评标委员会按照招标文件规定的标准和方法进行审查确认。</w:t>
      </w:r>
    </w:p>
    <w:p w14:paraId="4724DD00">
      <w:pPr>
        <w:spacing w:line="440" w:lineRule="exact"/>
        <w:jc w:val="left"/>
        <w:rPr>
          <w:rFonts w:ascii="宋体" w:hAnsi="宋体" w:cs="宋体"/>
          <w:b/>
          <w:color w:val="auto"/>
          <w:szCs w:val="21"/>
          <w:highlight w:val="none"/>
          <w:shd w:val="clear" w:color="auto" w:fill="FFFFFF"/>
        </w:rPr>
      </w:pPr>
      <w:bookmarkStart w:id="63" w:name="_bookmark63"/>
      <w:bookmarkEnd w:id="63"/>
      <w:r>
        <w:rPr>
          <w:rFonts w:hint="eastAsia" w:ascii="宋体" w:hAnsi="宋体" w:cs="宋体"/>
          <w:b/>
          <w:color w:val="auto"/>
          <w:szCs w:val="21"/>
          <w:highlight w:val="none"/>
          <w:shd w:val="clear" w:color="auto" w:fill="FFFFFF"/>
        </w:rPr>
        <w:t>7.4 定标</w:t>
      </w:r>
    </w:p>
    <w:p w14:paraId="50E9BF0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按照投标人须知前附表的规定，</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或</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授权的评标委员会依法确定中标人。</w:t>
      </w:r>
    </w:p>
    <w:p w14:paraId="65D66EDD">
      <w:pPr>
        <w:spacing w:line="440" w:lineRule="exact"/>
        <w:jc w:val="left"/>
        <w:rPr>
          <w:rFonts w:ascii="宋体" w:hAnsi="宋体" w:cs="宋体"/>
          <w:b/>
          <w:color w:val="auto"/>
          <w:szCs w:val="21"/>
          <w:highlight w:val="none"/>
          <w:shd w:val="clear" w:color="auto" w:fill="FFFFFF"/>
        </w:rPr>
      </w:pPr>
      <w:bookmarkStart w:id="64" w:name="_bookmark64"/>
      <w:bookmarkEnd w:id="64"/>
      <w:r>
        <w:rPr>
          <w:rFonts w:hint="eastAsia" w:ascii="宋体" w:hAnsi="宋体" w:cs="宋体"/>
          <w:b/>
          <w:color w:val="auto"/>
          <w:szCs w:val="21"/>
          <w:highlight w:val="none"/>
          <w:shd w:val="clear" w:color="auto" w:fill="FFFFFF"/>
        </w:rPr>
        <w:t>7.5 中标通知</w:t>
      </w:r>
    </w:p>
    <w:p w14:paraId="7DD465A6">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在本章第 3.3 款规定的投标有效期内，</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以书面形式向中标人发出中标通知书，同时将中标结果通知未中标的投标人。</w:t>
      </w:r>
    </w:p>
    <w:p w14:paraId="51A2036F">
      <w:pPr>
        <w:spacing w:line="440" w:lineRule="exact"/>
        <w:jc w:val="left"/>
        <w:rPr>
          <w:rFonts w:ascii="宋体" w:hAnsi="宋体" w:cs="宋体"/>
          <w:b/>
          <w:color w:val="auto"/>
          <w:szCs w:val="21"/>
          <w:highlight w:val="none"/>
          <w:shd w:val="clear" w:color="auto" w:fill="FFFFFF"/>
        </w:rPr>
      </w:pPr>
      <w:bookmarkStart w:id="65" w:name="_bookmark65"/>
      <w:bookmarkEnd w:id="65"/>
      <w:r>
        <w:rPr>
          <w:rFonts w:hint="eastAsia" w:ascii="宋体" w:hAnsi="宋体" w:cs="宋体"/>
          <w:b/>
          <w:color w:val="auto"/>
          <w:szCs w:val="21"/>
          <w:highlight w:val="none"/>
          <w:shd w:val="clear" w:color="auto" w:fill="FFFFFF"/>
        </w:rPr>
        <w:t>7.6 履约保证金</w:t>
      </w:r>
    </w:p>
    <w:p w14:paraId="4E06FBBC">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7.6.1 在签订合同前，中标人应按投标人须知前附表规定的形式、金额和招标文件第四章“合同条款及格式”规定的或者事先经过</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书面认可的履约保证金格式向</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提交履约保证金。</w:t>
      </w:r>
    </w:p>
    <w:p w14:paraId="6295873A">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7.6.2 中标人不能按本章第 7.6.1 项要求提交履约保证金的，视为放弃中标，其投标保证金不予退还，给</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造成的损失超过投标保证金数额的，中标人还应当对超过部分予以赔偿。</w:t>
      </w:r>
    </w:p>
    <w:p w14:paraId="4D2636DB">
      <w:pPr>
        <w:spacing w:line="440" w:lineRule="exact"/>
        <w:jc w:val="left"/>
        <w:rPr>
          <w:rFonts w:ascii="宋体" w:hAnsi="宋体" w:cs="宋体"/>
          <w:b/>
          <w:color w:val="auto"/>
          <w:szCs w:val="21"/>
          <w:highlight w:val="none"/>
          <w:shd w:val="clear" w:color="auto" w:fill="FFFFFF"/>
        </w:rPr>
      </w:pPr>
      <w:bookmarkStart w:id="66" w:name="_bookmark66"/>
      <w:bookmarkEnd w:id="66"/>
      <w:r>
        <w:rPr>
          <w:rFonts w:hint="eastAsia" w:ascii="宋体" w:hAnsi="宋体" w:cs="宋体"/>
          <w:b/>
          <w:color w:val="auto"/>
          <w:szCs w:val="21"/>
          <w:highlight w:val="none"/>
          <w:shd w:val="clear" w:color="auto" w:fill="FFFFFF"/>
        </w:rPr>
        <w:t>7.7 签订合同</w:t>
      </w:r>
    </w:p>
    <w:p w14:paraId="25B78C8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7.7.1 </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和中标人应当在中标通知书发出之日起 30 日内，根据招标文件和中标人的投标文件订立书面合同。中标人无正当理由拒签合同，在签订合同时向</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提出附加条件，或者不按照招标文件要求提交履约保证金的，</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有权取消其中标资格，其投标保证金不予退还；给</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造成的损失超过投标保证金数额的，中标人还应当对超过部分予以赔偿。</w:t>
      </w:r>
    </w:p>
    <w:p w14:paraId="38BD424B">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7.7.2 发出中标通知书后，</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无正当理由拒签合同，或者在签订合同时向中标人提出附加条件的，</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向中标人退还投标保证金；给中标人造成损失的，还应当赔偿损失。</w:t>
      </w:r>
    </w:p>
    <w:p w14:paraId="590FB694">
      <w:pPr>
        <w:pStyle w:val="4"/>
        <w:numPr>
          <w:ilvl w:val="0"/>
          <w:numId w:val="0"/>
        </w:numPr>
        <w:spacing w:line="440" w:lineRule="exact"/>
        <w:jc w:val="center"/>
        <w:rPr>
          <w:rFonts w:ascii="宋体" w:hAnsi="宋体" w:eastAsia="宋体" w:cs="宋体"/>
          <w:color w:val="auto"/>
          <w:sz w:val="28"/>
          <w:szCs w:val="28"/>
          <w:highlight w:val="none"/>
          <w:shd w:val="clear" w:color="auto" w:fill="FFFFFF"/>
        </w:rPr>
      </w:pPr>
      <w:bookmarkStart w:id="67" w:name="_bookmark67"/>
      <w:bookmarkEnd w:id="67"/>
      <w:bookmarkStart w:id="68" w:name="_Toc518560884"/>
      <w:bookmarkStart w:id="69" w:name="_Toc520578611"/>
      <w:r>
        <w:rPr>
          <w:rFonts w:hint="eastAsia" w:ascii="宋体" w:hAnsi="宋体" w:eastAsia="宋体" w:cs="宋体"/>
          <w:color w:val="auto"/>
          <w:sz w:val="28"/>
          <w:szCs w:val="28"/>
          <w:highlight w:val="none"/>
          <w:shd w:val="clear" w:color="auto" w:fill="FFFFFF"/>
        </w:rPr>
        <w:t>8.纪律和监督</w:t>
      </w:r>
      <w:bookmarkEnd w:id="68"/>
      <w:bookmarkEnd w:id="69"/>
    </w:p>
    <w:p w14:paraId="2D86FD84">
      <w:pPr>
        <w:spacing w:line="440" w:lineRule="exact"/>
        <w:jc w:val="left"/>
        <w:rPr>
          <w:rFonts w:ascii="宋体" w:hAnsi="宋体" w:cs="宋体"/>
          <w:b/>
          <w:color w:val="auto"/>
          <w:szCs w:val="21"/>
          <w:highlight w:val="none"/>
          <w:shd w:val="clear" w:color="auto" w:fill="FFFFFF"/>
        </w:rPr>
      </w:pPr>
      <w:bookmarkStart w:id="70" w:name="_bookmark68"/>
      <w:bookmarkEnd w:id="70"/>
      <w:r>
        <w:rPr>
          <w:rFonts w:hint="eastAsia" w:ascii="宋体" w:hAnsi="宋体" w:cs="宋体"/>
          <w:b/>
          <w:color w:val="auto"/>
          <w:szCs w:val="21"/>
          <w:highlight w:val="none"/>
          <w:shd w:val="clear" w:color="auto" w:fill="FFFFFF"/>
        </w:rPr>
        <w:t>8.1 对</w:t>
      </w:r>
      <w:r>
        <w:rPr>
          <w:rFonts w:hint="eastAsia" w:ascii="宋体" w:hAnsi="宋体" w:cs="宋体"/>
          <w:b/>
          <w:color w:val="auto"/>
          <w:szCs w:val="21"/>
          <w:highlight w:val="none"/>
          <w:shd w:val="clear" w:color="auto" w:fill="FFFFFF"/>
          <w:lang w:eastAsia="zh-CN"/>
        </w:rPr>
        <w:t>采购人</w:t>
      </w:r>
      <w:r>
        <w:rPr>
          <w:rFonts w:hint="eastAsia" w:ascii="宋体" w:hAnsi="宋体" w:cs="宋体"/>
          <w:b/>
          <w:color w:val="auto"/>
          <w:szCs w:val="21"/>
          <w:highlight w:val="none"/>
          <w:shd w:val="clear" w:color="auto" w:fill="FFFFFF"/>
        </w:rPr>
        <w:t>的纪律要求</w:t>
      </w:r>
    </w:p>
    <w:p w14:paraId="04EC13F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不得泄露招标投标活动中应当保密的情况和资料，不得与投标人串通损害国家利益、社会公共利益或者他人合法权益。</w:t>
      </w:r>
    </w:p>
    <w:p w14:paraId="5300B827">
      <w:pPr>
        <w:spacing w:line="440" w:lineRule="exact"/>
        <w:jc w:val="left"/>
        <w:rPr>
          <w:rFonts w:ascii="宋体" w:hAnsi="宋体" w:cs="宋体"/>
          <w:b/>
          <w:color w:val="auto"/>
          <w:szCs w:val="21"/>
          <w:highlight w:val="none"/>
          <w:shd w:val="clear" w:color="auto" w:fill="FFFFFF"/>
        </w:rPr>
      </w:pPr>
      <w:bookmarkStart w:id="71" w:name="_bookmark69"/>
      <w:bookmarkEnd w:id="71"/>
      <w:r>
        <w:rPr>
          <w:rFonts w:hint="eastAsia" w:ascii="宋体" w:hAnsi="宋体" w:cs="宋体"/>
          <w:b/>
          <w:color w:val="auto"/>
          <w:szCs w:val="21"/>
          <w:highlight w:val="none"/>
          <w:shd w:val="clear" w:color="auto" w:fill="FFFFFF"/>
        </w:rPr>
        <w:t>8.2 对投标人的纪律要求</w:t>
      </w:r>
    </w:p>
    <w:p w14:paraId="034F60D7">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投标人不得相互串通投标或者与</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串通投标，不得向</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或者评标委员会成员行贿谋取中标，不得以他人名义投标或者以其他方式弄虚作假骗取中标；投标人不得以任何方式干扰、影响评标工作。</w:t>
      </w:r>
    </w:p>
    <w:p w14:paraId="7B1A7E3E">
      <w:pPr>
        <w:spacing w:line="440" w:lineRule="exact"/>
        <w:jc w:val="left"/>
        <w:rPr>
          <w:rFonts w:ascii="宋体" w:hAnsi="宋体" w:cs="宋体"/>
          <w:b/>
          <w:color w:val="auto"/>
          <w:szCs w:val="21"/>
          <w:highlight w:val="none"/>
          <w:shd w:val="clear" w:color="auto" w:fill="FFFFFF"/>
        </w:rPr>
      </w:pPr>
      <w:bookmarkStart w:id="72" w:name="_bookmark70"/>
      <w:bookmarkEnd w:id="72"/>
      <w:r>
        <w:rPr>
          <w:rFonts w:hint="eastAsia" w:ascii="宋体" w:hAnsi="宋体" w:cs="宋体"/>
          <w:b/>
          <w:color w:val="auto"/>
          <w:szCs w:val="21"/>
          <w:highlight w:val="none"/>
          <w:shd w:val="clear" w:color="auto" w:fill="FFFFFF"/>
        </w:rPr>
        <w:t>8.3 对评标委员会成员的纪律要求</w:t>
      </w:r>
    </w:p>
    <w:p w14:paraId="7436D430">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六章“评标办法”没有规定的评审因素和标准进行评标。</w:t>
      </w:r>
    </w:p>
    <w:p w14:paraId="441E6AD0">
      <w:pPr>
        <w:spacing w:line="440" w:lineRule="exact"/>
        <w:jc w:val="left"/>
        <w:rPr>
          <w:rFonts w:ascii="宋体" w:hAnsi="宋体" w:cs="宋体"/>
          <w:b/>
          <w:color w:val="auto"/>
          <w:szCs w:val="21"/>
          <w:highlight w:val="none"/>
          <w:shd w:val="clear" w:color="auto" w:fill="FFFFFF"/>
        </w:rPr>
      </w:pPr>
      <w:bookmarkStart w:id="73" w:name="_bookmark71"/>
      <w:bookmarkEnd w:id="73"/>
      <w:r>
        <w:rPr>
          <w:rFonts w:hint="eastAsia" w:ascii="宋体" w:hAnsi="宋体" w:cs="宋体"/>
          <w:b/>
          <w:color w:val="auto"/>
          <w:szCs w:val="21"/>
          <w:highlight w:val="none"/>
          <w:shd w:val="clear" w:color="auto" w:fill="FFFFFF"/>
        </w:rPr>
        <w:t>8.4 对与评标活动有关的工作人员的纪律要求</w:t>
      </w:r>
    </w:p>
    <w:p w14:paraId="06DFAC6A">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BECAE3F">
      <w:pPr>
        <w:spacing w:line="440" w:lineRule="exact"/>
        <w:jc w:val="left"/>
        <w:rPr>
          <w:rFonts w:ascii="宋体" w:hAnsi="宋体" w:cs="宋体"/>
          <w:b/>
          <w:color w:val="auto"/>
          <w:szCs w:val="21"/>
          <w:highlight w:val="none"/>
          <w:shd w:val="clear" w:color="auto" w:fill="FFFFFF"/>
        </w:rPr>
      </w:pPr>
      <w:bookmarkStart w:id="74" w:name="_bookmark72"/>
      <w:bookmarkEnd w:id="74"/>
      <w:r>
        <w:rPr>
          <w:rFonts w:hint="eastAsia" w:ascii="宋体" w:hAnsi="宋体" w:cs="宋体"/>
          <w:b/>
          <w:color w:val="auto"/>
          <w:szCs w:val="21"/>
          <w:highlight w:val="none"/>
          <w:shd w:val="clear" w:color="auto" w:fill="FFFFFF"/>
        </w:rPr>
        <w:t>8.5 投诉</w:t>
      </w:r>
    </w:p>
    <w:p w14:paraId="6EED8FFE">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8.5.1 投标人或者其他利害关系人认为招标投标活动不符合法律、行政法规规定的，可以在知道或者应知其权益受到损害之日起7个工作日内向有关行政监督部门投诉。投诉应当有明确的请求和必要的证明材料。</w:t>
      </w:r>
    </w:p>
    <w:p w14:paraId="681FCD1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8.5.2 投标人或者其他利害关系人对招标文件、开标和评标结果提出投诉的，应当按照投标人须知第 2.4 款、第 5.3 款和第 7.2 款的规定先向</w:t>
      </w:r>
      <w:r>
        <w:rPr>
          <w:rFonts w:hint="eastAsia" w:ascii="宋体" w:hAnsi="宋体" w:cs="宋体"/>
          <w:color w:val="auto"/>
          <w:highlight w:val="none"/>
          <w:shd w:val="clear" w:color="auto" w:fill="FFFFFF"/>
          <w:lang w:eastAsia="zh-CN"/>
        </w:rPr>
        <w:t>采购人</w:t>
      </w:r>
      <w:r>
        <w:rPr>
          <w:rFonts w:hint="eastAsia" w:ascii="宋体" w:hAnsi="宋体" w:cs="宋体"/>
          <w:color w:val="auto"/>
          <w:highlight w:val="none"/>
          <w:shd w:val="clear" w:color="auto" w:fill="FFFFFF"/>
        </w:rPr>
        <w:t>提出异议。异议答复期间不计算在第 8.5.1 项规定的期限内。</w:t>
      </w:r>
    </w:p>
    <w:p w14:paraId="7E0800A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8.5.3投诉人投诉时，应当提交投诉书。投诉书应当包括下列内容：</w:t>
      </w:r>
    </w:p>
    <w:p w14:paraId="163AC64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（一）投诉人的名称、地址及有效联系方式；</w:t>
      </w:r>
    </w:p>
    <w:p w14:paraId="0C62C98F">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（二）被投诉人的名称、地址及有效联系方式；</w:t>
      </w:r>
    </w:p>
    <w:p w14:paraId="5AE4BE8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（三）投诉事项的基本事实；</w:t>
      </w:r>
    </w:p>
    <w:p w14:paraId="6574CAA4">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（四）相关请求及主张；</w:t>
      </w:r>
    </w:p>
    <w:p w14:paraId="1C372AE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（五）有效线索和相关证明材料。</w:t>
      </w:r>
    </w:p>
    <w:p w14:paraId="6CF08C2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投诉人是法人的，投诉书必须由其法定代表人或者授权代表签字并盖章；其他组织或者个人投诉的，投诉书必须由其主要负责人或者投诉人本人签字，并附有效身份证明复印件。投诉书有关材料是外文的，投诉人应当同时提供其中文译本。</w:t>
      </w:r>
    </w:p>
    <w:p w14:paraId="1B90B35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8.5.4投诉人不得以投诉为名排挤竞争对手，不得进行虚假、恶意投诉，阻碍招标投标活动的正常进行。</w:t>
      </w:r>
    </w:p>
    <w:p w14:paraId="6062E406">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8.5.5投诉人可以直接投诉，也可以委托代理人办理投诉事务。代理人办理投诉事务时，应将授权委托书连同投诉书一并提交给行政监督部门。授权委托书应当明确有关委托代理权限和事项。</w:t>
      </w:r>
    </w:p>
    <w:p w14:paraId="628FFC61">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8.5.6有下列情形之一的投诉，不予受理；</w:t>
      </w:r>
    </w:p>
    <w:p w14:paraId="454404A8">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（一）投诉人不是所投诉招标投标活动的参与者，或者与投诉项目无任何利害关系；</w:t>
      </w:r>
    </w:p>
    <w:p w14:paraId="422DBB89">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（二）投诉事项不具体，且未提供有效线索，难以查证的；</w:t>
      </w:r>
    </w:p>
    <w:p w14:paraId="3D8BBA37">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（三）投诉书未署具投诉人真实姓名、签字和有效联系方式的；以法人名义投诉的，投诉书未经法定代表人签字并加盖公章的；</w:t>
      </w:r>
    </w:p>
    <w:p w14:paraId="098EF8AD">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（四）超过投诉时效的；</w:t>
      </w:r>
    </w:p>
    <w:p w14:paraId="518F9E12">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（五）已经作出处理决定，并且投诉人没有提出新的证据；</w:t>
      </w:r>
    </w:p>
    <w:p w14:paraId="7D0C9906">
      <w:pPr>
        <w:spacing w:line="440" w:lineRule="exact"/>
        <w:ind w:firstLine="420" w:firstLineChars="200"/>
        <w:jc w:val="left"/>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（六）投诉事项已进入行政复议或者行政诉讼程序的。</w:t>
      </w:r>
    </w:p>
    <w:p w14:paraId="39F09773">
      <w:pPr>
        <w:spacing w:line="440" w:lineRule="exact"/>
        <w:ind w:firstLine="420" w:firstLineChars="200"/>
        <w:jc w:val="left"/>
        <w:rPr>
          <w:rFonts w:ascii="宋体" w:hAnsi="宋体" w:cs="宋体"/>
          <w:color w:val="auto"/>
          <w:kern w:val="0"/>
          <w:highlight w:val="none"/>
        </w:rPr>
      </w:pPr>
      <w:r>
        <w:rPr>
          <w:rFonts w:hint="eastAsia" w:ascii="宋体" w:hAnsi="宋体" w:cs="宋体"/>
          <w:color w:val="auto"/>
          <w:highlight w:val="none"/>
          <w:shd w:val="clear" w:color="auto" w:fill="FFFFFF"/>
        </w:rPr>
        <w:t>8.5.7未尽事宜，按国家现行有关法律法规、《中华人民共和国政府采购法》、《中华人民共和国政府采购法实施条例》、《政府采购货物和服务招标投标管理办法（财政部令第 87 号）》和《政府采购质疑和投诉办法》（财政部令第94号）的规定执行。</w:t>
      </w:r>
    </w:p>
    <w:p w14:paraId="49AD3DDD">
      <w:pPr>
        <w:pStyle w:val="4"/>
        <w:keepNext/>
        <w:keepLines/>
        <w:widowControl w:val="0"/>
        <w:numPr>
          <w:ilvl w:val="0"/>
          <w:numId w:val="0"/>
        </w:numPr>
        <w:autoSpaceDE w:val="0"/>
        <w:autoSpaceDN w:val="0"/>
        <w:spacing w:line="440" w:lineRule="exact"/>
        <w:jc w:val="center"/>
        <w:rPr>
          <w:rFonts w:ascii="宋体" w:hAnsi="宋体" w:eastAsia="宋体" w:cs="宋体"/>
          <w:color w:val="auto"/>
          <w:szCs w:val="28"/>
          <w:highlight w:val="none"/>
        </w:rPr>
      </w:pPr>
      <w:r>
        <w:rPr>
          <w:rFonts w:hint="eastAsia" w:ascii="宋体" w:hAnsi="宋体" w:eastAsia="宋体" w:cs="宋体"/>
          <w:color w:val="auto"/>
          <w:sz w:val="28"/>
          <w:szCs w:val="28"/>
          <w:highlight w:val="none"/>
          <w:shd w:val="clear" w:color="auto" w:fill="FFFFFF"/>
        </w:rPr>
        <w:t>9．知识产权</w:t>
      </w:r>
    </w:p>
    <w:p w14:paraId="432E3850">
      <w:pPr>
        <w:adjustRightInd w:val="0"/>
        <w:snapToGrid w:val="0"/>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构成本招标文件各个组成部分的文件，未经</w:t>
      </w:r>
      <w:r>
        <w:rPr>
          <w:rFonts w:hint="eastAsia" w:ascii="宋体" w:hAnsi="宋体" w:cs="宋体"/>
          <w:color w:val="auto"/>
          <w:kern w:val="0"/>
          <w:highlight w:val="none"/>
          <w:lang w:eastAsia="zh-CN"/>
        </w:rPr>
        <w:t>采购人</w:t>
      </w:r>
      <w:r>
        <w:rPr>
          <w:rFonts w:hint="eastAsia" w:ascii="宋体" w:hAnsi="宋体" w:cs="宋体"/>
          <w:color w:val="auto"/>
          <w:kern w:val="0"/>
          <w:highlight w:val="none"/>
        </w:rPr>
        <w:t>书面同意，投标人不得擅自复印和用于非本招标项目所需的其他目的。</w:t>
      </w:r>
      <w:r>
        <w:rPr>
          <w:rFonts w:hint="eastAsia" w:ascii="宋体" w:hAnsi="宋体" w:cs="宋体"/>
          <w:color w:val="auto"/>
          <w:kern w:val="0"/>
          <w:highlight w:val="none"/>
          <w:lang w:eastAsia="zh-CN"/>
        </w:rPr>
        <w:t>采购人</w:t>
      </w:r>
      <w:r>
        <w:rPr>
          <w:rFonts w:hint="eastAsia" w:ascii="宋体" w:hAnsi="宋体" w:cs="宋体"/>
          <w:color w:val="auto"/>
          <w:kern w:val="0"/>
          <w:highlight w:val="none"/>
        </w:rPr>
        <w:t>全部或者部分使用未中标人投标文件中的技术成果或技术方案时，需征得其书面同意，并不得擅自复印或提供给第三人。</w:t>
      </w:r>
    </w:p>
    <w:p w14:paraId="63F3752E">
      <w:pPr>
        <w:pStyle w:val="4"/>
        <w:keepNext/>
        <w:keepLines/>
        <w:widowControl w:val="0"/>
        <w:numPr>
          <w:ilvl w:val="0"/>
          <w:numId w:val="0"/>
        </w:numPr>
        <w:autoSpaceDE w:val="0"/>
        <w:autoSpaceDN w:val="0"/>
        <w:spacing w:line="440" w:lineRule="exact"/>
        <w:jc w:val="center"/>
        <w:rPr>
          <w:rFonts w:ascii="宋体" w:hAnsi="宋体" w:eastAsia="宋体" w:cs="宋体"/>
          <w:color w:val="auto"/>
          <w:sz w:val="28"/>
          <w:szCs w:val="28"/>
          <w:highlight w:val="none"/>
        </w:rPr>
      </w:pPr>
      <w:r>
        <w:rPr>
          <w:rFonts w:hint="eastAsia" w:ascii="宋体" w:hAnsi="宋体" w:eastAsia="宋体" w:cs="宋体"/>
          <w:bCs/>
          <w:color w:val="auto"/>
          <w:sz w:val="28"/>
          <w:szCs w:val="28"/>
          <w:highlight w:val="none"/>
          <w:shd w:val="clear" w:color="auto" w:fill="FFFFFF"/>
          <w:lang w:bidi="ar-SA"/>
        </w:rPr>
        <w:t>10．</w:t>
      </w:r>
      <w:r>
        <w:rPr>
          <w:rFonts w:hint="eastAsia" w:ascii="宋体" w:hAnsi="宋体" w:eastAsia="宋体" w:cs="宋体"/>
          <w:color w:val="auto"/>
          <w:sz w:val="28"/>
          <w:szCs w:val="28"/>
          <w:highlight w:val="none"/>
          <w:shd w:val="clear" w:color="auto" w:fill="FFFFFF"/>
        </w:rPr>
        <w:t>同义词</w:t>
      </w:r>
      <w:r>
        <w:rPr>
          <w:rFonts w:hint="eastAsia" w:ascii="宋体" w:hAnsi="宋体" w:eastAsia="宋体" w:cs="宋体"/>
          <w:bCs/>
          <w:color w:val="auto"/>
          <w:sz w:val="28"/>
          <w:szCs w:val="28"/>
          <w:highlight w:val="none"/>
          <w:shd w:val="clear" w:color="auto" w:fill="FFFFFF"/>
          <w:lang w:bidi="ar-SA"/>
        </w:rPr>
        <w:t>语</w:t>
      </w:r>
    </w:p>
    <w:p w14:paraId="581BEAA8">
      <w:pPr>
        <w:adjustRightInd w:val="0"/>
        <w:snapToGrid w:val="0"/>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构成招标文件组成部分的“通用合同条款”、“专用合同条款”和“采购需求”等章节中出现的措辞“发包人”和“承包人”，在招标投标阶段应当分别按“</w:t>
      </w:r>
      <w:r>
        <w:rPr>
          <w:rFonts w:hint="eastAsia" w:ascii="宋体" w:hAnsi="宋体" w:cs="宋体"/>
          <w:color w:val="auto"/>
          <w:kern w:val="0"/>
          <w:highlight w:val="none"/>
          <w:lang w:eastAsia="zh-CN"/>
        </w:rPr>
        <w:t>采购人</w:t>
      </w:r>
      <w:r>
        <w:rPr>
          <w:rFonts w:hint="eastAsia" w:ascii="宋体" w:hAnsi="宋体" w:cs="宋体"/>
          <w:color w:val="auto"/>
          <w:kern w:val="0"/>
          <w:highlight w:val="none"/>
        </w:rPr>
        <w:t>”和“投标人”进行理解。</w:t>
      </w:r>
    </w:p>
    <w:p w14:paraId="4132A083">
      <w:pPr>
        <w:pStyle w:val="4"/>
        <w:keepNext/>
        <w:keepLines/>
        <w:widowControl w:val="0"/>
        <w:numPr>
          <w:ilvl w:val="0"/>
          <w:numId w:val="0"/>
        </w:numPr>
        <w:autoSpaceDE w:val="0"/>
        <w:autoSpaceDN w:val="0"/>
        <w:spacing w:line="440" w:lineRule="exact"/>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shd w:val="clear" w:color="auto" w:fill="FFFFFF"/>
        </w:rPr>
        <w:t xml:space="preserve">监  </w:t>
      </w:r>
      <w:r>
        <w:rPr>
          <w:rFonts w:hint="eastAsia" w:ascii="宋体" w:hAnsi="宋体" w:eastAsia="宋体" w:cs="宋体"/>
          <w:color w:val="auto"/>
          <w:sz w:val="28"/>
          <w:szCs w:val="28"/>
          <w:highlight w:val="none"/>
        </w:rPr>
        <w:t>督</w:t>
      </w:r>
    </w:p>
    <w:p w14:paraId="617DDEE6">
      <w:pPr>
        <w:adjustRightInd w:val="0"/>
        <w:snapToGrid w:val="0"/>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本项目的招标投标活动及其相关当事人应当接受有管辖权的行政监督部门依法实施的监督。</w:t>
      </w:r>
    </w:p>
    <w:p w14:paraId="01B0CE1A">
      <w:pPr>
        <w:pStyle w:val="4"/>
        <w:keepNext/>
        <w:keepLines/>
        <w:widowControl w:val="0"/>
        <w:numPr>
          <w:ilvl w:val="0"/>
          <w:numId w:val="0"/>
        </w:numPr>
        <w:autoSpaceDE w:val="0"/>
        <w:autoSpaceDN w:val="0"/>
        <w:spacing w:line="440" w:lineRule="exact"/>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12．解释权</w:t>
      </w:r>
    </w:p>
    <w:p w14:paraId="3B684241">
      <w:pPr>
        <w:adjustRightInd w:val="0"/>
        <w:snapToGrid w:val="0"/>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cs="宋体"/>
          <w:color w:val="auto"/>
          <w:kern w:val="0"/>
          <w:highlight w:val="none"/>
          <w:lang w:eastAsia="zh-CN"/>
        </w:rPr>
        <w:t>采购人</w:t>
      </w:r>
      <w:r>
        <w:rPr>
          <w:rFonts w:hint="eastAsia" w:ascii="宋体" w:hAnsi="宋体" w:cs="宋体"/>
          <w:color w:val="auto"/>
          <w:kern w:val="0"/>
          <w:highlight w:val="none"/>
        </w:rPr>
        <w:t>负责解释。</w:t>
      </w:r>
    </w:p>
    <w:p w14:paraId="4192CF13">
      <w:pPr>
        <w:pStyle w:val="4"/>
        <w:keepNext/>
        <w:keepLines/>
        <w:widowControl w:val="0"/>
        <w:numPr>
          <w:ilvl w:val="0"/>
          <w:numId w:val="0"/>
        </w:numPr>
        <w:autoSpaceDE w:val="0"/>
        <w:autoSpaceDN w:val="0"/>
        <w:spacing w:line="440" w:lineRule="exact"/>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13．确定中标候选人</w:t>
      </w:r>
    </w:p>
    <w:p w14:paraId="03794A19">
      <w:pPr>
        <w:adjustRightInd w:val="0"/>
        <w:snapToGrid w:val="0"/>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（或</w:t>
      </w:r>
      <w:r>
        <w:rPr>
          <w:rFonts w:hint="eastAsia" w:ascii="宋体" w:hAnsi="宋体" w:cs="宋体"/>
          <w:color w:val="auto"/>
          <w:kern w:val="0"/>
          <w:szCs w:val="21"/>
          <w:highlight w:val="none"/>
          <w:lang w:eastAsia="zh-CN"/>
        </w:rPr>
        <w:t>采购人</w:t>
      </w:r>
      <w:r>
        <w:rPr>
          <w:rFonts w:hint="eastAsia" w:ascii="宋体" w:hAnsi="宋体" w:cs="宋体"/>
          <w:color w:val="auto"/>
          <w:kern w:val="0"/>
          <w:szCs w:val="21"/>
          <w:highlight w:val="none"/>
        </w:rPr>
        <w:t>授权的评标委员会）按照评标委员会推荐中标候选人的顺序确定中标人。</w:t>
      </w:r>
    </w:p>
    <w:p w14:paraId="57CACB8B">
      <w:pPr>
        <w:pStyle w:val="4"/>
        <w:keepNext/>
        <w:keepLines/>
        <w:widowControl w:val="0"/>
        <w:numPr>
          <w:ilvl w:val="0"/>
          <w:numId w:val="0"/>
        </w:numPr>
        <w:autoSpaceDE w:val="0"/>
        <w:autoSpaceDN w:val="0"/>
        <w:spacing w:line="440" w:lineRule="exact"/>
        <w:jc w:val="cente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14．需要补充的其他内容</w:t>
      </w:r>
    </w:p>
    <w:p w14:paraId="243DFB8F">
      <w:pPr>
        <w:pStyle w:val="4"/>
        <w:widowControl w:val="0"/>
        <w:numPr>
          <w:ilvl w:val="0"/>
          <w:numId w:val="0"/>
        </w:num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1、质疑和投诉</w:t>
      </w:r>
    </w:p>
    <w:p w14:paraId="10D7B3BD">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1.1本项目的质疑和投诉行为应遵循《中华人民共和国政府采购法》《中华人民共和国政府采购法实施条例》《政府采购质疑和投诉办法》（财政部令第94号）和其他有关法律法规规定，投标人提出质疑和投诉应当坚持依法依规、诚实信用原则。</w:t>
      </w:r>
    </w:p>
    <w:p w14:paraId="009BF29B">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1.2投标人认为采购文件、采购过程、成交结果使自己的权益受到损害的，可以在知道或者应知其权益受到损害之日起7个工作日内，以书面形式向采购人、采购代理机构提出质疑。投标人须在法定质疑期内一次性提出针对同一采购程序环节的质疑。</w:t>
      </w:r>
    </w:p>
    <w:p w14:paraId="282D864A">
      <w:pPr>
        <w:spacing w:line="440" w:lineRule="exact"/>
        <w:ind w:firstLine="420" w:firstLineChars="200"/>
        <w:jc w:val="left"/>
        <w:rPr>
          <w:rFonts w:ascii="宋体" w:hAnsi="宋体" w:cs="宋体"/>
          <w:color w:val="auto"/>
          <w:highlight w:val="none"/>
        </w:rPr>
      </w:pPr>
      <w:bookmarkStart w:id="75" w:name="_Hlt98215706"/>
      <w:bookmarkEnd w:id="75"/>
      <w:bookmarkStart w:id="76" w:name="_Hlt109472861"/>
      <w:bookmarkEnd w:id="76"/>
      <w:bookmarkStart w:id="77" w:name="_Hlt105494925"/>
      <w:bookmarkEnd w:id="77"/>
      <w:bookmarkStart w:id="78" w:name="_Hlt110048802"/>
      <w:bookmarkEnd w:id="78"/>
      <w:bookmarkStart w:id="79" w:name="_Hlt240864099"/>
      <w:bookmarkEnd w:id="79"/>
      <w:bookmarkStart w:id="80" w:name="_Hlt106009965"/>
      <w:bookmarkEnd w:id="80"/>
      <w:bookmarkStart w:id="81" w:name="_Hlt106081173"/>
      <w:bookmarkEnd w:id="81"/>
      <w:bookmarkStart w:id="82" w:name="_Hlt109633976"/>
      <w:bookmarkEnd w:id="82"/>
      <w:bookmarkStart w:id="83" w:name="_Hlt105496931"/>
      <w:bookmarkEnd w:id="83"/>
      <w:bookmarkStart w:id="84" w:name="_Hlt106077737"/>
      <w:bookmarkEnd w:id="84"/>
      <w:bookmarkStart w:id="85" w:name="_Hlt101849245"/>
      <w:bookmarkEnd w:id="85"/>
      <w:r>
        <w:rPr>
          <w:rFonts w:hint="eastAsia" w:ascii="宋体" w:hAnsi="宋体" w:cs="宋体"/>
          <w:color w:val="auto"/>
          <w:highlight w:val="none"/>
        </w:rPr>
        <w:t xml:space="preserve">1.3质疑函的接收 </w:t>
      </w:r>
    </w:p>
    <w:p w14:paraId="1527BC72">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1.3.1接收质疑函的方式：投标人以书面形式向采购人、采购代理机构提出质疑。</w:t>
      </w:r>
    </w:p>
    <w:p w14:paraId="1872F0DF">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1.3.2采购人、采购代理机构接收质疑函的联系部门、联系电话和通讯地址：详见招标公告。</w:t>
      </w:r>
    </w:p>
    <w:p w14:paraId="1E382CB9">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1.4投标人提出质疑应当提交质疑函和必要的证明材料。质疑函应当包括下列内容：</w:t>
      </w:r>
    </w:p>
    <w:p w14:paraId="40EDBAFC">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1.4.1投标人的姓名或者名称、地址、邮编、联系人及联系电话。</w:t>
      </w:r>
    </w:p>
    <w:p w14:paraId="05434409">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1.4.2质疑项目的名称、编号。</w:t>
      </w:r>
    </w:p>
    <w:p w14:paraId="7EF72FF0">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1.4.3具体、明确的质疑事项和与质疑事项相关的请求。</w:t>
      </w:r>
    </w:p>
    <w:p w14:paraId="762961C9">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1.4.4事实依据。</w:t>
      </w:r>
    </w:p>
    <w:p w14:paraId="431E455B">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1.4.5必要的法律依据。</w:t>
      </w:r>
    </w:p>
    <w:p w14:paraId="08742494">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1.4.6提出质疑的日期。</w:t>
      </w:r>
    </w:p>
    <w:p w14:paraId="16F59608">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投标人为自然人的，应当由本人签字；投标人为法人或者其他组织的，应当由法定代表人、主要负责人，或者其授权代表签字或者盖章，并加盖公章。</w:t>
      </w:r>
    </w:p>
    <w:p w14:paraId="0EB3FCE5">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1.5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40AB0902">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1.6采购人、采购代理机构在收到质疑函后7个工作日内作出答复，并以书面形式通知质疑投标人和其他有关投标人。</w:t>
      </w:r>
    </w:p>
    <w:p w14:paraId="493E0C32">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1.7质疑人对采购人的答复不满意或者采购人未在规定的时间内做出答复的，可以在答复期满后15个工作日内向云南省财政厅政府采购管理处投诉‬‬。</w:t>
      </w:r>
    </w:p>
    <w:p w14:paraId="635E79E5">
      <w:pPr>
        <w:pStyle w:val="4"/>
        <w:widowControl w:val="0"/>
        <w:numPr>
          <w:ilvl w:val="0"/>
          <w:numId w:val="0"/>
        </w:numPr>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2、关于中小企业</w:t>
      </w:r>
    </w:p>
    <w:p w14:paraId="4DBBBB06">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2.1 根据《关于印发〈政府采购促进中小企业发展管理办法〉的通知》（财库[2020]46号）的规定，中小企业（含中型、小型、微型企业，下同）应当同时符合以下条件：（1）符合中小企业划分标准。（2）提供本企业制造的货物、承担的工程或者服务，或者提供其他中小企业制造的货物。本项所称货物不包括使用大型企业注册商标的货物。</w:t>
      </w:r>
    </w:p>
    <w:p w14:paraId="36130F3C">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2.2 本规定所称中小企业划分标准，是指国务院有关部门根据企业从业人员、营业收入、资产总额等指标制定的中小企业划型标准，详见《关于印发中小企业划型标准规定的通知》（工信部 联企业〔2011〕300 号）。</w:t>
      </w:r>
    </w:p>
    <w:p w14:paraId="4691F2F1">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2.3 小型、微型企业提供中型企业制造的货物的，视同为中型企业。</w:t>
      </w:r>
    </w:p>
    <w:p w14:paraId="47B6EF64">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2.4 中小企业提供本企业制造的货物参与投标时，须提供《中小企业声明函》。</w:t>
      </w:r>
    </w:p>
    <w:p w14:paraId="39CA4146">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2.5残疾人福利性单位声明</w:t>
      </w:r>
    </w:p>
    <w:p w14:paraId="5EBB5574">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根据《关于促进残疾人就业政府采购政策的通知》（财库[2017]141 号）的规定，残疾人福利性单位优惠政策，残疾人福利性单位参与本项目投标时，提供《残疾人福利性单位声明函》（参照财库 [2017]141 号中相关格式）并对声明的真实性负责，视同小型、微型企业享受价格扣除等优惠政策。</w:t>
      </w:r>
    </w:p>
    <w:p w14:paraId="730BE377">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2.6关于监狱企业根据《关于政府采购支持监狱企业发展有关问题的通知》（财库〔2014〕68 号）的规定：监狱企业是指由司法部认定的为罪犯、戒毒人员提供生产项目和劳动对象，且全部产权属于司法部监狱</w:t>
      </w:r>
    </w:p>
    <w:p w14:paraId="143171DE">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2.7管理局、戒毒管理局、直属煤矿管理局，各省、自治区、直辖市监狱管理局、戒毒管理局，各地（设 区的市）监狱、强制隔离戒毒所、戒毒康复所，以及新疆生产建设兵团监狱管理局、戒毒管理局的企业。监狱企业视同小型、微型企业，享受评审中价格扣除等政策。监狱企业参加政府采购活动时，应当提供由省级以上监狱管理局、戒毒管理局（含新疆生产建设兵团）出具的属于监狱企业的证明文件。</w:t>
      </w:r>
    </w:p>
    <w:p w14:paraId="78CCA889">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2.8关于节能产品及环境标志产品（本项目不适用）</w:t>
      </w:r>
    </w:p>
    <w:p w14:paraId="0BC7BC89">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（1）根据“财政部 发展改革委 生态环境部 市场监管总局”《关于调整优化节能产品、环境标志产品政府采购执行机制的通知》（财库〔2019〕9号）的规定，依据财政部发展改革委印发《节能产品政府采购品目清单》及财政部 生态环境部印发的《环境标志产品政府采购品目清单》 和认证证书实施政府优先采购和强制采购。</w:t>
      </w:r>
    </w:p>
    <w:p w14:paraId="6FCF8A8E">
      <w:pPr>
        <w:spacing w:line="440" w:lineRule="exact"/>
        <w:ind w:firstLine="420" w:firstLineChars="200"/>
        <w:jc w:val="left"/>
        <w:rPr>
          <w:rFonts w:ascii="宋体" w:hAnsi="宋体" w:cs="宋体"/>
          <w:color w:val="auto"/>
          <w:highlight w:val="none"/>
        </w:rPr>
      </w:pPr>
      <w:r>
        <w:rPr>
          <w:rFonts w:hint="eastAsia" w:ascii="宋体" w:hAnsi="宋体" w:cs="宋体"/>
          <w:color w:val="auto"/>
          <w:highlight w:val="none"/>
        </w:rPr>
        <w:t>（2）投标人应在响应文件中提供产品在《节能产品政府采购品目清单》或《环境标志产品政 府采购品目清单》中的单页复印件一份（复印件需标注出所投产品及型号），和认证结果查询截图，认证机构和获证产品信息可通过中国政府采购网（http://www.ccgp.gov.cn/）查询。</w:t>
      </w:r>
    </w:p>
    <w:p w14:paraId="7AE880AA">
      <w:pPr>
        <w:spacing w:line="440" w:lineRule="exact"/>
        <w:ind w:firstLine="420" w:firstLineChars="200"/>
        <w:jc w:val="left"/>
        <w:rPr>
          <w:rFonts w:ascii="宋体" w:hAnsi="宋体" w:cs="宋体"/>
          <w:color w:val="auto"/>
          <w:szCs w:val="21"/>
          <w:highlight w:val="none"/>
        </w:rPr>
        <w:sectPr>
          <w:pgSz w:w="11906" w:h="16838"/>
          <w:pgMar w:top="1440" w:right="1349" w:bottom="1327" w:left="1349" w:header="850" w:footer="907" w:gutter="0"/>
          <w:pgNumType w:fmt="numberInDash"/>
          <w:cols w:space="0" w:num="1"/>
          <w:rtlGutter w:val="0"/>
          <w:docGrid w:linePitch="312" w:charSpace="0"/>
        </w:sectPr>
      </w:pPr>
      <w:r>
        <w:rPr>
          <w:rFonts w:hint="eastAsia" w:ascii="宋体" w:hAnsi="宋体" w:cs="宋体"/>
          <w:color w:val="auto"/>
          <w:highlight w:val="none"/>
        </w:rPr>
        <w:t>2.9节能产品；环境标志产品。</w:t>
      </w:r>
    </w:p>
    <w:p w14:paraId="362E5AB6">
      <w:pPr>
        <w:pStyle w:val="2"/>
        <w:numPr>
          <w:ilvl w:val="0"/>
          <w:numId w:val="0"/>
        </w:numPr>
        <w:spacing w:before="72" w:after="360"/>
        <w:jc w:val="center"/>
        <w:rPr>
          <w:rFonts w:ascii="宋体" w:hAnsi="宋体" w:cs="宋体"/>
          <w:color w:val="auto"/>
          <w:sz w:val="44"/>
          <w:szCs w:val="44"/>
          <w:highlight w:val="none"/>
          <w:lang w:eastAsia="zh-CN"/>
        </w:rPr>
      </w:pPr>
      <w:bookmarkStart w:id="86" w:name="_Toc522010566"/>
      <w:bookmarkStart w:id="87" w:name="_Toc27986"/>
      <w:r>
        <w:rPr>
          <w:rFonts w:hint="eastAsia" w:ascii="宋体" w:hAnsi="宋体" w:cs="宋体"/>
          <w:color w:val="auto"/>
          <w:sz w:val="44"/>
          <w:szCs w:val="44"/>
          <w:highlight w:val="none"/>
          <w:lang w:eastAsia="zh-CN"/>
        </w:rPr>
        <w:t xml:space="preserve">第三章  </w:t>
      </w:r>
      <w:bookmarkEnd w:id="86"/>
      <w:bookmarkEnd w:id="87"/>
      <w:r>
        <w:rPr>
          <w:rFonts w:hint="eastAsia" w:ascii="宋体" w:hAnsi="宋体" w:cs="宋体"/>
          <w:color w:val="auto"/>
          <w:sz w:val="44"/>
          <w:szCs w:val="44"/>
          <w:highlight w:val="none"/>
          <w:lang w:eastAsia="zh-CN"/>
        </w:rPr>
        <w:t>采购需求</w:t>
      </w:r>
    </w:p>
    <w:p w14:paraId="1A3F48BD">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宋体" w:hAnsi="宋体" w:eastAsia="宋体" w:cs="宋体"/>
          <w:b/>
          <w:bCs/>
          <w:color w:val="auto"/>
          <w:szCs w:val="21"/>
          <w:highlight w:val="none"/>
          <w:lang w:val="en-US" w:eastAsia="zh-CN"/>
        </w:rPr>
      </w:pPr>
      <w:bookmarkStart w:id="88" w:name="_Toc28026"/>
      <w:r>
        <w:rPr>
          <w:rFonts w:hint="eastAsia" w:ascii="宋体" w:hAnsi="宋体" w:eastAsia="宋体" w:cs="宋体"/>
          <w:b/>
          <w:bCs/>
          <w:color w:val="auto"/>
          <w:szCs w:val="21"/>
          <w:highlight w:val="none"/>
          <w:lang w:val="en-US" w:eastAsia="zh-CN"/>
        </w:rPr>
        <w:t>一、主要目标：</w:t>
      </w:r>
    </w:p>
    <w:p w14:paraId="1EF2161B">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逐步建成功能完善、运行规范、基础完备，与全县农业农村</w:t>
      </w:r>
      <w:r>
        <w:rPr>
          <w:rFonts w:hint="default" w:ascii="宋体" w:hAnsi="宋体" w:eastAsia="宋体" w:cs="宋体"/>
          <w:color w:val="auto"/>
          <w:sz w:val="21"/>
          <w:szCs w:val="21"/>
          <w:highlight w:val="none"/>
          <w:lang w:val="en-US" w:eastAsia="zh-CN"/>
        </w:rPr>
        <w:t>现代化发展阶段相适应、与农户风险保障需求相切合，各级各部门分工负责的县乡村农业保险体系。按照“成熟一个品种、开展一个品种”和“试点先行、全面推广”的原则，结合我县农业产业规划布局，积极争取中央、省、市以奖代补支持，大力推进肉牛、乌鸡、竹等优势特色农产品保险，为产业振兴提供风险保障，增强抵御风险能力。</w:t>
      </w:r>
      <w:bookmarkEnd w:id="88"/>
    </w:p>
    <w:p w14:paraId="3E2BA260">
      <w:pPr>
        <w:keepNext w:val="0"/>
        <w:keepLines w:val="0"/>
        <w:pageBreakBefore w:val="0"/>
        <w:widowControl w:val="0"/>
        <w:kinsoku/>
        <w:wordWrap/>
        <w:overflowPunct/>
        <w:topLinePunct w:val="0"/>
        <w:autoSpaceDE/>
        <w:autoSpaceDN/>
        <w:bidi w:val="0"/>
        <w:adjustRightInd/>
        <w:spacing w:line="500" w:lineRule="exact"/>
        <w:textAlignment w:val="auto"/>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二</w:t>
      </w: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保险</w:t>
      </w:r>
      <w:r>
        <w:rPr>
          <w:rFonts w:hint="eastAsia" w:ascii="宋体" w:hAnsi="宋体" w:cs="宋体"/>
          <w:b/>
          <w:bCs/>
          <w:color w:val="auto"/>
          <w:szCs w:val="21"/>
          <w:highlight w:val="none"/>
        </w:rPr>
        <w:t>内容</w:t>
      </w:r>
      <w:r>
        <w:rPr>
          <w:rFonts w:hint="eastAsia" w:ascii="宋体" w:hAnsi="宋体" w:cs="宋体"/>
          <w:b/>
          <w:bCs/>
          <w:color w:val="auto"/>
          <w:szCs w:val="21"/>
          <w:highlight w:val="none"/>
          <w:lang w:eastAsia="zh-CN"/>
        </w:rPr>
        <w:t>：</w:t>
      </w:r>
    </w:p>
    <w:p w14:paraId="60FC00A1">
      <w:pPr>
        <w:keepNext w:val="0"/>
        <w:keepLines w:val="0"/>
        <w:pageBreakBefore w:val="0"/>
        <w:widowControl w:val="0"/>
        <w:kinsoku/>
        <w:wordWrap/>
        <w:overflowPunct/>
        <w:topLinePunct w:val="0"/>
        <w:autoSpaceDE/>
        <w:autoSpaceDN/>
        <w:bidi w:val="0"/>
        <w:adjustRightInd/>
        <w:spacing w:line="500" w:lineRule="exact"/>
        <w:ind w:firstLine="210" w:firstLineChars="100"/>
        <w:textAlignment w:val="auto"/>
        <w:rPr>
          <w:rFonts w:hint="eastAsia" w:ascii="宋体" w:hAnsi="宋体" w:cs="宋体"/>
          <w:color w:val="auto"/>
          <w:szCs w:val="21"/>
          <w:highlight w:val="none"/>
        </w:rPr>
      </w:pPr>
      <w:r>
        <w:rPr>
          <w:rFonts w:hint="eastAsia" w:ascii="宋体" w:hAnsi="宋体" w:cs="宋体"/>
          <w:color w:val="auto"/>
          <w:szCs w:val="21"/>
          <w:highlight w:val="none"/>
        </w:rPr>
        <w:t>（一）保险标的</w:t>
      </w:r>
    </w:p>
    <w:p w14:paraId="70D3D794">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w:t>
      </w:r>
      <w:r>
        <w:rPr>
          <w:rFonts w:hint="eastAsia" w:ascii="宋体" w:hAnsi="宋体" w:cs="宋体"/>
          <w:color w:val="auto"/>
          <w:szCs w:val="21"/>
          <w:highlight w:val="none"/>
        </w:rPr>
        <w:t>投保标的肉牛品种必须在云南省范围内饲养 1 年（含） 以上。</w:t>
      </w:r>
    </w:p>
    <w:p w14:paraId="57EF0558">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w:t>
      </w:r>
      <w:r>
        <w:rPr>
          <w:rFonts w:hint="eastAsia" w:ascii="宋体" w:hAnsi="宋体" w:cs="宋体"/>
          <w:color w:val="auto"/>
          <w:szCs w:val="21"/>
          <w:highlight w:val="none"/>
        </w:rPr>
        <w:t>肉牛蓄龄应在6个月（含）以上，或体重100kg 以上。</w:t>
      </w:r>
    </w:p>
    <w:p w14:paraId="205F8D98">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3、经畜牧兽医部门验明无伤残，无保险责任范围内的疫病， 营养良好，饲养管理正常，能按畜牧防疫部门审定的免疫程序接 种并有记录，且具有能识别身份的</w:t>
      </w:r>
      <w:r>
        <w:rPr>
          <w:rFonts w:hint="eastAsia" w:ascii="宋体" w:hAnsi="宋体" w:cs="宋体"/>
          <w:color w:val="auto"/>
          <w:szCs w:val="21"/>
          <w:highlight w:val="none"/>
          <w:lang w:eastAsia="zh-CN"/>
        </w:rPr>
        <w:t>统一</w:t>
      </w:r>
      <w:r>
        <w:rPr>
          <w:rFonts w:hint="eastAsia" w:ascii="宋体" w:hAnsi="宋体" w:cs="宋体"/>
          <w:color w:val="auto"/>
          <w:szCs w:val="21"/>
          <w:highlight w:val="none"/>
        </w:rPr>
        <w:t>标识。</w:t>
      </w:r>
    </w:p>
    <w:p w14:paraId="58323055">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4、饲养场所及设施符合动物管理卫生防疫规范，且管理制度健全、饲养圈舍卫生、能保证饲养质量。</w:t>
      </w:r>
    </w:p>
    <w:p w14:paraId="2E0CAD06">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5、饲养场所符合肉牛养殖场选址要求，且在当地洪水水位线以上的非蓄洪、非行洪区。</w:t>
      </w:r>
    </w:p>
    <w:p w14:paraId="4CEBFCF8">
      <w:pPr>
        <w:keepNext w:val="0"/>
        <w:keepLines w:val="0"/>
        <w:pageBreakBefore w:val="0"/>
        <w:widowControl w:val="0"/>
        <w:kinsoku/>
        <w:wordWrap/>
        <w:overflowPunct/>
        <w:topLinePunct w:val="0"/>
        <w:autoSpaceDE/>
        <w:autoSpaceDN/>
        <w:bidi w:val="0"/>
        <w:adjustRightInd/>
        <w:spacing w:line="500" w:lineRule="exact"/>
        <w:ind w:firstLine="210" w:firstLineChars="100"/>
        <w:textAlignment w:val="auto"/>
        <w:rPr>
          <w:rFonts w:hint="eastAsia" w:ascii="宋体" w:hAnsi="宋体" w:cs="宋体"/>
          <w:color w:val="auto"/>
          <w:szCs w:val="21"/>
          <w:highlight w:val="none"/>
        </w:rPr>
      </w:pPr>
      <w:r>
        <w:rPr>
          <w:rFonts w:hint="eastAsia" w:ascii="宋体" w:hAnsi="宋体" w:cs="宋体"/>
          <w:color w:val="auto"/>
          <w:szCs w:val="21"/>
          <w:highlight w:val="none"/>
        </w:rPr>
        <w:t>（二）保险责任及责任免除</w:t>
      </w:r>
    </w:p>
    <w:p w14:paraId="50868B51">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保险责任：投保的肉牛（以下简称保险牛）在保险期间内由于下列原因直接造成保险牛在保险单约定的养殖地点死亡，保险人按照本保险合同的约定负责赔偿：</w:t>
      </w:r>
    </w:p>
    <w:p w14:paraId="042DA109">
      <w:pPr>
        <w:keepNext w:val="0"/>
        <w:keepLines w:val="0"/>
        <w:pageBreakBefore w:val="0"/>
        <w:widowControl w:val="0"/>
        <w:numPr>
          <w:ilvl w:val="0"/>
          <w:numId w:val="7"/>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因口蹄疫、布鲁氏菌病、牛结核病、牛焦虫病、炭疽、伪狂犬病、副结核病、牛传染性鼻气管炎、牛出血性败血症、日本血吸虫病等动物疾病导致的投保个体直接死亡；</w:t>
      </w:r>
    </w:p>
    <w:p w14:paraId="2E453996">
      <w:pPr>
        <w:keepNext w:val="0"/>
        <w:keepLines w:val="0"/>
        <w:pageBreakBefore w:val="0"/>
        <w:widowControl w:val="0"/>
        <w:numPr>
          <w:ilvl w:val="0"/>
          <w:numId w:val="7"/>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因火灾、爆炸、暴雨、洪水（政府性蓄洪除外）、风灾、雷击、冰雹、冻灾、泥石流、山体滑坡、地震等自然灾害所导致的投保个体直接死亡；</w:t>
      </w:r>
    </w:p>
    <w:p w14:paraId="5B9B6706">
      <w:pPr>
        <w:keepNext w:val="0"/>
        <w:keepLines w:val="0"/>
        <w:pageBreakBefore w:val="0"/>
        <w:widowControl w:val="0"/>
        <w:numPr>
          <w:ilvl w:val="0"/>
          <w:numId w:val="7"/>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因建筑物倒塌、空中运行物体坠落；难产、意外坠崖等意外事故以及强制扑杀所导致的投保个体直接死亡。</w:t>
      </w:r>
    </w:p>
    <w:p w14:paraId="269C82CF">
      <w:pPr>
        <w:keepNext w:val="0"/>
        <w:keepLines w:val="0"/>
        <w:pageBreakBefore w:val="0"/>
        <w:widowControl w:val="0"/>
        <w:numPr>
          <w:ilvl w:val="0"/>
          <w:numId w:val="7"/>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强制扑杀导致保险标的的死亡，赔偿金额以保险金额扣减政府扑杀补偿金额为限。</w:t>
      </w:r>
    </w:p>
    <w:p w14:paraId="30880F2A">
      <w:pPr>
        <w:keepNext w:val="0"/>
        <w:keepLines w:val="0"/>
        <w:pageBreakBefore w:val="0"/>
        <w:widowControl w:val="0"/>
        <w:kinsoku/>
        <w:wordWrap/>
        <w:overflowPunct/>
        <w:topLinePunct w:val="0"/>
        <w:autoSpaceDE/>
        <w:autoSpaceDN/>
        <w:bidi w:val="0"/>
        <w:adjustRightInd/>
        <w:spacing w:line="500" w:lineRule="exact"/>
        <w:ind w:firstLine="422" w:firstLineChars="200"/>
        <w:textAlignment w:val="auto"/>
        <w:rPr>
          <w:rFonts w:hint="eastAsia" w:ascii="宋体" w:hAnsi="宋体" w:cs="宋体"/>
          <w:b/>
          <w:bCs/>
          <w:color w:val="auto"/>
          <w:szCs w:val="21"/>
          <w:highlight w:val="none"/>
        </w:rPr>
      </w:pPr>
      <w:r>
        <w:rPr>
          <w:rFonts w:hint="eastAsia" w:ascii="宋体" w:hAnsi="宋体" w:cs="宋体"/>
          <w:b/>
          <w:bCs/>
          <w:color w:val="auto"/>
          <w:szCs w:val="21"/>
          <w:highlight w:val="none"/>
        </w:rPr>
        <w:t>责任免除：</w:t>
      </w:r>
    </w:p>
    <w:p w14:paraId="60791BD1">
      <w:pPr>
        <w:keepNext w:val="0"/>
        <w:keepLines w:val="0"/>
        <w:pageBreakBefore w:val="0"/>
        <w:widowControl w:val="0"/>
        <w:numPr>
          <w:ilvl w:val="0"/>
          <w:numId w:val="8"/>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投保人及其家庭成员、被保险人及其家庭成员、投保人或被保险人雇用人员的故意行为，因管理不善导致被盗、走失、 饿死、互斗、淹溺、中暑、中毒。</w:t>
      </w:r>
    </w:p>
    <w:p w14:paraId="43C11FED">
      <w:pPr>
        <w:keepNext w:val="0"/>
        <w:keepLines w:val="0"/>
        <w:pageBreakBefore w:val="0"/>
        <w:widowControl w:val="0"/>
        <w:numPr>
          <w:ilvl w:val="0"/>
          <w:numId w:val="8"/>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保险肉牛在疾病观察期内患有保险责任范围内的疾病记载运输途中的死亡。</w:t>
      </w:r>
    </w:p>
    <w:p w14:paraId="2FEA5B2E">
      <w:pPr>
        <w:keepNext w:val="0"/>
        <w:keepLines w:val="0"/>
        <w:pageBreakBefore w:val="0"/>
        <w:widowControl w:val="0"/>
        <w:numPr>
          <w:ilvl w:val="0"/>
          <w:numId w:val="8"/>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保险肉牛未按免疫程序接种或违反防疫规定接种、发病后不及时治疗所导致的肉牛死亡、未按国家有关规定进行无害化处理。</w:t>
      </w:r>
    </w:p>
    <w:p w14:paraId="62B4C90C">
      <w:pPr>
        <w:keepNext w:val="0"/>
        <w:keepLines w:val="0"/>
        <w:pageBreakBefore w:val="0"/>
        <w:widowControl w:val="0"/>
        <w:numPr>
          <w:ilvl w:val="0"/>
          <w:numId w:val="8"/>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发生保险责任范围内损失后，投保人、被保险人自行处理保险肉牛或无专业技术部门确证死亡的。</w:t>
      </w:r>
    </w:p>
    <w:p w14:paraId="0095B772">
      <w:pPr>
        <w:keepNext w:val="0"/>
        <w:keepLines w:val="0"/>
        <w:pageBreakBefore w:val="0"/>
        <w:widowControl w:val="0"/>
        <w:numPr>
          <w:ilvl w:val="0"/>
          <w:numId w:val="8"/>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发生重大病害或疫病后不采取有效防治措施，致使损失扩大的。</w:t>
      </w:r>
    </w:p>
    <w:p w14:paraId="047F6CEA">
      <w:pPr>
        <w:keepNext w:val="0"/>
        <w:keepLines w:val="0"/>
        <w:pageBreakBefore w:val="0"/>
        <w:widowControl w:val="0"/>
        <w:numPr>
          <w:ilvl w:val="0"/>
          <w:numId w:val="8"/>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保险单中载明的免赔额和其他不属于保险合同责任范围内的损失、费用，保险人也不负责赔偿。</w:t>
      </w:r>
    </w:p>
    <w:p w14:paraId="7F1DA239">
      <w:pPr>
        <w:keepNext w:val="0"/>
        <w:keepLines w:val="0"/>
        <w:pageBreakBefore w:val="0"/>
        <w:widowControl w:val="0"/>
        <w:numPr>
          <w:ilvl w:val="0"/>
          <w:numId w:val="8"/>
        </w:numPr>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因病死亡不能确定无害化处理的，保险人也不负责赔偿。</w:t>
      </w:r>
    </w:p>
    <w:p w14:paraId="6A29CB45">
      <w:pPr>
        <w:keepNext w:val="0"/>
        <w:keepLines w:val="0"/>
        <w:pageBreakBefore w:val="0"/>
        <w:widowControl w:val="0"/>
        <w:kinsoku/>
        <w:wordWrap/>
        <w:overflowPunct/>
        <w:topLinePunct w:val="0"/>
        <w:autoSpaceDE/>
        <w:autoSpaceDN/>
        <w:bidi w:val="0"/>
        <w:adjustRightInd/>
        <w:spacing w:line="500" w:lineRule="exact"/>
        <w:ind w:firstLine="210" w:firstLineChars="1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三</w:t>
      </w:r>
      <w:r>
        <w:rPr>
          <w:rFonts w:hint="eastAsia" w:ascii="宋体" w:hAnsi="宋体" w:cs="宋体"/>
          <w:color w:val="auto"/>
          <w:szCs w:val="21"/>
          <w:highlight w:val="none"/>
        </w:rPr>
        <w:t>）保险期限</w:t>
      </w:r>
    </w:p>
    <w:p w14:paraId="1579B88A">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肉牛养殖保险期限自双方约定的保险责任开始之日起至肉牛出栏之日止，但最长不超过一年。</w:t>
      </w:r>
    </w:p>
    <w:p w14:paraId="26184859">
      <w:pPr>
        <w:keepNext w:val="0"/>
        <w:keepLines w:val="0"/>
        <w:pageBreakBefore w:val="0"/>
        <w:widowControl w:val="0"/>
        <w:kinsoku/>
        <w:wordWrap/>
        <w:overflowPunct/>
        <w:topLinePunct w:val="0"/>
        <w:autoSpaceDE/>
        <w:autoSpaceDN/>
        <w:bidi w:val="0"/>
        <w:adjustRightInd/>
        <w:spacing w:line="500" w:lineRule="exact"/>
        <w:ind w:firstLine="210" w:firstLineChars="1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）赔偿处理</w:t>
      </w:r>
    </w:p>
    <w:p w14:paraId="67FB1465">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保险肉牛发生保险责任范围内的死亡，赔偿比例按照死亡肉牛蓄龄和尸重对应比例孰高者。</w:t>
      </w:r>
    </w:p>
    <w:p w14:paraId="73DBC59F">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1、赔偿金额=∑保险肉牛每头赔偿金额。每头赔偿金额=保险肉牛每头保险金额×保险事故发生时保险肉牛对应蓄龄或始终赔偿比例。</w:t>
      </w:r>
    </w:p>
    <w:tbl>
      <w:tblPr>
        <w:tblStyle w:val="104"/>
        <w:tblW w:w="88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88"/>
        <w:gridCol w:w="3448"/>
        <w:gridCol w:w="1504"/>
      </w:tblGrid>
      <w:tr w14:paraId="226BA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3888" w:type="dxa"/>
            <w:vAlign w:val="top"/>
          </w:tcPr>
          <w:p w14:paraId="4BF3A19A">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蓄龄范围</w:t>
            </w:r>
          </w:p>
        </w:tc>
        <w:tc>
          <w:tcPr>
            <w:tcW w:w="3448" w:type="dxa"/>
            <w:vAlign w:val="top"/>
          </w:tcPr>
          <w:p w14:paraId="07F82AF2">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尸重范围</w:t>
            </w:r>
          </w:p>
        </w:tc>
        <w:tc>
          <w:tcPr>
            <w:tcW w:w="1504" w:type="dxa"/>
            <w:vAlign w:val="top"/>
          </w:tcPr>
          <w:p w14:paraId="3DFFA2A4">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赔偿比例</w:t>
            </w:r>
          </w:p>
        </w:tc>
      </w:tr>
      <w:tr w14:paraId="212F8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888" w:type="dxa"/>
            <w:vAlign w:val="top"/>
          </w:tcPr>
          <w:p w14:paraId="2287CF20">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6 个月（含）—12 个月（不含）</w:t>
            </w:r>
          </w:p>
        </w:tc>
        <w:tc>
          <w:tcPr>
            <w:tcW w:w="3448" w:type="dxa"/>
            <w:vAlign w:val="top"/>
          </w:tcPr>
          <w:p w14:paraId="57A2EF08">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100kg（含）—250kg（不含）</w:t>
            </w:r>
          </w:p>
        </w:tc>
        <w:tc>
          <w:tcPr>
            <w:tcW w:w="1504" w:type="dxa"/>
            <w:vAlign w:val="top"/>
          </w:tcPr>
          <w:p w14:paraId="1E7E12D8">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60%</w:t>
            </w:r>
          </w:p>
        </w:tc>
      </w:tr>
      <w:tr w14:paraId="5330A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3888" w:type="dxa"/>
            <w:vAlign w:val="top"/>
          </w:tcPr>
          <w:p w14:paraId="37222702">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12 个月（含）—18 个月（不含）</w:t>
            </w:r>
          </w:p>
        </w:tc>
        <w:tc>
          <w:tcPr>
            <w:tcW w:w="3448" w:type="dxa"/>
            <w:vAlign w:val="top"/>
          </w:tcPr>
          <w:p w14:paraId="7CCF6596">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250kg（含）—400Kg（不含）</w:t>
            </w:r>
          </w:p>
        </w:tc>
        <w:tc>
          <w:tcPr>
            <w:tcW w:w="1504" w:type="dxa"/>
            <w:vAlign w:val="top"/>
          </w:tcPr>
          <w:p w14:paraId="1340CFCA">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80%</w:t>
            </w:r>
          </w:p>
        </w:tc>
      </w:tr>
      <w:tr w14:paraId="727F60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3888" w:type="dxa"/>
            <w:vAlign w:val="top"/>
          </w:tcPr>
          <w:p w14:paraId="32B92781">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18 个月（含）以上</w:t>
            </w:r>
          </w:p>
        </w:tc>
        <w:tc>
          <w:tcPr>
            <w:tcW w:w="3448" w:type="dxa"/>
            <w:vAlign w:val="top"/>
          </w:tcPr>
          <w:p w14:paraId="252B3D5D">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400Kg（含）以上</w:t>
            </w:r>
          </w:p>
        </w:tc>
        <w:tc>
          <w:tcPr>
            <w:tcW w:w="1504" w:type="dxa"/>
            <w:vAlign w:val="top"/>
          </w:tcPr>
          <w:p w14:paraId="192AF70B">
            <w:pPr>
              <w:keepNext w:val="0"/>
              <w:keepLines w:val="0"/>
              <w:pageBreakBefore w:val="0"/>
              <w:widowControl w:val="0"/>
              <w:kinsoku/>
              <w:wordWrap/>
              <w:overflowPunct/>
              <w:topLinePunct w:val="0"/>
              <w:autoSpaceDE/>
              <w:autoSpaceDN/>
              <w:bidi w:val="0"/>
              <w:adjustRightInd/>
              <w:spacing w:line="500" w:lineRule="exact"/>
              <w:jc w:val="center"/>
              <w:textAlignment w:val="auto"/>
              <w:rPr>
                <w:rFonts w:hint="eastAsia" w:ascii="宋体" w:hAnsi="宋体" w:cs="宋体"/>
                <w:color w:val="auto"/>
                <w:szCs w:val="21"/>
                <w:highlight w:val="none"/>
              </w:rPr>
            </w:pPr>
            <w:r>
              <w:rPr>
                <w:rFonts w:hint="eastAsia" w:ascii="宋体" w:hAnsi="宋体" w:cs="宋体"/>
                <w:color w:val="auto"/>
                <w:szCs w:val="21"/>
                <w:highlight w:val="none"/>
              </w:rPr>
              <w:t>100%</w:t>
            </w:r>
          </w:p>
        </w:tc>
      </w:tr>
    </w:tbl>
    <w:p w14:paraId="6EF8BA91">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2、病死肉牛无害化处理应作为病死肉牛保险理赔的前提条件，不能确定无害化处理的，不予赔偿。当发生流行疫病政府同意扑杀情况：赔偿金额=每头赔偿金额×死亡头数-每头政府扑杀专项补贴金额×死亡头数。</w:t>
      </w:r>
    </w:p>
    <w:p w14:paraId="5626A486">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五</w:t>
      </w:r>
      <w:r>
        <w:rPr>
          <w:rFonts w:hint="eastAsia" w:ascii="宋体" w:hAnsi="宋体" w:cs="宋体"/>
          <w:color w:val="auto"/>
          <w:szCs w:val="21"/>
          <w:highlight w:val="none"/>
        </w:rPr>
        <w:t>）承保、保费拨付及理赔流程</w:t>
      </w:r>
    </w:p>
    <w:p w14:paraId="7D98B21F">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承保流程。为充分保障群众权益，农业保险承保经办机构在充分宣传政策、讲解承保范围、保险责任及赔偿标准，在群众自主自愿的原则下做到应保尽保。由投保人（养殖户）向承保机构提出投保需求申请，承保机构做好投保资料收集、制作分户清单、投保单，经投保人签字后按属地管理原则经村委会核实签章、乡镇人民政府分管领导签章确认、县农业农村局分管领导签字审批后，承保机构向投保人出具保险保单。</w:t>
      </w:r>
    </w:p>
    <w:p w14:paraId="3A9602AC">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2、保费申请及拨付流程。根据《云南省农业保险保费补贴资金管理实施细则》（云财规〔2022 〕19 号）相关规定，在投保人自主缴纳其承担保费的前提下，由农业保险承保经办机构填报《农业保险保费财政补贴资金请拨单》一式三份，附上保单、 发票、分户投保清单，经盐津县农业农村局、县财政部门审核无误后，由农业部门提出资金申请，将保费补贴资金通过国库集中支付给承保机构。</w:t>
      </w:r>
    </w:p>
    <w:p w14:paraId="18594D72">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3、理赔流程</w:t>
      </w:r>
    </w:p>
    <w:p w14:paraId="21FBCD33">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（1）出险报案：被保险人在获悉发生保险事故后，应在 24 小时之内或可能情况下的第一时间拨打承保经办机构报案电话， 报告出险的时间、具体地点和出险原因。</w:t>
      </w:r>
    </w:p>
    <w:p w14:paraId="7A608CCF">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（2）查勘定损：出险后由农业保险承保经办机构开展查勘定损工作。农业保险承保经办机构可根据相关法律规定，邀请农业技术部门或保险事故发生地畜牧兽医员协助开展查勘定损工作。</w:t>
      </w:r>
    </w:p>
    <w:p w14:paraId="73E5834B">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）赔款支付：保险赔款由农业保险承保经办机构直接支付给受灾农户，用于灾后恢复生产。对于损失确定清晰、相关理赔资料收集完备的，农业保险承保经办机构与被保险人达成赔偿协议后 10 日内，履行支付赔偿保险金义务。</w:t>
      </w:r>
    </w:p>
    <w:p w14:paraId="1FF9C073">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六</w:t>
      </w:r>
      <w:r>
        <w:rPr>
          <w:rFonts w:hint="eastAsia" w:ascii="宋体" w:hAnsi="宋体" w:cs="宋体"/>
          <w:color w:val="auto"/>
          <w:szCs w:val="21"/>
          <w:highlight w:val="none"/>
        </w:rPr>
        <w:t>）保险规范</w:t>
      </w:r>
    </w:p>
    <w:p w14:paraId="5FE1AE7C">
      <w:pPr>
        <w:keepNext w:val="0"/>
        <w:keepLines w:val="0"/>
        <w:pageBreakBefore w:val="0"/>
        <w:widowControl w:val="0"/>
        <w:kinsoku/>
        <w:wordWrap/>
        <w:overflowPunct/>
        <w:topLinePunct w:val="0"/>
        <w:autoSpaceDE/>
        <w:autoSpaceDN/>
        <w:bidi w:val="0"/>
        <w:adjustRightIn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农业保险承保经办机构要严格按照《中华人民共和国保险法》和农业保险条例》等法律法规及监管部门要求，规范开展各项业务，切实履行职责，提高保险服务水平；要严格落实“惠民政策、承保情况、理赔结果、服务标准、监管要求”和“承保到户、定损到户、理赔到户”的“五公开、三到户”服务规范。</w:t>
      </w:r>
    </w:p>
    <w:p w14:paraId="159EBD75">
      <w:pPr>
        <w:keepNext w:val="0"/>
        <w:keepLines w:val="0"/>
        <w:pageBreakBefore w:val="0"/>
        <w:widowControl w:val="0"/>
        <w:kinsoku/>
        <w:wordWrap/>
        <w:overflowPunct/>
        <w:topLinePunct w:val="0"/>
        <w:autoSpaceDE/>
        <w:autoSpaceDN/>
        <w:bidi w:val="0"/>
        <w:adjustRightInd/>
        <w:spacing w:line="500" w:lineRule="exact"/>
        <w:textAlignment w:val="auto"/>
        <w:rPr>
          <w:rFonts w:ascii="宋体" w:hAnsi="宋体" w:cs="宋体"/>
          <w:color w:val="auto"/>
          <w:highlight w:val="none"/>
          <w:lang w:bidi="en-US"/>
        </w:rPr>
      </w:pPr>
      <w:r>
        <w:rPr>
          <w:rFonts w:hint="eastAsia" w:ascii="宋体" w:hAnsi="宋体" w:cs="宋体"/>
          <w:color w:val="auto"/>
          <w:szCs w:val="21"/>
          <w:highlight w:val="none"/>
        </w:rPr>
        <w:br w:type="page"/>
      </w:r>
    </w:p>
    <w:p w14:paraId="3DD8D88B">
      <w:pPr>
        <w:pStyle w:val="2"/>
        <w:numPr>
          <w:ilvl w:val="0"/>
          <w:numId w:val="9"/>
        </w:numPr>
        <w:jc w:val="center"/>
        <w:rPr>
          <w:rFonts w:hint="eastAsia" w:ascii="宋体" w:hAnsi="宋体" w:cs="宋体"/>
          <w:color w:val="auto"/>
          <w:sz w:val="44"/>
          <w:szCs w:val="44"/>
          <w:highlight w:val="none"/>
          <w:lang w:eastAsia="zh-CN"/>
        </w:rPr>
      </w:pPr>
      <w:bookmarkStart w:id="89" w:name="_Toc522010567"/>
      <w:bookmarkStart w:id="90" w:name="_Toc30474"/>
      <w:r>
        <w:rPr>
          <w:rFonts w:hint="eastAsia" w:ascii="宋体" w:hAnsi="宋体" w:cs="宋体"/>
          <w:color w:val="auto"/>
          <w:sz w:val="44"/>
          <w:szCs w:val="44"/>
          <w:highlight w:val="none"/>
          <w:lang w:eastAsia="zh-CN"/>
        </w:rPr>
        <w:t>合同主要条款</w:t>
      </w:r>
    </w:p>
    <w:bookmarkEnd w:id="89"/>
    <w:bookmarkEnd w:id="90"/>
    <w:p w14:paraId="1DEC476E">
      <w:pPr>
        <w:spacing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甲乙双方协商签订</w:t>
      </w:r>
      <w:r>
        <w:rPr>
          <w:rFonts w:hint="eastAsia" w:ascii="宋体" w:hAnsi="宋体" w:cs="宋体"/>
          <w:color w:val="auto"/>
          <w:kern w:val="0"/>
          <w:szCs w:val="21"/>
          <w:highlight w:val="none"/>
          <w:lang w:eastAsia="zh-CN"/>
        </w:rPr>
        <w:t>）</w:t>
      </w:r>
    </w:p>
    <w:p w14:paraId="55408EA7">
      <w:pPr>
        <w:rPr>
          <w:color w:val="auto"/>
          <w:highlight w:val="none"/>
        </w:rPr>
      </w:pPr>
    </w:p>
    <w:p w14:paraId="5A149E54">
      <w:pPr>
        <w:pStyle w:val="17"/>
        <w:rPr>
          <w:color w:val="auto"/>
          <w:highlight w:val="none"/>
        </w:rPr>
        <w:sectPr>
          <w:footerReference r:id="rId7" w:type="default"/>
          <w:pgSz w:w="11906" w:h="16838"/>
          <w:pgMar w:top="1440" w:right="1349" w:bottom="1327" w:left="1349" w:header="850" w:footer="907" w:gutter="0"/>
          <w:pgNumType w:fmt="decimal"/>
          <w:cols w:space="0" w:num="1"/>
          <w:rtlGutter w:val="0"/>
          <w:docGrid w:linePitch="312" w:charSpace="0"/>
        </w:sectPr>
      </w:pPr>
    </w:p>
    <w:p w14:paraId="0A7982FD">
      <w:pPr>
        <w:pStyle w:val="2"/>
        <w:numPr>
          <w:ilvl w:val="0"/>
          <w:numId w:val="0"/>
        </w:numPr>
        <w:spacing w:before="72" w:after="360"/>
        <w:ind w:firstLine="420"/>
        <w:jc w:val="center"/>
        <w:rPr>
          <w:color w:val="auto"/>
          <w:highlight w:val="none"/>
          <w:lang w:val="en-US" w:eastAsia="zh-CN"/>
        </w:rPr>
      </w:pPr>
      <w:bookmarkStart w:id="91" w:name="_Toc522010568"/>
      <w:bookmarkStart w:id="92" w:name="_Toc19847"/>
      <w:r>
        <w:rPr>
          <w:rStyle w:val="72"/>
          <w:rFonts w:hint="eastAsia" w:ascii="宋体" w:hAnsi="宋体" w:eastAsia="宋体" w:cs="宋体"/>
          <w:b/>
          <w:smallCaps/>
          <w:color w:val="auto"/>
          <w:sz w:val="44"/>
          <w:szCs w:val="44"/>
          <w:highlight w:val="none"/>
          <w:lang w:eastAsia="zh-CN"/>
        </w:rPr>
        <w:t>第五章</w:t>
      </w:r>
      <w:r>
        <w:rPr>
          <w:rFonts w:hint="eastAsia" w:ascii="宋体" w:hAnsi="宋体" w:cs="宋体"/>
          <w:color w:val="auto"/>
          <w:sz w:val="44"/>
          <w:szCs w:val="44"/>
          <w:highlight w:val="none"/>
          <w:lang w:eastAsia="zh-CN"/>
        </w:rPr>
        <w:t xml:space="preserve"> </w:t>
      </w:r>
      <w:r>
        <w:rPr>
          <w:rStyle w:val="72"/>
          <w:rFonts w:hint="eastAsia" w:ascii="宋体" w:hAnsi="宋体" w:eastAsia="宋体" w:cs="宋体"/>
          <w:b w:val="0"/>
          <w:smallCaps/>
          <w:color w:val="auto"/>
          <w:sz w:val="44"/>
          <w:szCs w:val="44"/>
          <w:highlight w:val="none"/>
          <w:lang w:eastAsia="zh-CN"/>
        </w:rPr>
        <w:t xml:space="preserve"> </w:t>
      </w:r>
      <w:r>
        <w:rPr>
          <w:rFonts w:hint="eastAsia" w:ascii="宋体" w:hAnsi="宋体" w:cs="宋体"/>
          <w:color w:val="auto"/>
          <w:sz w:val="44"/>
          <w:szCs w:val="44"/>
          <w:highlight w:val="none"/>
          <w:lang w:eastAsia="zh-CN"/>
        </w:rPr>
        <w:t>投标文件格式</w:t>
      </w:r>
      <w:bookmarkEnd w:id="91"/>
      <w:bookmarkEnd w:id="92"/>
      <w:bookmarkStart w:id="93" w:name="_Toc241486143"/>
    </w:p>
    <w:p w14:paraId="1107A252">
      <w:pPr>
        <w:bidi w:val="0"/>
        <w:rPr>
          <w:color w:val="auto"/>
          <w:highlight w:val="none"/>
          <w:lang w:val="en-US" w:eastAsia="zh-CN"/>
        </w:rPr>
      </w:pPr>
    </w:p>
    <w:p w14:paraId="62BDE03F">
      <w:pPr>
        <w:bidi w:val="0"/>
        <w:rPr>
          <w:color w:val="auto"/>
          <w:highlight w:val="none"/>
          <w:lang w:val="en-US" w:eastAsia="zh-CN"/>
        </w:rPr>
      </w:pPr>
    </w:p>
    <w:p w14:paraId="17452DF5">
      <w:pPr>
        <w:bidi w:val="0"/>
        <w:rPr>
          <w:color w:val="auto"/>
          <w:highlight w:val="none"/>
          <w:lang w:val="en-US" w:eastAsia="zh-CN"/>
        </w:rPr>
      </w:pPr>
    </w:p>
    <w:p w14:paraId="7B91212D">
      <w:pPr>
        <w:bidi w:val="0"/>
        <w:rPr>
          <w:color w:val="auto"/>
          <w:highlight w:val="none"/>
          <w:lang w:val="en-US" w:eastAsia="zh-CN"/>
        </w:rPr>
      </w:pPr>
    </w:p>
    <w:p w14:paraId="31AD4EBD">
      <w:pPr>
        <w:bidi w:val="0"/>
        <w:rPr>
          <w:color w:val="auto"/>
          <w:highlight w:val="none"/>
          <w:lang w:val="en-US" w:eastAsia="zh-CN"/>
        </w:rPr>
      </w:pPr>
    </w:p>
    <w:p w14:paraId="29D5201B">
      <w:pPr>
        <w:bidi w:val="0"/>
        <w:rPr>
          <w:color w:val="auto"/>
          <w:highlight w:val="none"/>
          <w:lang w:val="en-US" w:eastAsia="zh-CN"/>
        </w:rPr>
      </w:pPr>
    </w:p>
    <w:p w14:paraId="0AE598B2">
      <w:pPr>
        <w:bidi w:val="0"/>
        <w:rPr>
          <w:color w:val="auto"/>
          <w:highlight w:val="none"/>
          <w:lang w:val="en-US" w:eastAsia="zh-CN"/>
        </w:rPr>
      </w:pPr>
    </w:p>
    <w:p w14:paraId="48A979A1">
      <w:pPr>
        <w:bidi w:val="0"/>
        <w:rPr>
          <w:color w:val="auto"/>
          <w:highlight w:val="none"/>
          <w:lang w:val="en-US" w:eastAsia="zh-CN"/>
        </w:rPr>
      </w:pPr>
    </w:p>
    <w:p w14:paraId="09E0EA8D">
      <w:pPr>
        <w:bidi w:val="0"/>
        <w:rPr>
          <w:color w:val="auto"/>
          <w:highlight w:val="none"/>
          <w:lang w:val="en-US" w:eastAsia="zh-CN"/>
        </w:rPr>
      </w:pPr>
    </w:p>
    <w:p w14:paraId="30B3ADD1">
      <w:pPr>
        <w:bidi w:val="0"/>
        <w:rPr>
          <w:color w:val="auto"/>
          <w:highlight w:val="none"/>
          <w:lang w:val="en-US" w:eastAsia="zh-CN"/>
        </w:rPr>
      </w:pPr>
    </w:p>
    <w:p w14:paraId="2F57A1C5">
      <w:pPr>
        <w:bidi w:val="0"/>
        <w:rPr>
          <w:color w:val="auto"/>
          <w:highlight w:val="none"/>
          <w:lang w:val="en-US" w:eastAsia="zh-CN"/>
        </w:rPr>
      </w:pPr>
    </w:p>
    <w:p w14:paraId="404266C4">
      <w:pPr>
        <w:bidi w:val="0"/>
        <w:rPr>
          <w:color w:val="auto"/>
          <w:highlight w:val="none"/>
          <w:lang w:val="en-US" w:eastAsia="zh-CN"/>
        </w:rPr>
      </w:pPr>
    </w:p>
    <w:p w14:paraId="6FBEEBA0">
      <w:pPr>
        <w:bidi w:val="0"/>
        <w:rPr>
          <w:color w:val="auto"/>
          <w:highlight w:val="none"/>
          <w:lang w:val="en-US" w:eastAsia="zh-CN"/>
        </w:rPr>
      </w:pPr>
    </w:p>
    <w:p w14:paraId="2538739D">
      <w:pPr>
        <w:bidi w:val="0"/>
        <w:rPr>
          <w:color w:val="auto"/>
          <w:highlight w:val="none"/>
          <w:lang w:val="en-US" w:eastAsia="zh-CN"/>
        </w:rPr>
      </w:pPr>
    </w:p>
    <w:p w14:paraId="2986957D">
      <w:pPr>
        <w:bidi w:val="0"/>
        <w:rPr>
          <w:color w:val="auto"/>
          <w:highlight w:val="none"/>
          <w:lang w:val="en-US" w:eastAsia="zh-CN"/>
        </w:rPr>
      </w:pPr>
    </w:p>
    <w:p w14:paraId="789D0D49">
      <w:pPr>
        <w:bidi w:val="0"/>
        <w:rPr>
          <w:color w:val="auto"/>
          <w:highlight w:val="none"/>
          <w:lang w:val="en-US" w:eastAsia="zh-CN"/>
        </w:rPr>
      </w:pPr>
    </w:p>
    <w:p w14:paraId="0AAF585D">
      <w:pPr>
        <w:tabs>
          <w:tab w:val="left" w:pos="5575"/>
        </w:tabs>
        <w:bidi w:val="0"/>
        <w:jc w:val="left"/>
        <w:rPr>
          <w:color w:val="auto"/>
          <w:highlight w:val="none"/>
          <w:lang w:val="en-US" w:eastAsia="zh-CN"/>
        </w:rPr>
        <w:sectPr>
          <w:pgSz w:w="11906" w:h="16838"/>
          <w:pgMar w:top="1440" w:right="1349" w:bottom="1327" w:left="1349" w:header="850" w:footer="907" w:gutter="0"/>
          <w:pgNumType w:fmt="decimal"/>
          <w:cols w:space="0" w:num="1"/>
          <w:rtlGutter w:val="0"/>
          <w:docGrid w:linePitch="312" w:charSpace="0"/>
        </w:sectPr>
      </w:pPr>
      <w:r>
        <w:rPr>
          <w:rFonts w:hint="eastAsia"/>
          <w:color w:val="auto"/>
          <w:highlight w:val="none"/>
          <w:lang w:val="en-US" w:eastAsia="zh-CN"/>
        </w:rPr>
        <w:tab/>
      </w:r>
    </w:p>
    <w:p w14:paraId="01C6E7B0">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color w:val="auto"/>
          <w:sz w:val="52"/>
          <w:szCs w:val="52"/>
          <w:highlight w:val="none"/>
          <w:lang w:eastAsia="zh-CN"/>
        </w:rPr>
      </w:pPr>
      <w:r>
        <w:rPr>
          <w:rFonts w:hint="eastAsia" w:ascii="宋体" w:hAnsi="宋体" w:cs="宋体"/>
          <w:b/>
          <w:color w:val="auto"/>
          <w:sz w:val="48"/>
          <w:szCs w:val="48"/>
          <w:highlight w:val="none"/>
          <w:lang w:eastAsia="zh-CN"/>
        </w:rPr>
        <w:t>盐津县2025年地方优势特色农业保险采购（二次）</w:t>
      </w:r>
    </w:p>
    <w:p w14:paraId="72F4F7B0">
      <w:pPr>
        <w:pStyle w:val="11"/>
        <w:ind w:firstLine="0"/>
        <w:jc w:val="center"/>
        <w:rPr>
          <w:color w:val="auto"/>
          <w:highlight w:val="none"/>
        </w:rPr>
      </w:pPr>
    </w:p>
    <w:p w14:paraId="4A893A07">
      <w:pPr>
        <w:spacing w:line="1000" w:lineRule="exact"/>
        <w:jc w:val="center"/>
        <w:rPr>
          <w:rFonts w:ascii="宋体" w:hAnsi="宋体" w:cs="宋体"/>
          <w:b/>
          <w:color w:val="auto"/>
          <w:spacing w:val="78"/>
          <w:sz w:val="52"/>
          <w:szCs w:val="52"/>
          <w:highlight w:val="none"/>
        </w:rPr>
      </w:pPr>
    </w:p>
    <w:p w14:paraId="2772D8DA">
      <w:pPr>
        <w:pStyle w:val="11"/>
        <w:rPr>
          <w:rFonts w:ascii="宋体" w:hAnsi="宋体" w:cs="宋体"/>
          <w:b/>
          <w:color w:val="auto"/>
          <w:spacing w:val="78"/>
          <w:sz w:val="52"/>
          <w:szCs w:val="52"/>
          <w:highlight w:val="none"/>
        </w:rPr>
      </w:pPr>
    </w:p>
    <w:p w14:paraId="5C889A39">
      <w:pPr>
        <w:pStyle w:val="11"/>
        <w:ind w:left="0" w:leftChars="0" w:firstLine="0" w:firstLineChars="0"/>
        <w:rPr>
          <w:rFonts w:ascii="宋体" w:hAnsi="宋体" w:cs="宋体"/>
          <w:b/>
          <w:color w:val="auto"/>
          <w:spacing w:val="78"/>
          <w:sz w:val="52"/>
          <w:szCs w:val="52"/>
          <w:highlight w:val="none"/>
        </w:rPr>
      </w:pPr>
    </w:p>
    <w:p w14:paraId="67910EAE">
      <w:pPr>
        <w:rPr>
          <w:rFonts w:ascii="宋体" w:hAnsi="宋体" w:cs="宋体"/>
          <w:b/>
          <w:color w:val="auto"/>
          <w:spacing w:val="78"/>
          <w:sz w:val="52"/>
          <w:szCs w:val="52"/>
          <w:highlight w:val="none"/>
        </w:rPr>
      </w:pPr>
    </w:p>
    <w:p w14:paraId="2BD3E370">
      <w:pPr>
        <w:pStyle w:val="11"/>
        <w:rPr>
          <w:color w:val="auto"/>
          <w:highlight w:val="none"/>
        </w:rPr>
      </w:pPr>
    </w:p>
    <w:p w14:paraId="07078989">
      <w:pPr>
        <w:spacing w:line="1000" w:lineRule="exact"/>
        <w:jc w:val="center"/>
        <w:rPr>
          <w:rFonts w:ascii="宋体" w:hAnsi="宋体" w:cs="宋体"/>
          <w:b/>
          <w:color w:val="auto"/>
          <w:spacing w:val="78"/>
          <w:sz w:val="84"/>
          <w:szCs w:val="84"/>
          <w:highlight w:val="none"/>
        </w:rPr>
      </w:pPr>
      <w:r>
        <w:rPr>
          <w:rFonts w:hint="eastAsia" w:ascii="宋体" w:hAnsi="宋体" w:cs="宋体"/>
          <w:b/>
          <w:color w:val="auto"/>
          <w:spacing w:val="78"/>
          <w:sz w:val="84"/>
          <w:szCs w:val="84"/>
          <w:highlight w:val="none"/>
        </w:rPr>
        <w:t>投 标 文 件</w:t>
      </w:r>
    </w:p>
    <w:p w14:paraId="7728C633">
      <w:pPr>
        <w:spacing w:line="500" w:lineRule="exact"/>
        <w:jc w:val="center"/>
        <w:rPr>
          <w:rFonts w:ascii="宋体" w:hAnsi="宋体" w:cs="宋体"/>
          <w:b/>
          <w:bCs/>
          <w:color w:val="auto"/>
          <w:sz w:val="36"/>
          <w:highlight w:val="none"/>
        </w:rPr>
      </w:pPr>
    </w:p>
    <w:p w14:paraId="529B1CFC">
      <w:pPr>
        <w:spacing w:line="360" w:lineRule="auto"/>
        <w:ind w:firstLine="264" w:firstLineChars="94"/>
        <w:jc w:val="center"/>
        <w:rPr>
          <w:rFonts w:ascii="宋体" w:hAnsi="宋体" w:cs="宋体"/>
          <w:b/>
          <w:bCs/>
          <w:color w:val="auto"/>
          <w:sz w:val="30"/>
          <w:szCs w:val="30"/>
          <w:highlight w:val="none"/>
        </w:rPr>
      </w:pPr>
      <w:r>
        <w:rPr>
          <w:rFonts w:hint="eastAsia" w:ascii="宋体" w:hAnsi="宋体" w:cs="宋体"/>
          <w:b/>
          <w:bCs/>
          <w:color w:val="auto"/>
          <w:sz w:val="28"/>
          <w:szCs w:val="28"/>
          <w:highlight w:val="none"/>
          <w:lang w:eastAsia="zh-CN"/>
        </w:rPr>
        <w:t>项目编号</w:t>
      </w:r>
      <w:r>
        <w:rPr>
          <w:rFonts w:hint="eastAsia" w:ascii="宋体" w:hAnsi="宋体" w:cs="宋体"/>
          <w:b/>
          <w:bCs/>
          <w:color w:val="auto"/>
          <w:sz w:val="28"/>
          <w:szCs w:val="28"/>
          <w:highlight w:val="none"/>
        </w:rPr>
        <w:t>：</w:t>
      </w:r>
    </w:p>
    <w:p w14:paraId="5132B4DD">
      <w:pPr>
        <w:spacing w:line="360" w:lineRule="auto"/>
        <w:ind w:left="710" w:leftChars="338" w:firstLine="283" w:firstLineChars="94"/>
        <w:jc w:val="left"/>
        <w:rPr>
          <w:rFonts w:ascii="宋体" w:hAnsi="宋体" w:cs="宋体"/>
          <w:b/>
          <w:bCs/>
          <w:color w:val="auto"/>
          <w:sz w:val="30"/>
          <w:szCs w:val="30"/>
          <w:highlight w:val="none"/>
        </w:rPr>
      </w:pPr>
    </w:p>
    <w:p w14:paraId="4B65EC46">
      <w:pPr>
        <w:spacing w:line="360" w:lineRule="auto"/>
        <w:ind w:firstLine="283" w:firstLineChars="88"/>
        <w:rPr>
          <w:rFonts w:ascii="宋体" w:hAnsi="宋体" w:cs="宋体"/>
          <w:b/>
          <w:bCs/>
          <w:color w:val="auto"/>
          <w:sz w:val="32"/>
          <w:szCs w:val="32"/>
          <w:highlight w:val="none"/>
        </w:rPr>
      </w:pPr>
    </w:p>
    <w:p w14:paraId="2ADA8CBC">
      <w:pPr>
        <w:spacing w:line="360" w:lineRule="auto"/>
        <w:ind w:firstLine="283" w:firstLineChars="88"/>
        <w:rPr>
          <w:rFonts w:ascii="宋体" w:hAnsi="宋体" w:cs="宋体"/>
          <w:b/>
          <w:bCs/>
          <w:color w:val="auto"/>
          <w:sz w:val="32"/>
          <w:szCs w:val="32"/>
          <w:highlight w:val="none"/>
        </w:rPr>
      </w:pPr>
    </w:p>
    <w:p w14:paraId="37F838D7">
      <w:pPr>
        <w:pStyle w:val="11"/>
        <w:rPr>
          <w:color w:val="auto"/>
          <w:highlight w:val="none"/>
        </w:rPr>
      </w:pPr>
    </w:p>
    <w:p w14:paraId="772EE224">
      <w:pPr>
        <w:spacing w:line="360" w:lineRule="auto"/>
        <w:ind w:firstLine="283" w:firstLineChars="88"/>
        <w:rPr>
          <w:rFonts w:ascii="宋体" w:hAnsi="宋体" w:cs="宋体"/>
          <w:b/>
          <w:bCs/>
          <w:color w:val="auto"/>
          <w:sz w:val="32"/>
          <w:szCs w:val="32"/>
          <w:highlight w:val="none"/>
        </w:rPr>
      </w:pPr>
    </w:p>
    <w:p w14:paraId="4659C898">
      <w:pPr>
        <w:spacing w:line="360" w:lineRule="auto"/>
        <w:ind w:firstLine="283" w:firstLineChars="88"/>
        <w:rPr>
          <w:rFonts w:ascii="宋体" w:hAnsi="宋体" w:cs="宋体"/>
          <w:b/>
          <w:bCs/>
          <w:color w:val="auto"/>
          <w:sz w:val="32"/>
          <w:szCs w:val="32"/>
          <w:highlight w:val="none"/>
        </w:rPr>
      </w:pPr>
    </w:p>
    <w:p w14:paraId="55DB1BD8">
      <w:pPr>
        <w:spacing w:line="360" w:lineRule="auto"/>
        <w:rPr>
          <w:rFonts w:ascii="宋体" w:hAnsi="宋体" w:cs="宋体"/>
          <w:b/>
          <w:bCs/>
          <w:color w:val="auto"/>
          <w:sz w:val="28"/>
          <w:szCs w:val="28"/>
          <w:highlight w:val="none"/>
        </w:rPr>
      </w:pPr>
    </w:p>
    <w:p w14:paraId="11B83B21">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投  标  人：</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（电子签章）</w:t>
      </w:r>
    </w:p>
    <w:p w14:paraId="1796DE1D">
      <w:pP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法定代表人或其委托代理人：</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（电子签名）</w:t>
      </w:r>
    </w:p>
    <w:p w14:paraId="7CE9DB5A">
      <w:pPr>
        <w:spacing w:line="360" w:lineRule="auto"/>
        <w:rPr>
          <w:rFonts w:ascii="宋体" w:hAnsi="宋体" w:cs="宋体"/>
          <w:b/>
          <w:bCs/>
          <w:color w:val="auto"/>
          <w:sz w:val="36"/>
          <w:highlight w:val="none"/>
        </w:rPr>
      </w:pPr>
      <w:r>
        <w:rPr>
          <w:rFonts w:hint="eastAsia" w:ascii="宋体" w:hAnsi="宋体" w:cs="宋体"/>
          <w:b/>
          <w:bCs/>
          <w:color w:val="auto"/>
          <w:sz w:val="28"/>
          <w:szCs w:val="28"/>
          <w:highlight w:val="none"/>
        </w:rPr>
        <w:t>日      期：</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年</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月</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rPr>
        <w:t>日</w:t>
      </w:r>
    </w:p>
    <w:p w14:paraId="1913E531">
      <w:pPr>
        <w:pStyle w:val="33"/>
        <w:rPr>
          <w:rFonts w:ascii="宋体" w:hAnsi="宋体" w:cs="宋体"/>
          <w:color w:val="auto"/>
          <w:sz w:val="44"/>
          <w:szCs w:val="44"/>
          <w:highlight w:val="none"/>
        </w:rPr>
      </w:pPr>
      <w:r>
        <w:rPr>
          <w:rFonts w:hint="eastAsia" w:ascii="宋体" w:hAnsi="宋体" w:cs="宋体"/>
          <w:color w:val="auto"/>
          <w:szCs w:val="21"/>
          <w:highlight w:val="none"/>
        </w:rPr>
        <w:br w:type="page"/>
      </w:r>
      <w:bookmarkStart w:id="94" w:name="_Toc5838"/>
      <w:bookmarkStart w:id="95" w:name="_Toc522010570"/>
      <w:bookmarkStart w:id="96" w:name="_Toc485218702"/>
      <w:bookmarkStart w:id="97" w:name="_Toc261968371"/>
      <w:bookmarkStart w:id="98" w:name="_Toc198544735"/>
      <w:bookmarkStart w:id="99" w:name="_Toc142200234"/>
      <w:bookmarkStart w:id="100" w:name="_Toc182759328"/>
      <w:r>
        <w:rPr>
          <w:rFonts w:hint="eastAsia" w:ascii="宋体" w:hAnsi="宋体" w:cs="宋体"/>
          <w:color w:val="auto"/>
          <w:sz w:val="44"/>
          <w:szCs w:val="44"/>
          <w:highlight w:val="none"/>
        </w:rPr>
        <w:t>目  录</w:t>
      </w:r>
      <w:bookmarkEnd w:id="94"/>
    </w:p>
    <w:p w14:paraId="1ABE4EA0">
      <w:pPr>
        <w:jc w:val="center"/>
        <w:rPr>
          <w:color w:val="auto"/>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Cs w:val="21"/>
          <w:highlight w:val="none"/>
        </w:rPr>
        <w:t>（格式自拟）</w:t>
      </w:r>
    </w:p>
    <w:bookmarkEnd w:id="95"/>
    <w:bookmarkEnd w:id="96"/>
    <w:p w14:paraId="2B7CF5D9">
      <w:pPr>
        <w:spacing w:line="500" w:lineRule="atLeast"/>
        <w:jc w:val="center"/>
        <w:rPr>
          <w:rFonts w:ascii="宋体" w:hAnsi="宋体" w:cs="宋体"/>
          <w:b/>
          <w:bCs/>
          <w:color w:val="auto"/>
          <w:sz w:val="44"/>
          <w:szCs w:val="44"/>
          <w:highlight w:val="none"/>
          <w:lang w:bidi="en-US"/>
        </w:rPr>
      </w:pPr>
      <w:r>
        <w:rPr>
          <w:rFonts w:hint="eastAsia" w:ascii="宋体" w:hAnsi="宋体" w:cs="宋体"/>
          <w:b/>
          <w:bCs/>
          <w:color w:val="auto"/>
          <w:sz w:val="44"/>
          <w:szCs w:val="44"/>
          <w:highlight w:val="none"/>
          <w:lang w:bidi="en-US"/>
        </w:rPr>
        <w:t>开标（唱标）一览表</w:t>
      </w:r>
    </w:p>
    <w:p w14:paraId="6984EB69">
      <w:pPr>
        <w:pStyle w:val="80"/>
        <w:spacing w:line="360" w:lineRule="exact"/>
        <w:rPr>
          <w:rFonts w:ascii="宋体" w:hAnsi="宋体" w:cs="宋体"/>
          <w:color w:val="auto"/>
          <w:szCs w:val="24"/>
          <w:highlight w:val="none"/>
          <w:lang w:eastAsia="zh-CN"/>
        </w:rPr>
      </w:pPr>
    </w:p>
    <w:p w14:paraId="0CA58ADF">
      <w:pPr>
        <w:pStyle w:val="80"/>
        <w:spacing w:line="500" w:lineRule="exact"/>
        <w:rPr>
          <w:rFonts w:ascii="宋体" w:hAnsi="宋体" w:cs="宋体"/>
          <w:color w:val="auto"/>
          <w:szCs w:val="24"/>
          <w:highlight w:val="none"/>
          <w:lang w:eastAsia="zh-CN"/>
        </w:rPr>
      </w:pPr>
      <w:r>
        <w:rPr>
          <w:rFonts w:hint="eastAsia" w:ascii="宋体" w:hAnsi="宋体" w:cs="宋体"/>
          <w:color w:val="auto"/>
          <w:szCs w:val="24"/>
          <w:highlight w:val="none"/>
          <w:lang w:eastAsia="zh-CN"/>
        </w:rPr>
        <w:t>项目名称：盐津县2025年地方优势特色农业保险采购（二次）</w:t>
      </w:r>
    </w:p>
    <w:p w14:paraId="5E52F9A8">
      <w:pPr>
        <w:pStyle w:val="80"/>
        <w:spacing w:line="500" w:lineRule="exact"/>
        <w:rPr>
          <w:rFonts w:ascii="宋体" w:hAnsi="宋体" w:cs="宋体"/>
          <w:bCs/>
          <w:color w:val="auto"/>
          <w:sz w:val="28"/>
          <w:szCs w:val="28"/>
          <w:highlight w:val="none"/>
          <w:lang w:eastAsia="zh-CN"/>
        </w:rPr>
      </w:pPr>
      <w:r>
        <w:rPr>
          <w:rFonts w:hint="eastAsia" w:ascii="宋体" w:hAnsi="宋体" w:cs="宋体"/>
          <w:color w:val="auto"/>
          <w:szCs w:val="24"/>
          <w:highlight w:val="none"/>
          <w:lang w:eastAsia="zh-CN"/>
        </w:rPr>
        <w:t>项目编号：</w:t>
      </w:r>
    </w:p>
    <w:tbl>
      <w:tblPr>
        <w:tblStyle w:val="35"/>
        <w:tblW w:w="8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570"/>
        <w:gridCol w:w="5930"/>
      </w:tblGrid>
      <w:tr w14:paraId="47C2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jc w:val="center"/>
        </w:trPr>
        <w:tc>
          <w:tcPr>
            <w:tcW w:w="875" w:type="dxa"/>
            <w:tcBorders>
              <w:bottom w:val="single" w:color="auto" w:sz="4" w:space="0"/>
            </w:tcBorders>
            <w:vAlign w:val="center"/>
          </w:tcPr>
          <w:p w14:paraId="4AE81273">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序号</w:t>
            </w:r>
          </w:p>
        </w:tc>
        <w:tc>
          <w:tcPr>
            <w:tcW w:w="1570" w:type="dxa"/>
            <w:tcBorders>
              <w:bottom w:val="single" w:color="auto" w:sz="4" w:space="0"/>
            </w:tcBorders>
            <w:vAlign w:val="center"/>
          </w:tcPr>
          <w:p w14:paraId="72CCD5B0">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项目名称</w:t>
            </w:r>
          </w:p>
        </w:tc>
        <w:tc>
          <w:tcPr>
            <w:tcW w:w="5930" w:type="dxa"/>
            <w:tcBorders>
              <w:bottom w:val="single" w:color="auto" w:sz="4" w:space="0"/>
            </w:tcBorders>
            <w:vAlign w:val="center"/>
          </w:tcPr>
          <w:p w14:paraId="1D81625E">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主要内容</w:t>
            </w:r>
          </w:p>
        </w:tc>
      </w:tr>
      <w:tr w14:paraId="3F0C9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875" w:type="dxa"/>
            <w:tcBorders>
              <w:bottom w:val="single" w:color="auto" w:sz="4" w:space="0"/>
            </w:tcBorders>
            <w:vAlign w:val="center"/>
          </w:tcPr>
          <w:p w14:paraId="41A41814">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1</w:t>
            </w:r>
          </w:p>
        </w:tc>
        <w:tc>
          <w:tcPr>
            <w:tcW w:w="1570" w:type="dxa"/>
            <w:tcBorders>
              <w:bottom w:val="single" w:color="auto" w:sz="4" w:space="0"/>
            </w:tcBorders>
            <w:vAlign w:val="center"/>
          </w:tcPr>
          <w:p w14:paraId="2736E93D">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投标总报价</w:t>
            </w:r>
          </w:p>
        </w:tc>
        <w:tc>
          <w:tcPr>
            <w:tcW w:w="5930" w:type="dxa"/>
            <w:tcBorders>
              <w:bottom w:val="single" w:color="auto" w:sz="4" w:space="0"/>
            </w:tcBorders>
            <w:vAlign w:val="center"/>
          </w:tcPr>
          <w:p w14:paraId="4812ACB7">
            <w:pPr>
              <w:keepNext w:val="0"/>
              <w:keepLines w:val="0"/>
              <w:suppressLineNumbers w:val="0"/>
              <w:spacing w:before="0" w:beforeAutospacing="0" w:after="0" w:afterAutospacing="0" w:line="440" w:lineRule="exact"/>
              <w:ind w:left="0" w:right="0" w:firstLine="420" w:firstLineChars="200"/>
              <w:jc w:val="left"/>
              <w:rPr>
                <w:rFonts w:hint="default"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tc>
      </w:tr>
      <w:tr w14:paraId="77248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5" w:type="dxa"/>
            <w:vAlign w:val="center"/>
          </w:tcPr>
          <w:p w14:paraId="7293B8F1">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2</w:t>
            </w:r>
          </w:p>
        </w:tc>
        <w:tc>
          <w:tcPr>
            <w:tcW w:w="1570" w:type="dxa"/>
            <w:vAlign w:val="center"/>
          </w:tcPr>
          <w:p w14:paraId="23C4653F">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服务期限</w:t>
            </w:r>
          </w:p>
        </w:tc>
        <w:tc>
          <w:tcPr>
            <w:tcW w:w="5930" w:type="dxa"/>
            <w:vAlign w:val="center"/>
          </w:tcPr>
          <w:p w14:paraId="7ABD9563">
            <w:pPr>
              <w:keepNext w:val="0"/>
              <w:keepLines w:val="0"/>
              <w:suppressLineNumbers w:val="0"/>
              <w:spacing w:before="0" w:beforeAutospacing="0" w:after="0" w:afterAutospacing="0" w:line="440" w:lineRule="exact"/>
              <w:ind w:left="0" w:right="0" w:firstLine="420" w:firstLineChars="200"/>
              <w:jc w:val="center"/>
              <w:rPr>
                <w:rFonts w:hint="default" w:ascii="宋体" w:hAnsi="宋体" w:cs="宋体"/>
                <w:bCs/>
                <w:color w:val="auto"/>
                <w:szCs w:val="21"/>
                <w:highlight w:val="none"/>
              </w:rPr>
            </w:pPr>
          </w:p>
        </w:tc>
      </w:tr>
      <w:tr w14:paraId="135A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5" w:type="dxa"/>
            <w:vAlign w:val="center"/>
          </w:tcPr>
          <w:p w14:paraId="2435BB8D">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3</w:t>
            </w:r>
          </w:p>
        </w:tc>
        <w:tc>
          <w:tcPr>
            <w:tcW w:w="1570" w:type="dxa"/>
            <w:vAlign w:val="center"/>
          </w:tcPr>
          <w:p w14:paraId="0BE1BF7A">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项目负责人</w:t>
            </w:r>
          </w:p>
        </w:tc>
        <w:tc>
          <w:tcPr>
            <w:tcW w:w="5930" w:type="dxa"/>
            <w:vAlign w:val="center"/>
          </w:tcPr>
          <w:p w14:paraId="49C864CB">
            <w:pPr>
              <w:keepNext w:val="0"/>
              <w:keepLines w:val="0"/>
              <w:suppressLineNumbers w:val="0"/>
              <w:spacing w:before="0" w:beforeAutospacing="0" w:after="0" w:afterAutospacing="0" w:line="440" w:lineRule="exact"/>
              <w:ind w:left="0" w:right="0" w:firstLine="420" w:firstLineChars="200"/>
              <w:jc w:val="center"/>
              <w:rPr>
                <w:rFonts w:hint="default" w:ascii="宋体" w:hAnsi="宋体" w:cs="宋体"/>
                <w:bCs/>
                <w:color w:val="auto"/>
                <w:szCs w:val="21"/>
                <w:highlight w:val="none"/>
              </w:rPr>
            </w:pPr>
          </w:p>
        </w:tc>
      </w:tr>
      <w:tr w14:paraId="5F129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75" w:type="dxa"/>
            <w:vAlign w:val="center"/>
          </w:tcPr>
          <w:p w14:paraId="3134F57D">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4</w:t>
            </w:r>
          </w:p>
        </w:tc>
        <w:tc>
          <w:tcPr>
            <w:tcW w:w="1570" w:type="dxa"/>
            <w:vAlign w:val="center"/>
          </w:tcPr>
          <w:p w14:paraId="1732CD53">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服务承诺</w:t>
            </w:r>
          </w:p>
        </w:tc>
        <w:tc>
          <w:tcPr>
            <w:tcW w:w="5930" w:type="dxa"/>
            <w:vAlign w:val="center"/>
          </w:tcPr>
          <w:p w14:paraId="0D119C2C">
            <w:pPr>
              <w:keepNext w:val="0"/>
              <w:keepLines w:val="0"/>
              <w:suppressLineNumbers w:val="0"/>
              <w:spacing w:before="0" w:beforeAutospacing="0" w:after="0" w:afterAutospacing="0" w:line="440" w:lineRule="exact"/>
              <w:ind w:left="0" w:right="0" w:firstLine="420" w:firstLineChars="200"/>
              <w:jc w:val="center"/>
              <w:rPr>
                <w:rFonts w:hint="default" w:ascii="宋体" w:hAnsi="宋体" w:cs="宋体"/>
                <w:bCs/>
                <w:color w:val="auto"/>
                <w:szCs w:val="21"/>
                <w:highlight w:val="none"/>
              </w:rPr>
            </w:pPr>
          </w:p>
        </w:tc>
      </w:tr>
      <w:tr w14:paraId="114CB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875" w:type="dxa"/>
            <w:vAlign w:val="center"/>
          </w:tcPr>
          <w:p w14:paraId="0130FD48">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5</w:t>
            </w:r>
          </w:p>
        </w:tc>
        <w:tc>
          <w:tcPr>
            <w:tcW w:w="1570" w:type="dxa"/>
            <w:vAlign w:val="center"/>
          </w:tcPr>
          <w:p w14:paraId="17D7C34E">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备  注</w:t>
            </w:r>
          </w:p>
        </w:tc>
        <w:tc>
          <w:tcPr>
            <w:tcW w:w="5930" w:type="dxa"/>
            <w:vAlign w:val="center"/>
          </w:tcPr>
          <w:p w14:paraId="33075F6B">
            <w:pPr>
              <w:keepNext w:val="0"/>
              <w:keepLines w:val="0"/>
              <w:suppressLineNumbers w:val="0"/>
              <w:spacing w:before="0" w:beforeAutospacing="0" w:after="0" w:afterAutospacing="0" w:line="440" w:lineRule="exact"/>
              <w:ind w:left="0" w:right="0" w:firstLine="420" w:firstLineChars="200"/>
              <w:jc w:val="left"/>
              <w:rPr>
                <w:rFonts w:hint="default" w:ascii="宋体" w:hAnsi="宋体" w:cs="宋体"/>
                <w:bCs/>
                <w:color w:val="auto"/>
                <w:szCs w:val="21"/>
                <w:highlight w:val="none"/>
              </w:rPr>
            </w:pPr>
          </w:p>
        </w:tc>
      </w:tr>
    </w:tbl>
    <w:p w14:paraId="233745F3">
      <w:pPr>
        <w:pStyle w:val="80"/>
        <w:spacing w:line="600" w:lineRule="exact"/>
        <w:rPr>
          <w:rFonts w:ascii="宋体" w:hAnsi="宋体" w:cs="宋体"/>
          <w:b/>
          <w:color w:val="auto"/>
          <w:sz w:val="28"/>
          <w:szCs w:val="28"/>
          <w:highlight w:val="none"/>
          <w:lang w:eastAsia="zh-CN"/>
        </w:rPr>
      </w:pPr>
    </w:p>
    <w:p w14:paraId="3AA058A7">
      <w:pPr>
        <w:spacing w:line="440" w:lineRule="exact"/>
        <w:jc w:val="left"/>
        <w:rPr>
          <w:rFonts w:ascii="宋体" w:hAnsi="宋体" w:cs="宋体"/>
          <w:color w:val="auto"/>
          <w:szCs w:val="21"/>
          <w:highlight w:val="none"/>
        </w:rPr>
      </w:pPr>
    </w:p>
    <w:p w14:paraId="515D6B6B">
      <w:pPr>
        <w:spacing w:line="440" w:lineRule="exact"/>
        <w:jc w:val="right"/>
        <w:rPr>
          <w:rFonts w:ascii="宋体" w:hAnsi="宋体" w:cs="宋体"/>
          <w:color w:val="auto"/>
          <w:szCs w:val="21"/>
          <w:highlight w:val="none"/>
        </w:rPr>
      </w:pPr>
    </w:p>
    <w:p w14:paraId="6AD2F8A8">
      <w:pPr>
        <w:spacing w:line="440" w:lineRule="exact"/>
        <w:jc w:val="right"/>
        <w:rPr>
          <w:rFonts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（电子签章）</w:t>
      </w:r>
    </w:p>
    <w:p w14:paraId="013A81D5">
      <w:pPr>
        <w:spacing w:line="440" w:lineRule="exact"/>
        <w:jc w:val="right"/>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（电子签名）</w:t>
      </w:r>
    </w:p>
    <w:p w14:paraId="594135F8">
      <w:pPr>
        <w:pStyle w:val="11"/>
        <w:adjustRightInd/>
        <w:spacing w:line="440" w:lineRule="exact"/>
        <w:ind w:firstLine="0"/>
        <w:jc w:val="right"/>
        <w:rPr>
          <w:color w:val="auto"/>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bookmarkEnd w:id="97"/>
    <w:bookmarkEnd w:id="98"/>
    <w:bookmarkEnd w:id="99"/>
    <w:bookmarkEnd w:id="100"/>
    <w:p w14:paraId="6B1579A8">
      <w:pPr>
        <w:spacing w:line="440" w:lineRule="exact"/>
        <w:jc w:val="center"/>
        <w:rPr>
          <w:rFonts w:ascii="宋体" w:hAnsi="宋体" w:cs="宋体"/>
          <w:b/>
          <w:bCs/>
          <w:color w:val="auto"/>
          <w:sz w:val="36"/>
          <w:highlight w:val="none"/>
        </w:rPr>
      </w:pPr>
      <w:r>
        <w:rPr>
          <w:rFonts w:hint="eastAsia" w:ascii="宋体" w:hAnsi="宋体" w:cs="宋体"/>
          <w:b/>
          <w:bCs/>
          <w:color w:val="auto"/>
          <w:sz w:val="28"/>
          <w:szCs w:val="28"/>
          <w:highlight w:val="none"/>
        </w:rPr>
        <w:t>一、投标函</w:t>
      </w:r>
    </w:p>
    <w:p w14:paraId="5A6B77B3">
      <w:pPr>
        <w:spacing w:line="440" w:lineRule="exact"/>
        <w:jc w:val="center"/>
        <w:rPr>
          <w:rFonts w:ascii="宋体" w:hAnsi="宋体" w:cs="宋体"/>
          <w:b/>
          <w:bCs/>
          <w:color w:val="auto"/>
          <w:sz w:val="36"/>
          <w:highlight w:val="none"/>
        </w:rPr>
      </w:pPr>
    </w:p>
    <w:p w14:paraId="68D2D42F">
      <w:pPr>
        <w:pStyle w:val="30"/>
        <w:spacing w:after="0" w:line="500" w:lineRule="atLeast"/>
        <w:jc w:val="left"/>
        <w:rPr>
          <w:rFonts w:ascii="宋体" w:hAnsi="宋体" w:cs="宋体"/>
          <w:b/>
          <w:color w:val="auto"/>
          <w:sz w:val="24"/>
          <w:highlight w:val="none"/>
        </w:rPr>
      </w:pPr>
      <w:r>
        <w:rPr>
          <w:rFonts w:hint="eastAsia" w:ascii="宋体" w:hAnsi="宋体" w:cs="宋体"/>
          <w:b/>
          <w:color w:val="auto"/>
          <w:szCs w:val="21"/>
          <w:highlight w:val="none"/>
        </w:rPr>
        <w:t>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eastAsia="zh-CN"/>
        </w:rPr>
        <w:t>采购人</w:t>
      </w:r>
      <w:r>
        <w:rPr>
          <w:rFonts w:hint="eastAsia" w:ascii="宋体" w:hAnsi="宋体" w:cs="宋体"/>
          <w:bCs/>
          <w:color w:val="auto"/>
          <w:szCs w:val="21"/>
          <w:highlight w:val="none"/>
          <w:u w:val="single"/>
        </w:rPr>
        <w:t>）</w:t>
      </w:r>
      <w:r>
        <w:rPr>
          <w:rFonts w:hint="eastAsia" w:ascii="宋体" w:hAnsi="宋体" w:cs="宋体"/>
          <w:b/>
          <w:color w:val="auto"/>
          <w:sz w:val="24"/>
          <w:highlight w:val="none"/>
        </w:rPr>
        <w:t xml:space="preserve"> </w:t>
      </w:r>
    </w:p>
    <w:p w14:paraId="369638BA">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1、我方已仔细研究了</w:t>
      </w:r>
      <w:r>
        <w:rPr>
          <w:rFonts w:hint="eastAsia" w:ascii="宋体" w:hAnsi="宋体" w:cs="宋体"/>
          <w:color w:val="auto"/>
          <w:szCs w:val="21"/>
          <w:highlight w:val="none"/>
          <w:lang w:eastAsia="zh-CN"/>
        </w:rPr>
        <w:t>盐津县农业农村局</w:t>
      </w:r>
      <w:r>
        <w:rPr>
          <w:rFonts w:hint="eastAsia" w:ascii="宋体" w:hAnsi="宋体" w:cs="宋体"/>
          <w:color w:val="auto"/>
          <w:szCs w:val="21"/>
          <w:highlight w:val="none"/>
          <w:u w:val="single"/>
        </w:rPr>
        <w:t xml:space="preserve">            （项目名称）</w:t>
      </w:r>
      <w:r>
        <w:rPr>
          <w:rFonts w:hint="eastAsia" w:ascii="宋体" w:hAnsi="宋体" w:cs="宋体"/>
          <w:color w:val="auto"/>
          <w:szCs w:val="21"/>
          <w:highlight w:val="none"/>
        </w:rPr>
        <w:t>招标文件的全部内容，理解并同意按招标文件规定的方式进行投标，对本项目进行投标，投标报价为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），本报价包括完成本次采购项目所包含的全部内容。</w:t>
      </w:r>
    </w:p>
    <w:p w14:paraId="5DAD9AD2">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2、我方承诺已经具备《中华人民共和国政府采购法》中规定的参加政府采购活动的投标人应当具备的条件：</w:t>
      </w:r>
    </w:p>
    <w:p w14:paraId="5EFE54C8">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（1）具有独立承担民事责任的能力；</w:t>
      </w:r>
    </w:p>
    <w:p w14:paraId="2CED6614">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（2）具有良好的商业信誉和健全的财务会计制度；</w:t>
      </w:r>
    </w:p>
    <w:p w14:paraId="43098B3A">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（3）具有履行合同所必需的设备和专业技术能力；</w:t>
      </w:r>
    </w:p>
    <w:p w14:paraId="11A67FC6">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（4）有依法缴纳税收和社会保障资金的良好记录；</w:t>
      </w:r>
    </w:p>
    <w:p w14:paraId="4136C857">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（5）参加此项采购活动前三年内，在经营活动中没有重大违法记录；</w:t>
      </w:r>
    </w:p>
    <w:p w14:paraId="2FE2EEAD">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（6）法律、行政法规规定的其他条件。</w:t>
      </w:r>
    </w:p>
    <w:p w14:paraId="5507738A">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3、根据招标文件要求缴纳投标保证金。</w:t>
      </w:r>
    </w:p>
    <w:p w14:paraId="005B7141">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4、本投标有效期为自开标日起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个日历天，在规定的开标时间后，投标人保证遵守招标文件中有关保证金的规定。</w:t>
      </w:r>
    </w:p>
    <w:p w14:paraId="3867EAD2">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5、我方承诺在招标文件规定的投标有效期内不撤销投标文件。</w:t>
      </w:r>
    </w:p>
    <w:p w14:paraId="0BFEB44E">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6、如我方中标，我方承诺：</w:t>
      </w:r>
    </w:p>
    <w:p w14:paraId="6B9EC90F">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（1）在收到中标通知书后，在中标通知书规定的期限内与你方签订合同；</w:t>
      </w:r>
    </w:p>
    <w:p w14:paraId="1694694E">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（2）在签订合同时不向你方提出附加条件；</w:t>
      </w:r>
    </w:p>
    <w:p w14:paraId="147A2E01">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（3）按照招标文件要求提交履约保证金；</w:t>
      </w:r>
    </w:p>
    <w:p w14:paraId="6F44AD4B">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（4）在合同约定的期限内完成合同规定的全部义务。</w:t>
      </w:r>
    </w:p>
    <w:p w14:paraId="7C50D6F2">
      <w:pPr>
        <w:pStyle w:val="30"/>
        <w:spacing w:after="0"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7、我方在此声明，所递交的投标文件及有关资料内容完整、真实和准确，且不存在第二章“投标人须知”第 1.4.3 项规定的任何一种情形。</w:t>
      </w:r>
    </w:p>
    <w:p w14:paraId="757F9F83">
      <w:pPr>
        <w:spacing w:line="440" w:lineRule="exact"/>
        <w:ind w:firstLine="420" w:firstLineChars="200"/>
        <w:jc w:val="left"/>
        <w:rPr>
          <w:rFonts w:ascii="宋体" w:hAnsi="宋体" w:cs="宋体"/>
          <w:color w:val="auto"/>
          <w:sz w:val="24"/>
          <w:highlight w:val="none"/>
        </w:rPr>
      </w:pPr>
      <w:r>
        <w:rPr>
          <w:rFonts w:hint="eastAsia" w:ascii="宋体" w:hAnsi="宋体" w:cs="宋体"/>
          <w:color w:val="auto"/>
          <w:szCs w:val="21"/>
          <w:highlight w:val="none"/>
        </w:rPr>
        <w:t>8、我方承诺：在参加本项目的采购活动中，我方将严格遵守《中华人民共和国政府采购法》的有关规定，若有下列情形之一，将被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1A6D651">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（1）提供虚假材料谋取中标、成交的；</w:t>
      </w:r>
    </w:p>
    <w:p w14:paraId="2733FB26">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（2）采取不正当手段诋毁、排挤其他投标人的；</w:t>
      </w:r>
    </w:p>
    <w:p w14:paraId="74EDA255">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（3）与</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、其他投标人或者</w:t>
      </w:r>
      <w:r>
        <w:rPr>
          <w:rFonts w:hint="eastAsia" w:ascii="宋体" w:hAnsi="宋体" w:cs="宋体"/>
          <w:color w:val="auto"/>
          <w:szCs w:val="21"/>
          <w:highlight w:val="none"/>
          <w:lang w:eastAsia="zh-CN"/>
        </w:rPr>
        <w:t>采购代理机构</w:t>
      </w:r>
      <w:r>
        <w:rPr>
          <w:rFonts w:hint="eastAsia" w:ascii="宋体" w:hAnsi="宋体" w:cs="宋体"/>
          <w:color w:val="auto"/>
          <w:szCs w:val="21"/>
          <w:highlight w:val="none"/>
        </w:rPr>
        <w:t>恶意串通的；</w:t>
      </w:r>
    </w:p>
    <w:p w14:paraId="2FE2FDC4">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（4）向</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w:t>
      </w:r>
      <w:r>
        <w:rPr>
          <w:rFonts w:hint="eastAsia" w:ascii="宋体" w:hAnsi="宋体" w:cs="宋体"/>
          <w:color w:val="auto"/>
          <w:szCs w:val="21"/>
          <w:highlight w:val="none"/>
          <w:lang w:eastAsia="zh-CN"/>
        </w:rPr>
        <w:t>采购代理机构</w:t>
      </w:r>
      <w:r>
        <w:rPr>
          <w:rFonts w:hint="eastAsia" w:ascii="宋体" w:hAnsi="宋体" w:cs="宋体"/>
          <w:color w:val="auto"/>
          <w:szCs w:val="21"/>
          <w:highlight w:val="none"/>
        </w:rPr>
        <w:t>行贿或者提供其他不正当利益的；</w:t>
      </w:r>
    </w:p>
    <w:p w14:paraId="0D8FE32E">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（5）在招标采购过程中与</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进行协商谈判的；</w:t>
      </w:r>
    </w:p>
    <w:p w14:paraId="47D01069">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（6）拒绝有关部门监督检查或者提供虚假情况的。</w:t>
      </w:r>
    </w:p>
    <w:p w14:paraId="3EAD2F54">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（7）理解并接受招标文件全部条款，如不中标，不作任何恶意投诉。</w:t>
      </w:r>
    </w:p>
    <w:p w14:paraId="2E8B67FF">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（8）我方理解，最低报价不是中标的唯一条件。</w:t>
      </w:r>
    </w:p>
    <w:p w14:paraId="66BBF0C8">
      <w:pPr>
        <w:tabs>
          <w:tab w:val="left" w:pos="0"/>
        </w:tabs>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9、保证遵守招标文件中的有关规定。</w:t>
      </w:r>
    </w:p>
    <w:p w14:paraId="28959D3B">
      <w:pPr>
        <w:tabs>
          <w:tab w:val="left" w:pos="0"/>
        </w:tabs>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10、保证严格执行双方所签的采购合同，并承担合同规定的责任义务。</w:t>
      </w:r>
    </w:p>
    <w:p w14:paraId="471D4ED3">
      <w:pPr>
        <w:pStyle w:val="15"/>
        <w:autoSpaceDE w:val="0"/>
        <w:autoSpaceDN w:val="0"/>
        <w:spacing w:line="440" w:lineRule="exact"/>
        <w:ind w:firstLine="420" w:firstLineChars="200"/>
        <w:jc w:val="left"/>
        <w:rPr>
          <w:rFonts w:ascii="宋体" w:hAnsi="宋体" w:cs="宋体"/>
          <w:color w:val="auto"/>
          <w:sz w:val="21"/>
          <w:szCs w:val="21"/>
          <w:highlight w:val="none"/>
        </w:rPr>
      </w:pPr>
      <w:r>
        <w:rPr>
          <w:rFonts w:hint="eastAsia" w:ascii="宋体" w:hAnsi="宋体" w:cs="宋体"/>
          <w:color w:val="auto"/>
          <w:sz w:val="21"/>
          <w:szCs w:val="21"/>
          <w:highlight w:val="none"/>
        </w:rPr>
        <w:t>11、愿意向贵方提供任何与招标有关的资料、情况和技术资料。</w:t>
      </w:r>
    </w:p>
    <w:p w14:paraId="374D559F">
      <w:pPr>
        <w:pStyle w:val="15"/>
        <w:autoSpaceDE w:val="0"/>
        <w:autoSpaceDN w:val="0"/>
        <w:spacing w:line="440" w:lineRule="exact"/>
        <w:jc w:val="left"/>
        <w:rPr>
          <w:rFonts w:ascii="宋体" w:hAnsi="宋体" w:cs="宋体"/>
          <w:color w:val="auto"/>
          <w:sz w:val="21"/>
          <w:szCs w:val="21"/>
          <w:highlight w:val="none"/>
          <w:shd w:val="clear" w:color="auto" w:fill="FFFFFF"/>
        </w:rPr>
      </w:pPr>
    </w:p>
    <w:p w14:paraId="2C939258">
      <w:pPr>
        <w:pStyle w:val="15"/>
        <w:autoSpaceDE w:val="0"/>
        <w:autoSpaceDN w:val="0"/>
        <w:spacing w:line="440" w:lineRule="exact"/>
        <w:jc w:val="left"/>
        <w:rPr>
          <w:rFonts w:ascii="宋体" w:hAnsi="宋体" w:cs="宋体"/>
          <w:color w:val="auto"/>
          <w:sz w:val="21"/>
          <w:szCs w:val="21"/>
          <w:highlight w:val="none"/>
          <w:shd w:val="clear" w:color="auto" w:fill="FFFFFF"/>
        </w:rPr>
      </w:pPr>
    </w:p>
    <w:p w14:paraId="785E0297">
      <w:pPr>
        <w:pStyle w:val="15"/>
        <w:autoSpaceDE w:val="0"/>
        <w:autoSpaceDN w:val="0"/>
        <w:spacing w:line="440" w:lineRule="exact"/>
        <w:jc w:val="left"/>
        <w:rPr>
          <w:rFonts w:ascii="宋体" w:hAnsi="宋体" w:cs="宋体"/>
          <w:color w:val="auto"/>
          <w:sz w:val="21"/>
          <w:szCs w:val="21"/>
          <w:highlight w:val="none"/>
          <w:shd w:val="clear" w:color="auto" w:fill="FFFFFF"/>
        </w:rPr>
      </w:pPr>
    </w:p>
    <w:p w14:paraId="33C2E8B0">
      <w:pPr>
        <w:pStyle w:val="15"/>
        <w:autoSpaceDE w:val="0"/>
        <w:autoSpaceDN w:val="0"/>
        <w:spacing w:line="440" w:lineRule="exact"/>
        <w:jc w:val="left"/>
        <w:rPr>
          <w:rFonts w:ascii="宋体" w:hAnsi="宋体" w:cs="宋体"/>
          <w:color w:val="auto"/>
          <w:sz w:val="21"/>
          <w:szCs w:val="21"/>
          <w:highlight w:val="none"/>
          <w:shd w:val="clear" w:color="auto" w:fill="FFFFFF"/>
        </w:rPr>
      </w:pPr>
    </w:p>
    <w:p w14:paraId="63D1A55E">
      <w:pPr>
        <w:pStyle w:val="15"/>
        <w:autoSpaceDE w:val="0"/>
        <w:autoSpaceDN w:val="0"/>
        <w:spacing w:line="440" w:lineRule="exact"/>
        <w:ind w:firstLine="2520" w:firstLineChars="1200"/>
        <w:jc w:val="left"/>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投</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标</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人</w:t>
      </w:r>
      <w:r>
        <w:rPr>
          <w:rFonts w:hint="eastAsia" w:ascii="宋体" w:hAnsi="宋体" w:cs="宋体"/>
          <w:color w:val="auto"/>
          <w:spacing w:val="-3"/>
          <w:sz w:val="21"/>
          <w:szCs w:val="21"/>
          <w:highlight w:val="none"/>
          <w:shd w:val="clear" w:color="auto" w:fill="FFFFFF"/>
        </w:rPr>
        <w:t>：</w:t>
      </w:r>
      <w:r>
        <w:rPr>
          <w:rFonts w:ascii="宋体" w:hAnsi="宋体" w:cs="宋体"/>
          <w:color w:val="auto"/>
          <w:spacing w:val="-3"/>
          <w:sz w:val="21"/>
          <w:szCs w:val="21"/>
          <w:highlight w:val="none"/>
          <w:u w:val="single"/>
          <w:shd w:val="clear" w:color="auto" w:fill="FFFFFF"/>
        </w:rPr>
        <w:t xml:space="preserve">                        </w:t>
      </w:r>
      <w:r>
        <w:rPr>
          <w:rFonts w:ascii="宋体" w:hAnsi="宋体" w:cs="宋体"/>
          <w:color w:val="auto"/>
          <w:spacing w:val="-3"/>
          <w:sz w:val="21"/>
          <w:szCs w:val="21"/>
          <w:highlight w:val="none"/>
          <w:u w:val="single"/>
          <w:shd w:val="clear" w:color="auto" w:fill="FFFFFF"/>
        </w:rPr>
        <w:tab/>
      </w:r>
      <w:r>
        <w:rPr>
          <w:rFonts w:hint="eastAsia" w:ascii="宋体" w:hAnsi="宋体" w:cs="宋体"/>
          <w:color w:val="auto"/>
          <w:sz w:val="21"/>
          <w:szCs w:val="21"/>
          <w:highlight w:val="none"/>
          <w:shd w:val="clear" w:color="auto" w:fill="FFFFFF"/>
        </w:rPr>
        <w:t>（电子签章）</w:t>
      </w:r>
    </w:p>
    <w:p w14:paraId="4EEB1C0F">
      <w:pPr>
        <w:autoSpaceDE w:val="0"/>
        <w:autoSpaceDN w:val="0"/>
        <w:spacing w:line="440" w:lineRule="exact"/>
        <w:ind w:firstLine="2520" w:firstLineChars="1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法</w:t>
      </w:r>
      <w:r>
        <w:rPr>
          <w:rFonts w:hint="eastAsia" w:ascii="宋体" w:hAnsi="宋体" w:cs="宋体"/>
          <w:color w:val="auto"/>
          <w:spacing w:val="-3"/>
          <w:szCs w:val="21"/>
          <w:highlight w:val="none"/>
          <w:shd w:val="clear" w:color="auto" w:fill="FFFFFF"/>
        </w:rPr>
        <w:t>定</w:t>
      </w:r>
      <w:r>
        <w:rPr>
          <w:rFonts w:hint="eastAsia" w:ascii="宋体" w:hAnsi="宋体" w:cs="宋体"/>
          <w:color w:val="auto"/>
          <w:szCs w:val="21"/>
          <w:highlight w:val="none"/>
          <w:shd w:val="clear" w:color="auto" w:fill="FFFFFF"/>
        </w:rPr>
        <w:t>代</w:t>
      </w:r>
      <w:r>
        <w:rPr>
          <w:rFonts w:hint="eastAsia" w:ascii="宋体" w:hAnsi="宋体" w:cs="宋体"/>
          <w:color w:val="auto"/>
          <w:spacing w:val="-3"/>
          <w:szCs w:val="21"/>
          <w:highlight w:val="none"/>
          <w:shd w:val="clear" w:color="auto" w:fill="FFFFFF"/>
        </w:rPr>
        <w:t>表</w:t>
      </w:r>
      <w:r>
        <w:rPr>
          <w:rFonts w:hint="eastAsia" w:ascii="宋体" w:hAnsi="宋体" w:cs="宋体"/>
          <w:color w:val="auto"/>
          <w:szCs w:val="21"/>
          <w:highlight w:val="none"/>
          <w:shd w:val="clear" w:color="auto" w:fill="FFFFFF"/>
        </w:rPr>
        <w:t>人或</w:t>
      </w:r>
      <w:r>
        <w:rPr>
          <w:rFonts w:hint="eastAsia" w:ascii="宋体" w:hAnsi="宋体" w:cs="宋体"/>
          <w:color w:val="auto"/>
          <w:spacing w:val="-3"/>
          <w:szCs w:val="21"/>
          <w:highlight w:val="none"/>
          <w:shd w:val="clear" w:color="auto" w:fill="FFFFFF"/>
        </w:rPr>
        <w:t>其</w:t>
      </w:r>
      <w:r>
        <w:rPr>
          <w:rFonts w:hint="eastAsia" w:ascii="宋体" w:hAnsi="宋体" w:cs="宋体"/>
          <w:color w:val="auto"/>
          <w:szCs w:val="21"/>
          <w:highlight w:val="none"/>
          <w:shd w:val="clear" w:color="auto" w:fill="FFFFFF"/>
        </w:rPr>
        <w:t>委</w:t>
      </w:r>
      <w:r>
        <w:rPr>
          <w:rFonts w:hint="eastAsia" w:ascii="宋体" w:hAnsi="宋体" w:cs="宋体"/>
          <w:color w:val="auto"/>
          <w:spacing w:val="-3"/>
          <w:szCs w:val="21"/>
          <w:highlight w:val="none"/>
          <w:shd w:val="clear" w:color="auto" w:fill="FFFFFF"/>
        </w:rPr>
        <w:t>托</w:t>
      </w:r>
      <w:r>
        <w:rPr>
          <w:rFonts w:hint="eastAsia" w:ascii="宋体" w:hAnsi="宋体" w:cs="宋体"/>
          <w:color w:val="auto"/>
          <w:szCs w:val="21"/>
          <w:highlight w:val="none"/>
          <w:shd w:val="clear" w:color="auto" w:fill="FFFFFF"/>
        </w:rPr>
        <w:t>代</w:t>
      </w:r>
      <w:r>
        <w:rPr>
          <w:rFonts w:hint="eastAsia" w:ascii="宋体" w:hAnsi="宋体" w:cs="宋体"/>
          <w:color w:val="auto"/>
          <w:spacing w:val="-3"/>
          <w:szCs w:val="21"/>
          <w:highlight w:val="none"/>
          <w:shd w:val="clear" w:color="auto" w:fill="FFFFFF"/>
        </w:rPr>
        <w:t>理</w:t>
      </w:r>
      <w:r>
        <w:rPr>
          <w:rFonts w:hint="eastAsia" w:ascii="宋体" w:hAnsi="宋体" w:cs="宋体"/>
          <w:color w:val="auto"/>
          <w:szCs w:val="21"/>
          <w:highlight w:val="none"/>
          <w:shd w:val="clear" w:color="auto" w:fill="FFFFFF"/>
        </w:rPr>
        <w:t>人</w:t>
      </w:r>
      <w:r>
        <w:rPr>
          <w:rFonts w:hint="eastAsia" w:ascii="宋体" w:hAnsi="宋体" w:cs="宋体"/>
          <w:color w:val="auto"/>
          <w:spacing w:val="-3"/>
          <w:szCs w:val="21"/>
          <w:highlight w:val="none"/>
          <w:shd w:val="clear" w:color="auto" w:fill="FFFFFF"/>
        </w:rPr>
        <w:t>：</w:t>
      </w:r>
      <w:r>
        <w:rPr>
          <w:rFonts w:ascii="宋体" w:hAnsi="宋体" w:cs="宋体"/>
          <w:color w:val="auto"/>
          <w:spacing w:val="-3"/>
          <w:szCs w:val="21"/>
          <w:highlight w:val="none"/>
          <w:u w:val="single"/>
          <w:shd w:val="clear" w:color="auto" w:fill="FFFFFF"/>
        </w:rPr>
        <w:t xml:space="preserve">          </w:t>
      </w:r>
      <w:r>
        <w:rPr>
          <w:rFonts w:ascii="宋体" w:hAnsi="宋体" w:cs="宋体"/>
          <w:color w:val="auto"/>
          <w:spacing w:val="-3"/>
          <w:szCs w:val="21"/>
          <w:highlight w:val="none"/>
          <w:u w:val="single"/>
          <w:shd w:val="clear" w:color="auto" w:fill="FFFFFF"/>
        </w:rPr>
        <w:tab/>
      </w:r>
      <w:r>
        <w:rPr>
          <w:rFonts w:hint="eastAsia" w:ascii="宋体" w:hAnsi="宋体" w:cs="宋体"/>
          <w:color w:val="auto"/>
          <w:szCs w:val="21"/>
          <w:highlight w:val="none"/>
          <w:shd w:val="clear" w:color="auto" w:fill="FFFFFF"/>
        </w:rPr>
        <w:t>（</w:t>
      </w:r>
      <w:r>
        <w:rPr>
          <w:rFonts w:hint="eastAsia" w:ascii="宋体" w:hAnsi="宋体" w:cs="宋体"/>
          <w:color w:val="auto"/>
          <w:szCs w:val="21"/>
          <w:highlight w:val="none"/>
        </w:rPr>
        <w:t>电子签名</w:t>
      </w:r>
      <w:r>
        <w:rPr>
          <w:rFonts w:hint="eastAsia" w:ascii="宋体" w:hAnsi="宋体" w:cs="宋体"/>
          <w:color w:val="auto"/>
          <w:szCs w:val="21"/>
          <w:highlight w:val="none"/>
          <w:shd w:val="clear" w:color="auto" w:fill="FFFFFF"/>
        </w:rPr>
        <w:t>）</w:t>
      </w:r>
    </w:p>
    <w:p w14:paraId="3B259118">
      <w:pPr>
        <w:autoSpaceDE w:val="0"/>
        <w:autoSpaceDN w:val="0"/>
        <w:spacing w:line="440" w:lineRule="exact"/>
        <w:ind w:firstLine="2520" w:firstLineChars="1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地</w:t>
      </w:r>
      <w:r>
        <w:rPr>
          <w:rFonts w:ascii="宋体" w:hAnsi="宋体" w:cs="宋体"/>
          <w:color w:val="auto"/>
          <w:szCs w:val="21"/>
          <w:highlight w:val="none"/>
          <w:shd w:val="clear" w:color="auto" w:fill="FFFFFF"/>
        </w:rPr>
        <w:tab/>
      </w:r>
      <w:r>
        <w:rPr>
          <w:rFonts w:hint="eastAsia" w:ascii="宋体" w:hAnsi="宋体" w:cs="宋体"/>
          <w:color w:val="auto"/>
          <w:szCs w:val="21"/>
          <w:highlight w:val="none"/>
          <w:shd w:val="clear" w:color="auto" w:fill="FFFFFF"/>
        </w:rPr>
        <w:t>址</w:t>
      </w:r>
      <w:r>
        <w:rPr>
          <w:rFonts w:hint="eastAsia" w:ascii="宋体" w:hAnsi="宋体" w:cs="宋体"/>
          <w:color w:val="auto"/>
          <w:spacing w:val="-3"/>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p>
    <w:p w14:paraId="5EA53543">
      <w:pPr>
        <w:autoSpaceDE w:val="0"/>
        <w:autoSpaceDN w:val="0"/>
        <w:spacing w:line="440" w:lineRule="exact"/>
        <w:ind w:firstLine="2520" w:firstLineChars="1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网</w:t>
      </w:r>
      <w:r>
        <w:rPr>
          <w:rFonts w:ascii="宋体" w:hAnsi="宋体" w:cs="宋体"/>
          <w:color w:val="auto"/>
          <w:szCs w:val="21"/>
          <w:highlight w:val="none"/>
          <w:shd w:val="clear" w:color="auto" w:fill="FFFFFF"/>
        </w:rPr>
        <w:tab/>
      </w:r>
      <w:r>
        <w:rPr>
          <w:rFonts w:hint="eastAsia" w:ascii="宋体" w:hAnsi="宋体" w:cs="宋体"/>
          <w:color w:val="auto"/>
          <w:szCs w:val="21"/>
          <w:highlight w:val="none"/>
          <w:shd w:val="clear" w:color="auto" w:fill="FFFFFF"/>
        </w:rPr>
        <w:t>址</w:t>
      </w:r>
      <w:r>
        <w:rPr>
          <w:rFonts w:hint="eastAsia" w:ascii="宋体" w:hAnsi="宋体" w:cs="宋体"/>
          <w:color w:val="auto"/>
          <w:spacing w:val="-3"/>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p>
    <w:p w14:paraId="414C8199">
      <w:pPr>
        <w:autoSpaceDE w:val="0"/>
        <w:autoSpaceDN w:val="0"/>
        <w:spacing w:line="440" w:lineRule="exact"/>
        <w:ind w:firstLine="2520" w:firstLineChars="1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电</w:t>
      </w:r>
      <w:r>
        <w:rPr>
          <w:rFonts w:ascii="宋体" w:hAnsi="宋体" w:cs="宋体"/>
          <w:color w:val="auto"/>
          <w:szCs w:val="21"/>
          <w:highlight w:val="none"/>
          <w:shd w:val="clear" w:color="auto" w:fill="FFFFFF"/>
        </w:rPr>
        <w:tab/>
      </w:r>
      <w:r>
        <w:rPr>
          <w:rFonts w:hint="eastAsia" w:ascii="宋体" w:hAnsi="宋体" w:cs="宋体"/>
          <w:color w:val="auto"/>
          <w:szCs w:val="21"/>
          <w:highlight w:val="none"/>
          <w:shd w:val="clear" w:color="auto" w:fill="FFFFFF"/>
        </w:rPr>
        <w:t>话</w:t>
      </w:r>
      <w:r>
        <w:rPr>
          <w:rFonts w:hint="eastAsia" w:ascii="宋体" w:hAnsi="宋体" w:cs="宋体"/>
          <w:color w:val="auto"/>
          <w:spacing w:val="-3"/>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p>
    <w:p w14:paraId="401C7360">
      <w:pPr>
        <w:autoSpaceDE w:val="0"/>
        <w:autoSpaceDN w:val="0"/>
        <w:spacing w:line="440" w:lineRule="exact"/>
        <w:ind w:firstLine="2520" w:firstLineChars="1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传</w:t>
      </w:r>
      <w:r>
        <w:rPr>
          <w:rFonts w:ascii="宋体" w:hAnsi="宋体" w:cs="宋体"/>
          <w:color w:val="auto"/>
          <w:szCs w:val="21"/>
          <w:highlight w:val="none"/>
          <w:shd w:val="clear" w:color="auto" w:fill="FFFFFF"/>
        </w:rPr>
        <w:tab/>
      </w:r>
      <w:r>
        <w:rPr>
          <w:rFonts w:hint="eastAsia" w:ascii="宋体" w:hAnsi="宋体" w:cs="宋体"/>
          <w:color w:val="auto"/>
          <w:szCs w:val="21"/>
          <w:highlight w:val="none"/>
          <w:shd w:val="clear" w:color="auto" w:fill="FFFFFF"/>
        </w:rPr>
        <w:t>真</w:t>
      </w:r>
      <w:r>
        <w:rPr>
          <w:rFonts w:hint="eastAsia" w:ascii="宋体" w:hAnsi="宋体" w:cs="宋体"/>
          <w:color w:val="auto"/>
          <w:spacing w:val="-3"/>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p>
    <w:p w14:paraId="03AE42E1">
      <w:pPr>
        <w:autoSpaceDE w:val="0"/>
        <w:autoSpaceDN w:val="0"/>
        <w:spacing w:line="440" w:lineRule="exact"/>
        <w:ind w:firstLine="2520" w:firstLineChars="12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邮政</w:t>
      </w:r>
      <w:r>
        <w:rPr>
          <w:rFonts w:hint="eastAsia" w:ascii="宋体" w:hAnsi="宋体" w:cs="宋体"/>
          <w:color w:val="auto"/>
          <w:spacing w:val="-3"/>
          <w:szCs w:val="21"/>
          <w:highlight w:val="none"/>
          <w:shd w:val="clear" w:color="auto" w:fill="FFFFFF"/>
        </w:rPr>
        <w:t>编</w:t>
      </w:r>
      <w:r>
        <w:rPr>
          <w:rFonts w:hint="eastAsia" w:ascii="宋体" w:hAnsi="宋体" w:cs="宋体"/>
          <w:color w:val="auto"/>
          <w:szCs w:val="21"/>
          <w:highlight w:val="none"/>
          <w:shd w:val="clear" w:color="auto" w:fill="FFFFFF"/>
        </w:rPr>
        <w:t>码</w:t>
      </w:r>
      <w:r>
        <w:rPr>
          <w:rFonts w:hint="eastAsia" w:ascii="宋体" w:hAnsi="宋体" w:cs="宋体"/>
          <w:color w:val="auto"/>
          <w:spacing w:val="-3"/>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u w:val="single"/>
          <w:shd w:val="clear" w:color="auto" w:fill="FFFFFF"/>
        </w:rPr>
        <w:t xml:space="preserve"> </w:t>
      </w:r>
    </w:p>
    <w:p w14:paraId="4E1247D2">
      <w:pPr>
        <w:tabs>
          <w:tab w:val="left" w:pos="0"/>
        </w:tabs>
        <w:spacing w:line="440" w:lineRule="exact"/>
        <w:ind w:firstLine="2520" w:firstLineChars="1200"/>
        <w:jc w:val="left"/>
        <w:rPr>
          <w:rFonts w:ascii="宋体" w:hAnsi="宋体" w:cs="宋体"/>
          <w:color w:val="auto"/>
          <w:spacing w:val="-1"/>
          <w:szCs w:val="21"/>
          <w:highlight w:val="none"/>
          <w:shd w:val="clear" w:color="auto" w:fill="FFFFFF"/>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Cs w:val="21"/>
          <w:highlight w:val="none"/>
          <w:shd w:val="clear" w:color="auto" w:fill="FFFFFF"/>
        </w:rPr>
        <w:t>日  期：</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年</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shd w:val="clear" w:color="auto" w:fill="FFFFFF"/>
        </w:rPr>
        <w:t>月</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pacing w:val="-1"/>
          <w:szCs w:val="21"/>
          <w:highlight w:val="none"/>
          <w:shd w:val="clear" w:color="auto" w:fill="FFFFFF"/>
        </w:rPr>
        <w:t>日</w:t>
      </w:r>
    </w:p>
    <w:p w14:paraId="38ABECDC">
      <w:pPr>
        <w:spacing w:line="400" w:lineRule="exact"/>
        <w:jc w:val="center"/>
        <w:rPr>
          <w:rFonts w:ascii="宋体" w:hAnsi="宋体" w:cs="宋体"/>
          <w:b/>
          <w:color w:val="auto"/>
          <w:sz w:val="24"/>
          <w:highlight w:val="none"/>
        </w:rPr>
      </w:pPr>
      <w:bookmarkStart w:id="101" w:name="_Toc261968373"/>
      <w:bookmarkStart w:id="102" w:name="_Toc132254502"/>
      <w:bookmarkStart w:id="103" w:name="_Toc132254150"/>
      <w:bookmarkStart w:id="104" w:name="_Toc138581173"/>
      <w:bookmarkStart w:id="105" w:name="_Toc138581254"/>
      <w:bookmarkStart w:id="106" w:name="_Toc134953402"/>
      <w:bookmarkStart w:id="107" w:name="_Toc198544737"/>
      <w:bookmarkStart w:id="108" w:name="_Toc142200236"/>
      <w:bookmarkStart w:id="109" w:name="_Toc132253984"/>
      <w:r>
        <w:rPr>
          <w:rFonts w:hint="eastAsia" w:ascii="宋体" w:hAnsi="宋体" w:cs="宋体"/>
          <w:b/>
          <w:color w:val="auto"/>
          <w:sz w:val="28"/>
          <w:szCs w:val="28"/>
          <w:highlight w:val="none"/>
        </w:rPr>
        <w:t>二、法定代表人身份证明</w:t>
      </w:r>
    </w:p>
    <w:bookmarkEnd w:id="101"/>
    <w:bookmarkEnd w:id="102"/>
    <w:bookmarkEnd w:id="103"/>
    <w:bookmarkEnd w:id="104"/>
    <w:bookmarkEnd w:id="105"/>
    <w:bookmarkEnd w:id="106"/>
    <w:bookmarkEnd w:id="107"/>
    <w:bookmarkEnd w:id="108"/>
    <w:bookmarkEnd w:id="109"/>
    <w:p w14:paraId="38D73F5D">
      <w:pPr>
        <w:autoSpaceDE w:val="0"/>
        <w:autoSpaceDN w:val="0"/>
        <w:spacing w:line="480" w:lineRule="auto"/>
        <w:ind w:left="100"/>
        <w:rPr>
          <w:rFonts w:ascii="宋体" w:hAnsi="宋体" w:cs="宋体"/>
          <w:color w:val="auto"/>
          <w:spacing w:val="-1"/>
          <w:szCs w:val="21"/>
          <w:highlight w:val="none"/>
          <w:shd w:val="clear" w:color="auto" w:fill="FFFFFF"/>
        </w:rPr>
      </w:pPr>
    </w:p>
    <w:p w14:paraId="7C71AAD9">
      <w:pPr>
        <w:autoSpaceDE w:val="0"/>
        <w:autoSpaceDN w:val="0"/>
        <w:spacing w:line="480" w:lineRule="auto"/>
        <w:rPr>
          <w:rFonts w:ascii="宋体" w:hAnsi="宋体" w:cs="宋体"/>
          <w:color w:val="auto"/>
          <w:spacing w:val="-1"/>
          <w:szCs w:val="21"/>
          <w:highlight w:val="none"/>
          <w:shd w:val="clear" w:color="auto" w:fill="FFFFFF"/>
        </w:rPr>
      </w:pPr>
    </w:p>
    <w:p w14:paraId="62B665D1">
      <w:pPr>
        <w:autoSpaceDE w:val="0"/>
        <w:autoSpaceDN w:val="0"/>
        <w:spacing w:line="480" w:lineRule="auto"/>
        <w:rPr>
          <w:rFonts w:ascii="宋体" w:hAnsi="宋体" w:cs="宋体"/>
          <w:color w:val="auto"/>
          <w:szCs w:val="21"/>
          <w:highlight w:val="none"/>
          <w:u w:val="single"/>
          <w:shd w:val="clear" w:color="auto" w:fill="FFFFFF"/>
        </w:rPr>
      </w:pPr>
      <w:r>
        <w:rPr>
          <w:rFonts w:hint="eastAsia" w:ascii="宋体" w:hAnsi="宋体" w:cs="宋体"/>
          <w:color w:val="auto"/>
          <w:spacing w:val="-1"/>
          <w:szCs w:val="21"/>
          <w:highlight w:val="none"/>
          <w:shd w:val="clear" w:color="auto" w:fill="FFFFFF"/>
        </w:rPr>
        <w:t>投</w:t>
      </w:r>
      <w:r>
        <w:rPr>
          <w:rFonts w:hint="eastAsia" w:ascii="宋体" w:hAnsi="宋体" w:cs="宋体"/>
          <w:color w:val="auto"/>
          <w:szCs w:val="21"/>
          <w:highlight w:val="none"/>
          <w:shd w:val="clear" w:color="auto" w:fill="FFFFFF"/>
        </w:rPr>
        <w:t>标</w:t>
      </w:r>
      <w:r>
        <w:rPr>
          <w:rFonts w:hint="eastAsia" w:ascii="宋体" w:hAnsi="宋体" w:cs="宋体"/>
          <w:color w:val="auto"/>
          <w:spacing w:val="-3"/>
          <w:szCs w:val="21"/>
          <w:highlight w:val="none"/>
          <w:shd w:val="clear" w:color="auto" w:fill="FFFFFF"/>
        </w:rPr>
        <w:t>人</w:t>
      </w:r>
      <w:r>
        <w:rPr>
          <w:rFonts w:hint="eastAsia" w:ascii="宋体" w:hAnsi="宋体" w:cs="宋体"/>
          <w:color w:val="auto"/>
          <w:szCs w:val="21"/>
          <w:highlight w:val="none"/>
          <w:shd w:val="clear" w:color="auto" w:fill="FFFFFF"/>
        </w:rPr>
        <w:t>名</w:t>
      </w:r>
      <w:r>
        <w:rPr>
          <w:rFonts w:hint="eastAsia" w:ascii="宋体" w:hAnsi="宋体" w:cs="宋体"/>
          <w:color w:val="auto"/>
          <w:spacing w:val="-3"/>
          <w:szCs w:val="21"/>
          <w:highlight w:val="none"/>
          <w:shd w:val="clear" w:color="auto" w:fill="FFFFFF"/>
        </w:rPr>
        <w:t>称</w:t>
      </w:r>
      <w:r>
        <w:rPr>
          <w:rFonts w:hint="eastAsia" w:ascii="宋体" w:hAnsi="宋体" w:cs="宋体"/>
          <w:color w:val="auto"/>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p>
    <w:p w14:paraId="40E6F56D">
      <w:pPr>
        <w:autoSpaceDE w:val="0"/>
        <w:autoSpaceDN w:val="0"/>
        <w:spacing w:line="480" w:lineRule="auto"/>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单位性质：</w:t>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p>
    <w:p w14:paraId="418F3268">
      <w:pPr>
        <w:autoSpaceDE w:val="0"/>
        <w:autoSpaceDN w:val="0"/>
        <w:spacing w:line="480" w:lineRule="auto"/>
        <w:jc w:val="left"/>
        <w:rPr>
          <w:rFonts w:ascii="宋体" w:hAnsi="宋体" w:cs="宋体"/>
          <w:color w:val="auto"/>
          <w:kern w:val="0"/>
          <w:szCs w:val="21"/>
          <w:highlight w:val="none"/>
          <w:u w:val="single"/>
        </w:rPr>
      </w:pPr>
      <w:r>
        <w:rPr>
          <w:rFonts w:hint="eastAsia" w:ascii="宋体" w:hAnsi="宋体" w:cs="宋体"/>
          <w:color w:val="auto"/>
          <w:kern w:val="0"/>
          <w:szCs w:val="21"/>
          <w:highlight w:val="none"/>
        </w:rPr>
        <w:t>地    址：</w:t>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r>
        <w:rPr>
          <w:rFonts w:hint="eastAsia" w:ascii="宋体" w:hAnsi="宋体" w:cs="宋体"/>
          <w:color w:val="auto"/>
          <w:kern w:val="0"/>
          <w:szCs w:val="21"/>
          <w:highlight w:val="none"/>
          <w:u w:val="single"/>
        </w:rPr>
        <w:tab/>
      </w:r>
    </w:p>
    <w:p w14:paraId="30427278">
      <w:pPr>
        <w:autoSpaceDE w:val="0"/>
        <w:autoSpaceDN w:val="0"/>
        <w:spacing w:line="48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成立时间：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日</w:t>
      </w:r>
    </w:p>
    <w:p w14:paraId="6189E068">
      <w:pPr>
        <w:autoSpaceDE w:val="0"/>
        <w:autoSpaceDN w:val="0"/>
        <w:spacing w:line="480" w:lineRule="auto"/>
        <w:rPr>
          <w:rFonts w:ascii="宋体" w:hAnsi="宋体" w:cs="宋体"/>
          <w:color w:val="auto"/>
          <w:szCs w:val="21"/>
          <w:highlight w:val="none"/>
          <w:u w:val="single"/>
          <w:shd w:val="clear" w:color="auto" w:fill="FFFFFF"/>
        </w:rPr>
      </w:pPr>
      <w:r>
        <w:rPr>
          <w:rFonts w:hint="eastAsia" w:ascii="宋体" w:hAnsi="宋体" w:cs="宋体"/>
          <w:color w:val="auto"/>
          <w:szCs w:val="21"/>
          <w:highlight w:val="none"/>
        </w:rPr>
        <w:t>经营期限：</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p>
    <w:p w14:paraId="0A91C463">
      <w:pPr>
        <w:autoSpaceDE w:val="0"/>
        <w:autoSpaceDN w:val="0"/>
        <w:spacing w:line="480" w:lineRule="auto"/>
        <w:rPr>
          <w:rFonts w:ascii="宋体" w:hAnsi="宋体" w:cs="宋体"/>
          <w:color w:val="auto"/>
          <w:szCs w:val="21"/>
          <w:highlight w:val="none"/>
          <w:u w:val="single"/>
          <w:shd w:val="clear" w:color="auto" w:fill="FFFFFF"/>
        </w:rPr>
      </w:pPr>
      <w:r>
        <w:rPr>
          <w:rFonts w:hint="eastAsia" w:ascii="宋体" w:hAnsi="宋体" w:cs="宋体"/>
          <w:color w:val="auto"/>
          <w:szCs w:val="21"/>
          <w:highlight w:val="none"/>
          <w:shd w:val="clear" w:color="auto" w:fill="FFFFFF"/>
        </w:rPr>
        <w:t>姓名</w:t>
      </w:r>
      <w:r>
        <w:rPr>
          <w:rFonts w:hint="eastAsia" w:ascii="宋体" w:hAnsi="宋体" w:cs="宋体"/>
          <w:color w:val="auto"/>
          <w:spacing w:val="-3"/>
          <w:szCs w:val="21"/>
          <w:highlight w:val="none"/>
          <w:shd w:val="clear" w:color="auto" w:fill="FFFFFF"/>
        </w:rPr>
        <w:t>：</w:t>
      </w:r>
      <w:r>
        <w:rPr>
          <w:rFonts w:ascii="宋体" w:hAnsi="宋体" w:cs="宋体"/>
          <w:color w:val="auto"/>
          <w:spacing w:val="-3"/>
          <w:szCs w:val="21"/>
          <w:highlight w:val="none"/>
          <w:u w:val="single"/>
          <w:shd w:val="clear" w:color="auto" w:fill="FFFFFF"/>
        </w:rPr>
        <w:t xml:space="preserve">         </w:t>
      </w:r>
      <w:r>
        <w:rPr>
          <w:rFonts w:ascii="宋体" w:hAnsi="宋体" w:cs="宋体"/>
          <w:color w:val="auto"/>
          <w:spacing w:val="-3"/>
          <w:szCs w:val="21"/>
          <w:highlight w:val="none"/>
          <w:shd w:val="clear" w:color="auto" w:fill="FFFFFF"/>
        </w:rPr>
        <w:t xml:space="preserve">    </w:t>
      </w:r>
      <w:r>
        <w:rPr>
          <w:rFonts w:hint="eastAsia" w:ascii="宋体" w:hAnsi="宋体" w:cs="宋体"/>
          <w:color w:val="auto"/>
          <w:szCs w:val="21"/>
          <w:highlight w:val="none"/>
          <w:shd w:val="clear" w:color="auto" w:fill="FFFFFF"/>
        </w:rPr>
        <w:t>性别</w:t>
      </w:r>
      <w:r>
        <w:rPr>
          <w:rFonts w:hint="eastAsia" w:ascii="宋体" w:hAnsi="宋体" w:cs="宋体"/>
          <w:color w:val="auto"/>
          <w:spacing w:val="-3"/>
          <w:szCs w:val="21"/>
          <w:highlight w:val="none"/>
          <w:shd w:val="clear" w:color="auto" w:fill="FFFFFF"/>
        </w:rPr>
        <w:t>：</w:t>
      </w:r>
      <w:r>
        <w:rPr>
          <w:rFonts w:ascii="宋体" w:hAnsi="宋体" w:cs="宋体"/>
          <w:color w:val="auto"/>
          <w:spacing w:val="-3"/>
          <w:szCs w:val="21"/>
          <w:highlight w:val="none"/>
          <w:u w:val="single"/>
          <w:shd w:val="clear" w:color="auto" w:fill="FFFFFF"/>
        </w:rPr>
        <w:t xml:space="preserve">      </w:t>
      </w:r>
      <w:r>
        <w:rPr>
          <w:rFonts w:ascii="宋体" w:hAnsi="宋体" w:cs="宋体"/>
          <w:color w:val="auto"/>
          <w:spacing w:val="-3"/>
          <w:szCs w:val="21"/>
          <w:highlight w:val="none"/>
          <w:shd w:val="clear" w:color="auto" w:fill="FFFFFF"/>
        </w:rPr>
        <w:tab/>
      </w:r>
      <w:r>
        <w:rPr>
          <w:rFonts w:hint="eastAsia" w:ascii="宋体" w:hAnsi="宋体" w:cs="宋体"/>
          <w:color w:val="auto"/>
          <w:szCs w:val="21"/>
          <w:highlight w:val="none"/>
          <w:shd w:val="clear" w:color="auto" w:fill="FFFFFF"/>
        </w:rPr>
        <w:t>年</w:t>
      </w:r>
      <w:r>
        <w:rPr>
          <w:rFonts w:hint="eastAsia" w:ascii="宋体" w:hAnsi="宋体" w:cs="宋体"/>
          <w:color w:val="auto"/>
          <w:spacing w:val="-3"/>
          <w:szCs w:val="21"/>
          <w:highlight w:val="none"/>
          <w:shd w:val="clear" w:color="auto" w:fill="FFFFFF"/>
        </w:rPr>
        <w:t>龄</w:t>
      </w:r>
      <w:r>
        <w:rPr>
          <w:rFonts w:hint="eastAsia" w:ascii="宋体" w:hAnsi="宋体" w:cs="宋体"/>
          <w:color w:val="auto"/>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 xml:space="preserve">   </w:t>
      </w:r>
      <w:r>
        <w:rPr>
          <w:rFonts w:hint="eastAsia" w:ascii="宋体" w:hAnsi="宋体" w:cs="宋体"/>
          <w:color w:val="auto"/>
          <w:spacing w:val="-1"/>
          <w:szCs w:val="21"/>
          <w:highlight w:val="none"/>
          <w:shd w:val="clear" w:color="auto" w:fill="FFFFFF"/>
        </w:rPr>
        <w:t>职</w:t>
      </w:r>
      <w:r>
        <w:rPr>
          <w:rFonts w:hint="eastAsia" w:ascii="宋体" w:hAnsi="宋体" w:cs="宋体"/>
          <w:color w:val="auto"/>
          <w:spacing w:val="-3"/>
          <w:szCs w:val="21"/>
          <w:highlight w:val="none"/>
          <w:shd w:val="clear" w:color="auto" w:fill="FFFFFF"/>
        </w:rPr>
        <w:t>务</w:t>
      </w:r>
      <w:r>
        <w:rPr>
          <w:rFonts w:hint="eastAsia" w:ascii="宋体" w:hAnsi="宋体" w:cs="宋体"/>
          <w:color w:val="auto"/>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p>
    <w:p w14:paraId="5193EC29">
      <w:pPr>
        <w:autoSpaceDE w:val="0"/>
        <w:autoSpaceDN w:val="0"/>
        <w:spacing w:line="48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系</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pacing w:val="-3"/>
          <w:szCs w:val="21"/>
          <w:highlight w:val="none"/>
          <w:u w:val="single"/>
          <w:shd w:val="clear" w:color="auto" w:fill="FFFFFF"/>
        </w:rPr>
        <w:t>（</w:t>
      </w:r>
      <w:r>
        <w:rPr>
          <w:rFonts w:hint="eastAsia" w:ascii="宋体" w:hAnsi="宋体" w:cs="宋体"/>
          <w:color w:val="auto"/>
          <w:szCs w:val="21"/>
          <w:highlight w:val="none"/>
          <w:u w:val="single"/>
          <w:shd w:val="clear" w:color="auto" w:fill="FFFFFF"/>
        </w:rPr>
        <w:t>投</w:t>
      </w:r>
      <w:r>
        <w:rPr>
          <w:rFonts w:hint="eastAsia" w:ascii="宋体" w:hAnsi="宋体" w:cs="宋体"/>
          <w:color w:val="auto"/>
          <w:spacing w:val="-3"/>
          <w:szCs w:val="21"/>
          <w:highlight w:val="none"/>
          <w:u w:val="single"/>
          <w:shd w:val="clear" w:color="auto" w:fill="FFFFFF"/>
        </w:rPr>
        <w:t>标</w:t>
      </w:r>
      <w:r>
        <w:rPr>
          <w:rFonts w:hint="eastAsia" w:ascii="宋体" w:hAnsi="宋体" w:cs="宋体"/>
          <w:color w:val="auto"/>
          <w:szCs w:val="21"/>
          <w:highlight w:val="none"/>
          <w:u w:val="single"/>
          <w:shd w:val="clear" w:color="auto" w:fill="FFFFFF"/>
        </w:rPr>
        <w:t>人</w:t>
      </w:r>
      <w:r>
        <w:rPr>
          <w:rFonts w:hint="eastAsia" w:ascii="宋体" w:hAnsi="宋体" w:cs="宋体"/>
          <w:color w:val="auto"/>
          <w:spacing w:val="-3"/>
          <w:szCs w:val="21"/>
          <w:highlight w:val="none"/>
          <w:u w:val="single"/>
          <w:shd w:val="clear" w:color="auto" w:fill="FFFFFF"/>
        </w:rPr>
        <w:t>名</w:t>
      </w:r>
      <w:r>
        <w:rPr>
          <w:rFonts w:hint="eastAsia" w:ascii="宋体" w:hAnsi="宋体" w:cs="宋体"/>
          <w:color w:val="auto"/>
          <w:szCs w:val="21"/>
          <w:highlight w:val="none"/>
          <w:u w:val="single"/>
          <w:shd w:val="clear" w:color="auto" w:fill="FFFFFF"/>
        </w:rPr>
        <w:t>称</w:t>
      </w:r>
      <w:r>
        <w:rPr>
          <w:rFonts w:hint="eastAsia" w:ascii="宋体" w:hAnsi="宋体" w:cs="宋体"/>
          <w:color w:val="auto"/>
          <w:spacing w:val="-3"/>
          <w:szCs w:val="21"/>
          <w:highlight w:val="none"/>
          <w:u w:val="single"/>
          <w:shd w:val="clear" w:color="auto" w:fill="FFFFFF"/>
        </w:rPr>
        <w:t>）</w:t>
      </w:r>
      <w:r>
        <w:rPr>
          <w:rFonts w:hint="eastAsia" w:ascii="宋体" w:hAnsi="宋体" w:cs="宋体"/>
          <w:color w:val="auto"/>
          <w:szCs w:val="21"/>
          <w:highlight w:val="none"/>
          <w:shd w:val="clear" w:color="auto" w:fill="FFFFFF"/>
        </w:rPr>
        <w:t>的</w:t>
      </w:r>
      <w:r>
        <w:rPr>
          <w:rFonts w:hint="eastAsia" w:ascii="宋体" w:hAnsi="宋体" w:cs="宋体"/>
          <w:color w:val="auto"/>
          <w:spacing w:val="-3"/>
          <w:szCs w:val="21"/>
          <w:highlight w:val="none"/>
          <w:shd w:val="clear" w:color="auto" w:fill="FFFFFF"/>
        </w:rPr>
        <w:t>法定</w:t>
      </w:r>
      <w:r>
        <w:rPr>
          <w:rFonts w:hint="eastAsia" w:ascii="宋体" w:hAnsi="宋体" w:cs="宋体"/>
          <w:color w:val="auto"/>
          <w:szCs w:val="21"/>
          <w:highlight w:val="none"/>
          <w:shd w:val="clear" w:color="auto" w:fill="FFFFFF"/>
        </w:rPr>
        <w:t>代表</w:t>
      </w:r>
      <w:r>
        <w:rPr>
          <w:rFonts w:hint="eastAsia" w:ascii="宋体" w:hAnsi="宋体" w:cs="宋体"/>
          <w:color w:val="auto"/>
          <w:spacing w:val="-3"/>
          <w:szCs w:val="21"/>
          <w:highlight w:val="none"/>
          <w:shd w:val="clear" w:color="auto" w:fill="FFFFFF"/>
        </w:rPr>
        <w:t>人。</w:t>
      </w:r>
    </w:p>
    <w:p w14:paraId="04BA93DC">
      <w:pPr>
        <w:autoSpaceDE w:val="0"/>
        <w:autoSpaceDN w:val="0"/>
        <w:spacing w:before="10" w:line="480" w:lineRule="auto"/>
        <w:rPr>
          <w:rFonts w:ascii="宋体" w:hAnsi="宋体" w:cs="宋体"/>
          <w:color w:val="auto"/>
          <w:sz w:val="9"/>
          <w:szCs w:val="21"/>
          <w:highlight w:val="none"/>
          <w:shd w:val="clear" w:color="auto" w:fill="FFFFFF"/>
        </w:rPr>
      </w:pPr>
    </w:p>
    <w:p w14:paraId="6F421B30">
      <w:pPr>
        <w:autoSpaceDE w:val="0"/>
        <w:autoSpaceDN w:val="0"/>
        <w:spacing w:before="36" w:line="480" w:lineRule="auto"/>
        <w:ind w:left="52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特此证明。</w:t>
      </w:r>
    </w:p>
    <w:p w14:paraId="5DE1B5A2">
      <w:pPr>
        <w:autoSpaceDE w:val="0"/>
        <w:autoSpaceDN w:val="0"/>
        <w:spacing w:line="480" w:lineRule="auto"/>
        <w:rPr>
          <w:rFonts w:ascii="宋体" w:hAnsi="宋体" w:cs="宋体"/>
          <w:color w:val="auto"/>
          <w:sz w:val="20"/>
          <w:szCs w:val="21"/>
          <w:highlight w:val="none"/>
          <w:shd w:val="clear" w:color="auto" w:fill="FFFFFF"/>
        </w:rPr>
      </w:pPr>
    </w:p>
    <w:p w14:paraId="006F5248">
      <w:pPr>
        <w:autoSpaceDE w:val="0"/>
        <w:autoSpaceDN w:val="0"/>
        <w:spacing w:line="480" w:lineRule="auto"/>
        <w:ind w:left="10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附：法定代表人身份证扫描件</w:t>
      </w:r>
    </w:p>
    <w:tbl>
      <w:tblPr>
        <w:tblStyle w:val="35"/>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0"/>
        <w:gridCol w:w="4220"/>
      </w:tblGrid>
      <w:tr w14:paraId="23961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2" w:hRule="atLeast"/>
        </w:trPr>
        <w:tc>
          <w:tcPr>
            <w:tcW w:w="4220" w:type="dxa"/>
            <w:vAlign w:val="center"/>
          </w:tcPr>
          <w:p w14:paraId="030AACB5">
            <w:pPr>
              <w:keepNext w:val="0"/>
              <w:keepLines w:val="0"/>
              <w:suppressLineNumbers w:val="0"/>
              <w:autoSpaceDE w:val="0"/>
              <w:autoSpaceDN w:val="0"/>
              <w:spacing w:before="0" w:beforeAutospacing="0" w:after="0" w:afterAutospacing="0" w:line="480" w:lineRule="auto"/>
              <w:ind w:left="0" w:right="0"/>
              <w:jc w:val="center"/>
              <w:rPr>
                <w:rFonts w:hint="default" w:ascii="宋体" w:hAnsi="宋体" w:cs="宋体"/>
                <w:color w:val="auto"/>
                <w:sz w:val="20"/>
                <w:szCs w:val="21"/>
                <w:highlight w:val="none"/>
                <w:shd w:val="clear" w:color="auto" w:fill="FFFFFF"/>
              </w:rPr>
            </w:pPr>
          </w:p>
        </w:tc>
        <w:tc>
          <w:tcPr>
            <w:tcW w:w="4220" w:type="dxa"/>
            <w:vAlign w:val="center"/>
          </w:tcPr>
          <w:p w14:paraId="4BDF26EA">
            <w:pPr>
              <w:keepNext w:val="0"/>
              <w:keepLines w:val="0"/>
              <w:suppressLineNumbers w:val="0"/>
              <w:autoSpaceDE w:val="0"/>
              <w:autoSpaceDN w:val="0"/>
              <w:spacing w:before="0" w:beforeAutospacing="0" w:after="0" w:afterAutospacing="0" w:line="480" w:lineRule="auto"/>
              <w:ind w:left="0" w:right="0"/>
              <w:jc w:val="center"/>
              <w:rPr>
                <w:rFonts w:hint="default" w:ascii="宋体" w:hAnsi="宋体" w:cs="宋体"/>
                <w:color w:val="auto"/>
                <w:sz w:val="20"/>
                <w:szCs w:val="21"/>
                <w:highlight w:val="none"/>
                <w:shd w:val="clear" w:color="auto" w:fill="FFFFFF"/>
              </w:rPr>
            </w:pPr>
          </w:p>
        </w:tc>
      </w:tr>
    </w:tbl>
    <w:p w14:paraId="31F2D7D0">
      <w:pPr>
        <w:autoSpaceDE w:val="0"/>
        <w:autoSpaceDN w:val="0"/>
        <w:spacing w:line="480" w:lineRule="auto"/>
        <w:rPr>
          <w:rFonts w:ascii="宋体" w:hAnsi="宋体" w:cs="宋体"/>
          <w:color w:val="auto"/>
          <w:sz w:val="20"/>
          <w:szCs w:val="21"/>
          <w:highlight w:val="none"/>
          <w:shd w:val="clear" w:color="auto" w:fill="FFFFFF"/>
        </w:rPr>
      </w:pPr>
    </w:p>
    <w:p w14:paraId="0E44C3CA">
      <w:pPr>
        <w:autoSpaceDE w:val="0"/>
        <w:autoSpaceDN w:val="0"/>
        <w:rPr>
          <w:rFonts w:ascii="宋体" w:hAnsi="宋体" w:cs="宋体"/>
          <w:color w:val="auto"/>
          <w:sz w:val="20"/>
          <w:szCs w:val="21"/>
          <w:highlight w:val="none"/>
          <w:shd w:val="clear" w:color="auto" w:fill="FFFFFF"/>
        </w:rPr>
      </w:pPr>
    </w:p>
    <w:p w14:paraId="4ABCF301">
      <w:pPr>
        <w:autoSpaceDE w:val="0"/>
        <w:autoSpaceDN w:val="0"/>
        <w:rPr>
          <w:rFonts w:ascii="宋体" w:hAnsi="宋体" w:cs="宋体"/>
          <w:color w:val="auto"/>
          <w:sz w:val="20"/>
          <w:szCs w:val="21"/>
          <w:highlight w:val="none"/>
          <w:shd w:val="clear" w:color="auto" w:fill="FFFFFF"/>
        </w:rPr>
      </w:pPr>
    </w:p>
    <w:p w14:paraId="26C695D8">
      <w:pPr>
        <w:autoSpaceDE w:val="0"/>
        <w:autoSpaceDN w:val="0"/>
        <w:spacing w:before="11"/>
        <w:rPr>
          <w:rFonts w:ascii="宋体" w:hAnsi="宋体" w:cs="宋体"/>
          <w:color w:val="auto"/>
          <w:sz w:val="19"/>
          <w:szCs w:val="21"/>
          <w:highlight w:val="none"/>
          <w:shd w:val="clear" w:color="auto" w:fill="FFFFFF"/>
        </w:rPr>
      </w:pPr>
    </w:p>
    <w:p w14:paraId="469EF0A8">
      <w:pPr>
        <w:autoSpaceDE w:val="0"/>
        <w:autoSpaceDN w:val="0"/>
        <w:spacing w:before="1"/>
        <w:ind w:left="4212"/>
        <w:jc w:val="right"/>
        <w:rPr>
          <w:rFonts w:ascii="宋体" w:hAnsi="宋体" w:cs="宋体"/>
          <w:color w:val="auto"/>
          <w:spacing w:val="-3"/>
          <w:szCs w:val="21"/>
          <w:highlight w:val="none"/>
          <w:shd w:val="clear" w:color="auto" w:fill="FFFFFF"/>
        </w:rPr>
      </w:pPr>
    </w:p>
    <w:p w14:paraId="781D0F90">
      <w:pPr>
        <w:autoSpaceDE w:val="0"/>
        <w:autoSpaceDN w:val="0"/>
        <w:spacing w:before="1"/>
        <w:ind w:left="4212"/>
        <w:jc w:val="right"/>
        <w:rPr>
          <w:rFonts w:ascii="宋体" w:hAnsi="宋体" w:cs="宋体"/>
          <w:color w:val="auto"/>
          <w:spacing w:val="-3"/>
          <w:szCs w:val="21"/>
          <w:highlight w:val="none"/>
          <w:shd w:val="clear" w:color="auto" w:fill="FFFFFF"/>
        </w:rPr>
      </w:pPr>
    </w:p>
    <w:p w14:paraId="4EFBF880">
      <w:pPr>
        <w:autoSpaceDE w:val="0"/>
        <w:autoSpaceDN w:val="0"/>
        <w:spacing w:before="1"/>
        <w:ind w:left="4212"/>
        <w:jc w:val="right"/>
        <w:rPr>
          <w:rFonts w:ascii="宋体" w:hAnsi="宋体" w:cs="宋体"/>
          <w:color w:val="auto"/>
          <w:szCs w:val="21"/>
          <w:highlight w:val="none"/>
          <w:shd w:val="clear" w:color="auto" w:fill="FFFFFF"/>
        </w:rPr>
      </w:pPr>
      <w:r>
        <w:rPr>
          <w:rFonts w:hint="eastAsia" w:ascii="宋体" w:hAnsi="宋体" w:cs="宋体"/>
          <w:color w:val="auto"/>
          <w:spacing w:val="-3"/>
          <w:szCs w:val="21"/>
          <w:highlight w:val="none"/>
          <w:shd w:val="clear" w:color="auto" w:fill="FFFFFF"/>
        </w:rPr>
        <w:t>投</w:t>
      </w:r>
      <w:r>
        <w:rPr>
          <w:rFonts w:hint="eastAsia" w:ascii="宋体" w:hAnsi="宋体" w:cs="宋体"/>
          <w:color w:val="auto"/>
          <w:szCs w:val="21"/>
          <w:highlight w:val="none"/>
          <w:shd w:val="clear" w:color="auto" w:fill="FFFFFF"/>
        </w:rPr>
        <w:t>标</w:t>
      </w:r>
      <w:r>
        <w:rPr>
          <w:rFonts w:hint="eastAsia" w:ascii="宋体" w:hAnsi="宋体" w:cs="宋体"/>
          <w:color w:val="auto"/>
          <w:spacing w:val="-3"/>
          <w:szCs w:val="21"/>
          <w:highlight w:val="none"/>
          <w:shd w:val="clear" w:color="auto" w:fill="FFFFFF"/>
        </w:rPr>
        <w:t>人</w:t>
      </w:r>
      <w:r>
        <w:rPr>
          <w:rFonts w:hint="eastAsia" w:ascii="宋体" w:hAnsi="宋体" w:cs="宋体"/>
          <w:color w:val="auto"/>
          <w:szCs w:val="21"/>
          <w:highlight w:val="none"/>
          <w:shd w:val="clear" w:color="auto" w:fill="FFFFFF"/>
        </w:rPr>
        <w:t>：</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（电子签章）</w:t>
      </w:r>
    </w:p>
    <w:p w14:paraId="510C0449">
      <w:pPr>
        <w:autoSpaceDE w:val="0"/>
        <w:autoSpaceDN w:val="0"/>
        <w:rPr>
          <w:rFonts w:ascii="宋体" w:hAnsi="宋体" w:cs="宋体"/>
          <w:color w:val="auto"/>
          <w:sz w:val="20"/>
          <w:szCs w:val="21"/>
          <w:highlight w:val="none"/>
          <w:shd w:val="clear" w:color="auto" w:fill="FFFFFF"/>
        </w:rPr>
      </w:pPr>
    </w:p>
    <w:p w14:paraId="44A50791">
      <w:pPr>
        <w:autoSpaceDE w:val="0"/>
        <w:autoSpaceDN w:val="0"/>
        <w:spacing w:before="36"/>
        <w:ind w:firstLine="4200" w:firstLineChars="2000"/>
        <w:jc w:val="left"/>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日  期：</w:t>
      </w:r>
      <w:r>
        <w:rPr>
          <w:rFonts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年</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shd w:val="clear" w:color="auto" w:fill="FFFFFF"/>
        </w:rPr>
        <w:t>月</w:t>
      </w:r>
      <w:r>
        <w:rPr>
          <w:rFonts w:ascii="宋体" w:hAnsi="宋体" w:cs="宋体"/>
          <w:color w:val="auto"/>
          <w:szCs w:val="21"/>
          <w:highlight w:val="none"/>
          <w:u w:val="single"/>
          <w:shd w:val="clear" w:color="auto" w:fill="FFFFFF"/>
        </w:rPr>
        <w:t xml:space="preserve"> </w:t>
      </w:r>
      <w:r>
        <w:rPr>
          <w:rFonts w:ascii="宋体" w:hAnsi="宋体" w:cs="宋体"/>
          <w:color w:val="auto"/>
          <w:szCs w:val="21"/>
          <w:highlight w:val="none"/>
          <w:u w:val="single"/>
          <w:shd w:val="clear" w:color="auto" w:fill="FFFFFF"/>
        </w:rPr>
        <w:tab/>
      </w:r>
      <w:r>
        <w:rPr>
          <w:rFonts w:hint="eastAsia" w:ascii="宋体" w:hAnsi="宋体" w:cs="宋体"/>
          <w:color w:val="auto"/>
          <w:szCs w:val="21"/>
          <w:highlight w:val="none"/>
          <w:u w:val="single"/>
          <w:shd w:val="clear" w:color="auto" w:fill="FFFFFF"/>
        </w:rPr>
        <w:t xml:space="preserve">  </w:t>
      </w:r>
      <w:r>
        <w:rPr>
          <w:rFonts w:hint="eastAsia" w:ascii="宋体" w:hAnsi="宋体" w:cs="宋体"/>
          <w:color w:val="auto"/>
          <w:szCs w:val="21"/>
          <w:highlight w:val="none"/>
          <w:shd w:val="clear" w:color="auto" w:fill="FFFFFF"/>
        </w:rPr>
        <w:t>日</w:t>
      </w:r>
      <w:bookmarkStart w:id="110" w:name="_bookmark149"/>
      <w:bookmarkEnd w:id="110"/>
      <w:bookmarkStart w:id="111" w:name="_Toc495063090"/>
    </w:p>
    <w:p w14:paraId="14DFDF76">
      <w:pPr>
        <w:autoSpaceDE w:val="0"/>
        <w:autoSpaceDN w:val="0"/>
        <w:spacing w:line="480" w:lineRule="auto"/>
        <w:ind w:right="-1"/>
        <w:jc w:val="center"/>
        <w:rPr>
          <w:rFonts w:ascii="宋体" w:hAnsi="宋体" w:cs="Microsoft JhengHei"/>
          <w:b/>
          <w:bCs/>
          <w:color w:val="auto"/>
          <w:sz w:val="32"/>
          <w:szCs w:val="32"/>
          <w:highlight w:val="none"/>
          <w:shd w:val="clear" w:color="auto" w:fill="FFFFFF"/>
        </w:rPr>
      </w:pPr>
    </w:p>
    <w:p w14:paraId="487B8834">
      <w:pPr>
        <w:autoSpaceDE w:val="0"/>
        <w:autoSpaceDN w:val="0"/>
        <w:spacing w:line="480" w:lineRule="auto"/>
        <w:ind w:right="-1"/>
        <w:jc w:val="center"/>
        <w:rPr>
          <w:rFonts w:ascii="宋体" w:hAnsi="宋体" w:cs="Microsoft JhengHei"/>
          <w:b/>
          <w:bCs/>
          <w:color w:val="auto"/>
          <w:sz w:val="32"/>
          <w:szCs w:val="32"/>
          <w:highlight w:val="none"/>
          <w:shd w:val="clear" w:color="auto" w:fill="FFFFFF"/>
        </w:rPr>
        <w:sectPr>
          <w:pgSz w:w="11906" w:h="16838"/>
          <w:pgMar w:top="1440" w:right="1349" w:bottom="1327" w:left="1349" w:header="850" w:footer="907" w:gutter="0"/>
          <w:pgNumType w:fmt="decimal"/>
          <w:cols w:space="0" w:num="1"/>
          <w:rtlGutter w:val="0"/>
          <w:docGrid w:linePitch="312" w:charSpace="0"/>
        </w:sectPr>
      </w:pPr>
      <w:bookmarkStart w:id="112" w:name="_Toc520578624"/>
      <w:bookmarkStart w:id="113" w:name="_Toc495447617"/>
      <w:bookmarkStart w:id="114" w:name="_Toc27118_WPSOffice_Level1"/>
      <w:bookmarkStart w:id="115" w:name="_Toc518560899"/>
    </w:p>
    <w:p w14:paraId="7F6A613E">
      <w:pPr>
        <w:autoSpaceDE w:val="0"/>
        <w:autoSpaceDN w:val="0"/>
        <w:spacing w:line="480" w:lineRule="auto"/>
        <w:ind w:right="-1"/>
        <w:jc w:val="center"/>
        <w:outlineLvl w:val="2"/>
        <w:rPr>
          <w:rFonts w:ascii="宋体" w:hAnsi="宋体" w:cs="Microsoft JhengHei"/>
          <w:b/>
          <w:bCs/>
          <w:color w:val="auto"/>
          <w:sz w:val="32"/>
          <w:szCs w:val="32"/>
          <w:highlight w:val="none"/>
          <w:shd w:val="clear" w:color="auto" w:fill="FFFFFF"/>
        </w:rPr>
      </w:pPr>
      <w:r>
        <w:rPr>
          <w:rFonts w:hint="eastAsia" w:ascii="宋体" w:hAnsi="宋体" w:cs="Microsoft JhengHei"/>
          <w:b/>
          <w:bCs/>
          <w:color w:val="auto"/>
          <w:sz w:val="32"/>
          <w:szCs w:val="32"/>
          <w:highlight w:val="none"/>
          <w:shd w:val="clear" w:color="auto" w:fill="FFFFFF"/>
        </w:rPr>
        <w:t>三、授权委托书</w:t>
      </w:r>
      <w:bookmarkEnd w:id="111"/>
      <w:bookmarkEnd w:id="112"/>
      <w:bookmarkEnd w:id="113"/>
      <w:bookmarkEnd w:id="114"/>
      <w:bookmarkEnd w:id="115"/>
    </w:p>
    <w:p w14:paraId="1ACCC745">
      <w:pPr>
        <w:autoSpaceDE w:val="0"/>
        <w:autoSpaceDN w:val="0"/>
        <w:spacing w:line="480" w:lineRule="auto"/>
        <w:ind w:firstLine="420" w:firstLineChars="200"/>
        <w:rPr>
          <w:rFonts w:ascii="宋体" w:hAnsi="宋体" w:cs="宋体"/>
          <w:color w:val="auto"/>
          <w:szCs w:val="21"/>
          <w:highlight w:val="none"/>
          <w:shd w:val="clear" w:color="auto" w:fill="FFFFFF"/>
        </w:rPr>
      </w:pPr>
    </w:p>
    <w:p w14:paraId="352AEDB0">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本人</w:t>
      </w:r>
      <w:r>
        <w:rPr>
          <w:rFonts w:hint="eastAsia" w:ascii="宋体" w:hAnsi="宋体" w:cs="宋体"/>
          <w:color w:val="auto"/>
          <w:szCs w:val="21"/>
          <w:highlight w:val="none"/>
          <w:u w:val="single"/>
        </w:rPr>
        <w:t xml:space="preserve">         （姓名）</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（投标人名称）</w:t>
      </w:r>
      <w:r>
        <w:rPr>
          <w:rFonts w:hint="eastAsia" w:ascii="宋体" w:hAnsi="宋体" w:cs="宋体"/>
          <w:color w:val="auto"/>
          <w:szCs w:val="21"/>
          <w:highlight w:val="none"/>
        </w:rPr>
        <w:t>的法定代表人，现委托</w:t>
      </w:r>
      <w:r>
        <w:rPr>
          <w:rFonts w:hint="eastAsia" w:ascii="宋体" w:hAnsi="宋体" w:cs="宋体"/>
          <w:color w:val="auto"/>
          <w:szCs w:val="21"/>
          <w:highlight w:val="none"/>
          <w:u w:val="single"/>
        </w:rPr>
        <w:t xml:space="preserve">       （姓名）</w:t>
      </w:r>
      <w:r>
        <w:rPr>
          <w:rFonts w:hint="eastAsia" w:ascii="宋体" w:hAnsi="宋体" w:cs="宋体"/>
          <w:color w:val="auto"/>
          <w:szCs w:val="21"/>
          <w:highlight w:val="none"/>
        </w:rPr>
        <w:t>为我方代理人。代理人根据授权，以我方名义签署、澄清、说明、补正、递交、撤回、修改</w:t>
      </w:r>
      <w:r>
        <w:rPr>
          <w:rFonts w:hint="eastAsia" w:ascii="宋体" w:hAnsi="宋体" w:cs="宋体"/>
          <w:color w:val="auto"/>
          <w:szCs w:val="21"/>
          <w:highlight w:val="none"/>
          <w:u w:val="single"/>
          <w:lang w:eastAsia="zh-CN"/>
        </w:rPr>
        <w:t>盐津县2025年地方优势特色农业保险采购（二次）</w:t>
      </w:r>
      <w:r>
        <w:rPr>
          <w:rFonts w:hint="eastAsia" w:ascii="宋体" w:hAnsi="宋体" w:cs="宋体"/>
          <w:color w:val="auto"/>
          <w:szCs w:val="21"/>
          <w:highlight w:val="none"/>
        </w:rPr>
        <w:t>投标文件、签订合同和处理有关事宜，其法律后果由我方承担。</w:t>
      </w:r>
    </w:p>
    <w:p w14:paraId="7FA8F558">
      <w:pPr>
        <w:spacing w:line="44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委托期限：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1912F3B2">
      <w:pPr>
        <w:spacing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代理人无转委托权。</w:t>
      </w:r>
    </w:p>
    <w:p w14:paraId="01A8747E">
      <w:pPr>
        <w:spacing w:after="240" w:afterLines="100" w:line="500" w:lineRule="exact"/>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附：</w:t>
      </w:r>
      <w:r>
        <w:rPr>
          <w:rFonts w:hint="eastAsia" w:ascii="宋体" w:hAnsi="宋体" w:cs="宋体"/>
          <w:color w:val="auto"/>
          <w:szCs w:val="20"/>
          <w:highlight w:val="none"/>
        </w:rPr>
        <w:t>委托代理人身份证扫描件</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20"/>
        <w:gridCol w:w="4120"/>
      </w:tblGrid>
      <w:tr w14:paraId="18495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2" w:hRule="atLeast"/>
          <w:jc w:val="center"/>
        </w:trPr>
        <w:tc>
          <w:tcPr>
            <w:tcW w:w="4120" w:type="dxa"/>
            <w:vAlign w:val="center"/>
          </w:tcPr>
          <w:p w14:paraId="3506837D">
            <w:pPr>
              <w:keepNext w:val="0"/>
              <w:keepLines w:val="0"/>
              <w:suppressLineNumbers w:val="0"/>
              <w:tabs>
                <w:tab w:val="left" w:pos="720"/>
                <w:tab w:val="left" w:pos="900"/>
              </w:tabs>
              <w:spacing w:before="0" w:beforeAutospacing="0" w:after="0" w:afterAutospacing="0" w:line="360" w:lineRule="auto"/>
              <w:ind w:left="0" w:right="0"/>
              <w:jc w:val="center"/>
              <w:rPr>
                <w:rFonts w:hint="default" w:ascii="宋体" w:hAnsi="宋体" w:cs="宋体"/>
                <w:color w:val="auto"/>
                <w:sz w:val="24"/>
                <w:szCs w:val="20"/>
                <w:highlight w:val="none"/>
              </w:rPr>
            </w:pPr>
          </w:p>
        </w:tc>
        <w:tc>
          <w:tcPr>
            <w:tcW w:w="4120" w:type="dxa"/>
            <w:vAlign w:val="center"/>
          </w:tcPr>
          <w:p w14:paraId="0B28F86B">
            <w:pPr>
              <w:keepNext w:val="0"/>
              <w:keepLines w:val="0"/>
              <w:suppressLineNumbers w:val="0"/>
              <w:tabs>
                <w:tab w:val="left" w:pos="720"/>
                <w:tab w:val="left" w:pos="900"/>
              </w:tabs>
              <w:spacing w:before="0" w:beforeAutospacing="0" w:after="0" w:afterAutospacing="0" w:line="360" w:lineRule="auto"/>
              <w:ind w:left="0" w:right="0"/>
              <w:jc w:val="center"/>
              <w:rPr>
                <w:rFonts w:hint="default" w:ascii="宋体" w:hAnsi="宋体" w:cs="宋体"/>
                <w:color w:val="auto"/>
                <w:sz w:val="24"/>
                <w:szCs w:val="20"/>
                <w:highlight w:val="none"/>
              </w:rPr>
            </w:pPr>
          </w:p>
        </w:tc>
      </w:tr>
    </w:tbl>
    <w:p w14:paraId="5F8DC033">
      <w:pPr>
        <w:spacing w:line="500" w:lineRule="exact"/>
        <w:ind w:firstLine="420" w:firstLineChars="200"/>
        <w:jc w:val="left"/>
        <w:rPr>
          <w:rFonts w:ascii="宋体" w:hAnsi="宋体" w:cs="宋体"/>
          <w:color w:val="auto"/>
          <w:szCs w:val="21"/>
          <w:highlight w:val="none"/>
        </w:rPr>
      </w:pPr>
    </w:p>
    <w:p w14:paraId="2868E11E">
      <w:pPr>
        <w:spacing w:line="440" w:lineRule="exact"/>
        <w:ind w:firstLine="3570" w:firstLineChars="1700"/>
        <w:jc w:val="left"/>
        <w:rPr>
          <w:rFonts w:ascii="宋体" w:hAnsi="宋体" w:cs="宋体"/>
          <w:color w:val="auto"/>
          <w:szCs w:val="21"/>
          <w:highlight w:val="none"/>
        </w:rPr>
      </w:pPr>
    </w:p>
    <w:p w14:paraId="19DE66D9">
      <w:pPr>
        <w:spacing w:line="440" w:lineRule="exact"/>
        <w:ind w:firstLine="3570" w:firstLineChars="1700"/>
        <w:jc w:val="left"/>
        <w:rPr>
          <w:rFonts w:ascii="宋体" w:hAnsi="宋体" w:cs="宋体"/>
          <w:color w:val="auto"/>
          <w:szCs w:val="21"/>
          <w:highlight w:val="none"/>
        </w:rPr>
      </w:pPr>
    </w:p>
    <w:p w14:paraId="6A283B52">
      <w:pPr>
        <w:spacing w:line="440" w:lineRule="exact"/>
        <w:ind w:firstLine="3570" w:firstLineChars="1700"/>
        <w:jc w:val="left"/>
        <w:rPr>
          <w:rFonts w:ascii="宋体" w:hAnsi="宋体" w:cs="宋体"/>
          <w:color w:val="auto"/>
          <w:szCs w:val="21"/>
          <w:highlight w:val="none"/>
        </w:rPr>
      </w:pPr>
    </w:p>
    <w:p w14:paraId="19A0F53E">
      <w:pPr>
        <w:spacing w:line="440" w:lineRule="exact"/>
        <w:ind w:firstLine="2520" w:firstLineChars="1200"/>
        <w:jc w:val="left"/>
        <w:rPr>
          <w:rFonts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0"/>
          <w:highlight w:val="none"/>
          <w:u w:val="single"/>
        </w:rPr>
        <w:t xml:space="preserve">                              </w:t>
      </w:r>
      <w:r>
        <w:rPr>
          <w:rFonts w:hint="eastAsia" w:ascii="宋体" w:hAnsi="宋体" w:cs="宋体"/>
          <w:color w:val="auto"/>
          <w:szCs w:val="21"/>
          <w:highlight w:val="none"/>
        </w:rPr>
        <w:t>（电子签章）</w:t>
      </w:r>
    </w:p>
    <w:p w14:paraId="5AAC1046">
      <w:pPr>
        <w:spacing w:line="440" w:lineRule="exact"/>
        <w:ind w:firstLine="2520" w:firstLineChars="1200"/>
        <w:jc w:val="left"/>
        <w:rPr>
          <w:rFonts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0"/>
          <w:highlight w:val="none"/>
          <w:u w:val="single"/>
        </w:rPr>
        <w:t xml:space="preserve">                              </w:t>
      </w:r>
      <w:r>
        <w:rPr>
          <w:rFonts w:hint="eastAsia" w:ascii="宋体" w:hAnsi="宋体" w:cs="宋体"/>
          <w:color w:val="auto"/>
          <w:szCs w:val="21"/>
          <w:highlight w:val="none"/>
        </w:rPr>
        <w:t>（电子签名）</w:t>
      </w:r>
    </w:p>
    <w:p w14:paraId="5D96E8BD">
      <w:pPr>
        <w:spacing w:line="440" w:lineRule="exact"/>
        <w:ind w:firstLine="2520" w:firstLineChars="1200"/>
        <w:jc w:val="left"/>
        <w:rPr>
          <w:rFonts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0"/>
          <w:highlight w:val="none"/>
          <w:u w:val="single"/>
        </w:rPr>
        <w:t xml:space="preserve">                                         </w:t>
      </w:r>
    </w:p>
    <w:p w14:paraId="1C340D7C">
      <w:pPr>
        <w:spacing w:line="440" w:lineRule="exact"/>
        <w:ind w:firstLine="2520" w:firstLineChars="1200"/>
        <w:jc w:val="left"/>
        <w:rPr>
          <w:rFonts w:ascii="宋体" w:hAnsi="宋体" w:cs="宋体"/>
          <w:color w:val="auto"/>
          <w:szCs w:val="21"/>
          <w:highlight w:val="none"/>
        </w:rPr>
      </w:pPr>
      <w:r>
        <w:rPr>
          <w:rFonts w:hint="eastAsia" w:ascii="宋体" w:hAnsi="宋体" w:cs="宋体"/>
          <w:color w:val="auto"/>
          <w:szCs w:val="21"/>
          <w:highlight w:val="none"/>
        </w:rPr>
        <w:t>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14:paraId="1C22834C">
      <w:pPr>
        <w:spacing w:line="440" w:lineRule="exact"/>
        <w:ind w:firstLine="2520" w:firstLineChars="1200"/>
        <w:jc w:val="left"/>
        <w:rPr>
          <w:rFonts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0"/>
          <w:highlight w:val="none"/>
          <w:u w:val="single"/>
        </w:rPr>
        <w:t xml:space="preserve">                                        </w:t>
      </w:r>
    </w:p>
    <w:p w14:paraId="41CD01E5">
      <w:pPr>
        <w:spacing w:line="440" w:lineRule="exact"/>
        <w:ind w:firstLine="2520" w:firstLineChars="1200"/>
        <w:jc w:val="left"/>
        <w:rPr>
          <w:rFonts w:ascii="宋体" w:hAnsi="宋体" w:cs="宋体"/>
          <w:color w:val="auto"/>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Cs w:val="20"/>
          <w:highlight w:val="none"/>
        </w:rPr>
        <w:t>日      期：</w:t>
      </w:r>
      <w:r>
        <w:rPr>
          <w:rFonts w:hint="eastAsia" w:ascii="宋体" w:hAnsi="宋体" w:cs="宋体"/>
          <w:color w:val="auto"/>
          <w:szCs w:val="20"/>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0"/>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0"/>
          <w:highlight w:val="none"/>
          <w:u w:val="single"/>
        </w:rPr>
        <w:t xml:space="preserve">        </w:t>
      </w:r>
      <w:r>
        <w:rPr>
          <w:rFonts w:hint="eastAsia" w:ascii="宋体" w:hAnsi="宋体" w:cs="宋体"/>
          <w:color w:val="auto"/>
          <w:szCs w:val="21"/>
          <w:highlight w:val="none"/>
        </w:rPr>
        <w:t>日</w:t>
      </w:r>
    </w:p>
    <w:p w14:paraId="5B22529A">
      <w:pPr>
        <w:spacing w:line="500" w:lineRule="atLeast"/>
        <w:jc w:val="center"/>
        <w:rPr>
          <w:b/>
          <w:bCs/>
          <w:color w:val="auto"/>
          <w:sz w:val="28"/>
          <w:szCs w:val="28"/>
          <w:highlight w:val="none"/>
        </w:rPr>
      </w:pPr>
      <w:r>
        <w:rPr>
          <w:rFonts w:hint="eastAsia"/>
          <w:b/>
          <w:bCs/>
          <w:color w:val="auto"/>
          <w:sz w:val="32"/>
          <w:szCs w:val="32"/>
          <w:highlight w:val="none"/>
        </w:rPr>
        <w:t>四、投标报价</w:t>
      </w:r>
    </w:p>
    <w:p w14:paraId="6E9D36EA">
      <w:pPr>
        <w:spacing w:line="500" w:lineRule="atLeast"/>
        <w:jc w:val="center"/>
        <w:rPr>
          <w:rFonts w:ascii="宋体" w:hAnsi="宋体" w:cs="宋体"/>
          <w:b/>
          <w:bCs/>
          <w:color w:val="auto"/>
          <w:sz w:val="44"/>
          <w:szCs w:val="44"/>
          <w:highlight w:val="none"/>
          <w:lang w:bidi="en-US"/>
        </w:rPr>
      </w:pPr>
    </w:p>
    <w:p w14:paraId="6D89B530">
      <w:pPr>
        <w:spacing w:line="500" w:lineRule="atLeast"/>
        <w:jc w:val="center"/>
        <w:rPr>
          <w:rFonts w:ascii="宋体" w:hAnsi="宋体" w:cs="宋体"/>
          <w:b/>
          <w:bCs/>
          <w:color w:val="auto"/>
          <w:sz w:val="44"/>
          <w:szCs w:val="44"/>
          <w:highlight w:val="none"/>
          <w:lang w:bidi="en-US"/>
        </w:rPr>
      </w:pPr>
      <w:r>
        <w:rPr>
          <w:rFonts w:hint="eastAsia" w:ascii="宋体" w:hAnsi="宋体" w:cs="宋体"/>
          <w:b/>
          <w:bCs/>
          <w:color w:val="auto"/>
          <w:sz w:val="28"/>
          <w:szCs w:val="28"/>
          <w:highlight w:val="none"/>
          <w:lang w:bidi="en-US"/>
        </w:rPr>
        <w:t>报价一览表</w:t>
      </w:r>
    </w:p>
    <w:p w14:paraId="3C188D7E">
      <w:pPr>
        <w:pStyle w:val="80"/>
        <w:spacing w:line="360" w:lineRule="exact"/>
        <w:rPr>
          <w:rFonts w:ascii="宋体" w:hAnsi="宋体" w:cs="宋体"/>
          <w:color w:val="auto"/>
          <w:szCs w:val="24"/>
          <w:highlight w:val="none"/>
          <w:lang w:eastAsia="zh-CN"/>
        </w:rPr>
      </w:pPr>
    </w:p>
    <w:p w14:paraId="7210D464">
      <w:pPr>
        <w:pStyle w:val="80"/>
        <w:spacing w:line="500" w:lineRule="exact"/>
        <w:rPr>
          <w:rFonts w:ascii="宋体" w:hAnsi="宋体" w:cs="宋体"/>
          <w:color w:val="auto"/>
          <w:szCs w:val="24"/>
          <w:highlight w:val="none"/>
          <w:lang w:eastAsia="zh-CN"/>
        </w:rPr>
      </w:pPr>
      <w:r>
        <w:rPr>
          <w:rFonts w:hint="eastAsia" w:ascii="宋体" w:hAnsi="宋体" w:cs="宋体"/>
          <w:color w:val="auto"/>
          <w:szCs w:val="24"/>
          <w:highlight w:val="none"/>
          <w:lang w:eastAsia="zh-CN"/>
        </w:rPr>
        <w:t>项目名称：盐津县2025年地方优势特色农业保险采购（二次）</w:t>
      </w:r>
    </w:p>
    <w:p w14:paraId="534C887A">
      <w:pPr>
        <w:pStyle w:val="80"/>
        <w:spacing w:line="500" w:lineRule="exact"/>
        <w:rPr>
          <w:rFonts w:ascii="宋体" w:hAnsi="宋体" w:cs="宋体"/>
          <w:bCs/>
          <w:color w:val="auto"/>
          <w:sz w:val="28"/>
          <w:szCs w:val="28"/>
          <w:highlight w:val="none"/>
          <w:lang w:eastAsia="zh-CN"/>
        </w:rPr>
      </w:pPr>
      <w:r>
        <w:rPr>
          <w:rFonts w:hint="eastAsia" w:ascii="宋体" w:hAnsi="宋体" w:cs="宋体"/>
          <w:color w:val="auto"/>
          <w:szCs w:val="24"/>
          <w:highlight w:val="none"/>
          <w:lang w:eastAsia="zh-CN"/>
        </w:rPr>
        <w:t>项目编号：</w:t>
      </w:r>
    </w:p>
    <w:tbl>
      <w:tblPr>
        <w:tblStyle w:val="35"/>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7"/>
        <w:gridCol w:w="1570"/>
        <w:gridCol w:w="6327"/>
      </w:tblGrid>
      <w:tr w14:paraId="4C0D4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jc w:val="center"/>
        </w:trPr>
        <w:tc>
          <w:tcPr>
            <w:tcW w:w="1097" w:type="dxa"/>
            <w:tcBorders>
              <w:bottom w:val="single" w:color="auto" w:sz="4" w:space="0"/>
            </w:tcBorders>
            <w:vAlign w:val="center"/>
          </w:tcPr>
          <w:p w14:paraId="77E95998">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序号</w:t>
            </w:r>
          </w:p>
        </w:tc>
        <w:tc>
          <w:tcPr>
            <w:tcW w:w="1570" w:type="dxa"/>
            <w:tcBorders>
              <w:bottom w:val="single" w:color="auto" w:sz="4" w:space="0"/>
            </w:tcBorders>
            <w:vAlign w:val="center"/>
          </w:tcPr>
          <w:p w14:paraId="18A94F76">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项目名称</w:t>
            </w:r>
          </w:p>
        </w:tc>
        <w:tc>
          <w:tcPr>
            <w:tcW w:w="6327" w:type="dxa"/>
            <w:tcBorders>
              <w:bottom w:val="single" w:color="auto" w:sz="4" w:space="0"/>
            </w:tcBorders>
            <w:vAlign w:val="center"/>
          </w:tcPr>
          <w:p w14:paraId="2D8D276A">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主要内容</w:t>
            </w:r>
          </w:p>
        </w:tc>
      </w:tr>
      <w:tr w14:paraId="5EB96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1097" w:type="dxa"/>
            <w:tcBorders>
              <w:bottom w:val="single" w:color="auto" w:sz="4" w:space="0"/>
            </w:tcBorders>
            <w:vAlign w:val="center"/>
          </w:tcPr>
          <w:p w14:paraId="63769008">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1</w:t>
            </w:r>
          </w:p>
        </w:tc>
        <w:tc>
          <w:tcPr>
            <w:tcW w:w="1570" w:type="dxa"/>
            <w:tcBorders>
              <w:bottom w:val="single" w:color="auto" w:sz="4" w:space="0"/>
            </w:tcBorders>
            <w:vAlign w:val="center"/>
          </w:tcPr>
          <w:p w14:paraId="53FF5FB5">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 xml:space="preserve"> 投标总报价</w:t>
            </w:r>
          </w:p>
        </w:tc>
        <w:tc>
          <w:tcPr>
            <w:tcW w:w="6327" w:type="dxa"/>
            <w:tcBorders>
              <w:bottom w:val="single" w:color="auto" w:sz="4" w:space="0"/>
            </w:tcBorders>
            <w:vAlign w:val="center"/>
          </w:tcPr>
          <w:p w14:paraId="65EA9356">
            <w:pPr>
              <w:keepNext w:val="0"/>
              <w:keepLines w:val="0"/>
              <w:suppressLineNumbers w:val="0"/>
              <w:spacing w:before="0" w:beforeAutospacing="0" w:after="0" w:afterAutospacing="0" w:line="440" w:lineRule="exact"/>
              <w:ind w:left="0" w:right="0" w:firstLine="420" w:firstLineChars="200"/>
              <w:jc w:val="left"/>
              <w:rPr>
                <w:rFonts w:hint="default"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元（大写：人民币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tc>
      </w:tr>
      <w:tr w14:paraId="3948A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097" w:type="dxa"/>
            <w:vAlign w:val="center"/>
          </w:tcPr>
          <w:p w14:paraId="502DCBC2">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2</w:t>
            </w:r>
          </w:p>
        </w:tc>
        <w:tc>
          <w:tcPr>
            <w:tcW w:w="1570" w:type="dxa"/>
            <w:vAlign w:val="center"/>
          </w:tcPr>
          <w:p w14:paraId="58123E4B">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服务期限</w:t>
            </w:r>
          </w:p>
        </w:tc>
        <w:tc>
          <w:tcPr>
            <w:tcW w:w="6327" w:type="dxa"/>
            <w:vAlign w:val="center"/>
          </w:tcPr>
          <w:p w14:paraId="682E6DD9">
            <w:pPr>
              <w:keepNext w:val="0"/>
              <w:keepLines w:val="0"/>
              <w:suppressLineNumbers w:val="0"/>
              <w:spacing w:before="0" w:beforeAutospacing="0" w:after="0" w:afterAutospacing="0" w:line="440" w:lineRule="exact"/>
              <w:ind w:left="0" w:right="0" w:firstLine="420" w:firstLineChars="200"/>
              <w:jc w:val="center"/>
              <w:rPr>
                <w:rFonts w:hint="default" w:ascii="宋体" w:hAnsi="宋体" w:cs="宋体"/>
                <w:bCs/>
                <w:color w:val="auto"/>
                <w:szCs w:val="21"/>
                <w:highlight w:val="none"/>
              </w:rPr>
            </w:pPr>
          </w:p>
        </w:tc>
      </w:tr>
      <w:tr w14:paraId="6D0BA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097" w:type="dxa"/>
            <w:vAlign w:val="center"/>
          </w:tcPr>
          <w:p w14:paraId="634BD558">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3</w:t>
            </w:r>
          </w:p>
        </w:tc>
        <w:tc>
          <w:tcPr>
            <w:tcW w:w="1570" w:type="dxa"/>
            <w:vAlign w:val="center"/>
          </w:tcPr>
          <w:p w14:paraId="709DAD32">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项目负责人</w:t>
            </w:r>
          </w:p>
        </w:tc>
        <w:tc>
          <w:tcPr>
            <w:tcW w:w="6327" w:type="dxa"/>
            <w:vAlign w:val="center"/>
          </w:tcPr>
          <w:p w14:paraId="189D5FDE">
            <w:pPr>
              <w:keepNext w:val="0"/>
              <w:keepLines w:val="0"/>
              <w:suppressLineNumbers w:val="0"/>
              <w:spacing w:before="0" w:beforeAutospacing="0" w:after="0" w:afterAutospacing="0" w:line="440" w:lineRule="exact"/>
              <w:ind w:left="0" w:right="0" w:firstLine="420" w:firstLineChars="200"/>
              <w:jc w:val="right"/>
              <w:rPr>
                <w:rFonts w:hint="default" w:ascii="宋体" w:hAnsi="宋体" w:cs="宋体"/>
                <w:bCs/>
                <w:color w:val="auto"/>
                <w:szCs w:val="21"/>
                <w:highlight w:val="none"/>
              </w:rPr>
            </w:pPr>
          </w:p>
        </w:tc>
      </w:tr>
      <w:tr w14:paraId="3B397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097" w:type="dxa"/>
            <w:vAlign w:val="center"/>
          </w:tcPr>
          <w:p w14:paraId="0996E235">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4</w:t>
            </w:r>
          </w:p>
        </w:tc>
        <w:tc>
          <w:tcPr>
            <w:tcW w:w="1570" w:type="dxa"/>
            <w:vAlign w:val="center"/>
          </w:tcPr>
          <w:p w14:paraId="0BDF83DB">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服务承诺</w:t>
            </w:r>
          </w:p>
        </w:tc>
        <w:tc>
          <w:tcPr>
            <w:tcW w:w="6327" w:type="dxa"/>
            <w:vAlign w:val="center"/>
          </w:tcPr>
          <w:p w14:paraId="1836E7C7">
            <w:pPr>
              <w:keepNext w:val="0"/>
              <w:keepLines w:val="0"/>
              <w:suppressLineNumbers w:val="0"/>
              <w:spacing w:before="0" w:beforeAutospacing="0" w:after="0" w:afterAutospacing="0" w:line="440" w:lineRule="exact"/>
              <w:ind w:left="0" w:right="0" w:firstLine="420" w:firstLineChars="200"/>
              <w:jc w:val="center"/>
              <w:rPr>
                <w:rFonts w:hint="default" w:ascii="宋体" w:hAnsi="宋体" w:cs="宋体"/>
                <w:bCs/>
                <w:color w:val="auto"/>
                <w:szCs w:val="21"/>
                <w:highlight w:val="none"/>
              </w:rPr>
            </w:pPr>
          </w:p>
        </w:tc>
      </w:tr>
      <w:tr w14:paraId="666F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1097" w:type="dxa"/>
            <w:vAlign w:val="center"/>
          </w:tcPr>
          <w:p w14:paraId="55DC29DA">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5</w:t>
            </w:r>
          </w:p>
        </w:tc>
        <w:tc>
          <w:tcPr>
            <w:tcW w:w="1570" w:type="dxa"/>
            <w:vAlign w:val="center"/>
          </w:tcPr>
          <w:p w14:paraId="59C40A15">
            <w:pPr>
              <w:keepNext w:val="0"/>
              <w:keepLines w:val="0"/>
              <w:suppressLineNumbers w:val="0"/>
              <w:spacing w:before="0" w:beforeAutospacing="0" w:after="0" w:afterAutospacing="0" w:line="440" w:lineRule="exact"/>
              <w:ind w:left="0" w:right="0"/>
              <w:jc w:val="center"/>
              <w:rPr>
                <w:rFonts w:hint="default" w:ascii="宋体" w:hAnsi="宋体" w:cs="宋体"/>
                <w:bCs/>
                <w:color w:val="auto"/>
                <w:szCs w:val="21"/>
                <w:highlight w:val="none"/>
              </w:rPr>
            </w:pPr>
            <w:r>
              <w:rPr>
                <w:rFonts w:hint="eastAsia" w:ascii="宋体" w:hAnsi="宋体" w:cs="宋体"/>
                <w:bCs/>
                <w:color w:val="auto"/>
                <w:szCs w:val="21"/>
                <w:highlight w:val="none"/>
              </w:rPr>
              <w:t>备  注</w:t>
            </w:r>
          </w:p>
        </w:tc>
        <w:tc>
          <w:tcPr>
            <w:tcW w:w="6327" w:type="dxa"/>
            <w:vAlign w:val="center"/>
          </w:tcPr>
          <w:p w14:paraId="6DAF8860">
            <w:pPr>
              <w:keepNext w:val="0"/>
              <w:keepLines w:val="0"/>
              <w:suppressLineNumbers w:val="0"/>
              <w:spacing w:before="0" w:beforeAutospacing="0" w:after="0" w:afterAutospacing="0" w:line="440" w:lineRule="exact"/>
              <w:ind w:left="0" w:right="0" w:firstLine="420" w:firstLineChars="200"/>
              <w:jc w:val="left"/>
              <w:rPr>
                <w:rFonts w:hint="default" w:ascii="宋体" w:hAnsi="宋体" w:cs="宋体"/>
                <w:bCs/>
                <w:color w:val="auto"/>
                <w:szCs w:val="21"/>
                <w:highlight w:val="none"/>
              </w:rPr>
            </w:pPr>
          </w:p>
        </w:tc>
      </w:tr>
    </w:tbl>
    <w:p w14:paraId="454994A7">
      <w:pPr>
        <w:pStyle w:val="80"/>
        <w:spacing w:line="600" w:lineRule="exact"/>
        <w:rPr>
          <w:rFonts w:ascii="宋体" w:hAnsi="宋体" w:cs="宋体"/>
          <w:b/>
          <w:color w:val="auto"/>
          <w:sz w:val="28"/>
          <w:szCs w:val="28"/>
          <w:highlight w:val="none"/>
          <w:lang w:eastAsia="zh-CN"/>
        </w:rPr>
      </w:pPr>
    </w:p>
    <w:p w14:paraId="4C094C4B">
      <w:pPr>
        <w:spacing w:line="440" w:lineRule="exact"/>
        <w:jc w:val="left"/>
        <w:rPr>
          <w:rFonts w:ascii="宋体" w:hAnsi="宋体" w:cs="宋体"/>
          <w:color w:val="auto"/>
          <w:szCs w:val="21"/>
          <w:highlight w:val="none"/>
        </w:rPr>
      </w:pPr>
    </w:p>
    <w:p w14:paraId="7F052CBE">
      <w:pPr>
        <w:spacing w:line="440" w:lineRule="exact"/>
        <w:jc w:val="right"/>
        <w:rPr>
          <w:rFonts w:ascii="宋体" w:hAnsi="宋体" w:cs="宋体"/>
          <w:color w:val="auto"/>
          <w:szCs w:val="21"/>
          <w:highlight w:val="none"/>
        </w:rPr>
      </w:pPr>
    </w:p>
    <w:p w14:paraId="17E1CEC3">
      <w:pPr>
        <w:spacing w:line="440" w:lineRule="exact"/>
        <w:jc w:val="right"/>
        <w:rPr>
          <w:rFonts w:ascii="宋体" w:hAnsi="宋体" w:cs="宋体"/>
          <w:color w:val="auto"/>
          <w:szCs w:val="21"/>
          <w:highlight w:val="none"/>
        </w:rPr>
      </w:pPr>
      <w:r>
        <w:rPr>
          <w:rFonts w:hint="eastAsia" w:ascii="宋体" w:hAnsi="宋体" w:cs="宋体"/>
          <w:color w:val="auto"/>
          <w:szCs w:val="21"/>
          <w:highlight w:val="none"/>
        </w:rPr>
        <w:t>投  标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（电子签章）</w:t>
      </w:r>
    </w:p>
    <w:p w14:paraId="517A1A36">
      <w:pPr>
        <w:spacing w:line="440" w:lineRule="exact"/>
        <w:jc w:val="right"/>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（电子签名）</w:t>
      </w:r>
    </w:p>
    <w:p w14:paraId="6552F4E8">
      <w:pPr>
        <w:pStyle w:val="11"/>
        <w:adjustRightInd/>
        <w:spacing w:line="440" w:lineRule="exact"/>
        <w:ind w:firstLine="0"/>
        <w:jc w:val="right"/>
        <w:rPr>
          <w:color w:val="auto"/>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7533122">
      <w:pPr>
        <w:pStyle w:val="11"/>
        <w:adjustRightInd/>
        <w:spacing w:line="440" w:lineRule="exact"/>
        <w:ind w:firstLine="0"/>
        <w:jc w:val="center"/>
        <w:rPr>
          <w:rFonts w:ascii="宋体" w:hAnsi="宋体"/>
          <w:b/>
          <w:bCs/>
          <w:color w:val="auto"/>
          <w:sz w:val="32"/>
          <w:szCs w:val="32"/>
          <w:highlight w:val="none"/>
          <w:shd w:val="clear" w:color="auto" w:fill="FFFFFF"/>
        </w:rPr>
      </w:pPr>
      <w:bookmarkStart w:id="116" w:name="_Toc16901_WPSOffice_Level1"/>
      <w:bookmarkStart w:id="117" w:name="_Toc520578643"/>
      <w:r>
        <w:rPr>
          <w:rFonts w:hint="eastAsia" w:ascii="宋体" w:hAnsi="宋体"/>
          <w:b/>
          <w:bCs/>
          <w:color w:val="auto"/>
          <w:sz w:val="32"/>
          <w:szCs w:val="32"/>
          <w:highlight w:val="none"/>
          <w:shd w:val="clear" w:color="auto" w:fill="FFFFFF"/>
        </w:rPr>
        <w:t>五、</w:t>
      </w:r>
      <w:bookmarkEnd w:id="116"/>
      <w:bookmarkEnd w:id="117"/>
      <w:r>
        <w:rPr>
          <w:rFonts w:hint="eastAsia" w:ascii="宋体" w:hAnsi="宋体"/>
          <w:b/>
          <w:bCs/>
          <w:color w:val="auto"/>
          <w:sz w:val="32"/>
          <w:szCs w:val="32"/>
          <w:highlight w:val="none"/>
          <w:shd w:val="clear" w:color="auto" w:fill="FFFFFF"/>
        </w:rPr>
        <w:t>投标人资格审查</w:t>
      </w:r>
    </w:p>
    <w:p w14:paraId="33D5EB4D">
      <w:pPr>
        <w:jc w:val="center"/>
        <w:rPr>
          <w:color w:val="auto"/>
          <w:highlight w:val="none"/>
        </w:rPr>
      </w:pPr>
    </w:p>
    <w:p w14:paraId="397CD42F">
      <w:pPr>
        <w:pStyle w:val="11"/>
        <w:ind w:firstLine="0"/>
        <w:jc w:val="center"/>
        <w:rPr>
          <w:color w:val="auto"/>
          <w:highlight w:val="none"/>
        </w:rPr>
      </w:pPr>
      <w:r>
        <w:rPr>
          <w:rFonts w:hint="eastAsia"/>
          <w:b/>
          <w:bCs/>
          <w:color w:val="auto"/>
          <w:sz w:val="28"/>
          <w:szCs w:val="28"/>
          <w:highlight w:val="none"/>
        </w:rPr>
        <w:t>（一）投标人基本情况表</w:t>
      </w:r>
    </w:p>
    <w:p w14:paraId="604F5E2F">
      <w:pPr>
        <w:rPr>
          <w:color w:val="auto"/>
          <w:highlight w:val="none"/>
        </w:rPr>
      </w:pPr>
    </w:p>
    <w:tbl>
      <w:tblPr>
        <w:tblStyle w:val="35"/>
        <w:tblW w:w="8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70"/>
        <w:gridCol w:w="1859"/>
        <w:gridCol w:w="1858"/>
        <w:gridCol w:w="2112"/>
      </w:tblGrid>
      <w:tr w14:paraId="79976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2" w:hRule="exact"/>
          <w:jc w:val="center"/>
        </w:trPr>
        <w:tc>
          <w:tcPr>
            <w:tcW w:w="2270" w:type="dxa"/>
            <w:vAlign w:val="center"/>
          </w:tcPr>
          <w:p w14:paraId="73C7EDC5">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投标</w:t>
            </w:r>
            <w:r>
              <w:rPr>
                <w:rFonts w:hint="default"/>
                <w:color w:val="auto"/>
                <w:spacing w:val="-3"/>
                <w:szCs w:val="21"/>
                <w:highlight w:val="none"/>
                <w:shd w:val="clear" w:color="auto" w:fill="FFFFFF"/>
              </w:rPr>
              <w:t>人</w:t>
            </w:r>
            <w:r>
              <w:rPr>
                <w:rFonts w:hint="default"/>
                <w:color w:val="auto"/>
                <w:szCs w:val="21"/>
                <w:highlight w:val="none"/>
                <w:shd w:val="clear" w:color="auto" w:fill="FFFFFF"/>
              </w:rPr>
              <w:t>名</w:t>
            </w:r>
            <w:r>
              <w:rPr>
                <w:rFonts w:hint="default"/>
                <w:color w:val="auto"/>
                <w:spacing w:val="-3"/>
                <w:szCs w:val="21"/>
                <w:highlight w:val="none"/>
                <w:shd w:val="clear" w:color="auto" w:fill="FFFFFF"/>
              </w:rPr>
              <w:t>称</w:t>
            </w:r>
          </w:p>
        </w:tc>
        <w:tc>
          <w:tcPr>
            <w:tcW w:w="5829" w:type="dxa"/>
            <w:gridSpan w:val="3"/>
            <w:vAlign w:val="center"/>
          </w:tcPr>
          <w:p w14:paraId="75834129">
            <w:pPr>
              <w:pStyle w:val="87"/>
              <w:keepNext w:val="0"/>
              <w:keepLines w:val="0"/>
              <w:suppressLineNumbers w:val="0"/>
              <w:spacing w:before="0" w:beforeAutospacing="0" w:after="0" w:afterAutospacing="0"/>
              <w:ind w:left="0" w:right="0"/>
              <w:jc w:val="center"/>
              <w:rPr>
                <w:rFonts w:hint="default"/>
                <w:color w:val="auto"/>
                <w:szCs w:val="21"/>
                <w:highlight w:val="none"/>
                <w:shd w:val="clear" w:color="auto" w:fill="FFFFFF"/>
              </w:rPr>
            </w:pPr>
          </w:p>
        </w:tc>
      </w:tr>
      <w:tr w14:paraId="57F11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3" w:hRule="exact"/>
          <w:jc w:val="center"/>
        </w:trPr>
        <w:tc>
          <w:tcPr>
            <w:tcW w:w="2270" w:type="dxa"/>
            <w:vAlign w:val="center"/>
          </w:tcPr>
          <w:p w14:paraId="57891801">
            <w:pPr>
              <w:pStyle w:val="87"/>
              <w:keepNext w:val="0"/>
              <w:keepLines w:val="0"/>
              <w:suppressLineNumbers w:val="0"/>
              <w:spacing w:before="7" w:beforeAutospacing="0" w:after="0" w:afterAutospacing="0" w:line="120" w:lineRule="exact"/>
              <w:ind w:left="-283" w:leftChars="-135" w:right="0"/>
              <w:jc w:val="center"/>
              <w:rPr>
                <w:rFonts w:hint="default"/>
                <w:color w:val="auto"/>
                <w:szCs w:val="21"/>
                <w:highlight w:val="none"/>
                <w:shd w:val="clear" w:color="auto" w:fill="FFFFFF"/>
              </w:rPr>
            </w:pPr>
          </w:p>
          <w:p w14:paraId="49EF5F12">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pacing w:val="-3"/>
                <w:szCs w:val="21"/>
                <w:highlight w:val="none"/>
                <w:shd w:val="clear" w:color="auto" w:fill="FFFFFF"/>
              </w:rPr>
              <w:t>统</w:t>
            </w:r>
            <w:r>
              <w:rPr>
                <w:rFonts w:hint="default"/>
                <w:color w:val="auto"/>
                <w:szCs w:val="21"/>
                <w:highlight w:val="none"/>
                <w:shd w:val="clear" w:color="auto" w:fill="FFFFFF"/>
              </w:rPr>
              <w:t>一</w:t>
            </w:r>
            <w:r>
              <w:rPr>
                <w:rFonts w:hint="default"/>
                <w:color w:val="auto"/>
                <w:spacing w:val="-3"/>
                <w:szCs w:val="21"/>
                <w:highlight w:val="none"/>
                <w:shd w:val="clear" w:color="auto" w:fill="FFFFFF"/>
              </w:rPr>
              <w:t>社</w:t>
            </w:r>
            <w:r>
              <w:rPr>
                <w:rFonts w:hint="default"/>
                <w:color w:val="auto"/>
                <w:szCs w:val="21"/>
                <w:highlight w:val="none"/>
                <w:shd w:val="clear" w:color="auto" w:fill="FFFFFF"/>
              </w:rPr>
              <w:t>会</w:t>
            </w:r>
            <w:r>
              <w:rPr>
                <w:rFonts w:hint="default"/>
                <w:color w:val="auto"/>
                <w:spacing w:val="-3"/>
                <w:szCs w:val="21"/>
                <w:highlight w:val="none"/>
                <w:shd w:val="clear" w:color="auto" w:fill="FFFFFF"/>
              </w:rPr>
              <w:t>信</w:t>
            </w:r>
            <w:r>
              <w:rPr>
                <w:rFonts w:hint="default"/>
                <w:color w:val="auto"/>
                <w:szCs w:val="21"/>
                <w:highlight w:val="none"/>
                <w:shd w:val="clear" w:color="auto" w:fill="FFFFFF"/>
              </w:rPr>
              <w:t>用</w:t>
            </w:r>
            <w:r>
              <w:rPr>
                <w:rFonts w:hint="default"/>
                <w:color w:val="auto"/>
                <w:spacing w:val="-3"/>
                <w:szCs w:val="21"/>
                <w:highlight w:val="none"/>
                <w:shd w:val="clear" w:color="auto" w:fill="FFFFFF"/>
              </w:rPr>
              <w:t>代</w:t>
            </w:r>
            <w:r>
              <w:rPr>
                <w:rFonts w:hint="default"/>
                <w:color w:val="auto"/>
                <w:szCs w:val="21"/>
                <w:highlight w:val="none"/>
                <w:shd w:val="clear" w:color="auto" w:fill="FFFFFF"/>
              </w:rPr>
              <w:t>码</w:t>
            </w:r>
          </w:p>
        </w:tc>
        <w:tc>
          <w:tcPr>
            <w:tcW w:w="5829" w:type="dxa"/>
            <w:gridSpan w:val="3"/>
            <w:vAlign w:val="center"/>
          </w:tcPr>
          <w:p w14:paraId="380588E9">
            <w:pPr>
              <w:pStyle w:val="87"/>
              <w:keepNext w:val="0"/>
              <w:keepLines w:val="0"/>
              <w:suppressLineNumbers w:val="0"/>
              <w:spacing w:before="0" w:beforeAutospacing="0" w:after="0" w:afterAutospacing="0"/>
              <w:ind w:left="0" w:right="0"/>
              <w:jc w:val="center"/>
              <w:rPr>
                <w:rFonts w:hint="default"/>
                <w:color w:val="auto"/>
                <w:szCs w:val="21"/>
                <w:highlight w:val="none"/>
                <w:shd w:val="clear" w:color="auto" w:fill="FFFFFF"/>
              </w:rPr>
            </w:pPr>
          </w:p>
        </w:tc>
      </w:tr>
      <w:tr w14:paraId="6F736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exact"/>
          <w:jc w:val="center"/>
        </w:trPr>
        <w:tc>
          <w:tcPr>
            <w:tcW w:w="2270" w:type="dxa"/>
            <w:vAlign w:val="center"/>
          </w:tcPr>
          <w:p w14:paraId="1AE35F41">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注册</w:t>
            </w:r>
            <w:r>
              <w:rPr>
                <w:rFonts w:hint="default"/>
                <w:color w:val="auto"/>
                <w:spacing w:val="-3"/>
                <w:szCs w:val="21"/>
                <w:highlight w:val="none"/>
                <w:shd w:val="clear" w:color="auto" w:fill="FFFFFF"/>
              </w:rPr>
              <w:t>资</w:t>
            </w:r>
            <w:r>
              <w:rPr>
                <w:rFonts w:hint="default"/>
                <w:color w:val="auto"/>
                <w:szCs w:val="21"/>
                <w:highlight w:val="none"/>
                <w:shd w:val="clear" w:color="auto" w:fill="FFFFFF"/>
              </w:rPr>
              <w:t>金</w:t>
            </w:r>
          </w:p>
        </w:tc>
        <w:tc>
          <w:tcPr>
            <w:tcW w:w="1859" w:type="dxa"/>
            <w:vAlign w:val="center"/>
          </w:tcPr>
          <w:p w14:paraId="229977DC">
            <w:pPr>
              <w:pStyle w:val="87"/>
              <w:keepNext w:val="0"/>
              <w:keepLines w:val="0"/>
              <w:suppressLineNumbers w:val="0"/>
              <w:spacing w:before="7" w:beforeAutospacing="0" w:after="0" w:afterAutospacing="0" w:line="120" w:lineRule="exact"/>
              <w:ind w:left="-283" w:leftChars="-135" w:right="0"/>
              <w:jc w:val="center"/>
              <w:rPr>
                <w:rFonts w:hint="default"/>
                <w:color w:val="auto"/>
                <w:szCs w:val="21"/>
                <w:highlight w:val="none"/>
                <w:shd w:val="clear" w:color="auto" w:fill="FFFFFF"/>
              </w:rPr>
            </w:pPr>
          </w:p>
          <w:p w14:paraId="14153C14">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c>
          <w:tcPr>
            <w:tcW w:w="1858" w:type="dxa"/>
            <w:vAlign w:val="center"/>
          </w:tcPr>
          <w:p w14:paraId="7645C6F2">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邮政</w:t>
            </w:r>
            <w:r>
              <w:rPr>
                <w:rFonts w:hint="default"/>
                <w:color w:val="auto"/>
                <w:spacing w:val="-3"/>
                <w:szCs w:val="21"/>
                <w:highlight w:val="none"/>
                <w:shd w:val="clear" w:color="auto" w:fill="FFFFFF"/>
              </w:rPr>
              <w:t>编</w:t>
            </w:r>
            <w:r>
              <w:rPr>
                <w:rFonts w:hint="default"/>
                <w:color w:val="auto"/>
                <w:szCs w:val="21"/>
                <w:highlight w:val="none"/>
                <w:shd w:val="clear" w:color="auto" w:fill="FFFFFF"/>
              </w:rPr>
              <w:t>码</w:t>
            </w:r>
          </w:p>
        </w:tc>
        <w:tc>
          <w:tcPr>
            <w:tcW w:w="2112" w:type="dxa"/>
            <w:vAlign w:val="center"/>
          </w:tcPr>
          <w:p w14:paraId="43DC01D8">
            <w:pPr>
              <w:pStyle w:val="87"/>
              <w:keepNext w:val="0"/>
              <w:keepLines w:val="0"/>
              <w:suppressLineNumbers w:val="0"/>
              <w:spacing w:before="7" w:beforeAutospacing="0" w:after="0" w:afterAutospacing="0" w:line="120" w:lineRule="exact"/>
              <w:ind w:left="-283" w:leftChars="-135" w:right="0"/>
              <w:jc w:val="center"/>
              <w:rPr>
                <w:rFonts w:hint="default"/>
                <w:color w:val="auto"/>
                <w:szCs w:val="21"/>
                <w:highlight w:val="none"/>
                <w:shd w:val="clear" w:color="auto" w:fill="FFFFFF"/>
              </w:rPr>
            </w:pPr>
          </w:p>
          <w:p w14:paraId="4FD3C19A">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r>
      <w:tr w14:paraId="0BAE1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1" w:hRule="exact"/>
          <w:jc w:val="center"/>
        </w:trPr>
        <w:tc>
          <w:tcPr>
            <w:tcW w:w="2270" w:type="dxa"/>
            <w:vAlign w:val="center"/>
          </w:tcPr>
          <w:p w14:paraId="0C8BDEB7">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公司</w:t>
            </w:r>
            <w:r>
              <w:rPr>
                <w:rFonts w:hint="default"/>
                <w:color w:val="auto"/>
                <w:spacing w:val="-3"/>
                <w:szCs w:val="21"/>
                <w:highlight w:val="none"/>
                <w:shd w:val="clear" w:color="auto" w:fill="FFFFFF"/>
              </w:rPr>
              <w:t>成</w:t>
            </w:r>
            <w:r>
              <w:rPr>
                <w:rFonts w:hint="default"/>
                <w:color w:val="auto"/>
                <w:szCs w:val="21"/>
                <w:highlight w:val="none"/>
                <w:shd w:val="clear" w:color="auto" w:fill="FFFFFF"/>
              </w:rPr>
              <w:t>立</w:t>
            </w:r>
            <w:r>
              <w:rPr>
                <w:rFonts w:hint="default"/>
                <w:color w:val="auto"/>
                <w:spacing w:val="-3"/>
                <w:szCs w:val="21"/>
                <w:highlight w:val="none"/>
                <w:shd w:val="clear" w:color="auto" w:fill="FFFFFF"/>
              </w:rPr>
              <w:t>日</w:t>
            </w:r>
            <w:r>
              <w:rPr>
                <w:rFonts w:hint="default"/>
                <w:color w:val="auto"/>
                <w:szCs w:val="21"/>
                <w:highlight w:val="none"/>
                <w:shd w:val="clear" w:color="auto" w:fill="FFFFFF"/>
              </w:rPr>
              <w:t>期</w:t>
            </w:r>
          </w:p>
        </w:tc>
        <w:tc>
          <w:tcPr>
            <w:tcW w:w="1859" w:type="dxa"/>
            <w:vAlign w:val="center"/>
          </w:tcPr>
          <w:p w14:paraId="28CE76F7">
            <w:pPr>
              <w:pStyle w:val="87"/>
              <w:keepNext w:val="0"/>
              <w:keepLines w:val="0"/>
              <w:suppressLineNumbers w:val="0"/>
              <w:spacing w:before="7" w:beforeAutospacing="0" w:after="0" w:afterAutospacing="0" w:line="120" w:lineRule="exact"/>
              <w:ind w:left="-283" w:leftChars="-135" w:right="0"/>
              <w:jc w:val="center"/>
              <w:rPr>
                <w:rFonts w:hint="default"/>
                <w:color w:val="auto"/>
                <w:szCs w:val="21"/>
                <w:highlight w:val="none"/>
                <w:shd w:val="clear" w:color="auto" w:fill="FFFFFF"/>
              </w:rPr>
            </w:pPr>
          </w:p>
          <w:p w14:paraId="5F57F3A5">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c>
          <w:tcPr>
            <w:tcW w:w="1858" w:type="dxa"/>
            <w:vAlign w:val="center"/>
          </w:tcPr>
          <w:p w14:paraId="11DE11D4">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企业</w:t>
            </w:r>
            <w:r>
              <w:rPr>
                <w:rFonts w:hint="default"/>
                <w:color w:val="auto"/>
                <w:spacing w:val="-3"/>
                <w:szCs w:val="21"/>
                <w:highlight w:val="none"/>
                <w:shd w:val="clear" w:color="auto" w:fill="FFFFFF"/>
              </w:rPr>
              <w:t>网</w:t>
            </w:r>
            <w:r>
              <w:rPr>
                <w:rFonts w:hint="default"/>
                <w:color w:val="auto"/>
                <w:szCs w:val="21"/>
                <w:highlight w:val="none"/>
                <w:shd w:val="clear" w:color="auto" w:fill="FFFFFF"/>
              </w:rPr>
              <w:t>站</w:t>
            </w:r>
            <w:r>
              <w:rPr>
                <w:rFonts w:hint="default"/>
                <w:color w:val="auto"/>
                <w:spacing w:val="-3"/>
                <w:szCs w:val="21"/>
                <w:highlight w:val="none"/>
                <w:shd w:val="clear" w:color="auto" w:fill="FFFFFF"/>
              </w:rPr>
              <w:t>网</w:t>
            </w:r>
            <w:r>
              <w:rPr>
                <w:rFonts w:hint="default"/>
                <w:color w:val="auto"/>
                <w:szCs w:val="21"/>
                <w:highlight w:val="none"/>
                <w:shd w:val="clear" w:color="auto" w:fill="FFFFFF"/>
              </w:rPr>
              <w:t>址</w:t>
            </w:r>
          </w:p>
          <w:p w14:paraId="19B52A55">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pacing w:val="-3"/>
                <w:szCs w:val="21"/>
                <w:highlight w:val="none"/>
                <w:shd w:val="clear" w:color="auto" w:fill="FFFFFF"/>
              </w:rPr>
              <w:t>（</w:t>
            </w:r>
            <w:r>
              <w:rPr>
                <w:rFonts w:hint="default"/>
                <w:color w:val="auto"/>
                <w:szCs w:val="21"/>
                <w:highlight w:val="none"/>
                <w:shd w:val="clear" w:color="auto" w:fill="FFFFFF"/>
              </w:rPr>
              <w:t>如</w:t>
            </w:r>
            <w:r>
              <w:rPr>
                <w:rFonts w:hint="default"/>
                <w:color w:val="auto"/>
                <w:spacing w:val="-3"/>
                <w:szCs w:val="21"/>
                <w:highlight w:val="none"/>
                <w:shd w:val="clear" w:color="auto" w:fill="FFFFFF"/>
              </w:rPr>
              <w:t>有</w:t>
            </w:r>
            <w:r>
              <w:rPr>
                <w:rFonts w:hint="default"/>
                <w:color w:val="auto"/>
                <w:spacing w:val="-106"/>
                <w:szCs w:val="21"/>
                <w:highlight w:val="none"/>
                <w:shd w:val="clear" w:color="auto" w:fill="FFFFFF"/>
              </w:rPr>
              <w:t>）</w:t>
            </w:r>
            <w:r>
              <w:rPr>
                <w:rFonts w:hint="eastAsia"/>
                <w:color w:val="auto"/>
                <w:spacing w:val="-3"/>
                <w:szCs w:val="21"/>
                <w:highlight w:val="none"/>
                <w:shd w:val="clear" w:color="auto" w:fill="FFFFFF"/>
              </w:rPr>
              <w:t>）</w:t>
            </w:r>
          </w:p>
        </w:tc>
        <w:tc>
          <w:tcPr>
            <w:tcW w:w="2112" w:type="dxa"/>
            <w:vAlign w:val="center"/>
          </w:tcPr>
          <w:p w14:paraId="7ADA7EB3">
            <w:pPr>
              <w:pStyle w:val="87"/>
              <w:keepNext w:val="0"/>
              <w:keepLines w:val="0"/>
              <w:suppressLineNumbers w:val="0"/>
              <w:spacing w:before="7" w:beforeAutospacing="0" w:after="0" w:afterAutospacing="0" w:line="120" w:lineRule="exact"/>
              <w:ind w:left="-283" w:leftChars="-135" w:right="0"/>
              <w:jc w:val="center"/>
              <w:rPr>
                <w:rFonts w:hint="default"/>
                <w:color w:val="auto"/>
                <w:szCs w:val="21"/>
                <w:highlight w:val="none"/>
                <w:shd w:val="clear" w:color="auto" w:fill="FFFFFF"/>
              </w:rPr>
            </w:pPr>
          </w:p>
          <w:p w14:paraId="628561A0">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r>
      <w:tr w14:paraId="2AAC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9" w:hRule="exact"/>
          <w:jc w:val="center"/>
        </w:trPr>
        <w:tc>
          <w:tcPr>
            <w:tcW w:w="2270" w:type="dxa"/>
            <w:vAlign w:val="center"/>
          </w:tcPr>
          <w:p w14:paraId="2DC198A7">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企业</w:t>
            </w:r>
            <w:r>
              <w:rPr>
                <w:rFonts w:hint="default"/>
                <w:color w:val="auto"/>
                <w:spacing w:val="-3"/>
                <w:szCs w:val="21"/>
                <w:highlight w:val="none"/>
                <w:shd w:val="clear" w:color="auto" w:fill="FFFFFF"/>
              </w:rPr>
              <w:t>电</w:t>
            </w:r>
            <w:r>
              <w:rPr>
                <w:rFonts w:hint="default"/>
                <w:color w:val="auto"/>
                <w:szCs w:val="21"/>
                <w:highlight w:val="none"/>
                <w:shd w:val="clear" w:color="auto" w:fill="FFFFFF"/>
              </w:rPr>
              <w:t>话</w:t>
            </w:r>
          </w:p>
        </w:tc>
        <w:tc>
          <w:tcPr>
            <w:tcW w:w="1859" w:type="dxa"/>
            <w:vAlign w:val="center"/>
          </w:tcPr>
          <w:p w14:paraId="59E5CDC3">
            <w:pPr>
              <w:pStyle w:val="87"/>
              <w:keepNext w:val="0"/>
              <w:keepLines w:val="0"/>
              <w:suppressLineNumbers w:val="0"/>
              <w:spacing w:before="9" w:beforeAutospacing="0" w:after="0" w:afterAutospacing="0" w:line="120" w:lineRule="exact"/>
              <w:ind w:left="-283" w:leftChars="-135" w:right="0"/>
              <w:jc w:val="center"/>
              <w:rPr>
                <w:rFonts w:hint="default"/>
                <w:color w:val="auto"/>
                <w:szCs w:val="21"/>
                <w:highlight w:val="none"/>
                <w:shd w:val="clear" w:color="auto" w:fill="FFFFFF"/>
              </w:rPr>
            </w:pPr>
          </w:p>
          <w:p w14:paraId="2889BFC9">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c>
          <w:tcPr>
            <w:tcW w:w="1858" w:type="dxa"/>
            <w:vAlign w:val="center"/>
          </w:tcPr>
          <w:p w14:paraId="06B99DE9">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通讯</w:t>
            </w:r>
            <w:r>
              <w:rPr>
                <w:rFonts w:hint="default"/>
                <w:color w:val="auto"/>
                <w:spacing w:val="-3"/>
                <w:szCs w:val="21"/>
                <w:highlight w:val="none"/>
                <w:shd w:val="clear" w:color="auto" w:fill="FFFFFF"/>
              </w:rPr>
              <w:t>地</w:t>
            </w:r>
            <w:r>
              <w:rPr>
                <w:rFonts w:hint="default"/>
                <w:color w:val="auto"/>
                <w:szCs w:val="21"/>
                <w:highlight w:val="none"/>
                <w:shd w:val="clear" w:color="auto" w:fill="FFFFFF"/>
              </w:rPr>
              <w:t>址</w:t>
            </w:r>
          </w:p>
        </w:tc>
        <w:tc>
          <w:tcPr>
            <w:tcW w:w="2112" w:type="dxa"/>
            <w:vAlign w:val="center"/>
          </w:tcPr>
          <w:p w14:paraId="48B7D718">
            <w:pPr>
              <w:pStyle w:val="87"/>
              <w:keepNext w:val="0"/>
              <w:keepLines w:val="0"/>
              <w:suppressLineNumbers w:val="0"/>
              <w:spacing w:before="9" w:beforeAutospacing="0" w:after="0" w:afterAutospacing="0" w:line="120" w:lineRule="exact"/>
              <w:ind w:left="-283" w:leftChars="-135" w:right="0"/>
              <w:jc w:val="center"/>
              <w:rPr>
                <w:rFonts w:hint="default"/>
                <w:color w:val="auto"/>
                <w:szCs w:val="21"/>
                <w:highlight w:val="none"/>
                <w:shd w:val="clear" w:color="auto" w:fill="FFFFFF"/>
              </w:rPr>
            </w:pPr>
          </w:p>
          <w:p w14:paraId="739ADBBE">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r>
      <w:tr w14:paraId="65C1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7" w:hRule="exact"/>
          <w:jc w:val="center"/>
        </w:trPr>
        <w:tc>
          <w:tcPr>
            <w:tcW w:w="2270" w:type="dxa"/>
            <w:vAlign w:val="center"/>
          </w:tcPr>
          <w:p w14:paraId="095D3155">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公司</w:t>
            </w:r>
            <w:r>
              <w:rPr>
                <w:rFonts w:hint="default"/>
                <w:color w:val="auto"/>
                <w:spacing w:val="-3"/>
                <w:szCs w:val="21"/>
                <w:highlight w:val="none"/>
                <w:shd w:val="clear" w:color="auto" w:fill="FFFFFF"/>
              </w:rPr>
              <w:t>简</w:t>
            </w:r>
            <w:r>
              <w:rPr>
                <w:rFonts w:hint="default"/>
                <w:color w:val="auto"/>
                <w:szCs w:val="21"/>
                <w:highlight w:val="none"/>
                <w:shd w:val="clear" w:color="auto" w:fill="FFFFFF"/>
              </w:rPr>
              <w:t>介</w:t>
            </w:r>
          </w:p>
        </w:tc>
        <w:tc>
          <w:tcPr>
            <w:tcW w:w="5829" w:type="dxa"/>
            <w:gridSpan w:val="3"/>
            <w:vAlign w:val="center"/>
          </w:tcPr>
          <w:p w14:paraId="199F295E">
            <w:pPr>
              <w:pStyle w:val="87"/>
              <w:keepNext w:val="0"/>
              <w:keepLines w:val="0"/>
              <w:suppressLineNumbers w:val="0"/>
              <w:spacing w:before="7" w:beforeAutospacing="0" w:after="0" w:afterAutospacing="0" w:line="120" w:lineRule="exact"/>
              <w:ind w:left="-283" w:leftChars="-135" w:right="0"/>
              <w:jc w:val="center"/>
              <w:rPr>
                <w:rFonts w:hint="default"/>
                <w:color w:val="auto"/>
                <w:szCs w:val="21"/>
                <w:highlight w:val="none"/>
                <w:shd w:val="clear" w:color="auto" w:fill="FFFFFF"/>
              </w:rPr>
            </w:pPr>
          </w:p>
          <w:p w14:paraId="56E602E1">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r>
      <w:tr w14:paraId="44FFC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4" w:hRule="exact"/>
          <w:jc w:val="center"/>
        </w:trPr>
        <w:tc>
          <w:tcPr>
            <w:tcW w:w="2270" w:type="dxa"/>
            <w:vAlign w:val="center"/>
          </w:tcPr>
          <w:p w14:paraId="2953FECF">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经营</w:t>
            </w:r>
            <w:r>
              <w:rPr>
                <w:rFonts w:hint="default"/>
                <w:color w:val="auto"/>
                <w:spacing w:val="-3"/>
                <w:szCs w:val="21"/>
                <w:highlight w:val="none"/>
                <w:shd w:val="clear" w:color="auto" w:fill="FFFFFF"/>
              </w:rPr>
              <w:t>范</w:t>
            </w:r>
            <w:r>
              <w:rPr>
                <w:rFonts w:hint="default"/>
                <w:color w:val="auto"/>
                <w:szCs w:val="21"/>
                <w:highlight w:val="none"/>
                <w:shd w:val="clear" w:color="auto" w:fill="FFFFFF"/>
              </w:rPr>
              <w:t>围</w:t>
            </w:r>
          </w:p>
        </w:tc>
        <w:tc>
          <w:tcPr>
            <w:tcW w:w="5829" w:type="dxa"/>
            <w:gridSpan w:val="3"/>
            <w:vAlign w:val="center"/>
          </w:tcPr>
          <w:p w14:paraId="4DFE3B74">
            <w:pPr>
              <w:pStyle w:val="87"/>
              <w:keepNext w:val="0"/>
              <w:keepLines w:val="0"/>
              <w:suppressLineNumbers w:val="0"/>
              <w:spacing w:before="7" w:beforeAutospacing="0" w:after="0" w:afterAutospacing="0" w:line="120" w:lineRule="exact"/>
              <w:ind w:left="-283" w:leftChars="-135" w:right="0"/>
              <w:jc w:val="center"/>
              <w:rPr>
                <w:rFonts w:hint="default"/>
                <w:color w:val="auto"/>
                <w:szCs w:val="21"/>
                <w:highlight w:val="none"/>
                <w:shd w:val="clear" w:color="auto" w:fill="FFFFFF"/>
              </w:rPr>
            </w:pPr>
          </w:p>
          <w:p w14:paraId="7B103519">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r>
      <w:tr w14:paraId="4C1B6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0" w:hRule="exact"/>
          <w:jc w:val="center"/>
        </w:trPr>
        <w:tc>
          <w:tcPr>
            <w:tcW w:w="2270" w:type="dxa"/>
            <w:vAlign w:val="center"/>
          </w:tcPr>
          <w:p w14:paraId="3B7B7F62">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r>
              <w:rPr>
                <w:rFonts w:hint="default"/>
                <w:color w:val="auto"/>
                <w:szCs w:val="21"/>
                <w:highlight w:val="none"/>
                <w:shd w:val="clear" w:color="auto" w:fill="FFFFFF"/>
              </w:rPr>
              <w:t>公司</w:t>
            </w:r>
            <w:r>
              <w:rPr>
                <w:rFonts w:hint="default"/>
                <w:color w:val="auto"/>
                <w:spacing w:val="-3"/>
                <w:szCs w:val="21"/>
                <w:highlight w:val="none"/>
                <w:shd w:val="clear" w:color="auto" w:fill="FFFFFF"/>
              </w:rPr>
              <w:t>拥</w:t>
            </w:r>
            <w:r>
              <w:rPr>
                <w:rFonts w:hint="default"/>
                <w:color w:val="auto"/>
                <w:szCs w:val="21"/>
                <w:highlight w:val="none"/>
                <w:shd w:val="clear" w:color="auto" w:fill="FFFFFF"/>
              </w:rPr>
              <w:t>有</w:t>
            </w:r>
            <w:r>
              <w:rPr>
                <w:rFonts w:hint="default"/>
                <w:color w:val="auto"/>
                <w:spacing w:val="-3"/>
                <w:szCs w:val="21"/>
                <w:highlight w:val="none"/>
                <w:shd w:val="clear" w:color="auto" w:fill="FFFFFF"/>
              </w:rPr>
              <w:t>资</w:t>
            </w:r>
            <w:r>
              <w:rPr>
                <w:rFonts w:hint="default"/>
                <w:color w:val="auto"/>
                <w:szCs w:val="21"/>
                <w:highlight w:val="none"/>
                <w:shd w:val="clear" w:color="auto" w:fill="FFFFFF"/>
              </w:rPr>
              <w:t>质</w:t>
            </w:r>
            <w:r>
              <w:rPr>
                <w:rFonts w:hint="default"/>
                <w:color w:val="auto"/>
                <w:spacing w:val="-3"/>
                <w:szCs w:val="21"/>
                <w:highlight w:val="none"/>
                <w:shd w:val="clear" w:color="auto" w:fill="FFFFFF"/>
              </w:rPr>
              <w:t>证</w:t>
            </w:r>
            <w:r>
              <w:rPr>
                <w:rFonts w:hint="default"/>
                <w:color w:val="auto"/>
                <w:szCs w:val="21"/>
                <w:highlight w:val="none"/>
                <w:shd w:val="clear" w:color="auto" w:fill="FFFFFF"/>
              </w:rPr>
              <w:t>书</w:t>
            </w:r>
          </w:p>
        </w:tc>
        <w:tc>
          <w:tcPr>
            <w:tcW w:w="5829" w:type="dxa"/>
            <w:gridSpan w:val="3"/>
            <w:vAlign w:val="center"/>
          </w:tcPr>
          <w:p w14:paraId="7AEB92BA">
            <w:pPr>
              <w:pStyle w:val="87"/>
              <w:keepNext w:val="0"/>
              <w:keepLines w:val="0"/>
              <w:suppressLineNumbers w:val="0"/>
              <w:spacing w:before="7" w:beforeAutospacing="0" w:after="0" w:afterAutospacing="0" w:line="120" w:lineRule="exact"/>
              <w:ind w:left="-283" w:leftChars="-135" w:right="0"/>
              <w:jc w:val="center"/>
              <w:rPr>
                <w:rFonts w:hint="default"/>
                <w:color w:val="auto"/>
                <w:szCs w:val="21"/>
                <w:highlight w:val="none"/>
                <w:shd w:val="clear" w:color="auto" w:fill="FFFFFF"/>
              </w:rPr>
            </w:pPr>
          </w:p>
          <w:p w14:paraId="0C82E429">
            <w:pPr>
              <w:pStyle w:val="87"/>
              <w:keepNext w:val="0"/>
              <w:keepLines w:val="0"/>
              <w:suppressLineNumbers w:val="0"/>
              <w:spacing w:before="0" w:beforeAutospacing="0" w:after="0" w:afterAutospacing="0"/>
              <w:ind w:left="-283" w:leftChars="-135" w:right="0"/>
              <w:jc w:val="center"/>
              <w:rPr>
                <w:rFonts w:hint="default"/>
                <w:color w:val="auto"/>
                <w:szCs w:val="21"/>
                <w:highlight w:val="none"/>
                <w:shd w:val="clear" w:color="auto" w:fill="FFFFFF"/>
              </w:rPr>
            </w:pPr>
          </w:p>
        </w:tc>
      </w:tr>
    </w:tbl>
    <w:p w14:paraId="7AD62CDF">
      <w:pPr>
        <w:pStyle w:val="11"/>
        <w:adjustRightInd/>
        <w:spacing w:line="440" w:lineRule="exact"/>
        <w:ind w:firstLine="0"/>
        <w:jc w:val="left"/>
        <w:rPr>
          <w:rFonts w:ascii="宋体" w:hAnsi="宋体" w:cs="宋体"/>
          <w:b/>
          <w:bCs/>
          <w:color w:val="auto"/>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b/>
          <w:bCs/>
          <w:color w:val="auto"/>
          <w:highlight w:val="none"/>
        </w:rPr>
        <w:t>注：本表后附营业执照及相关证书扫描件</w:t>
      </w:r>
    </w:p>
    <w:p w14:paraId="678C250C">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二）</w:t>
      </w:r>
      <w:r>
        <w:rPr>
          <w:rFonts w:hint="eastAsia"/>
          <w:color w:val="auto"/>
          <w:sz w:val="21"/>
          <w:szCs w:val="21"/>
          <w:highlight w:val="none"/>
        </w:rPr>
        <w:t>由相关主管部门出具的最近一个年度内任意三个月缴纳社会保障资金的凭据复印件（专用收据或社会保险缴纳清单）（在本项目公告发布之日前不需要缴纳社会保障资金的，提供不需要缴纳社会保障金声明函）。</w:t>
      </w:r>
    </w:p>
    <w:p w14:paraId="7D80CB5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三</w:t>
      </w:r>
      <w:r>
        <w:rPr>
          <w:rFonts w:hint="eastAsia"/>
          <w:color w:val="auto"/>
          <w:sz w:val="21"/>
          <w:szCs w:val="21"/>
          <w:highlight w:val="none"/>
        </w:rPr>
        <w:t>）信用中国（https：//www.creditchina.gov.cn）平台上无失信记录（未被列入失信被执行人名单、重大税收违法案件当事人名单）截图的复印件。</w:t>
      </w:r>
    </w:p>
    <w:p w14:paraId="3992C59D">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四）申请人需提供</w:t>
      </w:r>
      <w:r>
        <w:rPr>
          <w:rFonts w:hint="eastAsia"/>
          <w:color w:val="auto"/>
          <w:sz w:val="21"/>
          <w:szCs w:val="21"/>
          <w:highlight w:val="none"/>
          <w:lang w:eastAsia="zh-CN"/>
        </w:rPr>
        <w:t>银行开具的银行资信证明复印件、最近两个年度财务审计报告，包括资产负债表、利润（损益）表、现金流量表、所有者权益变动表（若有）及其附注。</w:t>
      </w:r>
    </w:p>
    <w:p w14:paraId="0E03F7CB">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lang w:eastAsia="zh-CN"/>
        </w:rPr>
      </w:pPr>
      <w:r>
        <w:rPr>
          <w:rFonts w:hint="eastAsia"/>
          <w:color w:val="auto"/>
          <w:sz w:val="21"/>
          <w:szCs w:val="21"/>
          <w:highlight w:val="none"/>
          <w:lang w:val="en-US" w:eastAsia="zh-CN"/>
        </w:rPr>
        <w:t>（五）</w:t>
      </w:r>
      <w:r>
        <w:rPr>
          <w:rFonts w:hint="eastAsia"/>
          <w:color w:val="auto"/>
          <w:sz w:val="21"/>
          <w:szCs w:val="21"/>
          <w:highlight w:val="none"/>
          <w:lang w:eastAsia="zh-CN"/>
        </w:rPr>
        <w:t>最近一个年度内任意三个月依法缴纳税收的缴税凭据复印件加盖公章，如免纳税的，提供免纳税声明函。</w:t>
      </w:r>
    </w:p>
    <w:p w14:paraId="6C508590">
      <w:pPr>
        <w:pStyle w:val="32"/>
        <w:keepNext w:val="0"/>
        <w:keepLines w:val="0"/>
        <w:pageBreakBefore w:val="0"/>
        <w:widowControl/>
        <w:kinsoku/>
        <w:wordWrap/>
        <w:overflowPunct/>
        <w:topLinePunct w:val="0"/>
        <w:autoSpaceDE/>
        <w:autoSpaceDN/>
        <w:bidi w:val="0"/>
        <w:adjustRightInd/>
        <w:snapToGrid/>
        <w:spacing w:before="0" w:beforeAutospacing="0" w:after="0" w:afterAutospacing="0" w:line="500" w:lineRule="exact"/>
        <w:ind w:firstLine="420" w:firstLineChars="200"/>
        <w:textAlignment w:val="auto"/>
        <w:rPr>
          <w:rFonts w:hint="eastAsia"/>
          <w:color w:val="auto"/>
          <w:sz w:val="21"/>
          <w:szCs w:val="21"/>
          <w:highlight w:val="none"/>
          <w:lang w:eastAsia="zh-CN"/>
        </w:rPr>
      </w:pPr>
      <w:r>
        <w:rPr>
          <w:rFonts w:hint="eastAsia"/>
          <w:color w:val="auto"/>
          <w:sz w:val="21"/>
          <w:szCs w:val="21"/>
          <w:highlight w:val="none"/>
          <w:lang w:eastAsia="zh-CN"/>
        </w:rPr>
        <w:t>（</w:t>
      </w:r>
      <w:r>
        <w:rPr>
          <w:rFonts w:hint="eastAsia"/>
          <w:color w:val="auto"/>
          <w:sz w:val="21"/>
          <w:szCs w:val="21"/>
          <w:highlight w:val="none"/>
          <w:lang w:val="en-US" w:eastAsia="zh-CN"/>
        </w:rPr>
        <w:t>六）</w:t>
      </w:r>
      <w:r>
        <w:rPr>
          <w:rFonts w:hint="eastAsia"/>
          <w:color w:val="auto"/>
          <w:sz w:val="21"/>
          <w:szCs w:val="21"/>
          <w:highlight w:val="none"/>
          <w:lang w:eastAsia="zh-CN"/>
        </w:rPr>
        <w:t>上级总公司与中国农业再保险股份有限公司（以下简称中国农再）约定分保业务信息系统进行对接的证明材料。上级总公司与中国农再签署的《政策性农业保险再保险标准协议》。</w:t>
      </w:r>
    </w:p>
    <w:p w14:paraId="5A5E7794">
      <w:pPr>
        <w:spacing w:line="440" w:lineRule="exact"/>
        <w:ind w:firstLine="420" w:firstLineChars="200"/>
        <w:jc w:val="left"/>
        <w:rPr>
          <w:rFonts w:ascii="宋体" w:hAnsi="宋体" w:cs="宋体"/>
          <w:color w:val="auto"/>
          <w:highlight w:val="none"/>
        </w:rPr>
        <w:sectPr>
          <w:pgSz w:w="11906" w:h="16838"/>
          <w:pgMar w:top="1440" w:right="1349" w:bottom="1327" w:left="1349" w:header="850" w:footer="907" w:gutter="0"/>
          <w:pgNumType w:fmt="decimal"/>
          <w:cols w:space="0" w:num="1"/>
          <w:rtlGutter w:val="0"/>
          <w:docGrid w:linePitch="312" w:charSpace="0"/>
        </w:sectPr>
      </w:pPr>
    </w:p>
    <w:p w14:paraId="4FBF86C5">
      <w:pPr>
        <w:pStyle w:val="11"/>
        <w:ind w:firstLine="0"/>
        <w:jc w:val="center"/>
        <w:rPr>
          <w:b/>
          <w:bCs/>
          <w:color w:val="auto"/>
          <w:sz w:val="32"/>
          <w:szCs w:val="32"/>
          <w:highlight w:val="none"/>
        </w:rPr>
      </w:pPr>
      <w:bookmarkStart w:id="118" w:name="_Toc495063091"/>
      <w:bookmarkStart w:id="119" w:name="_Toc495447618"/>
      <w:bookmarkStart w:id="120" w:name="_Toc518560902"/>
      <w:bookmarkStart w:id="121" w:name="_Toc8207_WPSOffice_Level1"/>
      <w:bookmarkStart w:id="122" w:name="_Toc520578649"/>
      <w:r>
        <w:rPr>
          <w:rFonts w:hint="eastAsia"/>
          <w:b/>
          <w:bCs/>
          <w:color w:val="auto"/>
          <w:sz w:val="32"/>
          <w:szCs w:val="32"/>
          <w:highlight w:val="none"/>
        </w:rPr>
        <w:t>六、投标保证金</w:t>
      </w:r>
      <w:bookmarkEnd w:id="118"/>
      <w:bookmarkEnd w:id="119"/>
      <w:r>
        <w:rPr>
          <w:rFonts w:hint="eastAsia"/>
          <w:b/>
          <w:bCs/>
          <w:color w:val="auto"/>
          <w:sz w:val="32"/>
          <w:szCs w:val="32"/>
          <w:highlight w:val="none"/>
        </w:rPr>
        <w:t>缴纳凭证</w:t>
      </w:r>
      <w:bookmarkEnd w:id="120"/>
      <w:bookmarkEnd w:id="121"/>
      <w:bookmarkEnd w:id="122"/>
      <w:bookmarkStart w:id="123" w:name="_Toc520578650"/>
      <w:bookmarkStart w:id="124" w:name="_Toc519185987"/>
      <w:bookmarkStart w:id="125" w:name="_Toc519186048"/>
      <w:bookmarkStart w:id="126" w:name="_Toc518560903"/>
    </w:p>
    <w:p w14:paraId="74B62EF6">
      <w:pPr>
        <w:pStyle w:val="11"/>
        <w:ind w:firstLine="0"/>
        <w:jc w:val="center"/>
        <w:rPr>
          <w:b/>
          <w:bCs/>
          <w:color w:val="auto"/>
          <w:sz w:val="32"/>
          <w:szCs w:val="32"/>
          <w:highlight w:val="none"/>
        </w:rPr>
      </w:pPr>
    </w:p>
    <w:p w14:paraId="2E899708">
      <w:pPr>
        <w:pStyle w:val="11"/>
        <w:ind w:firstLine="0"/>
        <w:jc w:val="center"/>
        <w:rPr>
          <w:b/>
          <w:bCs/>
          <w:color w:val="auto"/>
          <w:sz w:val="32"/>
          <w:szCs w:val="32"/>
          <w:highlight w:val="none"/>
        </w:rPr>
      </w:pPr>
    </w:p>
    <w:p w14:paraId="5CA1152F">
      <w:pPr>
        <w:pStyle w:val="11"/>
        <w:ind w:firstLine="0"/>
        <w:jc w:val="center"/>
        <w:rPr>
          <w:b/>
          <w:bCs/>
          <w:color w:val="auto"/>
          <w:sz w:val="32"/>
          <w:szCs w:val="32"/>
          <w:highlight w:val="none"/>
        </w:rPr>
      </w:pPr>
    </w:p>
    <w:p w14:paraId="041B4CAA">
      <w:pPr>
        <w:pStyle w:val="11"/>
        <w:ind w:firstLine="0"/>
        <w:jc w:val="center"/>
        <w:rPr>
          <w:rFonts w:ascii="宋体" w:hAnsi="宋体"/>
          <w:color w:val="auto"/>
          <w:sz w:val="24"/>
          <w:szCs w:val="24"/>
          <w:highlight w:val="none"/>
          <w:shd w:val="clear" w:color="auto" w:fill="FFFFFF"/>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olor w:val="auto"/>
          <w:sz w:val="24"/>
          <w:szCs w:val="24"/>
          <w:highlight w:val="none"/>
          <w:shd w:val="clear" w:color="auto" w:fill="FFFFFF"/>
        </w:rPr>
        <w:t>（本项目无需缴纳保证金）</w:t>
      </w:r>
      <w:bookmarkEnd w:id="123"/>
      <w:bookmarkEnd w:id="124"/>
      <w:bookmarkEnd w:id="125"/>
      <w:bookmarkEnd w:id="126"/>
    </w:p>
    <w:p w14:paraId="1D2908DC">
      <w:pPr>
        <w:jc w:val="center"/>
        <w:rPr>
          <w:b/>
          <w:bCs/>
          <w:color w:val="auto"/>
          <w:sz w:val="32"/>
          <w:szCs w:val="32"/>
          <w:highlight w:val="none"/>
        </w:rPr>
      </w:pPr>
      <w:r>
        <w:rPr>
          <w:rFonts w:hint="eastAsia"/>
          <w:b/>
          <w:bCs/>
          <w:color w:val="auto"/>
          <w:sz w:val="32"/>
          <w:szCs w:val="32"/>
          <w:highlight w:val="none"/>
        </w:rPr>
        <w:t>七、技术资料</w:t>
      </w:r>
    </w:p>
    <w:p w14:paraId="489BBA1B">
      <w:pPr>
        <w:jc w:val="center"/>
        <w:rPr>
          <w:b/>
          <w:bCs/>
          <w:color w:val="auto"/>
          <w:sz w:val="28"/>
          <w:szCs w:val="28"/>
          <w:highlight w:val="none"/>
        </w:rPr>
      </w:pPr>
    </w:p>
    <w:p w14:paraId="2D2BBCFD">
      <w:pPr>
        <w:numPr>
          <w:ilvl w:val="0"/>
          <w:numId w:val="10"/>
        </w:numPr>
        <w:jc w:val="center"/>
        <w:rPr>
          <w:b/>
          <w:bCs/>
          <w:color w:val="auto"/>
          <w:sz w:val="28"/>
          <w:szCs w:val="28"/>
          <w:highlight w:val="none"/>
        </w:rPr>
      </w:pPr>
      <w:r>
        <w:rPr>
          <w:rFonts w:hint="eastAsia"/>
          <w:b/>
          <w:bCs/>
          <w:color w:val="auto"/>
          <w:sz w:val="28"/>
          <w:szCs w:val="28"/>
          <w:highlight w:val="none"/>
        </w:rPr>
        <w:t>拟投入项目人员汇总表</w:t>
      </w:r>
    </w:p>
    <w:tbl>
      <w:tblPr>
        <w:tblStyle w:val="35"/>
        <w:tblW w:w="8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850"/>
        <w:gridCol w:w="850"/>
        <w:gridCol w:w="850"/>
        <w:gridCol w:w="850"/>
        <w:gridCol w:w="850"/>
        <w:gridCol w:w="1134"/>
        <w:gridCol w:w="1134"/>
        <w:gridCol w:w="1134"/>
      </w:tblGrid>
      <w:tr w14:paraId="7C9C0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50" w:type="dxa"/>
            <w:vAlign w:val="center"/>
          </w:tcPr>
          <w:p w14:paraId="5A129598">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序号</w:t>
            </w:r>
          </w:p>
        </w:tc>
        <w:tc>
          <w:tcPr>
            <w:tcW w:w="850" w:type="dxa"/>
            <w:vAlign w:val="center"/>
          </w:tcPr>
          <w:p w14:paraId="62EF04FC">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姓名</w:t>
            </w:r>
          </w:p>
        </w:tc>
        <w:tc>
          <w:tcPr>
            <w:tcW w:w="850" w:type="dxa"/>
            <w:vAlign w:val="center"/>
          </w:tcPr>
          <w:p w14:paraId="1B14439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性别</w:t>
            </w:r>
          </w:p>
        </w:tc>
        <w:tc>
          <w:tcPr>
            <w:tcW w:w="850" w:type="dxa"/>
            <w:vAlign w:val="center"/>
          </w:tcPr>
          <w:p w14:paraId="6E11F434">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年龄</w:t>
            </w:r>
          </w:p>
        </w:tc>
        <w:tc>
          <w:tcPr>
            <w:tcW w:w="850" w:type="dxa"/>
            <w:vAlign w:val="center"/>
          </w:tcPr>
          <w:p w14:paraId="0300266A">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学历</w:t>
            </w:r>
          </w:p>
        </w:tc>
        <w:tc>
          <w:tcPr>
            <w:tcW w:w="850" w:type="dxa"/>
            <w:vAlign w:val="center"/>
          </w:tcPr>
          <w:p w14:paraId="2C3D9E9B">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专业</w:t>
            </w:r>
          </w:p>
        </w:tc>
        <w:tc>
          <w:tcPr>
            <w:tcW w:w="1134" w:type="dxa"/>
            <w:vAlign w:val="center"/>
          </w:tcPr>
          <w:p w14:paraId="1AB23495">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技术职称</w:t>
            </w:r>
          </w:p>
        </w:tc>
        <w:tc>
          <w:tcPr>
            <w:tcW w:w="1134" w:type="dxa"/>
            <w:vAlign w:val="center"/>
          </w:tcPr>
          <w:p w14:paraId="1C78157E">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在本项目拟任职务</w:t>
            </w:r>
          </w:p>
        </w:tc>
        <w:tc>
          <w:tcPr>
            <w:tcW w:w="1134" w:type="dxa"/>
            <w:vAlign w:val="center"/>
          </w:tcPr>
          <w:p w14:paraId="77F767D2">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从事本工作年限</w:t>
            </w:r>
          </w:p>
        </w:tc>
      </w:tr>
      <w:tr w14:paraId="09465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Align w:val="center"/>
          </w:tcPr>
          <w:p w14:paraId="03508B32">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36B4DB6D">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5174C92D">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393DAA4E">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0105D738">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512D560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27E4B54E">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0FD8F61E">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1E9094AF">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14:paraId="5374C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Align w:val="center"/>
          </w:tcPr>
          <w:p w14:paraId="5128FDD9">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1EAD8A2B">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2CB30C76">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044AF7D3">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18CC6E0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0FBC9A89">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329AEFBA">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73DFAC4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71FE1959">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14:paraId="37B7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Align w:val="center"/>
          </w:tcPr>
          <w:p w14:paraId="2EF34BBD">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00415C30">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1A1F9443">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3080215E">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1B39AC12">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708AC97B">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5EE9C1AF">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1A60928C">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738479FD">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14:paraId="63021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Align w:val="center"/>
          </w:tcPr>
          <w:p w14:paraId="50DCA7EC">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3101185E">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281A05A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351DDE2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1DBB13FD">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28D598C9">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525966D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4732EBB4">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6EAFB0E5">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14:paraId="316B6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Align w:val="center"/>
          </w:tcPr>
          <w:p w14:paraId="5EF64F9C">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0B84633E">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510FE41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1B02EE72">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21494BD5">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7D498144">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43C3161B">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1784600C">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13B8CD16">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r w14:paraId="2A087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Align w:val="center"/>
          </w:tcPr>
          <w:p w14:paraId="15E9B277">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r>
              <w:rPr>
                <w:rFonts w:hint="eastAsia" w:ascii="宋体" w:hAnsi="宋体" w:cs="宋体"/>
                <w:color w:val="auto"/>
                <w:szCs w:val="21"/>
                <w:highlight w:val="none"/>
              </w:rPr>
              <w:t>...</w:t>
            </w:r>
          </w:p>
        </w:tc>
        <w:tc>
          <w:tcPr>
            <w:tcW w:w="850" w:type="dxa"/>
            <w:vAlign w:val="center"/>
          </w:tcPr>
          <w:p w14:paraId="45B3ACCF">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01582486">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075B7A50">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448BF414">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850" w:type="dxa"/>
            <w:vAlign w:val="center"/>
          </w:tcPr>
          <w:p w14:paraId="0450252B">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10BF911F">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2F9D45E0">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c>
          <w:tcPr>
            <w:tcW w:w="1134" w:type="dxa"/>
            <w:vAlign w:val="center"/>
          </w:tcPr>
          <w:p w14:paraId="2CCD0A2E">
            <w:pPr>
              <w:keepNext w:val="0"/>
              <w:keepLines w:val="0"/>
              <w:suppressLineNumbers w:val="0"/>
              <w:spacing w:before="0" w:beforeAutospacing="0" w:after="0" w:afterAutospacing="0" w:line="360" w:lineRule="auto"/>
              <w:ind w:left="0" w:right="0"/>
              <w:jc w:val="center"/>
              <w:rPr>
                <w:rFonts w:hint="default" w:ascii="宋体" w:hAnsi="宋体" w:cs="宋体"/>
                <w:color w:val="auto"/>
                <w:szCs w:val="21"/>
                <w:highlight w:val="none"/>
              </w:rPr>
            </w:pPr>
          </w:p>
        </w:tc>
      </w:tr>
    </w:tbl>
    <w:p w14:paraId="08F87889">
      <w:pPr>
        <w:pStyle w:val="11"/>
        <w:ind w:firstLine="0"/>
        <w:rPr>
          <w:color w:val="auto"/>
          <w:highlight w:val="none"/>
        </w:rPr>
      </w:pPr>
    </w:p>
    <w:p w14:paraId="3C42A08D">
      <w:pPr>
        <w:rPr>
          <w:color w:val="auto"/>
          <w:highlight w:val="none"/>
        </w:rPr>
      </w:pPr>
    </w:p>
    <w:p w14:paraId="7FC266FD">
      <w:pPr>
        <w:rPr>
          <w:color w:val="auto"/>
          <w:highlight w:val="none"/>
        </w:rPr>
      </w:pPr>
    </w:p>
    <w:p w14:paraId="569C8B91">
      <w:pPr>
        <w:rPr>
          <w:color w:val="auto"/>
          <w:highlight w:val="none"/>
        </w:rPr>
      </w:pPr>
    </w:p>
    <w:p w14:paraId="00AD5BF5">
      <w:pPr>
        <w:rPr>
          <w:color w:val="auto"/>
          <w:highlight w:val="none"/>
        </w:rPr>
      </w:pPr>
    </w:p>
    <w:p w14:paraId="38C1D725">
      <w:pPr>
        <w:rPr>
          <w:color w:val="auto"/>
          <w:highlight w:val="none"/>
        </w:rPr>
      </w:pPr>
    </w:p>
    <w:p w14:paraId="5233BE89">
      <w:pPr>
        <w:rPr>
          <w:color w:val="auto"/>
          <w:highlight w:val="none"/>
        </w:rPr>
      </w:pPr>
    </w:p>
    <w:p w14:paraId="6D0AA6CF">
      <w:pPr>
        <w:rPr>
          <w:color w:val="auto"/>
          <w:highlight w:val="none"/>
        </w:rPr>
      </w:pPr>
    </w:p>
    <w:p w14:paraId="1C908B19">
      <w:pPr>
        <w:rPr>
          <w:color w:val="auto"/>
          <w:highlight w:val="none"/>
        </w:rPr>
      </w:pPr>
    </w:p>
    <w:p w14:paraId="547DC0E1">
      <w:pPr>
        <w:rPr>
          <w:color w:val="auto"/>
          <w:highlight w:val="none"/>
        </w:rPr>
      </w:pPr>
    </w:p>
    <w:p w14:paraId="1D9D4F77">
      <w:pPr>
        <w:rPr>
          <w:color w:val="auto"/>
          <w:highlight w:val="none"/>
        </w:rPr>
      </w:pPr>
    </w:p>
    <w:p w14:paraId="2A83523B">
      <w:pPr>
        <w:rPr>
          <w:color w:val="auto"/>
          <w:highlight w:val="none"/>
        </w:rPr>
      </w:pPr>
    </w:p>
    <w:p w14:paraId="426B82F1">
      <w:pPr>
        <w:rPr>
          <w:color w:val="auto"/>
          <w:highlight w:val="none"/>
        </w:rPr>
      </w:pPr>
    </w:p>
    <w:p w14:paraId="01171C82">
      <w:pPr>
        <w:rPr>
          <w:color w:val="auto"/>
          <w:highlight w:val="none"/>
        </w:rPr>
      </w:pPr>
    </w:p>
    <w:p w14:paraId="52A21873">
      <w:pPr>
        <w:rPr>
          <w:color w:val="auto"/>
          <w:highlight w:val="none"/>
        </w:rPr>
      </w:pPr>
    </w:p>
    <w:p w14:paraId="2A773C7A">
      <w:pPr>
        <w:spacing w:line="360" w:lineRule="exact"/>
        <w:ind w:firstLine="210" w:firstLineChars="100"/>
        <w:jc w:val="right"/>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zh-CN"/>
        </w:rPr>
        <w:t>电子签章</w:t>
      </w:r>
      <w:r>
        <w:rPr>
          <w:rFonts w:hint="eastAsia" w:ascii="宋体" w:hAnsi="宋体" w:cs="宋体"/>
          <w:color w:val="auto"/>
          <w:szCs w:val="21"/>
          <w:highlight w:val="none"/>
        </w:rPr>
        <w:t>）</w:t>
      </w:r>
    </w:p>
    <w:p w14:paraId="7EC8DC1D">
      <w:pPr>
        <w:spacing w:line="360" w:lineRule="exact"/>
        <w:ind w:firstLine="210" w:firstLineChars="100"/>
        <w:jc w:val="right"/>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w:t>
      </w:r>
      <w:r>
        <w:rPr>
          <w:rFonts w:hint="eastAsia" w:ascii="宋体" w:hAnsi="宋体" w:cs="宋体"/>
          <w:color w:val="auto"/>
          <w:szCs w:val="21"/>
          <w:highlight w:val="none"/>
        </w:rPr>
        <w:t>电子签名</w:t>
      </w:r>
      <w:r>
        <w:rPr>
          <w:rFonts w:hint="eastAsia" w:ascii="宋体" w:hAnsi="宋体" w:cs="宋体"/>
          <w:color w:val="auto"/>
          <w:szCs w:val="21"/>
          <w:highlight w:val="none"/>
          <w:lang w:val="zh-CN"/>
        </w:rPr>
        <w:t>）</w:t>
      </w:r>
    </w:p>
    <w:p w14:paraId="70064D41">
      <w:pPr>
        <w:spacing w:line="360" w:lineRule="auto"/>
        <w:jc w:val="right"/>
        <w:rPr>
          <w:rFonts w:ascii="宋体" w:hAnsi="宋体" w:cs="宋体"/>
          <w:color w:val="auto"/>
          <w:szCs w:val="21"/>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F7AEA5E">
      <w:pPr>
        <w:pStyle w:val="11"/>
        <w:numPr>
          <w:ilvl w:val="0"/>
          <w:numId w:val="10"/>
        </w:numPr>
        <w:ind w:firstLine="0"/>
        <w:jc w:val="center"/>
        <w:rPr>
          <w:b/>
          <w:bCs/>
          <w:color w:val="auto"/>
          <w:kern w:val="2"/>
          <w:sz w:val="28"/>
          <w:szCs w:val="28"/>
          <w:highlight w:val="none"/>
        </w:rPr>
      </w:pPr>
      <w:r>
        <w:rPr>
          <w:rFonts w:hint="eastAsia"/>
          <w:b/>
          <w:bCs/>
          <w:color w:val="auto"/>
          <w:kern w:val="2"/>
          <w:sz w:val="28"/>
          <w:szCs w:val="28"/>
          <w:highlight w:val="none"/>
        </w:rPr>
        <w:t>项目负责人基本情况表</w:t>
      </w:r>
    </w:p>
    <w:p w14:paraId="31D93F6C">
      <w:pPr>
        <w:rPr>
          <w:color w:val="auto"/>
          <w:highlight w:val="none"/>
        </w:rPr>
      </w:pPr>
    </w:p>
    <w:p w14:paraId="4F3D541C">
      <w:pPr>
        <w:pStyle w:val="11"/>
        <w:rPr>
          <w:color w:val="auto"/>
          <w:highlight w:val="none"/>
        </w:rPr>
      </w:pPr>
    </w:p>
    <w:tbl>
      <w:tblPr>
        <w:tblStyle w:val="35"/>
        <w:tblW w:w="8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5"/>
        <w:gridCol w:w="1007"/>
        <w:gridCol w:w="878"/>
        <w:gridCol w:w="89"/>
        <w:gridCol w:w="1588"/>
        <w:gridCol w:w="1077"/>
        <w:gridCol w:w="433"/>
        <w:gridCol w:w="1329"/>
      </w:tblGrid>
      <w:tr w14:paraId="6E59C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2015" w:type="dxa"/>
            <w:vAlign w:val="center"/>
          </w:tcPr>
          <w:p w14:paraId="302BE579">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姓名</w:t>
            </w:r>
          </w:p>
        </w:tc>
        <w:tc>
          <w:tcPr>
            <w:tcW w:w="1007" w:type="dxa"/>
            <w:vAlign w:val="center"/>
          </w:tcPr>
          <w:p w14:paraId="33B2D49A">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967" w:type="dxa"/>
            <w:gridSpan w:val="2"/>
            <w:vAlign w:val="center"/>
          </w:tcPr>
          <w:p w14:paraId="7557060C">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性别</w:t>
            </w:r>
          </w:p>
        </w:tc>
        <w:tc>
          <w:tcPr>
            <w:tcW w:w="1588" w:type="dxa"/>
            <w:vAlign w:val="center"/>
          </w:tcPr>
          <w:p w14:paraId="3F732A8B">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510" w:type="dxa"/>
            <w:gridSpan w:val="2"/>
            <w:vAlign w:val="center"/>
          </w:tcPr>
          <w:p w14:paraId="6370E4D2">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年龄</w:t>
            </w:r>
          </w:p>
        </w:tc>
        <w:tc>
          <w:tcPr>
            <w:tcW w:w="1329" w:type="dxa"/>
            <w:vAlign w:val="center"/>
          </w:tcPr>
          <w:p w14:paraId="042338CA">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r>
      <w:tr w14:paraId="36A9F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2015" w:type="dxa"/>
            <w:vAlign w:val="center"/>
          </w:tcPr>
          <w:p w14:paraId="60568699">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毕业院校及专业</w:t>
            </w:r>
          </w:p>
        </w:tc>
        <w:tc>
          <w:tcPr>
            <w:tcW w:w="3562" w:type="dxa"/>
            <w:gridSpan w:val="4"/>
            <w:vAlign w:val="center"/>
          </w:tcPr>
          <w:p w14:paraId="0AACFE03">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510" w:type="dxa"/>
            <w:gridSpan w:val="2"/>
            <w:vAlign w:val="center"/>
          </w:tcPr>
          <w:p w14:paraId="1E02691A">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在本项目中担任任务</w:t>
            </w:r>
          </w:p>
        </w:tc>
        <w:tc>
          <w:tcPr>
            <w:tcW w:w="1329" w:type="dxa"/>
            <w:vAlign w:val="center"/>
          </w:tcPr>
          <w:p w14:paraId="3C704502">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r>
      <w:tr w14:paraId="7258B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015" w:type="dxa"/>
            <w:vAlign w:val="center"/>
          </w:tcPr>
          <w:p w14:paraId="0939C1CA">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从事本专业时间</w:t>
            </w:r>
          </w:p>
        </w:tc>
        <w:tc>
          <w:tcPr>
            <w:tcW w:w="3562" w:type="dxa"/>
            <w:gridSpan w:val="4"/>
            <w:vAlign w:val="center"/>
          </w:tcPr>
          <w:p w14:paraId="54069883">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510" w:type="dxa"/>
            <w:gridSpan w:val="2"/>
            <w:vAlign w:val="center"/>
          </w:tcPr>
          <w:p w14:paraId="75BB523E">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为投标人服务时间</w:t>
            </w:r>
          </w:p>
        </w:tc>
        <w:tc>
          <w:tcPr>
            <w:tcW w:w="1329" w:type="dxa"/>
            <w:vAlign w:val="center"/>
          </w:tcPr>
          <w:p w14:paraId="1C7D0708">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r>
      <w:tr w14:paraId="2E8B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015" w:type="dxa"/>
            <w:vAlign w:val="center"/>
          </w:tcPr>
          <w:p w14:paraId="3A317536">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毕业时间</w:t>
            </w:r>
          </w:p>
        </w:tc>
        <w:tc>
          <w:tcPr>
            <w:tcW w:w="6401" w:type="dxa"/>
            <w:gridSpan w:val="7"/>
            <w:vAlign w:val="center"/>
          </w:tcPr>
          <w:p w14:paraId="2C35DA51">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u w:val="single"/>
              </w:rPr>
            </w:pPr>
            <w:r>
              <w:rPr>
                <w:rFonts w:hint="eastAsia" w:ascii="宋体" w:hAnsi="宋体" w:cs="宋体"/>
                <w:color w:val="auto"/>
                <w:szCs w:val="21"/>
                <w:highlight w:val="none"/>
              </w:rPr>
              <w:t>年    月毕业于    学校    专业</w:t>
            </w:r>
          </w:p>
        </w:tc>
      </w:tr>
      <w:tr w14:paraId="78D9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8416" w:type="dxa"/>
            <w:gridSpan w:val="8"/>
            <w:vAlign w:val="center"/>
          </w:tcPr>
          <w:p w14:paraId="776B6498">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本人主要成果</w:t>
            </w:r>
          </w:p>
        </w:tc>
      </w:tr>
      <w:tr w14:paraId="07DC4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2" w:hRule="atLeast"/>
        </w:trPr>
        <w:tc>
          <w:tcPr>
            <w:tcW w:w="2015" w:type="dxa"/>
            <w:vAlign w:val="center"/>
          </w:tcPr>
          <w:p w14:paraId="14AF5FBC">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合同起止时间</w:t>
            </w:r>
          </w:p>
        </w:tc>
        <w:tc>
          <w:tcPr>
            <w:tcW w:w="1885" w:type="dxa"/>
            <w:gridSpan w:val="2"/>
            <w:vAlign w:val="center"/>
          </w:tcPr>
          <w:p w14:paraId="45B07BF1">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项目名称</w:t>
            </w:r>
          </w:p>
        </w:tc>
        <w:tc>
          <w:tcPr>
            <w:tcW w:w="1677" w:type="dxa"/>
            <w:gridSpan w:val="2"/>
            <w:vAlign w:val="center"/>
          </w:tcPr>
          <w:p w14:paraId="35352988">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规模或签约合同价</w:t>
            </w:r>
          </w:p>
        </w:tc>
        <w:tc>
          <w:tcPr>
            <w:tcW w:w="1077" w:type="dxa"/>
            <w:vAlign w:val="center"/>
          </w:tcPr>
          <w:p w14:paraId="22CE00EC">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完成时间</w:t>
            </w:r>
          </w:p>
        </w:tc>
        <w:tc>
          <w:tcPr>
            <w:tcW w:w="1762" w:type="dxa"/>
            <w:gridSpan w:val="2"/>
            <w:vAlign w:val="center"/>
          </w:tcPr>
          <w:p w14:paraId="2D9FFB4E">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r>
              <w:rPr>
                <w:rFonts w:hint="eastAsia" w:ascii="宋体" w:hAnsi="宋体" w:cs="宋体"/>
                <w:color w:val="auto"/>
                <w:szCs w:val="21"/>
                <w:highlight w:val="none"/>
              </w:rPr>
              <w:t>在该项目中任何职</w:t>
            </w:r>
          </w:p>
        </w:tc>
      </w:tr>
      <w:tr w14:paraId="2FF1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atLeast"/>
        </w:trPr>
        <w:tc>
          <w:tcPr>
            <w:tcW w:w="2015" w:type="dxa"/>
            <w:vAlign w:val="center"/>
          </w:tcPr>
          <w:p w14:paraId="49BFFC6B">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885" w:type="dxa"/>
            <w:gridSpan w:val="2"/>
            <w:vAlign w:val="center"/>
          </w:tcPr>
          <w:p w14:paraId="17CFE889">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677" w:type="dxa"/>
            <w:gridSpan w:val="2"/>
            <w:vAlign w:val="center"/>
          </w:tcPr>
          <w:p w14:paraId="1CA78433">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077" w:type="dxa"/>
            <w:vAlign w:val="center"/>
          </w:tcPr>
          <w:p w14:paraId="14DE3DC8">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762" w:type="dxa"/>
            <w:gridSpan w:val="2"/>
            <w:vAlign w:val="center"/>
          </w:tcPr>
          <w:p w14:paraId="48CBE8AE">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r>
      <w:tr w14:paraId="2A7D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atLeast"/>
        </w:trPr>
        <w:tc>
          <w:tcPr>
            <w:tcW w:w="2015" w:type="dxa"/>
            <w:vAlign w:val="center"/>
          </w:tcPr>
          <w:p w14:paraId="5A196256">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885" w:type="dxa"/>
            <w:gridSpan w:val="2"/>
            <w:vAlign w:val="center"/>
          </w:tcPr>
          <w:p w14:paraId="0F7432B0">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677" w:type="dxa"/>
            <w:gridSpan w:val="2"/>
            <w:vAlign w:val="center"/>
          </w:tcPr>
          <w:p w14:paraId="57FDAB64">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077" w:type="dxa"/>
            <w:vAlign w:val="center"/>
          </w:tcPr>
          <w:p w14:paraId="03FB4F2B">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762" w:type="dxa"/>
            <w:gridSpan w:val="2"/>
            <w:vAlign w:val="center"/>
          </w:tcPr>
          <w:p w14:paraId="08735890">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r>
      <w:tr w14:paraId="3040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atLeast"/>
        </w:trPr>
        <w:tc>
          <w:tcPr>
            <w:tcW w:w="2015" w:type="dxa"/>
            <w:vAlign w:val="center"/>
          </w:tcPr>
          <w:p w14:paraId="3785A964">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885" w:type="dxa"/>
            <w:gridSpan w:val="2"/>
            <w:vAlign w:val="center"/>
          </w:tcPr>
          <w:p w14:paraId="7182CBDA">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677" w:type="dxa"/>
            <w:gridSpan w:val="2"/>
            <w:vAlign w:val="center"/>
          </w:tcPr>
          <w:p w14:paraId="5DA5C378">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077" w:type="dxa"/>
            <w:vAlign w:val="center"/>
          </w:tcPr>
          <w:p w14:paraId="42B44E80">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762" w:type="dxa"/>
            <w:gridSpan w:val="2"/>
            <w:vAlign w:val="center"/>
          </w:tcPr>
          <w:p w14:paraId="7C8AE5BB">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r>
      <w:tr w14:paraId="79423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atLeast"/>
        </w:trPr>
        <w:tc>
          <w:tcPr>
            <w:tcW w:w="2015" w:type="dxa"/>
            <w:vAlign w:val="center"/>
          </w:tcPr>
          <w:p w14:paraId="36A9EAA9">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885" w:type="dxa"/>
            <w:gridSpan w:val="2"/>
            <w:vAlign w:val="center"/>
          </w:tcPr>
          <w:p w14:paraId="610BFCFE">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677" w:type="dxa"/>
            <w:gridSpan w:val="2"/>
            <w:vAlign w:val="center"/>
          </w:tcPr>
          <w:p w14:paraId="4F15DAAD">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077" w:type="dxa"/>
            <w:vAlign w:val="center"/>
          </w:tcPr>
          <w:p w14:paraId="01A97405">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c>
          <w:tcPr>
            <w:tcW w:w="1762" w:type="dxa"/>
            <w:gridSpan w:val="2"/>
            <w:vAlign w:val="center"/>
          </w:tcPr>
          <w:p w14:paraId="080E94CE">
            <w:pPr>
              <w:keepNext w:val="0"/>
              <w:keepLines w:val="0"/>
              <w:suppressLineNumbers w:val="0"/>
              <w:spacing w:before="0" w:beforeAutospacing="0" w:after="0" w:afterAutospacing="0" w:line="440" w:lineRule="exact"/>
              <w:ind w:left="0" w:right="0"/>
              <w:jc w:val="center"/>
              <w:rPr>
                <w:rFonts w:hint="default" w:ascii="宋体" w:hAnsi="宋体" w:cs="宋体"/>
                <w:color w:val="auto"/>
                <w:szCs w:val="21"/>
                <w:highlight w:val="none"/>
              </w:rPr>
            </w:pPr>
          </w:p>
        </w:tc>
      </w:tr>
    </w:tbl>
    <w:p w14:paraId="352F82C3">
      <w:pPr>
        <w:spacing w:line="440" w:lineRule="exact"/>
        <w:ind w:firstLine="420" w:firstLineChars="200"/>
        <w:jc w:val="left"/>
        <w:rPr>
          <w:color w:val="auto"/>
          <w:highlight w:val="none"/>
        </w:rPr>
      </w:pPr>
      <w:r>
        <w:rPr>
          <w:rFonts w:hint="eastAsia"/>
          <w:color w:val="auto"/>
          <w:highlight w:val="none"/>
        </w:rPr>
        <w:t>注：本表后须附项目负责人身份证、养老保险个人参保证明、职称证和执业（从业）资格证（如</w:t>
      </w:r>
      <w:r>
        <w:rPr>
          <w:rFonts w:hint="eastAsia"/>
          <w:color w:val="auto"/>
          <w:highlight w:val="none"/>
          <w:lang w:val="en-US" w:eastAsia="zh-CN"/>
        </w:rPr>
        <w:t>要求</w:t>
      </w:r>
      <w:r>
        <w:rPr>
          <w:rFonts w:hint="eastAsia"/>
          <w:color w:val="auto"/>
          <w:highlight w:val="none"/>
        </w:rPr>
        <w:t>）等材料扫描件。</w:t>
      </w:r>
    </w:p>
    <w:p w14:paraId="4D1EEC95">
      <w:pPr>
        <w:rPr>
          <w:color w:val="auto"/>
          <w:highlight w:val="none"/>
        </w:rPr>
      </w:pPr>
    </w:p>
    <w:p w14:paraId="18636182">
      <w:pPr>
        <w:rPr>
          <w:color w:val="auto"/>
          <w:highlight w:val="none"/>
        </w:rPr>
      </w:pPr>
    </w:p>
    <w:p w14:paraId="02EA0C50">
      <w:pPr>
        <w:rPr>
          <w:color w:val="auto"/>
          <w:highlight w:val="none"/>
        </w:rPr>
      </w:pPr>
    </w:p>
    <w:p w14:paraId="0BA037AD">
      <w:pPr>
        <w:rPr>
          <w:color w:val="auto"/>
          <w:highlight w:val="none"/>
        </w:rPr>
      </w:pPr>
    </w:p>
    <w:p w14:paraId="5FC5DA9E">
      <w:pPr>
        <w:rPr>
          <w:color w:val="auto"/>
          <w:highlight w:val="none"/>
        </w:rPr>
      </w:pPr>
    </w:p>
    <w:p w14:paraId="4D2E882A">
      <w:pPr>
        <w:spacing w:line="360" w:lineRule="exact"/>
        <w:ind w:firstLine="210" w:firstLineChars="100"/>
        <w:jc w:val="right"/>
        <w:rPr>
          <w:rFonts w:ascii="宋体" w:hAnsi="宋体" w:cs="宋体"/>
          <w:color w:val="auto"/>
          <w:szCs w:val="21"/>
          <w:highlight w:val="none"/>
        </w:rPr>
      </w:pPr>
      <w:r>
        <w:rPr>
          <w:rFonts w:hint="eastAsia"/>
          <w:color w:val="auto"/>
          <w:highlight w:val="none"/>
        </w:rPr>
        <w:tab/>
      </w: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zh-CN"/>
        </w:rPr>
        <w:t>电子签章</w:t>
      </w:r>
      <w:r>
        <w:rPr>
          <w:rFonts w:hint="eastAsia" w:ascii="宋体" w:hAnsi="宋体" w:cs="宋体"/>
          <w:color w:val="auto"/>
          <w:szCs w:val="21"/>
          <w:highlight w:val="none"/>
        </w:rPr>
        <w:t>）</w:t>
      </w:r>
    </w:p>
    <w:p w14:paraId="20D903F6">
      <w:pPr>
        <w:spacing w:line="360" w:lineRule="exact"/>
        <w:ind w:firstLine="210" w:firstLineChars="100"/>
        <w:jc w:val="right"/>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w:t>
      </w:r>
      <w:r>
        <w:rPr>
          <w:rFonts w:hint="eastAsia" w:ascii="宋体" w:hAnsi="宋体" w:cs="宋体"/>
          <w:color w:val="auto"/>
          <w:szCs w:val="21"/>
          <w:highlight w:val="none"/>
        </w:rPr>
        <w:t>电子签名</w:t>
      </w:r>
      <w:r>
        <w:rPr>
          <w:rFonts w:hint="eastAsia" w:ascii="宋体" w:hAnsi="宋体" w:cs="宋体"/>
          <w:color w:val="auto"/>
          <w:szCs w:val="21"/>
          <w:highlight w:val="none"/>
          <w:lang w:val="zh-CN"/>
        </w:rPr>
        <w:t>）</w:t>
      </w:r>
    </w:p>
    <w:p w14:paraId="1D0E20B5">
      <w:pPr>
        <w:spacing w:line="360" w:lineRule="auto"/>
        <w:jc w:val="right"/>
        <w:rPr>
          <w:color w:val="auto"/>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6C318AD4">
      <w:pPr>
        <w:pStyle w:val="11"/>
        <w:ind w:firstLine="0"/>
        <w:jc w:val="center"/>
        <w:rPr>
          <w:rFonts w:hint="default" w:eastAsia="宋体"/>
          <w:b/>
          <w:bCs/>
          <w:color w:val="auto"/>
          <w:sz w:val="28"/>
          <w:szCs w:val="28"/>
          <w:highlight w:val="none"/>
          <w:lang w:val="en-US" w:eastAsia="zh-CN"/>
        </w:rPr>
      </w:pPr>
      <w:r>
        <w:rPr>
          <w:rFonts w:hint="eastAsia"/>
          <w:b/>
          <w:bCs/>
          <w:color w:val="auto"/>
          <w:sz w:val="28"/>
          <w:szCs w:val="28"/>
          <w:highlight w:val="none"/>
        </w:rPr>
        <w:t>（三）</w:t>
      </w:r>
      <w:r>
        <w:rPr>
          <w:rFonts w:hint="eastAsia"/>
          <w:b/>
          <w:bCs/>
          <w:color w:val="auto"/>
          <w:sz w:val="28"/>
          <w:szCs w:val="28"/>
          <w:highlight w:val="none"/>
          <w:lang w:val="en-US" w:eastAsia="zh-CN"/>
        </w:rPr>
        <w:t>技术及商务部分</w:t>
      </w:r>
    </w:p>
    <w:p w14:paraId="51B0ACAF">
      <w:pPr>
        <w:pStyle w:val="11"/>
        <w:ind w:firstLine="0"/>
        <w:jc w:val="center"/>
        <w:rPr>
          <w:rFonts w:hint="eastAsia"/>
          <w:b/>
          <w:bCs/>
          <w:color w:val="auto"/>
          <w:sz w:val="28"/>
          <w:szCs w:val="28"/>
          <w:highlight w:val="none"/>
        </w:rPr>
      </w:pPr>
    </w:p>
    <w:p w14:paraId="2F092AEA">
      <w:pPr>
        <w:pStyle w:val="3"/>
        <w:numPr>
          <w:ilvl w:val="1"/>
          <w:numId w:val="0"/>
        </w:numPr>
        <w:tabs>
          <w:tab w:val="left" w:pos="575"/>
        </w:tabs>
        <w:jc w:val="left"/>
        <w:rPr>
          <w:rFonts w:hint="eastAsia" w:ascii="宋体" w:hAnsi="宋体" w:eastAsia="宋体" w:cs="宋体"/>
          <w:b w:val="0"/>
          <w:smallCaps w:val="0"/>
          <w:color w:val="auto"/>
          <w:kern w:val="2"/>
          <w:sz w:val="21"/>
          <w:szCs w:val="30"/>
          <w:highlight w:val="none"/>
          <w:lang w:val="en-US" w:eastAsia="zh-CN" w:bidi="ar-SA"/>
        </w:rPr>
      </w:pPr>
      <w:bookmarkStart w:id="127" w:name="_Toc7188756"/>
      <w:r>
        <w:rPr>
          <w:rFonts w:hint="eastAsia" w:ascii="宋体" w:hAnsi="宋体" w:eastAsia="宋体" w:cs="宋体"/>
          <w:b w:val="0"/>
          <w:smallCaps w:val="0"/>
          <w:color w:val="auto"/>
          <w:kern w:val="2"/>
          <w:sz w:val="21"/>
          <w:szCs w:val="30"/>
          <w:highlight w:val="none"/>
          <w:lang w:val="en-US" w:eastAsia="zh-CN" w:bidi="ar-SA"/>
        </w:rPr>
        <w:t>1、简单赔付率、综合费用率、承保利润率</w:t>
      </w:r>
    </w:p>
    <w:p w14:paraId="2E414C69">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p>
    <w:p w14:paraId="376D5E18">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2、精准承保理赔</w:t>
      </w:r>
    </w:p>
    <w:p w14:paraId="4F97F026">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p>
    <w:p w14:paraId="6B0F8938">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3、制度建设</w:t>
      </w:r>
    </w:p>
    <w:p w14:paraId="27E3B318">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bookmarkStart w:id="128" w:name="OLE_LINK29"/>
      <w:bookmarkStart w:id="129" w:name="OLE_LINK30"/>
    </w:p>
    <w:p w14:paraId="115FA25A">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cs="宋体"/>
          <w:b w:val="0"/>
          <w:smallCaps w:val="0"/>
          <w:color w:val="auto"/>
          <w:kern w:val="2"/>
          <w:sz w:val="21"/>
          <w:szCs w:val="30"/>
          <w:highlight w:val="none"/>
          <w:lang w:val="en-US" w:eastAsia="zh-CN" w:bidi="ar-SA"/>
        </w:rPr>
        <w:t>4</w:t>
      </w:r>
      <w:r>
        <w:rPr>
          <w:rFonts w:hint="eastAsia" w:ascii="宋体" w:hAnsi="宋体" w:eastAsia="宋体" w:cs="宋体"/>
          <w:b w:val="0"/>
          <w:smallCaps w:val="0"/>
          <w:color w:val="auto"/>
          <w:kern w:val="2"/>
          <w:sz w:val="21"/>
          <w:szCs w:val="30"/>
          <w:highlight w:val="none"/>
          <w:lang w:val="en-US" w:eastAsia="zh-CN" w:bidi="ar-SA"/>
        </w:rPr>
        <w:t>、服务方案</w:t>
      </w:r>
    </w:p>
    <w:p w14:paraId="2CCE4F82">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bookmarkEnd w:id="128"/>
      <w:bookmarkEnd w:id="129"/>
      <w:bookmarkStart w:id="130" w:name="OLE_LINK6"/>
    </w:p>
    <w:p w14:paraId="73BAB801">
      <w:pPr>
        <w:widowControl w:val="0"/>
        <w:numPr>
          <w:ilvl w:val="0"/>
          <w:numId w:val="0"/>
        </w:numPr>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cs="宋体"/>
          <w:b w:val="0"/>
          <w:smallCaps w:val="0"/>
          <w:color w:val="auto"/>
          <w:kern w:val="2"/>
          <w:sz w:val="21"/>
          <w:szCs w:val="30"/>
          <w:highlight w:val="none"/>
          <w:lang w:val="en-US" w:eastAsia="zh-CN" w:bidi="ar-SA"/>
        </w:rPr>
        <w:t>5</w:t>
      </w:r>
      <w:r>
        <w:rPr>
          <w:rFonts w:hint="eastAsia" w:ascii="宋体" w:hAnsi="宋体" w:eastAsia="宋体" w:cs="宋体"/>
          <w:b w:val="0"/>
          <w:smallCaps w:val="0"/>
          <w:color w:val="auto"/>
          <w:kern w:val="2"/>
          <w:sz w:val="21"/>
          <w:szCs w:val="30"/>
          <w:highlight w:val="none"/>
          <w:lang w:val="en-US" w:eastAsia="zh-CN" w:bidi="ar-SA"/>
        </w:rPr>
        <w:t>、</w:t>
      </w:r>
      <w:bookmarkEnd w:id="130"/>
      <w:r>
        <w:rPr>
          <w:rFonts w:hint="eastAsia" w:ascii="宋体" w:hAnsi="宋体" w:eastAsia="宋体" w:cs="宋体"/>
          <w:b w:val="0"/>
          <w:smallCaps w:val="0"/>
          <w:color w:val="auto"/>
          <w:kern w:val="2"/>
          <w:sz w:val="21"/>
          <w:szCs w:val="30"/>
          <w:highlight w:val="none"/>
          <w:lang w:val="en-US" w:eastAsia="zh-CN" w:bidi="ar-SA"/>
        </w:rPr>
        <w:t>防灾防损方案</w:t>
      </w:r>
    </w:p>
    <w:p w14:paraId="78320702">
      <w:pPr>
        <w:widowControl w:val="0"/>
        <w:numPr>
          <w:ilvl w:val="0"/>
          <w:numId w:val="0"/>
        </w:numPr>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p>
    <w:p w14:paraId="340FF53F">
      <w:pPr>
        <w:widowControl w:val="0"/>
        <w:numPr>
          <w:ilvl w:val="0"/>
          <w:numId w:val="0"/>
        </w:numPr>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cs="宋体"/>
          <w:b w:val="0"/>
          <w:smallCaps w:val="0"/>
          <w:color w:val="auto"/>
          <w:kern w:val="2"/>
          <w:sz w:val="21"/>
          <w:szCs w:val="30"/>
          <w:highlight w:val="none"/>
          <w:lang w:val="en-US" w:eastAsia="zh-CN" w:bidi="ar-SA"/>
        </w:rPr>
        <w:t>6</w:t>
      </w:r>
      <w:r>
        <w:rPr>
          <w:rFonts w:hint="eastAsia" w:ascii="宋体" w:hAnsi="宋体" w:eastAsia="宋体" w:cs="宋体"/>
          <w:b w:val="0"/>
          <w:smallCaps w:val="0"/>
          <w:color w:val="auto"/>
          <w:kern w:val="2"/>
          <w:sz w:val="21"/>
          <w:szCs w:val="30"/>
          <w:highlight w:val="none"/>
          <w:lang w:val="en-US" w:eastAsia="zh-CN" w:bidi="ar-SA"/>
        </w:rPr>
        <w:t>、本地化服务</w:t>
      </w:r>
    </w:p>
    <w:p w14:paraId="5CAF0A51">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p>
    <w:p w14:paraId="7FAB15CA">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cs="宋体"/>
          <w:b w:val="0"/>
          <w:smallCaps w:val="0"/>
          <w:color w:val="auto"/>
          <w:kern w:val="2"/>
          <w:sz w:val="21"/>
          <w:szCs w:val="30"/>
          <w:highlight w:val="none"/>
          <w:lang w:val="en-US" w:eastAsia="zh-CN" w:bidi="ar-SA"/>
        </w:rPr>
        <w:t>7</w:t>
      </w:r>
      <w:r>
        <w:rPr>
          <w:rFonts w:hint="eastAsia" w:ascii="宋体" w:hAnsi="宋体" w:eastAsia="宋体" w:cs="宋体"/>
          <w:b w:val="0"/>
          <w:smallCaps w:val="0"/>
          <w:color w:val="auto"/>
          <w:kern w:val="2"/>
          <w:sz w:val="21"/>
          <w:szCs w:val="30"/>
          <w:highlight w:val="none"/>
          <w:lang w:val="en-US" w:eastAsia="zh-CN" w:bidi="ar-SA"/>
        </w:rPr>
        <w:t>、偿付能力</w:t>
      </w:r>
    </w:p>
    <w:p w14:paraId="17832917">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p>
    <w:p w14:paraId="24F3A35C">
      <w:pPr>
        <w:widowControl w:val="0"/>
        <w:spacing w:before="156" w:beforeLines="50" w:line="360" w:lineRule="auto"/>
        <w:jc w:val="left"/>
        <w:rPr>
          <w:rFonts w:hint="eastAsia" w:ascii="宋体" w:hAnsi="宋体" w:cs="宋体"/>
          <w:b w:val="0"/>
          <w:smallCaps w:val="0"/>
          <w:color w:val="auto"/>
          <w:kern w:val="2"/>
          <w:sz w:val="21"/>
          <w:szCs w:val="30"/>
          <w:highlight w:val="none"/>
          <w:lang w:val="en-US" w:eastAsia="zh-CN" w:bidi="ar-SA"/>
        </w:rPr>
      </w:pPr>
      <w:r>
        <w:rPr>
          <w:rFonts w:hint="eastAsia" w:ascii="宋体" w:hAnsi="宋体" w:cs="宋体"/>
          <w:b w:val="0"/>
          <w:smallCaps w:val="0"/>
          <w:color w:val="auto"/>
          <w:kern w:val="2"/>
          <w:sz w:val="21"/>
          <w:szCs w:val="30"/>
          <w:highlight w:val="none"/>
          <w:lang w:val="en-US" w:eastAsia="zh-CN" w:bidi="ar-SA"/>
        </w:rPr>
        <w:t>8、绩效评价情况</w:t>
      </w:r>
    </w:p>
    <w:p w14:paraId="3DF6DB86">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p>
    <w:p w14:paraId="6CB1AB6F">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cs="宋体"/>
          <w:b w:val="0"/>
          <w:smallCaps w:val="0"/>
          <w:color w:val="auto"/>
          <w:kern w:val="2"/>
          <w:sz w:val="21"/>
          <w:szCs w:val="30"/>
          <w:highlight w:val="none"/>
          <w:lang w:val="en-US" w:eastAsia="zh-CN" w:bidi="ar-SA"/>
        </w:rPr>
        <w:t>9、</w:t>
      </w:r>
      <w:r>
        <w:rPr>
          <w:rFonts w:hint="eastAsia" w:ascii="宋体" w:hAnsi="宋体" w:eastAsia="宋体" w:cs="宋体"/>
          <w:b w:val="0"/>
          <w:smallCaps w:val="0"/>
          <w:color w:val="auto"/>
          <w:kern w:val="2"/>
          <w:sz w:val="21"/>
          <w:szCs w:val="30"/>
          <w:highlight w:val="none"/>
          <w:lang w:val="en-US" w:eastAsia="zh-CN" w:bidi="ar-SA"/>
        </w:rPr>
        <w:t>服务机构设立</w:t>
      </w:r>
    </w:p>
    <w:p w14:paraId="75762E0E">
      <w:pPr>
        <w:widowControl w:val="0"/>
        <w:spacing w:before="156" w:beforeLines="50" w:line="360" w:lineRule="auto"/>
        <w:jc w:val="left"/>
        <w:rPr>
          <w:rFonts w:hint="eastAsia"/>
          <w:color w:val="auto"/>
          <w:highlight w:val="none"/>
          <w:lang w:val="en-US" w:eastAsia="zh-CN"/>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p>
    <w:p w14:paraId="70E21795">
      <w:pPr>
        <w:pStyle w:val="11"/>
        <w:ind w:firstLine="0"/>
        <w:jc w:val="both"/>
        <w:rPr>
          <w:color w:val="auto"/>
          <w:szCs w:val="21"/>
          <w:highlight w:val="none"/>
        </w:rPr>
      </w:pPr>
      <w:r>
        <w:rPr>
          <w:rFonts w:hint="eastAsia" w:ascii="宋体" w:hAnsi="宋体" w:eastAsia="宋体" w:cs="宋体"/>
          <w:b w:val="0"/>
          <w:smallCaps w:val="0"/>
          <w:color w:val="auto"/>
          <w:kern w:val="2"/>
          <w:sz w:val="21"/>
          <w:szCs w:val="30"/>
          <w:highlight w:val="none"/>
          <w:lang w:val="en-US" w:eastAsia="zh-CN" w:bidi="ar-SA"/>
        </w:rPr>
        <w:t>1</w:t>
      </w:r>
      <w:r>
        <w:rPr>
          <w:rFonts w:hint="eastAsia" w:ascii="宋体" w:hAnsi="宋体" w:cs="宋体"/>
          <w:b w:val="0"/>
          <w:smallCaps w:val="0"/>
          <w:color w:val="auto"/>
          <w:kern w:val="2"/>
          <w:sz w:val="21"/>
          <w:szCs w:val="30"/>
          <w:highlight w:val="none"/>
          <w:lang w:val="en-US" w:eastAsia="zh-CN" w:bidi="ar-SA"/>
        </w:rPr>
        <w:t>0</w:t>
      </w:r>
      <w:r>
        <w:rPr>
          <w:rFonts w:hint="eastAsia" w:ascii="宋体" w:hAnsi="宋体" w:eastAsia="宋体" w:cs="宋体"/>
          <w:b w:val="0"/>
          <w:smallCaps w:val="0"/>
          <w:color w:val="auto"/>
          <w:kern w:val="2"/>
          <w:sz w:val="21"/>
          <w:szCs w:val="30"/>
          <w:highlight w:val="none"/>
          <w:lang w:val="en-US" w:eastAsia="zh-CN" w:bidi="ar-SA"/>
        </w:rPr>
        <w:t>、</w:t>
      </w:r>
      <w:r>
        <w:rPr>
          <w:rFonts w:hint="eastAsia"/>
          <w:color w:val="auto"/>
          <w:szCs w:val="21"/>
          <w:highlight w:val="none"/>
        </w:rPr>
        <w:t>保险服务经验</w:t>
      </w:r>
    </w:p>
    <w:p w14:paraId="2822AD06">
      <w:pPr>
        <w:widowControl w:val="0"/>
        <w:spacing w:before="156" w:beforeLines="50" w:line="360" w:lineRule="auto"/>
        <w:jc w:val="left"/>
        <w:rPr>
          <w:rFonts w:hint="eastAsia" w:ascii="宋体" w:hAnsi="宋体" w:eastAsia="宋体" w:cs="宋体"/>
          <w:b w:val="0"/>
          <w:smallCaps w:val="0"/>
          <w:color w:val="auto"/>
          <w:kern w:val="2"/>
          <w:sz w:val="21"/>
          <w:szCs w:val="30"/>
          <w:highlight w:val="none"/>
          <w:lang w:val="en-US" w:eastAsia="zh-CN" w:bidi="ar-SA"/>
        </w:rPr>
      </w:pPr>
      <w:r>
        <w:rPr>
          <w:rFonts w:hint="eastAsia" w:ascii="宋体" w:hAnsi="宋体" w:eastAsia="宋体" w:cs="宋体"/>
          <w:b w:val="0"/>
          <w:smallCaps w:val="0"/>
          <w:color w:val="auto"/>
          <w:kern w:val="2"/>
          <w:sz w:val="21"/>
          <w:szCs w:val="30"/>
          <w:highlight w:val="none"/>
          <w:lang w:val="en-US" w:eastAsia="zh-CN" w:bidi="ar-SA"/>
        </w:rPr>
        <w:t>投标人按照竞争性磋商文件要求及评审办法中的评审内容自行编制。</w:t>
      </w:r>
    </w:p>
    <w:p w14:paraId="3BF09EE3">
      <w:pPr>
        <w:jc w:val="center"/>
        <w:rPr>
          <w:rFonts w:hint="eastAsia" w:ascii="宋体" w:hAnsi="宋体" w:cs="宋体"/>
          <w:b/>
          <w:bCs/>
          <w:color w:val="auto"/>
          <w:sz w:val="32"/>
          <w:szCs w:val="32"/>
          <w:highlight w:val="none"/>
        </w:rPr>
      </w:pPr>
    </w:p>
    <w:p w14:paraId="34B9AE8B">
      <w:pPr>
        <w:jc w:val="center"/>
        <w:rPr>
          <w:rFonts w:hint="eastAsia" w:ascii="宋体" w:hAnsi="宋体" w:cs="宋体"/>
          <w:b/>
          <w:bCs/>
          <w:color w:val="auto"/>
          <w:sz w:val="32"/>
          <w:szCs w:val="32"/>
          <w:highlight w:val="none"/>
        </w:rPr>
      </w:pPr>
    </w:p>
    <w:p w14:paraId="4FD06CBD">
      <w:pPr>
        <w:jc w:val="center"/>
        <w:rPr>
          <w:rFonts w:hint="eastAsia" w:ascii="宋体" w:hAnsi="宋体" w:cs="宋体"/>
          <w:b/>
          <w:bCs/>
          <w:color w:val="auto"/>
          <w:sz w:val="32"/>
          <w:szCs w:val="32"/>
          <w:highlight w:val="none"/>
        </w:rPr>
      </w:pPr>
    </w:p>
    <w:p w14:paraId="6C870748">
      <w:pPr>
        <w:jc w:val="center"/>
        <w:rPr>
          <w:rFonts w:hint="eastAsia" w:ascii="宋体" w:hAnsi="宋体" w:cs="宋体"/>
          <w:b/>
          <w:bCs/>
          <w:color w:val="auto"/>
          <w:sz w:val="32"/>
          <w:szCs w:val="32"/>
          <w:highlight w:val="none"/>
        </w:rPr>
      </w:pPr>
    </w:p>
    <w:p w14:paraId="57EA33CF">
      <w:pPr>
        <w:jc w:val="center"/>
        <w:rPr>
          <w:rFonts w:hint="eastAsia" w:ascii="宋体" w:hAnsi="宋体" w:cs="宋体"/>
          <w:b/>
          <w:bCs/>
          <w:color w:val="auto"/>
          <w:sz w:val="32"/>
          <w:szCs w:val="32"/>
          <w:highlight w:val="none"/>
        </w:rPr>
      </w:pPr>
    </w:p>
    <w:p w14:paraId="57758959">
      <w:pPr>
        <w:jc w:val="center"/>
        <w:rPr>
          <w:rFonts w:ascii="宋体" w:hAnsi="宋体" w:cs="宋体"/>
          <w:color w:val="auto"/>
          <w:szCs w:val="20"/>
          <w:highlight w:val="none"/>
        </w:rPr>
      </w:pPr>
      <w:r>
        <w:rPr>
          <w:rFonts w:hint="eastAsia" w:ascii="宋体" w:hAnsi="宋体" w:cs="宋体"/>
          <w:b/>
          <w:bCs/>
          <w:color w:val="auto"/>
          <w:sz w:val="32"/>
          <w:szCs w:val="32"/>
          <w:highlight w:val="none"/>
        </w:rPr>
        <w:t>八、其他资料</w:t>
      </w:r>
    </w:p>
    <w:p w14:paraId="4269D3EE">
      <w:pPr>
        <w:spacing w:line="360" w:lineRule="auto"/>
        <w:jc w:val="center"/>
        <w:rPr>
          <w:rFonts w:ascii="宋体" w:hAnsi="宋体" w:cs="宋体"/>
          <w:b/>
          <w:bCs/>
          <w:color w:val="auto"/>
          <w:sz w:val="24"/>
          <w:szCs w:val="20"/>
          <w:highlight w:val="none"/>
        </w:rPr>
      </w:pPr>
    </w:p>
    <w:p w14:paraId="1C6DD87B">
      <w:pPr>
        <w:spacing w:line="360" w:lineRule="auto"/>
        <w:jc w:val="center"/>
        <w:rPr>
          <w:rFonts w:ascii="宋体" w:hAnsi="宋体" w:cs="宋体"/>
          <w:color w:val="auto"/>
          <w:sz w:val="24"/>
          <w:szCs w:val="20"/>
          <w:highlight w:val="none"/>
        </w:rPr>
      </w:pPr>
      <w:r>
        <w:rPr>
          <w:rFonts w:hint="eastAsia" w:ascii="宋体" w:hAnsi="宋体" w:cs="宋体"/>
          <w:b/>
          <w:bCs/>
          <w:color w:val="auto"/>
          <w:sz w:val="24"/>
          <w:szCs w:val="20"/>
          <w:highlight w:val="none"/>
        </w:rPr>
        <w:t>（一）小型和微型企业需要提供的部分资料格式（投标人根据自身情况提供）</w:t>
      </w:r>
    </w:p>
    <w:p w14:paraId="47AB95A2">
      <w:pPr>
        <w:pStyle w:val="32"/>
        <w:shd w:val="clear" w:color="auto" w:fill="FFFFFF"/>
        <w:spacing w:beforeAutospacing="0" w:after="0" w:afterAutospacing="0" w:line="240" w:lineRule="auto"/>
        <w:jc w:val="center"/>
        <w:rPr>
          <w:b/>
          <w:bCs/>
          <w:color w:val="auto"/>
          <w:sz w:val="28"/>
          <w:szCs w:val="28"/>
          <w:highlight w:val="none"/>
        </w:rPr>
      </w:pPr>
      <w:r>
        <w:rPr>
          <w:rFonts w:hint="eastAsia"/>
          <w:b/>
          <w:bCs/>
          <w:color w:val="auto"/>
          <w:sz w:val="28"/>
          <w:szCs w:val="28"/>
          <w:highlight w:val="none"/>
        </w:rPr>
        <w:t xml:space="preserve">1. </w:t>
      </w:r>
      <w:r>
        <w:rPr>
          <w:rFonts w:hint="eastAsia"/>
          <w:b/>
          <w:bCs/>
          <w:color w:val="auto"/>
          <w:sz w:val="28"/>
          <w:szCs w:val="28"/>
          <w:highlight w:val="none"/>
          <w:shd w:val="clear" w:color="auto" w:fill="FFFFFF"/>
        </w:rPr>
        <w:t>中小企业声明函（服务）</w:t>
      </w:r>
    </w:p>
    <w:p w14:paraId="20B71EAF">
      <w:pPr>
        <w:pStyle w:val="32"/>
        <w:shd w:val="clear" w:color="auto" w:fill="FFFFFF"/>
        <w:spacing w:beforeAutospacing="0" w:after="0" w:afterAutospacing="0" w:line="240" w:lineRule="auto"/>
        <w:rPr>
          <w:color w:val="auto"/>
          <w:sz w:val="28"/>
          <w:szCs w:val="28"/>
          <w:highlight w:val="none"/>
        </w:rPr>
      </w:pPr>
      <w:r>
        <w:rPr>
          <w:rFonts w:hint="eastAsia"/>
          <w:color w:val="auto"/>
          <w:sz w:val="28"/>
          <w:szCs w:val="28"/>
          <w:highlight w:val="none"/>
          <w:shd w:val="clear" w:color="auto" w:fill="FFFFFF"/>
        </w:rPr>
        <w:t> </w:t>
      </w:r>
    </w:p>
    <w:p w14:paraId="39DBCE18">
      <w:pPr>
        <w:pStyle w:val="32"/>
        <w:shd w:val="clear" w:color="auto" w:fill="FFFFFF"/>
        <w:spacing w:beforeAutospacing="0" w:after="0" w:afterAutospacing="0" w:line="480" w:lineRule="exact"/>
        <w:ind w:firstLine="420" w:firstLineChars="200"/>
        <w:rPr>
          <w:color w:val="auto"/>
          <w:sz w:val="21"/>
          <w:szCs w:val="21"/>
          <w:highlight w:val="none"/>
        </w:rPr>
      </w:pPr>
      <w:r>
        <w:rPr>
          <w:rFonts w:hint="eastAsia"/>
          <w:color w:val="auto"/>
          <w:sz w:val="21"/>
          <w:szCs w:val="21"/>
          <w:highlight w:val="none"/>
          <w:shd w:val="clear" w:color="auto" w:fill="FFFFFF"/>
        </w:rPr>
        <w:t>本公司郑重声明，根据《政府采购促进中小企业发展管理办法》（财库﹝2020﹞46号）的规定，本公司参加</w:t>
      </w:r>
      <w:r>
        <w:rPr>
          <w:rFonts w:hint="eastAsia"/>
          <w:color w:val="auto"/>
          <w:sz w:val="21"/>
          <w:szCs w:val="21"/>
          <w:highlight w:val="none"/>
          <w:u w:val="single"/>
          <w:shd w:val="clear" w:color="auto" w:fill="FFFFFF"/>
        </w:rPr>
        <w:t>（单位名称）</w:t>
      </w:r>
      <w:r>
        <w:rPr>
          <w:rFonts w:hint="eastAsia"/>
          <w:color w:val="auto"/>
          <w:sz w:val="21"/>
          <w:szCs w:val="21"/>
          <w:highlight w:val="none"/>
          <w:shd w:val="clear" w:color="auto" w:fill="FFFFFF"/>
        </w:rPr>
        <w:t>的</w:t>
      </w:r>
      <w:r>
        <w:rPr>
          <w:rFonts w:hint="eastAsia"/>
          <w:color w:val="auto"/>
          <w:sz w:val="21"/>
          <w:szCs w:val="21"/>
          <w:highlight w:val="none"/>
          <w:u w:val="single"/>
          <w:shd w:val="clear" w:color="auto" w:fill="FFFFFF"/>
        </w:rPr>
        <w:t>（项目名称）</w:t>
      </w:r>
      <w:r>
        <w:rPr>
          <w:rFonts w:hint="eastAsia"/>
          <w:color w:val="auto"/>
          <w:sz w:val="21"/>
          <w:szCs w:val="21"/>
          <w:highlight w:val="none"/>
          <w:shd w:val="clear" w:color="auto" w:fill="FFFFFF"/>
        </w:rPr>
        <w:t>采购活动，服务全部由符合政策要求的中小企业承接。相关企业的具体情况如下： </w:t>
      </w:r>
    </w:p>
    <w:p w14:paraId="07277777">
      <w:pPr>
        <w:pStyle w:val="32"/>
        <w:shd w:val="clear" w:color="auto" w:fill="FFFFFF"/>
        <w:spacing w:beforeAutospacing="0" w:after="0" w:afterAutospacing="0" w:line="480" w:lineRule="exact"/>
        <w:ind w:firstLine="420" w:firstLineChars="200"/>
        <w:rPr>
          <w:color w:val="auto"/>
          <w:sz w:val="21"/>
          <w:szCs w:val="21"/>
          <w:highlight w:val="none"/>
        </w:rPr>
      </w:pPr>
      <w:r>
        <w:rPr>
          <w:rFonts w:hint="eastAsia"/>
          <w:color w:val="auto"/>
          <w:sz w:val="21"/>
          <w:szCs w:val="21"/>
          <w:highlight w:val="none"/>
          <w:shd w:val="clear" w:color="auto" w:fill="FFFFFF"/>
        </w:rPr>
        <w:t>1.</w:t>
      </w:r>
      <w:r>
        <w:rPr>
          <w:rFonts w:hint="eastAsia"/>
          <w:color w:val="auto"/>
          <w:sz w:val="21"/>
          <w:szCs w:val="21"/>
          <w:highlight w:val="none"/>
          <w:u w:val="single"/>
          <w:shd w:val="clear" w:color="auto" w:fill="FFFFFF"/>
        </w:rPr>
        <w:t>（标的名称）</w:t>
      </w:r>
      <w:r>
        <w:rPr>
          <w:rFonts w:hint="eastAsia"/>
          <w:color w:val="auto"/>
          <w:sz w:val="21"/>
          <w:szCs w:val="21"/>
          <w:highlight w:val="none"/>
          <w:shd w:val="clear" w:color="auto" w:fill="FFFFFF"/>
        </w:rPr>
        <w:t>，属于</w:t>
      </w:r>
      <w:r>
        <w:rPr>
          <w:rFonts w:hint="eastAsia"/>
          <w:color w:val="auto"/>
          <w:sz w:val="21"/>
          <w:szCs w:val="21"/>
          <w:highlight w:val="none"/>
          <w:u w:val="single"/>
          <w:shd w:val="clear" w:color="auto" w:fill="FFFFFF"/>
        </w:rPr>
        <w:t>其他未列明行业</w:t>
      </w:r>
      <w:r>
        <w:rPr>
          <w:rFonts w:hint="eastAsia"/>
          <w:color w:val="auto"/>
          <w:sz w:val="21"/>
          <w:szCs w:val="21"/>
          <w:highlight w:val="none"/>
          <w:shd w:val="clear" w:color="auto" w:fill="FFFFFF"/>
        </w:rPr>
        <w:t>；承接企业为</w:t>
      </w:r>
      <w:r>
        <w:rPr>
          <w:rFonts w:hint="eastAsia"/>
          <w:color w:val="auto"/>
          <w:sz w:val="21"/>
          <w:szCs w:val="21"/>
          <w:highlight w:val="none"/>
          <w:u w:val="single"/>
          <w:shd w:val="clear" w:color="auto" w:fill="FFFFFF"/>
        </w:rPr>
        <w:t>（企业名称）</w:t>
      </w:r>
      <w:r>
        <w:rPr>
          <w:rFonts w:hint="eastAsia"/>
          <w:color w:val="auto"/>
          <w:sz w:val="21"/>
          <w:szCs w:val="21"/>
          <w:highlight w:val="none"/>
          <w:shd w:val="clear" w:color="auto" w:fill="FFFFFF"/>
        </w:rPr>
        <w:t>，从业人员</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人，营业收入为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万元，资产总额为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万元，属于</w:t>
      </w:r>
      <w:r>
        <w:rPr>
          <w:rFonts w:hint="eastAsia"/>
          <w:color w:val="auto"/>
          <w:sz w:val="21"/>
          <w:szCs w:val="21"/>
          <w:highlight w:val="none"/>
          <w:u w:val="single"/>
          <w:shd w:val="clear" w:color="auto" w:fill="FFFFFF"/>
        </w:rPr>
        <w:t>（中型企业、小型企业、微型企业）</w:t>
      </w:r>
      <w:r>
        <w:rPr>
          <w:rFonts w:hint="eastAsia"/>
          <w:color w:val="auto"/>
          <w:sz w:val="21"/>
          <w:szCs w:val="21"/>
          <w:highlight w:val="none"/>
          <w:shd w:val="clear" w:color="auto" w:fill="FFFFFF"/>
        </w:rPr>
        <w:t>；</w:t>
      </w:r>
    </w:p>
    <w:p w14:paraId="075F58A4">
      <w:pPr>
        <w:pStyle w:val="32"/>
        <w:shd w:val="clear" w:color="auto" w:fill="FFFFFF"/>
        <w:spacing w:beforeAutospacing="0" w:after="0" w:afterAutospacing="0" w:line="480" w:lineRule="exact"/>
        <w:ind w:firstLine="420" w:firstLineChars="200"/>
        <w:rPr>
          <w:color w:val="auto"/>
          <w:sz w:val="21"/>
          <w:szCs w:val="21"/>
          <w:highlight w:val="none"/>
        </w:rPr>
      </w:pPr>
      <w:r>
        <w:rPr>
          <w:rFonts w:hint="eastAsia"/>
          <w:color w:val="auto"/>
          <w:sz w:val="21"/>
          <w:szCs w:val="21"/>
          <w:highlight w:val="none"/>
          <w:shd w:val="clear" w:color="auto" w:fill="FFFFFF"/>
        </w:rPr>
        <w:t>2.</w:t>
      </w:r>
      <w:r>
        <w:rPr>
          <w:rFonts w:hint="eastAsia"/>
          <w:color w:val="auto"/>
          <w:sz w:val="21"/>
          <w:szCs w:val="21"/>
          <w:highlight w:val="none"/>
          <w:u w:val="single"/>
          <w:shd w:val="clear" w:color="auto" w:fill="FFFFFF"/>
        </w:rPr>
        <w:t>（标的名称）</w:t>
      </w:r>
      <w:r>
        <w:rPr>
          <w:rFonts w:hint="eastAsia"/>
          <w:color w:val="auto"/>
          <w:sz w:val="21"/>
          <w:szCs w:val="21"/>
          <w:highlight w:val="none"/>
          <w:shd w:val="clear" w:color="auto" w:fill="FFFFFF"/>
        </w:rPr>
        <w:t>，属于</w:t>
      </w:r>
      <w:r>
        <w:rPr>
          <w:rFonts w:hint="eastAsia"/>
          <w:color w:val="auto"/>
          <w:sz w:val="21"/>
          <w:szCs w:val="21"/>
          <w:highlight w:val="none"/>
          <w:u w:val="single"/>
          <w:shd w:val="clear" w:color="auto" w:fill="FFFFFF"/>
        </w:rPr>
        <w:t>其他未列明行业</w:t>
      </w:r>
      <w:r>
        <w:rPr>
          <w:rFonts w:hint="eastAsia"/>
          <w:color w:val="auto"/>
          <w:sz w:val="21"/>
          <w:szCs w:val="21"/>
          <w:highlight w:val="none"/>
          <w:shd w:val="clear" w:color="auto" w:fill="FFFFFF"/>
        </w:rPr>
        <w:t>；承接企业为</w:t>
      </w:r>
      <w:r>
        <w:rPr>
          <w:rFonts w:hint="eastAsia"/>
          <w:color w:val="auto"/>
          <w:sz w:val="21"/>
          <w:szCs w:val="21"/>
          <w:highlight w:val="none"/>
          <w:u w:val="single"/>
          <w:shd w:val="clear" w:color="auto" w:fill="FFFFFF"/>
        </w:rPr>
        <w:t>（企业名称）</w:t>
      </w:r>
      <w:r>
        <w:rPr>
          <w:rFonts w:hint="eastAsia"/>
          <w:color w:val="auto"/>
          <w:sz w:val="21"/>
          <w:szCs w:val="21"/>
          <w:highlight w:val="none"/>
          <w:shd w:val="clear" w:color="auto" w:fill="FFFFFF"/>
        </w:rPr>
        <w:t>，从业人员</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人，营业收入为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万元，资产总额为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万元，属于</w:t>
      </w:r>
      <w:r>
        <w:rPr>
          <w:rFonts w:hint="eastAsia"/>
          <w:color w:val="auto"/>
          <w:sz w:val="21"/>
          <w:szCs w:val="21"/>
          <w:highlight w:val="none"/>
          <w:u w:val="single"/>
          <w:shd w:val="clear" w:color="auto" w:fill="FFFFFF"/>
        </w:rPr>
        <w:t>（中型企业、小型企业、微型企业）</w:t>
      </w:r>
      <w:r>
        <w:rPr>
          <w:rFonts w:hint="eastAsia"/>
          <w:color w:val="auto"/>
          <w:sz w:val="21"/>
          <w:szCs w:val="21"/>
          <w:highlight w:val="none"/>
          <w:shd w:val="clear" w:color="auto" w:fill="FFFFFF"/>
        </w:rPr>
        <w:t>；</w:t>
      </w:r>
    </w:p>
    <w:p w14:paraId="475B699F">
      <w:pPr>
        <w:pStyle w:val="32"/>
        <w:shd w:val="clear" w:color="auto" w:fill="FFFFFF"/>
        <w:spacing w:beforeAutospacing="0" w:after="0" w:afterAutospacing="0" w:line="480" w:lineRule="exact"/>
        <w:ind w:firstLine="420" w:firstLineChars="200"/>
        <w:rPr>
          <w:color w:val="auto"/>
          <w:sz w:val="21"/>
          <w:szCs w:val="21"/>
          <w:highlight w:val="none"/>
        </w:rPr>
      </w:pPr>
      <w:r>
        <w:rPr>
          <w:rFonts w:hint="eastAsia"/>
          <w:color w:val="auto"/>
          <w:sz w:val="21"/>
          <w:szCs w:val="21"/>
          <w:highlight w:val="none"/>
          <w:shd w:val="clear" w:color="auto" w:fill="FFFFFF"/>
        </w:rPr>
        <w:t>…… </w:t>
      </w:r>
    </w:p>
    <w:p w14:paraId="4C7D273F">
      <w:pPr>
        <w:pStyle w:val="32"/>
        <w:shd w:val="clear" w:color="auto" w:fill="FFFFFF"/>
        <w:spacing w:beforeAutospacing="0" w:after="0" w:afterAutospacing="0" w:line="480" w:lineRule="exact"/>
        <w:ind w:firstLine="420" w:firstLineChars="200"/>
        <w:rPr>
          <w:color w:val="auto"/>
          <w:sz w:val="21"/>
          <w:szCs w:val="21"/>
          <w:highlight w:val="none"/>
        </w:rPr>
      </w:pPr>
      <w:r>
        <w:rPr>
          <w:rFonts w:hint="eastAsia"/>
          <w:color w:val="auto"/>
          <w:sz w:val="21"/>
          <w:szCs w:val="21"/>
          <w:highlight w:val="none"/>
          <w:shd w:val="clear" w:color="auto" w:fill="FFFFFF"/>
        </w:rPr>
        <w:t>以上企业，不属于大企业的分支机构，不存在控股股东为大企业的情形，也不存在与大企业的负责人为同一人的情形。 </w:t>
      </w:r>
    </w:p>
    <w:p w14:paraId="3EA342F9">
      <w:pPr>
        <w:pStyle w:val="32"/>
        <w:shd w:val="clear" w:color="auto" w:fill="FFFFFF"/>
        <w:spacing w:beforeAutospacing="0" w:after="0" w:afterAutospacing="0" w:line="480" w:lineRule="exact"/>
        <w:ind w:firstLine="420" w:firstLineChars="200"/>
        <w:rPr>
          <w:color w:val="auto"/>
          <w:sz w:val="28"/>
          <w:szCs w:val="28"/>
          <w:highlight w:val="none"/>
        </w:rPr>
      </w:pPr>
      <w:r>
        <w:rPr>
          <w:rFonts w:hint="eastAsia"/>
          <w:color w:val="auto"/>
          <w:sz w:val="21"/>
          <w:szCs w:val="21"/>
          <w:highlight w:val="none"/>
          <w:shd w:val="clear" w:color="auto" w:fill="FFFFFF"/>
        </w:rPr>
        <w:t>本企业对上述声明内容的真实性负责。如有虚假，将依法承担相应责任。</w:t>
      </w:r>
    </w:p>
    <w:p w14:paraId="5CC09AAD">
      <w:pPr>
        <w:pStyle w:val="32"/>
        <w:shd w:val="clear" w:color="auto" w:fill="FFFFFF"/>
        <w:spacing w:beforeAutospacing="0" w:after="0" w:afterAutospacing="0" w:line="240" w:lineRule="auto"/>
        <w:rPr>
          <w:color w:val="auto"/>
          <w:sz w:val="28"/>
          <w:szCs w:val="28"/>
          <w:highlight w:val="none"/>
        </w:rPr>
      </w:pPr>
      <w:r>
        <w:rPr>
          <w:rFonts w:hint="eastAsia"/>
          <w:color w:val="auto"/>
          <w:sz w:val="28"/>
          <w:szCs w:val="28"/>
          <w:highlight w:val="none"/>
          <w:shd w:val="clear" w:color="auto" w:fill="FFFFFF"/>
        </w:rPr>
        <w:t> </w:t>
      </w:r>
    </w:p>
    <w:p w14:paraId="6E190CBC">
      <w:pPr>
        <w:spacing w:line="360" w:lineRule="auto"/>
        <w:jc w:val="right"/>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（电子签章）</w:t>
      </w:r>
    </w:p>
    <w:p w14:paraId="2BA93372">
      <w:pPr>
        <w:spacing w:line="360" w:lineRule="auto"/>
        <w:jc w:val="right"/>
        <w:rPr>
          <w:rFonts w:ascii="宋体" w:hAnsi="宋体" w:cs="宋体"/>
          <w:color w:val="auto"/>
          <w:szCs w:val="21"/>
          <w:highlight w:val="none"/>
        </w:rPr>
      </w:pPr>
      <w:r>
        <w:rPr>
          <w:rFonts w:hint="eastAsia" w:ascii="宋体" w:hAnsi="宋体" w:cs="宋体"/>
          <w:color w:val="auto"/>
          <w:szCs w:val="21"/>
          <w:highlight w:val="none"/>
        </w:rPr>
        <w:t xml:space="preserve">                          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（电子签名）</w:t>
      </w:r>
    </w:p>
    <w:p w14:paraId="11C0614A">
      <w:pPr>
        <w:pStyle w:val="32"/>
        <w:shd w:val="clear" w:color="auto" w:fill="FFFFFF"/>
        <w:spacing w:beforeAutospacing="0" w:after="0" w:afterAutospacing="0" w:line="240" w:lineRule="auto"/>
        <w:jc w:val="right"/>
        <w:rPr>
          <w:color w:val="auto"/>
          <w:sz w:val="28"/>
          <w:szCs w:val="28"/>
          <w:highlight w:val="none"/>
        </w:rPr>
      </w:pPr>
      <w:r>
        <w:rPr>
          <w:rFonts w:hint="eastAsia"/>
          <w:color w:val="auto"/>
          <w:sz w:val="21"/>
          <w:szCs w:val="21"/>
          <w:highlight w:val="none"/>
        </w:rPr>
        <w:t xml:space="preserve">                           日期：</w:t>
      </w:r>
      <w:r>
        <w:rPr>
          <w:rFonts w:hint="eastAsia"/>
          <w:color w:val="auto"/>
          <w:sz w:val="21"/>
          <w:szCs w:val="21"/>
          <w:highlight w:val="none"/>
          <w:u w:val="single"/>
        </w:rPr>
        <w:t xml:space="preserve">     </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rPr>
        <w:t>月</w:t>
      </w:r>
      <w:r>
        <w:rPr>
          <w:rFonts w:hint="eastAsia"/>
          <w:color w:val="auto"/>
          <w:sz w:val="21"/>
          <w:szCs w:val="21"/>
          <w:highlight w:val="none"/>
          <w:u w:val="single"/>
        </w:rPr>
        <w:t xml:space="preserve">    </w:t>
      </w:r>
      <w:r>
        <w:rPr>
          <w:rFonts w:hint="eastAsia"/>
          <w:color w:val="auto"/>
          <w:sz w:val="21"/>
          <w:szCs w:val="21"/>
          <w:highlight w:val="none"/>
        </w:rPr>
        <w:t>日</w:t>
      </w:r>
    </w:p>
    <w:p w14:paraId="1CB15B3F">
      <w:pPr>
        <w:pStyle w:val="32"/>
        <w:shd w:val="clear" w:color="auto" w:fill="FFFFFF"/>
        <w:spacing w:beforeAutospacing="0" w:after="0" w:afterAutospacing="0" w:line="240" w:lineRule="auto"/>
        <w:rPr>
          <w:color w:val="auto"/>
          <w:sz w:val="28"/>
          <w:szCs w:val="28"/>
          <w:highlight w:val="none"/>
        </w:rPr>
      </w:pPr>
      <w:r>
        <w:rPr>
          <w:rFonts w:hint="eastAsia"/>
          <w:color w:val="auto"/>
          <w:sz w:val="28"/>
          <w:szCs w:val="28"/>
          <w:highlight w:val="none"/>
          <w:shd w:val="clear" w:color="auto" w:fill="FFFFFF"/>
        </w:rPr>
        <w:t> </w:t>
      </w:r>
    </w:p>
    <w:p w14:paraId="1EE65F31">
      <w:pPr>
        <w:spacing w:line="360" w:lineRule="auto"/>
        <w:jc w:val="center"/>
        <w:rPr>
          <w:rFonts w:ascii="宋体" w:hAnsi="宋体" w:cs="宋体"/>
          <w:b/>
          <w:bCs/>
          <w:color w:val="auto"/>
          <w:sz w:val="28"/>
          <w:szCs w:val="28"/>
          <w:highlight w:val="none"/>
        </w:rPr>
      </w:pPr>
      <w:r>
        <w:rPr>
          <w:rFonts w:hint="eastAsia" w:ascii="宋体" w:hAnsi="宋体" w:cs="宋体"/>
          <w:color w:val="auto"/>
          <w:szCs w:val="21"/>
          <w:highlight w:val="none"/>
          <w:shd w:val="clear" w:color="auto" w:fill="FFFFFF"/>
        </w:rPr>
        <w:t>注：从业人员、营业收入、资产总额填报上一年度数据，无上一年度数据的新成立企业可不填报。</w:t>
      </w:r>
    </w:p>
    <w:p w14:paraId="5D9D1E5F">
      <w:pPr>
        <w:spacing w:line="360" w:lineRule="auto"/>
        <w:ind w:firstLine="480" w:firstLineChars="200"/>
        <w:jc w:val="left"/>
        <w:rPr>
          <w:rFonts w:ascii="宋体" w:hAnsi="宋体" w:cs="宋体"/>
          <w:b/>
          <w:bCs/>
          <w:color w:val="auto"/>
          <w:sz w:val="24"/>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 w:val="24"/>
          <w:szCs w:val="20"/>
          <w:highlight w:val="none"/>
        </w:rPr>
        <w:t xml:space="preserve">   </w:t>
      </w:r>
    </w:p>
    <w:p w14:paraId="612739A1">
      <w:pPr>
        <w:spacing w:line="360" w:lineRule="auto"/>
        <w:jc w:val="center"/>
        <w:rPr>
          <w:rFonts w:ascii="宋体" w:hAnsi="宋体" w:cs="宋体"/>
          <w:b/>
          <w:bCs/>
          <w:color w:val="auto"/>
          <w:sz w:val="24"/>
          <w:szCs w:val="20"/>
          <w:highlight w:val="none"/>
        </w:rPr>
      </w:pPr>
      <w:r>
        <w:rPr>
          <w:rFonts w:hint="eastAsia" w:ascii="宋体" w:hAnsi="宋体" w:cs="宋体"/>
          <w:b/>
          <w:bCs/>
          <w:color w:val="auto"/>
          <w:sz w:val="24"/>
          <w:szCs w:val="20"/>
          <w:highlight w:val="none"/>
        </w:rPr>
        <w:t>（二）监狱企业证明函（投标人根据自身情况提供）</w:t>
      </w:r>
    </w:p>
    <w:p w14:paraId="7F22042C">
      <w:pPr>
        <w:spacing w:line="360" w:lineRule="auto"/>
        <w:jc w:val="center"/>
        <w:rPr>
          <w:rFonts w:ascii="宋体" w:hAnsi="宋体" w:cs="宋体"/>
          <w:b/>
          <w:bCs/>
          <w:color w:val="auto"/>
          <w:sz w:val="24"/>
          <w:szCs w:val="20"/>
          <w:highlight w:val="none"/>
        </w:rPr>
      </w:pPr>
      <w:bookmarkStart w:id="131" w:name="_Toc14135_WPSOffice_Level2"/>
      <w:r>
        <w:rPr>
          <w:rFonts w:hint="eastAsia" w:ascii="宋体" w:hAnsi="宋体" w:cs="宋体"/>
          <w:b/>
          <w:bCs/>
          <w:color w:val="auto"/>
          <w:sz w:val="24"/>
          <w:szCs w:val="20"/>
          <w:highlight w:val="none"/>
        </w:rPr>
        <w:t>监狱企业证明函</w:t>
      </w:r>
      <w:bookmarkEnd w:id="131"/>
    </w:p>
    <w:p w14:paraId="1AF982EE">
      <w:pPr>
        <w:spacing w:line="360" w:lineRule="auto"/>
        <w:rPr>
          <w:rFonts w:ascii="宋体" w:hAnsi="宋体" w:cs="宋体"/>
          <w:color w:val="auto"/>
          <w:szCs w:val="16"/>
          <w:highlight w:val="none"/>
        </w:rPr>
      </w:pPr>
      <w:r>
        <w:rPr>
          <w:rFonts w:hint="eastAsia" w:ascii="宋体" w:hAnsi="宋体" w:cs="宋体"/>
          <w:color w:val="auto"/>
          <w:sz w:val="24"/>
          <w:szCs w:val="20"/>
          <w:highlight w:val="none"/>
        </w:rPr>
        <w:t xml:space="preserve">     </w:t>
      </w:r>
      <w:r>
        <w:rPr>
          <w:rFonts w:hint="eastAsia" w:ascii="宋体" w:hAnsi="宋体" w:cs="宋体"/>
          <w:color w:val="auto"/>
          <w:szCs w:val="16"/>
          <w:highlight w:val="none"/>
        </w:rPr>
        <w:t>本公司郑重声明，根据《财政部 司法部关于政府采购支持监狱企业发展有关问题的通知》（财库[2014]68 号）的规定，本公司为监狱企业。</w:t>
      </w:r>
    </w:p>
    <w:p w14:paraId="647B02EC">
      <w:pPr>
        <w:spacing w:line="360" w:lineRule="auto"/>
        <w:rPr>
          <w:rFonts w:ascii="宋体" w:hAnsi="宋体" w:cs="宋体"/>
          <w:color w:val="auto"/>
          <w:szCs w:val="16"/>
          <w:highlight w:val="none"/>
        </w:rPr>
      </w:pPr>
      <w:r>
        <w:rPr>
          <w:rFonts w:hint="eastAsia" w:ascii="宋体" w:hAnsi="宋体" w:cs="宋体"/>
          <w:color w:val="auto"/>
          <w:szCs w:val="16"/>
          <w:highlight w:val="none"/>
        </w:rPr>
        <w:t xml:space="preserve"> </w:t>
      </w:r>
    </w:p>
    <w:p w14:paraId="181D14F5">
      <w:pPr>
        <w:spacing w:line="360" w:lineRule="auto"/>
        <w:rPr>
          <w:rFonts w:ascii="宋体" w:hAnsi="宋体" w:cs="宋体"/>
          <w:color w:val="auto"/>
          <w:szCs w:val="16"/>
          <w:highlight w:val="none"/>
        </w:rPr>
      </w:pPr>
    </w:p>
    <w:p w14:paraId="71E80A80">
      <w:pPr>
        <w:spacing w:line="360" w:lineRule="auto"/>
        <w:rPr>
          <w:rFonts w:ascii="宋体" w:hAnsi="宋体" w:cs="宋体"/>
          <w:color w:val="auto"/>
          <w:szCs w:val="16"/>
          <w:highlight w:val="none"/>
        </w:rPr>
      </w:pPr>
    </w:p>
    <w:p w14:paraId="14BFACAE">
      <w:pPr>
        <w:spacing w:line="360" w:lineRule="auto"/>
        <w:rPr>
          <w:rFonts w:ascii="宋体" w:hAnsi="宋体" w:cs="宋体"/>
          <w:color w:val="auto"/>
          <w:szCs w:val="16"/>
          <w:highlight w:val="none"/>
        </w:rPr>
      </w:pPr>
    </w:p>
    <w:p w14:paraId="45BE4AB3">
      <w:pPr>
        <w:spacing w:line="360" w:lineRule="auto"/>
        <w:rPr>
          <w:rFonts w:ascii="宋体" w:hAnsi="宋体" w:cs="宋体"/>
          <w:color w:val="auto"/>
          <w:szCs w:val="16"/>
          <w:highlight w:val="none"/>
        </w:rPr>
      </w:pPr>
    </w:p>
    <w:p w14:paraId="1D49EEF7">
      <w:pPr>
        <w:spacing w:line="360" w:lineRule="auto"/>
        <w:rPr>
          <w:rFonts w:ascii="宋体" w:hAnsi="宋体" w:cs="宋体"/>
          <w:color w:val="auto"/>
          <w:szCs w:val="16"/>
          <w:highlight w:val="none"/>
        </w:rPr>
      </w:pPr>
    </w:p>
    <w:p w14:paraId="5A0B69A4">
      <w:pPr>
        <w:spacing w:line="360" w:lineRule="auto"/>
        <w:rPr>
          <w:rFonts w:ascii="宋体" w:hAnsi="宋体" w:cs="宋体"/>
          <w:color w:val="auto"/>
          <w:szCs w:val="16"/>
          <w:highlight w:val="none"/>
        </w:rPr>
      </w:pPr>
      <w:r>
        <w:rPr>
          <w:rFonts w:hint="eastAsia" w:ascii="宋体" w:hAnsi="宋体" w:cs="宋体"/>
          <w:color w:val="auto"/>
          <w:szCs w:val="16"/>
          <w:highlight w:val="none"/>
        </w:rPr>
        <w:t>省级以上监狱管理局、戒毒管理局（含新疆生产建设兵团）（盖章）：</w:t>
      </w:r>
    </w:p>
    <w:p w14:paraId="3E42D2B7">
      <w:pPr>
        <w:spacing w:line="360" w:lineRule="exact"/>
        <w:ind w:firstLine="210" w:firstLineChars="100"/>
        <w:jc w:val="right"/>
        <w:rPr>
          <w:rFonts w:ascii="宋体" w:hAnsi="宋体" w:cs="宋体"/>
          <w:color w:val="auto"/>
          <w:szCs w:val="16"/>
          <w:highlight w:val="none"/>
        </w:rPr>
      </w:pPr>
    </w:p>
    <w:p w14:paraId="088F348B">
      <w:pPr>
        <w:spacing w:line="360" w:lineRule="exact"/>
        <w:ind w:firstLine="210" w:firstLineChars="100"/>
        <w:jc w:val="right"/>
        <w:rPr>
          <w:rFonts w:ascii="宋体" w:hAnsi="宋体" w:cs="宋体"/>
          <w:color w:val="auto"/>
          <w:szCs w:val="16"/>
          <w:highlight w:val="none"/>
        </w:rPr>
      </w:pPr>
    </w:p>
    <w:p w14:paraId="285CC233">
      <w:pPr>
        <w:spacing w:line="360" w:lineRule="exact"/>
        <w:ind w:firstLine="210" w:firstLineChars="100"/>
        <w:jc w:val="right"/>
        <w:rPr>
          <w:rFonts w:ascii="宋体" w:hAnsi="宋体" w:cs="宋体"/>
          <w:color w:val="auto"/>
          <w:szCs w:val="16"/>
          <w:highlight w:val="none"/>
        </w:rPr>
      </w:pPr>
    </w:p>
    <w:p w14:paraId="3B24E114">
      <w:pPr>
        <w:spacing w:line="360" w:lineRule="exact"/>
        <w:ind w:firstLine="210" w:firstLineChars="100"/>
        <w:jc w:val="right"/>
        <w:rPr>
          <w:rFonts w:ascii="宋体" w:hAnsi="宋体" w:cs="宋体"/>
          <w:color w:val="auto"/>
          <w:szCs w:val="16"/>
          <w:highlight w:val="none"/>
        </w:rPr>
      </w:pPr>
    </w:p>
    <w:p w14:paraId="23372A7F">
      <w:pPr>
        <w:spacing w:line="360" w:lineRule="exact"/>
        <w:ind w:firstLine="210" w:firstLineChars="100"/>
        <w:jc w:val="right"/>
        <w:rPr>
          <w:rFonts w:ascii="宋体" w:hAnsi="宋体" w:cs="宋体"/>
          <w:color w:val="auto"/>
          <w:szCs w:val="21"/>
          <w:highlight w:val="none"/>
        </w:rPr>
      </w:pPr>
      <w:r>
        <w:rPr>
          <w:rFonts w:hint="eastAsia" w:ascii="宋体" w:hAnsi="宋体" w:cs="宋体"/>
          <w:color w:val="auto"/>
          <w:szCs w:val="16"/>
          <w:highlight w:val="none"/>
        </w:rPr>
        <w:t xml:space="preserve"> </w:t>
      </w: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zh-CN"/>
        </w:rPr>
        <w:t>电子签章</w:t>
      </w:r>
      <w:r>
        <w:rPr>
          <w:rFonts w:hint="eastAsia" w:ascii="宋体" w:hAnsi="宋体" w:cs="宋体"/>
          <w:color w:val="auto"/>
          <w:szCs w:val="21"/>
          <w:highlight w:val="none"/>
        </w:rPr>
        <w:t>）</w:t>
      </w:r>
    </w:p>
    <w:p w14:paraId="2E7A8E60">
      <w:pPr>
        <w:spacing w:line="360" w:lineRule="exact"/>
        <w:ind w:firstLine="210" w:firstLineChars="100"/>
        <w:jc w:val="right"/>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w:t>
      </w:r>
      <w:r>
        <w:rPr>
          <w:rFonts w:hint="eastAsia" w:ascii="宋体" w:hAnsi="宋体" w:cs="宋体"/>
          <w:color w:val="auto"/>
          <w:szCs w:val="21"/>
          <w:highlight w:val="none"/>
        </w:rPr>
        <w:t>电子签名</w:t>
      </w:r>
      <w:r>
        <w:rPr>
          <w:rFonts w:hint="eastAsia" w:ascii="宋体" w:hAnsi="宋体" w:cs="宋体"/>
          <w:color w:val="auto"/>
          <w:szCs w:val="21"/>
          <w:highlight w:val="none"/>
          <w:lang w:val="zh-CN"/>
        </w:rPr>
        <w:t>）</w:t>
      </w:r>
    </w:p>
    <w:p w14:paraId="3CEA12E9">
      <w:pPr>
        <w:spacing w:line="360" w:lineRule="auto"/>
        <w:jc w:val="right"/>
        <w:rPr>
          <w:rFonts w:ascii="宋体" w:hAnsi="宋体" w:cs="宋体"/>
          <w:color w:val="auto"/>
          <w:szCs w:val="21"/>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24FF3ADE">
      <w:pPr>
        <w:spacing w:line="360" w:lineRule="auto"/>
        <w:jc w:val="center"/>
        <w:rPr>
          <w:rFonts w:ascii="宋体" w:hAnsi="宋体" w:cs="宋体"/>
          <w:b/>
          <w:bCs/>
          <w:color w:val="auto"/>
          <w:sz w:val="24"/>
          <w:szCs w:val="20"/>
          <w:highlight w:val="none"/>
        </w:rPr>
      </w:pPr>
      <w:bookmarkStart w:id="132" w:name="_Toc24650_WPSOffice_Level2"/>
      <w:r>
        <w:rPr>
          <w:rFonts w:hint="eastAsia" w:ascii="宋体" w:hAnsi="宋体" w:cs="宋体"/>
          <w:b/>
          <w:bCs/>
          <w:color w:val="auto"/>
          <w:sz w:val="24"/>
          <w:szCs w:val="20"/>
          <w:highlight w:val="none"/>
        </w:rPr>
        <w:t>（三）残疾人福利性单位声明函（投标人根据自身情况提供）</w:t>
      </w:r>
      <w:bookmarkEnd w:id="132"/>
    </w:p>
    <w:p w14:paraId="4BB33624">
      <w:pPr>
        <w:spacing w:line="360" w:lineRule="auto"/>
        <w:jc w:val="center"/>
        <w:rPr>
          <w:rFonts w:ascii="宋体" w:hAnsi="宋体" w:cs="宋体"/>
          <w:b/>
          <w:bCs/>
          <w:color w:val="auto"/>
          <w:sz w:val="24"/>
          <w:szCs w:val="20"/>
          <w:highlight w:val="none"/>
        </w:rPr>
      </w:pPr>
      <w:bookmarkStart w:id="133" w:name="_Toc9242_WPSOffice_Level2"/>
      <w:r>
        <w:rPr>
          <w:rFonts w:hint="eastAsia" w:ascii="宋体" w:hAnsi="宋体" w:cs="宋体"/>
          <w:b/>
          <w:bCs/>
          <w:color w:val="auto"/>
          <w:sz w:val="24"/>
          <w:szCs w:val="20"/>
          <w:highlight w:val="none"/>
        </w:rPr>
        <w:t>残疾人福利性单位声明函</w:t>
      </w:r>
      <w:bookmarkEnd w:id="133"/>
    </w:p>
    <w:p w14:paraId="0D9B6320">
      <w:pPr>
        <w:spacing w:line="360" w:lineRule="auto"/>
        <w:rPr>
          <w:rFonts w:ascii="宋体" w:hAnsi="宋体" w:cs="宋体"/>
          <w:color w:val="auto"/>
          <w:sz w:val="24"/>
          <w:szCs w:val="20"/>
          <w:highlight w:val="none"/>
        </w:rPr>
      </w:pPr>
    </w:p>
    <w:p w14:paraId="4D3E08ED">
      <w:pPr>
        <w:spacing w:line="500" w:lineRule="exact"/>
        <w:rPr>
          <w:rFonts w:ascii="宋体" w:hAnsi="宋体" w:cs="宋体"/>
          <w:color w:val="auto"/>
          <w:szCs w:val="21"/>
          <w:highlight w:val="none"/>
        </w:rPr>
      </w:pPr>
      <w:r>
        <w:rPr>
          <w:rFonts w:hint="eastAsia" w:ascii="宋体" w:hAnsi="宋体" w:cs="宋体"/>
          <w:color w:val="auto"/>
          <w:sz w:val="24"/>
          <w:szCs w:val="20"/>
          <w:highlight w:val="none"/>
        </w:rPr>
        <w:t xml:space="preserve">     </w:t>
      </w: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项目采购活动提供本单位制造的货物（由本单位承担工程/提供服务），或者提供其他残疾人福利性单位制造的货物（不包括使用非残疾人福利性单位注册商标的货物）。</w:t>
      </w:r>
    </w:p>
    <w:p w14:paraId="7E20180F">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7830AFF7">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p>
    <w:p w14:paraId="29C8F6C9">
      <w:pPr>
        <w:spacing w:line="360" w:lineRule="auto"/>
        <w:rPr>
          <w:rFonts w:ascii="宋体" w:hAnsi="宋体" w:cs="宋体"/>
          <w:color w:val="auto"/>
          <w:szCs w:val="21"/>
          <w:highlight w:val="none"/>
        </w:rPr>
      </w:pPr>
    </w:p>
    <w:p w14:paraId="5414B71E">
      <w:pPr>
        <w:spacing w:line="360" w:lineRule="auto"/>
        <w:rPr>
          <w:rFonts w:ascii="宋体" w:hAnsi="宋体" w:cs="宋体"/>
          <w:color w:val="auto"/>
          <w:szCs w:val="21"/>
          <w:highlight w:val="none"/>
        </w:rPr>
      </w:pPr>
    </w:p>
    <w:p w14:paraId="2E1BD5AC">
      <w:pPr>
        <w:spacing w:line="360" w:lineRule="auto"/>
        <w:rPr>
          <w:rFonts w:ascii="宋体" w:hAnsi="宋体" w:cs="宋体"/>
          <w:color w:val="auto"/>
          <w:szCs w:val="21"/>
          <w:highlight w:val="none"/>
        </w:rPr>
      </w:pPr>
    </w:p>
    <w:p w14:paraId="6119899D">
      <w:pPr>
        <w:spacing w:line="360" w:lineRule="exact"/>
        <w:ind w:firstLine="210" w:firstLineChars="100"/>
        <w:jc w:val="right"/>
        <w:rPr>
          <w:rFonts w:ascii="宋体" w:hAnsi="宋体" w:cs="宋体"/>
          <w:color w:val="auto"/>
          <w:szCs w:val="21"/>
          <w:highlight w:val="none"/>
        </w:rPr>
      </w:pPr>
      <w:r>
        <w:rPr>
          <w:rFonts w:hint="eastAsia" w:ascii="宋体" w:hAnsi="宋体" w:cs="宋体"/>
          <w:color w:val="auto"/>
          <w:szCs w:val="21"/>
          <w:highlight w:val="none"/>
        </w:rPr>
        <w:t>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zh-CN"/>
        </w:rPr>
        <w:t>电子签章</w:t>
      </w:r>
      <w:r>
        <w:rPr>
          <w:rFonts w:hint="eastAsia" w:ascii="宋体" w:hAnsi="宋体" w:cs="宋体"/>
          <w:color w:val="auto"/>
          <w:szCs w:val="21"/>
          <w:highlight w:val="none"/>
        </w:rPr>
        <w:t>）</w:t>
      </w:r>
    </w:p>
    <w:p w14:paraId="57C7C43E">
      <w:pPr>
        <w:spacing w:line="360" w:lineRule="exact"/>
        <w:ind w:firstLine="210" w:firstLineChars="100"/>
        <w:jc w:val="right"/>
        <w:rPr>
          <w:rFonts w:ascii="宋体" w:hAnsi="宋体" w:cs="宋体"/>
          <w:color w:val="auto"/>
          <w:szCs w:val="21"/>
          <w:highlight w:val="none"/>
        </w:rPr>
      </w:pPr>
      <w:r>
        <w:rPr>
          <w:rFonts w:hint="eastAsia" w:ascii="宋体" w:hAnsi="宋体" w:cs="宋体"/>
          <w:color w:val="auto"/>
          <w:szCs w:val="21"/>
          <w:highlight w:val="none"/>
        </w:rPr>
        <w:t>法定代表人或其委托代理人：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w:t>
      </w:r>
      <w:r>
        <w:rPr>
          <w:rFonts w:hint="eastAsia" w:ascii="宋体" w:hAnsi="宋体" w:cs="宋体"/>
          <w:color w:val="auto"/>
          <w:szCs w:val="21"/>
          <w:highlight w:val="none"/>
        </w:rPr>
        <w:t>电子签名</w:t>
      </w:r>
      <w:r>
        <w:rPr>
          <w:rFonts w:hint="eastAsia" w:ascii="宋体" w:hAnsi="宋体" w:cs="宋体"/>
          <w:color w:val="auto"/>
          <w:szCs w:val="21"/>
          <w:highlight w:val="none"/>
          <w:lang w:val="zh-CN"/>
        </w:rPr>
        <w:t>）</w:t>
      </w:r>
    </w:p>
    <w:p w14:paraId="44AF9AD4">
      <w:pPr>
        <w:jc w:val="right"/>
        <w:rPr>
          <w:rFonts w:ascii="宋体" w:hAnsi="宋体" w:cs="宋体"/>
          <w:color w:val="auto"/>
          <w:szCs w:val="21"/>
          <w:highlight w:val="none"/>
        </w:rPr>
      </w:pPr>
      <w:r>
        <w:rPr>
          <w:rFonts w:hint="eastAsia" w:ascii="宋体" w:hAnsi="宋体" w:cs="宋体"/>
          <w:color w:val="auto"/>
          <w:szCs w:val="21"/>
          <w:highlight w:val="none"/>
        </w:rPr>
        <w:t>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DDE2064">
      <w:pPr>
        <w:keepNext/>
        <w:keepLines/>
        <w:ind w:firstLine="420" w:firstLineChars="200"/>
        <w:jc w:val="left"/>
        <w:rPr>
          <w:rFonts w:ascii="宋体" w:hAnsi="宋体" w:cs="宋体"/>
          <w:color w:val="auto"/>
          <w:szCs w:val="21"/>
          <w:highlight w:val="none"/>
        </w:rPr>
        <w:sectPr>
          <w:pgSz w:w="11906" w:h="16838"/>
          <w:pgMar w:top="1440" w:right="1349" w:bottom="1327" w:left="1349" w:header="850" w:footer="907" w:gutter="0"/>
          <w:pgNumType w:fmt="decimal"/>
          <w:cols w:space="0" w:num="1"/>
          <w:rtlGutter w:val="0"/>
          <w:docGrid w:linePitch="312" w:charSpace="0"/>
        </w:sectPr>
      </w:pPr>
    </w:p>
    <w:p w14:paraId="3AFA652C">
      <w:pPr>
        <w:jc w:val="center"/>
        <w:rPr>
          <w:color w:val="auto"/>
          <w:highlight w:val="none"/>
        </w:rPr>
        <w:sectPr>
          <w:pgSz w:w="11906" w:h="16838"/>
          <w:pgMar w:top="1440" w:right="1349" w:bottom="1327" w:left="1349" w:header="850" w:footer="907" w:gutter="0"/>
          <w:pgNumType w:fmt="decimal"/>
          <w:cols w:space="0" w:num="1"/>
          <w:rtlGutter w:val="0"/>
          <w:docGrid w:linePitch="312" w:charSpace="0"/>
        </w:sectPr>
      </w:pPr>
      <w:r>
        <w:rPr>
          <w:rFonts w:hint="eastAsia" w:ascii="宋体" w:hAnsi="宋体" w:cs="宋体"/>
          <w:b/>
          <w:bCs/>
          <w:color w:val="auto"/>
          <w:sz w:val="24"/>
          <w:szCs w:val="22"/>
          <w:highlight w:val="none"/>
        </w:rPr>
        <w:t>（四）投标人认为如果满足招标文件要求还需要提供的文件和资料</w:t>
      </w:r>
      <w:bookmarkEnd w:id="127"/>
    </w:p>
    <w:p w14:paraId="2E222310">
      <w:pPr>
        <w:rPr>
          <w:color w:val="auto"/>
          <w:highlight w:val="none"/>
        </w:rPr>
      </w:pPr>
    </w:p>
    <w:bookmarkEnd w:id="93"/>
    <w:p w14:paraId="0C37C8D0">
      <w:pPr>
        <w:pStyle w:val="2"/>
        <w:numPr>
          <w:ilvl w:val="0"/>
          <w:numId w:val="0"/>
        </w:numPr>
        <w:jc w:val="center"/>
        <w:rPr>
          <w:rFonts w:ascii="宋体" w:hAnsi="宋体" w:cs="宋体"/>
          <w:color w:val="auto"/>
          <w:sz w:val="44"/>
          <w:szCs w:val="44"/>
          <w:highlight w:val="none"/>
          <w:lang w:eastAsia="zh-CN"/>
        </w:rPr>
      </w:pPr>
      <w:bookmarkStart w:id="134" w:name="_Toc161372054"/>
      <w:bookmarkStart w:id="135" w:name="_Toc164785468"/>
      <w:bookmarkStart w:id="136" w:name="_Toc178872814"/>
      <w:bookmarkStart w:id="137" w:name="_Toc261968384"/>
      <w:bookmarkStart w:id="138" w:name="_Toc198544746"/>
      <w:bookmarkStart w:id="139" w:name="_Toc194936462"/>
      <w:bookmarkStart w:id="140" w:name="_Toc7600"/>
      <w:bookmarkStart w:id="141" w:name="_Toc522010578"/>
      <w:bookmarkStart w:id="142" w:name="_Toc261968391"/>
      <w:bookmarkStart w:id="143" w:name="_Toc142200251"/>
      <w:r>
        <w:rPr>
          <w:rFonts w:hint="eastAsia" w:ascii="宋体" w:hAnsi="宋体" w:cs="宋体"/>
          <w:color w:val="auto"/>
          <w:sz w:val="44"/>
          <w:szCs w:val="44"/>
          <w:highlight w:val="none"/>
          <w:lang w:eastAsia="zh-CN"/>
        </w:rPr>
        <w:t>第六章 评标</w:t>
      </w:r>
      <w:bookmarkEnd w:id="134"/>
      <w:bookmarkEnd w:id="135"/>
      <w:bookmarkEnd w:id="136"/>
      <w:bookmarkEnd w:id="137"/>
      <w:bookmarkEnd w:id="138"/>
      <w:bookmarkEnd w:id="139"/>
      <w:r>
        <w:rPr>
          <w:rFonts w:hint="eastAsia" w:ascii="宋体" w:hAnsi="宋体" w:cs="宋体"/>
          <w:color w:val="auto"/>
          <w:sz w:val="44"/>
          <w:szCs w:val="44"/>
          <w:highlight w:val="none"/>
          <w:lang w:eastAsia="zh-CN"/>
        </w:rPr>
        <w:t>办法</w:t>
      </w:r>
      <w:bookmarkEnd w:id="140"/>
      <w:bookmarkEnd w:id="141"/>
    </w:p>
    <w:p w14:paraId="4962C262">
      <w:pPr>
        <w:jc w:val="center"/>
        <w:rPr>
          <w:color w:val="auto"/>
          <w:highlight w:val="none"/>
        </w:rPr>
      </w:pPr>
      <w:r>
        <w:rPr>
          <w:rFonts w:hint="eastAsia" w:ascii="宋体" w:hAnsi="宋体" w:cs="宋体"/>
          <w:b/>
          <w:color w:val="auto"/>
          <w:sz w:val="32"/>
          <w:highlight w:val="none"/>
        </w:rPr>
        <w:t>评标办法前附表</w:t>
      </w:r>
    </w:p>
    <w:bookmarkEnd w:id="142"/>
    <w:bookmarkEnd w:id="143"/>
    <w:tbl>
      <w:tblPr>
        <w:tblStyle w:val="35"/>
        <w:tblpPr w:leftFromText="180" w:rightFromText="180" w:vertAnchor="text" w:horzAnchor="page" w:tblpXSpec="center" w:tblpY="621"/>
        <w:tblOverlap w:val="never"/>
        <w:tblW w:w="95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42"/>
        <w:gridCol w:w="1044"/>
        <w:gridCol w:w="2406"/>
        <w:gridCol w:w="5562"/>
      </w:tblGrid>
      <w:tr w14:paraId="3D8B1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1586" w:type="dxa"/>
            <w:gridSpan w:val="2"/>
            <w:vAlign w:val="center"/>
          </w:tcPr>
          <w:p w14:paraId="4BF957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b/>
                <w:color w:val="auto"/>
                <w:szCs w:val="21"/>
                <w:highlight w:val="none"/>
              </w:rPr>
            </w:pPr>
            <w:bookmarkStart w:id="144" w:name="_Toc7188761"/>
            <w:bookmarkStart w:id="145" w:name="_Toc396313202"/>
            <w:bookmarkStart w:id="146" w:name="_Toc370729213"/>
            <w:bookmarkStart w:id="147" w:name="_Toc326218110"/>
            <w:bookmarkStart w:id="148" w:name="_Toc391301903"/>
            <w:r>
              <w:rPr>
                <w:rFonts w:hint="eastAsia" w:ascii="宋体" w:hAnsi="宋体" w:cs="宋体"/>
                <w:b/>
                <w:color w:val="auto"/>
                <w:szCs w:val="21"/>
                <w:highlight w:val="none"/>
              </w:rPr>
              <w:t>条款号</w:t>
            </w:r>
          </w:p>
        </w:tc>
        <w:tc>
          <w:tcPr>
            <w:tcW w:w="2406" w:type="dxa"/>
            <w:vAlign w:val="center"/>
          </w:tcPr>
          <w:p w14:paraId="6F7FCD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b/>
                <w:color w:val="auto"/>
                <w:szCs w:val="21"/>
                <w:highlight w:val="none"/>
              </w:rPr>
            </w:pPr>
            <w:r>
              <w:rPr>
                <w:rFonts w:hint="eastAsia" w:ascii="宋体" w:hAnsi="宋体" w:cs="宋体"/>
                <w:b/>
                <w:color w:val="auto"/>
                <w:szCs w:val="21"/>
                <w:highlight w:val="none"/>
              </w:rPr>
              <w:t>评审因素</w:t>
            </w:r>
          </w:p>
        </w:tc>
        <w:tc>
          <w:tcPr>
            <w:tcW w:w="5562" w:type="dxa"/>
            <w:vAlign w:val="center"/>
          </w:tcPr>
          <w:p w14:paraId="6CC11D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b/>
                <w:color w:val="auto"/>
                <w:szCs w:val="21"/>
                <w:highlight w:val="none"/>
              </w:rPr>
            </w:pPr>
            <w:r>
              <w:rPr>
                <w:rFonts w:hint="eastAsia" w:ascii="宋体" w:hAnsi="宋体" w:cs="宋体"/>
                <w:b/>
                <w:color w:val="auto"/>
                <w:szCs w:val="21"/>
                <w:highlight w:val="none"/>
              </w:rPr>
              <w:t>评审标准</w:t>
            </w:r>
          </w:p>
        </w:tc>
      </w:tr>
      <w:tr w14:paraId="31861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173" w:hRule="atLeast"/>
          <w:jc w:val="center"/>
        </w:trPr>
        <w:tc>
          <w:tcPr>
            <w:tcW w:w="542" w:type="dxa"/>
            <w:vAlign w:val="center"/>
          </w:tcPr>
          <w:p w14:paraId="0F1D79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r>
              <w:rPr>
                <w:rFonts w:hint="eastAsia" w:ascii="宋体" w:hAnsi="宋体" w:cs="宋体"/>
                <w:color w:val="auto"/>
                <w:szCs w:val="21"/>
                <w:highlight w:val="none"/>
              </w:rPr>
              <w:t>1</w:t>
            </w:r>
          </w:p>
        </w:tc>
        <w:tc>
          <w:tcPr>
            <w:tcW w:w="1044" w:type="dxa"/>
            <w:vAlign w:val="center"/>
          </w:tcPr>
          <w:p w14:paraId="3F4840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eastAsia" w:ascii="宋体" w:hAnsi="宋体" w:cs="宋体"/>
                <w:color w:val="auto"/>
                <w:szCs w:val="21"/>
                <w:highlight w:val="none"/>
              </w:rPr>
              <w:t>评标办法</w:t>
            </w:r>
          </w:p>
        </w:tc>
        <w:tc>
          <w:tcPr>
            <w:tcW w:w="2406" w:type="dxa"/>
            <w:vAlign w:val="center"/>
          </w:tcPr>
          <w:p w14:paraId="3B994B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综合评分法</w:t>
            </w:r>
          </w:p>
        </w:tc>
        <w:tc>
          <w:tcPr>
            <w:tcW w:w="5562" w:type="dxa"/>
            <w:vAlign w:val="center"/>
          </w:tcPr>
          <w:p w14:paraId="0A0BEA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20" w:firstLineChars="20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本次评标采用</w:t>
            </w:r>
            <w:r>
              <w:rPr>
                <w:rFonts w:hint="eastAsia" w:ascii="宋体" w:hAnsi="宋体" w:cs="宋体"/>
                <w:b/>
                <w:bCs/>
                <w:color w:val="auto"/>
                <w:szCs w:val="21"/>
                <w:highlight w:val="none"/>
                <w:u w:val="single"/>
                <w:shd w:val="clear" w:color="auto" w:fill="FFFFFF"/>
              </w:rPr>
              <w:t>综合评分法</w:t>
            </w:r>
            <w:r>
              <w:rPr>
                <w:rFonts w:hint="eastAsia" w:ascii="宋体" w:hAnsi="宋体" w:cs="宋体"/>
                <w:color w:val="auto"/>
                <w:szCs w:val="21"/>
                <w:highlight w:val="none"/>
                <w:shd w:val="clear" w:color="auto" w:fill="FFFFFF"/>
              </w:rPr>
              <w:t>。评标委员会对满足招标文件实质性要求的投标文件，按照本章第4款规定的评分标准进行打分，并按得分由高到低顺序推荐</w:t>
            </w:r>
            <w:r>
              <w:rPr>
                <w:rFonts w:hint="eastAsia" w:ascii="宋体" w:hAnsi="宋体" w:cs="宋体"/>
                <w:color w:val="auto"/>
                <w:szCs w:val="21"/>
                <w:highlight w:val="none"/>
                <w:u w:val="single"/>
                <w:shd w:val="clear" w:color="auto" w:fill="FFFFFF"/>
              </w:rPr>
              <w:t>3</w:t>
            </w:r>
            <w:r>
              <w:rPr>
                <w:rFonts w:hint="eastAsia" w:ascii="宋体" w:hAnsi="宋体" w:cs="宋体"/>
                <w:color w:val="auto"/>
                <w:szCs w:val="21"/>
                <w:highlight w:val="none"/>
                <w:shd w:val="clear" w:color="auto" w:fill="FFFFFF"/>
              </w:rPr>
              <w:t>名中标候选人。综合评分相等时，以技术得分高的优先；技术得分也相同的，以</w:t>
            </w:r>
            <w:r>
              <w:rPr>
                <w:rFonts w:hint="eastAsia" w:ascii="宋体" w:hAnsi="宋体" w:cs="宋体"/>
                <w:color w:val="auto"/>
                <w:szCs w:val="21"/>
                <w:highlight w:val="none"/>
                <w:shd w:val="clear" w:color="auto" w:fill="FFFFFF"/>
                <w:lang w:val="en-US" w:eastAsia="zh-CN"/>
              </w:rPr>
              <w:t>项目负责人</w:t>
            </w:r>
            <w:r>
              <w:rPr>
                <w:rFonts w:hint="eastAsia" w:ascii="宋体" w:hAnsi="宋体" w:cs="宋体"/>
                <w:color w:val="auto"/>
                <w:szCs w:val="21"/>
                <w:highlight w:val="none"/>
                <w:shd w:val="clear" w:color="auto" w:fill="FFFFFF"/>
              </w:rPr>
              <w:t>完成项目多的优先；除此之外，由评标委员会综合考虑决定。</w:t>
            </w:r>
          </w:p>
        </w:tc>
      </w:tr>
      <w:tr w14:paraId="0A8F9A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97" w:hRule="atLeast"/>
          <w:jc w:val="center"/>
        </w:trPr>
        <w:tc>
          <w:tcPr>
            <w:tcW w:w="542" w:type="dxa"/>
            <w:vMerge w:val="restart"/>
            <w:vAlign w:val="center"/>
          </w:tcPr>
          <w:p w14:paraId="25F0F8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r>
              <w:rPr>
                <w:rFonts w:hint="eastAsia" w:ascii="宋体" w:hAnsi="宋体" w:cs="宋体"/>
                <w:color w:val="auto"/>
                <w:szCs w:val="21"/>
                <w:highlight w:val="none"/>
              </w:rPr>
              <w:t>2</w:t>
            </w:r>
          </w:p>
        </w:tc>
        <w:tc>
          <w:tcPr>
            <w:tcW w:w="1044" w:type="dxa"/>
            <w:vMerge w:val="restart"/>
            <w:vAlign w:val="center"/>
          </w:tcPr>
          <w:p w14:paraId="4E87C8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eastAsia" w:ascii="宋体" w:hAnsi="宋体" w:cs="宋体"/>
                <w:color w:val="auto"/>
                <w:szCs w:val="21"/>
                <w:highlight w:val="none"/>
              </w:rPr>
              <w:t>资格审查标准</w:t>
            </w:r>
          </w:p>
        </w:tc>
        <w:tc>
          <w:tcPr>
            <w:tcW w:w="2406" w:type="dxa"/>
            <w:vAlign w:val="center"/>
          </w:tcPr>
          <w:p w14:paraId="212E37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具有独立承担民事责任的能力</w:t>
            </w:r>
          </w:p>
        </w:tc>
        <w:tc>
          <w:tcPr>
            <w:tcW w:w="5562" w:type="dxa"/>
            <w:vAlign w:val="center"/>
          </w:tcPr>
          <w:p w14:paraId="04F87D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符合第二章“投标人须知前附表”第9项第1条（1）项规定</w:t>
            </w:r>
          </w:p>
        </w:tc>
      </w:tr>
      <w:tr w14:paraId="62B731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31" w:hRule="atLeast"/>
          <w:jc w:val="center"/>
        </w:trPr>
        <w:tc>
          <w:tcPr>
            <w:tcW w:w="542" w:type="dxa"/>
            <w:vMerge w:val="continue"/>
            <w:vAlign w:val="center"/>
          </w:tcPr>
          <w:p w14:paraId="09EF4B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7D80EC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05F411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具有良好的商业信誉和健全的财务会计制度</w:t>
            </w:r>
          </w:p>
        </w:tc>
        <w:tc>
          <w:tcPr>
            <w:tcW w:w="5562" w:type="dxa"/>
            <w:vAlign w:val="center"/>
          </w:tcPr>
          <w:p w14:paraId="2A90BA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符合第二章“投标人须知前附表”第9项第1条（2）项规定</w:t>
            </w:r>
          </w:p>
        </w:tc>
      </w:tr>
      <w:tr w14:paraId="0C3BD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96" w:hRule="atLeast"/>
          <w:jc w:val="center"/>
        </w:trPr>
        <w:tc>
          <w:tcPr>
            <w:tcW w:w="542" w:type="dxa"/>
            <w:vMerge w:val="continue"/>
            <w:vAlign w:val="center"/>
          </w:tcPr>
          <w:p w14:paraId="54B020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313C32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05E6B3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具有履行合同所必需的设备和专业技术能力</w:t>
            </w:r>
          </w:p>
        </w:tc>
        <w:tc>
          <w:tcPr>
            <w:tcW w:w="5562" w:type="dxa"/>
            <w:vAlign w:val="center"/>
          </w:tcPr>
          <w:p w14:paraId="3E80BD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符合第二章“投标人须知前附表”第9项第1条（3）项规定</w:t>
            </w:r>
          </w:p>
        </w:tc>
      </w:tr>
      <w:tr w14:paraId="781F1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08" w:hRule="atLeast"/>
          <w:jc w:val="center"/>
        </w:trPr>
        <w:tc>
          <w:tcPr>
            <w:tcW w:w="542" w:type="dxa"/>
            <w:vMerge w:val="continue"/>
            <w:vAlign w:val="center"/>
          </w:tcPr>
          <w:p w14:paraId="4F9E94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26E100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1F5146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有依法缴纳税收和社会保障资金的良好记录</w:t>
            </w:r>
          </w:p>
        </w:tc>
        <w:tc>
          <w:tcPr>
            <w:tcW w:w="5562" w:type="dxa"/>
            <w:vAlign w:val="center"/>
          </w:tcPr>
          <w:p w14:paraId="63C694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符合第二章“投标人须知前附表”第9项第1条（4）项规定</w:t>
            </w:r>
          </w:p>
        </w:tc>
      </w:tr>
      <w:tr w14:paraId="0E3D9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30" w:hRule="atLeast"/>
          <w:jc w:val="center"/>
        </w:trPr>
        <w:tc>
          <w:tcPr>
            <w:tcW w:w="542" w:type="dxa"/>
            <w:vMerge w:val="continue"/>
            <w:vAlign w:val="center"/>
          </w:tcPr>
          <w:p w14:paraId="033BFE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079B0E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2781CE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参加采购活动前三年内，在经营活动中没有重大违法记录</w:t>
            </w:r>
          </w:p>
        </w:tc>
        <w:tc>
          <w:tcPr>
            <w:tcW w:w="5562" w:type="dxa"/>
            <w:vAlign w:val="center"/>
          </w:tcPr>
          <w:p w14:paraId="77C860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符合第二章“投标人须知前附表”第9项第1条（5）项规定</w:t>
            </w:r>
          </w:p>
        </w:tc>
      </w:tr>
      <w:tr w14:paraId="3F577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97" w:hRule="atLeast"/>
          <w:jc w:val="center"/>
        </w:trPr>
        <w:tc>
          <w:tcPr>
            <w:tcW w:w="542" w:type="dxa"/>
            <w:vMerge w:val="continue"/>
            <w:vAlign w:val="center"/>
          </w:tcPr>
          <w:p w14:paraId="0DEEFD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186FA8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787656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kern w:val="0"/>
                <w:szCs w:val="21"/>
                <w:highlight w:val="none"/>
              </w:rPr>
            </w:pPr>
            <w:r>
              <w:rPr>
                <w:rFonts w:hint="eastAsia" w:ascii="宋体" w:hAnsi="宋体" w:cs="宋体"/>
                <w:color w:val="auto"/>
                <w:kern w:val="0"/>
                <w:szCs w:val="21"/>
                <w:highlight w:val="none"/>
              </w:rPr>
              <w:t>本项目的特定资格要求</w:t>
            </w:r>
          </w:p>
        </w:tc>
        <w:tc>
          <w:tcPr>
            <w:tcW w:w="5562" w:type="dxa"/>
            <w:vAlign w:val="center"/>
          </w:tcPr>
          <w:p w14:paraId="7EBD73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符合第二章“投标人须知前附表”第9项第3条要求</w:t>
            </w:r>
          </w:p>
        </w:tc>
      </w:tr>
      <w:tr w14:paraId="3B7CBA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542" w:type="dxa"/>
            <w:vMerge w:val="restart"/>
            <w:vAlign w:val="center"/>
          </w:tcPr>
          <w:p w14:paraId="7AC28A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r>
              <w:rPr>
                <w:rFonts w:hint="eastAsia" w:ascii="宋体" w:hAnsi="宋体" w:cs="宋体"/>
                <w:color w:val="auto"/>
                <w:szCs w:val="21"/>
                <w:highlight w:val="none"/>
              </w:rPr>
              <w:t>3</w:t>
            </w:r>
          </w:p>
        </w:tc>
        <w:tc>
          <w:tcPr>
            <w:tcW w:w="1044" w:type="dxa"/>
            <w:vMerge w:val="restart"/>
            <w:vAlign w:val="center"/>
          </w:tcPr>
          <w:p w14:paraId="777301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r>
              <w:rPr>
                <w:rFonts w:hint="eastAsia" w:ascii="宋体" w:hAnsi="宋体" w:cs="宋体"/>
                <w:color w:val="auto"/>
                <w:szCs w:val="21"/>
                <w:highlight w:val="none"/>
              </w:rPr>
              <w:t>符合性评审标准</w:t>
            </w:r>
          </w:p>
        </w:tc>
        <w:tc>
          <w:tcPr>
            <w:tcW w:w="2406" w:type="dxa"/>
            <w:vAlign w:val="center"/>
          </w:tcPr>
          <w:p w14:paraId="1B0296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投标人名称</w:t>
            </w:r>
          </w:p>
        </w:tc>
        <w:tc>
          <w:tcPr>
            <w:tcW w:w="5562" w:type="dxa"/>
            <w:vAlign w:val="center"/>
          </w:tcPr>
          <w:p w14:paraId="086ED7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与营业执照、资质证书一致</w:t>
            </w:r>
          </w:p>
        </w:tc>
      </w:tr>
      <w:tr w14:paraId="7B9967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78" w:hRule="atLeast"/>
          <w:jc w:val="center"/>
        </w:trPr>
        <w:tc>
          <w:tcPr>
            <w:tcW w:w="542" w:type="dxa"/>
            <w:vMerge w:val="continue"/>
            <w:vAlign w:val="center"/>
          </w:tcPr>
          <w:p w14:paraId="1C07BB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7B7C2F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67C338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法定代表人身份证明书及授权委托书</w:t>
            </w:r>
          </w:p>
        </w:tc>
        <w:tc>
          <w:tcPr>
            <w:tcW w:w="5562" w:type="dxa"/>
            <w:vAlign w:val="center"/>
          </w:tcPr>
          <w:p w14:paraId="62F270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符合招标文件规定的格式和要求</w:t>
            </w:r>
          </w:p>
        </w:tc>
      </w:tr>
      <w:tr w14:paraId="64C94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14" w:hRule="atLeast"/>
          <w:jc w:val="center"/>
        </w:trPr>
        <w:tc>
          <w:tcPr>
            <w:tcW w:w="542" w:type="dxa"/>
            <w:vMerge w:val="continue"/>
            <w:vAlign w:val="center"/>
          </w:tcPr>
          <w:p w14:paraId="70E97A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630BF3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4E325B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投标文件的签署</w:t>
            </w:r>
          </w:p>
        </w:tc>
        <w:tc>
          <w:tcPr>
            <w:tcW w:w="5562" w:type="dxa"/>
            <w:vAlign w:val="center"/>
          </w:tcPr>
          <w:p w14:paraId="091321E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符合第二章“投标人须知前附表”第24项要求。由法定代表人签字的，应附法定代表人身份证明，由代理人签字的，应附授权委托书，法定代表人身份证明或授权委托书应符合“投标文件格式”的规定。</w:t>
            </w:r>
          </w:p>
        </w:tc>
      </w:tr>
      <w:tr w14:paraId="030DC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542" w:type="dxa"/>
            <w:vMerge w:val="continue"/>
            <w:vAlign w:val="center"/>
          </w:tcPr>
          <w:p w14:paraId="0C3F8D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274070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4B5EA6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投标文件</w:t>
            </w:r>
          </w:p>
        </w:tc>
        <w:tc>
          <w:tcPr>
            <w:tcW w:w="5562" w:type="dxa"/>
            <w:vAlign w:val="center"/>
          </w:tcPr>
          <w:p w14:paraId="741B0C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符合投标人须知第3条投标文件的编制要求和第五章“投标文件格式”的规定</w:t>
            </w:r>
          </w:p>
        </w:tc>
      </w:tr>
      <w:tr w14:paraId="7C347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542" w:type="dxa"/>
            <w:vMerge w:val="continue"/>
            <w:vAlign w:val="center"/>
          </w:tcPr>
          <w:p w14:paraId="107105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64020C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73981C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投标内容</w:t>
            </w:r>
          </w:p>
        </w:tc>
        <w:tc>
          <w:tcPr>
            <w:tcW w:w="5562" w:type="dxa"/>
            <w:vAlign w:val="center"/>
          </w:tcPr>
          <w:p w14:paraId="22A1AF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w:t>
            </w:r>
            <w:r>
              <w:rPr>
                <w:rFonts w:hint="eastAsia" w:ascii="宋体" w:hAnsi="宋体" w:cs="宋体"/>
                <w:color w:val="auto"/>
                <w:szCs w:val="21"/>
                <w:highlight w:val="none"/>
              </w:rPr>
              <w:t>第4项规定</w:t>
            </w:r>
          </w:p>
        </w:tc>
      </w:tr>
      <w:tr w14:paraId="1BE96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542" w:type="dxa"/>
            <w:vMerge w:val="continue"/>
            <w:vAlign w:val="center"/>
          </w:tcPr>
          <w:p w14:paraId="3A8818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6077F1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3A8165A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shd w:val="clear" w:color="auto" w:fill="FFFFFF"/>
              </w:rPr>
            </w:pPr>
            <w:r>
              <w:rPr>
                <w:rFonts w:hint="eastAsia" w:ascii="宋体" w:hAnsi="宋体" w:cs="宋体"/>
                <w:bCs/>
                <w:color w:val="auto"/>
                <w:szCs w:val="21"/>
                <w:highlight w:val="none"/>
              </w:rPr>
              <w:t>服务期限</w:t>
            </w:r>
          </w:p>
        </w:tc>
        <w:tc>
          <w:tcPr>
            <w:tcW w:w="5562" w:type="dxa"/>
            <w:vAlign w:val="center"/>
          </w:tcPr>
          <w:p w14:paraId="5BB423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符合第二章“投标人须知前附表”</w:t>
            </w:r>
            <w:r>
              <w:rPr>
                <w:rFonts w:hint="eastAsia" w:ascii="宋体" w:hAnsi="宋体" w:cs="宋体"/>
                <w:color w:val="auto"/>
                <w:szCs w:val="21"/>
                <w:highlight w:val="none"/>
              </w:rPr>
              <w:t>第7项规定</w:t>
            </w:r>
          </w:p>
        </w:tc>
      </w:tr>
      <w:tr w14:paraId="438CD0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542" w:type="dxa"/>
            <w:vMerge w:val="continue"/>
            <w:vAlign w:val="center"/>
          </w:tcPr>
          <w:p w14:paraId="25A869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4832C0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3FEEEE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eastAsia" w:ascii="宋体" w:hAnsi="宋体" w:cs="宋体"/>
                <w:color w:val="auto"/>
                <w:szCs w:val="21"/>
                <w:highlight w:val="none"/>
              </w:rPr>
              <w:t>投标有效期</w:t>
            </w:r>
          </w:p>
        </w:tc>
        <w:tc>
          <w:tcPr>
            <w:tcW w:w="5562" w:type="dxa"/>
            <w:vAlign w:val="center"/>
          </w:tcPr>
          <w:p w14:paraId="2B245E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r>
              <w:rPr>
                <w:rFonts w:hint="eastAsia" w:ascii="宋体" w:hAnsi="宋体" w:cs="宋体"/>
                <w:color w:val="auto"/>
                <w:szCs w:val="21"/>
                <w:highlight w:val="none"/>
              </w:rPr>
              <w:t>符合第二章“</w:t>
            </w:r>
            <w:r>
              <w:rPr>
                <w:rFonts w:hint="eastAsia" w:ascii="宋体" w:hAnsi="宋体" w:cs="宋体"/>
                <w:bCs/>
                <w:color w:val="auto"/>
                <w:szCs w:val="21"/>
                <w:highlight w:val="none"/>
              </w:rPr>
              <w:t>投标人须知前附表</w:t>
            </w:r>
            <w:r>
              <w:rPr>
                <w:rFonts w:hint="eastAsia" w:ascii="宋体" w:hAnsi="宋体" w:cs="宋体"/>
                <w:color w:val="auto"/>
                <w:szCs w:val="21"/>
                <w:highlight w:val="none"/>
              </w:rPr>
              <w:t>”第20项规定</w:t>
            </w:r>
          </w:p>
        </w:tc>
      </w:tr>
      <w:tr w14:paraId="0A5F7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6" w:hRule="atLeast"/>
          <w:jc w:val="center"/>
        </w:trPr>
        <w:tc>
          <w:tcPr>
            <w:tcW w:w="542" w:type="dxa"/>
            <w:vMerge w:val="continue"/>
            <w:tcBorders>
              <w:bottom w:val="single" w:color="auto" w:sz="4" w:space="0"/>
            </w:tcBorders>
            <w:vAlign w:val="center"/>
          </w:tcPr>
          <w:p w14:paraId="6CED13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tcBorders>
              <w:bottom w:val="single" w:color="auto" w:sz="4" w:space="0"/>
            </w:tcBorders>
            <w:vAlign w:val="center"/>
          </w:tcPr>
          <w:p w14:paraId="58DC35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2406" w:type="dxa"/>
            <w:vAlign w:val="center"/>
          </w:tcPr>
          <w:p w14:paraId="2F7D71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eastAsia" w:ascii="宋体" w:hAnsi="宋体" w:cs="宋体"/>
                <w:color w:val="auto"/>
                <w:szCs w:val="21"/>
                <w:highlight w:val="none"/>
              </w:rPr>
              <w:t>投标报价</w:t>
            </w:r>
          </w:p>
        </w:tc>
        <w:tc>
          <w:tcPr>
            <w:tcW w:w="5562" w:type="dxa"/>
            <w:vAlign w:val="center"/>
          </w:tcPr>
          <w:p w14:paraId="3B73BD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r>
              <w:rPr>
                <w:rFonts w:hint="eastAsia" w:ascii="宋体" w:hAnsi="宋体" w:cs="宋体"/>
                <w:color w:val="auto"/>
                <w:szCs w:val="21"/>
                <w:highlight w:val="none"/>
                <w:shd w:val="clear" w:color="auto" w:fill="FFFFFF"/>
              </w:rPr>
              <w:t>符合第二章“投标人须知前附表”第31项规定</w:t>
            </w:r>
          </w:p>
        </w:tc>
      </w:tr>
      <w:tr w14:paraId="6BCA75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542" w:type="dxa"/>
            <w:vMerge w:val="restart"/>
            <w:vAlign w:val="center"/>
          </w:tcPr>
          <w:p w14:paraId="4F9D86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r>
              <w:rPr>
                <w:rFonts w:hint="eastAsia" w:ascii="宋体" w:hAnsi="宋体" w:cs="宋体"/>
                <w:color w:val="auto"/>
                <w:szCs w:val="21"/>
                <w:highlight w:val="none"/>
              </w:rPr>
              <w:t>4.1</w:t>
            </w:r>
          </w:p>
        </w:tc>
        <w:tc>
          <w:tcPr>
            <w:tcW w:w="1044" w:type="dxa"/>
            <w:vMerge w:val="restart"/>
            <w:vAlign w:val="center"/>
          </w:tcPr>
          <w:p w14:paraId="47DF59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b/>
                <w:color w:val="auto"/>
                <w:kern w:val="0"/>
                <w:szCs w:val="21"/>
                <w:highlight w:val="none"/>
                <w:lang w:val="zh-CN"/>
              </w:rPr>
            </w:pPr>
            <w:r>
              <w:rPr>
                <w:rFonts w:hint="eastAsia" w:ascii="宋体" w:hAnsi="宋体" w:eastAsia="宋体" w:cs="宋体"/>
                <w:b/>
                <w:color w:val="auto"/>
                <w:kern w:val="0"/>
                <w:szCs w:val="21"/>
                <w:highlight w:val="none"/>
                <w:lang w:val="en-US" w:eastAsia="zh-CN"/>
              </w:rPr>
              <w:t>商务部分</w:t>
            </w:r>
            <w:r>
              <w:rPr>
                <w:rFonts w:hint="eastAsia" w:ascii="宋体" w:hAnsi="宋体" w:eastAsia="宋体" w:cs="宋体"/>
                <w:b/>
                <w:color w:val="auto"/>
                <w:kern w:val="0"/>
                <w:szCs w:val="21"/>
                <w:highlight w:val="none"/>
                <w:lang w:val="zh-CN"/>
              </w:rPr>
              <w:t>（满分</w:t>
            </w:r>
            <w:r>
              <w:rPr>
                <w:rFonts w:hint="eastAsia" w:ascii="宋体" w:hAnsi="宋体" w:eastAsia="宋体" w:cs="宋体"/>
                <w:b/>
                <w:color w:val="auto"/>
                <w:kern w:val="0"/>
                <w:szCs w:val="21"/>
                <w:highlight w:val="none"/>
                <w:lang w:val="en-US" w:eastAsia="zh-CN"/>
              </w:rPr>
              <w:t>2</w:t>
            </w:r>
            <w:r>
              <w:rPr>
                <w:rFonts w:hint="eastAsia" w:ascii="宋体" w:hAnsi="宋体" w:eastAsia="宋体" w:cs="宋体"/>
                <w:b/>
                <w:color w:val="auto"/>
                <w:kern w:val="0"/>
                <w:szCs w:val="21"/>
                <w:highlight w:val="none"/>
                <w:lang w:val="zh-CN"/>
              </w:rPr>
              <w:t>0分</w:t>
            </w:r>
            <w:r>
              <w:rPr>
                <w:rFonts w:hint="eastAsia" w:ascii="宋体" w:hAnsi="宋体" w:cs="宋体"/>
                <w:b/>
                <w:color w:val="auto"/>
                <w:kern w:val="0"/>
                <w:szCs w:val="21"/>
                <w:highlight w:val="none"/>
                <w:lang w:val="zh-CN"/>
              </w:rPr>
              <w:t>）</w:t>
            </w:r>
          </w:p>
        </w:tc>
        <w:tc>
          <w:tcPr>
            <w:tcW w:w="2406" w:type="dxa"/>
            <w:vAlign w:val="center"/>
          </w:tcPr>
          <w:p w14:paraId="2369C0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综合偿付能力充足率（满分</w:t>
            </w:r>
            <w:r>
              <w:rPr>
                <w:rFonts w:hint="eastAsia" w:ascii="宋体" w:hAnsi="宋体" w:cs="宋体"/>
                <w:color w:val="auto"/>
                <w:szCs w:val="21"/>
                <w:highlight w:val="none"/>
                <w:lang w:val="en-US" w:eastAsia="zh-CN"/>
              </w:rPr>
              <w:t>5</w:t>
            </w:r>
            <w:r>
              <w:rPr>
                <w:rFonts w:hint="default" w:ascii="宋体" w:hAnsi="宋体" w:cs="宋体"/>
                <w:color w:val="auto"/>
                <w:szCs w:val="21"/>
                <w:highlight w:val="none"/>
              </w:rPr>
              <w:t>分）</w:t>
            </w:r>
          </w:p>
          <w:p w14:paraId="5EF76D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rPr>
            </w:pPr>
          </w:p>
        </w:tc>
        <w:tc>
          <w:tcPr>
            <w:tcW w:w="5562" w:type="dxa"/>
            <w:vAlign w:val="center"/>
          </w:tcPr>
          <w:p w14:paraId="2E6B62A8">
            <w:pPr>
              <w:pStyle w:val="105"/>
              <w:keepNext w:val="0"/>
              <w:keepLines w:val="0"/>
              <w:suppressLineNumbers w:val="0"/>
              <w:autoSpaceDN w:val="0"/>
              <w:spacing w:before="0" w:beforeAutospacing="0" w:after="0" w:afterAutospacing="0"/>
              <w:ind w:left="0" w:right="0" w:firstLine="420" w:firstLineChars="2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在202</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年综合偿付能力充足率进行评审。综合偿付能力充足率</w:t>
            </w:r>
          </w:p>
          <w:p w14:paraId="12747C4C">
            <w:pPr>
              <w:pStyle w:val="105"/>
              <w:keepNext w:val="0"/>
              <w:keepLines w:val="0"/>
              <w:suppressLineNumbers w:val="0"/>
              <w:autoSpaceDN w:val="0"/>
              <w:spacing w:before="0" w:beforeAutospacing="0" w:after="0" w:afterAutospacing="0"/>
              <w:ind w:left="0" w:right="0" w:firstLine="210" w:firstLineChars="1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第一档：2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0%（含）以上</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26926DF1">
            <w:pPr>
              <w:pStyle w:val="105"/>
              <w:keepNext w:val="0"/>
              <w:keepLines w:val="0"/>
              <w:suppressLineNumbers w:val="0"/>
              <w:autoSpaceDN w:val="0"/>
              <w:spacing w:before="0" w:beforeAutospacing="0" w:after="0" w:afterAutospacing="0"/>
              <w:ind w:left="0" w:right="0" w:firstLine="210" w:firstLineChars="1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第二档：200%-2</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0%（含）得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p w14:paraId="3EAF6B77">
            <w:pPr>
              <w:pStyle w:val="105"/>
              <w:keepNext w:val="0"/>
              <w:keepLines w:val="0"/>
              <w:suppressLineNumbers w:val="0"/>
              <w:autoSpaceDN w:val="0"/>
              <w:spacing w:before="0" w:beforeAutospacing="0" w:after="0" w:afterAutospacing="0"/>
              <w:ind w:left="0" w:right="0" w:firstLine="210" w:firstLineChars="1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第三档：1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0%-200%以下（含）得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209D1263">
            <w:pPr>
              <w:pStyle w:val="105"/>
              <w:keepNext w:val="0"/>
              <w:keepLines w:val="0"/>
              <w:suppressLineNumbers w:val="0"/>
              <w:autoSpaceDN w:val="0"/>
              <w:spacing w:before="0" w:beforeAutospacing="0" w:after="0" w:afterAutospacing="0"/>
              <w:ind w:left="0" w:right="0" w:firstLine="210" w:firstLineChars="100"/>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第四档：1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0%以下不得分</w:t>
            </w:r>
          </w:p>
          <w:p w14:paraId="00C57EF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firstLine="422" w:firstLineChars="200"/>
              <w:jc w:val="both"/>
              <w:textAlignment w:val="auto"/>
              <w:rPr>
                <w:rFonts w:hint="eastAsia" w:ascii="宋体" w:hAnsi="宋体" w:cs="宋体"/>
                <w:color w:val="auto"/>
                <w:szCs w:val="21"/>
                <w:highlight w:val="none"/>
                <w:shd w:val="clear" w:color="auto" w:fill="FFFFFF"/>
              </w:rPr>
            </w:pPr>
            <w:r>
              <w:rPr>
                <w:rFonts w:hint="eastAsia" w:ascii="宋体" w:hAnsi="宋体" w:eastAsia="宋体" w:cs="宋体"/>
                <w:b/>
                <w:bCs/>
                <w:color w:val="auto"/>
                <w:sz w:val="21"/>
                <w:szCs w:val="21"/>
                <w:highlight w:val="none"/>
              </w:rPr>
              <w:t>注:</w:t>
            </w:r>
            <w:r>
              <w:rPr>
                <w:rFonts w:hint="eastAsia" w:ascii="宋体" w:hAnsi="宋体" w:eastAsia="宋体" w:cs="宋体"/>
                <w:color w:val="auto"/>
                <w:sz w:val="21"/>
                <w:szCs w:val="21"/>
                <w:highlight w:val="none"/>
              </w:rPr>
              <w:t>提供供应商总公司2024年第四季度偿付能力报告摘要加盖供应商公章。未提供或提供内容不符合上述要求的不予记分。</w:t>
            </w:r>
          </w:p>
        </w:tc>
      </w:tr>
      <w:tr w14:paraId="2148E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881" w:hRule="atLeast"/>
          <w:jc w:val="center"/>
        </w:trPr>
        <w:tc>
          <w:tcPr>
            <w:tcW w:w="542" w:type="dxa"/>
            <w:vMerge w:val="continue"/>
            <w:vAlign w:val="center"/>
          </w:tcPr>
          <w:p w14:paraId="780D40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4A8019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3683C4F2">
            <w:pPr>
              <w:pStyle w:val="21"/>
              <w:keepNext w:val="0"/>
              <w:keepLines w:val="0"/>
              <w:numPr>
                <w:ilvl w:val="0"/>
                <w:numId w:val="0"/>
              </w:numPr>
              <w:suppressLineNumbers w:val="0"/>
              <w:spacing w:before="0" w:beforeAutospacing="0" w:after="0" w:afterAutospacing="0"/>
              <w:ind w:left="0" w:right="0"/>
              <w:jc w:val="center"/>
              <w:rPr>
                <w:rFonts w:hint="eastAsia" w:hAnsi="宋体" w:cs="宋体"/>
                <w:color w:val="auto"/>
                <w:kern w:val="2"/>
                <w:sz w:val="21"/>
                <w:szCs w:val="21"/>
                <w:highlight w:val="none"/>
                <w:lang w:val="en-US" w:eastAsia="zh-CN" w:bidi="ar-SA"/>
              </w:rPr>
            </w:pPr>
            <w:r>
              <w:rPr>
                <w:rFonts w:hint="eastAsia" w:hAnsi="宋体" w:cs="宋体"/>
                <w:color w:val="auto"/>
                <w:kern w:val="2"/>
                <w:sz w:val="21"/>
                <w:szCs w:val="21"/>
                <w:highlight w:val="none"/>
                <w:lang w:val="en-US" w:eastAsia="zh-CN" w:bidi="ar-SA"/>
              </w:rPr>
              <w:t>绩效评价情况</w:t>
            </w:r>
          </w:p>
          <w:p w14:paraId="5B597EA3">
            <w:pPr>
              <w:pStyle w:val="21"/>
              <w:keepNext w:val="0"/>
              <w:keepLines w:val="0"/>
              <w:numPr>
                <w:ilvl w:val="0"/>
                <w:numId w:val="0"/>
              </w:numPr>
              <w:suppressLineNumbers w:val="0"/>
              <w:spacing w:before="0" w:beforeAutospacing="0" w:after="0" w:afterAutospacing="0"/>
              <w:ind w:left="0" w:right="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（满分</w:t>
            </w:r>
            <w:r>
              <w:rPr>
                <w:rFonts w:hint="eastAsia" w:hAnsi="宋体" w:cs="宋体"/>
                <w:color w:val="auto"/>
                <w:kern w:val="2"/>
                <w:sz w:val="21"/>
                <w:szCs w:val="21"/>
                <w:highlight w:val="none"/>
                <w:lang w:val="en-US" w:eastAsia="zh-CN" w:bidi="ar-SA"/>
              </w:rPr>
              <w:t>5</w:t>
            </w:r>
            <w:r>
              <w:rPr>
                <w:rFonts w:hint="eastAsia" w:ascii="宋体" w:hAnsi="宋体" w:eastAsia="宋体" w:cs="宋体"/>
                <w:color w:val="auto"/>
                <w:kern w:val="2"/>
                <w:sz w:val="21"/>
                <w:szCs w:val="21"/>
                <w:highlight w:val="none"/>
                <w:lang w:val="en-US" w:eastAsia="zh-CN" w:bidi="ar-SA"/>
              </w:rPr>
              <w:t>分）</w:t>
            </w:r>
          </w:p>
          <w:p w14:paraId="317079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p>
        </w:tc>
        <w:tc>
          <w:tcPr>
            <w:tcW w:w="5562" w:type="dxa"/>
            <w:vAlign w:val="center"/>
          </w:tcPr>
          <w:p w14:paraId="61163159">
            <w:pPr>
              <w:pStyle w:val="21"/>
              <w:keepNext w:val="0"/>
              <w:keepLines w:val="0"/>
              <w:numPr>
                <w:ilvl w:val="0"/>
                <w:numId w:val="0"/>
              </w:numPr>
              <w:suppressLineNumbers w:val="0"/>
              <w:spacing w:before="0" w:beforeAutospacing="0" w:after="0" w:afterAutospacing="0"/>
              <w:ind w:left="0" w:right="0" w:firstLine="420" w:firstLineChars="200"/>
              <w:rPr>
                <w:rFonts w:hint="default" w:ascii="宋体" w:hAnsi="宋体" w:cs="宋体"/>
                <w:b/>
                <w:bCs/>
                <w:color w:val="auto"/>
                <w:szCs w:val="21"/>
                <w:highlight w:val="none"/>
              </w:rPr>
            </w:pPr>
            <w:r>
              <w:rPr>
                <w:rFonts w:hint="eastAsia" w:ascii="宋体" w:hAnsi="宋体" w:eastAsia="宋体" w:cs="宋体"/>
                <w:color w:val="auto"/>
                <w:sz w:val="21"/>
                <w:szCs w:val="21"/>
                <w:highlight w:val="none"/>
              </w:rPr>
              <w:t>根据近</w:t>
            </w:r>
            <w:r>
              <w:rPr>
                <w:rFonts w:hint="eastAsia" w:hAnsi="宋体" w:cs="宋体"/>
                <w:color w:val="auto"/>
                <w:sz w:val="21"/>
                <w:szCs w:val="21"/>
                <w:highlight w:val="none"/>
                <w:lang w:eastAsia="zh-CN"/>
              </w:rPr>
              <w:t>最新</w:t>
            </w:r>
            <w:r>
              <w:rPr>
                <w:rFonts w:hint="eastAsia" w:ascii="宋体" w:hAnsi="宋体" w:eastAsia="宋体" w:cs="宋体"/>
                <w:color w:val="auto"/>
                <w:sz w:val="21"/>
                <w:szCs w:val="21"/>
                <w:highlight w:val="none"/>
              </w:rPr>
              <w:t>公开发布的云南省关于承保机构农业保险保费补贴综合绩效评价结果排名进行评分。第一名得满分（5分）、第二名按照90%计分（4.5分）、第三名按照80%计分（4分），依此类推。</w:t>
            </w:r>
          </w:p>
        </w:tc>
      </w:tr>
      <w:tr w14:paraId="305A5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42" w:type="dxa"/>
            <w:vMerge w:val="continue"/>
            <w:vAlign w:val="center"/>
          </w:tcPr>
          <w:p w14:paraId="107041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3B905F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712698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服务机构设立情况</w:t>
            </w:r>
          </w:p>
          <w:p w14:paraId="443245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（满分</w:t>
            </w:r>
            <w:r>
              <w:rPr>
                <w:rFonts w:hint="eastAsia" w:ascii="宋体" w:hAnsi="宋体" w:cs="宋体"/>
                <w:color w:val="auto"/>
                <w:szCs w:val="21"/>
                <w:highlight w:val="none"/>
                <w:lang w:val="en-US" w:eastAsia="zh-CN"/>
              </w:rPr>
              <w:t>4分</w:t>
            </w:r>
            <w:r>
              <w:rPr>
                <w:rFonts w:hint="eastAsia" w:ascii="宋体" w:hAnsi="宋体" w:cs="宋体"/>
                <w:color w:val="auto"/>
                <w:szCs w:val="21"/>
                <w:highlight w:val="none"/>
                <w:lang w:eastAsia="zh-CN"/>
              </w:rPr>
              <w:t>）</w:t>
            </w:r>
          </w:p>
        </w:tc>
        <w:tc>
          <w:tcPr>
            <w:tcW w:w="5562" w:type="dxa"/>
            <w:vAlign w:val="center"/>
          </w:tcPr>
          <w:p w14:paraId="39F3ECF9">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在昭通市各县(市、区)设立有支公司的，支公司在10家及以上得4分，7-9家得3分，4-6家得2分；1-3家得1分，没有设立支公司不得分。</w:t>
            </w:r>
          </w:p>
          <w:p w14:paraId="3312994C">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default"/>
                <w:color w:val="auto"/>
                <w:highlight w:val="none"/>
                <w:lang w:val="en-US" w:eastAsia="zh-CN"/>
              </w:rPr>
            </w:pPr>
            <w:r>
              <w:rPr>
                <w:rFonts w:hint="eastAsia" w:ascii="宋体" w:hAnsi="宋体" w:eastAsia="宋体" w:cs="宋体"/>
                <w:color w:val="auto"/>
                <w:kern w:val="0"/>
                <w:sz w:val="21"/>
                <w:szCs w:val="21"/>
                <w:highlight w:val="none"/>
                <w:lang w:val="en-US" w:eastAsia="zh-CN" w:bidi="ar-SA"/>
              </w:rPr>
              <w:t>注：须提供证明材料（证明材料包含但不限于营业执照、</w:t>
            </w:r>
            <w:r>
              <w:rPr>
                <w:rFonts w:hint="eastAsia" w:hAnsi="宋体" w:cs="宋体"/>
                <w:color w:val="auto"/>
                <w:kern w:val="0"/>
                <w:sz w:val="21"/>
                <w:szCs w:val="21"/>
                <w:highlight w:val="none"/>
                <w:lang w:val="en-US" w:eastAsia="zh-CN" w:bidi="ar-SA"/>
              </w:rPr>
              <w:t>保险许可证</w:t>
            </w:r>
            <w:r>
              <w:rPr>
                <w:rFonts w:hint="eastAsia" w:ascii="宋体" w:hAnsi="宋体" w:eastAsia="宋体" w:cs="宋体"/>
                <w:color w:val="auto"/>
                <w:kern w:val="0"/>
                <w:sz w:val="21"/>
                <w:szCs w:val="21"/>
                <w:highlight w:val="none"/>
                <w:lang w:val="en-US" w:eastAsia="zh-CN" w:bidi="ar-SA"/>
              </w:rPr>
              <w:t>），未提供证明材料或证明材料提供不全的不得分。</w:t>
            </w:r>
          </w:p>
        </w:tc>
      </w:tr>
      <w:tr w14:paraId="28E0A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42" w:type="dxa"/>
            <w:vMerge w:val="continue"/>
            <w:vAlign w:val="center"/>
          </w:tcPr>
          <w:p w14:paraId="019F5B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6E0E58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2370A5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项目服务经验</w:t>
            </w:r>
          </w:p>
          <w:p w14:paraId="6C90D3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（满分</w:t>
            </w:r>
            <w:r>
              <w:rPr>
                <w:rFonts w:hint="eastAsia" w:ascii="宋体" w:hAnsi="宋体" w:cs="宋体"/>
                <w:color w:val="auto"/>
                <w:szCs w:val="21"/>
                <w:highlight w:val="none"/>
                <w:lang w:val="en-US" w:eastAsia="zh-CN"/>
              </w:rPr>
              <w:t>6分</w:t>
            </w:r>
            <w:r>
              <w:rPr>
                <w:rFonts w:hint="eastAsia" w:ascii="宋体" w:hAnsi="宋体" w:cs="宋体"/>
                <w:color w:val="auto"/>
                <w:szCs w:val="21"/>
                <w:highlight w:val="none"/>
                <w:lang w:eastAsia="zh-CN"/>
              </w:rPr>
              <w:t>）</w:t>
            </w:r>
          </w:p>
        </w:tc>
        <w:tc>
          <w:tcPr>
            <w:tcW w:w="5562" w:type="dxa"/>
            <w:vAlign w:val="center"/>
          </w:tcPr>
          <w:p w14:paraId="4BFF9AAF">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近三年（2022-2024）在昭通开办肉牛养殖类保险，每一个项目得1分。</w:t>
            </w:r>
          </w:p>
          <w:p w14:paraId="3B6E618A">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color w:val="auto"/>
                <w:highlight w:val="none"/>
                <w:lang w:val="en-US" w:eastAsia="zh-CN"/>
              </w:rPr>
            </w:pPr>
            <w:r>
              <w:rPr>
                <w:rFonts w:hint="eastAsia"/>
                <w:color w:val="auto"/>
                <w:sz w:val="21"/>
                <w:szCs w:val="21"/>
                <w:highlight w:val="none"/>
                <w:lang w:val="en-US" w:eastAsia="zh-CN"/>
              </w:rPr>
              <w:t>注：肉牛养殖类保险证明材料以中标通知书或政府相关文件或保险单或保险合同关键页等证明文件扫描件为准（须能体现业绩时间及保险内容）。</w:t>
            </w:r>
          </w:p>
        </w:tc>
      </w:tr>
      <w:tr w14:paraId="0FC5F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16" w:hRule="atLeast"/>
          <w:jc w:val="center"/>
        </w:trPr>
        <w:tc>
          <w:tcPr>
            <w:tcW w:w="542" w:type="dxa"/>
            <w:vMerge w:val="restart"/>
            <w:tcBorders>
              <w:top w:val="single" w:color="auto" w:sz="4" w:space="0"/>
            </w:tcBorders>
            <w:vAlign w:val="center"/>
          </w:tcPr>
          <w:p w14:paraId="4A5E18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r>
              <w:rPr>
                <w:rFonts w:hint="eastAsia" w:ascii="宋体" w:hAnsi="宋体" w:cs="宋体"/>
                <w:color w:val="auto"/>
                <w:szCs w:val="21"/>
                <w:highlight w:val="none"/>
              </w:rPr>
              <w:t>4.2</w:t>
            </w:r>
          </w:p>
        </w:tc>
        <w:tc>
          <w:tcPr>
            <w:tcW w:w="1044" w:type="dxa"/>
            <w:vMerge w:val="restart"/>
            <w:tcBorders>
              <w:top w:val="single" w:color="auto" w:sz="4" w:space="0"/>
            </w:tcBorders>
            <w:vAlign w:val="center"/>
          </w:tcPr>
          <w:p w14:paraId="59EDF2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r>
              <w:rPr>
                <w:rFonts w:hint="eastAsia" w:ascii="宋体" w:hAnsi="宋体" w:cs="宋体"/>
                <w:b/>
                <w:color w:val="auto"/>
                <w:kern w:val="0"/>
                <w:szCs w:val="21"/>
                <w:highlight w:val="none"/>
                <w:lang w:val="zh-CN"/>
              </w:rPr>
              <w:t>技术部分评分标准</w:t>
            </w:r>
          </w:p>
          <w:p w14:paraId="3D6F36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r>
              <w:rPr>
                <w:rFonts w:hint="eastAsia" w:ascii="宋体" w:hAnsi="宋体" w:cs="宋体"/>
                <w:b/>
                <w:color w:val="auto"/>
                <w:kern w:val="0"/>
                <w:szCs w:val="21"/>
                <w:highlight w:val="none"/>
                <w:lang w:val="zh-CN"/>
              </w:rPr>
              <w:t>（满分</w:t>
            </w:r>
            <w:r>
              <w:rPr>
                <w:rFonts w:hint="eastAsia" w:ascii="宋体" w:hAnsi="宋体" w:cs="宋体"/>
                <w:b/>
                <w:color w:val="auto"/>
                <w:kern w:val="0"/>
                <w:szCs w:val="21"/>
                <w:highlight w:val="none"/>
              </w:rPr>
              <w:t>80</w:t>
            </w:r>
            <w:r>
              <w:rPr>
                <w:rFonts w:hint="eastAsia" w:ascii="宋体" w:hAnsi="宋体" w:cs="宋体"/>
                <w:b/>
                <w:color w:val="auto"/>
                <w:kern w:val="0"/>
                <w:szCs w:val="21"/>
                <w:highlight w:val="none"/>
                <w:lang w:val="zh-CN"/>
              </w:rPr>
              <w:t>分）</w:t>
            </w:r>
          </w:p>
        </w:tc>
        <w:tc>
          <w:tcPr>
            <w:tcW w:w="2406" w:type="dxa"/>
            <w:vAlign w:val="center"/>
          </w:tcPr>
          <w:p w14:paraId="77DF55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简单赔付率</w:t>
            </w:r>
          </w:p>
          <w:p w14:paraId="15640C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w:t>
            </w:r>
            <w:r>
              <w:rPr>
                <w:rFonts w:hint="eastAsia" w:ascii="宋体" w:hAnsi="宋体" w:cs="宋体"/>
                <w:color w:val="auto"/>
                <w:szCs w:val="21"/>
                <w:highlight w:val="none"/>
                <w:lang w:eastAsia="zh-CN"/>
              </w:rPr>
              <w:t>满分</w:t>
            </w:r>
            <w:r>
              <w:rPr>
                <w:rFonts w:hint="default" w:ascii="宋体" w:hAnsi="宋体" w:cs="宋体"/>
                <w:color w:val="auto"/>
                <w:szCs w:val="21"/>
                <w:highlight w:val="none"/>
              </w:rPr>
              <w:t>10分）</w:t>
            </w:r>
          </w:p>
        </w:tc>
        <w:tc>
          <w:tcPr>
            <w:tcW w:w="5562" w:type="dxa"/>
            <w:vAlign w:val="center"/>
          </w:tcPr>
          <w:p w14:paraId="745E6429">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1.根据参加</w:t>
            </w:r>
            <w:r>
              <w:rPr>
                <w:rFonts w:hint="eastAsia" w:hAnsi="宋体" w:cs="宋体"/>
                <w:color w:val="auto"/>
                <w:sz w:val="21"/>
                <w:szCs w:val="21"/>
                <w:highlight w:val="none"/>
                <w:lang w:val="en-US" w:eastAsia="zh-CN"/>
              </w:rPr>
              <w:t>投标的</w:t>
            </w:r>
            <w:r>
              <w:rPr>
                <w:rFonts w:hint="eastAsia" w:hAnsi="宋体" w:cs="宋体"/>
                <w:color w:val="auto"/>
                <w:sz w:val="21"/>
                <w:szCs w:val="21"/>
                <w:highlight w:val="none"/>
                <w:lang w:eastAsia="zh-CN"/>
              </w:rPr>
              <w:t>承保机构昭通近三年（</w:t>
            </w:r>
            <w:r>
              <w:rPr>
                <w:rFonts w:hint="eastAsia" w:hAnsi="宋体" w:cs="宋体"/>
                <w:color w:val="auto"/>
                <w:sz w:val="21"/>
                <w:szCs w:val="21"/>
                <w:highlight w:val="none"/>
                <w:lang w:val="en-US" w:eastAsia="zh-CN"/>
              </w:rPr>
              <w:t>2022-2024</w:t>
            </w:r>
            <w:r>
              <w:rPr>
                <w:rFonts w:hint="eastAsia" w:hAnsi="宋体" w:cs="宋体"/>
                <w:color w:val="auto"/>
                <w:sz w:val="21"/>
                <w:szCs w:val="21"/>
                <w:highlight w:val="none"/>
                <w:lang w:eastAsia="zh-CN"/>
              </w:rPr>
              <w:t>）农业保险简单赔付率计算得出平均值。</w:t>
            </w:r>
          </w:p>
          <w:p w14:paraId="70D1109B">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hAnsi="宋体" w:cs="宋体"/>
                <w:color w:val="auto"/>
                <w:sz w:val="21"/>
                <w:szCs w:val="21"/>
                <w:highlight w:val="none"/>
                <w:lang w:eastAsia="zh-CN"/>
              </w:rPr>
            </w:pPr>
            <w:r>
              <w:rPr>
                <w:rFonts w:hint="eastAsia" w:hAnsi="宋体" w:cs="宋体"/>
                <w:color w:val="auto"/>
                <w:sz w:val="21"/>
                <w:szCs w:val="21"/>
                <w:highlight w:val="none"/>
                <w:lang w:eastAsia="zh-CN"/>
              </w:rPr>
              <w:t>2.以简单赔付率大于等于80%为评审基准值。得分＝承保机构近</w:t>
            </w:r>
            <w:r>
              <w:rPr>
                <w:rFonts w:hint="eastAsia" w:hAnsi="宋体" w:cs="宋体"/>
                <w:color w:val="auto"/>
                <w:sz w:val="21"/>
                <w:szCs w:val="21"/>
                <w:highlight w:val="none"/>
                <w:lang w:val="en-US" w:eastAsia="zh-CN"/>
              </w:rPr>
              <w:t>1年</w:t>
            </w:r>
            <w:r>
              <w:rPr>
                <w:rFonts w:hint="eastAsia" w:hAnsi="宋体" w:cs="宋体"/>
                <w:color w:val="auto"/>
                <w:sz w:val="21"/>
                <w:szCs w:val="21"/>
                <w:highlight w:val="none"/>
                <w:lang w:eastAsia="zh-CN"/>
              </w:rPr>
              <w:t>平均简单赔付率／80%×10分（最高不超过10分）。简单赔付率＝已决赔款/保费收入×100%。</w:t>
            </w:r>
          </w:p>
          <w:p w14:paraId="602C630E">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default" w:hAnsi="宋体" w:cs="宋体"/>
                <w:color w:val="auto"/>
                <w:sz w:val="21"/>
                <w:szCs w:val="21"/>
                <w:highlight w:val="none"/>
                <w:lang w:eastAsia="zh-CN"/>
              </w:rPr>
            </w:pPr>
            <w:r>
              <w:rPr>
                <w:rFonts w:hint="eastAsia" w:hAnsi="宋体" w:cs="宋体"/>
                <w:color w:val="auto"/>
                <w:sz w:val="21"/>
                <w:szCs w:val="21"/>
                <w:highlight w:val="none"/>
                <w:lang w:eastAsia="zh-CN"/>
              </w:rPr>
              <w:t>注：根据各承保机构报送给云南金融监管局的财务报表数据为准。若未报送相关数据，需提供参加</w:t>
            </w:r>
            <w:r>
              <w:rPr>
                <w:rFonts w:hint="eastAsia" w:hAnsi="宋体" w:cs="宋体"/>
                <w:color w:val="auto"/>
                <w:sz w:val="21"/>
                <w:szCs w:val="21"/>
                <w:highlight w:val="none"/>
                <w:lang w:val="en-US" w:eastAsia="zh-CN"/>
              </w:rPr>
              <w:t>投标的</w:t>
            </w:r>
            <w:r>
              <w:rPr>
                <w:rFonts w:hint="eastAsia" w:hAnsi="宋体" w:cs="宋体"/>
                <w:color w:val="auto"/>
                <w:sz w:val="21"/>
                <w:szCs w:val="21"/>
                <w:highlight w:val="none"/>
                <w:lang w:eastAsia="zh-CN"/>
              </w:rPr>
              <w:t>承保机构会计报表相关科目页面复印件并加盖参加</w:t>
            </w:r>
            <w:r>
              <w:rPr>
                <w:rFonts w:hint="eastAsia" w:hAnsi="宋体" w:cs="宋体"/>
                <w:color w:val="auto"/>
                <w:sz w:val="21"/>
                <w:szCs w:val="21"/>
                <w:highlight w:val="none"/>
                <w:lang w:val="en-US" w:eastAsia="zh-CN"/>
              </w:rPr>
              <w:t>投标的</w:t>
            </w:r>
            <w:r>
              <w:rPr>
                <w:rFonts w:hint="eastAsia" w:hAnsi="宋体" w:cs="宋体"/>
                <w:color w:val="auto"/>
                <w:sz w:val="21"/>
                <w:szCs w:val="21"/>
                <w:highlight w:val="none"/>
                <w:lang w:eastAsia="zh-CN"/>
              </w:rPr>
              <w:t>承保机构公章。未在昭通开展农业保险服务的保险公司，采用省级公司相关指标平均值。</w:t>
            </w:r>
          </w:p>
        </w:tc>
      </w:tr>
      <w:tr w14:paraId="5AAB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1" w:hRule="atLeast"/>
          <w:jc w:val="center"/>
        </w:trPr>
        <w:tc>
          <w:tcPr>
            <w:tcW w:w="542" w:type="dxa"/>
            <w:vMerge w:val="continue"/>
            <w:vAlign w:val="center"/>
          </w:tcPr>
          <w:p w14:paraId="40AB0E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2B7985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33E480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综合费用率</w:t>
            </w:r>
          </w:p>
          <w:p w14:paraId="20ABF7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w:t>
            </w:r>
            <w:r>
              <w:rPr>
                <w:rFonts w:hint="eastAsia" w:ascii="宋体" w:hAnsi="宋体" w:cs="宋体"/>
                <w:color w:val="auto"/>
                <w:szCs w:val="21"/>
                <w:highlight w:val="none"/>
                <w:lang w:eastAsia="zh-CN"/>
              </w:rPr>
              <w:t>满分</w:t>
            </w:r>
            <w:r>
              <w:rPr>
                <w:rFonts w:hint="default" w:ascii="宋体" w:hAnsi="宋体" w:cs="宋体"/>
                <w:color w:val="auto"/>
                <w:szCs w:val="21"/>
                <w:highlight w:val="none"/>
              </w:rPr>
              <w:t>5分）</w:t>
            </w:r>
          </w:p>
        </w:tc>
        <w:tc>
          <w:tcPr>
            <w:tcW w:w="5562" w:type="dxa"/>
            <w:vAlign w:val="center"/>
          </w:tcPr>
          <w:p w14:paraId="477DBC33">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1.</w:t>
            </w:r>
            <w:r>
              <w:rPr>
                <w:rFonts w:hint="eastAsia" w:hAnsi="宋体" w:cs="宋体"/>
                <w:color w:val="auto"/>
                <w:sz w:val="21"/>
                <w:szCs w:val="21"/>
                <w:highlight w:val="none"/>
                <w:lang w:eastAsia="zh-CN"/>
              </w:rPr>
              <w:t>根据</w:t>
            </w:r>
            <w:r>
              <w:rPr>
                <w:rFonts w:hint="eastAsia" w:hAnsi="宋体" w:cs="宋体"/>
                <w:color w:val="auto"/>
                <w:sz w:val="21"/>
                <w:szCs w:val="21"/>
                <w:highlight w:val="none"/>
                <w:lang w:val="en-US" w:eastAsia="zh-CN"/>
              </w:rPr>
              <w:t>投标的</w:t>
            </w:r>
            <w:r>
              <w:rPr>
                <w:rFonts w:hint="eastAsia" w:hAnsi="宋体" w:cs="宋体"/>
                <w:color w:val="auto"/>
                <w:sz w:val="21"/>
                <w:szCs w:val="21"/>
                <w:highlight w:val="none"/>
                <w:lang w:eastAsia="zh-CN"/>
              </w:rPr>
              <w:t>承保机构昭通近三年（2022-2024）农业保险综合费用率计算得出平均值，在20%（不含）以上的不计分，20%(不含)-15%（含）的计2分，15%(不含)-10%（含）的计3分，10%(不含)-5%（含）的计4分，5%（不含）以下的计5分。</w:t>
            </w:r>
          </w:p>
          <w:p w14:paraId="5BFE2CB4">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default" w:ascii="宋体" w:hAnsi="宋体" w:cs="宋体"/>
                <w:color w:val="auto"/>
                <w:szCs w:val="21"/>
                <w:highlight w:val="none"/>
              </w:rPr>
            </w:pPr>
            <w:r>
              <w:rPr>
                <w:rFonts w:hint="eastAsia" w:hAnsi="宋体" w:cs="宋体"/>
                <w:color w:val="auto"/>
                <w:sz w:val="21"/>
                <w:szCs w:val="21"/>
                <w:highlight w:val="none"/>
                <w:lang w:eastAsia="zh-CN"/>
              </w:rPr>
              <w:t>注：根据各承保机构报送给云南金融监管局的财务报表数据为准。若未报送相关数据，需提供参加</w:t>
            </w:r>
            <w:r>
              <w:rPr>
                <w:rFonts w:hint="eastAsia" w:hAnsi="宋体" w:cs="宋体"/>
                <w:color w:val="auto"/>
                <w:sz w:val="21"/>
                <w:szCs w:val="21"/>
                <w:highlight w:val="none"/>
                <w:lang w:val="en-US" w:eastAsia="zh-CN"/>
              </w:rPr>
              <w:t>投标的</w:t>
            </w:r>
            <w:r>
              <w:rPr>
                <w:rFonts w:hint="eastAsia" w:hAnsi="宋体" w:cs="宋体"/>
                <w:color w:val="auto"/>
                <w:sz w:val="21"/>
                <w:szCs w:val="21"/>
                <w:highlight w:val="none"/>
                <w:lang w:eastAsia="zh-CN"/>
              </w:rPr>
              <w:t>承保机构会计报表相关科目页面复印件并加盖参加</w:t>
            </w:r>
            <w:r>
              <w:rPr>
                <w:rFonts w:hint="eastAsia" w:hAnsi="宋体" w:cs="宋体"/>
                <w:color w:val="auto"/>
                <w:sz w:val="21"/>
                <w:szCs w:val="21"/>
                <w:highlight w:val="none"/>
                <w:lang w:val="en-US" w:eastAsia="zh-CN"/>
              </w:rPr>
              <w:t>投标的</w:t>
            </w:r>
            <w:r>
              <w:rPr>
                <w:rFonts w:hint="eastAsia" w:hAnsi="宋体" w:cs="宋体"/>
                <w:color w:val="auto"/>
                <w:sz w:val="21"/>
                <w:szCs w:val="21"/>
                <w:highlight w:val="none"/>
                <w:lang w:eastAsia="zh-CN"/>
              </w:rPr>
              <w:t>承保机构公章。未在昭通开展农业保险服务的保险公司，采用省级公司相关指标平均值。</w:t>
            </w:r>
          </w:p>
        </w:tc>
      </w:tr>
      <w:tr w14:paraId="52F86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00" w:hRule="atLeast"/>
          <w:jc w:val="center"/>
        </w:trPr>
        <w:tc>
          <w:tcPr>
            <w:tcW w:w="542" w:type="dxa"/>
            <w:vMerge w:val="continue"/>
            <w:vAlign w:val="center"/>
          </w:tcPr>
          <w:p w14:paraId="3E0C90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66E460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2F2158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承保利润率</w:t>
            </w:r>
          </w:p>
          <w:p w14:paraId="112E7D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（满分</w:t>
            </w:r>
            <w:r>
              <w:rPr>
                <w:rFonts w:hint="eastAsia" w:ascii="宋体" w:hAnsi="宋体" w:cs="宋体"/>
                <w:color w:val="auto"/>
                <w:szCs w:val="21"/>
                <w:highlight w:val="none"/>
                <w:lang w:val="en-US" w:eastAsia="zh-CN"/>
              </w:rPr>
              <w:t>5分</w:t>
            </w:r>
            <w:r>
              <w:rPr>
                <w:rFonts w:hint="eastAsia" w:ascii="宋体" w:hAnsi="宋体" w:cs="宋体"/>
                <w:color w:val="auto"/>
                <w:szCs w:val="21"/>
                <w:highlight w:val="none"/>
                <w:lang w:eastAsia="zh-CN"/>
              </w:rPr>
              <w:t>）</w:t>
            </w:r>
          </w:p>
        </w:tc>
        <w:tc>
          <w:tcPr>
            <w:tcW w:w="5562" w:type="dxa"/>
            <w:vAlign w:val="center"/>
          </w:tcPr>
          <w:p w14:paraId="70C82C65">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根据参加投标的承保机构2024年度农业保险业务承保利润率，承保利润率低于0%或高于15%不计分，0%(不含)-5%(含)计5分，5%(不含)-10%(含)计3分，10%(不含)-15%(含)计2分。</w:t>
            </w:r>
          </w:p>
          <w:p w14:paraId="6C431245">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hAnsi="宋体" w:cs="宋体"/>
                <w:color w:val="auto"/>
                <w:sz w:val="21"/>
                <w:szCs w:val="21"/>
                <w:highlight w:val="none"/>
                <w:lang w:val="en-US" w:eastAsia="zh-CN"/>
              </w:rPr>
            </w:pPr>
            <w:r>
              <w:rPr>
                <w:rFonts w:hint="eastAsia" w:hAnsi="宋体" w:cs="宋体"/>
                <w:color w:val="auto"/>
                <w:sz w:val="21"/>
                <w:szCs w:val="21"/>
                <w:highlight w:val="none"/>
                <w:lang w:eastAsia="zh-CN"/>
              </w:rPr>
              <w:t>注：根据各承保机构报送给云南金融监管局的财务报表数据为准。若未报送相关数据，需提供参加</w:t>
            </w:r>
            <w:r>
              <w:rPr>
                <w:rFonts w:hint="eastAsia" w:hAnsi="宋体" w:cs="宋体"/>
                <w:color w:val="auto"/>
                <w:sz w:val="21"/>
                <w:szCs w:val="21"/>
                <w:highlight w:val="none"/>
                <w:lang w:val="en-US" w:eastAsia="zh-CN"/>
              </w:rPr>
              <w:t>投标的</w:t>
            </w:r>
            <w:r>
              <w:rPr>
                <w:rFonts w:hint="eastAsia" w:hAnsi="宋体" w:cs="宋体"/>
                <w:color w:val="auto"/>
                <w:sz w:val="21"/>
                <w:szCs w:val="21"/>
                <w:highlight w:val="none"/>
                <w:lang w:eastAsia="zh-CN"/>
              </w:rPr>
              <w:t>承保机构会计报表相关科目页面复印件并加盖参加</w:t>
            </w:r>
            <w:r>
              <w:rPr>
                <w:rFonts w:hint="eastAsia" w:hAnsi="宋体" w:cs="宋体"/>
                <w:color w:val="auto"/>
                <w:sz w:val="21"/>
                <w:szCs w:val="21"/>
                <w:highlight w:val="none"/>
                <w:lang w:val="en-US" w:eastAsia="zh-CN"/>
              </w:rPr>
              <w:t>投标的</w:t>
            </w:r>
            <w:r>
              <w:rPr>
                <w:rFonts w:hint="eastAsia" w:hAnsi="宋体" w:cs="宋体"/>
                <w:color w:val="auto"/>
                <w:sz w:val="21"/>
                <w:szCs w:val="21"/>
                <w:highlight w:val="none"/>
                <w:lang w:eastAsia="zh-CN"/>
              </w:rPr>
              <w:t>承保机构公章。未在昭通开展农业保险服务的保险公司，采用省级公司相关指标平均值。</w:t>
            </w:r>
          </w:p>
        </w:tc>
      </w:tr>
      <w:tr w14:paraId="25EFF9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1" w:hRule="atLeast"/>
          <w:jc w:val="center"/>
        </w:trPr>
        <w:tc>
          <w:tcPr>
            <w:tcW w:w="542" w:type="dxa"/>
            <w:vMerge w:val="continue"/>
            <w:vAlign w:val="center"/>
          </w:tcPr>
          <w:p w14:paraId="4BC334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3146A1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65F6F1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精准承保理赔</w:t>
            </w:r>
          </w:p>
          <w:p w14:paraId="735BB0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（满分</w:t>
            </w:r>
            <w:r>
              <w:rPr>
                <w:rFonts w:hint="eastAsia" w:ascii="宋体" w:hAnsi="宋体" w:cs="宋体"/>
                <w:color w:val="auto"/>
                <w:szCs w:val="21"/>
                <w:highlight w:val="none"/>
                <w:lang w:val="en-US" w:eastAsia="zh-CN"/>
              </w:rPr>
              <w:t>10</w:t>
            </w:r>
            <w:r>
              <w:rPr>
                <w:rFonts w:hint="default" w:ascii="宋体" w:hAnsi="宋体" w:cs="宋体"/>
                <w:color w:val="auto"/>
                <w:szCs w:val="21"/>
                <w:highlight w:val="none"/>
              </w:rPr>
              <w:t>分）</w:t>
            </w:r>
          </w:p>
          <w:p w14:paraId="4D0E12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p>
        </w:tc>
        <w:tc>
          <w:tcPr>
            <w:tcW w:w="5562" w:type="dxa"/>
            <w:vAlign w:val="center"/>
          </w:tcPr>
          <w:p w14:paraId="64415873">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default" w:hAnsi="宋体" w:cs="宋体"/>
                <w:color w:val="auto"/>
                <w:sz w:val="21"/>
                <w:szCs w:val="21"/>
                <w:highlight w:val="none"/>
                <w:lang w:val="en-US" w:eastAsia="zh-CN"/>
              </w:rPr>
            </w:pPr>
            <w:r>
              <w:rPr>
                <w:rFonts w:hint="eastAsia" w:hAnsi="宋体" w:cs="宋体"/>
                <w:color w:val="auto"/>
                <w:sz w:val="21"/>
                <w:szCs w:val="21"/>
                <w:highlight w:val="none"/>
                <w:lang w:val="en-US" w:eastAsia="zh-CN"/>
              </w:rPr>
              <w:t>根据参加投标的承保机构在昭通农业保险业务中运用卫星遥感（3分）、无人机（1分）、生物识别（3分）、智能点数（3分）等手段实现精准承保理赔情况。需提供验标查勘科技手段运用情况，包括视频、图片以及运用科技手段的成效说明。</w:t>
            </w:r>
          </w:p>
        </w:tc>
      </w:tr>
      <w:tr w14:paraId="50F7F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542" w:type="dxa"/>
            <w:vMerge w:val="continue"/>
            <w:vAlign w:val="center"/>
          </w:tcPr>
          <w:p w14:paraId="2A398D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7417F1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4D523B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制度建设</w:t>
            </w:r>
          </w:p>
          <w:p w14:paraId="37F65D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（满分</w:t>
            </w:r>
            <w:r>
              <w:rPr>
                <w:rFonts w:hint="eastAsia" w:ascii="宋体" w:hAnsi="宋体" w:cs="宋体"/>
                <w:color w:val="auto"/>
                <w:szCs w:val="21"/>
                <w:highlight w:val="none"/>
                <w:lang w:val="en-US" w:eastAsia="zh-CN"/>
              </w:rPr>
              <w:t>6</w:t>
            </w:r>
            <w:r>
              <w:rPr>
                <w:rFonts w:hint="default" w:ascii="宋体" w:hAnsi="宋体" w:cs="宋体"/>
                <w:color w:val="auto"/>
                <w:szCs w:val="21"/>
                <w:highlight w:val="none"/>
              </w:rPr>
              <w:t>分）</w:t>
            </w:r>
          </w:p>
          <w:p w14:paraId="184E9E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p>
        </w:tc>
        <w:tc>
          <w:tcPr>
            <w:tcW w:w="5562" w:type="dxa"/>
            <w:vAlign w:val="center"/>
          </w:tcPr>
          <w:p w14:paraId="2AD34B59">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color w:val="auto"/>
                <w:highlight w:val="none"/>
              </w:rPr>
            </w:pPr>
            <w:r>
              <w:rPr>
                <w:rFonts w:hint="eastAsia" w:hAnsi="宋体" w:cs="宋体"/>
                <w:color w:val="auto"/>
                <w:sz w:val="21"/>
                <w:szCs w:val="21"/>
                <w:highlight w:val="none"/>
                <w:lang w:val="en-US" w:eastAsia="zh-CN"/>
              </w:rPr>
              <w:t>根据参加投标的承保机构制定的农业保险工作相关制度进行综合评价，包括查勘制度、损失赔偿标准、大灾快速理赔响应制度、大灾风险准备金制度、村协保员培训考核管理制度等相关制度，优秀计5-6分，良好计3-4分，一般计1-2分，差不计分。以参加投标的承保机构提供的制度汇编文本为准。</w:t>
            </w:r>
          </w:p>
        </w:tc>
      </w:tr>
      <w:tr w14:paraId="2B48C9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42" w:type="dxa"/>
            <w:vMerge w:val="continue"/>
            <w:vAlign w:val="center"/>
          </w:tcPr>
          <w:p w14:paraId="02B33C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75F5E1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3A8A42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服务方案</w:t>
            </w:r>
          </w:p>
          <w:p w14:paraId="43C9F0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r>
              <w:rPr>
                <w:rFonts w:hint="default" w:ascii="宋体" w:hAnsi="宋体" w:cs="宋体"/>
                <w:color w:val="auto"/>
                <w:szCs w:val="21"/>
                <w:highlight w:val="none"/>
              </w:rPr>
              <w:t>（满分</w:t>
            </w:r>
            <w:r>
              <w:rPr>
                <w:rFonts w:hint="eastAsia" w:ascii="宋体" w:hAnsi="宋体" w:cs="宋体"/>
                <w:color w:val="auto"/>
                <w:szCs w:val="21"/>
                <w:highlight w:val="none"/>
                <w:lang w:val="en-US" w:eastAsia="zh-CN"/>
              </w:rPr>
              <w:t>25</w:t>
            </w:r>
            <w:r>
              <w:rPr>
                <w:rFonts w:hint="default" w:ascii="宋体" w:hAnsi="宋体" w:cs="宋体"/>
                <w:color w:val="auto"/>
                <w:szCs w:val="21"/>
                <w:highlight w:val="none"/>
              </w:rPr>
              <w:t>分）</w:t>
            </w:r>
          </w:p>
          <w:p w14:paraId="5BEBA4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ascii="宋体" w:hAnsi="宋体" w:cs="宋体"/>
                <w:color w:val="auto"/>
                <w:szCs w:val="21"/>
                <w:highlight w:val="none"/>
              </w:rPr>
            </w:pPr>
          </w:p>
        </w:tc>
        <w:tc>
          <w:tcPr>
            <w:tcW w:w="5562" w:type="dxa"/>
            <w:vAlign w:val="center"/>
          </w:tcPr>
          <w:p w14:paraId="4A6561FC">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根据参加</w:t>
            </w:r>
            <w:r>
              <w:rPr>
                <w:rFonts w:hint="eastAsia" w:hAnsi="宋体" w:cs="宋体"/>
                <w:color w:val="auto"/>
                <w:sz w:val="21"/>
                <w:szCs w:val="21"/>
                <w:highlight w:val="none"/>
                <w:lang w:val="en-US" w:eastAsia="zh-CN"/>
              </w:rPr>
              <w:t>投标的</w:t>
            </w:r>
            <w:r>
              <w:rPr>
                <w:rFonts w:hint="eastAsia" w:ascii="宋体" w:hAnsi="宋体" w:eastAsia="宋体" w:cs="宋体"/>
                <w:color w:val="auto"/>
                <w:sz w:val="21"/>
                <w:szCs w:val="21"/>
                <w:highlight w:val="none"/>
              </w:rPr>
              <w:t>承保机构制定的保险方案(15分)，承保、查勘理赔服务方案(5分)，基层服务网点建设情况(3分)，协保员培训考核方案(2分)等进行综合评价。保险方案中应包括保险产品核心要素、理赔标准以及服务年度简单赔付率、综合费用率、投保覆盖率、承保利润率的目标值(上述目标值以近两年承保机构历史数据为参考，未在昭通开展农业保险服务的保险公司，以省级公司相关指标历史数据为参考，原则上按照参加</w:t>
            </w:r>
            <w:r>
              <w:rPr>
                <w:rFonts w:hint="eastAsia" w:hAnsi="宋体" w:cs="宋体"/>
                <w:color w:val="auto"/>
                <w:sz w:val="21"/>
                <w:szCs w:val="21"/>
                <w:highlight w:val="none"/>
                <w:lang w:val="en-US" w:eastAsia="zh-CN"/>
              </w:rPr>
              <w:t>投标的</w:t>
            </w:r>
            <w:r>
              <w:rPr>
                <w:rFonts w:hint="eastAsia" w:ascii="宋体" w:hAnsi="宋体" w:eastAsia="宋体" w:cs="宋体"/>
                <w:color w:val="auto"/>
                <w:sz w:val="21"/>
                <w:szCs w:val="21"/>
                <w:highlight w:val="none"/>
              </w:rPr>
              <w:t>承保机构指标值大小排序评分);服务方案包括人员配置、服务流程及承诺时限:精准承保理赔科技手段运用、响应时限安排、相关制度保障及服务承诺书等内容。根据方案进行打分。</w:t>
            </w:r>
          </w:p>
          <w:p w14:paraId="78AED2A7">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kern w:val="0"/>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rPr>
              <w:t>1.第一档次</w:t>
            </w:r>
            <w:r>
              <w:rPr>
                <w:rFonts w:hint="eastAsia" w:hAnsi="宋体" w:cs="宋体"/>
                <w:color w:val="auto"/>
                <w:sz w:val="21"/>
                <w:szCs w:val="21"/>
                <w:highlight w:val="none"/>
                <w:lang w:val="en-US" w:eastAsia="zh-CN"/>
              </w:rPr>
              <w:t>得</w:t>
            </w:r>
            <w:r>
              <w:rPr>
                <w:rFonts w:hint="eastAsia" w:ascii="宋体" w:hAnsi="宋体" w:eastAsia="宋体" w:cs="宋体"/>
                <w:color w:val="auto"/>
                <w:sz w:val="21"/>
                <w:szCs w:val="21"/>
                <w:highlight w:val="none"/>
                <w:lang w:val="en-US" w:eastAsia="zh-CN"/>
              </w:rPr>
              <w:t>25分：方案编制条理清晰完整、保险产品核心要素、理赔标准以及服务年度简单赔付率、综合费用率、投保覆盖率、承保利润率的目标值。整体方案较为合理、具有针对性及可行性；</w:t>
            </w:r>
          </w:p>
          <w:p w14:paraId="77EC2265">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2.第二档次</w:t>
            </w:r>
            <w:r>
              <w:rPr>
                <w:rFonts w:hint="eastAsia" w:hAnsi="宋体" w:cs="宋体"/>
                <w:color w:val="auto"/>
                <w:sz w:val="21"/>
                <w:szCs w:val="21"/>
                <w:highlight w:val="none"/>
                <w:lang w:val="en-US" w:eastAsia="zh-CN"/>
              </w:rPr>
              <w:t>得15分</w:t>
            </w:r>
            <w:r>
              <w:rPr>
                <w:rFonts w:hint="eastAsia" w:ascii="宋体" w:hAnsi="宋体" w:eastAsia="宋体" w:cs="宋体"/>
                <w:color w:val="auto"/>
                <w:sz w:val="21"/>
                <w:szCs w:val="21"/>
                <w:highlight w:val="none"/>
                <w:lang w:val="en-US" w:eastAsia="zh-CN"/>
              </w:rPr>
              <w:t>:方案编制条理清晰完整、有针对性,服务理赔专岗人员配置合理完善，接报案电话设置科学，查勘定损及赔款相对快速，理赔承诺相对完善可行。整体方案合理，有一定针对性及可行性；</w:t>
            </w:r>
          </w:p>
          <w:p w14:paraId="76BB5654">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3.第三档次</w:t>
            </w:r>
            <w:r>
              <w:rPr>
                <w:rFonts w:hint="eastAsia" w:hAnsi="宋体" w:cs="宋体"/>
                <w:color w:val="auto"/>
                <w:sz w:val="21"/>
                <w:szCs w:val="21"/>
                <w:highlight w:val="none"/>
                <w:lang w:val="en-US" w:eastAsia="zh-CN"/>
              </w:rPr>
              <w:t>得8分</w:t>
            </w:r>
            <w:r>
              <w:rPr>
                <w:rFonts w:hint="eastAsia" w:ascii="宋体" w:hAnsi="宋体" w:eastAsia="宋体" w:cs="宋体"/>
                <w:color w:val="auto"/>
                <w:sz w:val="21"/>
                <w:szCs w:val="21"/>
                <w:highlight w:val="none"/>
                <w:lang w:val="en-US" w:eastAsia="zh-CN"/>
              </w:rPr>
              <w:t>：方案编制内容条理清晰但有缺漏、针对性一般,服务理赔专岗人员配置基本可行，接报案电话设置一般，查勘定损及赔款相对一般，理赔承诺基本可行。整体方案基本合理、针对性及可行性一般。</w:t>
            </w:r>
          </w:p>
          <w:p w14:paraId="44655C97">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4.第四档次</w:t>
            </w:r>
            <w:r>
              <w:rPr>
                <w:rFonts w:hint="eastAsia" w:hAnsi="宋体" w:cs="宋体"/>
                <w:color w:val="auto"/>
                <w:sz w:val="21"/>
                <w:szCs w:val="21"/>
                <w:highlight w:val="none"/>
                <w:lang w:val="en-US" w:eastAsia="zh-CN"/>
              </w:rPr>
              <w:t>得1分</w:t>
            </w:r>
            <w:r>
              <w:rPr>
                <w:rFonts w:hint="eastAsia" w:ascii="宋体" w:hAnsi="宋体" w:eastAsia="宋体" w:cs="宋体"/>
                <w:color w:val="auto"/>
                <w:sz w:val="21"/>
                <w:szCs w:val="21"/>
                <w:highlight w:val="none"/>
                <w:lang w:val="en-US" w:eastAsia="zh-CN"/>
              </w:rPr>
              <w:t>：方案编制内容条理不够清晰、缺漏较多、针对性较差，服务理赔专岗人员配置较差，接报案电话设置不合理，查勘定损及赔款时效性相对较差，理赔承诺不科学或可行性较差。整体方案合理性、针对性及可行性差。</w:t>
            </w:r>
          </w:p>
          <w:p w14:paraId="7D11EB76">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注：服务承诺书包括但不限于遵守农业保险有关法律法规，按照服务方案开展业务，查勘、定损、赔款支付时效等内容，并加盖参加</w:t>
            </w:r>
            <w:r>
              <w:rPr>
                <w:rFonts w:hint="eastAsia" w:hAnsi="宋体" w:cs="宋体"/>
                <w:color w:val="auto"/>
                <w:sz w:val="21"/>
                <w:szCs w:val="21"/>
                <w:highlight w:val="none"/>
                <w:lang w:val="en-US" w:eastAsia="zh-CN"/>
              </w:rPr>
              <w:t>投标的</w:t>
            </w:r>
            <w:r>
              <w:rPr>
                <w:rFonts w:hint="eastAsia" w:ascii="宋体" w:hAnsi="宋体" w:eastAsia="宋体" w:cs="宋体"/>
                <w:color w:val="auto"/>
                <w:sz w:val="21"/>
                <w:szCs w:val="21"/>
                <w:highlight w:val="none"/>
                <w:lang w:val="en-US" w:eastAsia="zh-CN"/>
              </w:rPr>
              <w:t>承保机构公章。</w:t>
            </w:r>
          </w:p>
          <w:p w14:paraId="3E88CD1C">
            <w:pPr>
              <w:keepNext w:val="0"/>
              <w:keepLines w:val="0"/>
              <w:suppressLineNumbers w:val="0"/>
              <w:spacing w:before="0" w:beforeAutospacing="0" w:after="0" w:afterAutospacing="0"/>
              <w:ind w:left="0" w:right="0"/>
              <w:rPr>
                <w:rFonts w:hint="default"/>
                <w:color w:val="auto"/>
                <w:highlight w:val="none"/>
                <w:lang w:val="en-US" w:eastAsia="zh-CN"/>
              </w:rPr>
            </w:pPr>
          </w:p>
        </w:tc>
      </w:tr>
      <w:tr w14:paraId="41739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542" w:type="dxa"/>
            <w:vMerge w:val="continue"/>
            <w:vAlign w:val="center"/>
          </w:tcPr>
          <w:p w14:paraId="611E9B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6034ED0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05A588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防灾防损方案</w:t>
            </w:r>
          </w:p>
          <w:p w14:paraId="5DCCEC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default"/>
                <w:color w:val="auto"/>
                <w:highlight w:val="none"/>
                <w:lang w:val="en-US" w:eastAsia="zh-CN"/>
              </w:rPr>
            </w:pPr>
            <w:r>
              <w:rPr>
                <w:rFonts w:hint="eastAsia" w:ascii="宋体" w:hAnsi="宋体" w:cs="宋体"/>
                <w:color w:val="auto"/>
                <w:szCs w:val="21"/>
                <w:highlight w:val="none"/>
                <w:lang w:val="en-US" w:eastAsia="zh-CN"/>
              </w:rPr>
              <w:t>（满分8分）</w:t>
            </w:r>
          </w:p>
        </w:tc>
        <w:tc>
          <w:tcPr>
            <w:tcW w:w="5562" w:type="dxa"/>
            <w:vAlign w:val="center"/>
          </w:tcPr>
          <w:p w14:paraId="7BCCC187">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针对本项目制定相应的防灾防损方案。评审小组横向对比方案，进行打分。</w:t>
            </w:r>
          </w:p>
          <w:p w14:paraId="2FD6E296">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1.第一档次（</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w:t>
            </w:r>
            <w:r>
              <w:rPr>
                <w:rFonts w:hint="eastAsia"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分）方案编制条理清晰完整、有较强的针对性，装备设备等配备具有较强针对性及可行性，考虑全面且可行；</w:t>
            </w:r>
          </w:p>
          <w:p w14:paraId="2B326460">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2.第二档次（3-</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分）方案编制条理清晰完整、有针对性,装备设备等配备具有针对性、完善可行、考虑相对全面且可行；</w:t>
            </w:r>
          </w:p>
          <w:p w14:paraId="23058F39">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3.第三档次（1-2分）方案编制条理基本清晰完整、针对性一般，装备设备等配备针对性一般、基本可行；</w:t>
            </w:r>
          </w:p>
          <w:p w14:paraId="7BE12C5E">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4.第四档次（不计分）方案编制不完全合理，针对性较差，装备设备等配备不完全满足项目需求。</w:t>
            </w:r>
          </w:p>
        </w:tc>
      </w:tr>
      <w:tr w14:paraId="3F70F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542" w:type="dxa"/>
            <w:vMerge w:val="continue"/>
            <w:vAlign w:val="center"/>
          </w:tcPr>
          <w:p w14:paraId="0A3CA3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29CCB3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6B325B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本地化服务</w:t>
            </w:r>
          </w:p>
          <w:p w14:paraId="7BE081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eastAsia="zh-CN"/>
              </w:rPr>
              <w:t>（满分</w:t>
            </w:r>
            <w:r>
              <w:rPr>
                <w:rFonts w:hint="eastAsia" w:ascii="宋体" w:hAnsi="宋体" w:cs="宋体"/>
                <w:color w:val="auto"/>
                <w:szCs w:val="21"/>
                <w:highlight w:val="none"/>
                <w:lang w:val="en-US" w:eastAsia="zh-CN"/>
              </w:rPr>
              <w:t>5分</w:t>
            </w:r>
            <w:r>
              <w:rPr>
                <w:rFonts w:hint="eastAsia" w:ascii="宋体" w:hAnsi="宋体" w:cs="宋体"/>
                <w:color w:val="auto"/>
                <w:szCs w:val="21"/>
                <w:highlight w:val="none"/>
                <w:lang w:eastAsia="zh-CN"/>
              </w:rPr>
              <w:t>）</w:t>
            </w:r>
          </w:p>
        </w:tc>
        <w:tc>
          <w:tcPr>
            <w:tcW w:w="5562" w:type="dxa"/>
            <w:vAlign w:val="center"/>
          </w:tcPr>
          <w:p w14:paraId="1E4553E7">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1.配置有专门农业保险管理部门且具有专岗人员队伍并为本项目配备具有较高服务技能和水平并设有专为本项目服务且经验丰富的人员，人员稳定，不少于5人，乡镇服务网点配备相应兼（专）职人员情况较好，能够很好的满足项目需求的，得5分。</w:t>
            </w:r>
          </w:p>
          <w:p w14:paraId="06A2A356">
            <w:pPr>
              <w:pStyle w:val="21"/>
              <w:keepNext w:val="0"/>
              <w:keepLines w:val="0"/>
              <w:numPr>
                <w:ilvl w:val="0"/>
                <w:numId w:val="0"/>
              </w:numPr>
              <w:suppressLineNumbers w:val="0"/>
              <w:tabs>
                <w:tab w:val="left" w:pos="1249"/>
              </w:tabs>
              <w:spacing w:before="0" w:beforeAutospacing="0" w:after="0" w:afterAutospacing="0"/>
              <w:ind w:left="0" w:right="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2.配置有专门农业保险管理部门且具有专岗人员队伍并为本项目配备较好服务技能和水平，配备专项服务人员，不少于3人，乡镇服务网点配备相应兼（专）职人员情况一般，基本达到项目要求的，得3分。</w:t>
            </w:r>
          </w:p>
          <w:p w14:paraId="2070FE58">
            <w:pPr>
              <w:pStyle w:val="21"/>
              <w:keepNext w:val="0"/>
              <w:keepLines w:val="0"/>
              <w:numPr>
                <w:ilvl w:val="0"/>
                <w:numId w:val="0"/>
              </w:numPr>
              <w:suppressLineNumbers w:val="0"/>
              <w:tabs>
                <w:tab w:val="left" w:pos="1249"/>
              </w:tabs>
              <w:spacing w:before="0" w:beforeAutospacing="0" w:after="0" w:afterAutospacing="0"/>
              <w:ind w:left="0" w:leftChars="0" w:right="0" w:rightChars="0" w:firstLine="420" w:firstLineChars="200"/>
              <w:rPr>
                <w:rFonts w:hint="eastAsia" w:ascii="宋体" w:hAnsi="宋体" w:eastAsia="宋体" w:cs="宋体"/>
                <w:color w:val="auto"/>
                <w:sz w:val="21"/>
                <w:szCs w:val="21"/>
                <w:highlight w:val="none"/>
                <w:lang w:val="en-US" w:eastAsia="zh-CN"/>
              </w:rPr>
            </w:pPr>
            <w:r>
              <w:rPr>
                <w:rFonts w:hint="eastAsia"/>
                <w:color w:val="auto"/>
                <w:sz w:val="21"/>
                <w:szCs w:val="21"/>
                <w:highlight w:val="none"/>
                <w:lang w:val="en-US" w:eastAsia="zh-CN"/>
              </w:rPr>
              <w:t>3.服务技能和水平一般，缺乏专项人员配备，乡镇服务网点无相应兼（专）职人员的，得2分。</w:t>
            </w:r>
          </w:p>
        </w:tc>
      </w:tr>
      <w:tr w14:paraId="3A1F6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542" w:type="dxa"/>
            <w:vMerge w:val="continue"/>
            <w:vAlign w:val="center"/>
          </w:tcPr>
          <w:p w14:paraId="77B441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color w:val="auto"/>
                <w:szCs w:val="21"/>
                <w:highlight w:val="none"/>
              </w:rPr>
            </w:pPr>
          </w:p>
        </w:tc>
        <w:tc>
          <w:tcPr>
            <w:tcW w:w="1044" w:type="dxa"/>
            <w:vMerge w:val="continue"/>
            <w:vAlign w:val="center"/>
          </w:tcPr>
          <w:p w14:paraId="53F492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right="0"/>
              <w:jc w:val="both"/>
              <w:textAlignment w:val="auto"/>
              <w:rPr>
                <w:rFonts w:hint="default" w:ascii="宋体" w:hAnsi="宋体" w:cs="宋体"/>
                <w:b/>
                <w:color w:val="auto"/>
                <w:kern w:val="0"/>
                <w:szCs w:val="21"/>
                <w:highlight w:val="none"/>
                <w:lang w:val="zh-CN"/>
              </w:rPr>
            </w:pPr>
          </w:p>
        </w:tc>
        <w:tc>
          <w:tcPr>
            <w:tcW w:w="2406" w:type="dxa"/>
            <w:vAlign w:val="center"/>
          </w:tcPr>
          <w:p w14:paraId="16F2AA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技术文件制作</w:t>
            </w:r>
          </w:p>
          <w:p w14:paraId="36DAC7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（满分</w:t>
            </w:r>
            <w:r>
              <w:rPr>
                <w:rFonts w:hint="eastAsia" w:ascii="宋体" w:hAnsi="宋体" w:cs="宋体"/>
                <w:color w:val="auto"/>
                <w:szCs w:val="21"/>
                <w:highlight w:val="none"/>
                <w:lang w:val="en-US" w:eastAsia="zh-CN"/>
              </w:rPr>
              <w:t>6分</w:t>
            </w:r>
            <w:r>
              <w:rPr>
                <w:rFonts w:hint="eastAsia" w:ascii="宋体" w:hAnsi="宋体" w:cs="宋体"/>
                <w:color w:val="auto"/>
                <w:szCs w:val="21"/>
                <w:highlight w:val="none"/>
                <w:lang w:eastAsia="zh-CN"/>
              </w:rPr>
              <w:t>）</w:t>
            </w:r>
          </w:p>
        </w:tc>
        <w:tc>
          <w:tcPr>
            <w:tcW w:w="5562" w:type="dxa"/>
            <w:vAlign w:val="center"/>
          </w:tcPr>
          <w:p w14:paraId="295E00EC">
            <w:pPr>
              <w:pStyle w:val="21"/>
              <w:keepNext w:val="0"/>
              <w:keepLines w:val="0"/>
              <w:numPr>
                <w:ilvl w:val="0"/>
                <w:numId w:val="0"/>
              </w:numPr>
              <w:suppressLineNumbers w:val="0"/>
              <w:tabs>
                <w:tab w:val="left" w:pos="1249"/>
              </w:tabs>
              <w:spacing w:before="0" w:beforeAutospacing="0" w:after="0" w:afterAutospacing="0"/>
              <w:ind w:left="0" w:leftChars="0" w:right="0" w:rightChars="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1.技术文件全面响应招标文件要求，编制完整，有详细目录、连续页码、目录与有关材料排版顺序对应清晰、查阅方便得6分。</w:t>
            </w:r>
          </w:p>
          <w:p w14:paraId="092E7B13">
            <w:pPr>
              <w:pStyle w:val="21"/>
              <w:keepNext w:val="0"/>
              <w:keepLines w:val="0"/>
              <w:numPr>
                <w:ilvl w:val="0"/>
                <w:numId w:val="0"/>
              </w:numPr>
              <w:suppressLineNumbers w:val="0"/>
              <w:tabs>
                <w:tab w:val="left" w:pos="1249"/>
              </w:tabs>
              <w:spacing w:before="0" w:beforeAutospacing="0" w:after="0" w:afterAutospacing="0"/>
              <w:ind w:left="0" w:leftChars="0" w:right="0" w:rightChars="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2.编排杂乱无章、资料残缺不全、叙述模糊不清、前后不一致等，每处扣1分，扣完为止。</w:t>
            </w:r>
          </w:p>
          <w:p w14:paraId="032982CB">
            <w:pPr>
              <w:pStyle w:val="21"/>
              <w:keepNext w:val="0"/>
              <w:keepLines w:val="0"/>
              <w:numPr>
                <w:ilvl w:val="0"/>
                <w:numId w:val="0"/>
              </w:numPr>
              <w:suppressLineNumbers w:val="0"/>
              <w:tabs>
                <w:tab w:val="left" w:pos="1249"/>
              </w:tabs>
              <w:spacing w:before="0" w:beforeAutospacing="0" w:after="0" w:afterAutospacing="0"/>
              <w:ind w:left="0" w:leftChars="0" w:right="0" w:rightChars="0" w:firstLine="420" w:firstLineChars="200"/>
              <w:rPr>
                <w:rFonts w:hint="default"/>
                <w:color w:val="auto"/>
                <w:highlight w:val="none"/>
                <w:lang w:val="en-US" w:eastAsia="zh-CN"/>
              </w:rPr>
            </w:pPr>
            <w:r>
              <w:rPr>
                <w:rFonts w:hint="eastAsia"/>
                <w:color w:val="auto"/>
                <w:sz w:val="21"/>
                <w:szCs w:val="21"/>
                <w:highlight w:val="none"/>
                <w:lang w:val="en-US" w:eastAsia="zh-CN"/>
              </w:rPr>
              <w:t>以参加</w:t>
            </w:r>
            <w:r>
              <w:rPr>
                <w:rFonts w:hint="eastAsia" w:hAnsi="宋体" w:cs="宋体"/>
                <w:color w:val="auto"/>
                <w:sz w:val="21"/>
                <w:szCs w:val="21"/>
                <w:highlight w:val="none"/>
                <w:lang w:val="en-US" w:eastAsia="zh-CN"/>
              </w:rPr>
              <w:t>投标的</w:t>
            </w:r>
            <w:r>
              <w:rPr>
                <w:rFonts w:hint="eastAsia"/>
                <w:color w:val="auto"/>
                <w:sz w:val="21"/>
                <w:szCs w:val="21"/>
                <w:highlight w:val="none"/>
                <w:lang w:val="en-US" w:eastAsia="zh-CN"/>
              </w:rPr>
              <w:t>承保机构提供的文件资料为准。</w:t>
            </w:r>
          </w:p>
        </w:tc>
      </w:tr>
      <w:bookmarkEnd w:id="144"/>
      <w:bookmarkEnd w:id="145"/>
      <w:bookmarkEnd w:id="146"/>
      <w:bookmarkEnd w:id="147"/>
      <w:bookmarkEnd w:id="148"/>
    </w:tbl>
    <w:p w14:paraId="17E4D382">
      <w:pPr>
        <w:spacing w:line="440" w:lineRule="exact"/>
        <w:ind w:firstLine="420" w:firstLineChars="200"/>
        <w:rPr>
          <w:rFonts w:ascii="宋体" w:hAnsi="宋体" w:cs="宋体"/>
          <w:color w:val="auto"/>
          <w:szCs w:val="16"/>
          <w:highlight w:val="none"/>
        </w:rPr>
      </w:pPr>
      <w:r>
        <w:rPr>
          <w:rFonts w:hint="eastAsia" w:ascii="宋体" w:hAnsi="宋体" w:cs="宋体"/>
          <w:color w:val="auto"/>
          <w:szCs w:val="16"/>
          <w:highlight w:val="none"/>
        </w:rPr>
        <w:t>根据《中华人民共和国政府采购法》、《中华人民共和国招投标法》、</w:t>
      </w:r>
      <w:r>
        <w:rPr>
          <w:rFonts w:hint="eastAsia" w:ascii="宋体" w:hAnsi="宋体" w:cs="宋体"/>
          <w:color w:val="auto"/>
          <w:kern w:val="0"/>
          <w:szCs w:val="16"/>
          <w:highlight w:val="none"/>
        </w:rPr>
        <w:t>《中华人民共和国政府采购法实施条例》、</w:t>
      </w:r>
      <w:r>
        <w:rPr>
          <w:rFonts w:hint="eastAsia" w:ascii="宋体" w:hAnsi="宋体" w:cs="宋体"/>
          <w:color w:val="auto"/>
          <w:szCs w:val="16"/>
          <w:highlight w:val="none"/>
        </w:rPr>
        <w:t>《政府采购货物和服务招投标管理办法【财政部令第87号】》等有关规定等有关法律法规，结合本项目实际情况制定本办法。</w:t>
      </w:r>
    </w:p>
    <w:p w14:paraId="6CCA042B">
      <w:pPr>
        <w:spacing w:line="440" w:lineRule="exact"/>
        <w:ind w:firstLine="420" w:firstLineChars="200"/>
        <w:rPr>
          <w:rFonts w:ascii="宋体" w:hAnsi="宋体" w:cs="宋体"/>
          <w:color w:val="auto"/>
          <w:sz w:val="24"/>
          <w:szCs w:val="20"/>
          <w:highlight w:val="none"/>
        </w:rPr>
      </w:pPr>
      <w:bookmarkStart w:id="149" w:name="_Toc364392660"/>
      <w:bookmarkStart w:id="150" w:name="_Toc391301904"/>
      <w:bookmarkStart w:id="151" w:name="_Toc396313203"/>
      <w:r>
        <w:rPr>
          <w:rFonts w:hint="eastAsia" w:ascii="宋体" w:hAnsi="宋体" w:cs="宋体"/>
          <w:color w:val="auto"/>
          <w:szCs w:val="16"/>
          <w:highlight w:val="none"/>
        </w:rPr>
        <w:t>本次采购所采用的评标方法为“综合评分法”，即在最大限度地满足招标文件实质性要求前提下，按照招标文件中规定的各项因素进行综合评审后，以评标总得分由高到低推荐中标候选人的评标方法。</w:t>
      </w:r>
    </w:p>
    <w:p w14:paraId="652EF94C">
      <w:pPr>
        <w:keepNext/>
        <w:keepLines/>
        <w:spacing w:line="360" w:lineRule="auto"/>
        <w:jc w:val="left"/>
        <w:outlineLvl w:val="1"/>
        <w:rPr>
          <w:rFonts w:ascii="宋体" w:hAnsi="宋体" w:cs="宋体"/>
          <w:b/>
          <w:color w:val="auto"/>
          <w:sz w:val="32"/>
          <w:highlight w:val="none"/>
        </w:rPr>
      </w:pPr>
      <w:bookmarkStart w:id="152" w:name="_Toc7188762"/>
      <w:r>
        <w:rPr>
          <w:rFonts w:hint="eastAsia" w:ascii="宋体" w:hAnsi="宋体" w:cs="宋体"/>
          <w:b/>
          <w:color w:val="auto"/>
          <w:sz w:val="24"/>
          <w:highlight w:val="none"/>
        </w:rPr>
        <w:t>一、评标委员会</w:t>
      </w:r>
      <w:bookmarkEnd w:id="149"/>
      <w:bookmarkEnd w:id="150"/>
      <w:bookmarkEnd w:id="151"/>
      <w:bookmarkEnd w:id="152"/>
    </w:p>
    <w:p w14:paraId="4E648D12">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1.1评标委员会由有关技术、经济等方面的专家组成，成员人数应当为五人以上单数。</w:t>
      </w:r>
    </w:p>
    <w:p w14:paraId="6CF9FBA5">
      <w:pPr>
        <w:spacing w:line="360" w:lineRule="auto"/>
        <w:ind w:firstLine="420" w:firstLineChars="200"/>
        <w:rPr>
          <w:rFonts w:ascii="宋体" w:hAnsi="宋体" w:cs="宋体"/>
          <w:color w:val="auto"/>
          <w:sz w:val="24"/>
          <w:highlight w:val="none"/>
        </w:rPr>
      </w:pPr>
      <w:r>
        <w:rPr>
          <w:rFonts w:hint="eastAsia" w:ascii="宋体" w:hAnsi="宋体" w:cs="宋体"/>
          <w:color w:val="auto"/>
          <w:szCs w:val="16"/>
          <w:highlight w:val="none"/>
        </w:rPr>
        <w:t>1.2招标采购单位就招标文件征询过意见的专家，不得再作为评标专家参加评标。评标专家应当熟悉政府采购、招标投标的相关政策法规，熟悉市场行情，有良好的职业道德，遵守招标纪律。</w:t>
      </w:r>
    </w:p>
    <w:p w14:paraId="7348C253">
      <w:pPr>
        <w:keepNext/>
        <w:keepLines/>
        <w:spacing w:line="360" w:lineRule="auto"/>
        <w:jc w:val="left"/>
        <w:outlineLvl w:val="1"/>
        <w:rPr>
          <w:rFonts w:ascii="宋体" w:hAnsi="宋体" w:cs="宋体"/>
          <w:b/>
          <w:color w:val="auto"/>
          <w:sz w:val="32"/>
          <w:highlight w:val="none"/>
        </w:rPr>
      </w:pPr>
      <w:bookmarkStart w:id="153" w:name="_Toc364392661"/>
      <w:bookmarkStart w:id="154" w:name="_Toc391301905"/>
      <w:bookmarkStart w:id="155" w:name="_Toc396313204"/>
      <w:bookmarkStart w:id="156" w:name="_Toc7188763"/>
      <w:r>
        <w:rPr>
          <w:rFonts w:hint="eastAsia" w:ascii="宋体" w:hAnsi="宋体" w:cs="宋体"/>
          <w:b/>
          <w:color w:val="auto"/>
          <w:sz w:val="24"/>
          <w:highlight w:val="none"/>
        </w:rPr>
        <w:t>二、评标原则</w:t>
      </w:r>
      <w:bookmarkEnd w:id="153"/>
      <w:bookmarkEnd w:id="154"/>
      <w:bookmarkEnd w:id="155"/>
      <w:bookmarkEnd w:id="156"/>
    </w:p>
    <w:p w14:paraId="54328887">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2.1评标遵循“公平、公正、科学、择优、保密”的原则。</w:t>
      </w:r>
    </w:p>
    <w:p w14:paraId="406ACB89">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2.2只对有效投标文件进行评审，投标文件以外的资料信息不作为评标的依据和参考。</w:t>
      </w:r>
    </w:p>
    <w:p w14:paraId="1568AFC1">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2.3询标只针对投标文件中的疑问和问题，投标人澄清问题不允许超出要求的范围或修改投标文件的实质性内容。</w:t>
      </w:r>
    </w:p>
    <w:p w14:paraId="5D488391">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2.4评标委员会专家对所有投标文件一一进行独立审核和评价，客观公正的对每个投标文件进行独立打分。</w:t>
      </w:r>
      <w:bookmarkStart w:id="157" w:name="_Toc391301906"/>
      <w:bookmarkStart w:id="158" w:name="_Toc364392662"/>
      <w:bookmarkStart w:id="159" w:name="_Toc7188764"/>
      <w:bookmarkStart w:id="160" w:name="_Toc396313205"/>
    </w:p>
    <w:p w14:paraId="2FC469F9">
      <w:pPr>
        <w:spacing w:line="360" w:lineRule="auto"/>
        <w:rPr>
          <w:rFonts w:ascii="宋体" w:hAnsi="宋体" w:cs="宋体"/>
          <w:color w:val="auto"/>
          <w:szCs w:val="22"/>
          <w:highlight w:val="none"/>
        </w:rPr>
      </w:pPr>
      <w:r>
        <w:rPr>
          <w:rFonts w:hint="eastAsia" w:ascii="宋体" w:hAnsi="宋体" w:cs="宋体"/>
          <w:b/>
          <w:color w:val="auto"/>
          <w:sz w:val="24"/>
          <w:highlight w:val="none"/>
        </w:rPr>
        <w:t>三、评标纪律</w:t>
      </w:r>
      <w:bookmarkEnd w:id="157"/>
      <w:bookmarkEnd w:id="158"/>
      <w:bookmarkEnd w:id="159"/>
      <w:bookmarkEnd w:id="160"/>
    </w:p>
    <w:p w14:paraId="041C5A1E">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3.1评标委员会的成员应严格自律，自觉接受有关部门的监督。</w:t>
      </w:r>
    </w:p>
    <w:p w14:paraId="3EEA8EED">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3.2评标过程中，评标委员会成员不得擅离职守，影响评标程序正常进行。</w:t>
      </w:r>
    </w:p>
    <w:p w14:paraId="75B16BFE">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3.3评标委员会的成员不得与投标人、其他利害关系人私下接触，不得向投标人、其他利害关系人泄露对投标文件的评审、比较、中标候选人的推荐以及与评标有关的其它情况。</w:t>
      </w:r>
    </w:p>
    <w:p w14:paraId="42D5340D">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3.4评标委员会如有需询问、澄清的问题由专职联络员负责联系负责转告。</w:t>
      </w:r>
    </w:p>
    <w:p w14:paraId="06818F34">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3.5不允许任何人把投标文件及其汇总材料带出评标会场（已经公开的价格等资料除外），所有资料不得复制，完成评标后所有材料如数交还。</w:t>
      </w:r>
    </w:p>
    <w:p w14:paraId="00E480D2">
      <w:pPr>
        <w:spacing w:line="360" w:lineRule="auto"/>
        <w:ind w:firstLine="420" w:firstLineChars="200"/>
        <w:rPr>
          <w:rFonts w:ascii="宋体" w:hAnsi="宋体" w:cs="宋体"/>
          <w:color w:val="auto"/>
          <w:sz w:val="24"/>
          <w:szCs w:val="22"/>
          <w:highlight w:val="none"/>
        </w:rPr>
      </w:pPr>
      <w:r>
        <w:rPr>
          <w:rFonts w:hint="eastAsia" w:ascii="宋体" w:hAnsi="宋体" w:cs="宋体"/>
          <w:color w:val="auto"/>
          <w:szCs w:val="16"/>
          <w:highlight w:val="none"/>
        </w:rPr>
        <w:t>3.6违反上述规定对评标造成不良影响的，后果由责任者承担。</w:t>
      </w:r>
    </w:p>
    <w:p w14:paraId="1B1A4E3D">
      <w:pPr>
        <w:keepNext/>
        <w:keepLines/>
        <w:spacing w:line="360" w:lineRule="auto"/>
        <w:jc w:val="left"/>
        <w:outlineLvl w:val="1"/>
        <w:rPr>
          <w:rFonts w:ascii="宋体" w:hAnsi="宋体" w:cs="宋体"/>
          <w:b/>
          <w:color w:val="auto"/>
          <w:sz w:val="32"/>
          <w:highlight w:val="none"/>
        </w:rPr>
      </w:pPr>
      <w:bookmarkStart w:id="161" w:name="_Toc391301907"/>
      <w:bookmarkStart w:id="162" w:name="_Toc396313206"/>
      <w:bookmarkStart w:id="163" w:name="_Toc364392663"/>
      <w:bookmarkStart w:id="164" w:name="_Toc7188765"/>
      <w:r>
        <w:rPr>
          <w:rFonts w:hint="eastAsia" w:ascii="宋体" w:hAnsi="宋体" w:cs="宋体"/>
          <w:b/>
          <w:color w:val="auto"/>
          <w:sz w:val="24"/>
          <w:szCs w:val="21"/>
          <w:highlight w:val="none"/>
        </w:rPr>
        <w:t>四、评审依据</w:t>
      </w:r>
      <w:bookmarkEnd w:id="161"/>
      <w:bookmarkEnd w:id="162"/>
      <w:bookmarkEnd w:id="163"/>
      <w:bookmarkEnd w:id="164"/>
    </w:p>
    <w:p w14:paraId="5B9F000A">
      <w:pPr>
        <w:spacing w:line="360" w:lineRule="auto"/>
        <w:ind w:firstLine="420" w:firstLineChars="200"/>
        <w:rPr>
          <w:rFonts w:ascii="宋体" w:hAnsi="宋体" w:cs="宋体"/>
          <w:color w:val="auto"/>
          <w:sz w:val="24"/>
          <w:szCs w:val="22"/>
          <w:highlight w:val="none"/>
        </w:rPr>
      </w:pPr>
      <w:r>
        <w:rPr>
          <w:rFonts w:hint="eastAsia" w:ascii="宋体" w:hAnsi="宋体" w:cs="宋体"/>
          <w:color w:val="auto"/>
          <w:szCs w:val="16"/>
          <w:highlight w:val="none"/>
        </w:rPr>
        <w:t>详见评标办法前附表。</w:t>
      </w:r>
    </w:p>
    <w:p w14:paraId="62C8F1BF">
      <w:pPr>
        <w:keepNext/>
        <w:keepLines/>
        <w:spacing w:line="360" w:lineRule="auto"/>
        <w:jc w:val="left"/>
        <w:outlineLvl w:val="1"/>
        <w:rPr>
          <w:rFonts w:ascii="宋体" w:hAnsi="宋体" w:cs="宋体"/>
          <w:b/>
          <w:color w:val="auto"/>
          <w:sz w:val="32"/>
          <w:highlight w:val="none"/>
        </w:rPr>
      </w:pPr>
      <w:bookmarkStart w:id="165" w:name="_Toc391301908"/>
      <w:bookmarkStart w:id="166" w:name="_Toc364392664"/>
      <w:bookmarkStart w:id="167" w:name="_Toc7188766"/>
      <w:bookmarkStart w:id="168" w:name="_Toc396313207"/>
      <w:r>
        <w:rPr>
          <w:rFonts w:hint="eastAsia" w:ascii="宋体" w:hAnsi="宋体" w:cs="宋体"/>
          <w:b/>
          <w:color w:val="auto"/>
          <w:sz w:val="24"/>
          <w:szCs w:val="21"/>
          <w:highlight w:val="none"/>
        </w:rPr>
        <w:t>五、评标程序</w:t>
      </w:r>
      <w:bookmarkEnd w:id="165"/>
      <w:bookmarkEnd w:id="166"/>
      <w:bookmarkEnd w:id="167"/>
      <w:bookmarkEnd w:id="168"/>
    </w:p>
    <w:p w14:paraId="78346925">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评标按照资格审查、形式评审、响应性评审和详细评审的先后顺序进行。</w:t>
      </w:r>
    </w:p>
    <w:p w14:paraId="3D937910">
      <w:pPr>
        <w:spacing w:line="360" w:lineRule="auto"/>
        <w:ind w:firstLine="420" w:firstLineChars="200"/>
        <w:rPr>
          <w:rFonts w:hint="eastAsia" w:ascii="宋体" w:hAnsi="宋体" w:cs="宋体"/>
          <w:color w:val="auto"/>
          <w:szCs w:val="16"/>
          <w:highlight w:val="none"/>
        </w:rPr>
      </w:pPr>
      <w:r>
        <w:rPr>
          <w:rFonts w:hint="eastAsia" w:ascii="宋体" w:hAnsi="宋体" w:cs="宋体"/>
          <w:color w:val="auto"/>
          <w:szCs w:val="16"/>
          <w:highlight w:val="none"/>
        </w:rPr>
        <w:t>5.1资格审查：开标结束后、评标开始前，由</w:t>
      </w:r>
      <w:r>
        <w:rPr>
          <w:rFonts w:hint="eastAsia" w:ascii="宋体" w:hAnsi="宋体" w:cs="宋体"/>
          <w:color w:val="auto"/>
          <w:szCs w:val="16"/>
          <w:highlight w:val="none"/>
          <w:lang w:eastAsia="zh-CN"/>
        </w:rPr>
        <w:t>采购人</w:t>
      </w:r>
      <w:r>
        <w:rPr>
          <w:rFonts w:hint="eastAsia" w:ascii="宋体" w:hAnsi="宋体" w:cs="宋体"/>
          <w:color w:val="auto"/>
          <w:szCs w:val="16"/>
          <w:highlight w:val="none"/>
        </w:rPr>
        <w:t>委托的</w:t>
      </w:r>
      <w:r>
        <w:rPr>
          <w:rFonts w:hint="eastAsia" w:ascii="宋体" w:hAnsi="宋体" w:cs="宋体"/>
          <w:color w:val="auto"/>
          <w:szCs w:val="16"/>
          <w:highlight w:val="none"/>
          <w:lang w:eastAsia="zh-CN"/>
        </w:rPr>
        <w:t>采购代理机构</w:t>
      </w:r>
      <w:r>
        <w:rPr>
          <w:rFonts w:hint="eastAsia" w:ascii="宋体" w:hAnsi="宋体" w:cs="宋体"/>
          <w:color w:val="auto"/>
          <w:szCs w:val="16"/>
          <w:highlight w:val="none"/>
        </w:rPr>
        <w:t>根据法律法规和招标文件的规定，对投标文件中的“资格审查资料”进行审查，以确定投标投标人是否具备投标资格，详见“评标</w:t>
      </w:r>
    </w:p>
    <w:p w14:paraId="6F5383B5">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办法前附表”。</w:t>
      </w:r>
    </w:p>
    <w:p w14:paraId="6E2E8098">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5.2符合性评审：通过资格审查的投标文件进入符合性评审，符合性评审由评标委员会进行审查。</w:t>
      </w:r>
    </w:p>
    <w:p w14:paraId="072D7EF3">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5.3详细评审：通过响应性评审的投标文件进入详细评审。详细评审分为投标报价评审评分、技术部分评审评分和商务部分评审评分，分值构成和评分标准详见“评标办法前附表”4.1、4.2和4.3款。</w:t>
      </w:r>
    </w:p>
    <w:p w14:paraId="7782191F">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5.3.1评标委员会按“评标办法前附表”4.1、4.2和4.3款规定的量化因素和分值进行打分，并计算出综合评估得分。</w:t>
      </w:r>
    </w:p>
    <w:p w14:paraId="0DCCC026">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（1）按本章第4.1款规定的评审因素和分值对</w:t>
      </w:r>
      <w:r>
        <w:rPr>
          <w:rFonts w:hint="eastAsia" w:ascii="宋体" w:hAnsi="宋体" w:cs="宋体"/>
          <w:color w:val="auto"/>
          <w:szCs w:val="16"/>
          <w:highlight w:val="none"/>
          <w:lang w:val="en-US" w:eastAsia="zh-CN"/>
        </w:rPr>
        <w:t>商务部分</w:t>
      </w:r>
      <w:r>
        <w:rPr>
          <w:rFonts w:hint="eastAsia" w:ascii="宋体" w:hAnsi="宋体" w:cs="宋体"/>
          <w:color w:val="auto"/>
          <w:szCs w:val="16"/>
          <w:highlight w:val="none"/>
        </w:rPr>
        <w:t>进行评审，计算出得分F1；</w:t>
      </w:r>
    </w:p>
    <w:p w14:paraId="1D030B9E">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（2）按本章第4.2款规定的评审因素和分值对技术部分进行评审，计算出得分F2；</w:t>
      </w:r>
    </w:p>
    <w:p w14:paraId="3870019B">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5.3.2 评分分值计算保留小数点后两位，小数点后第三位“四舍五入”。</w:t>
      </w:r>
    </w:p>
    <w:p w14:paraId="131E295E">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5.3.3 投标人得分=F1+F2+F3。</w:t>
      </w:r>
    </w:p>
    <w:p w14:paraId="382A2880">
      <w:pPr>
        <w:spacing w:line="360" w:lineRule="auto"/>
        <w:rPr>
          <w:rFonts w:ascii="宋体" w:hAnsi="宋体" w:cs="宋体"/>
          <w:color w:val="auto"/>
          <w:szCs w:val="16"/>
          <w:highlight w:val="none"/>
        </w:rPr>
      </w:pPr>
      <w:r>
        <w:rPr>
          <w:rFonts w:hint="eastAsia" w:ascii="宋体" w:hAnsi="宋体" w:cs="宋体"/>
          <w:b/>
          <w:color w:val="auto"/>
          <w:sz w:val="24"/>
          <w:szCs w:val="21"/>
          <w:highlight w:val="none"/>
        </w:rPr>
        <w:t>六、否决投标的情形</w:t>
      </w:r>
    </w:p>
    <w:p w14:paraId="6BE39322">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6.1投标人有以下情形之一的，评标委员会应当否决其投标：</w:t>
      </w:r>
    </w:p>
    <w:p w14:paraId="4083448F">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(1)不同投标人的投标文件由同一单位或者个人编制；</w:t>
      </w:r>
    </w:p>
    <w:p w14:paraId="33822966">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(2)不同投标人委托同一单位或者个人办理投标事宜；</w:t>
      </w:r>
    </w:p>
    <w:p w14:paraId="3D58B1D6">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(3)不同投标人的投标文件载明的项目管理成员或者联系人员为同一人；</w:t>
      </w:r>
    </w:p>
    <w:p w14:paraId="129E4270">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(4)不同投标人的投标文件异常一致或者投标报价呈规律性差异；</w:t>
      </w:r>
    </w:p>
    <w:p w14:paraId="544EE799">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(5)不同投标人的投标文件相互混装；</w:t>
      </w:r>
    </w:p>
    <w:p w14:paraId="14A10683">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(6)不同投标人的投标保证金从同一单位或者个人账户转出；</w:t>
      </w:r>
    </w:p>
    <w:p w14:paraId="2EAD07A8">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(7)未按规定的格式填写，内容不全或关键字迹模糊、无法辨认；</w:t>
      </w:r>
    </w:p>
    <w:p w14:paraId="71C3327E">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(8)投标人递交两份或多份内容不同的投标文件，或在一份投标文件中对同一招标项目报有两个或多个报价，且未声明哪一个有效；</w:t>
      </w:r>
    </w:p>
    <w:p w14:paraId="35479D7B">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(9)投标文件中提供的证件的扫描件不在有效期的；</w:t>
      </w:r>
    </w:p>
    <w:p w14:paraId="45BC8E76">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(10)投标文件中提供伪造、虚假材料的；</w:t>
      </w:r>
    </w:p>
    <w:p w14:paraId="779FEC7A">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(11)不符合招标文件中规定的其他实质性要求的。</w:t>
      </w:r>
    </w:p>
    <w:p w14:paraId="3C8879A9">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6.2投标报价有算术错误及其他错误的，评标委员会按以下原则要求投标人对投标报价进行修正，并要求投标人书面澄清确认。投标人拒不澄清确认的，评标委员会应当否决其投标：</w:t>
      </w:r>
    </w:p>
    <w:p w14:paraId="1D3B896B">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（1）投标文件中的大写金额与小写金额不一致的，以大写金额为准；</w:t>
      </w:r>
    </w:p>
    <w:p w14:paraId="2848C835">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（2）总价金额与单价金额不一致的，以单价金额为准，但单价金额小数点有明显错误的除外；</w:t>
      </w:r>
    </w:p>
    <w:p w14:paraId="67F929E5">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（3）投标报价为各分项报价金额之和，投标报价与分项报价的合价不一致的，应以各分项合价累计数为准，修正投标报价；</w:t>
      </w:r>
    </w:p>
    <w:p w14:paraId="3764232B">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（4）如果分项报价中存在缺漏项，则视为缺漏项价格已包含在其他分项报价之中。</w:t>
      </w:r>
    </w:p>
    <w:p w14:paraId="732611D7">
      <w:pPr>
        <w:spacing w:line="360" w:lineRule="auto"/>
        <w:rPr>
          <w:rFonts w:ascii="宋体" w:hAnsi="宋体" w:cs="宋体"/>
          <w:color w:val="auto"/>
          <w:szCs w:val="16"/>
          <w:highlight w:val="none"/>
        </w:rPr>
      </w:pPr>
      <w:r>
        <w:rPr>
          <w:rFonts w:hint="eastAsia" w:ascii="宋体" w:hAnsi="宋体" w:cs="宋体"/>
          <w:b/>
          <w:bCs/>
          <w:color w:val="auto"/>
          <w:sz w:val="24"/>
          <w:szCs w:val="20"/>
          <w:highlight w:val="none"/>
        </w:rPr>
        <w:t>七、投标的澄清</w:t>
      </w:r>
    </w:p>
    <w:p w14:paraId="39963D75">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7.1在评标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p>
    <w:p w14:paraId="23C66016">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7.2澄清、说明或补正不得超出投标文件的范围且不得改变投标文件的实质性内容，并构成投标文件的组成部分。</w:t>
      </w:r>
    </w:p>
    <w:p w14:paraId="4324AB88">
      <w:pPr>
        <w:spacing w:line="360" w:lineRule="auto"/>
        <w:ind w:firstLine="420" w:firstLineChars="200"/>
        <w:rPr>
          <w:rFonts w:ascii="宋体" w:hAnsi="宋体" w:cs="宋体"/>
          <w:color w:val="auto"/>
          <w:szCs w:val="16"/>
          <w:highlight w:val="none"/>
        </w:rPr>
      </w:pPr>
      <w:r>
        <w:rPr>
          <w:rFonts w:hint="eastAsia" w:ascii="宋体" w:hAnsi="宋体" w:cs="宋体"/>
          <w:color w:val="auto"/>
          <w:szCs w:val="16"/>
          <w:highlight w:val="none"/>
        </w:rPr>
        <w:t>7.3评标委员会对投标人提交的澄清、说明或补正有疑问的，可以要求投标人进一步澄清、说明或补正，直至满足评标委员会的要求。</w:t>
      </w:r>
    </w:p>
    <w:p w14:paraId="753EBE6E">
      <w:pPr>
        <w:spacing w:line="360" w:lineRule="auto"/>
        <w:jc w:val="left"/>
        <w:rPr>
          <w:rFonts w:ascii="宋体" w:hAnsi="宋体" w:cs="宋体"/>
          <w:color w:val="auto"/>
          <w:szCs w:val="16"/>
          <w:highlight w:val="none"/>
        </w:rPr>
      </w:pPr>
      <w:r>
        <w:rPr>
          <w:rFonts w:hint="eastAsia" w:ascii="宋体" w:hAnsi="宋体" w:cs="宋体"/>
          <w:b/>
          <w:bCs/>
          <w:color w:val="auto"/>
          <w:sz w:val="24"/>
          <w:szCs w:val="20"/>
          <w:highlight w:val="none"/>
        </w:rPr>
        <w:t>八、评标结果</w:t>
      </w:r>
    </w:p>
    <w:p w14:paraId="2C167ABF">
      <w:pPr>
        <w:spacing w:line="440" w:lineRule="exact"/>
        <w:ind w:firstLine="420" w:firstLineChars="200"/>
        <w:jc w:val="left"/>
        <w:rPr>
          <w:rFonts w:ascii="宋体" w:hAnsi="宋体" w:cs="宋体"/>
          <w:color w:val="auto"/>
          <w:szCs w:val="16"/>
          <w:highlight w:val="none"/>
        </w:rPr>
      </w:pPr>
      <w:r>
        <w:rPr>
          <w:rFonts w:hint="eastAsia" w:ascii="宋体" w:hAnsi="宋体" w:cs="宋体"/>
          <w:color w:val="auto"/>
          <w:szCs w:val="16"/>
          <w:highlight w:val="none"/>
        </w:rPr>
        <w:t>8.1除第二章“投标人须知前附表”授权直接确定中标人外，评标委员会按照得分由高到低的顺序推荐中标候选人，并标明排序。</w:t>
      </w:r>
    </w:p>
    <w:p w14:paraId="08B46CC8">
      <w:pPr>
        <w:spacing w:line="440" w:lineRule="exact"/>
        <w:ind w:firstLine="420" w:firstLineChars="200"/>
        <w:jc w:val="left"/>
        <w:rPr>
          <w:rFonts w:ascii="宋体" w:hAnsi="宋体" w:cs="宋体"/>
          <w:color w:val="auto"/>
          <w:szCs w:val="16"/>
          <w:highlight w:val="none"/>
        </w:rPr>
      </w:pPr>
      <w:r>
        <w:rPr>
          <w:rFonts w:hint="eastAsia" w:ascii="宋体" w:hAnsi="宋体" w:cs="宋体"/>
          <w:color w:val="auto"/>
          <w:szCs w:val="16"/>
          <w:highlight w:val="none"/>
        </w:rPr>
        <w:t>8.2评标报告由评标委员会全体成员签字。对评标结论持有异议的评标委员会成员可以用书面方式阐述不同意见和理由。评标委员会成员拒绝在评标报告上签字且不陈述其不同意见和理由的，可视为同意评标结论。评标委员会将对此做出书面说明并记录在案。</w:t>
      </w:r>
    </w:p>
    <w:p w14:paraId="50E77393">
      <w:pPr>
        <w:spacing w:line="500" w:lineRule="exact"/>
        <w:ind w:firstLine="420" w:firstLineChars="200"/>
        <w:jc w:val="left"/>
        <w:rPr>
          <w:rFonts w:ascii="宋体" w:hAnsi="宋体" w:cs="宋体"/>
          <w:color w:val="auto"/>
          <w:sz w:val="24"/>
          <w:highlight w:val="none"/>
        </w:rPr>
      </w:pPr>
      <w:r>
        <w:rPr>
          <w:rFonts w:hint="eastAsia" w:ascii="宋体" w:hAnsi="宋体" w:cs="宋体"/>
          <w:color w:val="auto"/>
          <w:szCs w:val="16"/>
          <w:highlight w:val="none"/>
        </w:rPr>
        <w:t>8.3</w:t>
      </w:r>
      <w:r>
        <w:rPr>
          <w:rFonts w:hint="eastAsia" w:ascii="宋体" w:hAnsi="宋体" w:cs="宋体"/>
          <w:color w:val="auto"/>
          <w:szCs w:val="16"/>
          <w:highlight w:val="none"/>
          <w:lang w:eastAsia="zh-CN"/>
        </w:rPr>
        <w:t>采购人</w:t>
      </w:r>
      <w:r>
        <w:rPr>
          <w:rFonts w:hint="eastAsia" w:ascii="宋体" w:hAnsi="宋体" w:cs="宋体"/>
          <w:color w:val="auto"/>
          <w:szCs w:val="16"/>
          <w:highlight w:val="none"/>
        </w:rPr>
        <w:t>根据评标委员会书面评标报告，确定中标人。</w:t>
      </w:r>
    </w:p>
    <w:sectPr>
      <w:pgSz w:w="11906" w:h="16838"/>
      <w:pgMar w:top="1440" w:right="1349" w:bottom="1327" w:left="1349" w:header="850" w:footer="907"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FED89">
    <w:pPr>
      <w:pStyle w:val="24"/>
      <w:jc w:val="center"/>
    </w:pPr>
    <w:r>
      <w:fldChar w:fldCharType="begin"/>
    </w:r>
    <w:r>
      <w:instrText xml:space="preserve"> PAGE   \* MERGEFORMAT </w:instrText>
    </w:r>
    <w:r>
      <w:fldChar w:fldCharType="separate"/>
    </w:r>
    <w:r>
      <w:rPr>
        <w:lang w:val="zh-CN"/>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E1646">
    <w:pPr>
      <w:pStyle w:val="24"/>
      <w:tabs>
        <w:tab w:val="left" w:pos="4290"/>
        <w:tab w:val="center" w:pos="4819"/>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2A7D7">
    <w:pPr>
      <w:pStyle w:val="24"/>
      <w:tabs>
        <w:tab w:val="left" w:pos="4290"/>
        <w:tab w:val="center" w:pos="4819"/>
      </w:tabs>
      <w:jc w:val="right"/>
      <w:rPr>
        <w:rFonts w:hint="eastAsia" w:ascii="楷体" w:hAnsi="楷体" w:eastAsia="楷体" w:cs="楷体"/>
        <w:b w:val="0"/>
        <w:bCs w:val="0"/>
        <w:sz w:val="20"/>
        <w:szCs w:val="20"/>
        <w:lang w:val="en-US"/>
      </w:rPr>
    </w:pPr>
    <w:r>
      <w:rPr>
        <w:rFonts w:hint="eastAsia" w:ascii="楷体" w:hAnsi="楷体" w:eastAsia="楷体" w:cs="楷体"/>
        <w:b w:val="0"/>
        <w:bCs w:val="0"/>
        <w:sz w:val="20"/>
        <w:szCs w:val="20"/>
      </w:rP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C89062F">
                <w:pPr>
                  <w:pStyle w:val="24"/>
                </w:pPr>
                <w:r>
                  <w:fldChar w:fldCharType="begin"/>
                </w:r>
                <w:r>
                  <w:instrText xml:space="preserve"> PAGE  \* MERGEFORMAT </w:instrText>
                </w:r>
                <w:r>
                  <w:fldChar w:fldCharType="separate"/>
                </w:r>
                <w:r>
                  <w:t>1</w:t>
                </w:r>
                <w:r>
                  <w:fldChar w:fldCharType="end"/>
                </w:r>
              </w:p>
            </w:txbxContent>
          </v:textbox>
        </v:shape>
      </w:pict>
    </w:r>
    <w:r>
      <w:rPr>
        <w:rFonts w:hint="eastAsia" w:ascii="楷体" w:hAnsi="楷体" w:eastAsia="楷体" w:cs="楷体"/>
        <w:b w:val="0"/>
        <w:bCs w:val="0"/>
        <w:sz w:val="20"/>
        <w:szCs w:val="20"/>
        <w:lang w:val="en-US" w:eastAsia="zh-CN"/>
      </w:rPr>
      <w:t>云南同益工程咨询有限公司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42A95">
    <w:pPr>
      <w:pStyle w:val="24"/>
      <w:tabs>
        <w:tab w:val="left" w:pos="4290"/>
        <w:tab w:val="center" w:pos="4819"/>
      </w:tabs>
      <w:jc w:val="right"/>
      <w:rPr>
        <w:rFonts w:hint="eastAsia" w:ascii="楷体" w:hAnsi="楷体" w:eastAsia="楷体" w:cs="楷体"/>
        <w:b w:val="0"/>
        <w:bCs w:val="0"/>
        <w:sz w:val="20"/>
        <w:szCs w:val="20"/>
        <w:lang w:val="en-US"/>
      </w:rPr>
    </w:pPr>
    <w:r>
      <w:rPr>
        <w:sz w:val="24"/>
      </w:rPr>
      <w:pict>
        <v:shape id="_x0000_s3075" o:spid="_x0000_s3075"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0F510A04">
                <w:pPr>
                  <w:pStyle w:val="24"/>
                </w:pPr>
                <w:r>
                  <w:fldChar w:fldCharType="begin"/>
                </w:r>
                <w:r>
                  <w:instrText xml:space="preserve"> PAGE  \* MERGEFORMAT </w:instrText>
                </w:r>
                <w:r>
                  <w:fldChar w:fldCharType="separate"/>
                </w:r>
                <w:r>
                  <w:t>24</w:t>
                </w:r>
                <w:r>
                  <w:fldChar w:fldCharType="end"/>
                </w:r>
              </w:p>
            </w:txbxContent>
          </v:textbox>
        </v:shape>
      </w:pict>
    </w:r>
    <w:r>
      <w:rPr>
        <w:rFonts w:hint="eastAsia"/>
        <w:sz w:val="24"/>
        <w:szCs w:val="24"/>
        <w:lang w:val="en-US" w:eastAsia="zh-CN"/>
      </w:rPr>
      <w:t xml:space="preserve"> </w:t>
    </w:r>
    <w:r>
      <w:rPr>
        <w:rFonts w:hint="eastAsia" w:ascii="楷体" w:hAnsi="楷体" w:eastAsia="楷体" w:cs="楷体"/>
        <w:b w:val="0"/>
        <w:bCs w:val="0"/>
        <w:sz w:val="20"/>
        <w:szCs w:val="20"/>
        <w:lang w:val="en-US" w:eastAsia="zh-CN"/>
      </w:rPr>
      <w:t>云南同益工程咨询有限公司</w:t>
    </w:r>
  </w:p>
  <w:p w14:paraId="25C60A7C">
    <w:pPr>
      <w:pStyle w:val="15"/>
      <w:spacing w:line="327" w:lineRule="exact"/>
      <w:rPr>
        <w:sz w:val="24"/>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D7276">
    <w:pPr>
      <w:pStyle w:val="25"/>
      <w:pBdr>
        <w:bottom w:val="thickThinSmallGap" w:color="C0C0C0" w:sz="12" w:space="1"/>
      </w:pBdr>
      <w:jc w:val="left"/>
      <w:rPr>
        <w:rFonts w:hint="eastAsia" w:ascii="楷体" w:hAnsi="楷体" w:eastAsia="楷体" w:cs="楷体"/>
        <w:color w:val="000000"/>
        <w:sz w:val="20"/>
        <w:szCs w:val="20"/>
        <w:highlight w:val="none"/>
        <w:lang w:eastAsia="zh-CN"/>
      </w:rPr>
    </w:pPr>
  </w:p>
  <w:p w14:paraId="5785AB90">
    <w:pPr>
      <w:pStyle w:val="25"/>
      <w:pBdr>
        <w:bottom w:val="thickThinSmallGap" w:color="C0C0C0" w:sz="12" w:space="1"/>
      </w:pBdr>
      <w:jc w:val="left"/>
      <w:rPr>
        <w:rFonts w:hint="eastAsia" w:ascii="楷体" w:hAnsi="楷体" w:eastAsia="楷体" w:cs="楷体"/>
        <w:color w:val="000000"/>
        <w:sz w:val="20"/>
        <w:szCs w:val="20"/>
        <w:highlight w:val="none"/>
        <w:lang w:eastAsia="zh-CN"/>
      </w:rPr>
    </w:pPr>
  </w:p>
  <w:p w14:paraId="4D9C9CE4">
    <w:pPr>
      <w:pStyle w:val="25"/>
      <w:pBdr>
        <w:bottom w:val="thickThinSmallGap" w:color="C0C0C0" w:sz="12" w:space="1"/>
      </w:pBdr>
      <w:jc w:val="left"/>
      <w:rPr>
        <w:rFonts w:hint="eastAsia" w:ascii="楷体" w:hAnsi="楷体" w:eastAsia="楷体" w:cs="楷体"/>
        <w:sz w:val="16"/>
        <w:szCs w:val="16"/>
        <w:lang w:val="en-US"/>
      </w:rPr>
    </w:pPr>
    <w:r>
      <w:rPr>
        <w:rFonts w:hint="eastAsia" w:ascii="楷体" w:hAnsi="楷体" w:eastAsia="楷体" w:cs="楷体"/>
        <w:color w:val="000000"/>
        <w:sz w:val="20"/>
        <w:szCs w:val="20"/>
        <w:highlight w:val="none"/>
        <w:lang w:eastAsia="zh-CN"/>
      </w:rPr>
      <w:t>盐津县2025年地方优势特色农业保险采购（二次）</w:t>
    </w:r>
    <w:r>
      <w:rPr>
        <w:rFonts w:hint="eastAsia" w:ascii="楷体" w:hAnsi="楷体" w:eastAsia="楷体" w:cs="楷体"/>
        <w:color w:val="000000"/>
        <w:sz w:val="20"/>
        <w:szCs w:val="20"/>
        <w:highlight w:val="none"/>
        <w:lang w:val="en-US" w:eastAsia="zh-CN"/>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A9BEFE"/>
    <w:multiLevelType w:val="singleLevel"/>
    <w:tmpl w:val="8BA9BEFE"/>
    <w:lvl w:ilvl="0" w:tentative="0">
      <w:start w:val="4"/>
      <w:numFmt w:val="chineseCounting"/>
      <w:suff w:val="nothing"/>
      <w:lvlText w:val="%1、"/>
      <w:lvlJc w:val="left"/>
      <w:rPr>
        <w:rFonts w:hint="eastAsia"/>
      </w:rPr>
    </w:lvl>
  </w:abstractNum>
  <w:abstractNum w:abstractNumId="1">
    <w:nsid w:val="9073D187"/>
    <w:multiLevelType w:val="singleLevel"/>
    <w:tmpl w:val="9073D187"/>
    <w:lvl w:ilvl="0" w:tentative="0">
      <w:start w:val="1"/>
      <w:numFmt w:val="decimal"/>
      <w:suff w:val="nothing"/>
      <w:lvlText w:val="%1、"/>
      <w:lvlJc w:val="left"/>
    </w:lvl>
  </w:abstractNum>
  <w:abstractNum w:abstractNumId="2">
    <w:nsid w:val="D05AC4DE"/>
    <w:multiLevelType w:val="singleLevel"/>
    <w:tmpl w:val="D05AC4DE"/>
    <w:lvl w:ilvl="0" w:tentative="0">
      <w:start w:val="1"/>
      <w:numFmt w:val="decimal"/>
      <w:suff w:val="nothing"/>
      <w:lvlText w:val="%1、"/>
      <w:lvlJc w:val="left"/>
    </w:lvl>
  </w:abstractNum>
  <w:abstractNum w:abstractNumId="3">
    <w:nsid w:val="D18D9D32"/>
    <w:multiLevelType w:val="singleLevel"/>
    <w:tmpl w:val="D18D9D32"/>
    <w:lvl w:ilvl="0" w:tentative="0">
      <w:start w:val="1"/>
      <w:numFmt w:val="chineseCounting"/>
      <w:suff w:val="nothing"/>
      <w:lvlText w:val="（%1）"/>
      <w:lvlJc w:val="left"/>
      <w:rPr>
        <w:rFonts w:hint="eastAsia"/>
      </w:rPr>
    </w:lvl>
  </w:abstractNum>
  <w:abstractNum w:abstractNumId="4">
    <w:nsid w:val="D6C4C824"/>
    <w:multiLevelType w:val="singleLevel"/>
    <w:tmpl w:val="D6C4C824"/>
    <w:lvl w:ilvl="0" w:tentative="0">
      <w:start w:val="1"/>
      <w:numFmt w:val="decimal"/>
      <w:suff w:val="nothing"/>
      <w:lvlText w:val="%1、"/>
      <w:lvlJc w:val="left"/>
    </w:lvl>
  </w:abstractNum>
  <w:abstractNum w:abstractNumId="5">
    <w:nsid w:val="1DE6E175"/>
    <w:multiLevelType w:val="singleLevel"/>
    <w:tmpl w:val="1DE6E175"/>
    <w:lvl w:ilvl="0" w:tentative="0">
      <w:start w:val="4"/>
      <w:numFmt w:val="chineseCounting"/>
      <w:suff w:val="space"/>
      <w:lvlText w:val="第%1章"/>
      <w:lvlJc w:val="left"/>
      <w:rPr>
        <w:rFonts w:hint="eastAsia"/>
      </w:rPr>
    </w:lvl>
  </w:abstractNum>
  <w:abstractNum w:abstractNumId="6">
    <w:nsid w:val="22FC5390"/>
    <w:multiLevelType w:val="multilevel"/>
    <w:tmpl w:val="22FC5390"/>
    <w:lvl w:ilvl="0" w:tentative="0">
      <w:start w:val="1"/>
      <w:numFmt w:val="japaneseCounting"/>
      <w:pStyle w:val="2"/>
      <w:lvlText w:val="第%1章"/>
      <w:lvlJc w:val="left"/>
      <w:pPr>
        <w:ind w:left="2410" w:firstLine="0"/>
      </w:pPr>
      <w:rPr>
        <w:rFonts w:hint="default" w:ascii="Times New Roman" w:hAnsi="Times New Roman" w:cs="Times New Roman"/>
        <w:b w:val="0"/>
        <w:bCs w:val="0"/>
        <w:i w:val="0"/>
        <w:iCs w:val="0"/>
        <w:caps w:val="0"/>
        <w:smallCaps w:val="0"/>
        <w:strike w:val="0"/>
        <w:dstrike w:val="0"/>
        <w:outline w:val="0"/>
        <w:shadow w:val="0"/>
        <w:snapToGrid w:val="0"/>
        <w:color w:val="000000"/>
        <w:spacing w:val="0"/>
        <w:w w:val="0"/>
        <w:kern w:val="0"/>
        <w:position w:val="0"/>
        <w:szCs w:val="16"/>
        <w:u w:val="none"/>
      </w:rPr>
    </w:lvl>
    <w:lvl w:ilvl="1" w:tentative="0">
      <w:start w:val="1"/>
      <w:numFmt w:val="chineseCountingThousand"/>
      <w:pStyle w:val="3"/>
      <w:lvlText w:val="%2、"/>
      <w:lvlJc w:val="left"/>
      <w:pPr>
        <w:ind w:left="4962" w:firstLine="0"/>
      </w:pPr>
      <w:rPr>
        <w:rFonts w:ascii="Times New Roman" w:hAnsi="Times New Roman" w:cs="Times New Roman"/>
        <w:b w:val="0"/>
        <w:bCs w:val="0"/>
        <w:i w:val="0"/>
        <w:iCs w:val="0"/>
        <w:caps w:val="0"/>
        <w:smallCaps w:val="0"/>
        <w:strike w:val="0"/>
        <w:dstrike w:val="0"/>
        <w:outline w:val="0"/>
        <w:shadow w:val="0"/>
        <w:snapToGrid w:val="0"/>
        <w:color w:val="000000"/>
        <w:spacing w:val="0"/>
        <w:w w:val="0"/>
        <w:kern w:val="0"/>
        <w:position w:val="0"/>
        <w:szCs w:val="16"/>
        <w:u w:val="none"/>
      </w:rPr>
    </w:lvl>
    <w:lvl w:ilvl="2" w:tentative="0">
      <w:start w:val="1"/>
      <w:numFmt w:val="decimal"/>
      <w:pStyle w:val="4"/>
      <w:isLgl/>
      <w:suff w:val="nothing"/>
      <w:lvlText w:val="%2.%3"/>
      <w:lvlJc w:val="left"/>
      <w:pPr>
        <w:ind w:left="0" w:firstLine="0"/>
      </w:pPr>
      <w:rPr>
        <w:rFonts w:hint="eastAsia"/>
      </w:rPr>
    </w:lvl>
    <w:lvl w:ilvl="3" w:tentative="0">
      <w:start w:val="1"/>
      <w:numFmt w:val="decimal"/>
      <w:pStyle w:val="5"/>
      <w:isLgl/>
      <w:suff w:val="nothing"/>
      <w:lvlText w:val="%2.%3.%4"/>
      <w:lvlJc w:val="left"/>
      <w:pPr>
        <w:ind w:left="0" w:firstLine="0"/>
      </w:pPr>
      <w:rPr>
        <w:rFonts w:hint="eastAsia"/>
      </w:rPr>
    </w:lvl>
    <w:lvl w:ilvl="4" w:tentative="0">
      <w:start w:val="1"/>
      <w:numFmt w:val="decimal"/>
      <w:pStyle w:val="6"/>
      <w:isLgl/>
      <w:lvlText w:val="%2.%3.%4.%5"/>
      <w:lvlJc w:val="left"/>
      <w:pPr>
        <w:ind w:left="0" w:firstLine="0"/>
      </w:pPr>
      <w:rPr>
        <w:rFonts w:hint="eastAsia"/>
      </w:rPr>
    </w:lvl>
    <w:lvl w:ilvl="5" w:tentative="0">
      <w:start w:val="1"/>
      <w:numFmt w:val="decimal"/>
      <w:pStyle w:val="7"/>
      <w:isLgl/>
      <w:lvlText w:val="%2.%3.%4.%5.%6"/>
      <w:lvlJc w:val="left"/>
      <w:pPr>
        <w:ind w:left="0" w:firstLine="0"/>
      </w:pPr>
      <w:rPr>
        <w:rFonts w:hint="eastAsia"/>
      </w:rPr>
    </w:lvl>
    <w:lvl w:ilvl="6" w:tentative="0">
      <w:start w:val="1"/>
      <w:numFmt w:val="decimal"/>
      <w:pStyle w:val="8"/>
      <w:lvlText w:val="%1.%2.%3.%4.%5.%6.%7"/>
      <w:lvlJc w:val="left"/>
      <w:pPr>
        <w:ind w:left="0" w:firstLine="0"/>
      </w:pPr>
      <w:rPr>
        <w:rFonts w:hint="eastAsia"/>
      </w:rPr>
    </w:lvl>
    <w:lvl w:ilvl="7" w:tentative="0">
      <w:start w:val="1"/>
      <w:numFmt w:val="decimal"/>
      <w:pStyle w:val="9"/>
      <w:lvlText w:val="%1.%2.%3.%4.%5.%6.%7.%8"/>
      <w:lvlJc w:val="left"/>
      <w:pPr>
        <w:ind w:left="0" w:firstLine="0"/>
      </w:pPr>
      <w:rPr>
        <w:rFonts w:hint="eastAsia"/>
      </w:rPr>
    </w:lvl>
    <w:lvl w:ilvl="8" w:tentative="0">
      <w:start w:val="1"/>
      <w:numFmt w:val="decimal"/>
      <w:pStyle w:val="10"/>
      <w:lvlText w:val="%1.%2.%3.%4.%5.%6.%7.%8.%9"/>
      <w:lvlJc w:val="left"/>
      <w:pPr>
        <w:ind w:left="0" w:firstLine="0"/>
      </w:pPr>
      <w:rPr>
        <w:rFonts w:hint="eastAsia"/>
      </w:rPr>
    </w:lvl>
  </w:abstractNum>
  <w:abstractNum w:abstractNumId="7">
    <w:nsid w:val="369709A3"/>
    <w:multiLevelType w:val="multilevel"/>
    <w:tmpl w:val="369709A3"/>
    <w:lvl w:ilvl="0" w:tentative="0">
      <w:start w:val="1"/>
      <w:numFmt w:val="decimal"/>
      <w:pStyle w:val="90"/>
      <w:lvlText w:val="%1."/>
      <w:lvlJc w:val="left"/>
      <w:pPr>
        <w:tabs>
          <w:tab w:val="left" w:pos="600"/>
        </w:tabs>
        <w:ind w:left="610" w:hanging="430"/>
      </w:pPr>
      <w:rPr>
        <w:rFonts w:hint="eastAsia" w:ascii="宋体" w:hAnsi="宋体" w:eastAsia="宋体"/>
      </w:rPr>
    </w:lvl>
    <w:lvl w:ilvl="1" w:tentative="0">
      <w:start w:val="1"/>
      <w:numFmt w:val="decimal"/>
      <w:lvlText w:val="%1.%2"/>
      <w:lvlJc w:val="left"/>
      <w:pPr>
        <w:tabs>
          <w:tab w:val="left" w:pos="700"/>
        </w:tabs>
        <w:ind w:left="700" w:hanging="700"/>
      </w:pPr>
      <w:rPr>
        <w:rFonts w:hint="eastAsia" w:ascii="宋体" w:hAnsi="宋体" w:eastAsia="宋体"/>
        <w:b w:val="0"/>
        <w:color w:val="auto"/>
        <w:sz w:val="28"/>
        <w:szCs w:val="28"/>
      </w:rPr>
    </w:lvl>
    <w:lvl w:ilvl="2" w:tentative="0">
      <w:start w:val="1"/>
      <w:numFmt w:val="decimal"/>
      <w:pStyle w:val="85"/>
      <w:lvlText w:val="%1.%2.%3"/>
      <w:lvlJc w:val="left"/>
      <w:pPr>
        <w:tabs>
          <w:tab w:val="left" w:pos="1142"/>
        </w:tabs>
        <w:ind w:left="1142" w:hanging="1000"/>
      </w:pPr>
      <w:rPr>
        <w:rFonts w:hint="eastAsia"/>
      </w:rPr>
    </w:lvl>
    <w:lvl w:ilvl="3" w:tentative="0">
      <w:start w:val="1"/>
      <w:numFmt w:val="decimal"/>
      <w:lvlText w:val="(%4)"/>
      <w:lvlJc w:val="left"/>
      <w:pPr>
        <w:ind w:left="360" w:hanging="360"/>
      </w:pPr>
      <w:rPr>
        <w:rFonts w:hint="default"/>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8">
    <w:nsid w:val="420C153B"/>
    <w:multiLevelType w:val="multilevel"/>
    <w:tmpl w:val="420C153B"/>
    <w:lvl w:ilvl="0" w:tentative="0">
      <w:start w:val="1"/>
      <w:numFmt w:val="decimal"/>
      <w:pStyle w:val="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7B151701"/>
    <w:multiLevelType w:val="multilevel"/>
    <w:tmpl w:val="7B151701"/>
    <w:lvl w:ilvl="0" w:tentative="0">
      <w:start w:val="1"/>
      <w:numFmt w:val="decimal"/>
      <w:lvlText w:val="%1."/>
      <w:lvlJc w:val="left"/>
      <w:pPr>
        <w:tabs>
          <w:tab w:val="left" w:pos="0"/>
        </w:tabs>
        <w:ind w:left="420" w:hanging="420"/>
      </w:pPr>
      <w:rPr>
        <w:rFonts w:hint="eastAsia"/>
      </w:rPr>
    </w:lvl>
    <w:lvl w:ilvl="1" w:tentative="0">
      <w:start w:val="1"/>
      <w:numFmt w:val="decimal"/>
      <w:pStyle w:val="78"/>
      <w:lvlText w:val="%1.%2"/>
      <w:lvlJc w:val="left"/>
      <w:pPr>
        <w:tabs>
          <w:tab w:val="left" w:pos="700"/>
        </w:tabs>
        <w:ind w:left="700" w:hanging="700"/>
      </w:pPr>
      <w:rPr>
        <w:rFonts w:hint="eastAsia"/>
      </w:rPr>
    </w:lvl>
    <w:lvl w:ilvl="2" w:tentative="0">
      <w:start w:val="1"/>
      <w:numFmt w:val="decimal"/>
      <w:lvlText w:val="%1.%2.%3"/>
      <w:lvlJc w:val="left"/>
      <w:pPr>
        <w:tabs>
          <w:tab w:val="left" w:pos="0"/>
        </w:tabs>
        <w:ind w:left="1418" w:hanging="1418"/>
      </w:pPr>
      <w:rPr>
        <w:rFonts w:hint="eastAsia"/>
      </w:rPr>
    </w:lvl>
    <w:lvl w:ilvl="3" w:tentative="0">
      <w:start w:val="1"/>
      <w:numFmt w:val="decimal"/>
      <w:lvlText w:val="%1.%2.%3.%4"/>
      <w:lvlJc w:val="left"/>
      <w:pPr>
        <w:tabs>
          <w:tab w:val="left" w:pos="0"/>
        </w:tabs>
        <w:ind w:left="1984" w:hanging="1984"/>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6"/>
  </w:num>
  <w:num w:numId="2">
    <w:abstractNumId w:val="9"/>
  </w:num>
  <w:num w:numId="3">
    <w:abstractNumId w:val="7"/>
  </w:num>
  <w:num w:numId="4">
    <w:abstractNumId w:val="8"/>
  </w:num>
  <w:num w:numId="5">
    <w:abstractNumId w:val="0"/>
  </w:num>
  <w:num w:numId="6">
    <w:abstractNumId w:val="1"/>
  </w:num>
  <w:num w:numId="7">
    <w:abstractNumId w:val="2"/>
  </w:num>
  <w:num w:numId="8">
    <w:abstractNumId w:val="4"/>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VjN2FmOGIyZDUyODgzYjA5Nzk2MWNkMGQ3ZDZmMGMifQ=="/>
  </w:docVars>
  <w:rsids>
    <w:rsidRoot w:val="00172A27"/>
    <w:rsid w:val="0000212A"/>
    <w:rsid w:val="00002D7C"/>
    <w:rsid w:val="0000352B"/>
    <w:rsid w:val="00005934"/>
    <w:rsid w:val="0000602A"/>
    <w:rsid w:val="00006208"/>
    <w:rsid w:val="0000634E"/>
    <w:rsid w:val="000100C5"/>
    <w:rsid w:val="0001011E"/>
    <w:rsid w:val="000101EF"/>
    <w:rsid w:val="000102DF"/>
    <w:rsid w:val="00010BE3"/>
    <w:rsid w:val="00010ECD"/>
    <w:rsid w:val="00011944"/>
    <w:rsid w:val="00012A52"/>
    <w:rsid w:val="000220A1"/>
    <w:rsid w:val="00026462"/>
    <w:rsid w:val="00026A3C"/>
    <w:rsid w:val="00026F28"/>
    <w:rsid w:val="00027432"/>
    <w:rsid w:val="000305A7"/>
    <w:rsid w:val="0003102D"/>
    <w:rsid w:val="0003107C"/>
    <w:rsid w:val="00031EDF"/>
    <w:rsid w:val="00032682"/>
    <w:rsid w:val="0003434D"/>
    <w:rsid w:val="0003524F"/>
    <w:rsid w:val="0003682D"/>
    <w:rsid w:val="00036E90"/>
    <w:rsid w:val="00040BE1"/>
    <w:rsid w:val="00040FD9"/>
    <w:rsid w:val="000428CD"/>
    <w:rsid w:val="00044201"/>
    <w:rsid w:val="00045288"/>
    <w:rsid w:val="00045574"/>
    <w:rsid w:val="00051725"/>
    <w:rsid w:val="00053340"/>
    <w:rsid w:val="00053928"/>
    <w:rsid w:val="00053E08"/>
    <w:rsid w:val="00054EE0"/>
    <w:rsid w:val="00055348"/>
    <w:rsid w:val="000553CA"/>
    <w:rsid w:val="000554DE"/>
    <w:rsid w:val="00057865"/>
    <w:rsid w:val="00060517"/>
    <w:rsid w:val="00061D1A"/>
    <w:rsid w:val="000644FE"/>
    <w:rsid w:val="000647E9"/>
    <w:rsid w:val="00065ED1"/>
    <w:rsid w:val="000661B7"/>
    <w:rsid w:val="00066C4F"/>
    <w:rsid w:val="0007008A"/>
    <w:rsid w:val="00070313"/>
    <w:rsid w:val="000704FF"/>
    <w:rsid w:val="000719DD"/>
    <w:rsid w:val="00071BB9"/>
    <w:rsid w:val="00073587"/>
    <w:rsid w:val="00073CAA"/>
    <w:rsid w:val="00075AFC"/>
    <w:rsid w:val="00075BD3"/>
    <w:rsid w:val="00075EF1"/>
    <w:rsid w:val="00077289"/>
    <w:rsid w:val="0008038E"/>
    <w:rsid w:val="00083A34"/>
    <w:rsid w:val="00084426"/>
    <w:rsid w:val="0008471C"/>
    <w:rsid w:val="00090F96"/>
    <w:rsid w:val="0009199D"/>
    <w:rsid w:val="00091A33"/>
    <w:rsid w:val="00091C16"/>
    <w:rsid w:val="00092363"/>
    <w:rsid w:val="000926E2"/>
    <w:rsid w:val="00092834"/>
    <w:rsid w:val="00092ACF"/>
    <w:rsid w:val="0009319B"/>
    <w:rsid w:val="000937A5"/>
    <w:rsid w:val="00095097"/>
    <w:rsid w:val="000961F4"/>
    <w:rsid w:val="0009678B"/>
    <w:rsid w:val="00096910"/>
    <w:rsid w:val="00096DCA"/>
    <w:rsid w:val="000972A2"/>
    <w:rsid w:val="000972CA"/>
    <w:rsid w:val="00097500"/>
    <w:rsid w:val="000A0A0E"/>
    <w:rsid w:val="000A0BCD"/>
    <w:rsid w:val="000A0FA6"/>
    <w:rsid w:val="000A289A"/>
    <w:rsid w:val="000A4DC9"/>
    <w:rsid w:val="000A665E"/>
    <w:rsid w:val="000A72BE"/>
    <w:rsid w:val="000A7F5A"/>
    <w:rsid w:val="000B0658"/>
    <w:rsid w:val="000B0937"/>
    <w:rsid w:val="000B191B"/>
    <w:rsid w:val="000B1D69"/>
    <w:rsid w:val="000B2E13"/>
    <w:rsid w:val="000B3038"/>
    <w:rsid w:val="000B3858"/>
    <w:rsid w:val="000B6E24"/>
    <w:rsid w:val="000B6F0F"/>
    <w:rsid w:val="000B73DD"/>
    <w:rsid w:val="000B79C9"/>
    <w:rsid w:val="000B7A12"/>
    <w:rsid w:val="000B7B7A"/>
    <w:rsid w:val="000C0482"/>
    <w:rsid w:val="000C0E2C"/>
    <w:rsid w:val="000C130B"/>
    <w:rsid w:val="000C2D8C"/>
    <w:rsid w:val="000C47BE"/>
    <w:rsid w:val="000C4ABC"/>
    <w:rsid w:val="000C4D2C"/>
    <w:rsid w:val="000C78D4"/>
    <w:rsid w:val="000C7B06"/>
    <w:rsid w:val="000D060B"/>
    <w:rsid w:val="000D063C"/>
    <w:rsid w:val="000D0DEB"/>
    <w:rsid w:val="000D19DC"/>
    <w:rsid w:val="000D1BCF"/>
    <w:rsid w:val="000D1F8B"/>
    <w:rsid w:val="000D268C"/>
    <w:rsid w:val="000D362C"/>
    <w:rsid w:val="000D4168"/>
    <w:rsid w:val="000D4874"/>
    <w:rsid w:val="000D7860"/>
    <w:rsid w:val="000D7F7E"/>
    <w:rsid w:val="000E02E4"/>
    <w:rsid w:val="000E07B8"/>
    <w:rsid w:val="000E0BD9"/>
    <w:rsid w:val="000E4975"/>
    <w:rsid w:val="000E4A4A"/>
    <w:rsid w:val="000E4EA0"/>
    <w:rsid w:val="000E5E3D"/>
    <w:rsid w:val="000E656C"/>
    <w:rsid w:val="000E6B7A"/>
    <w:rsid w:val="000E7330"/>
    <w:rsid w:val="000F0D97"/>
    <w:rsid w:val="000F18E4"/>
    <w:rsid w:val="000F3C1F"/>
    <w:rsid w:val="000F42EB"/>
    <w:rsid w:val="000F4CD3"/>
    <w:rsid w:val="000F4F84"/>
    <w:rsid w:val="000F7726"/>
    <w:rsid w:val="000F7B4E"/>
    <w:rsid w:val="001020C9"/>
    <w:rsid w:val="001029A1"/>
    <w:rsid w:val="00103823"/>
    <w:rsid w:val="00105783"/>
    <w:rsid w:val="00105A79"/>
    <w:rsid w:val="00105D50"/>
    <w:rsid w:val="00105F4F"/>
    <w:rsid w:val="00107912"/>
    <w:rsid w:val="0011011C"/>
    <w:rsid w:val="00111488"/>
    <w:rsid w:val="00111BB0"/>
    <w:rsid w:val="00112BB2"/>
    <w:rsid w:val="00113056"/>
    <w:rsid w:val="00113521"/>
    <w:rsid w:val="00113A02"/>
    <w:rsid w:val="0011562C"/>
    <w:rsid w:val="00117BCB"/>
    <w:rsid w:val="0012130F"/>
    <w:rsid w:val="00121458"/>
    <w:rsid w:val="001215FC"/>
    <w:rsid w:val="001238AC"/>
    <w:rsid w:val="00125C3B"/>
    <w:rsid w:val="00125D70"/>
    <w:rsid w:val="00126875"/>
    <w:rsid w:val="00126A7D"/>
    <w:rsid w:val="00126E58"/>
    <w:rsid w:val="0012751C"/>
    <w:rsid w:val="0013074C"/>
    <w:rsid w:val="001314C0"/>
    <w:rsid w:val="00133643"/>
    <w:rsid w:val="00133A56"/>
    <w:rsid w:val="00135151"/>
    <w:rsid w:val="00136210"/>
    <w:rsid w:val="00136382"/>
    <w:rsid w:val="001368A6"/>
    <w:rsid w:val="0013787C"/>
    <w:rsid w:val="00140923"/>
    <w:rsid w:val="00141053"/>
    <w:rsid w:val="001417F1"/>
    <w:rsid w:val="001425E0"/>
    <w:rsid w:val="00142CAA"/>
    <w:rsid w:val="0014342A"/>
    <w:rsid w:val="0014649E"/>
    <w:rsid w:val="001465B7"/>
    <w:rsid w:val="0015070E"/>
    <w:rsid w:val="00153838"/>
    <w:rsid w:val="0015471C"/>
    <w:rsid w:val="00155E8A"/>
    <w:rsid w:val="00157059"/>
    <w:rsid w:val="00157B3F"/>
    <w:rsid w:val="00157B90"/>
    <w:rsid w:val="00161D04"/>
    <w:rsid w:val="00162563"/>
    <w:rsid w:val="001672E2"/>
    <w:rsid w:val="00167665"/>
    <w:rsid w:val="001679DA"/>
    <w:rsid w:val="00167DFC"/>
    <w:rsid w:val="00171CFC"/>
    <w:rsid w:val="00171FFB"/>
    <w:rsid w:val="00172A27"/>
    <w:rsid w:val="00172A62"/>
    <w:rsid w:val="00175F55"/>
    <w:rsid w:val="00177D77"/>
    <w:rsid w:val="0018016B"/>
    <w:rsid w:val="00180864"/>
    <w:rsid w:val="00181017"/>
    <w:rsid w:val="00181B9A"/>
    <w:rsid w:val="001848FF"/>
    <w:rsid w:val="00185314"/>
    <w:rsid w:val="001860BD"/>
    <w:rsid w:val="00187F76"/>
    <w:rsid w:val="0019008B"/>
    <w:rsid w:val="001906CF"/>
    <w:rsid w:val="00191489"/>
    <w:rsid w:val="001914EA"/>
    <w:rsid w:val="00192421"/>
    <w:rsid w:val="001933E9"/>
    <w:rsid w:val="00195322"/>
    <w:rsid w:val="00195AEF"/>
    <w:rsid w:val="00195F3D"/>
    <w:rsid w:val="001967E6"/>
    <w:rsid w:val="00197905"/>
    <w:rsid w:val="001A06C1"/>
    <w:rsid w:val="001A1E71"/>
    <w:rsid w:val="001A6A21"/>
    <w:rsid w:val="001A76D6"/>
    <w:rsid w:val="001B09D8"/>
    <w:rsid w:val="001B191C"/>
    <w:rsid w:val="001B1CEE"/>
    <w:rsid w:val="001B31AD"/>
    <w:rsid w:val="001B7CE6"/>
    <w:rsid w:val="001C1C4D"/>
    <w:rsid w:val="001C2025"/>
    <w:rsid w:val="001C293C"/>
    <w:rsid w:val="001C4508"/>
    <w:rsid w:val="001C51B0"/>
    <w:rsid w:val="001C5E1F"/>
    <w:rsid w:val="001C7200"/>
    <w:rsid w:val="001C7331"/>
    <w:rsid w:val="001C7A91"/>
    <w:rsid w:val="001D091C"/>
    <w:rsid w:val="001D3188"/>
    <w:rsid w:val="001D32AF"/>
    <w:rsid w:val="001D336E"/>
    <w:rsid w:val="001D66BE"/>
    <w:rsid w:val="001E08F3"/>
    <w:rsid w:val="001E0FE7"/>
    <w:rsid w:val="001E18F7"/>
    <w:rsid w:val="001E1D14"/>
    <w:rsid w:val="001E472A"/>
    <w:rsid w:val="001E57C1"/>
    <w:rsid w:val="001F07B5"/>
    <w:rsid w:val="001F07FE"/>
    <w:rsid w:val="001F0EEF"/>
    <w:rsid w:val="001F10EC"/>
    <w:rsid w:val="001F40CC"/>
    <w:rsid w:val="001F60FC"/>
    <w:rsid w:val="00200749"/>
    <w:rsid w:val="00200C7F"/>
    <w:rsid w:val="00200EBC"/>
    <w:rsid w:val="002015F9"/>
    <w:rsid w:val="00202C9E"/>
    <w:rsid w:val="00204443"/>
    <w:rsid w:val="00205333"/>
    <w:rsid w:val="00206F54"/>
    <w:rsid w:val="00207881"/>
    <w:rsid w:val="00211564"/>
    <w:rsid w:val="002133A3"/>
    <w:rsid w:val="00213B76"/>
    <w:rsid w:val="00213D51"/>
    <w:rsid w:val="0021598A"/>
    <w:rsid w:val="002169B5"/>
    <w:rsid w:val="0021762B"/>
    <w:rsid w:val="0021773D"/>
    <w:rsid w:val="0021794B"/>
    <w:rsid w:val="0022002B"/>
    <w:rsid w:val="00220E76"/>
    <w:rsid w:val="00221602"/>
    <w:rsid w:val="00222056"/>
    <w:rsid w:val="002225E4"/>
    <w:rsid w:val="00224CB9"/>
    <w:rsid w:val="002258F6"/>
    <w:rsid w:val="002261DE"/>
    <w:rsid w:val="00226400"/>
    <w:rsid w:val="00226521"/>
    <w:rsid w:val="002266D8"/>
    <w:rsid w:val="00226BBD"/>
    <w:rsid w:val="00226BE6"/>
    <w:rsid w:val="002276BA"/>
    <w:rsid w:val="0023450C"/>
    <w:rsid w:val="00235070"/>
    <w:rsid w:val="0023582C"/>
    <w:rsid w:val="00236DAE"/>
    <w:rsid w:val="0024017F"/>
    <w:rsid w:val="002406D4"/>
    <w:rsid w:val="00241AA4"/>
    <w:rsid w:val="00242938"/>
    <w:rsid w:val="0024319D"/>
    <w:rsid w:val="00243B9B"/>
    <w:rsid w:val="00243D49"/>
    <w:rsid w:val="00244129"/>
    <w:rsid w:val="0024513A"/>
    <w:rsid w:val="0024546D"/>
    <w:rsid w:val="00245DFD"/>
    <w:rsid w:val="00247162"/>
    <w:rsid w:val="00247FA9"/>
    <w:rsid w:val="00250B49"/>
    <w:rsid w:val="00254288"/>
    <w:rsid w:val="002551B4"/>
    <w:rsid w:val="00255C90"/>
    <w:rsid w:val="00256A41"/>
    <w:rsid w:val="002578E0"/>
    <w:rsid w:val="00261628"/>
    <w:rsid w:val="0026203C"/>
    <w:rsid w:val="002640F2"/>
    <w:rsid w:val="00266B32"/>
    <w:rsid w:val="002678E8"/>
    <w:rsid w:val="002704AF"/>
    <w:rsid w:val="00271494"/>
    <w:rsid w:val="00271CEC"/>
    <w:rsid w:val="00273A97"/>
    <w:rsid w:val="00274C43"/>
    <w:rsid w:val="0027525A"/>
    <w:rsid w:val="00280817"/>
    <w:rsid w:val="00280B34"/>
    <w:rsid w:val="00282DB6"/>
    <w:rsid w:val="002830D0"/>
    <w:rsid w:val="002846A3"/>
    <w:rsid w:val="00285C09"/>
    <w:rsid w:val="00285EC9"/>
    <w:rsid w:val="00286AC6"/>
    <w:rsid w:val="002872AD"/>
    <w:rsid w:val="002874BE"/>
    <w:rsid w:val="00291C71"/>
    <w:rsid w:val="00296964"/>
    <w:rsid w:val="00297928"/>
    <w:rsid w:val="002A1400"/>
    <w:rsid w:val="002A42CF"/>
    <w:rsid w:val="002A6F6D"/>
    <w:rsid w:val="002A7117"/>
    <w:rsid w:val="002B21DE"/>
    <w:rsid w:val="002B2ADD"/>
    <w:rsid w:val="002B3E46"/>
    <w:rsid w:val="002B4EA8"/>
    <w:rsid w:val="002B5083"/>
    <w:rsid w:val="002B6277"/>
    <w:rsid w:val="002B7609"/>
    <w:rsid w:val="002B7AD0"/>
    <w:rsid w:val="002C1F32"/>
    <w:rsid w:val="002C1F4E"/>
    <w:rsid w:val="002C284D"/>
    <w:rsid w:val="002C3F0E"/>
    <w:rsid w:val="002C5EF8"/>
    <w:rsid w:val="002C61B1"/>
    <w:rsid w:val="002D0D6E"/>
    <w:rsid w:val="002D16FB"/>
    <w:rsid w:val="002D1AE3"/>
    <w:rsid w:val="002D1B3C"/>
    <w:rsid w:val="002D3E26"/>
    <w:rsid w:val="002D57EC"/>
    <w:rsid w:val="002D6791"/>
    <w:rsid w:val="002E05BF"/>
    <w:rsid w:val="002E1359"/>
    <w:rsid w:val="002E1F4A"/>
    <w:rsid w:val="002E6784"/>
    <w:rsid w:val="002E6969"/>
    <w:rsid w:val="002E793B"/>
    <w:rsid w:val="002E7C7B"/>
    <w:rsid w:val="002F1438"/>
    <w:rsid w:val="002F19F6"/>
    <w:rsid w:val="002F1C46"/>
    <w:rsid w:val="002F1E4F"/>
    <w:rsid w:val="002F3305"/>
    <w:rsid w:val="002F3751"/>
    <w:rsid w:val="002F3C7F"/>
    <w:rsid w:val="002F3F9F"/>
    <w:rsid w:val="002F47D3"/>
    <w:rsid w:val="002F59C1"/>
    <w:rsid w:val="002F5C7A"/>
    <w:rsid w:val="002F73C9"/>
    <w:rsid w:val="002F7AA1"/>
    <w:rsid w:val="002F7FB3"/>
    <w:rsid w:val="00300D32"/>
    <w:rsid w:val="0030108C"/>
    <w:rsid w:val="00301E63"/>
    <w:rsid w:val="003033E6"/>
    <w:rsid w:val="003044F3"/>
    <w:rsid w:val="0030504B"/>
    <w:rsid w:val="0030524C"/>
    <w:rsid w:val="00306ED0"/>
    <w:rsid w:val="00310506"/>
    <w:rsid w:val="003106B6"/>
    <w:rsid w:val="003111BC"/>
    <w:rsid w:val="00311461"/>
    <w:rsid w:val="00311C40"/>
    <w:rsid w:val="003142CE"/>
    <w:rsid w:val="00314FA9"/>
    <w:rsid w:val="00315BC4"/>
    <w:rsid w:val="00316374"/>
    <w:rsid w:val="00316968"/>
    <w:rsid w:val="00317278"/>
    <w:rsid w:val="00321DF3"/>
    <w:rsid w:val="00322AC3"/>
    <w:rsid w:val="00323737"/>
    <w:rsid w:val="00323D63"/>
    <w:rsid w:val="00325556"/>
    <w:rsid w:val="00332A3F"/>
    <w:rsid w:val="00333623"/>
    <w:rsid w:val="00333B14"/>
    <w:rsid w:val="00335BB5"/>
    <w:rsid w:val="00336694"/>
    <w:rsid w:val="0034078C"/>
    <w:rsid w:val="00340A42"/>
    <w:rsid w:val="00344BC3"/>
    <w:rsid w:val="00346CCB"/>
    <w:rsid w:val="00347C10"/>
    <w:rsid w:val="00350F97"/>
    <w:rsid w:val="00351308"/>
    <w:rsid w:val="0035159B"/>
    <w:rsid w:val="00352F6E"/>
    <w:rsid w:val="00355D2A"/>
    <w:rsid w:val="00356B8E"/>
    <w:rsid w:val="00357274"/>
    <w:rsid w:val="003577C2"/>
    <w:rsid w:val="003608B8"/>
    <w:rsid w:val="00360A2C"/>
    <w:rsid w:val="0036227A"/>
    <w:rsid w:val="00362AA6"/>
    <w:rsid w:val="00363CED"/>
    <w:rsid w:val="0036496B"/>
    <w:rsid w:val="00365BC4"/>
    <w:rsid w:val="00365EE2"/>
    <w:rsid w:val="003665DB"/>
    <w:rsid w:val="003666E8"/>
    <w:rsid w:val="00366BF0"/>
    <w:rsid w:val="00366D31"/>
    <w:rsid w:val="0037015F"/>
    <w:rsid w:val="003705BB"/>
    <w:rsid w:val="003724F5"/>
    <w:rsid w:val="00372E45"/>
    <w:rsid w:val="00374B60"/>
    <w:rsid w:val="00374ED3"/>
    <w:rsid w:val="003751C3"/>
    <w:rsid w:val="00381E09"/>
    <w:rsid w:val="0038276E"/>
    <w:rsid w:val="003849C3"/>
    <w:rsid w:val="00390591"/>
    <w:rsid w:val="00391F40"/>
    <w:rsid w:val="00393191"/>
    <w:rsid w:val="00393527"/>
    <w:rsid w:val="00393BF0"/>
    <w:rsid w:val="00395B89"/>
    <w:rsid w:val="00397BC3"/>
    <w:rsid w:val="00397BFD"/>
    <w:rsid w:val="003A0004"/>
    <w:rsid w:val="003A0441"/>
    <w:rsid w:val="003A0ABA"/>
    <w:rsid w:val="003A110F"/>
    <w:rsid w:val="003A1AAD"/>
    <w:rsid w:val="003A1FA8"/>
    <w:rsid w:val="003A2F6C"/>
    <w:rsid w:val="003A42B0"/>
    <w:rsid w:val="003A5075"/>
    <w:rsid w:val="003A590A"/>
    <w:rsid w:val="003A636D"/>
    <w:rsid w:val="003A6DED"/>
    <w:rsid w:val="003A7A74"/>
    <w:rsid w:val="003B0A46"/>
    <w:rsid w:val="003B2723"/>
    <w:rsid w:val="003B4919"/>
    <w:rsid w:val="003B5981"/>
    <w:rsid w:val="003B6505"/>
    <w:rsid w:val="003B74AD"/>
    <w:rsid w:val="003C0DB9"/>
    <w:rsid w:val="003C1AF4"/>
    <w:rsid w:val="003C23D8"/>
    <w:rsid w:val="003C26C1"/>
    <w:rsid w:val="003C29B8"/>
    <w:rsid w:val="003C4DCE"/>
    <w:rsid w:val="003C519A"/>
    <w:rsid w:val="003C6336"/>
    <w:rsid w:val="003C6B95"/>
    <w:rsid w:val="003C7F4F"/>
    <w:rsid w:val="003D008A"/>
    <w:rsid w:val="003D0715"/>
    <w:rsid w:val="003D08E2"/>
    <w:rsid w:val="003D3CC7"/>
    <w:rsid w:val="003D3FEA"/>
    <w:rsid w:val="003D4329"/>
    <w:rsid w:val="003D4494"/>
    <w:rsid w:val="003D45BB"/>
    <w:rsid w:val="003D497E"/>
    <w:rsid w:val="003D7418"/>
    <w:rsid w:val="003D7BCD"/>
    <w:rsid w:val="003E0D27"/>
    <w:rsid w:val="003E0FDE"/>
    <w:rsid w:val="003E2CBE"/>
    <w:rsid w:val="003E6364"/>
    <w:rsid w:val="003F13DB"/>
    <w:rsid w:val="003F1643"/>
    <w:rsid w:val="003F23CE"/>
    <w:rsid w:val="003F2CCF"/>
    <w:rsid w:val="003F4915"/>
    <w:rsid w:val="003F5A92"/>
    <w:rsid w:val="003F65C6"/>
    <w:rsid w:val="003F7A93"/>
    <w:rsid w:val="00400B55"/>
    <w:rsid w:val="00405F82"/>
    <w:rsid w:val="00406197"/>
    <w:rsid w:val="004075C2"/>
    <w:rsid w:val="00410449"/>
    <w:rsid w:val="004113F5"/>
    <w:rsid w:val="0041298C"/>
    <w:rsid w:val="00412E0F"/>
    <w:rsid w:val="004130EA"/>
    <w:rsid w:val="004139D1"/>
    <w:rsid w:val="00413DC8"/>
    <w:rsid w:val="0041400F"/>
    <w:rsid w:val="004152D4"/>
    <w:rsid w:val="004156C6"/>
    <w:rsid w:val="004179CA"/>
    <w:rsid w:val="004220FA"/>
    <w:rsid w:val="00425D4D"/>
    <w:rsid w:val="00425EB9"/>
    <w:rsid w:val="004267FE"/>
    <w:rsid w:val="00426C30"/>
    <w:rsid w:val="00427463"/>
    <w:rsid w:val="00430197"/>
    <w:rsid w:val="00430408"/>
    <w:rsid w:val="004327AE"/>
    <w:rsid w:val="00437407"/>
    <w:rsid w:val="0043744B"/>
    <w:rsid w:val="00440544"/>
    <w:rsid w:val="00440F08"/>
    <w:rsid w:val="004426AC"/>
    <w:rsid w:val="004455D0"/>
    <w:rsid w:val="004458AD"/>
    <w:rsid w:val="00445A44"/>
    <w:rsid w:val="00447280"/>
    <w:rsid w:val="00451159"/>
    <w:rsid w:val="00451D65"/>
    <w:rsid w:val="00451F63"/>
    <w:rsid w:val="00453976"/>
    <w:rsid w:val="00455B15"/>
    <w:rsid w:val="00457C71"/>
    <w:rsid w:val="00460F63"/>
    <w:rsid w:val="004611B6"/>
    <w:rsid w:val="00461646"/>
    <w:rsid w:val="00462358"/>
    <w:rsid w:val="0046321E"/>
    <w:rsid w:val="00464189"/>
    <w:rsid w:val="0046438C"/>
    <w:rsid w:val="00464BE4"/>
    <w:rsid w:val="00464D64"/>
    <w:rsid w:val="00473F8C"/>
    <w:rsid w:val="00474FD5"/>
    <w:rsid w:val="004753FA"/>
    <w:rsid w:val="004768A8"/>
    <w:rsid w:val="00481D36"/>
    <w:rsid w:val="00482305"/>
    <w:rsid w:val="004828CF"/>
    <w:rsid w:val="00482F0C"/>
    <w:rsid w:val="0048360F"/>
    <w:rsid w:val="00483BBE"/>
    <w:rsid w:val="004850CF"/>
    <w:rsid w:val="004856C1"/>
    <w:rsid w:val="00486756"/>
    <w:rsid w:val="0048744B"/>
    <w:rsid w:val="00490B84"/>
    <w:rsid w:val="00490E01"/>
    <w:rsid w:val="004948A2"/>
    <w:rsid w:val="00496506"/>
    <w:rsid w:val="00496D19"/>
    <w:rsid w:val="00496F29"/>
    <w:rsid w:val="004A174C"/>
    <w:rsid w:val="004A28D5"/>
    <w:rsid w:val="004A2D3B"/>
    <w:rsid w:val="004A2FC3"/>
    <w:rsid w:val="004A4596"/>
    <w:rsid w:val="004A6407"/>
    <w:rsid w:val="004A6F13"/>
    <w:rsid w:val="004A72FA"/>
    <w:rsid w:val="004B0188"/>
    <w:rsid w:val="004B09ED"/>
    <w:rsid w:val="004B2FF4"/>
    <w:rsid w:val="004B531E"/>
    <w:rsid w:val="004B61A2"/>
    <w:rsid w:val="004B67AD"/>
    <w:rsid w:val="004B6AE2"/>
    <w:rsid w:val="004C105C"/>
    <w:rsid w:val="004C176C"/>
    <w:rsid w:val="004C2E8B"/>
    <w:rsid w:val="004C3A1C"/>
    <w:rsid w:val="004C4E9F"/>
    <w:rsid w:val="004C5F27"/>
    <w:rsid w:val="004C603D"/>
    <w:rsid w:val="004C6221"/>
    <w:rsid w:val="004C639F"/>
    <w:rsid w:val="004C6539"/>
    <w:rsid w:val="004C6B25"/>
    <w:rsid w:val="004C7511"/>
    <w:rsid w:val="004C790F"/>
    <w:rsid w:val="004C79DD"/>
    <w:rsid w:val="004D0D8D"/>
    <w:rsid w:val="004D16BB"/>
    <w:rsid w:val="004D3ECA"/>
    <w:rsid w:val="004D453A"/>
    <w:rsid w:val="004D5A5A"/>
    <w:rsid w:val="004D6919"/>
    <w:rsid w:val="004D75C0"/>
    <w:rsid w:val="004D7B41"/>
    <w:rsid w:val="004E1153"/>
    <w:rsid w:val="004E1A94"/>
    <w:rsid w:val="004E27C7"/>
    <w:rsid w:val="004E3196"/>
    <w:rsid w:val="004E35FC"/>
    <w:rsid w:val="004E364F"/>
    <w:rsid w:val="004E3F30"/>
    <w:rsid w:val="004E4996"/>
    <w:rsid w:val="004E5353"/>
    <w:rsid w:val="004E547C"/>
    <w:rsid w:val="004E5CFF"/>
    <w:rsid w:val="004E65C2"/>
    <w:rsid w:val="004E6949"/>
    <w:rsid w:val="004E7FC0"/>
    <w:rsid w:val="004F1521"/>
    <w:rsid w:val="004F23A8"/>
    <w:rsid w:val="004F30A4"/>
    <w:rsid w:val="004F6112"/>
    <w:rsid w:val="00500313"/>
    <w:rsid w:val="0050117C"/>
    <w:rsid w:val="00501D7A"/>
    <w:rsid w:val="00503190"/>
    <w:rsid w:val="00503E94"/>
    <w:rsid w:val="0050557C"/>
    <w:rsid w:val="005056F5"/>
    <w:rsid w:val="00506C99"/>
    <w:rsid w:val="00507801"/>
    <w:rsid w:val="00507BEB"/>
    <w:rsid w:val="00510160"/>
    <w:rsid w:val="00511395"/>
    <w:rsid w:val="00512CA9"/>
    <w:rsid w:val="00513321"/>
    <w:rsid w:val="005134CD"/>
    <w:rsid w:val="0051475A"/>
    <w:rsid w:val="00514A99"/>
    <w:rsid w:val="00520215"/>
    <w:rsid w:val="0052250F"/>
    <w:rsid w:val="00522653"/>
    <w:rsid w:val="005232BB"/>
    <w:rsid w:val="00524039"/>
    <w:rsid w:val="0052435F"/>
    <w:rsid w:val="0052521B"/>
    <w:rsid w:val="0052585B"/>
    <w:rsid w:val="00525996"/>
    <w:rsid w:val="00527959"/>
    <w:rsid w:val="00527A22"/>
    <w:rsid w:val="00530A22"/>
    <w:rsid w:val="00530EF5"/>
    <w:rsid w:val="00533776"/>
    <w:rsid w:val="00533999"/>
    <w:rsid w:val="00536269"/>
    <w:rsid w:val="00536685"/>
    <w:rsid w:val="005374CA"/>
    <w:rsid w:val="005408B8"/>
    <w:rsid w:val="005409DF"/>
    <w:rsid w:val="0054104E"/>
    <w:rsid w:val="00541CB1"/>
    <w:rsid w:val="00543326"/>
    <w:rsid w:val="005433F3"/>
    <w:rsid w:val="00543997"/>
    <w:rsid w:val="00544DD2"/>
    <w:rsid w:val="0054617E"/>
    <w:rsid w:val="005463B3"/>
    <w:rsid w:val="005465EA"/>
    <w:rsid w:val="00551300"/>
    <w:rsid w:val="005513A1"/>
    <w:rsid w:val="0055160B"/>
    <w:rsid w:val="00551DC8"/>
    <w:rsid w:val="005523B3"/>
    <w:rsid w:val="00552C6E"/>
    <w:rsid w:val="00552D5C"/>
    <w:rsid w:val="0055347B"/>
    <w:rsid w:val="005534C7"/>
    <w:rsid w:val="00554FCF"/>
    <w:rsid w:val="005570EC"/>
    <w:rsid w:val="00557206"/>
    <w:rsid w:val="005578EE"/>
    <w:rsid w:val="00557F7A"/>
    <w:rsid w:val="00557FD7"/>
    <w:rsid w:val="00562AF3"/>
    <w:rsid w:val="00564E76"/>
    <w:rsid w:val="00566290"/>
    <w:rsid w:val="00566466"/>
    <w:rsid w:val="0056715C"/>
    <w:rsid w:val="0057158F"/>
    <w:rsid w:val="00574097"/>
    <w:rsid w:val="00575742"/>
    <w:rsid w:val="005757EC"/>
    <w:rsid w:val="00581EAE"/>
    <w:rsid w:val="00587044"/>
    <w:rsid w:val="005905B0"/>
    <w:rsid w:val="00590E12"/>
    <w:rsid w:val="00592118"/>
    <w:rsid w:val="00592E7F"/>
    <w:rsid w:val="0059345A"/>
    <w:rsid w:val="005949D4"/>
    <w:rsid w:val="00596B59"/>
    <w:rsid w:val="00597F73"/>
    <w:rsid w:val="005A04EE"/>
    <w:rsid w:val="005A1EAA"/>
    <w:rsid w:val="005A2C89"/>
    <w:rsid w:val="005A3B83"/>
    <w:rsid w:val="005A430A"/>
    <w:rsid w:val="005A4630"/>
    <w:rsid w:val="005A4A2D"/>
    <w:rsid w:val="005A4CF2"/>
    <w:rsid w:val="005A5722"/>
    <w:rsid w:val="005A5FDB"/>
    <w:rsid w:val="005A6178"/>
    <w:rsid w:val="005B03EA"/>
    <w:rsid w:val="005B0DB4"/>
    <w:rsid w:val="005B1A7F"/>
    <w:rsid w:val="005B1F5E"/>
    <w:rsid w:val="005B2C43"/>
    <w:rsid w:val="005B3343"/>
    <w:rsid w:val="005B37BE"/>
    <w:rsid w:val="005B51CD"/>
    <w:rsid w:val="005B5D62"/>
    <w:rsid w:val="005B642A"/>
    <w:rsid w:val="005B6CBB"/>
    <w:rsid w:val="005B75E7"/>
    <w:rsid w:val="005B7B28"/>
    <w:rsid w:val="005C2B14"/>
    <w:rsid w:val="005C2B7F"/>
    <w:rsid w:val="005C2C95"/>
    <w:rsid w:val="005C42E8"/>
    <w:rsid w:val="005C5CE4"/>
    <w:rsid w:val="005C5D9A"/>
    <w:rsid w:val="005C70EE"/>
    <w:rsid w:val="005D0565"/>
    <w:rsid w:val="005D2111"/>
    <w:rsid w:val="005D2962"/>
    <w:rsid w:val="005D42B8"/>
    <w:rsid w:val="005D5E3C"/>
    <w:rsid w:val="005D7ECA"/>
    <w:rsid w:val="005E0003"/>
    <w:rsid w:val="005E09DA"/>
    <w:rsid w:val="005E1FEC"/>
    <w:rsid w:val="005E3AD0"/>
    <w:rsid w:val="005E43C4"/>
    <w:rsid w:val="005E4780"/>
    <w:rsid w:val="005E4E9E"/>
    <w:rsid w:val="005E54E8"/>
    <w:rsid w:val="005E5C9A"/>
    <w:rsid w:val="005E7C87"/>
    <w:rsid w:val="005F047E"/>
    <w:rsid w:val="005F07E2"/>
    <w:rsid w:val="005F342C"/>
    <w:rsid w:val="005F3FAB"/>
    <w:rsid w:val="005F5FDC"/>
    <w:rsid w:val="005F7BC6"/>
    <w:rsid w:val="006012AC"/>
    <w:rsid w:val="00603585"/>
    <w:rsid w:val="006036C0"/>
    <w:rsid w:val="00605038"/>
    <w:rsid w:val="00605182"/>
    <w:rsid w:val="00606C27"/>
    <w:rsid w:val="00606C42"/>
    <w:rsid w:val="00607928"/>
    <w:rsid w:val="006117AD"/>
    <w:rsid w:val="0061289B"/>
    <w:rsid w:val="006153BC"/>
    <w:rsid w:val="00617DD8"/>
    <w:rsid w:val="00621B31"/>
    <w:rsid w:val="00622013"/>
    <w:rsid w:val="00622675"/>
    <w:rsid w:val="006234C0"/>
    <w:rsid w:val="00623DFD"/>
    <w:rsid w:val="0062468C"/>
    <w:rsid w:val="00625337"/>
    <w:rsid w:val="00625F02"/>
    <w:rsid w:val="00630047"/>
    <w:rsid w:val="0063180D"/>
    <w:rsid w:val="006349C1"/>
    <w:rsid w:val="006352B7"/>
    <w:rsid w:val="00635BA3"/>
    <w:rsid w:val="00635CC4"/>
    <w:rsid w:val="006408B8"/>
    <w:rsid w:val="00641D67"/>
    <w:rsid w:val="00641EC8"/>
    <w:rsid w:val="006424CC"/>
    <w:rsid w:val="00642C80"/>
    <w:rsid w:val="00644654"/>
    <w:rsid w:val="00644D3F"/>
    <w:rsid w:val="006457CE"/>
    <w:rsid w:val="00645924"/>
    <w:rsid w:val="0064612B"/>
    <w:rsid w:val="006475D8"/>
    <w:rsid w:val="00647767"/>
    <w:rsid w:val="00647E04"/>
    <w:rsid w:val="00650B2D"/>
    <w:rsid w:val="006512E2"/>
    <w:rsid w:val="0065280F"/>
    <w:rsid w:val="00652A32"/>
    <w:rsid w:val="00654D8F"/>
    <w:rsid w:val="0065620A"/>
    <w:rsid w:val="00657336"/>
    <w:rsid w:val="00660325"/>
    <w:rsid w:val="006603E6"/>
    <w:rsid w:val="00660D3E"/>
    <w:rsid w:val="00660FEC"/>
    <w:rsid w:val="00661FED"/>
    <w:rsid w:val="00663F07"/>
    <w:rsid w:val="00664AE5"/>
    <w:rsid w:val="0066531A"/>
    <w:rsid w:val="00665482"/>
    <w:rsid w:val="006729E5"/>
    <w:rsid w:val="00673FEC"/>
    <w:rsid w:val="00676F08"/>
    <w:rsid w:val="00681A7C"/>
    <w:rsid w:val="006832D6"/>
    <w:rsid w:val="006864EC"/>
    <w:rsid w:val="006869AE"/>
    <w:rsid w:val="006875CF"/>
    <w:rsid w:val="00692713"/>
    <w:rsid w:val="00692FD8"/>
    <w:rsid w:val="00693551"/>
    <w:rsid w:val="0069360C"/>
    <w:rsid w:val="00693D97"/>
    <w:rsid w:val="006945C6"/>
    <w:rsid w:val="006954CE"/>
    <w:rsid w:val="00696068"/>
    <w:rsid w:val="0069648D"/>
    <w:rsid w:val="00696607"/>
    <w:rsid w:val="006967E9"/>
    <w:rsid w:val="006975C6"/>
    <w:rsid w:val="006A20DD"/>
    <w:rsid w:val="006A6029"/>
    <w:rsid w:val="006A60B5"/>
    <w:rsid w:val="006B0816"/>
    <w:rsid w:val="006B1A43"/>
    <w:rsid w:val="006B5673"/>
    <w:rsid w:val="006B7413"/>
    <w:rsid w:val="006B7581"/>
    <w:rsid w:val="006C2068"/>
    <w:rsid w:val="006C2631"/>
    <w:rsid w:val="006C2DCC"/>
    <w:rsid w:val="006C40F3"/>
    <w:rsid w:val="006C5769"/>
    <w:rsid w:val="006D1BDF"/>
    <w:rsid w:val="006D3804"/>
    <w:rsid w:val="006D4F34"/>
    <w:rsid w:val="006D56D9"/>
    <w:rsid w:val="006D780C"/>
    <w:rsid w:val="006D7E32"/>
    <w:rsid w:val="006E0947"/>
    <w:rsid w:val="006E2C93"/>
    <w:rsid w:val="006E5E97"/>
    <w:rsid w:val="006E6A81"/>
    <w:rsid w:val="006F0DB6"/>
    <w:rsid w:val="006F12E0"/>
    <w:rsid w:val="006F1858"/>
    <w:rsid w:val="006F6F9D"/>
    <w:rsid w:val="00700A6E"/>
    <w:rsid w:val="007012D7"/>
    <w:rsid w:val="00701DF0"/>
    <w:rsid w:val="007072BD"/>
    <w:rsid w:val="00710DAE"/>
    <w:rsid w:val="00711398"/>
    <w:rsid w:val="00712D01"/>
    <w:rsid w:val="007147AF"/>
    <w:rsid w:val="0071549A"/>
    <w:rsid w:val="00715B36"/>
    <w:rsid w:val="00716E46"/>
    <w:rsid w:val="007211D8"/>
    <w:rsid w:val="00721B1E"/>
    <w:rsid w:val="007220A6"/>
    <w:rsid w:val="007237B3"/>
    <w:rsid w:val="00726CDF"/>
    <w:rsid w:val="00727AC8"/>
    <w:rsid w:val="00727B97"/>
    <w:rsid w:val="00730814"/>
    <w:rsid w:val="007316DA"/>
    <w:rsid w:val="0073233F"/>
    <w:rsid w:val="00732835"/>
    <w:rsid w:val="007365B8"/>
    <w:rsid w:val="007368BB"/>
    <w:rsid w:val="007369F8"/>
    <w:rsid w:val="00736BF3"/>
    <w:rsid w:val="00740BBC"/>
    <w:rsid w:val="00740E8F"/>
    <w:rsid w:val="007421A9"/>
    <w:rsid w:val="007431AE"/>
    <w:rsid w:val="00744627"/>
    <w:rsid w:val="007446F7"/>
    <w:rsid w:val="007450AD"/>
    <w:rsid w:val="00746311"/>
    <w:rsid w:val="00747A5A"/>
    <w:rsid w:val="007504E6"/>
    <w:rsid w:val="00751077"/>
    <w:rsid w:val="007513A8"/>
    <w:rsid w:val="007520A4"/>
    <w:rsid w:val="007523A9"/>
    <w:rsid w:val="007525DB"/>
    <w:rsid w:val="00756005"/>
    <w:rsid w:val="00757CE8"/>
    <w:rsid w:val="00760B31"/>
    <w:rsid w:val="00760ED7"/>
    <w:rsid w:val="00761A0A"/>
    <w:rsid w:val="00761CE0"/>
    <w:rsid w:val="0076223C"/>
    <w:rsid w:val="0076451D"/>
    <w:rsid w:val="00766BDB"/>
    <w:rsid w:val="007676A8"/>
    <w:rsid w:val="00770660"/>
    <w:rsid w:val="00770822"/>
    <w:rsid w:val="00772B1F"/>
    <w:rsid w:val="007735FA"/>
    <w:rsid w:val="00773F09"/>
    <w:rsid w:val="00774198"/>
    <w:rsid w:val="00775C99"/>
    <w:rsid w:val="00776DBC"/>
    <w:rsid w:val="00777AF1"/>
    <w:rsid w:val="00780899"/>
    <w:rsid w:val="00781404"/>
    <w:rsid w:val="007826FC"/>
    <w:rsid w:val="00783A46"/>
    <w:rsid w:val="007844F9"/>
    <w:rsid w:val="00784813"/>
    <w:rsid w:val="007864BE"/>
    <w:rsid w:val="007875D3"/>
    <w:rsid w:val="00790C34"/>
    <w:rsid w:val="00790EC6"/>
    <w:rsid w:val="00791623"/>
    <w:rsid w:val="00791740"/>
    <w:rsid w:val="00792009"/>
    <w:rsid w:val="00792360"/>
    <w:rsid w:val="00793259"/>
    <w:rsid w:val="0079465E"/>
    <w:rsid w:val="00794A4C"/>
    <w:rsid w:val="00795820"/>
    <w:rsid w:val="0079605B"/>
    <w:rsid w:val="00797480"/>
    <w:rsid w:val="007A1D5A"/>
    <w:rsid w:val="007A3CA0"/>
    <w:rsid w:val="007A5D7A"/>
    <w:rsid w:val="007A5EDB"/>
    <w:rsid w:val="007A69A6"/>
    <w:rsid w:val="007A6CAB"/>
    <w:rsid w:val="007A6CFD"/>
    <w:rsid w:val="007B0A15"/>
    <w:rsid w:val="007B1543"/>
    <w:rsid w:val="007B1975"/>
    <w:rsid w:val="007B2F9F"/>
    <w:rsid w:val="007B30D1"/>
    <w:rsid w:val="007B34BD"/>
    <w:rsid w:val="007B39D1"/>
    <w:rsid w:val="007B3E37"/>
    <w:rsid w:val="007B4BF8"/>
    <w:rsid w:val="007B57F5"/>
    <w:rsid w:val="007B5998"/>
    <w:rsid w:val="007B5B08"/>
    <w:rsid w:val="007B62B3"/>
    <w:rsid w:val="007B76EE"/>
    <w:rsid w:val="007B7F6F"/>
    <w:rsid w:val="007C0B0B"/>
    <w:rsid w:val="007C17DC"/>
    <w:rsid w:val="007C1FC0"/>
    <w:rsid w:val="007C272C"/>
    <w:rsid w:val="007C368D"/>
    <w:rsid w:val="007C5E6B"/>
    <w:rsid w:val="007C6C6D"/>
    <w:rsid w:val="007D2ED5"/>
    <w:rsid w:val="007D4889"/>
    <w:rsid w:val="007D63DF"/>
    <w:rsid w:val="007D6D7B"/>
    <w:rsid w:val="007D70CE"/>
    <w:rsid w:val="007D79ED"/>
    <w:rsid w:val="007E01DC"/>
    <w:rsid w:val="007E2884"/>
    <w:rsid w:val="007E2A40"/>
    <w:rsid w:val="007E64EC"/>
    <w:rsid w:val="007F05A5"/>
    <w:rsid w:val="007F0867"/>
    <w:rsid w:val="007F2A69"/>
    <w:rsid w:val="007F321C"/>
    <w:rsid w:val="007F52CE"/>
    <w:rsid w:val="007F58CE"/>
    <w:rsid w:val="007F5C3F"/>
    <w:rsid w:val="007F694E"/>
    <w:rsid w:val="008003EB"/>
    <w:rsid w:val="00801934"/>
    <w:rsid w:val="00803588"/>
    <w:rsid w:val="008050F7"/>
    <w:rsid w:val="00805AC8"/>
    <w:rsid w:val="00805DD5"/>
    <w:rsid w:val="008071C2"/>
    <w:rsid w:val="00811183"/>
    <w:rsid w:val="00813EFA"/>
    <w:rsid w:val="00814FB2"/>
    <w:rsid w:val="0081636D"/>
    <w:rsid w:val="008169DF"/>
    <w:rsid w:val="0082090B"/>
    <w:rsid w:val="008216D4"/>
    <w:rsid w:val="008217AD"/>
    <w:rsid w:val="008221F7"/>
    <w:rsid w:val="00822B4E"/>
    <w:rsid w:val="00824699"/>
    <w:rsid w:val="00827AEC"/>
    <w:rsid w:val="00830A78"/>
    <w:rsid w:val="00830C3D"/>
    <w:rsid w:val="00832D38"/>
    <w:rsid w:val="008346F7"/>
    <w:rsid w:val="00836C34"/>
    <w:rsid w:val="00837247"/>
    <w:rsid w:val="00837457"/>
    <w:rsid w:val="00840DDE"/>
    <w:rsid w:val="00842047"/>
    <w:rsid w:val="0084243A"/>
    <w:rsid w:val="00842E75"/>
    <w:rsid w:val="00843B66"/>
    <w:rsid w:val="00844542"/>
    <w:rsid w:val="00844D22"/>
    <w:rsid w:val="008458A9"/>
    <w:rsid w:val="008458B8"/>
    <w:rsid w:val="00845B3C"/>
    <w:rsid w:val="00847615"/>
    <w:rsid w:val="00853947"/>
    <w:rsid w:val="00853AB4"/>
    <w:rsid w:val="0085423A"/>
    <w:rsid w:val="00854D6C"/>
    <w:rsid w:val="0085593C"/>
    <w:rsid w:val="00855BB0"/>
    <w:rsid w:val="00855EA4"/>
    <w:rsid w:val="00856210"/>
    <w:rsid w:val="00856397"/>
    <w:rsid w:val="008604AA"/>
    <w:rsid w:val="008609D4"/>
    <w:rsid w:val="00861471"/>
    <w:rsid w:val="0086160D"/>
    <w:rsid w:val="00862DB5"/>
    <w:rsid w:val="008647BC"/>
    <w:rsid w:val="00864965"/>
    <w:rsid w:val="00865012"/>
    <w:rsid w:val="008652DB"/>
    <w:rsid w:val="00867369"/>
    <w:rsid w:val="0087058E"/>
    <w:rsid w:val="0088290C"/>
    <w:rsid w:val="00882D96"/>
    <w:rsid w:val="008834C8"/>
    <w:rsid w:val="00887783"/>
    <w:rsid w:val="00887AA5"/>
    <w:rsid w:val="00890AAC"/>
    <w:rsid w:val="00891DD4"/>
    <w:rsid w:val="00894EB3"/>
    <w:rsid w:val="0089544C"/>
    <w:rsid w:val="00895F4C"/>
    <w:rsid w:val="008A0806"/>
    <w:rsid w:val="008A0FD1"/>
    <w:rsid w:val="008A29FE"/>
    <w:rsid w:val="008A462D"/>
    <w:rsid w:val="008A49B2"/>
    <w:rsid w:val="008A4A5E"/>
    <w:rsid w:val="008A4C9D"/>
    <w:rsid w:val="008A69AB"/>
    <w:rsid w:val="008A6EF6"/>
    <w:rsid w:val="008B00F1"/>
    <w:rsid w:val="008B0B9A"/>
    <w:rsid w:val="008B0B9B"/>
    <w:rsid w:val="008B0CD0"/>
    <w:rsid w:val="008B24C4"/>
    <w:rsid w:val="008B26C4"/>
    <w:rsid w:val="008B4963"/>
    <w:rsid w:val="008B5E48"/>
    <w:rsid w:val="008B764D"/>
    <w:rsid w:val="008C16BB"/>
    <w:rsid w:val="008C2402"/>
    <w:rsid w:val="008C5F2C"/>
    <w:rsid w:val="008C66BD"/>
    <w:rsid w:val="008D0013"/>
    <w:rsid w:val="008D07C6"/>
    <w:rsid w:val="008D232E"/>
    <w:rsid w:val="008D2A3C"/>
    <w:rsid w:val="008D3CE4"/>
    <w:rsid w:val="008E2D6E"/>
    <w:rsid w:val="008E3404"/>
    <w:rsid w:val="008E3ABF"/>
    <w:rsid w:val="008E4FE6"/>
    <w:rsid w:val="008E661B"/>
    <w:rsid w:val="008F038E"/>
    <w:rsid w:val="008F10ED"/>
    <w:rsid w:val="008F16C3"/>
    <w:rsid w:val="008F22A0"/>
    <w:rsid w:val="008F3626"/>
    <w:rsid w:val="008F44CC"/>
    <w:rsid w:val="008F47AD"/>
    <w:rsid w:val="008F54F9"/>
    <w:rsid w:val="008F68C1"/>
    <w:rsid w:val="00900B41"/>
    <w:rsid w:val="00901150"/>
    <w:rsid w:val="009034A9"/>
    <w:rsid w:val="00903FCF"/>
    <w:rsid w:val="00904100"/>
    <w:rsid w:val="00905111"/>
    <w:rsid w:val="00905C01"/>
    <w:rsid w:val="009065D7"/>
    <w:rsid w:val="009109AB"/>
    <w:rsid w:val="00911F7C"/>
    <w:rsid w:val="00912600"/>
    <w:rsid w:val="00912859"/>
    <w:rsid w:val="0091302B"/>
    <w:rsid w:val="00915B23"/>
    <w:rsid w:val="00915F86"/>
    <w:rsid w:val="009162F3"/>
    <w:rsid w:val="00917AB3"/>
    <w:rsid w:val="00917F23"/>
    <w:rsid w:val="00920A53"/>
    <w:rsid w:val="00924608"/>
    <w:rsid w:val="00924849"/>
    <w:rsid w:val="00924ACA"/>
    <w:rsid w:val="0092528B"/>
    <w:rsid w:val="009267D0"/>
    <w:rsid w:val="0092698D"/>
    <w:rsid w:val="009275C4"/>
    <w:rsid w:val="00932DBF"/>
    <w:rsid w:val="00933820"/>
    <w:rsid w:val="00934AE0"/>
    <w:rsid w:val="00934F39"/>
    <w:rsid w:val="00935EB4"/>
    <w:rsid w:val="00936875"/>
    <w:rsid w:val="00937B05"/>
    <w:rsid w:val="0094032B"/>
    <w:rsid w:val="009407A1"/>
    <w:rsid w:val="0094241A"/>
    <w:rsid w:val="0094270D"/>
    <w:rsid w:val="00944F06"/>
    <w:rsid w:val="0094525F"/>
    <w:rsid w:val="00945A90"/>
    <w:rsid w:val="009466BC"/>
    <w:rsid w:val="00946E92"/>
    <w:rsid w:val="00947817"/>
    <w:rsid w:val="00947863"/>
    <w:rsid w:val="009500A3"/>
    <w:rsid w:val="009516C2"/>
    <w:rsid w:val="00952082"/>
    <w:rsid w:val="00952248"/>
    <w:rsid w:val="00953A74"/>
    <w:rsid w:val="00954C7C"/>
    <w:rsid w:val="009554B7"/>
    <w:rsid w:val="00955613"/>
    <w:rsid w:val="00955C15"/>
    <w:rsid w:val="009562DF"/>
    <w:rsid w:val="009574D7"/>
    <w:rsid w:val="0096046C"/>
    <w:rsid w:val="00960DD1"/>
    <w:rsid w:val="00960E86"/>
    <w:rsid w:val="00961F63"/>
    <w:rsid w:val="00964A01"/>
    <w:rsid w:val="00964C35"/>
    <w:rsid w:val="00964D4F"/>
    <w:rsid w:val="00965E18"/>
    <w:rsid w:val="0096679B"/>
    <w:rsid w:val="00967D21"/>
    <w:rsid w:val="00972E6B"/>
    <w:rsid w:val="009734F9"/>
    <w:rsid w:val="009751BE"/>
    <w:rsid w:val="00975628"/>
    <w:rsid w:val="00980B2F"/>
    <w:rsid w:val="0098273E"/>
    <w:rsid w:val="00982908"/>
    <w:rsid w:val="00984E10"/>
    <w:rsid w:val="00985028"/>
    <w:rsid w:val="009850F4"/>
    <w:rsid w:val="009852C7"/>
    <w:rsid w:val="0098725C"/>
    <w:rsid w:val="00990C53"/>
    <w:rsid w:val="009920F8"/>
    <w:rsid w:val="00992F00"/>
    <w:rsid w:val="00993C80"/>
    <w:rsid w:val="00993CF9"/>
    <w:rsid w:val="00993E85"/>
    <w:rsid w:val="009944A8"/>
    <w:rsid w:val="00996000"/>
    <w:rsid w:val="00996887"/>
    <w:rsid w:val="00996EFC"/>
    <w:rsid w:val="00997D30"/>
    <w:rsid w:val="009A1D3A"/>
    <w:rsid w:val="009A446B"/>
    <w:rsid w:val="009A455F"/>
    <w:rsid w:val="009A4932"/>
    <w:rsid w:val="009A51E6"/>
    <w:rsid w:val="009A5852"/>
    <w:rsid w:val="009A692A"/>
    <w:rsid w:val="009A694E"/>
    <w:rsid w:val="009B18E1"/>
    <w:rsid w:val="009B2C2C"/>
    <w:rsid w:val="009B2F56"/>
    <w:rsid w:val="009B3F4C"/>
    <w:rsid w:val="009B4EB2"/>
    <w:rsid w:val="009B6859"/>
    <w:rsid w:val="009B70C3"/>
    <w:rsid w:val="009B792F"/>
    <w:rsid w:val="009C1BBA"/>
    <w:rsid w:val="009C2782"/>
    <w:rsid w:val="009C3CC5"/>
    <w:rsid w:val="009C522F"/>
    <w:rsid w:val="009C5F20"/>
    <w:rsid w:val="009C6F31"/>
    <w:rsid w:val="009D04F3"/>
    <w:rsid w:val="009D247C"/>
    <w:rsid w:val="009D50EC"/>
    <w:rsid w:val="009E0310"/>
    <w:rsid w:val="009E1456"/>
    <w:rsid w:val="009E262C"/>
    <w:rsid w:val="009E4E33"/>
    <w:rsid w:val="009E535F"/>
    <w:rsid w:val="009E5443"/>
    <w:rsid w:val="009E54BF"/>
    <w:rsid w:val="009E60E9"/>
    <w:rsid w:val="009E648B"/>
    <w:rsid w:val="009F113E"/>
    <w:rsid w:val="009F1DBE"/>
    <w:rsid w:val="009F28B4"/>
    <w:rsid w:val="009F295B"/>
    <w:rsid w:val="009F43F5"/>
    <w:rsid w:val="009F73CB"/>
    <w:rsid w:val="009F78FF"/>
    <w:rsid w:val="00A01D55"/>
    <w:rsid w:val="00A0318A"/>
    <w:rsid w:val="00A06793"/>
    <w:rsid w:val="00A06A25"/>
    <w:rsid w:val="00A10523"/>
    <w:rsid w:val="00A112A7"/>
    <w:rsid w:val="00A13D35"/>
    <w:rsid w:val="00A168D8"/>
    <w:rsid w:val="00A16EEB"/>
    <w:rsid w:val="00A17237"/>
    <w:rsid w:val="00A1773B"/>
    <w:rsid w:val="00A212E1"/>
    <w:rsid w:val="00A22B76"/>
    <w:rsid w:val="00A24105"/>
    <w:rsid w:val="00A24864"/>
    <w:rsid w:val="00A24FE6"/>
    <w:rsid w:val="00A25AD8"/>
    <w:rsid w:val="00A25BB8"/>
    <w:rsid w:val="00A26740"/>
    <w:rsid w:val="00A26A48"/>
    <w:rsid w:val="00A27705"/>
    <w:rsid w:val="00A31847"/>
    <w:rsid w:val="00A328E6"/>
    <w:rsid w:val="00A34FE4"/>
    <w:rsid w:val="00A36198"/>
    <w:rsid w:val="00A37267"/>
    <w:rsid w:val="00A41AC2"/>
    <w:rsid w:val="00A41D1E"/>
    <w:rsid w:val="00A43FE9"/>
    <w:rsid w:val="00A4487C"/>
    <w:rsid w:val="00A44F7C"/>
    <w:rsid w:val="00A4616B"/>
    <w:rsid w:val="00A467BB"/>
    <w:rsid w:val="00A47DDA"/>
    <w:rsid w:val="00A51396"/>
    <w:rsid w:val="00A525CE"/>
    <w:rsid w:val="00A52BB1"/>
    <w:rsid w:val="00A550C5"/>
    <w:rsid w:val="00A55BAC"/>
    <w:rsid w:val="00A55F8D"/>
    <w:rsid w:val="00A56014"/>
    <w:rsid w:val="00A5602B"/>
    <w:rsid w:val="00A6081A"/>
    <w:rsid w:val="00A60833"/>
    <w:rsid w:val="00A62455"/>
    <w:rsid w:val="00A62DE9"/>
    <w:rsid w:val="00A6324C"/>
    <w:rsid w:val="00A63C28"/>
    <w:rsid w:val="00A6480B"/>
    <w:rsid w:val="00A65B78"/>
    <w:rsid w:val="00A662A8"/>
    <w:rsid w:val="00A672FF"/>
    <w:rsid w:val="00A67BAA"/>
    <w:rsid w:val="00A703DC"/>
    <w:rsid w:val="00A7081D"/>
    <w:rsid w:val="00A8042D"/>
    <w:rsid w:val="00A80BE3"/>
    <w:rsid w:val="00A81556"/>
    <w:rsid w:val="00A81A3A"/>
    <w:rsid w:val="00A82363"/>
    <w:rsid w:val="00A84074"/>
    <w:rsid w:val="00A8461A"/>
    <w:rsid w:val="00A84866"/>
    <w:rsid w:val="00A860BB"/>
    <w:rsid w:val="00A86B1E"/>
    <w:rsid w:val="00A86D01"/>
    <w:rsid w:val="00A86D3E"/>
    <w:rsid w:val="00A871E3"/>
    <w:rsid w:val="00A90228"/>
    <w:rsid w:val="00A90285"/>
    <w:rsid w:val="00A9349B"/>
    <w:rsid w:val="00A9406C"/>
    <w:rsid w:val="00A9598E"/>
    <w:rsid w:val="00A97C81"/>
    <w:rsid w:val="00AA024A"/>
    <w:rsid w:val="00AA1E86"/>
    <w:rsid w:val="00AA269C"/>
    <w:rsid w:val="00AA26A6"/>
    <w:rsid w:val="00AA33FD"/>
    <w:rsid w:val="00AA588E"/>
    <w:rsid w:val="00AA6DD5"/>
    <w:rsid w:val="00AA7C53"/>
    <w:rsid w:val="00AB300B"/>
    <w:rsid w:val="00AB45A2"/>
    <w:rsid w:val="00AB7D6B"/>
    <w:rsid w:val="00AC0B07"/>
    <w:rsid w:val="00AC10CD"/>
    <w:rsid w:val="00AC1540"/>
    <w:rsid w:val="00AC21E6"/>
    <w:rsid w:val="00AC3E85"/>
    <w:rsid w:val="00AC4B6D"/>
    <w:rsid w:val="00AD097F"/>
    <w:rsid w:val="00AD1050"/>
    <w:rsid w:val="00AD41A9"/>
    <w:rsid w:val="00AD56EF"/>
    <w:rsid w:val="00AD580C"/>
    <w:rsid w:val="00AD69A1"/>
    <w:rsid w:val="00AD7B44"/>
    <w:rsid w:val="00AE099A"/>
    <w:rsid w:val="00AE5D97"/>
    <w:rsid w:val="00AE6637"/>
    <w:rsid w:val="00AE7124"/>
    <w:rsid w:val="00AE7762"/>
    <w:rsid w:val="00AF0AD8"/>
    <w:rsid w:val="00AF11AC"/>
    <w:rsid w:val="00AF1841"/>
    <w:rsid w:val="00AF50CC"/>
    <w:rsid w:val="00AF5435"/>
    <w:rsid w:val="00B028DF"/>
    <w:rsid w:val="00B0438D"/>
    <w:rsid w:val="00B0487A"/>
    <w:rsid w:val="00B052B3"/>
    <w:rsid w:val="00B06ECA"/>
    <w:rsid w:val="00B10394"/>
    <w:rsid w:val="00B10B7E"/>
    <w:rsid w:val="00B126DA"/>
    <w:rsid w:val="00B128C9"/>
    <w:rsid w:val="00B13D0C"/>
    <w:rsid w:val="00B145C3"/>
    <w:rsid w:val="00B1494E"/>
    <w:rsid w:val="00B149EE"/>
    <w:rsid w:val="00B15430"/>
    <w:rsid w:val="00B1779F"/>
    <w:rsid w:val="00B200EF"/>
    <w:rsid w:val="00B20F2E"/>
    <w:rsid w:val="00B21312"/>
    <w:rsid w:val="00B213B7"/>
    <w:rsid w:val="00B24280"/>
    <w:rsid w:val="00B246EA"/>
    <w:rsid w:val="00B24C97"/>
    <w:rsid w:val="00B25AF5"/>
    <w:rsid w:val="00B30764"/>
    <w:rsid w:val="00B31091"/>
    <w:rsid w:val="00B3189C"/>
    <w:rsid w:val="00B31FA1"/>
    <w:rsid w:val="00B3455E"/>
    <w:rsid w:val="00B34680"/>
    <w:rsid w:val="00B34CD7"/>
    <w:rsid w:val="00B371BD"/>
    <w:rsid w:val="00B4096E"/>
    <w:rsid w:val="00B414F8"/>
    <w:rsid w:val="00B42370"/>
    <w:rsid w:val="00B42561"/>
    <w:rsid w:val="00B42F56"/>
    <w:rsid w:val="00B43DBE"/>
    <w:rsid w:val="00B4426E"/>
    <w:rsid w:val="00B457B5"/>
    <w:rsid w:val="00B45E31"/>
    <w:rsid w:val="00B467C1"/>
    <w:rsid w:val="00B47E18"/>
    <w:rsid w:val="00B50942"/>
    <w:rsid w:val="00B5215E"/>
    <w:rsid w:val="00B53A40"/>
    <w:rsid w:val="00B53C8D"/>
    <w:rsid w:val="00B55202"/>
    <w:rsid w:val="00B60086"/>
    <w:rsid w:val="00B631F7"/>
    <w:rsid w:val="00B640DE"/>
    <w:rsid w:val="00B64897"/>
    <w:rsid w:val="00B64AD2"/>
    <w:rsid w:val="00B6563F"/>
    <w:rsid w:val="00B66FE7"/>
    <w:rsid w:val="00B706B9"/>
    <w:rsid w:val="00B71148"/>
    <w:rsid w:val="00B73492"/>
    <w:rsid w:val="00B73696"/>
    <w:rsid w:val="00B743FB"/>
    <w:rsid w:val="00B8087B"/>
    <w:rsid w:val="00B82AEB"/>
    <w:rsid w:val="00B82D6F"/>
    <w:rsid w:val="00B8502F"/>
    <w:rsid w:val="00B85F71"/>
    <w:rsid w:val="00B86FAC"/>
    <w:rsid w:val="00B86FB1"/>
    <w:rsid w:val="00B92C25"/>
    <w:rsid w:val="00B93B8E"/>
    <w:rsid w:val="00B93C69"/>
    <w:rsid w:val="00B948B3"/>
    <w:rsid w:val="00B96723"/>
    <w:rsid w:val="00B96A4C"/>
    <w:rsid w:val="00BA2725"/>
    <w:rsid w:val="00BA28C3"/>
    <w:rsid w:val="00BA44D3"/>
    <w:rsid w:val="00BA5FEF"/>
    <w:rsid w:val="00BA746B"/>
    <w:rsid w:val="00BB002B"/>
    <w:rsid w:val="00BB05CC"/>
    <w:rsid w:val="00BB1B78"/>
    <w:rsid w:val="00BB2B7D"/>
    <w:rsid w:val="00BB5DD4"/>
    <w:rsid w:val="00BB5E8E"/>
    <w:rsid w:val="00BB6143"/>
    <w:rsid w:val="00BB7CAC"/>
    <w:rsid w:val="00BC1CB8"/>
    <w:rsid w:val="00BC1CE9"/>
    <w:rsid w:val="00BC2410"/>
    <w:rsid w:val="00BC2A21"/>
    <w:rsid w:val="00BC2B6A"/>
    <w:rsid w:val="00BC421B"/>
    <w:rsid w:val="00BC4C95"/>
    <w:rsid w:val="00BC70A6"/>
    <w:rsid w:val="00BC7D61"/>
    <w:rsid w:val="00BD1C99"/>
    <w:rsid w:val="00BD2817"/>
    <w:rsid w:val="00BD32D1"/>
    <w:rsid w:val="00BD40A1"/>
    <w:rsid w:val="00BD46C9"/>
    <w:rsid w:val="00BD7A98"/>
    <w:rsid w:val="00BD7C5B"/>
    <w:rsid w:val="00BE273B"/>
    <w:rsid w:val="00BE4542"/>
    <w:rsid w:val="00BE530D"/>
    <w:rsid w:val="00BE7645"/>
    <w:rsid w:val="00BF38E5"/>
    <w:rsid w:val="00BF4AB7"/>
    <w:rsid w:val="00BF4B28"/>
    <w:rsid w:val="00BF6800"/>
    <w:rsid w:val="00BF7294"/>
    <w:rsid w:val="00C01344"/>
    <w:rsid w:val="00C01963"/>
    <w:rsid w:val="00C022AB"/>
    <w:rsid w:val="00C02C1B"/>
    <w:rsid w:val="00C0330F"/>
    <w:rsid w:val="00C05C05"/>
    <w:rsid w:val="00C05D56"/>
    <w:rsid w:val="00C05F84"/>
    <w:rsid w:val="00C0732A"/>
    <w:rsid w:val="00C1030B"/>
    <w:rsid w:val="00C10B02"/>
    <w:rsid w:val="00C122BB"/>
    <w:rsid w:val="00C12566"/>
    <w:rsid w:val="00C12F59"/>
    <w:rsid w:val="00C14C09"/>
    <w:rsid w:val="00C14E90"/>
    <w:rsid w:val="00C15DBD"/>
    <w:rsid w:val="00C1688D"/>
    <w:rsid w:val="00C16CD2"/>
    <w:rsid w:val="00C1743B"/>
    <w:rsid w:val="00C17956"/>
    <w:rsid w:val="00C179A4"/>
    <w:rsid w:val="00C22913"/>
    <w:rsid w:val="00C22B09"/>
    <w:rsid w:val="00C24DBB"/>
    <w:rsid w:val="00C25062"/>
    <w:rsid w:val="00C25791"/>
    <w:rsid w:val="00C26E55"/>
    <w:rsid w:val="00C27D48"/>
    <w:rsid w:val="00C31144"/>
    <w:rsid w:val="00C32526"/>
    <w:rsid w:val="00C32771"/>
    <w:rsid w:val="00C37DE4"/>
    <w:rsid w:val="00C40BFB"/>
    <w:rsid w:val="00C430A9"/>
    <w:rsid w:val="00C45B49"/>
    <w:rsid w:val="00C47966"/>
    <w:rsid w:val="00C505AE"/>
    <w:rsid w:val="00C549BC"/>
    <w:rsid w:val="00C55840"/>
    <w:rsid w:val="00C56CA4"/>
    <w:rsid w:val="00C56F41"/>
    <w:rsid w:val="00C5708E"/>
    <w:rsid w:val="00C60292"/>
    <w:rsid w:val="00C60510"/>
    <w:rsid w:val="00C61009"/>
    <w:rsid w:val="00C61764"/>
    <w:rsid w:val="00C62BF6"/>
    <w:rsid w:val="00C6420C"/>
    <w:rsid w:val="00C65AD4"/>
    <w:rsid w:val="00C66022"/>
    <w:rsid w:val="00C6728C"/>
    <w:rsid w:val="00C8042D"/>
    <w:rsid w:val="00C80D09"/>
    <w:rsid w:val="00C80D36"/>
    <w:rsid w:val="00C8266A"/>
    <w:rsid w:val="00C83579"/>
    <w:rsid w:val="00C84F23"/>
    <w:rsid w:val="00C867E7"/>
    <w:rsid w:val="00C86FE3"/>
    <w:rsid w:val="00C90193"/>
    <w:rsid w:val="00C90817"/>
    <w:rsid w:val="00C91C98"/>
    <w:rsid w:val="00C920DB"/>
    <w:rsid w:val="00C9517E"/>
    <w:rsid w:val="00C951E9"/>
    <w:rsid w:val="00CA0C28"/>
    <w:rsid w:val="00CA3A19"/>
    <w:rsid w:val="00CA40C5"/>
    <w:rsid w:val="00CA66C3"/>
    <w:rsid w:val="00CA6ACD"/>
    <w:rsid w:val="00CB037E"/>
    <w:rsid w:val="00CB07EC"/>
    <w:rsid w:val="00CB2DDF"/>
    <w:rsid w:val="00CB3FC5"/>
    <w:rsid w:val="00CB46F4"/>
    <w:rsid w:val="00CB519C"/>
    <w:rsid w:val="00CB5A4A"/>
    <w:rsid w:val="00CB5B8A"/>
    <w:rsid w:val="00CB70ED"/>
    <w:rsid w:val="00CB7224"/>
    <w:rsid w:val="00CC167D"/>
    <w:rsid w:val="00CC2742"/>
    <w:rsid w:val="00CC2CEC"/>
    <w:rsid w:val="00CC319A"/>
    <w:rsid w:val="00CC5F74"/>
    <w:rsid w:val="00CC7D1A"/>
    <w:rsid w:val="00CD34AB"/>
    <w:rsid w:val="00CD3BEB"/>
    <w:rsid w:val="00CD4ABE"/>
    <w:rsid w:val="00CD500F"/>
    <w:rsid w:val="00CD5F21"/>
    <w:rsid w:val="00CD681D"/>
    <w:rsid w:val="00CE0201"/>
    <w:rsid w:val="00CE2CFC"/>
    <w:rsid w:val="00CE3FBE"/>
    <w:rsid w:val="00CE4DB8"/>
    <w:rsid w:val="00CE5A36"/>
    <w:rsid w:val="00CE5C9B"/>
    <w:rsid w:val="00CE6832"/>
    <w:rsid w:val="00CE6D0A"/>
    <w:rsid w:val="00CE7807"/>
    <w:rsid w:val="00CF0462"/>
    <w:rsid w:val="00CF0618"/>
    <w:rsid w:val="00CF2C5C"/>
    <w:rsid w:val="00CF396E"/>
    <w:rsid w:val="00CF547F"/>
    <w:rsid w:val="00D001A8"/>
    <w:rsid w:val="00D003AB"/>
    <w:rsid w:val="00D04983"/>
    <w:rsid w:val="00D04A1A"/>
    <w:rsid w:val="00D04AE6"/>
    <w:rsid w:val="00D10224"/>
    <w:rsid w:val="00D10238"/>
    <w:rsid w:val="00D1157C"/>
    <w:rsid w:val="00D11D04"/>
    <w:rsid w:val="00D12193"/>
    <w:rsid w:val="00D13A3C"/>
    <w:rsid w:val="00D13E94"/>
    <w:rsid w:val="00D152F7"/>
    <w:rsid w:val="00D16C09"/>
    <w:rsid w:val="00D16E9C"/>
    <w:rsid w:val="00D17A1E"/>
    <w:rsid w:val="00D20F1C"/>
    <w:rsid w:val="00D21053"/>
    <w:rsid w:val="00D22647"/>
    <w:rsid w:val="00D2758D"/>
    <w:rsid w:val="00D27E09"/>
    <w:rsid w:val="00D333FA"/>
    <w:rsid w:val="00D334E7"/>
    <w:rsid w:val="00D34263"/>
    <w:rsid w:val="00D35860"/>
    <w:rsid w:val="00D35F2E"/>
    <w:rsid w:val="00D37F6D"/>
    <w:rsid w:val="00D41117"/>
    <w:rsid w:val="00D41879"/>
    <w:rsid w:val="00D43046"/>
    <w:rsid w:val="00D4356A"/>
    <w:rsid w:val="00D44583"/>
    <w:rsid w:val="00D45F7B"/>
    <w:rsid w:val="00D46489"/>
    <w:rsid w:val="00D47384"/>
    <w:rsid w:val="00D508E2"/>
    <w:rsid w:val="00D5103E"/>
    <w:rsid w:val="00D51679"/>
    <w:rsid w:val="00D540B2"/>
    <w:rsid w:val="00D542CF"/>
    <w:rsid w:val="00D55EA8"/>
    <w:rsid w:val="00D57262"/>
    <w:rsid w:val="00D57EFC"/>
    <w:rsid w:val="00D60881"/>
    <w:rsid w:val="00D6169D"/>
    <w:rsid w:val="00D61793"/>
    <w:rsid w:val="00D61E05"/>
    <w:rsid w:val="00D632AA"/>
    <w:rsid w:val="00D64AE6"/>
    <w:rsid w:val="00D65738"/>
    <w:rsid w:val="00D70D24"/>
    <w:rsid w:val="00D7129F"/>
    <w:rsid w:val="00D71D24"/>
    <w:rsid w:val="00D7276E"/>
    <w:rsid w:val="00D745A7"/>
    <w:rsid w:val="00D77D3F"/>
    <w:rsid w:val="00D81944"/>
    <w:rsid w:val="00D81ADF"/>
    <w:rsid w:val="00D8285C"/>
    <w:rsid w:val="00D832BB"/>
    <w:rsid w:val="00D839B4"/>
    <w:rsid w:val="00D84B15"/>
    <w:rsid w:val="00D86339"/>
    <w:rsid w:val="00D87A5F"/>
    <w:rsid w:val="00D907C0"/>
    <w:rsid w:val="00D9136A"/>
    <w:rsid w:val="00D927DE"/>
    <w:rsid w:val="00D93990"/>
    <w:rsid w:val="00D94086"/>
    <w:rsid w:val="00D9544A"/>
    <w:rsid w:val="00D95B26"/>
    <w:rsid w:val="00D97673"/>
    <w:rsid w:val="00DA1D56"/>
    <w:rsid w:val="00DA3823"/>
    <w:rsid w:val="00DA5FA2"/>
    <w:rsid w:val="00DA626A"/>
    <w:rsid w:val="00DA7834"/>
    <w:rsid w:val="00DB231C"/>
    <w:rsid w:val="00DB4D8B"/>
    <w:rsid w:val="00DB68B5"/>
    <w:rsid w:val="00DC217D"/>
    <w:rsid w:val="00DC2D30"/>
    <w:rsid w:val="00DC321B"/>
    <w:rsid w:val="00DC3F7D"/>
    <w:rsid w:val="00DC400F"/>
    <w:rsid w:val="00DC711E"/>
    <w:rsid w:val="00DC7B9E"/>
    <w:rsid w:val="00DD1135"/>
    <w:rsid w:val="00DD1C0A"/>
    <w:rsid w:val="00DD2BA5"/>
    <w:rsid w:val="00DD3A98"/>
    <w:rsid w:val="00DD4140"/>
    <w:rsid w:val="00DD5E7D"/>
    <w:rsid w:val="00DD65D6"/>
    <w:rsid w:val="00DE04F1"/>
    <w:rsid w:val="00DE1C0D"/>
    <w:rsid w:val="00DE21B6"/>
    <w:rsid w:val="00DE380D"/>
    <w:rsid w:val="00DE4396"/>
    <w:rsid w:val="00DE45EA"/>
    <w:rsid w:val="00DE4CB2"/>
    <w:rsid w:val="00DE5835"/>
    <w:rsid w:val="00DE5DFD"/>
    <w:rsid w:val="00DE67CF"/>
    <w:rsid w:val="00DF11DA"/>
    <w:rsid w:val="00DF492A"/>
    <w:rsid w:val="00DF4AB0"/>
    <w:rsid w:val="00DF4EDA"/>
    <w:rsid w:val="00DF50E0"/>
    <w:rsid w:val="00DF5C16"/>
    <w:rsid w:val="00DF5E72"/>
    <w:rsid w:val="00DF6ABF"/>
    <w:rsid w:val="00E01872"/>
    <w:rsid w:val="00E01EB0"/>
    <w:rsid w:val="00E03230"/>
    <w:rsid w:val="00E0323D"/>
    <w:rsid w:val="00E04C02"/>
    <w:rsid w:val="00E05352"/>
    <w:rsid w:val="00E05421"/>
    <w:rsid w:val="00E07C72"/>
    <w:rsid w:val="00E10D84"/>
    <w:rsid w:val="00E11579"/>
    <w:rsid w:val="00E15A2E"/>
    <w:rsid w:val="00E1678C"/>
    <w:rsid w:val="00E16FDC"/>
    <w:rsid w:val="00E17213"/>
    <w:rsid w:val="00E17660"/>
    <w:rsid w:val="00E202F8"/>
    <w:rsid w:val="00E215B7"/>
    <w:rsid w:val="00E22A72"/>
    <w:rsid w:val="00E24947"/>
    <w:rsid w:val="00E2496F"/>
    <w:rsid w:val="00E26123"/>
    <w:rsid w:val="00E27678"/>
    <w:rsid w:val="00E316A5"/>
    <w:rsid w:val="00E33984"/>
    <w:rsid w:val="00E35FDC"/>
    <w:rsid w:val="00E376FE"/>
    <w:rsid w:val="00E40358"/>
    <w:rsid w:val="00E4094A"/>
    <w:rsid w:val="00E410BF"/>
    <w:rsid w:val="00E4319D"/>
    <w:rsid w:val="00E47658"/>
    <w:rsid w:val="00E47A2D"/>
    <w:rsid w:val="00E5270C"/>
    <w:rsid w:val="00E52FE7"/>
    <w:rsid w:val="00E5330A"/>
    <w:rsid w:val="00E540BD"/>
    <w:rsid w:val="00E5418A"/>
    <w:rsid w:val="00E55ABC"/>
    <w:rsid w:val="00E57560"/>
    <w:rsid w:val="00E60F85"/>
    <w:rsid w:val="00E61817"/>
    <w:rsid w:val="00E634BF"/>
    <w:rsid w:val="00E64C88"/>
    <w:rsid w:val="00E66B1D"/>
    <w:rsid w:val="00E66D12"/>
    <w:rsid w:val="00E7132D"/>
    <w:rsid w:val="00E725B0"/>
    <w:rsid w:val="00E72E22"/>
    <w:rsid w:val="00E735A1"/>
    <w:rsid w:val="00E735F3"/>
    <w:rsid w:val="00E76AB5"/>
    <w:rsid w:val="00E77EC7"/>
    <w:rsid w:val="00E80362"/>
    <w:rsid w:val="00E81F41"/>
    <w:rsid w:val="00E829FC"/>
    <w:rsid w:val="00E847E1"/>
    <w:rsid w:val="00E87551"/>
    <w:rsid w:val="00E87DFE"/>
    <w:rsid w:val="00E87F51"/>
    <w:rsid w:val="00E93972"/>
    <w:rsid w:val="00E93A31"/>
    <w:rsid w:val="00E94D3C"/>
    <w:rsid w:val="00E952A7"/>
    <w:rsid w:val="00E955B3"/>
    <w:rsid w:val="00E97C32"/>
    <w:rsid w:val="00EA2F1F"/>
    <w:rsid w:val="00EA31D5"/>
    <w:rsid w:val="00EA44A9"/>
    <w:rsid w:val="00EA46D8"/>
    <w:rsid w:val="00EA50A9"/>
    <w:rsid w:val="00EA6232"/>
    <w:rsid w:val="00EA69D0"/>
    <w:rsid w:val="00EA6E29"/>
    <w:rsid w:val="00EB31D1"/>
    <w:rsid w:val="00EB5C73"/>
    <w:rsid w:val="00EB673B"/>
    <w:rsid w:val="00EB6F07"/>
    <w:rsid w:val="00EB72F2"/>
    <w:rsid w:val="00EC0F76"/>
    <w:rsid w:val="00EC37BE"/>
    <w:rsid w:val="00EC452E"/>
    <w:rsid w:val="00EC5629"/>
    <w:rsid w:val="00ED02B2"/>
    <w:rsid w:val="00ED090C"/>
    <w:rsid w:val="00ED18BB"/>
    <w:rsid w:val="00ED2C4A"/>
    <w:rsid w:val="00ED378A"/>
    <w:rsid w:val="00ED3A1C"/>
    <w:rsid w:val="00ED3AB4"/>
    <w:rsid w:val="00ED44AB"/>
    <w:rsid w:val="00ED47DE"/>
    <w:rsid w:val="00ED599F"/>
    <w:rsid w:val="00ED6CDE"/>
    <w:rsid w:val="00ED747E"/>
    <w:rsid w:val="00ED7559"/>
    <w:rsid w:val="00ED7970"/>
    <w:rsid w:val="00EE0C6F"/>
    <w:rsid w:val="00EE15C6"/>
    <w:rsid w:val="00EE4EFC"/>
    <w:rsid w:val="00EE4F0F"/>
    <w:rsid w:val="00EE50C5"/>
    <w:rsid w:val="00EE7571"/>
    <w:rsid w:val="00EE7576"/>
    <w:rsid w:val="00EF18F0"/>
    <w:rsid w:val="00EF2D30"/>
    <w:rsid w:val="00EF3DC1"/>
    <w:rsid w:val="00EF521F"/>
    <w:rsid w:val="00EF72D6"/>
    <w:rsid w:val="00F0049E"/>
    <w:rsid w:val="00F00879"/>
    <w:rsid w:val="00F01F31"/>
    <w:rsid w:val="00F0269F"/>
    <w:rsid w:val="00F035E1"/>
    <w:rsid w:val="00F037F3"/>
    <w:rsid w:val="00F04969"/>
    <w:rsid w:val="00F057EE"/>
    <w:rsid w:val="00F06948"/>
    <w:rsid w:val="00F10B5A"/>
    <w:rsid w:val="00F11340"/>
    <w:rsid w:val="00F13D9B"/>
    <w:rsid w:val="00F140EA"/>
    <w:rsid w:val="00F16752"/>
    <w:rsid w:val="00F16E0C"/>
    <w:rsid w:val="00F1717B"/>
    <w:rsid w:val="00F21E35"/>
    <w:rsid w:val="00F24A40"/>
    <w:rsid w:val="00F26B76"/>
    <w:rsid w:val="00F3059A"/>
    <w:rsid w:val="00F30AF9"/>
    <w:rsid w:val="00F32516"/>
    <w:rsid w:val="00F3391E"/>
    <w:rsid w:val="00F33A47"/>
    <w:rsid w:val="00F34C3D"/>
    <w:rsid w:val="00F355C7"/>
    <w:rsid w:val="00F36539"/>
    <w:rsid w:val="00F3715A"/>
    <w:rsid w:val="00F40183"/>
    <w:rsid w:val="00F41FC9"/>
    <w:rsid w:val="00F43782"/>
    <w:rsid w:val="00F45311"/>
    <w:rsid w:val="00F45371"/>
    <w:rsid w:val="00F458B6"/>
    <w:rsid w:val="00F45B74"/>
    <w:rsid w:val="00F47A3B"/>
    <w:rsid w:val="00F501A2"/>
    <w:rsid w:val="00F5380B"/>
    <w:rsid w:val="00F5391A"/>
    <w:rsid w:val="00F53B2D"/>
    <w:rsid w:val="00F544FD"/>
    <w:rsid w:val="00F5601F"/>
    <w:rsid w:val="00F56037"/>
    <w:rsid w:val="00F56F4D"/>
    <w:rsid w:val="00F5780C"/>
    <w:rsid w:val="00F57EA9"/>
    <w:rsid w:val="00F602F7"/>
    <w:rsid w:val="00F612DF"/>
    <w:rsid w:val="00F62EC9"/>
    <w:rsid w:val="00F65402"/>
    <w:rsid w:val="00F7045D"/>
    <w:rsid w:val="00F763A7"/>
    <w:rsid w:val="00F766DC"/>
    <w:rsid w:val="00F775D1"/>
    <w:rsid w:val="00F81059"/>
    <w:rsid w:val="00F81448"/>
    <w:rsid w:val="00F81946"/>
    <w:rsid w:val="00F82416"/>
    <w:rsid w:val="00F8262B"/>
    <w:rsid w:val="00F8295B"/>
    <w:rsid w:val="00F83F38"/>
    <w:rsid w:val="00F851AA"/>
    <w:rsid w:val="00F86159"/>
    <w:rsid w:val="00F870B3"/>
    <w:rsid w:val="00F92F73"/>
    <w:rsid w:val="00F94316"/>
    <w:rsid w:val="00F96BEC"/>
    <w:rsid w:val="00F96DF9"/>
    <w:rsid w:val="00FA28D7"/>
    <w:rsid w:val="00FA4DD1"/>
    <w:rsid w:val="00FA69D6"/>
    <w:rsid w:val="00FA72CD"/>
    <w:rsid w:val="00FA7C88"/>
    <w:rsid w:val="00FB37EE"/>
    <w:rsid w:val="00FB4B41"/>
    <w:rsid w:val="00FB5434"/>
    <w:rsid w:val="00FB5462"/>
    <w:rsid w:val="00FB5C11"/>
    <w:rsid w:val="00FB5E00"/>
    <w:rsid w:val="00FC0DF6"/>
    <w:rsid w:val="00FC1A1D"/>
    <w:rsid w:val="00FC1D57"/>
    <w:rsid w:val="00FC20D2"/>
    <w:rsid w:val="00FC365C"/>
    <w:rsid w:val="00FC542F"/>
    <w:rsid w:val="00FC604F"/>
    <w:rsid w:val="00FC66F9"/>
    <w:rsid w:val="00FC6BB5"/>
    <w:rsid w:val="00FC77FB"/>
    <w:rsid w:val="00FD0238"/>
    <w:rsid w:val="00FD03EF"/>
    <w:rsid w:val="00FD26AF"/>
    <w:rsid w:val="00FD4CC1"/>
    <w:rsid w:val="00FD60C5"/>
    <w:rsid w:val="00FD64B3"/>
    <w:rsid w:val="00FD690A"/>
    <w:rsid w:val="00FD6D91"/>
    <w:rsid w:val="00FD7331"/>
    <w:rsid w:val="00FE4BB0"/>
    <w:rsid w:val="00FE75A0"/>
    <w:rsid w:val="00FE7B7F"/>
    <w:rsid w:val="00FF068B"/>
    <w:rsid w:val="00FF0ECD"/>
    <w:rsid w:val="00FF1F32"/>
    <w:rsid w:val="00FF4447"/>
    <w:rsid w:val="00FF4B14"/>
    <w:rsid w:val="00FF4D35"/>
    <w:rsid w:val="00FF595A"/>
    <w:rsid w:val="01025DAE"/>
    <w:rsid w:val="01205D5C"/>
    <w:rsid w:val="0264611C"/>
    <w:rsid w:val="026E0498"/>
    <w:rsid w:val="02AC7E0F"/>
    <w:rsid w:val="03362BB8"/>
    <w:rsid w:val="03467F00"/>
    <w:rsid w:val="034A70C0"/>
    <w:rsid w:val="034B6875"/>
    <w:rsid w:val="034C1F10"/>
    <w:rsid w:val="03564C06"/>
    <w:rsid w:val="03595555"/>
    <w:rsid w:val="038D72DF"/>
    <w:rsid w:val="03991DF6"/>
    <w:rsid w:val="03C350C4"/>
    <w:rsid w:val="04266546"/>
    <w:rsid w:val="04442C18"/>
    <w:rsid w:val="04575F38"/>
    <w:rsid w:val="045D276B"/>
    <w:rsid w:val="04D5599C"/>
    <w:rsid w:val="04EB042F"/>
    <w:rsid w:val="04FF212C"/>
    <w:rsid w:val="050634BB"/>
    <w:rsid w:val="050B6D23"/>
    <w:rsid w:val="0560706F"/>
    <w:rsid w:val="05830265"/>
    <w:rsid w:val="058D1EF7"/>
    <w:rsid w:val="05C55124"/>
    <w:rsid w:val="05E4614D"/>
    <w:rsid w:val="064A7D7E"/>
    <w:rsid w:val="06701B73"/>
    <w:rsid w:val="069212AD"/>
    <w:rsid w:val="06A50AB1"/>
    <w:rsid w:val="06B16EE4"/>
    <w:rsid w:val="073C359E"/>
    <w:rsid w:val="074327A4"/>
    <w:rsid w:val="074434E9"/>
    <w:rsid w:val="07521C17"/>
    <w:rsid w:val="07941252"/>
    <w:rsid w:val="07A62D33"/>
    <w:rsid w:val="07B00F7B"/>
    <w:rsid w:val="08075B12"/>
    <w:rsid w:val="083221AF"/>
    <w:rsid w:val="0865655C"/>
    <w:rsid w:val="08D833C0"/>
    <w:rsid w:val="090838FF"/>
    <w:rsid w:val="09886B94"/>
    <w:rsid w:val="098A46BA"/>
    <w:rsid w:val="09C05263"/>
    <w:rsid w:val="09EB0ED1"/>
    <w:rsid w:val="09F117C8"/>
    <w:rsid w:val="09F252C3"/>
    <w:rsid w:val="09F31262"/>
    <w:rsid w:val="09F558AC"/>
    <w:rsid w:val="0A1A5F04"/>
    <w:rsid w:val="0A1F1500"/>
    <w:rsid w:val="0A397E8E"/>
    <w:rsid w:val="0AFA5870"/>
    <w:rsid w:val="0AFF4C34"/>
    <w:rsid w:val="0B183F48"/>
    <w:rsid w:val="0B8D04E6"/>
    <w:rsid w:val="0B9335CE"/>
    <w:rsid w:val="0BB769F6"/>
    <w:rsid w:val="0BB84EE1"/>
    <w:rsid w:val="0C3D5924"/>
    <w:rsid w:val="0CF63E15"/>
    <w:rsid w:val="0CF83115"/>
    <w:rsid w:val="0D3F756A"/>
    <w:rsid w:val="0E1E3623"/>
    <w:rsid w:val="0E3B62FC"/>
    <w:rsid w:val="0E7C47EE"/>
    <w:rsid w:val="0EA004DC"/>
    <w:rsid w:val="0EB126E9"/>
    <w:rsid w:val="0EEE56EB"/>
    <w:rsid w:val="0EF10D38"/>
    <w:rsid w:val="0F1550CD"/>
    <w:rsid w:val="0F4470B9"/>
    <w:rsid w:val="0F5012DE"/>
    <w:rsid w:val="10172A20"/>
    <w:rsid w:val="10254F0A"/>
    <w:rsid w:val="10796723"/>
    <w:rsid w:val="10875725"/>
    <w:rsid w:val="109C3C4F"/>
    <w:rsid w:val="10DF0779"/>
    <w:rsid w:val="10F62635"/>
    <w:rsid w:val="112934B3"/>
    <w:rsid w:val="116E2B13"/>
    <w:rsid w:val="11CE5360"/>
    <w:rsid w:val="11E132E5"/>
    <w:rsid w:val="11E977FF"/>
    <w:rsid w:val="11FE3E97"/>
    <w:rsid w:val="1207701D"/>
    <w:rsid w:val="1273139E"/>
    <w:rsid w:val="12CF723D"/>
    <w:rsid w:val="134D1CF1"/>
    <w:rsid w:val="134E4439"/>
    <w:rsid w:val="136F27A1"/>
    <w:rsid w:val="137B1518"/>
    <w:rsid w:val="13B47CF0"/>
    <w:rsid w:val="141B32E3"/>
    <w:rsid w:val="14561262"/>
    <w:rsid w:val="14C3401F"/>
    <w:rsid w:val="14C34F24"/>
    <w:rsid w:val="14FB0C59"/>
    <w:rsid w:val="153F25A1"/>
    <w:rsid w:val="15DE05DB"/>
    <w:rsid w:val="15EA64E1"/>
    <w:rsid w:val="165F6ECF"/>
    <w:rsid w:val="16A668AC"/>
    <w:rsid w:val="16B027EA"/>
    <w:rsid w:val="16BE7F61"/>
    <w:rsid w:val="171A16A3"/>
    <w:rsid w:val="171D6320"/>
    <w:rsid w:val="173043C7"/>
    <w:rsid w:val="173C5528"/>
    <w:rsid w:val="17645C07"/>
    <w:rsid w:val="179E0C62"/>
    <w:rsid w:val="17E625C2"/>
    <w:rsid w:val="181F4B50"/>
    <w:rsid w:val="18240C92"/>
    <w:rsid w:val="18324C3F"/>
    <w:rsid w:val="185B5474"/>
    <w:rsid w:val="187C7815"/>
    <w:rsid w:val="18A961DF"/>
    <w:rsid w:val="18CF3D89"/>
    <w:rsid w:val="18E36DAA"/>
    <w:rsid w:val="19045B0B"/>
    <w:rsid w:val="190478B9"/>
    <w:rsid w:val="195473CA"/>
    <w:rsid w:val="195B5909"/>
    <w:rsid w:val="196779BA"/>
    <w:rsid w:val="196A0064"/>
    <w:rsid w:val="196B2B27"/>
    <w:rsid w:val="196D1144"/>
    <w:rsid w:val="198C7FDB"/>
    <w:rsid w:val="19946FFF"/>
    <w:rsid w:val="19AF5A77"/>
    <w:rsid w:val="19B8493C"/>
    <w:rsid w:val="19CE23A1"/>
    <w:rsid w:val="1A475967"/>
    <w:rsid w:val="1A78055F"/>
    <w:rsid w:val="1A964EAC"/>
    <w:rsid w:val="1AA44EB0"/>
    <w:rsid w:val="1AD06805"/>
    <w:rsid w:val="1AF8344E"/>
    <w:rsid w:val="1AFF6057"/>
    <w:rsid w:val="1BF27E9D"/>
    <w:rsid w:val="1C0A51E7"/>
    <w:rsid w:val="1C4841EB"/>
    <w:rsid w:val="1C9365B5"/>
    <w:rsid w:val="1CA21028"/>
    <w:rsid w:val="1CB117C2"/>
    <w:rsid w:val="1D057354"/>
    <w:rsid w:val="1D740FDF"/>
    <w:rsid w:val="1D841515"/>
    <w:rsid w:val="1DA03128"/>
    <w:rsid w:val="1DCA10D2"/>
    <w:rsid w:val="1DCA21F0"/>
    <w:rsid w:val="1E422931"/>
    <w:rsid w:val="1E63098A"/>
    <w:rsid w:val="1E7E308E"/>
    <w:rsid w:val="1ED70E0C"/>
    <w:rsid w:val="1EE559BD"/>
    <w:rsid w:val="1EED0A2C"/>
    <w:rsid w:val="1EF33E13"/>
    <w:rsid w:val="1EF34658"/>
    <w:rsid w:val="1EF91D74"/>
    <w:rsid w:val="1F165C7A"/>
    <w:rsid w:val="1F6B4D74"/>
    <w:rsid w:val="1F770DE5"/>
    <w:rsid w:val="1F8A36EE"/>
    <w:rsid w:val="1FAD3593"/>
    <w:rsid w:val="1FF66583"/>
    <w:rsid w:val="2026241D"/>
    <w:rsid w:val="20823EE5"/>
    <w:rsid w:val="20831A0C"/>
    <w:rsid w:val="20D40A6C"/>
    <w:rsid w:val="20E55FD4"/>
    <w:rsid w:val="21AD61D1"/>
    <w:rsid w:val="21C35D68"/>
    <w:rsid w:val="21DD6EFA"/>
    <w:rsid w:val="21FE1453"/>
    <w:rsid w:val="220821C8"/>
    <w:rsid w:val="22233C11"/>
    <w:rsid w:val="226F3FF6"/>
    <w:rsid w:val="22750198"/>
    <w:rsid w:val="229F4ECB"/>
    <w:rsid w:val="231B7B30"/>
    <w:rsid w:val="23225D32"/>
    <w:rsid w:val="23231A73"/>
    <w:rsid w:val="232866DB"/>
    <w:rsid w:val="2332573A"/>
    <w:rsid w:val="23456026"/>
    <w:rsid w:val="234B4A63"/>
    <w:rsid w:val="235558E1"/>
    <w:rsid w:val="236B742B"/>
    <w:rsid w:val="23870835"/>
    <w:rsid w:val="23985FD7"/>
    <w:rsid w:val="239952D7"/>
    <w:rsid w:val="23DE179B"/>
    <w:rsid w:val="23ECFDC5"/>
    <w:rsid w:val="242B4B9F"/>
    <w:rsid w:val="244514B2"/>
    <w:rsid w:val="24501B3E"/>
    <w:rsid w:val="24871E95"/>
    <w:rsid w:val="2489657E"/>
    <w:rsid w:val="24D02576"/>
    <w:rsid w:val="24DD793C"/>
    <w:rsid w:val="24EA789C"/>
    <w:rsid w:val="252F3965"/>
    <w:rsid w:val="25381017"/>
    <w:rsid w:val="255519B3"/>
    <w:rsid w:val="257007B0"/>
    <w:rsid w:val="2584600A"/>
    <w:rsid w:val="25847CD3"/>
    <w:rsid w:val="259124D5"/>
    <w:rsid w:val="260158AC"/>
    <w:rsid w:val="266F5814"/>
    <w:rsid w:val="26832765"/>
    <w:rsid w:val="26BB1EFF"/>
    <w:rsid w:val="26D23C48"/>
    <w:rsid w:val="26DE4854"/>
    <w:rsid w:val="27047F56"/>
    <w:rsid w:val="27181100"/>
    <w:rsid w:val="27CB6172"/>
    <w:rsid w:val="27D74A6C"/>
    <w:rsid w:val="28013942"/>
    <w:rsid w:val="281E1985"/>
    <w:rsid w:val="282F4953"/>
    <w:rsid w:val="28A6098D"/>
    <w:rsid w:val="28AA3FD9"/>
    <w:rsid w:val="28E514B5"/>
    <w:rsid w:val="28E64C29"/>
    <w:rsid w:val="28EC45F2"/>
    <w:rsid w:val="29120F71"/>
    <w:rsid w:val="293D5638"/>
    <w:rsid w:val="29672152"/>
    <w:rsid w:val="29824F56"/>
    <w:rsid w:val="29DE193E"/>
    <w:rsid w:val="29E057D9"/>
    <w:rsid w:val="2A0B33E7"/>
    <w:rsid w:val="2A2B739C"/>
    <w:rsid w:val="2A4370E4"/>
    <w:rsid w:val="2A460333"/>
    <w:rsid w:val="2A5748D2"/>
    <w:rsid w:val="2A6A0FF0"/>
    <w:rsid w:val="2A7347CA"/>
    <w:rsid w:val="2A842608"/>
    <w:rsid w:val="2A9211C9"/>
    <w:rsid w:val="2A9630A9"/>
    <w:rsid w:val="2A994305"/>
    <w:rsid w:val="2AF754D0"/>
    <w:rsid w:val="2B2F4BF3"/>
    <w:rsid w:val="2B5841C1"/>
    <w:rsid w:val="2BA91EAE"/>
    <w:rsid w:val="2BBD2276"/>
    <w:rsid w:val="2BFF4E3C"/>
    <w:rsid w:val="2C144DE1"/>
    <w:rsid w:val="2CA858F1"/>
    <w:rsid w:val="2CB43679"/>
    <w:rsid w:val="2CE915E7"/>
    <w:rsid w:val="2CEC5EAA"/>
    <w:rsid w:val="2D265BF9"/>
    <w:rsid w:val="2D524C40"/>
    <w:rsid w:val="2D665687"/>
    <w:rsid w:val="2D6C5D01"/>
    <w:rsid w:val="2D7626DC"/>
    <w:rsid w:val="2DBF149D"/>
    <w:rsid w:val="2DFF6B75"/>
    <w:rsid w:val="2E3465FA"/>
    <w:rsid w:val="2E965257"/>
    <w:rsid w:val="2EAC037F"/>
    <w:rsid w:val="2EC1207D"/>
    <w:rsid w:val="2ED81174"/>
    <w:rsid w:val="2EEE547C"/>
    <w:rsid w:val="2EF60EA3"/>
    <w:rsid w:val="2EFD8A2B"/>
    <w:rsid w:val="2F120B2A"/>
    <w:rsid w:val="2F4904AF"/>
    <w:rsid w:val="2F5E78CC"/>
    <w:rsid w:val="2F764EA6"/>
    <w:rsid w:val="2F7C41F6"/>
    <w:rsid w:val="2F7EB22E"/>
    <w:rsid w:val="2FAF45CB"/>
    <w:rsid w:val="2FF72667"/>
    <w:rsid w:val="2FFFDB44"/>
    <w:rsid w:val="303B7C0D"/>
    <w:rsid w:val="304E59DB"/>
    <w:rsid w:val="306C441D"/>
    <w:rsid w:val="30A371B5"/>
    <w:rsid w:val="3103547C"/>
    <w:rsid w:val="310D77FB"/>
    <w:rsid w:val="31117DB4"/>
    <w:rsid w:val="31BB1CA7"/>
    <w:rsid w:val="31C939C4"/>
    <w:rsid w:val="32180206"/>
    <w:rsid w:val="32194474"/>
    <w:rsid w:val="32292413"/>
    <w:rsid w:val="32923106"/>
    <w:rsid w:val="32977958"/>
    <w:rsid w:val="32A038A7"/>
    <w:rsid w:val="32A24C84"/>
    <w:rsid w:val="33DC6096"/>
    <w:rsid w:val="345D1EB1"/>
    <w:rsid w:val="348F514A"/>
    <w:rsid w:val="34CA1AAC"/>
    <w:rsid w:val="34CD288B"/>
    <w:rsid w:val="34DE5C70"/>
    <w:rsid w:val="34E04472"/>
    <w:rsid w:val="353A7E23"/>
    <w:rsid w:val="35551771"/>
    <w:rsid w:val="35740C40"/>
    <w:rsid w:val="35A04F88"/>
    <w:rsid w:val="35B93AAE"/>
    <w:rsid w:val="35C0308E"/>
    <w:rsid w:val="35D650D0"/>
    <w:rsid w:val="35D94150"/>
    <w:rsid w:val="35EE5A12"/>
    <w:rsid w:val="360A4005"/>
    <w:rsid w:val="363A1B09"/>
    <w:rsid w:val="36621745"/>
    <w:rsid w:val="36774C10"/>
    <w:rsid w:val="36801333"/>
    <w:rsid w:val="36945530"/>
    <w:rsid w:val="36E06F5F"/>
    <w:rsid w:val="36E43EA5"/>
    <w:rsid w:val="373C40C8"/>
    <w:rsid w:val="37B36F71"/>
    <w:rsid w:val="38604B0B"/>
    <w:rsid w:val="3862042D"/>
    <w:rsid w:val="38864D4B"/>
    <w:rsid w:val="38A71463"/>
    <w:rsid w:val="38AB7897"/>
    <w:rsid w:val="38CE513F"/>
    <w:rsid w:val="38EF7226"/>
    <w:rsid w:val="390239BE"/>
    <w:rsid w:val="392576AC"/>
    <w:rsid w:val="39365415"/>
    <w:rsid w:val="394F2215"/>
    <w:rsid w:val="3986639D"/>
    <w:rsid w:val="39C1674F"/>
    <w:rsid w:val="39F8091D"/>
    <w:rsid w:val="3A0A0D7C"/>
    <w:rsid w:val="3A1E4C72"/>
    <w:rsid w:val="3A1F234D"/>
    <w:rsid w:val="3A437DEA"/>
    <w:rsid w:val="3A865C2B"/>
    <w:rsid w:val="3AA34D2C"/>
    <w:rsid w:val="3AAC1E33"/>
    <w:rsid w:val="3B097226"/>
    <w:rsid w:val="3B251BE5"/>
    <w:rsid w:val="3B8C44BC"/>
    <w:rsid w:val="3BAC7C11"/>
    <w:rsid w:val="3BC136BC"/>
    <w:rsid w:val="3BC84D65"/>
    <w:rsid w:val="3BCB401D"/>
    <w:rsid w:val="3C277297"/>
    <w:rsid w:val="3C4C1FED"/>
    <w:rsid w:val="3C8A1D00"/>
    <w:rsid w:val="3C8A64BC"/>
    <w:rsid w:val="3CB46AF1"/>
    <w:rsid w:val="3CD94A35"/>
    <w:rsid w:val="3CFC5867"/>
    <w:rsid w:val="3D3E1186"/>
    <w:rsid w:val="3D483969"/>
    <w:rsid w:val="3D5D7415"/>
    <w:rsid w:val="3D712D52"/>
    <w:rsid w:val="3D766934"/>
    <w:rsid w:val="3D872BE3"/>
    <w:rsid w:val="3DC62ADF"/>
    <w:rsid w:val="3DD30796"/>
    <w:rsid w:val="3DED132A"/>
    <w:rsid w:val="3E083824"/>
    <w:rsid w:val="3E111FAD"/>
    <w:rsid w:val="3E507D4A"/>
    <w:rsid w:val="3EC314F9"/>
    <w:rsid w:val="3EC410D6"/>
    <w:rsid w:val="3EC76A8F"/>
    <w:rsid w:val="3F1A5214"/>
    <w:rsid w:val="3F220916"/>
    <w:rsid w:val="3F2C52F0"/>
    <w:rsid w:val="3F2D2E17"/>
    <w:rsid w:val="3F5E6D89"/>
    <w:rsid w:val="3FB0631E"/>
    <w:rsid w:val="3FFD6B0B"/>
    <w:rsid w:val="401776B5"/>
    <w:rsid w:val="40187204"/>
    <w:rsid w:val="408908EE"/>
    <w:rsid w:val="40B90071"/>
    <w:rsid w:val="40D57748"/>
    <w:rsid w:val="410978CF"/>
    <w:rsid w:val="41216435"/>
    <w:rsid w:val="415375E1"/>
    <w:rsid w:val="416519E1"/>
    <w:rsid w:val="41692144"/>
    <w:rsid w:val="41735E73"/>
    <w:rsid w:val="41D3E16C"/>
    <w:rsid w:val="41F8595E"/>
    <w:rsid w:val="420A4B37"/>
    <w:rsid w:val="42136167"/>
    <w:rsid w:val="423E0BB9"/>
    <w:rsid w:val="426C79AA"/>
    <w:rsid w:val="428D2DB1"/>
    <w:rsid w:val="42A640A5"/>
    <w:rsid w:val="42D40179"/>
    <w:rsid w:val="42DE2DA6"/>
    <w:rsid w:val="43AD0B06"/>
    <w:rsid w:val="43C73F07"/>
    <w:rsid w:val="440D4251"/>
    <w:rsid w:val="441427F7"/>
    <w:rsid w:val="44185647"/>
    <w:rsid w:val="446B3DCC"/>
    <w:rsid w:val="44805CB9"/>
    <w:rsid w:val="44E9469A"/>
    <w:rsid w:val="44F05012"/>
    <w:rsid w:val="44F86EB3"/>
    <w:rsid w:val="45196317"/>
    <w:rsid w:val="451F1225"/>
    <w:rsid w:val="4587316E"/>
    <w:rsid w:val="45F03F22"/>
    <w:rsid w:val="461C7016"/>
    <w:rsid w:val="464E0242"/>
    <w:rsid w:val="465B431C"/>
    <w:rsid w:val="466F1F67"/>
    <w:rsid w:val="46913751"/>
    <w:rsid w:val="469559DB"/>
    <w:rsid w:val="472E3BD0"/>
    <w:rsid w:val="47380A67"/>
    <w:rsid w:val="474D04FA"/>
    <w:rsid w:val="47680B80"/>
    <w:rsid w:val="47A85730"/>
    <w:rsid w:val="48427933"/>
    <w:rsid w:val="485227EF"/>
    <w:rsid w:val="48683357"/>
    <w:rsid w:val="487F2935"/>
    <w:rsid w:val="48B033F9"/>
    <w:rsid w:val="48B87BF5"/>
    <w:rsid w:val="48D43D0B"/>
    <w:rsid w:val="491F54B5"/>
    <w:rsid w:val="49233A78"/>
    <w:rsid w:val="492B35C4"/>
    <w:rsid w:val="494E2FC3"/>
    <w:rsid w:val="497A49E1"/>
    <w:rsid w:val="49B358F7"/>
    <w:rsid w:val="49D23B54"/>
    <w:rsid w:val="49DE7B2F"/>
    <w:rsid w:val="4A17094B"/>
    <w:rsid w:val="4A372D9B"/>
    <w:rsid w:val="4A4C3BD9"/>
    <w:rsid w:val="4A540B87"/>
    <w:rsid w:val="4A5B700A"/>
    <w:rsid w:val="4A660C1F"/>
    <w:rsid w:val="4A865154"/>
    <w:rsid w:val="4AB60164"/>
    <w:rsid w:val="4AC25318"/>
    <w:rsid w:val="4AE41F65"/>
    <w:rsid w:val="4B226137"/>
    <w:rsid w:val="4B334AEF"/>
    <w:rsid w:val="4B4619C8"/>
    <w:rsid w:val="4B4C3929"/>
    <w:rsid w:val="4B9E1324"/>
    <w:rsid w:val="4BFC429C"/>
    <w:rsid w:val="4C023EC3"/>
    <w:rsid w:val="4C4E2CBD"/>
    <w:rsid w:val="4C632C63"/>
    <w:rsid w:val="4CF22A27"/>
    <w:rsid w:val="4D097EFC"/>
    <w:rsid w:val="4D1675E0"/>
    <w:rsid w:val="4D486759"/>
    <w:rsid w:val="4D582F43"/>
    <w:rsid w:val="4D64310D"/>
    <w:rsid w:val="4D6614CB"/>
    <w:rsid w:val="4D8B67FF"/>
    <w:rsid w:val="4DE4148C"/>
    <w:rsid w:val="4DEE5E67"/>
    <w:rsid w:val="4E4862FB"/>
    <w:rsid w:val="4EA90541"/>
    <w:rsid w:val="4EEE4370"/>
    <w:rsid w:val="4EFF42E1"/>
    <w:rsid w:val="4F7417D5"/>
    <w:rsid w:val="4F824AB9"/>
    <w:rsid w:val="4F846A83"/>
    <w:rsid w:val="4F912E1A"/>
    <w:rsid w:val="4FF06199"/>
    <w:rsid w:val="501442ED"/>
    <w:rsid w:val="50BB4726"/>
    <w:rsid w:val="50CD77CD"/>
    <w:rsid w:val="50F57B79"/>
    <w:rsid w:val="50FA67BE"/>
    <w:rsid w:val="51186119"/>
    <w:rsid w:val="515F1555"/>
    <w:rsid w:val="51794159"/>
    <w:rsid w:val="51F5070D"/>
    <w:rsid w:val="51FC1C0F"/>
    <w:rsid w:val="52374280"/>
    <w:rsid w:val="526F0D33"/>
    <w:rsid w:val="52727066"/>
    <w:rsid w:val="529162D8"/>
    <w:rsid w:val="52AD62F0"/>
    <w:rsid w:val="52CA0C50"/>
    <w:rsid w:val="5302488E"/>
    <w:rsid w:val="534244A5"/>
    <w:rsid w:val="534D60B9"/>
    <w:rsid w:val="53582700"/>
    <w:rsid w:val="536D690E"/>
    <w:rsid w:val="53994EB3"/>
    <w:rsid w:val="53CD04C8"/>
    <w:rsid w:val="53D8021B"/>
    <w:rsid w:val="53FA74D7"/>
    <w:rsid w:val="54311BAF"/>
    <w:rsid w:val="54BF40B9"/>
    <w:rsid w:val="54BF4C96"/>
    <w:rsid w:val="54D73AF9"/>
    <w:rsid w:val="54DC2EBD"/>
    <w:rsid w:val="55145A25"/>
    <w:rsid w:val="554A42CB"/>
    <w:rsid w:val="554D1BF6"/>
    <w:rsid w:val="5557610E"/>
    <w:rsid w:val="55774444"/>
    <w:rsid w:val="557936BB"/>
    <w:rsid w:val="55882160"/>
    <w:rsid w:val="558C43EA"/>
    <w:rsid w:val="559E26A6"/>
    <w:rsid w:val="55F83D27"/>
    <w:rsid w:val="55F935FB"/>
    <w:rsid w:val="560B3A5A"/>
    <w:rsid w:val="561B15F1"/>
    <w:rsid w:val="56245862"/>
    <w:rsid w:val="564F1F29"/>
    <w:rsid w:val="56717635"/>
    <w:rsid w:val="56C708EE"/>
    <w:rsid w:val="56CD51B3"/>
    <w:rsid w:val="56ED06BB"/>
    <w:rsid w:val="571A5516"/>
    <w:rsid w:val="57325016"/>
    <w:rsid w:val="57511940"/>
    <w:rsid w:val="57E509C2"/>
    <w:rsid w:val="582F0D41"/>
    <w:rsid w:val="58417880"/>
    <w:rsid w:val="5866141B"/>
    <w:rsid w:val="58C83A1B"/>
    <w:rsid w:val="5911172D"/>
    <w:rsid w:val="591B652F"/>
    <w:rsid w:val="593E4146"/>
    <w:rsid w:val="594F734C"/>
    <w:rsid w:val="5A1631D9"/>
    <w:rsid w:val="5A5331BE"/>
    <w:rsid w:val="5A694085"/>
    <w:rsid w:val="5A6E44C2"/>
    <w:rsid w:val="5A8738CB"/>
    <w:rsid w:val="5A971D60"/>
    <w:rsid w:val="5AB346C0"/>
    <w:rsid w:val="5AB520F6"/>
    <w:rsid w:val="5AC24977"/>
    <w:rsid w:val="5ACA32C2"/>
    <w:rsid w:val="5B046CCA"/>
    <w:rsid w:val="5B4B78C2"/>
    <w:rsid w:val="5B7F0012"/>
    <w:rsid w:val="5B8B7214"/>
    <w:rsid w:val="5B9C28C3"/>
    <w:rsid w:val="5BAE1F98"/>
    <w:rsid w:val="5BD225F8"/>
    <w:rsid w:val="5BE505B7"/>
    <w:rsid w:val="5C037501"/>
    <w:rsid w:val="5C076A71"/>
    <w:rsid w:val="5C292E8C"/>
    <w:rsid w:val="5C421664"/>
    <w:rsid w:val="5C551A34"/>
    <w:rsid w:val="5CC11F40"/>
    <w:rsid w:val="5CED0783"/>
    <w:rsid w:val="5CF321ED"/>
    <w:rsid w:val="5D443390"/>
    <w:rsid w:val="5DC648DE"/>
    <w:rsid w:val="5DE132F2"/>
    <w:rsid w:val="5DE80B25"/>
    <w:rsid w:val="5E3478C6"/>
    <w:rsid w:val="5E3F51B3"/>
    <w:rsid w:val="5E5608B9"/>
    <w:rsid w:val="5E897C12"/>
    <w:rsid w:val="5E8B0A3E"/>
    <w:rsid w:val="5EAA0D3A"/>
    <w:rsid w:val="5EC86FB5"/>
    <w:rsid w:val="5EE27322"/>
    <w:rsid w:val="5EEF5029"/>
    <w:rsid w:val="5F1D47FE"/>
    <w:rsid w:val="5F2C3231"/>
    <w:rsid w:val="5F387044"/>
    <w:rsid w:val="5F4C1567"/>
    <w:rsid w:val="5F4D3766"/>
    <w:rsid w:val="5F61158B"/>
    <w:rsid w:val="5F93061C"/>
    <w:rsid w:val="5FA33338"/>
    <w:rsid w:val="5FCA04E2"/>
    <w:rsid w:val="5FDD123A"/>
    <w:rsid w:val="600F6972"/>
    <w:rsid w:val="608C5797"/>
    <w:rsid w:val="609F196E"/>
    <w:rsid w:val="60B06E57"/>
    <w:rsid w:val="60D07D7A"/>
    <w:rsid w:val="60E96A0A"/>
    <w:rsid w:val="60EE6452"/>
    <w:rsid w:val="614E6EF1"/>
    <w:rsid w:val="61750606"/>
    <w:rsid w:val="61A44D62"/>
    <w:rsid w:val="61BF7DEE"/>
    <w:rsid w:val="61CD42B9"/>
    <w:rsid w:val="61D01721"/>
    <w:rsid w:val="61F950AE"/>
    <w:rsid w:val="620F6680"/>
    <w:rsid w:val="62B62F9F"/>
    <w:rsid w:val="62BD60DC"/>
    <w:rsid w:val="632E57F9"/>
    <w:rsid w:val="6364152B"/>
    <w:rsid w:val="637F5A87"/>
    <w:rsid w:val="63841BD1"/>
    <w:rsid w:val="63CE60C7"/>
    <w:rsid w:val="64253778"/>
    <w:rsid w:val="64287ECD"/>
    <w:rsid w:val="642C6B67"/>
    <w:rsid w:val="65412D31"/>
    <w:rsid w:val="65424385"/>
    <w:rsid w:val="65613696"/>
    <w:rsid w:val="657213FC"/>
    <w:rsid w:val="65A823AD"/>
    <w:rsid w:val="65BA6903"/>
    <w:rsid w:val="65C0367E"/>
    <w:rsid w:val="65E21236"/>
    <w:rsid w:val="66065FEC"/>
    <w:rsid w:val="66377F53"/>
    <w:rsid w:val="66570776"/>
    <w:rsid w:val="667EBC26"/>
    <w:rsid w:val="66BC236E"/>
    <w:rsid w:val="66C115F4"/>
    <w:rsid w:val="6712276E"/>
    <w:rsid w:val="67184229"/>
    <w:rsid w:val="673416B1"/>
    <w:rsid w:val="674961A2"/>
    <w:rsid w:val="67674868"/>
    <w:rsid w:val="68116F63"/>
    <w:rsid w:val="68281AB8"/>
    <w:rsid w:val="68336E40"/>
    <w:rsid w:val="68E1064A"/>
    <w:rsid w:val="693A5225"/>
    <w:rsid w:val="6947641E"/>
    <w:rsid w:val="69AD1ECC"/>
    <w:rsid w:val="69B875FD"/>
    <w:rsid w:val="69EB3467"/>
    <w:rsid w:val="69F05A5E"/>
    <w:rsid w:val="6A1D1DA5"/>
    <w:rsid w:val="6A284B97"/>
    <w:rsid w:val="6A356EA0"/>
    <w:rsid w:val="6A440E91"/>
    <w:rsid w:val="6A6A25F3"/>
    <w:rsid w:val="6A7A3085"/>
    <w:rsid w:val="6B2F1D0C"/>
    <w:rsid w:val="6BA5D308"/>
    <w:rsid w:val="6BA95781"/>
    <w:rsid w:val="6BE66E12"/>
    <w:rsid w:val="6BEE7AA2"/>
    <w:rsid w:val="6C2B31B7"/>
    <w:rsid w:val="6C4D7EB7"/>
    <w:rsid w:val="6C9C45D2"/>
    <w:rsid w:val="6CA64085"/>
    <w:rsid w:val="6CE5168F"/>
    <w:rsid w:val="6D203E37"/>
    <w:rsid w:val="6D3D7E07"/>
    <w:rsid w:val="6D4979AA"/>
    <w:rsid w:val="6D4B0788"/>
    <w:rsid w:val="6D561607"/>
    <w:rsid w:val="6D585841"/>
    <w:rsid w:val="6D8F68C7"/>
    <w:rsid w:val="6D940381"/>
    <w:rsid w:val="6DAC1227"/>
    <w:rsid w:val="6DF40E20"/>
    <w:rsid w:val="6E182D60"/>
    <w:rsid w:val="6E2F5A53"/>
    <w:rsid w:val="6E4A0A40"/>
    <w:rsid w:val="6E8547AD"/>
    <w:rsid w:val="6EAC4666"/>
    <w:rsid w:val="6EC802E2"/>
    <w:rsid w:val="6ED3BF57"/>
    <w:rsid w:val="6F094457"/>
    <w:rsid w:val="6F2D283B"/>
    <w:rsid w:val="6F4D07E7"/>
    <w:rsid w:val="6F7C731F"/>
    <w:rsid w:val="6FFB6495"/>
    <w:rsid w:val="700D6C98"/>
    <w:rsid w:val="700F1F41"/>
    <w:rsid w:val="70A563D7"/>
    <w:rsid w:val="70A8473B"/>
    <w:rsid w:val="70D171F6"/>
    <w:rsid w:val="70DA42FD"/>
    <w:rsid w:val="70E27F12"/>
    <w:rsid w:val="70FD381B"/>
    <w:rsid w:val="71152AE8"/>
    <w:rsid w:val="711E068D"/>
    <w:rsid w:val="71791D68"/>
    <w:rsid w:val="71AE02C6"/>
    <w:rsid w:val="71BF76AF"/>
    <w:rsid w:val="71CD79BE"/>
    <w:rsid w:val="71D05F49"/>
    <w:rsid w:val="71E01DE7"/>
    <w:rsid w:val="72255653"/>
    <w:rsid w:val="7228247C"/>
    <w:rsid w:val="722D1231"/>
    <w:rsid w:val="725E25A9"/>
    <w:rsid w:val="72606A84"/>
    <w:rsid w:val="72897D89"/>
    <w:rsid w:val="72F16F11"/>
    <w:rsid w:val="72F36AA4"/>
    <w:rsid w:val="734C0DB6"/>
    <w:rsid w:val="735A7977"/>
    <w:rsid w:val="73655FDF"/>
    <w:rsid w:val="736B7A45"/>
    <w:rsid w:val="73707BF4"/>
    <w:rsid w:val="737F16DE"/>
    <w:rsid w:val="739617DD"/>
    <w:rsid w:val="73EF4994"/>
    <w:rsid w:val="74355434"/>
    <w:rsid w:val="744C72C0"/>
    <w:rsid w:val="746037EA"/>
    <w:rsid w:val="7479207F"/>
    <w:rsid w:val="74A7099A"/>
    <w:rsid w:val="754E0E15"/>
    <w:rsid w:val="75721C44"/>
    <w:rsid w:val="758A2805"/>
    <w:rsid w:val="75A66EA3"/>
    <w:rsid w:val="75D457BF"/>
    <w:rsid w:val="75E605FD"/>
    <w:rsid w:val="76120F55"/>
    <w:rsid w:val="761C0F14"/>
    <w:rsid w:val="766528BB"/>
    <w:rsid w:val="767E1A75"/>
    <w:rsid w:val="76AE428B"/>
    <w:rsid w:val="76D207EF"/>
    <w:rsid w:val="76F53C3E"/>
    <w:rsid w:val="770B4B5C"/>
    <w:rsid w:val="77275DC2"/>
    <w:rsid w:val="77420E4E"/>
    <w:rsid w:val="776963DA"/>
    <w:rsid w:val="77771C8D"/>
    <w:rsid w:val="78177BE5"/>
    <w:rsid w:val="78191BAF"/>
    <w:rsid w:val="782609D1"/>
    <w:rsid w:val="78C23FF4"/>
    <w:rsid w:val="79002DE2"/>
    <w:rsid w:val="79132D33"/>
    <w:rsid w:val="793F50E9"/>
    <w:rsid w:val="794E560B"/>
    <w:rsid w:val="79667075"/>
    <w:rsid w:val="796C4359"/>
    <w:rsid w:val="79917EB6"/>
    <w:rsid w:val="79CD2C51"/>
    <w:rsid w:val="79D20267"/>
    <w:rsid w:val="7A235CEA"/>
    <w:rsid w:val="7A24483B"/>
    <w:rsid w:val="7AA01628"/>
    <w:rsid w:val="7AA52407"/>
    <w:rsid w:val="7ADA47C2"/>
    <w:rsid w:val="7AE5221C"/>
    <w:rsid w:val="7B1C0B89"/>
    <w:rsid w:val="7B286B9A"/>
    <w:rsid w:val="7BCA1FA7"/>
    <w:rsid w:val="7BD94EA4"/>
    <w:rsid w:val="7C52568F"/>
    <w:rsid w:val="7C8E30E3"/>
    <w:rsid w:val="7C95557C"/>
    <w:rsid w:val="7CA90A09"/>
    <w:rsid w:val="7CAE506A"/>
    <w:rsid w:val="7CC0139E"/>
    <w:rsid w:val="7D006E99"/>
    <w:rsid w:val="7D032E2D"/>
    <w:rsid w:val="7D073079"/>
    <w:rsid w:val="7D123629"/>
    <w:rsid w:val="7D255EAF"/>
    <w:rsid w:val="7D5A4833"/>
    <w:rsid w:val="7DEE3196"/>
    <w:rsid w:val="7DFD787D"/>
    <w:rsid w:val="7E35461F"/>
    <w:rsid w:val="7E4454AB"/>
    <w:rsid w:val="7E54AD8F"/>
    <w:rsid w:val="7E665422"/>
    <w:rsid w:val="7E9633BF"/>
    <w:rsid w:val="7ECFB46D"/>
    <w:rsid w:val="7ED62CC5"/>
    <w:rsid w:val="7F7B2CA0"/>
    <w:rsid w:val="7F9C15E8"/>
    <w:rsid w:val="7F9D431D"/>
    <w:rsid w:val="7FA2380C"/>
    <w:rsid w:val="7FCF65AF"/>
    <w:rsid w:val="7FDDFF8D"/>
    <w:rsid w:val="7FEF8056"/>
    <w:rsid w:val="7FFFA2F0"/>
    <w:rsid w:val="8FF8544B"/>
    <w:rsid w:val="9CF79786"/>
    <w:rsid w:val="A73AAC00"/>
    <w:rsid w:val="ACFF1D86"/>
    <w:rsid w:val="AF57C153"/>
    <w:rsid w:val="B0FBB1CD"/>
    <w:rsid w:val="BB1F7182"/>
    <w:rsid w:val="BB3B8826"/>
    <w:rsid w:val="BDF7CA48"/>
    <w:rsid w:val="C79B33CC"/>
    <w:rsid w:val="D0D84075"/>
    <w:rsid w:val="D1FB4054"/>
    <w:rsid w:val="D5F5DAEE"/>
    <w:rsid w:val="D759D48B"/>
    <w:rsid w:val="DBFF2757"/>
    <w:rsid w:val="DE4D8732"/>
    <w:rsid w:val="DFDDBE84"/>
    <w:rsid w:val="E8EC16BA"/>
    <w:rsid w:val="EA758146"/>
    <w:rsid w:val="EDE6DCDA"/>
    <w:rsid w:val="EF52CF71"/>
    <w:rsid w:val="EFFB2C9B"/>
    <w:rsid w:val="F0BF0CE3"/>
    <w:rsid w:val="F1FF8F00"/>
    <w:rsid w:val="F56F31CA"/>
    <w:rsid w:val="F77B9A96"/>
    <w:rsid w:val="F78F238A"/>
    <w:rsid w:val="F7E7FBB0"/>
    <w:rsid w:val="FA1743B5"/>
    <w:rsid w:val="FBDDEDB5"/>
    <w:rsid w:val="FBFB5FE1"/>
    <w:rsid w:val="FBFF3F34"/>
    <w:rsid w:val="FD7D9755"/>
    <w:rsid w:val="FDFB1388"/>
    <w:rsid w:val="FECECE95"/>
    <w:rsid w:val="FF6F9C7B"/>
    <w:rsid w:val="FFF727A5"/>
    <w:rsid w:val="FFFB8074"/>
    <w:rsid w:val="FFFCDE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0" w:semiHidden="0" w:name="annotation text"/>
    <w:lsdException w:qFormat="1"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iPriority="99" w:semiHidden="0" w:name="Body Text 2"/>
    <w:lsdException w:qFormat="1" w:unhideWhenUsed="0" w:uiPriority="0" w:semiHidden="0" w:name="Body Text 3"/>
    <w:lsdException w:uiPriority="99" w:name="Body Text Indent 2"/>
    <w:lsdException w:qFormat="1" w:uiPriority="99" w:semiHidden="0"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9"/>
    <w:pPr>
      <w:widowControl/>
      <w:numPr>
        <w:ilvl w:val="0"/>
        <w:numId w:val="1"/>
      </w:numPr>
      <w:spacing w:line="360" w:lineRule="auto"/>
      <w:ind w:left="0"/>
      <w:contextualSpacing/>
      <w:jc w:val="left"/>
      <w:outlineLvl w:val="0"/>
    </w:pPr>
    <w:rPr>
      <w:rFonts w:ascii="Verdana" w:hAnsi="Verdana"/>
      <w:b/>
      <w:smallCaps/>
      <w:spacing w:val="5"/>
      <w:kern w:val="0"/>
      <w:sz w:val="28"/>
      <w:szCs w:val="36"/>
      <w:lang w:eastAsia="en-US" w:bidi="en-US"/>
    </w:rPr>
  </w:style>
  <w:style w:type="paragraph" w:styleId="3">
    <w:name w:val="heading 2"/>
    <w:basedOn w:val="1"/>
    <w:next w:val="1"/>
    <w:link w:val="43"/>
    <w:qFormat/>
    <w:uiPriority w:val="9"/>
    <w:pPr>
      <w:widowControl/>
      <w:numPr>
        <w:ilvl w:val="1"/>
        <w:numId w:val="1"/>
      </w:numPr>
      <w:spacing w:beforeLines="100" w:afterLines="100" w:line="360" w:lineRule="auto"/>
      <w:jc w:val="left"/>
      <w:outlineLvl w:val="1"/>
    </w:pPr>
    <w:rPr>
      <w:rFonts w:ascii="Verdana" w:hAnsi="Verdana" w:eastAsia="黑体"/>
      <w:b/>
      <w:smallCaps/>
      <w:kern w:val="0"/>
      <w:sz w:val="28"/>
      <w:szCs w:val="28"/>
      <w:lang w:eastAsia="en-US" w:bidi="en-US"/>
    </w:rPr>
  </w:style>
  <w:style w:type="paragraph" w:styleId="4">
    <w:name w:val="heading 3"/>
    <w:basedOn w:val="1"/>
    <w:next w:val="1"/>
    <w:link w:val="44"/>
    <w:qFormat/>
    <w:uiPriority w:val="9"/>
    <w:pPr>
      <w:widowControl/>
      <w:numPr>
        <w:ilvl w:val="2"/>
        <w:numId w:val="1"/>
      </w:numPr>
      <w:spacing w:line="360" w:lineRule="auto"/>
      <w:jc w:val="left"/>
      <w:outlineLvl w:val="2"/>
    </w:pPr>
    <w:rPr>
      <w:rFonts w:ascii="Verdana" w:hAnsi="Verdana" w:eastAsia="黑体"/>
      <w:b/>
      <w:iCs/>
      <w:smallCaps/>
      <w:spacing w:val="5"/>
      <w:kern w:val="0"/>
      <w:sz w:val="26"/>
      <w:szCs w:val="26"/>
      <w:lang w:bidi="en-US"/>
    </w:rPr>
  </w:style>
  <w:style w:type="paragraph" w:styleId="5">
    <w:name w:val="heading 4"/>
    <w:basedOn w:val="1"/>
    <w:next w:val="1"/>
    <w:link w:val="45"/>
    <w:qFormat/>
    <w:uiPriority w:val="9"/>
    <w:pPr>
      <w:widowControl/>
      <w:numPr>
        <w:ilvl w:val="3"/>
        <w:numId w:val="1"/>
      </w:numPr>
      <w:spacing w:line="271" w:lineRule="auto"/>
      <w:jc w:val="left"/>
      <w:outlineLvl w:val="3"/>
    </w:pPr>
    <w:rPr>
      <w:rFonts w:ascii="Verdana" w:hAnsi="Verdana" w:eastAsia="黑体"/>
      <w:b/>
      <w:bCs/>
      <w:spacing w:val="5"/>
      <w:kern w:val="0"/>
      <w:sz w:val="24"/>
      <w:lang w:eastAsia="en-US" w:bidi="en-US"/>
    </w:rPr>
  </w:style>
  <w:style w:type="paragraph" w:styleId="6">
    <w:name w:val="heading 5"/>
    <w:basedOn w:val="1"/>
    <w:next w:val="1"/>
    <w:link w:val="46"/>
    <w:qFormat/>
    <w:uiPriority w:val="9"/>
    <w:pPr>
      <w:widowControl/>
      <w:numPr>
        <w:ilvl w:val="4"/>
        <w:numId w:val="1"/>
      </w:numPr>
      <w:spacing w:line="271" w:lineRule="auto"/>
      <w:jc w:val="left"/>
      <w:outlineLvl w:val="4"/>
    </w:pPr>
    <w:rPr>
      <w:rFonts w:ascii="Verdana" w:hAnsi="Verdana" w:eastAsia="黑体"/>
      <w:b/>
      <w:iCs/>
      <w:kern w:val="0"/>
      <w:sz w:val="24"/>
      <w:lang w:eastAsia="en-US" w:bidi="en-US"/>
    </w:rPr>
  </w:style>
  <w:style w:type="paragraph" w:styleId="7">
    <w:name w:val="heading 6"/>
    <w:basedOn w:val="1"/>
    <w:next w:val="1"/>
    <w:link w:val="47"/>
    <w:qFormat/>
    <w:uiPriority w:val="9"/>
    <w:pPr>
      <w:widowControl/>
      <w:numPr>
        <w:ilvl w:val="5"/>
        <w:numId w:val="1"/>
      </w:numPr>
      <w:shd w:val="clear" w:color="auto" w:fill="FFFFFF"/>
      <w:spacing w:line="271" w:lineRule="auto"/>
      <w:jc w:val="left"/>
      <w:outlineLvl w:val="5"/>
    </w:pPr>
    <w:rPr>
      <w:rFonts w:ascii="Verdana" w:hAnsi="Verdana" w:eastAsia="微软雅黑"/>
      <w:b/>
      <w:bCs/>
      <w:color w:val="595959"/>
      <w:spacing w:val="5"/>
      <w:kern w:val="0"/>
      <w:sz w:val="24"/>
      <w:szCs w:val="20"/>
      <w:lang w:eastAsia="en-US" w:bidi="en-US"/>
    </w:rPr>
  </w:style>
  <w:style w:type="paragraph" w:styleId="8">
    <w:name w:val="heading 7"/>
    <w:basedOn w:val="1"/>
    <w:next w:val="1"/>
    <w:link w:val="48"/>
    <w:qFormat/>
    <w:uiPriority w:val="9"/>
    <w:pPr>
      <w:widowControl/>
      <w:numPr>
        <w:ilvl w:val="6"/>
        <w:numId w:val="1"/>
      </w:numPr>
      <w:spacing w:line="360" w:lineRule="auto"/>
      <w:jc w:val="left"/>
      <w:outlineLvl w:val="6"/>
    </w:pPr>
    <w:rPr>
      <w:rFonts w:ascii="Verdana" w:hAnsi="Verdana" w:eastAsia="微软雅黑"/>
      <w:b/>
      <w:bCs/>
      <w:i/>
      <w:iCs/>
      <w:color w:val="5A5A5A"/>
      <w:kern w:val="0"/>
      <w:sz w:val="20"/>
      <w:szCs w:val="20"/>
      <w:lang w:eastAsia="en-US" w:bidi="en-US"/>
    </w:rPr>
  </w:style>
  <w:style w:type="paragraph" w:styleId="9">
    <w:name w:val="heading 8"/>
    <w:basedOn w:val="1"/>
    <w:next w:val="1"/>
    <w:link w:val="49"/>
    <w:qFormat/>
    <w:uiPriority w:val="9"/>
    <w:pPr>
      <w:widowControl/>
      <w:numPr>
        <w:ilvl w:val="7"/>
        <w:numId w:val="1"/>
      </w:numPr>
      <w:spacing w:line="360" w:lineRule="auto"/>
      <w:jc w:val="left"/>
      <w:outlineLvl w:val="7"/>
    </w:pPr>
    <w:rPr>
      <w:rFonts w:ascii="Verdana" w:hAnsi="Verdana" w:eastAsia="微软雅黑"/>
      <w:b/>
      <w:bCs/>
      <w:color w:val="7F7F7F"/>
      <w:kern w:val="0"/>
      <w:sz w:val="20"/>
      <w:szCs w:val="20"/>
      <w:lang w:eastAsia="en-US" w:bidi="en-US"/>
    </w:rPr>
  </w:style>
  <w:style w:type="paragraph" w:styleId="10">
    <w:name w:val="heading 9"/>
    <w:basedOn w:val="1"/>
    <w:next w:val="1"/>
    <w:link w:val="50"/>
    <w:qFormat/>
    <w:uiPriority w:val="9"/>
    <w:pPr>
      <w:widowControl/>
      <w:numPr>
        <w:ilvl w:val="8"/>
        <w:numId w:val="1"/>
      </w:numPr>
      <w:spacing w:line="271" w:lineRule="auto"/>
      <w:jc w:val="left"/>
      <w:outlineLvl w:val="8"/>
    </w:pPr>
    <w:rPr>
      <w:rFonts w:ascii="Verdana" w:hAnsi="Verdana" w:eastAsia="微软雅黑"/>
      <w:b/>
      <w:bCs/>
      <w:i/>
      <w:iCs/>
      <w:color w:val="7F7F7F"/>
      <w:kern w:val="0"/>
      <w:sz w:val="18"/>
      <w:szCs w:val="18"/>
      <w:lang w:eastAsia="en-US" w:bidi="en-US"/>
    </w:rPr>
  </w:style>
  <w:style w:type="character" w:default="1" w:styleId="37">
    <w:name w:val="Default Paragraph Font"/>
    <w:semiHidden/>
    <w:unhideWhenUsed/>
    <w:qFormat/>
    <w:uiPriority w:val="1"/>
  </w:style>
  <w:style w:type="table" w:default="1" w:styleId="3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Normal Indent"/>
    <w:basedOn w:val="1"/>
    <w:next w:val="1"/>
    <w:unhideWhenUsed/>
    <w:qFormat/>
    <w:uiPriority w:val="0"/>
    <w:pPr>
      <w:adjustRightInd w:val="0"/>
      <w:spacing w:line="312" w:lineRule="atLeast"/>
      <w:ind w:firstLine="420"/>
      <w:textAlignment w:val="baseline"/>
    </w:pPr>
    <w:rPr>
      <w:kern w:val="0"/>
      <w:szCs w:val="20"/>
    </w:rPr>
  </w:style>
  <w:style w:type="paragraph" w:styleId="12">
    <w:name w:val="Document Map"/>
    <w:basedOn w:val="1"/>
    <w:link w:val="51"/>
    <w:semiHidden/>
    <w:qFormat/>
    <w:uiPriority w:val="0"/>
    <w:pPr>
      <w:shd w:val="clear" w:color="auto" w:fill="000080"/>
    </w:pPr>
    <w:rPr>
      <w:kern w:val="0"/>
      <w:sz w:val="20"/>
    </w:rPr>
  </w:style>
  <w:style w:type="paragraph" w:styleId="13">
    <w:name w:val="annotation text"/>
    <w:basedOn w:val="1"/>
    <w:link w:val="52"/>
    <w:unhideWhenUsed/>
    <w:qFormat/>
    <w:uiPriority w:val="0"/>
    <w:pPr>
      <w:jc w:val="left"/>
    </w:pPr>
  </w:style>
  <w:style w:type="paragraph" w:styleId="14">
    <w:name w:val="Body Text 3"/>
    <w:basedOn w:val="1"/>
    <w:qFormat/>
    <w:uiPriority w:val="0"/>
    <w:rPr>
      <w:rFonts w:ascii="宋体"/>
      <w:sz w:val="24"/>
      <w:szCs w:val="20"/>
    </w:rPr>
  </w:style>
  <w:style w:type="paragraph" w:styleId="15">
    <w:name w:val="Body Text"/>
    <w:basedOn w:val="1"/>
    <w:link w:val="53"/>
    <w:semiHidden/>
    <w:qFormat/>
    <w:uiPriority w:val="0"/>
    <w:rPr>
      <w:kern w:val="0"/>
      <w:sz w:val="44"/>
    </w:rPr>
  </w:style>
  <w:style w:type="paragraph" w:styleId="16">
    <w:name w:val="Body Text Indent"/>
    <w:basedOn w:val="1"/>
    <w:next w:val="17"/>
    <w:link w:val="54"/>
    <w:semiHidden/>
    <w:qFormat/>
    <w:uiPriority w:val="0"/>
    <w:pPr>
      <w:ind w:firstLine="630"/>
    </w:pPr>
    <w:rPr>
      <w:kern w:val="0"/>
      <w:sz w:val="32"/>
    </w:rPr>
  </w:style>
  <w:style w:type="paragraph" w:styleId="17">
    <w:name w:val="Body Text First Indent 2"/>
    <w:basedOn w:val="16"/>
    <w:next w:val="18"/>
    <w:qFormat/>
    <w:uiPriority w:val="99"/>
    <w:pPr>
      <w:spacing w:line="240" w:lineRule="auto"/>
      <w:ind w:left="420" w:leftChars="200" w:firstLine="420" w:firstLineChars="200"/>
    </w:pPr>
    <w:rPr>
      <w:rFonts w:ascii="Times New Roman" w:cs="Times New Roman"/>
      <w:spacing w:val="0"/>
      <w:sz w:val="21"/>
      <w:szCs w:val="21"/>
    </w:rPr>
  </w:style>
  <w:style w:type="paragraph" w:styleId="18">
    <w:name w:val="Body Text First Indent"/>
    <w:basedOn w:val="15"/>
    <w:next w:val="1"/>
    <w:qFormat/>
    <w:uiPriority w:val="0"/>
    <w:pPr>
      <w:spacing w:after="120"/>
      <w:ind w:firstLine="420" w:firstLineChars="100"/>
    </w:pPr>
    <w:rPr>
      <w:kern w:val="2"/>
      <w:sz w:val="21"/>
    </w:rPr>
  </w:style>
  <w:style w:type="paragraph" w:styleId="19">
    <w:name w:val="toc 5"/>
    <w:basedOn w:val="1"/>
    <w:next w:val="1"/>
    <w:qFormat/>
    <w:uiPriority w:val="39"/>
    <w:pPr>
      <w:ind w:left="1680" w:leftChars="800"/>
    </w:pPr>
  </w:style>
  <w:style w:type="paragraph" w:styleId="20">
    <w:name w:val="toc 3"/>
    <w:basedOn w:val="1"/>
    <w:next w:val="1"/>
    <w:unhideWhenUsed/>
    <w:qFormat/>
    <w:uiPriority w:val="39"/>
    <w:pPr>
      <w:tabs>
        <w:tab w:val="left" w:pos="1050"/>
        <w:tab w:val="right" w:leader="dot" w:pos="9498"/>
      </w:tabs>
    </w:pPr>
  </w:style>
  <w:style w:type="paragraph" w:styleId="21">
    <w:name w:val="Plain Text"/>
    <w:basedOn w:val="1"/>
    <w:next w:val="1"/>
    <w:link w:val="55"/>
    <w:qFormat/>
    <w:uiPriority w:val="0"/>
    <w:pPr>
      <w:spacing w:line="360" w:lineRule="auto"/>
    </w:pPr>
    <w:rPr>
      <w:rFonts w:ascii="宋体" w:hAnsi="Courier New"/>
      <w:kern w:val="0"/>
      <w:sz w:val="24"/>
      <w:szCs w:val="20"/>
    </w:rPr>
  </w:style>
  <w:style w:type="paragraph" w:styleId="22">
    <w:name w:val="Date"/>
    <w:basedOn w:val="1"/>
    <w:next w:val="1"/>
    <w:link w:val="56"/>
    <w:unhideWhenUsed/>
    <w:qFormat/>
    <w:uiPriority w:val="0"/>
    <w:pPr>
      <w:ind w:left="100" w:leftChars="2500"/>
    </w:pPr>
    <w:rPr>
      <w:kern w:val="0"/>
      <w:sz w:val="20"/>
    </w:rPr>
  </w:style>
  <w:style w:type="paragraph" w:styleId="23">
    <w:name w:val="Balloon Text"/>
    <w:basedOn w:val="1"/>
    <w:link w:val="57"/>
    <w:unhideWhenUsed/>
    <w:qFormat/>
    <w:uiPriority w:val="99"/>
    <w:rPr>
      <w:kern w:val="0"/>
      <w:sz w:val="18"/>
      <w:szCs w:val="18"/>
    </w:rPr>
  </w:style>
  <w:style w:type="paragraph" w:styleId="24">
    <w:name w:val="footer"/>
    <w:basedOn w:val="1"/>
    <w:link w:val="58"/>
    <w:qFormat/>
    <w:uiPriority w:val="99"/>
    <w:pPr>
      <w:tabs>
        <w:tab w:val="center" w:pos="4153"/>
        <w:tab w:val="right" w:pos="8306"/>
      </w:tabs>
      <w:snapToGrid w:val="0"/>
      <w:jc w:val="left"/>
    </w:pPr>
    <w:rPr>
      <w:kern w:val="0"/>
      <w:sz w:val="18"/>
      <w:szCs w:val="18"/>
    </w:rPr>
  </w:style>
  <w:style w:type="paragraph" w:styleId="25">
    <w:name w:val="header"/>
    <w:basedOn w:val="1"/>
    <w:link w:val="59"/>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26">
    <w:name w:val="toc 1"/>
    <w:basedOn w:val="1"/>
    <w:next w:val="1"/>
    <w:unhideWhenUsed/>
    <w:qFormat/>
    <w:uiPriority w:val="39"/>
    <w:pPr>
      <w:tabs>
        <w:tab w:val="right" w:leader="dot" w:pos="9498"/>
      </w:tabs>
    </w:pPr>
  </w:style>
  <w:style w:type="paragraph" w:styleId="27">
    <w:name w:val="Subtitle"/>
    <w:basedOn w:val="1"/>
    <w:next w:val="1"/>
    <w:link w:val="60"/>
    <w:qFormat/>
    <w:uiPriority w:val="11"/>
    <w:pPr>
      <w:spacing w:before="240" w:after="60" w:line="312" w:lineRule="auto"/>
      <w:jc w:val="center"/>
      <w:outlineLvl w:val="1"/>
    </w:pPr>
    <w:rPr>
      <w:rFonts w:ascii="Cambria" w:hAnsi="Cambria"/>
      <w:b/>
      <w:bCs/>
      <w:kern w:val="28"/>
      <w:sz w:val="32"/>
      <w:szCs w:val="32"/>
    </w:rPr>
  </w:style>
  <w:style w:type="paragraph" w:styleId="28">
    <w:name w:val="Body Text Indent 3"/>
    <w:basedOn w:val="1"/>
    <w:link w:val="61"/>
    <w:unhideWhenUsed/>
    <w:qFormat/>
    <w:uiPriority w:val="99"/>
    <w:pPr>
      <w:spacing w:after="120"/>
      <w:ind w:left="420" w:leftChars="200"/>
    </w:pPr>
    <w:rPr>
      <w:kern w:val="0"/>
      <w:sz w:val="16"/>
      <w:szCs w:val="16"/>
    </w:rPr>
  </w:style>
  <w:style w:type="paragraph" w:styleId="29">
    <w:name w:val="toc 2"/>
    <w:basedOn w:val="1"/>
    <w:next w:val="1"/>
    <w:unhideWhenUsed/>
    <w:qFormat/>
    <w:uiPriority w:val="39"/>
    <w:pPr>
      <w:tabs>
        <w:tab w:val="left" w:pos="840"/>
        <w:tab w:val="right" w:leader="dot" w:pos="9498"/>
      </w:tabs>
      <w:ind w:right="-483" w:rightChars="-230"/>
      <w:jc w:val="left"/>
    </w:pPr>
  </w:style>
  <w:style w:type="paragraph" w:styleId="30">
    <w:name w:val="Body Text 2"/>
    <w:basedOn w:val="1"/>
    <w:link w:val="62"/>
    <w:unhideWhenUsed/>
    <w:qFormat/>
    <w:uiPriority w:val="99"/>
    <w:pPr>
      <w:spacing w:after="120" w:line="480" w:lineRule="auto"/>
    </w:pPr>
  </w:style>
  <w:style w:type="paragraph" w:styleId="31">
    <w:name w:val="Message Header"/>
    <w:basedOn w:val="1"/>
    <w:next w:val="15"/>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32">
    <w:name w:val="Normal (Web)"/>
    <w:basedOn w:val="1"/>
    <w:unhideWhenUsed/>
    <w:qFormat/>
    <w:uiPriority w:val="0"/>
    <w:pPr>
      <w:widowControl/>
      <w:spacing w:before="100" w:beforeAutospacing="1" w:after="100" w:afterAutospacing="1" w:line="315" w:lineRule="atLeast"/>
      <w:jc w:val="left"/>
    </w:pPr>
    <w:rPr>
      <w:rFonts w:ascii="宋体" w:hAnsi="宋体" w:cs="宋体"/>
      <w:kern w:val="0"/>
      <w:sz w:val="18"/>
      <w:szCs w:val="18"/>
    </w:rPr>
  </w:style>
  <w:style w:type="paragraph" w:styleId="33">
    <w:name w:val="Title"/>
    <w:basedOn w:val="1"/>
    <w:next w:val="1"/>
    <w:link w:val="63"/>
    <w:qFormat/>
    <w:uiPriority w:val="0"/>
    <w:pPr>
      <w:spacing w:before="240" w:after="60"/>
      <w:jc w:val="center"/>
      <w:outlineLvl w:val="0"/>
    </w:pPr>
    <w:rPr>
      <w:rFonts w:ascii="Cambria" w:hAnsi="Cambria"/>
      <w:b/>
      <w:bCs/>
      <w:kern w:val="0"/>
      <w:sz w:val="32"/>
      <w:szCs w:val="32"/>
    </w:rPr>
  </w:style>
  <w:style w:type="paragraph" w:styleId="34">
    <w:name w:val="annotation subject"/>
    <w:basedOn w:val="13"/>
    <w:next w:val="13"/>
    <w:link w:val="64"/>
    <w:unhideWhenUsed/>
    <w:qFormat/>
    <w:uiPriority w:val="0"/>
  </w:style>
  <w:style w:type="table" w:styleId="36">
    <w:name w:val="Table Grid"/>
    <w:basedOn w:val="3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Strong"/>
    <w:qFormat/>
    <w:uiPriority w:val="0"/>
    <w:rPr>
      <w:rFonts w:ascii="Tahoma" w:hAnsi="Tahoma"/>
      <w:b/>
      <w:bCs/>
      <w:sz w:val="24"/>
    </w:rPr>
  </w:style>
  <w:style w:type="character" w:styleId="39">
    <w:name w:val="page number"/>
    <w:semiHidden/>
    <w:qFormat/>
    <w:uiPriority w:val="0"/>
  </w:style>
  <w:style w:type="character" w:styleId="40">
    <w:name w:val="Hyperlink"/>
    <w:unhideWhenUsed/>
    <w:qFormat/>
    <w:uiPriority w:val="99"/>
    <w:rPr>
      <w:color w:val="0000FF"/>
      <w:u w:val="single"/>
    </w:rPr>
  </w:style>
  <w:style w:type="character" w:styleId="41">
    <w:name w:val="annotation reference"/>
    <w:unhideWhenUsed/>
    <w:qFormat/>
    <w:uiPriority w:val="0"/>
    <w:rPr>
      <w:sz w:val="21"/>
      <w:szCs w:val="21"/>
    </w:rPr>
  </w:style>
  <w:style w:type="character" w:customStyle="1" w:styleId="42">
    <w:name w:val="标题 1 字符"/>
    <w:link w:val="2"/>
    <w:qFormat/>
    <w:uiPriority w:val="9"/>
    <w:rPr>
      <w:rFonts w:ascii="Verdana" w:hAnsi="Verdana" w:eastAsia="宋体" w:cs="Times New Roman"/>
      <w:b/>
      <w:smallCaps/>
      <w:spacing w:val="5"/>
      <w:kern w:val="0"/>
      <w:sz w:val="28"/>
      <w:szCs w:val="36"/>
      <w:lang w:eastAsia="en-US" w:bidi="en-US"/>
    </w:rPr>
  </w:style>
  <w:style w:type="character" w:customStyle="1" w:styleId="43">
    <w:name w:val="标题 2 字符"/>
    <w:link w:val="3"/>
    <w:qFormat/>
    <w:uiPriority w:val="9"/>
    <w:rPr>
      <w:rFonts w:ascii="Verdana" w:hAnsi="Verdana" w:eastAsia="黑体" w:cs="Times New Roman"/>
      <w:b/>
      <w:smallCaps/>
      <w:kern w:val="0"/>
      <w:sz w:val="28"/>
      <w:szCs w:val="28"/>
      <w:lang w:eastAsia="en-US" w:bidi="en-US"/>
    </w:rPr>
  </w:style>
  <w:style w:type="character" w:customStyle="1" w:styleId="44">
    <w:name w:val="标题 3 字符"/>
    <w:link w:val="4"/>
    <w:qFormat/>
    <w:uiPriority w:val="9"/>
    <w:rPr>
      <w:rFonts w:ascii="Verdana" w:hAnsi="Verdana" w:eastAsia="黑体" w:cs="Times New Roman"/>
      <w:b/>
      <w:iCs/>
      <w:smallCaps/>
      <w:spacing w:val="5"/>
      <w:kern w:val="0"/>
      <w:sz w:val="26"/>
      <w:szCs w:val="26"/>
      <w:lang w:bidi="en-US"/>
    </w:rPr>
  </w:style>
  <w:style w:type="character" w:customStyle="1" w:styleId="45">
    <w:name w:val="标题 4 字符"/>
    <w:link w:val="5"/>
    <w:qFormat/>
    <w:uiPriority w:val="9"/>
    <w:rPr>
      <w:rFonts w:ascii="Verdana" w:hAnsi="Verdana" w:eastAsia="黑体" w:cs="Times New Roman"/>
      <w:b/>
      <w:bCs/>
      <w:spacing w:val="5"/>
      <w:kern w:val="0"/>
      <w:sz w:val="24"/>
      <w:szCs w:val="24"/>
      <w:lang w:eastAsia="en-US" w:bidi="en-US"/>
    </w:rPr>
  </w:style>
  <w:style w:type="character" w:customStyle="1" w:styleId="46">
    <w:name w:val="标题 5 字符"/>
    <w:link w:val="6"/>
    <w:qFormat/>
    <w:uiPriority w:val="9"/>
    <w:rPr>
      <w:rFonts w:ascii="Verdana" w:hAnsi="Verdana" w:eastAsia="黑体" w:cs="Times New Roman"/>
      <w:b/>
      <w:iCs/>
      <w:kern w:val="0"/>
      <w:sz w:val="24"/>
      <w:szCs w:val="24"/>
      <w:lang w:eastAsia="en-US" w:bidi="en-US"/>
    </w:rPr>
  </w:style>
  <w:style w:type="character" w:customStyle="1" w:styleId="47">
    <w:name w:val="标题 6 字符"/>
    <w:link w:val="7"/>
    <w:qFormat/>
    <w:uiPriority w:val="9"/>
    <w:rPr>
      <w:rFonts w:ascii="Verdana" w:hAnsi="Verdana" w:eastAsia="微软雅黑" w:cs="Times New Roman"/>
      <w:b/>
      <w:bCs/>
      <w:color w:val="595959"/>
      <w:spacing w:val="5"/>
      <w:kern w:val="0"/>
      <w:sz w:val="24"/>
      <w:shd w:val="clear" w:color="auto" w:fill="FFFFFF"/>
      <w:lang w:eastAsia="en-US" w:bidi="en-US"/>
    </w:rPr>
  </w:style>
  <w:style w:type="character" w:customStyle="1" w:styleId="48">
    <w:name w:val="标题 7 字符"/>
    <w:link w:val="8"/>
    <w:qFormat/>
    <w:uiPriority w:val="9"/>
    <w:rPr>
      <w:rFonts w:ascii="Verdana" w:hAnsi="Verdana" w:eastAsia="微软雅黑" w:cs="Times New Roman"/>
      <w:b/>
      <w:bCs/>
      <w:i/>
      <w:iCs/>
      <w:color w:val="5A5A5A"/>
      <w:kern w:val="0"/>
      <w:sz w:val="20"/>
      <w:szCs w:val="20"/>
      <w:lang w:eastAsia="en-US" w:bidi="en-US"/>
    </w:rPr>
  </w:style>
  <w:style w:type="character" w:customStyle="1" w:styleId="49">
    <w:name w:val="标题 8 字符"/>
    <w:link w:val="9"/>
    <w:qFormat/>
    <w:uiPriority w:val="9"/>
    <w:rPr>
      <w:rFonts w:ascii="Verdana" w:hAnsi="Verdana" w:eastAsia="微软雅黑" w:cs="Times New Roman"/>
      <w:b/>
      <w:bCs/>
      <w:color w:val="7F7F7F"/>
      <w:kern w:val="0"/>
      <w:sz w:val="20"/>
      <w:szCs w:val="20"/>
      <w:lang w:eastAsia="en-US" w:bidi="en-US"/>
    </w:rPr>
  </w:style>
  <w:style w:type="character" w:customStyle="1" w:styleId="50">
    <w:name w:val="标题 9 字符"/>
    <w:link w:val="10"/>
    <w:qFormat/>
    <w:uiPriority w:val="9"/>
    <w:rPr>
      <w:rFonts w:ascii="Verdana" w:hAnsi="Verdana" w:eastAsia="微软雅黑" w:cs="Times New Roman"/>
      <w:b/>
      <w:bCs/>
      <w:i/>
      <w:iCs/>
      <w:color w:val="7F7F7F"/>
      <w:kern w:val="0"/>
      <w:sz w:val="18"/>
      <w:szCs w:val="18"/>
      <w:lang w:eastAsia="en-US" w:bidi="en-US"/>
    </w:rPr>
  </w:style>
  <w:style w:type="character" w:customStyle="1" w:styleId="51">
    <w:name w:val="文档结构图 字符"/>
    <w:link w:val="12"/>
    <w:semiHidden/>
    <w:qFormat/>
    <w:uiPriority w:val="0"/>
    <w:rPr>
      <w:rFonts w:ascii="Times New Roman" w:hAnsi="Times New Roman" w:eastAsia="宋体" w:cs="Times New Roman"/>
      <w:szCs w:val="24"/>
      <w:shd w:val="clear" w:color="auto" w:fill="000080"/>
    </w:rPr>
  </w:style>
  <w:style w:type="character" w:customStyle="1" w:styleId="52">
    <w:name w:val="批注文字 字符"/>
    <w:link w:val="13"/>
    <w:qFormat/>
    <w:uiPriority w:val="0"/>
    <w:rPr>
      <w:kern w:val="2"/>
      <w:sz w:val="21"/>
      <w:szCs w:val="24"/>
      <w:lang w:bidi="ar-SA"/>
    </w:rPr>
  </w:style>
  <w:style w:type="character" w:customStyle="1" w:styleId="53">
    <w:name w:val="正文文本 字符"/>
    <w:link w:val="15"/>
    <w:semiHidden/>
    <w:qFormat/>
    <w:uiPriority w:val="0"/>
    <w:rPr>
      <w:rFonts w:ascii="Times New Roman" w:hAnsi="Times New Roman" w:eastAsia="宋体" w:cs="Times New Roman"/>
      <w:sz w:val="44"/>
      <w:szCs w:val="24"/>
    </w:rPr>
  </w:style>
  <w:style w:type="character" w:customStyle="1" w:styleId="54">
    <w:name w:val="正文文本缩进 字符"/>
    <w:link w:val="16"/>
    <w:semiHidden/>
    <w:qFormat/>
    <w:uiPriority w:val="0"/>
    <w:rPr>
      <w:rFonts w:ascii="Times New Roman" w:hAnsi="Times New Roman" w:eastAsia="宋体" w:cs="Times New Roman"/>
      <w:sz w:val="32"/>
      <w:szCs w:val="24"/>
    </w:rPr>
  </w:style>
  <w:style w:type="character" w:customStyle="1" w:styleId="55">
    <w:name w:val="纯文本 字符"/>
    <w:link w:val="21"/>
    <w:qFormat/>
    <w:uiPriority w:val="0"/>
    <w:rPr>
      <w:rFonts w:ascii="宋体" w:hAnsi="Courier New" w:eastAsia="宋体" w:cs="Times New Roman"/>
      <w:sz w:val="24"/>
      <w:szCs w:val="20"/>
    </w:rPr>
  </w:style>
  <w:style w:type="character" w:customStyle="1" w:styleId="56">
    <w:name w:val="日期 字符"/>
    <w:link w:val="22"/>
    <w:qFormat/>
    <w:uiPriority w:val="0"/>
    <w:rPr>
      <w:rFonts w:ascii="Times New Roman" w:hAnsi="Times New Roman" w:eastAsia="宋体" w:cs="Times New Roman"/>
      <w:szCs w:val="24"/>
    </w:rPr>
  </w:style>
  <w:style w:type="character" w:customStyle="1" w:styleId="57">
    <w:name w:val="批注框文本 字符"/>
    <w:link w:val="23"/>
    <w:semiHidden/>
    <w:qFormat/>
    <w:uiPriority w:val="99"/>
    <w:rPr>
      <w:rFonts w:ascii="Times New Roman" w:hAnsi="Times New Roman" w:eastAsia="宋体" w:cs="Times New Roman"/>
      <w:sz w:val="18"/>
      <w:szCs w:val="18"/>
    </w:rPr>
  </w:style>
  <w:style w:type="character" w:customStyle="1" w:styleId="58">
    <w:name w:val="页脚 字符"/>
    <w:link w:val="24"/>
    <w:qFormat/>
    <w:uiPriority w:val="99"/>
    <w:rPr>
      <w:rFonts w:ascii="Times New Roman" w:hAnsi="Times New Roman" w:eastAsia="宋体" w:cs="Times New Roman"/>
      <w:sz w:val="18"/>
      <w:szCs w:val="18"/>
    </w:rPr>
  </w:style>
  <w:style w:type="character" w:customStyle="1" w:styleId="59">
    <w:name w:val="页眉 字符"/>
    <w:link w:val="25"/>
    <w:qFormat/>
    <w:uiPriority w:val="0"/>
    <w:rPr>
      <w:rFonts w:ascii="Times New Roman" w:hAnsi="Times New Roman" w:eastAsia="宋体" w:cs="Times New Roman"/>
      <w:sz w:val="18"/>
      <w:szCs w:val="18"/>
    </w:rPr>
  </w:style>
  <w:style w:type="character" w:customStyle="1" w:styleId="60">
    <w:name w:val="副标题 字符"/>
    <w:link w:val="27"/>
    <w:qFormat/>
    <w:uiPriority w:val="11"/>
    <w:rPr>
      <w:rFonts w:ascii="Cambria" w:hAnsi="Cambria" w:eastAsia="宋体" w:cs="Times New Roman"/>
      <w:b/>
      <w:bCs/>
      <w:kern w:val="28"/>
      <w:sz w:val="32"/>
      <w:szCs w:val="32"/>
    </w:rPr>
  </w:style>
  <w:style w:type="character" w:customStyle="1" w:styleId="61">
    <w:name w:val="正文文本缩进 3 字符"/>
    <w:link w:val="28"/>
    <w:semiHidden/>
    <w:qFormat/>
    <w:uiPriority w:val="99"/>
    <w:rPr>
      <w:rFonts w:ascii="Times New Roman" w:hAnsi="Times New Roman" w:eastAsia="宋体" w:cs="Times New Roman"/>
      <w:sz w:val="16"/>
      <w:szCs w:val="16"/>
    </w:rPr>
  </w:style>
  <w:style w:type="character" w:customStyle="1" w:styleId="62">
    <w:name w:val="正文文本 2 字符"/>
    <w:link w:val="30"/>
    <w:semiHidden/>
    <w:qFormat/>
    <w:uiPriority w:val="99"/>
    <w:rPr>
      <w:kern w:val="2"/>
      <w:sz w:val="21"/>
      <w:szCs w:val="24"/>
    </w:rPr>
  </w:style>
  <w:style w:type="character" w:customStyle="1" w:styleId="63">
    <w:name w:val="标题 字符"/>
    <w:link w:val="33"/>
    <w:qFormat/>
    <w:uiPriority w:val="0"/>
    <w:rPr>
      <w:rFonts w:ascii="Cambria" w:hAnsi="Cambria" w:eastAsia="宋体" w:cs="Times New Roman"/>
      <w:b/>
      <w:bCs/>
      <w:sz w:val="32"/>
      <w:szCs w:val="32"/>
    </w:rPr>
  </w:style>
  <w:style w:type="character" w:customStyle="1" w:styleId="64">
    <w:name w:val="批注主题 字符"/>
    <w:link w:val="34"/>
    <w:qFormat/>
    <w:uiPriority w:val="0"/>
    <w:rPr>
      <w:lang w:bidi="ar-SA"/>
    </w:rPr>
  </w:style>
  <w:style w:type="character" w:customStyle="1" w:styleId="65">
    <w:name w:val="列表段落 字符"/>
    <w:link w:val="66"/>
    <w:qFormat/>
    <w:locked/>
    <w:uiPriority w:val="0"/>
    <w:rPr>
      <w:rFonts w:eastAsia="宋体"/>
      <w:kern w:val="2"/>
      <w:sz w:val="21"/>
      <w:szCs w:val="24"/>
      <w:lang w:val="en-US" w:eastAsia="zh-CN" w:bidi="ar-SA"/>
    </w:rPr>
  </w:style>
  <w:style w:type="paragraph" w:styleId="66">
    <w:name w:val="List Paragraph"/>
    <w:basedOn w:val="1"/>
    <w:next w:val="1"/>
    <w:link w:val="65"/>
    <w:qFormat/>
    <w:uiPriority w:val="0"/>
    <w:pPr>
      <w:ind w:firstLine="420" w:firstLineChars="200"/>
    </w:pPr>
  </w:style>
  <w:style w:type="character" w:customStyle="1" w:styleId="67">
    <w:name w:val="引用 Char"/>
    <w:link w:val="68"/>
    <w:qFormat/>
    <w:uiPriority w:val="29"/>
    <w:rPr>
      <w:rFonts w:ascii="Verdana" w:hAnsi="Verdana" w:eastAsia="微软雅黑" w:cs="Times New Roman"/>
      <w:i/>
      <w:iCs/>
      <w:kern w:val="0"/>
      <w:sz w:val="22"/>
      <w:lang w:eastAsia="en-US" w:bidi="en-US"/>
    </w:rPr>
  </w:style>
  <w:style w:type="paragraph" w:customStyle="1" w:styleId="68">
    <w:name w:val="_Style 28"/>
    <w:basedOn w:val="1"/>
    <w:next w:val="1"/>
    <w:link w:val="67"/>
    <w:qFormat/>
    <w:uiPriority w:val="29"/>
    <w:pPr>
      <w:widowControl/>
      <w:spacing w:line="360" w:lineRule="auto"/>
      <w:jc w:val="left"/>
    </w:pPr>
    <w:rPr>
      <w:rFonts w:ascii="Verdana" w:hAnsi="Verdana" w:eastAsia="微软雅黑"/>
      <w:i/>
      <w:iCs/>
      <w:kern w:val="0"/>
      <w:sz w:val="22"/>
      <w:szCs w:val="20"/>
      <w:lang w:eastAsia="en-US" w:bidi="en-US"/>
    </w:rPr>
  </w:style>
  <w:style w:type="character" w:customStyle="1" w:styleId="69">
    <w:name w:val="font11"/>
    <w:qFormat/>
    <w:uiPriority w:val="0"/>
    <w:rPr>
      <w:rFonts w:hint="default" w:ascii="Arial" w:hAnsi="Arial" w:cs="Arial"/>
      <w:color w:val="000000"/>
      <w:sz w:val="20"/>
      <w:szCs w:val="20"/>
      <w:u w:val="none"/>
    </w:rPr>
  </w:style>
  <w:style w:type="character" w:customStyle="1" w:styleId="70">
    <w:name w:val="标题 2 Char1"/>
    <w:qFormat/>
    <w:uiPriority w:val="0"/>
    <w:rPr>
      <w:rFonts w:ascii="Arial" w:hAnsi="Arial" w:eastAsia="黑体" w:cs="Times New Roman"/>
      <w:b/>
      <w:bCs/>
      <w:sz w:val="32"/>
      <w:szCs w:val="32"/>
    </w:rPr>
  </w:style>
  <w:style w:type="character" w:customStyle="1" w:styleId="71">
    <w:name w:val="标题 2 Char Char"/>
    <w:qFormat/>
    <w:uiPriority w:val="0"/>
    <w:rPr>
      <w:rFonts w:ascii="Cambria" w:hAnsi="Cambria" w:eastAsia="宋体" w:cs="Times New Roman"/>
      <w:b/>
      <w:bCs/>
      <w:kern w:val="2"/>
      <w:sz w:val="32"/>
      <w:szCs w:val="32"/>
    </w:rPr>
  </w:style>
  <w:style w:type="character" w:customStyle="1" w:styleId="72">
    <w:name w:val="标题 1 Char"/>
    <w:qFormat/>
    <w:uiPriority w:val="9"/>
    <w:rPr>
      <w:rFonts w:ascii="Verdana" w:hAnsi="Verdana" w:eastAsia="黑体" w:cs="Times New Roman"/>
      <w:b/>
      <w:smallCaps/>
      <w:spacing w:val="5"/>
      <w:kern w:val="0"/>
      <w:sz w:val="36"/>
      <w:szCs w:val="36"/>
      <w:lang w:eastAsia="en-US" w:bidi="en-US"/>
    </w:rPr>
  </w:style>
  <w:style w:type="character" w:customStyle="1" w:styleId="73">
    <w:name w:val="标题 3 Char Char Char"/>
    <w:qFormat/>
    <w:uiPriority w:val="0"/>
    <w:rPr>
      <w:rFonts w:eastAsia="宋体"/>
      <w:b/>
      <w:kern w:val="2"/>
      <w:sz w:val="32"/>
      <w:lang w:val="en-US" w:eastAsia="zh-CN"/>
    </w:rPr>
  </w:style>
  <w:style w:type="character" w:customStyle="1" w:styleId="74">
    <w:name w:val="（符号）邀请函中一、"/>
    <w:qFormat/>
    <w:uiPriority w:val="0"/>
    <w:rPr>
      <w:rFonts w:ascii="黑体" w:hAnsi="黑体" w:eastAsia="黑体"/>
      <w:b/>
      <w:bCs/>
      <w:sz w:val="24"/>
    </w:rPr>
  </w:style>
  <w:style w:type="character" w:customStyle="1" w:styleId="75">
    <w:name w:val="Char Char"/>
    <w:qFormat/>
    <w:uiPriority w:val="0"/>
    <w:rPr>
      <w:kern w:val="2"/>
      <w:sz w:val="18"/>
      <w:szCs w:val="18"/>
    </w:rPr>
  </w:style>
  <w:style w:type="character" w:customStyle="1" w:styleId="76">
    <w:name w:val="font21"/>
    <w:qFormat/>
    <w:uiPriority w:val="0"/>
    <w:rPr>
      <w:rFonts w:hint="eastAsia" w:ascii="宋体" w:hAnsi="宋体" w:eastAsia="宋体"/>
      <w:color w:val="000000"/>
      <w:sz w:val="20"/>
      <w:szCs w:val="20"/>
      <w:u w:val="none"/>
    </w:rPr>
  </w:style>
  <w:style w:type="character" w:customStyle="1" w:styleId="77">
    <w:name w:val="（符号）三标题1.1 Char"/>
    <w:link w:val="78"/>
    <w:qFormat/>
    <w:uiPriority w:val="0"/>
    <w:rPr>
      <w:rFonts w:ascii="Verdana" w:hAnsi="Verdana" w:eastAsia="宋体" w:cs="Times New Roman"/>
      <w:sz w:val="24"/>
      <w:szCs w:val="24"/>
    </w:rPr>
  </w:style>
  <w:style w:type="paragraph" w:customStyle="1" w:styleId="78">
    <w:name w:val="（符号）三标题1.1"/>
    <w:basedOn w:val="1"/>
    <w:link w:val="77"/>
    <w:qFormat/>
    <w:uiPriority w:val="0"/>
    <w:pPr>
      <w:numPr>
        <w:ilvl w:val="1"/>
        <w:numId w:val="2"/>
      </w:numPr>
      <w:spacing w:line="500" w:lineRule="exact"/>
    </w:pPr>
    <w:rPr>
      <w:rFonts w:ascii="Verdana" w:hAnsi="Verdana"/>
      <w:kern w:val="0"/>
      <w:sz w:val="24"/>
    </w:rPr>
  </w:style>
  <w:style w:type="character" w:customStyle="1" w:styleId="79">
    <w:name w:val="font01"/>
    <w:qFormat/>
    <w:uiPriority w:val="0"/>
    <w:rPr>
      <w:rFonts w:hint="eastAsia" w:ascii="宋体" w:hAnsi="宋体" w:eastAsia="宋体"/>
      <w:color w:val="000000"/>
      <w:sz w:val="20"/>
      <w:szCs w:val="20"/>
      <w:u w:val="none"/>
    </w:rPr>
  </w:style>
  <w:style w:type="paragraph" w:customStyle="1" w:styleId="80">
    <w:name w:val="_Style 26"/>
    <w:basedOn w:val="1"/>
    <w:qFormat/>
    <w:uiPriority w:val="1"/>
    <w:pPr>
      <w:widowControl/>
      <w:jc w:val="left"/>
    </w:pPr>
    <w:rPr>
      <w:rFonts w:ascii="Verdana" w:hAnsi="Verdana"/>
      <w:kern w:val="0"/>
      <w:sz w:val="24"/>
      <w:szCs w:val="22"/>
      <w:lang w:eastAsia="en-US" w:bidi="en-US"/>
    </w:rPr>
  </w:style>
  <w:style w:type="paragraph" w:styleId="81">
    <w:name w:val="No Spacing"/>
    <w:basedOn w:val="1"/>
    <w:qFormat/>
    <w:uiPriority w:val="0"/>
  </w:style>
  <w:style w:type="paragraph" w:customStyle="1" w:styleId="82">
    <w:name w:val="Char1"/>
    <w:basedOn w:val="1"/>
    <w:qFormat/>
    <w:uiPriority w:val="0"/>
    <w:pPr>
      <w:widowControl/>
      <w:spacing w:after="200" w:line="276" w:lineRule="auto"/>
      <w:jc w:val="left"/>
    </w:pPr>
    <w:rPr>
      <w:rFonts w:ascii="Calibri" w:hAnsi="Calibri"/>
      <w:kern w:val="0"/>
      <w:sz w:val="22"/>
      <w:szCs w:val="21"/>
      <w:lang w:eastAsia="en-US" w:bidi="en-US"/>
    </w:rPr>
  </w:style>
  <w:style w:type="paragraph" w:customStyle="1" w:styleId="83">
    <w:name w:val="Heading 21"/>
    <w:basedOn w:val="1"/>
    <w:qFormat/>
    <w:uiPriority w:val="99"/>
    <w:pPr>
      <w:ind w:left="501" w:hanging="401"/>
      <w:outlineLvl w:val="2"/>
    </w:pPr>
    <w:rPr>
      <w:rFonts w:ascii="Microsoft JhengHei" w:hAnsi="Microsoft JhengHei" w:eastAsia="Microsoft JhengHei" w:cs="Microsoft JhengHei"/>
      <w:b/>
      <w:bCs/>
      <w:sz w:val="32"/>
      <w:szCs w:val="32"/>
    </w:rPr>
  </w:style>
  <w:style w:type="paragraph" w:customStyle="1" w:styleId="84">
    <w:name w:val="样式 首行缩进:  0.85 厘米"/>
    <w:basedOn w:val="1"/>
    <w:qFormat/>
    <w:uiPriority w:val="0"/>
    <w:pPr>
      <w:spacing w:line="360" w:lineRule="auto"/>
      <w:ind w:firstLine="200" w:firstLineChars="200"/>
    </w:pPr>
    <w:rPr>
      <w:sz w:val="24"/>
    </w:rPr>
  </w:style>
  <w:style w:type="paragraph" w:customStyle="1" w:styleId="85">
    <w:name w:val="(符号)五标题1.1.1"/>
    <w:basedOn w:val="1"/>
    <w:qFormat/>
    <w:uiPriority w:val="0"/>
    <w:pPr>
      <w:numPr>
        <w:ilvl w:val="2"/>
        <w:numId w:val="3"/>
      </w:numPr>
      <w:spacing w:line="500" w:lineRule="exact"/>
    </w:pPr>
    <w:rPr>
      <w:rFonts w:ascii="宋体" w:hAnsi="宋体" w:cs="宋体"/>
      <w:color w:val="000000"/>
      <w:sz w:val="24"/>
      <w:szCs w:val="20"/>
    </w:rPr>
  </w:style>
  <w:style w:type="paragraph" w:customStyle="1" w:styleId="86">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7">
    <w:name w:val="Table Paragraph"/>
    <w:basedOn w:val="1"/>
    <w:qFormat/>
    <w:uiPriority w:val="1"/>
  </w:style>
  <w:style w:type="paragraph" w:customStyle="1" w:styleId="88">
    <w:name w:val="附件样式"/>
    <w:basedOn w:val="1"/>
    <w:qFormat/>
    <w:uiPriority w:val="0"/>
    <w:rPr>
      <w:sz w:val="28"/>
    </w:rPr>
  </w:style>
  <w:style w:type="paragraph" w:customStyle="1" w:styleId="89">
    <w:name w:val="TOC 标题1"/>
    <w:basedOn w:val="2"/>
    <w:next w:val="1"/>
    <w:qFormat/>
    <w:uiPriority w:val="39"/>
    <w:pPr>
      <w:keepNext/>
      <w:keepLines/>
      <w:numPr>
        <w:numId w:val="0"/>
      </w:numPr>
      <w:spacing w:line="276" w:lineRule="auto"/>
      <w:outlineLvl w:val="9"/>
    </w:pPr>
    <w:rPr>
      <w:rFonts w:ascii="Cambria" w:hAnsi="Cambria"/>
      <w:bCs/>
      <w:smallCaps w:val="0"/>
      <w:color w:val="365F91"/>
      <w:spacing w:val="0"/>
      <w:szCs w:val="28"/>
      <w:lang w:eastAsia="zh-CN" w:bidi="ar-SA"/>
    </w:rPr>
  </w:style>
  <w:style w:type="paragraph" w:customStyle="1" w:styleId="90">
    <w:name w:val="(符号)三标题1.1"/>
    <w:basedOn w:val="1"/>
    <w:qFormat/>
    <w:uiPriority w:val="0"/>
    <w:pPr>
      <w:numPr>
        <w:ilvl w:val="0"/>
        <w:numId w:val="3"/>
      </w:numPr>
      <w:spacing w:before="140" w:after="140" w:line="500" w:lineRule="exact"/>
      <w:outlineLvl w:val="2"/>
    </w:pPr>
    <w:rPr>
      <w:rFonts w:ascii="楷体_GB2312" w:hAnsi="宋体" w:eastAsia="楷体_GB2312" w:cs="宋体"/>
      <w:b/>
      <w:bCs/>
      <w:sz w:val="28"/>
      <w:szCs w:val="20"/>
    </w:rPr>
  </w:style>
  <w:style w:type="paragraph" w:customStyle="1" w:styleId="91">
    <w:name w:val="样式"/>
    <w:basedOn w:val="1"/>
    <w:qFormat/>
    <w:uiPriority w:val="99"/>
  </w:style>
  <w:style w:type="paragraph" w:customStyle="1" w:styleId="92">
    <w:name w:val="WPSOffice手动目录 1"/>
    <w:qFormat/>
    <w:uiPriority w:val="0"/>
    <w:rPr>
      <w:rFonts w:ascii="Times New Roman" w:hAnsi="Times New Roman" w:eastAsia="宋体" w:cs="Times New Roman"/>
      <w:lang w:val="en-US" w:eastAsia="zh-CN" w:bidi="ar-SA"/>
    </w:rPr>
  </w:style>
  <w:style w:type="paragraph" w:customStyle="1" w:styleId="93">
    <w:name w:val="样式 标题 2 + Times New Roman 四号 非加粗 段前: 5 磅 段后: 0 磅 行距: 固定值 20..."/>
    <w:basedOn w:val="3"/>
    <w:qFormat/>
    <w:uiPriority w:val="0"/>
    <w:pPr>
      <w:keepNext/>
      <w:keepLines/>
      <w:widowControl w:val="0"/>
      <w:numPr>
        <w:ilvl w:val="0"/>
        <w:numId w:val="0"/>
      </w:numPr>
      <w:spacing w:before="100" w:beforeLines="0" w:afterLines="0" w:line="400" w:lineRule="exact"/>
      <w:jc w:val="both"/>
    </w:pPr>
    <w:rPr>
      <w:rFonts w:ascii="Times New Roman" w:hAnsi="Times New Roman" w:cs="宋体"/>
      <w:b w:val="0"/>
      <w:smallCaps w:val="0"/>
      <w:kern w:val="2"/>
      <w:szCs w:val="20"/>
      <w:lang w:eastAsia="zh-CN" w:bidi="ar-SA"/>
    </w:rPr>
  </w:style>
  <w:style w:type="paragraph" w:customStyle="1" w:styleId="94">
    <w:name w:val="Char Char Char Char Char Char Char Char Char Char Char Char"/>
    <w:basedOn w:val="1"/>
    <w:qFormat/>
    <w:uiPriority w:val="0"/>
  </w:style>
  <w:style w:type="paragraph" w:customStyle="1" w:styleId="95">
    <w:name w:val="列出段落1"/>
    <w:basedOn w:val="1"/>
    <w:qFormat/>
    <w:uiPriority w:val="0"/>
    <w:pPr>
      <w:ind w:firstLine="420" w:firstLineChars="200"/>
    </w:pPr>
    <w:rPr>
      <w:szCs w:val="20"/>
    </w:rPr>
  </w:style>
  <w:style w:type="paragraph" w:customStyle="1" w:styleId="96">
    <w:name w:val="List Paragraph1"/>
    <w:basedOn w:val="1"/>
    <w:qFormat/>
    <w:uiPriority w:val="0"/>
    <w:pPr>
      <w:ind w:firstLine="420" w:firstLineChars="200"/>
    </w:pPr>
    <w:rPr>
      <w:rFonts w:ascii="Calibri" w:hAnsi="Calibri"/>
      <w:szCs w:val="22"/>
    </w:rPr>
  </w:style>
  <w:style w:type="paragraph" w:customStyle="1" w:styleId="97">
    <w:name w:val="正文1 New New"/>
    <w:qFormat/>
    <w:uiPriority w:val="0"/>
    <w:pPr>
      <w:spacing w:after="156" w:afterLines="50"/>
      <w:ind w:firstLine="420" w:firstLineChars="200"/>
      <w:jc w:val="both"/>
    </w:pPr>
    <w:rPr>
      <w:rFonts w:ascii="Arial" w:hAnsi="Arial" w:eastAsia="宋体" w:cs="Times New Roman"/>
      <w:szCs w:val="21"/>
      <w:lang w:val="en-US" w:eastAsia="en-US" w:bidi="ar-SA"/>
    </w:rPr>
  </w:style>
  <w:style w:type="paragraph" w:customStyle="1" w:styleId="98">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9">
    <w:name w:val="Char Char1"/>
    <w:basedOn w:val="1"/>
    <w:qFormat/>
    <w:uiPriority w:val="0"/>
    <w:pPr>
      <w:spacing w:line="360" w:lineRule="auto"/>
    </w:pPr>
    <w:rPr>
      <w:rFonts w:ascii="Tahoma" w:hAnsi="Tahoma"/>
      <w:sz w:val="24"/>
      <w:szCs w:val="20"/>
    </w:rPr>
  </w:style>
  <w:style w:type="paragraph" w:customStyle="1" w:styleId="100">
    <w:name w:val="_Style 30"/>
    <w:basedOn w:val="1"/>
    <w:qFormat/>
    <w:uiPriority w:val="99"/>
    <w:pPr>
      <w:ind w:firstLine="420" w:firstLineChars="200"/>
    </w:pPr>
    <w:rPr>
      <w:rFonts w:ascii="Calibri" w:hAnsi="Calibri" w:cs="Calibri"/>
      <w:szCs w:val="21"/>
    </w:rPr>
  </w:style>
  <w:style w:type="paragraph" w:customStyle="1" w:styleId="101">
    <w:name w:val="表"/>
    <w:basedOn w:val="1"/>
    <w:qFormat/>
    <w:uiPriority w:val="0"/>
    <w:pPr>
      <w:adjustRightInd w:val="0"/>
      <w:snapToGrid w:val="0"/>
    </w:pPr>
    <w:rPr>
      <w:color w:val="000000"/>
      <w:kern w:val="0"/>
      <w:szCs w:val="21"/>
    </w:rPr>
  </w:style>
  <w:style w:type="table" w:customStyle="1" w:styleId="102">
    <w:name w:val="Table Normal_0"/>
    <w:unhideWhenUsed/>
    <w:qFormat/>
    <w:uiPriority w:val="2"/>
    <w:tblPr>
      <w:tblCellMar>
        <w:top w:w="0" w:type="dxa"/>
        <w:left w:w="0" w:type="dxa"/>
        <w:bottom w:w="0" w:type="dxa"/>
        <w:right w:w="0" w:type="dxa"/>
      </w:tblCellMar>
    </w:tblPr>
  </w:style>
  <w:style w:type="paragraph" w:customStyle="1" w:styleId="103">
    <w:name w:val="Table Text"/>
    <w:basedOn w:val="1"/>
    <w:semiHidden/>
    <w:qFormat/>
    <w:uiPriority w:val="0"/>
    <w:rPr>
      <w:rFonts w:ascii="仿宋" w:hAnsi="仿宋" w:eastAsia="仿宋" w:cs="仿宋"/>
      <w:sz w:val="28"/>
      <w:szCs w:val="28"/>
      <w:lang w:val="en-US" w:eastAsia="en-US" w:bidi="ar-SA"/>
    </w:rPr>
  </w:style>
  <w:style w:type="table" w:customStyle="1" w:styleId="104">
    <w:name w:val="Table Normal"/>
    <w:semiHidden/>
    <w:unhideWhenUsed/>
    <w:qFormat/>
    <w:uiPriority w:val="0"/>
    <w:tblPr>
      <w:tblCellMar>
        <w:top w:w="0" w:type="dxa"/>
        <w:left w:w="0" w:type="dxa"/>
        <w:bottom w:w="0" w:type="dxa"/>
        <w:right w:w="0" w:type="dxa"/>
      </w:tblCellMar>
    </w:tblPr>
  </w:style>
  <w:style w:type="paragraph" w:customStyle="1" w:styleId="105">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3074" textRotate="1"/>
    <customShpInfo spid="_x0000_s3075" textRotate="1"/>
  </customShpExts>
</s:customData>
</file>

<file path=customXml/item2.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694CFA-5819-41A5-B524-62DAED0347D0}">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57</Pages>
  <Words>18711</Words>
  <Characters>19958</Characters>
  <Lines>1</Lines>
  <Paragraphs>1</Paragraphs>
  <TotalTime>35</TotalTime>
  <ScaleCrop>false</ScaleCrop>
  <LinksUpToDate>false</LinksUpToDate>
  <CharactersWithSpaces>20871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2018-08-16T11:11:00Z</dcterms:created>
  <dc:creator>DSZB</dc:creator>
  <cp:lastModifiedBy>马云</cp:lastModifiedBy>
  <cp:lastPrinted>2024-08-15T11:13:00Z</cp:lastPrinted>
  <dcterms:modified xsi:type="dcterms:W3CDTF">2025-07-24T02:44:38Z</dcterms:modified>
  <dc:title>磋商文件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23AA952CC6FB40CF8BA8EEA498CD1DF6_13</vt:lpwstr>
  </property>
  <property fmtid="{D5CDD505-2E9C-101B-9397-08002B2CF9AE}" pid="3" name="KSOProductBuildVer">
    <vt:lpwstr>2052-12.1.0.21915</vt:lpwstr>
  </property>
  <property fmtid="{D5CDD505-2E9C-101B-9397-08002B2CF9AE}" pid="4" name="KSOTemplateDocerSaveRecord">
    <vt:lpwstr>eyJoZGlkIjoiMTg1OTNmYjY0OTBkZjM0MjJlNjZjMmVkNGQ0MTA3YmMiLCJ1c2VySWQiOiIyMjQwODA2NDUifQ==</vt:lpwstr>
  </property>
</Properties>
</file>