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numPr>
          <w:numId w:val="0"/>
        </w:numPr>
        <w:jc w:val="center"/>
      </w:pPr>
      <w:bookmarkStart w:id="0" w:name="_Toc26151"/>
      <w:bookmarkStart w:id="1" w:name="_Toc23005"/>
      <w:bookmarkStart w:id="2" w:name="_Toc22199518"/>
      <w:r>
        <w:rPr>
          <w:rFonts w:hint="eastAsia"/>
        </w:rPr>
        <w:t>招标公告</w:t>
      </w:r>
      <w:bookmarkEnd w:id="0"/>
      <w:bookmarkEnd w:id="1"/>
      <w:bookmarkEnd w:id="2"/>
    </w:p>
    <w:p>
      <w:pPr>
        <w:spacing w:line="400" w:lineRule="exact"/>
        <w:ind w:firstLine="645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b/>
          <w:bCs/>
          <w:sz w:val="24"/>
          <w:szCs w:val="24"/>
          <w:u w:val="single"/>
        </w:rPr>
        <w:t>中国海洋工程有限公司</w:t>
      </w:r>
      <w:r>
        <w:rPr>
          <w:rFonts w:hint="eastAsia" w:ascii="仿宋" w:hAnsi="仿宋" w:eastAsia="仿宋" w:cs="Arial"/>
          <w:sz w:val="24"/>
          <w:szCs w:val="24"/>
        </w:rPr>
        <w:t>受</w:t>
      </w:r>
      <w:r>
        <w:rPr>
          <w:rFonts w:hint="eastAsia" w:ascii="仿宋" w:hAnsi="仿宋" w:eastAsia="仿宋" w:cs="Arial"/>
          <w:b/>
          <w:bCs/>
          <w:sz w:val="24"/>
          <w:szCs w:val="24"/>
          <w:u w:val="single"/>
        </w:rPr>
        <w:t>交通运输部上海打捞局</w:t>
      </w:r>
      <w:r>
        <w:rPr>
          <w:rFonts w:hint="eastAsia" w:ascii="仿宋" w:hAnsi="仿宋" w:eastAsia="仿宋" w:cs="Arial"/>
          <w:sz w:val="24"/>
          <w:szCs w:val="24"/>
        </w:rPr>
        <w:t>委托，对下述项目进行公开招标。</w:t>
      </w:r>
    </w:p>
    <w:p>
      <w:pPr>
        <w:pStyle w:val="7"/>
        <w:spacing w:line="400" w:lineRule="exact"/>
        <w:rPr>
          <w:sz w:val="24"/>
          <w:szCs w:val="24"/>
        </w:rPr>
      </w:pPr>
      <w:bookmarkStart w:id="3" w:name="_Toc18385"/>
      <w:bookmarkStart w:id="4" w:name="_Toc21190"/>
      <w:bookmarkStart w:id="5" w:name="_Toc22199519"/>
      <w:r>
        <w:rPr>
          <w:rFonts w:hint="eastAsia"/>
          <w:sz w:val="24"/>
          <w:szCs w:val="24"/>
        </w:rPr>
        <w:t>项目概况与招标范围</w:t>
      </w:r>
      <w:bookmarkEnd w:id="3"/>
      <w:bookmarkEnd w:id="4"/>
      <w:bookmarkEnd w:id="5"/>
    </w:p>
    <w:p>
      <w:pPr>
        <w:pStyle w:val="6"/>
        <w:numPr>
          <w:ilvl w:val="0"/>
          <w:numId w:val="3"/>
        </w:numPr>
        <w:spacing w:line="400" w:lineRule="exact"/>
        <w:ind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项目名称：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交通运输部上海打捞局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潜水脐带</w:t>
      </w:r>
      <w:r>
        <w:rPr>
          <w:rFonts w:hint="eastAsia" w:ascii="仿宋" w:hAnsi="仿宋" w:eastAsia="仿宋" w:cs="Arial"/>
          <w:sz w:val="24"/>
          <w:szCs w:val="24"/>
          <w:u w:val="single"/>
        </w:rPr>
        <w:t>采购</w:t>
      </w:r>
    </w:p>
    <w:p>
      <w:pPr>
        <w:pStyle w:val="6"/>
        <w:numPr>
          <w:ilvl w:val="0"/>
          <w:numId w:val="3"/>
        </w:numPr>
        <w:spacing w:line="400" w:lineRule="exact"/>
        <w:ind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项目编号：</w:t>
      </w:r>
      <w:r>
        <w:rPr>
          <w:rFonts w:hint="eastAsia" w:ascii="仿宋" w:hAnsi="仿宋" w:eastAsia="仿宋" w:cs="Arial"/>
          <w:sz w:val="24"/>
          <w:szCs w:val="24"/>
          <w:u w:val="single"/>
          <w:lang w:eastAsia="zh-CN"/>
        </w:rPr>
        <w:t>COES/202403/SG140</w:t>
      </w:r>
    </w:p>
    <w:p>
      <w:pPr>
        <w:pStyle w:val="6"/>
        <w:numPr>
          <w:ilvl w:val="0"/>
          <w:numId w:val="3"/>
        </w:numPr>
        <w:spacing w:line="400" w:lineRule="exact"/>
        <w:ind w:firstLineChars="0"/>
        <w:rPr>
          <w:rFonts w:ascii="仿宋" w:hAnsi="仿宋" w:eastAsia="仿宋" w:cs="Arial"/>
          <w:sz w:val="24"/>
          <w:szCs w:val="24"/>
        </w:rPr>
      </w:pPr>
      <w:bookmarkStart w:id="6" w:name="_Toc31093"/>
      <w:bookmarkStart w:id="7" w:name="_Toc22199520"/>
      <w:r>
        <w:rPr>
          <w:rFonts w:hint="eastAsia" w:ascii="仿宋" w:hAnsi="仿宋" w:eastAsia="仿宋" w:cs="Arial"/>
          <w:sz w:val="24"/>
          <w:szCs w:val="24"/>
        </w:rPr>
        <w:t>项目基本概况介绍：</w:t>
      </w:r>
      <w:r>
        <w:rPr>
          <w:rFonts w:hint="eastAsia" w:ascii="仿宋" w:hAnsi="仿宋" w:eastAsia="仿宋" w:cs="Arial"/>
          <w:sz w:val="24"/>
          <w:szCs w:val="24"/>
          <w:u w:val="none"/>
          <w:lang w:val="en-US" w:eastAsia="zh-CN"/>
        </w:rPr>
        <w:t>交通运输部上海打捞局拟通过公开招标采购一根潜水脐带。本潜水钟脐带用于饱和潜水作业中，连接母船和潜水钟，为潜水钟提供供气，排气，加压，热水，测深，供电和信号传输。气体介质为空气或者氦气混合气。液体介质为热海水</w:t>
      </w:r>
      <w:r>
        <w:rPr>
          <w:rFonts w:hint="eastAsia" w:ascii="仿宋" w:hAnsi="仿宋" w:eastAsia="仿宋" w:cs="Arial"/>
          <w:sz w:val="24"/>
          <w:szCs w:val="24"/>
          <w:u w:val="none"/>
        </w:rPr>
        <w:t>。</w:t>
      </w:r>
      <w:r>
        <w:rPr>
          <w:rFonts w:hint="eastAsia" w:ascii="仿宋" w:hAnsi="仿宋" w:eastAsia="仿宋" w:cs="Arial"/>
          <w:sz w:val="24"/>
          <w:szCs w:val="24"/>
          <w:u w:val="none"/>
          <w:lang w:val="en-US" w:eastAsia="zh-CN"/>
        </w:rPr>
        <w:t>脐带收放方式为脐带绞车。详细参数见用户需求书。</w:t>
      </w:r>
    </w:p>
    <w:p>
      <w:pPr>
        <w:pStyle w:val="6"/>
        <w:numPr>
          <w:ilvl w:val="0"/>
          <w:numId w:val="3"/>
        </w:numPr>
        <w:spacing w:line="400" w:lineRule="exact"/>
        <w:ind w:firstLineChars="0"/>
        <w:rPr>
          <w:rFonts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>资金来源：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已落实</w:t>
      </w:r>
    </w:p>
    <w:p>
      <w:pPr>
        <w:pStyle w:val="6"/>
        <w:numPr>
          <w:ilvl w:val="0"/>
          <w:numId w:val="3"/>
        </w:numPr>
        <w:spacing w:line="400" w:lineRule="exact"/>
        <w:ind w:firstLineChars="0"/>
        <w:rPr>
          <w:rFonts w:ascii="仿宋" w:hAnsi="仿宋" w:eastAsia="仿宋" w:cs="Arial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交付时间：</w:t>
      </w:r>
      <w:r>
        <w:rPr>
          <w:rFonts w:hint="eastAsia" w:ascii="仿宋" w:hAnsi="仿宋" w:eastAsia="仿宋" w:cs="Arial"/>
          <w:sz w:val="24"/>
          <w:szCs w:val="24"/>
          <w:highlight w:val="none"/>
          <w:u w:val="single"/>
        </w:rPr>
        <w:t>合同签署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</w:rPr>
        <w:t>后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val="en-US" w:eastAsia="zh-CN"/>
        </w:rPr>
        <w:t>8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</w:rPr>
        <w:t>个月内</w:t>
      </w:r>
    </w:p>
    <w:p>
      <w:pPr>
        <w:pStyle w:val="6"/>
        <w:numPr>
          <w:ilvl w:val="0"/>
          <w:numId w:val="3"/>
        </w:numPr>
        <w:spacing w:line="400" w:lineRule="exact"/>
        <w:ind w:firstLineChars="0"/>
        <w:rPr>
          <w:rFonts w:ascii="仿宋" w:hAnsi="仿宋" w:eastAsia="仿宋" w:cs="Arial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color w:val="auto"/>
          <w:sz w:val="24"/>
          <w:szCs w:val="24"/>
          <w:highlight w:val="none"/>
        </w:rPr>
        <w:t>项目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lang w:val="en-US" w:eastAsia="zh-CN"/>
        </w:rPr>
        <w:t>交付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</w:rPr>
        <w:t>地点：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val="en-US" w:eastAsia="zh-CN"/>
        </w:rPr>
        <w:t>上海</w:t>
      </w:r>
      <w:bookmarkStart w:id="22" w:name="_GoBack"/>
      <w:bookmarkEnd w:id="22"/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val="en-US" w:eastAsia="zh-CN"/>
        </w:rPr>
        <w:t>，上海打捞局外高桥码头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</w:rPr>
        <w:t>。</w:t>
      </w:r>
    </w:p>
    <w:p>
      <w:pPr>
        <w:pStyle w:val="6"/>
        <w:numPr>
          <w:ilvl w:val="0"/>
          <w:numId w:val="3"/>
        </w:numPr>
        <w:spacing w:line="400" w:lineRule="exact"/>
        <w:ind w:firstLineChars="0"/>
        <w:rPr>
          <w:rFonts w:ascii="仿宋" w:hAnsi="仿宋" w:eastAsia="仿宋" w:cs="Arial"/>
          <w:color w:val="auto"/>
          <w:sz w:val="24"/>
          <w:szCs w:val="24"/>
        </w:rPr>
      </w:pPr>
      <w:r>
        <w:rPr>
          <w:rFonts w:hint="eastAsia" w:ascii="仿宋" w:hAnsi="仿宋" w:eastAsia="仿宋" w:cs="Arial"/>
          <w:color w:val="auto"/>
          <w:sz w:val="24"/>
          <w:szCs w:val="24"/>
        </w:rPr>
        <w:t>投标限价：</w:t>
      </w:r>
      <w:r>
        <w:rPr>
          <w:rFonts w:hint="eastAsia" w:ascii="仿宋" w:hAnsi="仿宋" w:eastAsia="仿宋" w:cs="Arial"/>
          <w:color w:val="auto"/>
          <w:sz w:val="24"/>
          <w:szCs w:val="24"/>
          <w:u w:val="single"/>
        </w:rPr>
        <w:t>人民币</w:t>
      </w:r>
      <w:r>
        <w:rPr>
          <w:rFonts w:hint="eastAsia" w:ascii="仿宋" w:hAnsi="仿宋" w:eastAsia="仿宋" w:cs="Arial"/>
          <w:color w:val="auto"/>
          <w:sz w:val="24"/>
          <w:szCs w:val="24"/>
          <w:u w:val="single"/>
          <w:lang w:val="en-US" w:eastAsia="zh-CN"/>
        </w:rPr>
        <w:t>290</w:t>
      </w:r>
      <w:r>
        <w:rPr>
          <w:rFonts w:hint="eastAsia" w:ascii="仿宋" w:hAnsi="仿宋" w:eastAsia="仿宋" w:cs="Arial"/>
          <w:color w:val="auto"/>
          <w:sz w:val="24"/>
          <w:szCs w:val="24"/>
          <w:u w:val="single"/>
        </w:rPr>
        <w:t>万元。</w:t>
      </w:r>
    </w:p>
    <w:p>
      <w:pPr>
        <w:pStyle w:val="7"/>
        <w:spacing w:line="400" w:lineRule="exact"/>
        <w:rPr>
          <w:sz w:val="24"/>
          <w:szCs w:val="24"/>
        </w:rPr>
      </w:pPr>
      <w:bookmarkStart w:id="8" w:name="_Toc6299"/>
      <w:r>
        <w:rPr>
          <w:rFonts w:hint="eastAsia"/>
          <w:sz w:val="24"/>
          <w:szCs w:val="24"/>
        </w:rPr>
        <w:t>投标人资格要求</w:t>
      </w:r>
      <w:bookmarkEnd w:id="6"/>
      <w:bookmarkEnd w:id="7"/>
      <w:bookmarkEnd w:id="8"/>
    </w:p>
    <w:p>
      <w:pPr>
        <w:pStyle w:val="6"/>
        <w:numPr>
          <w:ilvl w:val="0"/>
          <w:numId w:val="4"/>
        </w:numPr>
        <w:spacing w:line="400" w:lineRule="exact"/>
        <w:ind w:left="1054" w:leftChars="302" w:hanging="420" w:hangingChars="175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投标人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为</w:t>
      </w:r>
      <w:r>
        <w:rPr>
          <w:rFonts w:hint="eastAsia" w:ascii="仿宋" w:hAnsi="仿宋" w:eastAsia="仿宋" w:cs="Arial"/>
          <w:sz w:val="24"/>
          <w:szCs w:val="24"/>
        </w:rPr>
        <w:t>在中华人民共和国境内注册，具备承接本项目的建设能力，能够独立承担民事责任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的</w:t>
      </w:r>
      <w:r>
        <w:rPr>
          <w:rFonts w:hint="eastAsia" w:ascii="仿宋" w:hAnsi="仿宋" w:eastAsia="仿宋" w:cs="Arial"/>
          <w:sz w:val="24"/>
          <w:szCs w:val="24"/>
        </w:rPr>
        <w:t>企业法人;</w:t>
      </w:r>
    </w:p>
    <w:p>
      <w:pPr>
        <w:pStyle w:val="6"/>
        <w:numPr>
          <w:ilvl w:val="0"/>
          <w:numId w:val="4"/>
        </w:numPr>
        <w:spacing w:line="400" w:lineRule="exact"/>
        <w:ind w:left="1054" w:leftChars="302" w:hanging="420" w:hangingChars="175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投标人具备《中华人民共和国政府采购法》第二十二条关于供应商条件的规定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 xml:space="preserve">进口产品需提供制造厂商的授权书。 </w:t>
      </w:r>
    </w:p>
    <w:p>
      <w:pPr>
        <w:pStyle w:val="6"/>
        <w:numPr>
          <w:ilvl w:val="0"/>
          <w:numId w:val="4"/>
        </w:numPr>
        <w:spacing w:line="400" w:lineRule="exact"/>
        <w:ind w:left="1054" w:leftChars="302" w:hanging="420" w:hangingChars="175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投标人近三年内（本项目投标截止期前）不得在</w:t>
      </w:r>
      <w:r>
        <w:rPr>
          <w:rFonts w:ascii="仿宋" w:hAnsi="仿宋" w:eastAsia="仿宋" w:cs="Arial"/>
          <w:sz w:val="24"/>
          <w:szCs w:val="24"/>
        </w:rPr>
        <w:t>“</w:t>
      </w:r>
      <w:r>
        <w:rPr>
          <w:rFonts w:hint="eastAsia" w:ascii="仿宋" w:hAnsi="仿宋" w:eastAsia="仿宋" w:cs="Arial"/>
          <w:sz w:val="24"/>
          <w:szCs w:val="24"/>
        </w:rPr>
        <w:t>信用中国</w:t>
      </w:r>
      <w:r>
        <w:rPr>
          <w:rFonts w:ascii="仿宋" w:hAnsi="仿宋" w:eastAsia="仿宋" w:cs="Arial"/>
          <w:sz w:val="24"/>
          <w:szCs w:val="24"/>
        </w:rPr>
        <w:t>”</w:t>
      </w:r>
      <w:r>
        <w:rPr>
          <w:rFonts w:hint="eastAsia" w:ascii="仿宋" w:hAnsi="仿宋" w:eastAsia="仿宋" w:cs="Arial"/>
          <w:sz w:val="24"/>
          <w:szCs w:val="24"/>
        </w:rPr>
        <w:t>网（</w:t>
      </w:r>
      <w:r>
        <w:rPr>
          <w:rFonts w:ascii="仿宋" w:hAnsi="仿宋" w:eastAsia="仿宋" w:cs="Arial"/>
          <w:sz w:val="24"/>
          <w:szCs w:val="24"/>
        </w:rPr>
        <w:t>www.creditchina.gov.cn</w:t>
      </w:r>
      <w:r>
        <w:rPr>
          <w:rFonts w:hint="eastAsia" w:ascii="仿宋" w:hAnsi="仿宋" w:eastAsia="仿宋" w:cs="Arial"/>
          <w:sz w:val="24"/>
          <w:szCs w:val="24"/>
        </w:rPr>
        <w:t>）被列入失信被执行人、重大税收违法案件当事人名单或在中国政府采购网（</w:t>
      </w:r>
      <w:r>
        <w:rPr>
          <w:rFonts w:ascii="仿宋" w:hAnsi="仿宋" w:eastAsia="仿宋" w:cs="Arial"/>
          <w:sz w:val="24"/>
          <w:szCs w:val="24"/>
        </w:rPr>
        <w:t>www.ccgp.gov.cn</w:t>
      </w:r>
      <w:r>
        <w:rPr>
          <w:rFonts w:hint="eastAsia" w:ascii="仿宋" w:hAnsi="仿宋" w:eastAsia="仿宋" w:cs="Arial"/>
          <w:sz w:val="24"/>
          <w:szCs w:val="24"/>
        </w:rPr>
        <w:t xml:space="preserve">）被列入政府采购严重违法失信行为记录名单，或存在《中华人民共和国政府采购法实施条例》第十九条规定的行政处罚记录。 </w:t>
      </w:r>
    </w:p>
    <w:p>
      <w:pPr>
        <w:pStyle w:val="6"/>
        <w:numPr>
          <w:ilvl w:val="0"/>
          <w:numId w:val="4"/>
        </w:numPr>
        <w:spacing w:line="400" w:lineRule="exact"/>
        <w:ind w:left="1054" w:leftChars="302" w:hanging="420" w:hangingChars="175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 xml:space="preserve">单位负责人为同一人或者存在直接控股、管理关系的不同供应商，不得同时参加同一项目的投标。 </w:t>
      </w:r>
    </w:p>
    <w:p>
      <w:pPr>
        <w:pStyle w:val="6"/>
        <w:numPr>
          <w:ilvl w:val="0"/>
          <w:numId w:val="4"/>
        </w:numPr>
        <w:spacing w:line="400" w:lineRule="exact"/>
        <w:ind w:left="1054" w:leftChars="302" w:hanging="420" w:hangingChars="175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 xml:space="preserve">为本项目提供整体设计、规范编制或者项目管理、监理、检测等服务的投标人，其投标将作为无效投标被拒绝。 </w:t>
      </w:r>
    </w:p>
    <w:p>
      <w:pPr>
        <w:pStyle w:val="6"/>
        <w:numPr>
          <w:ilvl w:val="0"/>
          <w:numId w:val="4"/>
        </w:numPr>
        <w:spacing w:line="400" w:lineRule="exact"/>
        <w:ind w:left="636" w:leftChars="303" w:firstLine="0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 xml:space="preserve">从中国海洋工程有限公司正式获得了本项目的招标文件。 </w:t>
      </w:r>
    </w:p>
    <w:p>
      <w:pPr>
        <w:pStyle w:val="6"/>
        <w:numPr>
          <w:ilvl w:val="0"/>
          <w:numId w:val="4"/>
        </w:numPr>
        <w:spacing w:line="400" w:lineRule="exact"/>
        <w:ind w:left="636" w:leftChars="303" w:firstLine="0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 xml:space="preserve">法律、法规规定的其他条件。 </w:t>
      </w:r>
    </w:p>
    <w:p>
      <w:pPr>
        <w:pStyle w:val="6"/>
        <w:numPr>
          <w:ilvl w:val="0"/>
          <w:numId w:val="4"/>
        </w:numPr>
        <w:spacing w:line="400" w:lineRule="exact"/>
        <w:ind w:left="636" w:leftChars="303" w:firstLine="0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 xml:space="preserve">本次招标不接受联合体。 </w:t>
      </w:r>
    </w:p>
    <w:p>
      <w:pPr>
        <w:pStyle w:val="7"/>
        <w:spacing w:line="400" w:lineRule="exact"/>
        <w:rPr>
          <w:sz w:val="24"/>
          <w:szCs w:val="24"/>
        </w:rPr>
      </w:pPr>
      <w:bookmarkStart w:id="9" w:name="_Toc31607"/>
      <w:r>
        <w:rPr>
          <w:rFonts w:hint="eastAsia"/>
          <w:sz w:val="24"/>
          <w:szCs w:val="24"/>
        </w:rPr>
        <w:t>招标文件的获取</w:t>
      </w:r>
      <w:bookmarkEnd w:id="9"/>
    </w:p>
    <w:p>
      <w:pPr>
        <w:pStyle w:val="6"/>
        <w:numPr>
          <w:ilvl w:val="0"/>
          <w:numId w:val="5"/>
        </w:numPr>
        <w:spacing w:line="400" w:lineRule="exact"/>
        <w:ind w:left="993" w:hanging="284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凡有意参加投标者，请于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eastAsia="zh-CN"/>
        </w:rPr>
        <w:t>2024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val="en-US" w:eastAsia="zh-CN"/>
        </w:rPr>
        <w:t>28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</w:rPr>
        <w:t>日至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eastAsia="zh-CN"/>
        </w:rPr>
        <w:t>2024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val="en-US" w:eastAsia="zh-CN"/>
        </w:rPr>
        <w:t>4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</w:rPr>
        <w:t>月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val="en-US" w:eastAsia="zh-CN"/>
        </w:rPr>
        <w:t>3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</w:rPr>
        <w:t>日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，每日</w:t>
      </w:r>
      <w:r>
        <w:rPr>
          <w:rFonts w:ascii="仿宋" w:hAnsi="仿宋" w:eastAsia="仿宋" w:cs="Arial"/>
          <w:sz w:val="24"/>
          <w:szCs w:val="24"/>
          <w:highlight w:val="none"/>
          <w:u w:val="single"/>
        </w:rPr>
        <w:t>9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时</w:t>
      </w:r>
      <w:r>
        <w:rPr>
          <w:rFonts w:ascii="仿宋" w:hAnsi="仿宋" w:eastAsia="仿宋" w:cs="Arial"/>
          <w:sz w:val="24"/>
          <w:szCs w:val="24"/>
          <w:highlight w:val="none"/>
          <w:u w:val="single"/>
        </w:rPr>
        <w:t>00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分至</w:t>
      </w:r>
      <w:r>
        <w:rPr>
          <w:rFonts w:ascii="仿宋" w:hAnsi="仿宋" w:eastAsia="仿宋" w:cs="Arial"/>
          <w:sz w:val="24"/>
          <w:szCs w:val="24"/>
          <w:highlight w:val="none"/>
          <w:u w:val="single"/>
        </w:rPr>
        <w:t>16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时</w:t>
      </w:r>
      <w:r>
        <w:rPr>
          <w:rFonts w:ascii="仿宋" w:hAnsi="仿宋" w:eastAsia="仿宋" w:cs="Arial"/>
          <w:sz w:val="24"/>
          <w:szCs w:val="24"/>
          <w:highlight w:val="none"/>
          <w:u w:val="single"/>
        </w:rPr>
        <w:t>30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分（北</w:t>
      </w:r>
      <w:r>
        <w:rPr>
          <w:rFonts w:hint="eastAsia" w:ascii="仿宋" w:hAnsi="仿宋" w:eastAsia="仿宋" w:cs="Arial"/>
          <w:sz w:val="24"/>
          <w:szCs w:val="24"/>
        </w:rPr>
        <w:t>京时间节假日及法定假日除外，下同），请将招标文件购买费用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通过公司账户</w:t>
      </w:r>
      <w:r>
        <w:rPr>
          <w:rFonts w:hint="eastAsia" w:ascii="仿宋" w:hAnsi="仿宋" w:eastAsia="仿宋" w:cs="Arial"/>
          <w:sz w:val="24"/>
          <w:szCs w:val="24"/>
        </w:rPr>
        <w:t>电汇至招标代理机构账户，提供公司证明文件及汇款凭证扫描件，经代理机构审核后通过电子邮件或邮寄发送，逾期无法购买。</w:t>
      </w:r>
    </w:p>
    <w:p>
      <w:pPr>
        <w:pStyle w:val="6"/>
        <w:numPr>
          <w:ilvl w:val="0"/>
          <w:numId w:val="0"/>
        </w:numPr>
        <w:spacing w:line="400" w:lineRule="exact"/>
        <w:ind w:left="640" w:leftChars="0" w:firstLine="480" w:firstLineChars="20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代理机构银行信息如下：</w:t>
      </w:r>
    </w:p>
    <w:p>
      <w:pPr>
        <w:pStyle w:val="6"/>
        <w:numPr>
          <w:ilvl w:val="0"/>
          <w:numId w:val="0"/>
        </w:numPr>
        <w:spacing w:line="400" w:lineRule="exact"/>
        <w:ind w:left="640" w:leftChars="0" w:firstLine="480" w:firstLineChars="200"/>
        <w:rPr>
          <w:rFonts w:hint="eastAsia" w:ascii="仿宋" w:hAnsi="仿宋" w:eastAsia="仿宋" w:cs="Arial"/>
          <w:sz w:val="24"/>
          <w:szCs w:val="24"/>
          <w:lang w:val="en-US" w:eastAsia="zh-CN"/>
        </w:rPr>
      </w:pP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公司名称：中国海洋工程有限公司北京分公司</w:t>
      </w:r>
    </w:p>
    <w:p>
      <w:pPr>
        <w:pStyle w:val="6"/>
        <w:numPr>
          <w:ilvl w:val="0"/>
          <w:numId w:val="0"/>
        </w:numPr>
        <w:spacing w:line="400" w:lineRule="exact"/>
        <w:ind w:left="640" w:leftChars="0" w:firstLine="480" w:firstLineChars="200"/>
        <w:rPr>
          <w:rFonts w:hint="eastAsia" w:ascii="仿宋" w:hAnsi="仿宋" w:eastAsia="仿宋" w:cs="Arial"/>
          <w:sz w:val="24"/>
          <w:szCs w:val="24"/>
          <w:lang w:val="en-US" w:eastAsia="zh-CN"/>
        </w:rPr>
      </w:pP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开户银行：招商银行股份有限公司北京北三环支行</w:t>
      </w:r>
    </w:p>
    <w:p>
      <w:pPr>
        <w:pStyle w:val="6"/>
        <w:numPr>
          <w:ilvl w:val="0"/>
          <w:numId w:val="0"/>
        </w:numPr>
        <w:spacing w:line="400" w:lineRule="exact"/>
        <w:ind w:left="640" w:leftChars="0" w:firstLine="480" w:firstLineChars="200"/>
        <w:rPr>
          <w:rFonts w:hint="eastAsia" w:ascii="仿宋" w:hAnsi="仿宋" w:eastAsia="仿宋" w:cs="Arial"/>
          <w:sz w:val="24"/>
          <w:szCs w:val="24"/>
          <w:lang w:val="en-US" w:eastAsia="zh-CN"/>
        </w:rPr>
      </w:pP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账    号：1109 3744 6510 801</w:t>
      </w:r>
    </w:p>
    <w:p>
      <w:pPr>
        <w:pStyle w:val="6"/>
        <w:numPr>
          <w:ilvl w:val="0"/>
          <w:numId w:val="5"/>
        </w:numPr>
        <w:spacing w:line="400" w:lineRule="exact"/>
        <w:ind w:left="993" w:hanging="284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招标文件每套售价</w:t>
      </w:r>
      <w:r>
        <w:rPr>
          <w:rFonts w:hint="eastAsia" w:ascii="仿宋" w:hAnsi="仿宋" w:eastAsia="仿宋" w:cs="Arial"/>
          <w:color w:val="auto"/>
          <w:sz w:val="24"/>
          <w:szCs w:val="24"/>
          <w:u w:val="single"/>
          <w:lang w:val="en-US" w:eastAsia="zh-CN"/>
        </w:rPr>
        <w:t>500</w:t>
      </w:r>
      <w:r>
        <w:rPr>
          <w:rFonts w:hint="eastAsia" w:ascii="仿宋" w:hAnsi="仿宋" w:eastAsia="仿宋" w:cs="Arial"/>
          <w:color w:val="auto"/>
          <w:sz w:val="24"/>
          <w:szCs w:val="24"/>
          <w:u w:val="single"/>
        </w:rPr>
        <w:t>元/</w:t>
      </w:r>
      <w:r>
        <w:rPr>
          <w:rFonts w:hint="eastAsia" w:ascii="仿宋" w:hAnsi="仿宋" w:eastAsia="仿宋" w:cs="Arial"/>
          <w:sz w:val="24"/>
          <w:szCs w:val="24"/>
          <w:u w:val="single"/>
        </w:rPr>
        <w:t>包</w:t>
      </w:r>
      <w:r>
        <w:rPr>
          <w:rFonts w:hint="eastAsia" w:ascii="仿宋" w:hAnsi="仿宋" w:eastAsia="仿宋" w:cs="Arial"/>
          <w:sz w:val="24"/>
          <w:szCs w:val="24"/>
        </w:rPr>
        <w:t>，售后不退。</w:t>
      </w:r>
    </w:p>
    <w:p>
      <w:pPr>
        <w:pStyle w:val="6"/>
        <w:numPr>
          <w:ilvl w:val="0"/>
          <w:numId w:val="5"/>
        </w:numPr>
        <w:spacing w:line="400" w:lineRule="exact"/>
        <w:ind w:left="993" w:hanging="284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购买文件时需签署《招标文件购买（领取）登记表》（格式见附件一），并携带以下材料：</w:t>
      </w:r>
    </w:p>
    <w:p>
      <w:pPr>
        <w:pStyle w:val="6"/>
        <w:numPr>
          <w:ilvl w:val="0"/>
          <w:numId w:val="6"/>
        </w:numPr>
        <w:spacing w:line="400" w:lineRule="exact"/>
        <w:ind w:left="993" w:hanging="284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法定代表人授权书及被授权人身份证复印件（加盖单位公章）；</w:t>
      </w:r>
    </w:p>
    <w:p>
      <w:pPr>
        <w:pStyle w:val="6"/>
        <w:numPr>
          <w:ilvl w:val="0"/>
          <w:numId w:val="6"/>
        </w:numPr>
        <w:spacing w:line="400" w:lineRule="exact"/>
        <w:ind w:left="993" w:hanging="284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营业执照副本复印件（加盖单位公章）。</w:t>
      </w:r>
    </w:p>
    <w:p>
      <w:pPr>
        <w:pStyle w:val="7"/>
        <w:spacing w:line="400" w:lineRule="exact"/>
        <w:rPr>
          <w:rFonts w:cs="仿宋"/>
          <w:sz w:val="28"/>
          <w:szCs w:val="28"/>
          <w:shd w:val="clear" w:color="auto" w:fill="FFFFFF"/>
        </w:rPr>
      </w:pPr>
      <w:bookmarkStart w:id="10" w:name="_Toc9128"/>
      <w:bookmarkStart w:id="11" w:name="_Toc31315"/>
      <w:r>
        <w:rPr>
          <w:rFonts w:hint="eastAsia"/>
          <w:sz w:val="24"/>
          <w:szCs w:val="24"/>
        </w:rPr>
        <w:t>投标文件的递交</w:t>
      </w:r>
      <w:bookmarkEnd w:id="10"/>
      <w:bookmarkEnd w:id="11"/>
    </w:p>
    <w:p>
      <w:pPr>
        <w:pStyle w:val="6"/>
        <w:numPr>
          <w:ilvl w:val="0"/>
          <w:numId w:val="7"/>
        </w:numPr>
        <w:spacing w:line="400" w:lineRule="exact"/>
        <w:ind w:left="1071" w:hanging="431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投标文件递交方式：邮寄递交或现场递交，地址：上海市杨树浦路1426号，联系人：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王加鑫</w:t>
      </w:r>
      <w:r>
        <w:rPr>
          <w:rFonts w:hint="eastAsia" w:ascii="仿宋" w:hAnsi="仿宋" w:eastAsia="仿宋" w:cs="Arial"/>
          <w:sz w:val="24"/>
          <w:szCs w:val="24"/>
        </w:rPr>
        <w:t>，联系电话：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13636327827</w:t>
      </w:r>
      <w:r>
        <w:rPr>
          <w:rFonts w:hint="eastAsia" w:ascii="仿宋" w:hAnsi="仿宋" w:eastAsia="仿宋" w:cs="Arial"/>
          <w:sz w:val="24"/>
          <w:szCs w:val="24"/>
        </w:rPr>
        <w:t>。</w:t>
      </w:r>
    </w:p>
    <w:p>
      <w:pPr>
        <w:pStyle w:val="6"/>
        <w:numPr>
          <w:ilvl w:val="0"/>
          <w:numId w:val="7"/>
        </w:numPr>
        <w:spacing w:line="400" w:lineRule="exact"/>
        <w:ind w:left="1071" w:hanging="431" w:firstLineChars="0"/>
        <w:rPr>
          <w:rFonts w:ascii="仿宋" w:hAnsi="仿宋" w:eastAsia="仿宋" w:cs="Arial"/>
          <w:color w:val="auto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投标文件递交的截</w:t>
      </w:r>
      <w:r>
        <w:rPr>
          <w:rFonts w:hint="eastAsia" w:ascii="仿宋" w:hAnsi="仿宋" w:eastAsia="仿宋" w:cs="Arial"/>
          <w:color w:val="auto"/>
          <w:sz w:val="24"/>
          <w:szCs w:val="24"/>
        </w:rPr>
        <w:t>止时间为</w:t>
      </w:r>
      <w:r>
        <w:rPr>
          <w:rFonts w:hint="eastAsia" w:ascii="仿宋" w:hAnsi="仿宋" w:eastAsia="仿宋" w:cs="Arial"/>
          <w:color w:val="auto"/>
          <w:sz w:val="24"/>
          <w:szCs w:val="24"/>
          <w:lang w:eastAsia="zh-CN"/>
        </w:rPr>
        <w:t>2024</w:t>
      </w:r>
      <w:r>
        <w:rPr>
          <w:rFonts w:hint="eastAsia" w:ascii="仿宋" w:hAnsi="仿宋" w:eastAsia="仿宋" w:cs="Arial"/>
          <w:color w:val="auto"/>
          <w:sz w:val="24"/>
          <w:szCs w:val="24"/>
        </w:rPr>
        <w:t>年</w:t>
      </w:r>
      <w:r>
        <w:rPr>
          <w:rFonts w:hint="eastAsia" w:ascii="仿宋" w:hAnsi="仿宋" w:eastAsia="仿宋" w:cs="Arial"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Arial"/>
          <w:color w:val="auto"/>
          <w:sz w:val="24"/>
          <w:szCs w:val="24"/>
        </w:rPr>
        <w:t>月</w:t>
      </w:r>
      <w:r>
        <w:rPr>
          <w:rFonts w:hint="eastAsia" w:ascii="仿宋" w:hAnsi="仿宋" w:eastAsia="仿宋" w:cs="Arial"/>
          <w:color w:val="auto"/>
          <w:sz w:val="24"/>
          <w:szCs w:val="24"/>
          <w:lang w:val="en-US" w:eastAsia="zh-CN"/>
        </w:rPr>
        <w:t>18</w:t>
      </w:r>
      <w:r>
        <w:rPr>
          <w:rFonts w:hint="eastAsia" w:ascii="仿宋" w:hAnsi="仿宋" w:eastAsia="仿宋" w:cs="Arial"/>
          <w:color w:val="auto"/>
          <w:sz w:val="24"/>
          <w:szCs w:val="24"/>
        </w:rPr>
        <w:t>日</w:t>
      </w:r>
      <w:r>
        <w:rPr>
          <w:rFonts w:hint="eastAsia" w:ascii="仿宋" w:hAnsi="仿宋" w:eastAsia="仿宋" w:cs="Arial"/>
          <w:color w:val="auto"/>
          <w:sz w:val="24"/>
          <w:szCs w:val="24"/>
          <w:lang w:val="en-US" w:eastAsia="zh-CN"/>
        </w:rPr>
        <w:t>09</w:t>
      </w:r>
      <w:r>
        <w:rPr>
          <w:rFonts w:hint="eastAsia" w:ascii="仿宋" w:hAnsi="仿宋" w:eastAsia="仿宋" w:cs="Arial"/>
          <w:color w:val="auto"/>
          <w:sz w:val="24"/>
          <w:szCs w:val="24"/>
        </w:rPr>
        <w:t>:00前。</w:t>
      </w:r>
    </w:p>
    <w:p>
      <w:pPr>
        <w:pStyle w:val="7"/>
        <w:spacing w:line="400" w:lineRule="exact"/>
        <w:rPr>
          <w:color w:val="auto"/>
          <w:sz w:val="24"/>
          <w:szCs w:val="24"/>
        </w:rPr>
      </w:pPr>
      <w:bookmarkStart w:id="12" w:name="_Toc1913"/>
      <w:r>
        <w:rPr>
          <w:rFonts w:hint="eastAsia"/>
          <w:color w:val="auto"/>
          <w:sz w:val="24"/>
          <w:szCs w:val="24"/>
        </w:rPr>
        <w:t>开标时间</w:t>
      </w:r>
      <w:bookmarkEnd w:id="12"/>
    </w:p>
    <w:p>
      <w:pPr>
        <w:pStyle w:val="6"/>
        <w:spacing w:line="400" w:lineRule="exact"/>
        <w:ind w:firstLine="1200" w:firstLineChars="500"/>
        <w:rPr>
          <w:rFonts w:hint="eastAsia" w:ascii="仿宋" w:hAnsi="仿宋" w:eastAsia="仿宋" w:cs="Arial"/>
          <w:color w:val="auto"/>
          <w:sz w:val="24"/>
          <w:szCs w:val="24"/>
        </w:rPr>
      </w:pPr>
      <w:r>
        <w:rPr>
          <w:rFonts w:hint="eastAsia" w:ascii="仿宋" w:hAnsi="仿宋" w:eastAsia="仿宋" w:cs="Arial"/>
          <w:color w:val="auto"/>
          <w:sz w:val="24"/>
          <w:szCs w:val="24"/>
        </w:rPr>
        <w:t>开标时间：</w:t>
      </w:r>
      <w:r>
        <w:rPr>
          <w:rFonts w:hint="eastAsia" w:ascii="仿宋" w:hAnsi="仿宋" w:eastAsia="仿宋" w:cs="Arial"/>
          <w:color w:val="auto"/>
          <w:sz w:val="24"/>
          <w:szCs w:val="24"/>
          <w:lang w:eastAsia="zh-CN"/>
        </w:rPr>
        <w:t>2024</w:t>
      </w:r>
      <w:r>
        <w:rPr>
          <w:rFonts w:hint="eastAsia" w:ascii="仿宋" w:hAnsi="仿宋" w:eastAsia="仿宋" w:cs="Arial"/>
          <w:color w:val="auto"/>
          <w:sz w:val="24"/>
          <w:szCs w:val="24"/>
        </w:rPr>
        <w:t>年</w:t>
      </w:r>
      <w:r>
        <w:rPr>
          <w:rFonts w:hint="eastAsia" w:ascii="仿宋" w:hAnsi="仿宋" w:eastAsia="仿宋" w:cs="Arial"/>
          <w:color w:val="auto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Arial"/>
          <w:color w:val="auto"/>
          <w:sz w:val="24"/>
          <w:szCs w:val="24"/>
        </w:rPr>
        <w:t>月</w:t>
      </w:r>
      <w:r>
        <w:rPr>
          <w:rFonts w:hint="eastAsia" w:ascii="仿宋" w:hAnsi="仿宋" w:eastAsia="仿宋" w:cs="Arial"/>
          <w:color w:val="auto"/>
          <w:sz w:val="24"/>
          <w:szCs w:val="24"/>
          <w:lang w:val="en-US" w:eastAsia="zh-CN"/>
        </w:rPr>
        <w:t>18</w:t>
      </w:r>
      <w:r>
        <w:rPr>
          <w:rFonts w:hint="eastAsia" w:ascii="仿宋" w:hAnsi="仿宋" w:eastAsia="仿宋" w:cs="Arial"/>
          <w:color w:val="auto"/>
          <w:sz w:val="24"/>
          <w:szCs w:val="24"/>
        </w:rPr>
        <w:t>日</w:t>
      </w:r>
      <w:r>
        <w:rPr>
          <w:rFonts w:hint="eastAsia" w:ascii="仿宋" w:hAnsi="仿宋" w:eastAsia="仿宋" w:cs="Arial"/>
          <w:color w:val="auto"/>
          <w:sz w:val="24"/>
          <w:szCs w:val="24"/>
          <w:lang w:val="en-US" w:eastAsia="zh-CN"/>
        </w:rPr>
        <w:t>09</w:t>
      </w:r>
      <w:r>
        <w:rPr>
          <w:rFonts w:hint="eastAsia" w:ascii="仿宋" w:hAnsi="仿宋" w:eastAsia="仿宋" w:cs="Arial"/>
          <w:color w:val="auto"/>
          <w:sz w:val="24"/>
          <w:szCs w:val="24"/>
        </w:rPr>
        <w:t>:00整。</w:t>
      </w:r>
    </w:p>
    <w:p>
      <w:pPr>
        <w:pStyle w:val="7"/>
        <w:spacing w:line="400" w:lineRule="exact"/>
        <w:rPr>
          <w:sz w:val="24"/>
          <w:szCs w:val="24"/>
        </w:rPr>
      </w:pPr>
      <w:bookmarkStart w:id="13" w:name="_Toc20168"/>
      <w:bookmarkStart w:id="14" w:name="_Toc6856"/>
      <w:r>
        <w:rPr>
          <w:rFonts w:hint="eastAsia"/>
          <w:sz w:val="24"/>
          <w:szCs w:val="24"/>
        </w:rPr>
        <w:t>发布公告的媒介</w:t>
      </w:r>
      <w:bookmarkEnd w:id="13"/>
      <w:bookmarkEnd w:id="14"/>
    </w:p>
    <w:p>
      <w:pPr>
        <w:pStyle w:val="6"/>
        <w:spacing w:line="400" w:lineRule="exact"/>
        <w:ind w:firstLine="960" w:firstLineChars="400"/>
        <w:rPr>
          <w:rFonts w:ascii="仿宋" w:hAnsi="仿宋" w:eastAsia="仿宋" w:cs="Arial"/>
          <w:color w:val="auto"/>
          <w:sz w:val="24"/>
          <w:szCs w:val="24"/>
        </w:rPr>
      </w:pPr>
      <w:r>
        <w:rPr>
          <w:rFonts w:ascii="仿宋" w:hAnsi="仿宋" w:eastAsia="仿宋" w:cs="Arial"/>
          <w:sz w:val="24"/>
          <w:szCs w:val="24"/>
        </w:rPr>
        <w:t>本次招标公告同时在</w:t>
      </w:r>
      <w:r>
        <w:rPr>
          <w:rFonts w:hint="eastAsia" w:ascii="仿宋" w:hAnsi="仿宋" w:eastAsia="仿宋" w:cs="Arial"/>
          <w:sz w:val="24"/>
          <w:szCs w:val="24"/>
        </w:rPr>
        <w:t>中国政府采购网（http://www.ccgp.gov.cn/）</w:t>
      </w:r>
      <w:r>
        <w:rPr>
          <w:rFonts w:ascii="仿宋" w:hAnsi="仿宋" w:eastAsia="仿宋" w:cs="Arial"/>
          <w:sz w:val="24"/>
          <w:szCs w:val="24"/>
        </w:rPr>
        <w:t>上发布。</w:t>
      </w:r>
      <w:bookmarkStart w:id="15" w:name="_Toc22514"/>
    </w:p>
    <w:p>
      <w:pPr>
        <w:pStyle w:val="7"/>
        <w:spacing w:line="400" w:lineRule="exact"/>
        <w:rPr>
          <w:sz w:val="24"/>
          <w:szCs w:val="24"/>
        </w:rPr>
      </w:pPr>
      <w:bookmarkStart w:id="16" w:name="_Toc26817"/>
      <w:r>
        <w:rPr>
          <w:rFonts w:hint="eastAsia"/>
          <w:sz w:val="24"/>
          <w:szCs w:val="24"/>
        </w:rPr>
        <w:t>联系方式</w:t>
      </w:r>
      <w:bookmarkEnd w:id="15"/>
      <w:bookmarkEnd w:id="16"/>
    </w:p>
    <w:p>
      <w:pPr>
        <w:pStyle w:val="6"/>
        <w:numPr>
          <w:ilvl w:val="0"/>
          <w:numId w:val="8"/>
        </w:numPr>
        <w:spacing w:line="400" w:lineRule="exact"/>
        <w:ind w:left="1560" w:hanging="426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招标</w:t>
      </w:r>
      <w:r>
        <w:rPr>
          <w:rFonts w:hint="eastAsia" w:ascii="仿宋" w:hAnsi="仿宋" w:eastAsia="仿宋" w:cs="Arial"/>
          <w:sz w:val="24"/>
          <w:szCs w:val="24"/>
        </w:rPr>
        <w:t>单位</w:t>
      </w:r>
    </w:p>
    <w:p>
      <w:pPr>
        <w:pStyle w:val="6"/>
        <w:spacing w:line="400" w:lineRule="exact"/>
        <w:ind w:left="1560" w:firstLine="0" w:firstLineChars="0"/>
        <w:rPr>
          <w:rFonts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>单位名称：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交通运输部上海打捞局</w:t>
      </w:r>
    </w:p>
    <w:p>
      <w:pPr>
        <w:pStyle w:val="6"/>
        <w:spacing w:line="400" w:lineRule="exact"/>
        <w:ind w:left="1560" w:firstLine="0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 xml:space="preserve">地 </w:t>
      </w:r>
      <w:r>
        <w:rPr>
          <w:rFonts w:ascii="仿宋" w:hAnsi="仿宋" w:eastAsia="仿宋" w:cs="Arial"/>
          <w:sz w:val="24"/>
          <w:szCs w:val="24"/>
        </w:rPr>
        <w:t xml:space="preserve">   </w:t>
      </w:r>
      <w:r>
        <w:rPr>
          <w:rFonts w:hint="eastAsia" w:ascii="仿宋" w:hAnsi="仿宋" w:eastAsia="仿宋" w:cs="Arial"/>
          <w:sz w:val="24"/>
          <w:szCs w:val="24"/>
        </w:rPr>
        <w:t>址：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上海市杨树浦路1</w:t>
      </w:r>
      <w:r>
        <w:rPr>
          <w:rFonts w:ascii="仿宋" w:hAnsi="仿宋" w:eastAsia="仿宋" w:cs="Arial"/>
          <w:sz w:val="24"/>
          <w:szCs w:val="24"/>
          <w:u w:val="single"/>
        </w:rPr>
        <w:t>426</w:t>
      </w:r>
      <w:r>
        <w:rPr>
          <w:rFonts w:hint="eastAsia" w:ascii="仿宋" w:hAnsi="仿宋" w:eastAsia="仿宋" w:cs="Arial"/>
          <w:sz w:val="24"/>
          <w:szCs w:val="24"/>
          <w:u w:val="single"/>
        </w:rPr>
        <w:t>号</w:t>
      </w:r>
    </w:p>
    <w:p>
      <w:pPr>
        <w:pStyle w:val="6"/>
        <w:spacing w:line="400" w:lineRule="exact"/>
        <w:ind w:left="1560" w:firstLine="0" w:firstLineChars="0"/>
        <w:rPr>
          <w:rFonts w:hint="default" w:ascii="仿宋" w:hAnsi="仿宋" w:eastAsia="仿宋" w:cs="Arial"/>
          <w:color w:val="auto"/>
          <w:sz w:val="24"/>
          <w:szCs w:val="24"/>
          <w:u w:val="single"/>
          <w:lang w:val="en-US" w:eastAsia="zh-CN"/>
        </w:rPr>
      </w:pPr>
      <w:r>
        <w:rPr>
          <w:rFonts w:hint="eastAsia" w:ascii="仿宋" w:hAnsi="仿宋" w:eastAsia="仿宋" w:cs="Arial"/>
          <w:color w:val="auto"/>
          <w:sz w:val="24"/>
          <w:szCs w:val="24"/>
        </w:rPr>
        <w:t>联 系 人：</w:t>
      </w:r>
      <w:r>
        <w:rPr>
          <w:rFonts w:hint="eastAsia" w:ascii="仿宋" w:hAnsi="仿宋" w:eastAsia="仿宋" w:cs="Arial"/>
          <w:color w:val="auto"/>
          <w:sz w:val="24"/>
          <w:szCs w:val="24"/>
          <w:u w:val="single"/>
          <w:lang w:val="en-US" w:eastAsia="zh-CN"/>
        </w:rPr>
        <w:t>郭文军</w:t>
      </w:r>
    </w:p>
    <w:p>
      <w:pPr>
        <w:pStyle w:val="6"/>
        <w:spacing w:line="400" w:lineRule="exact"/>
        <w:ind w:left="-2" w:leftChars="-1" w:firstLine="1576" w:firstLineChars="657"/>
        <w:rPr>
          <w:rFonts w:hint="default" w:ascii="仿宋" w:hAnsi="仿宋" w:eastAsia="仿宋" w:cs="Arial"/>
          <w:color w:val="auto"/>
          <w:sz w:val="24"/>
          <w:szCs w:val="24"/>
          <w:u w:val="single"/>
          <w:lang w:val="en-US" w:eastAsia="zh-CN"/>
        </w:rPr>
      </w:pPr>
      <w:r>
        <w:rPr>
          <w:rFonts w:hint="eastAsia" w:ascii="仿宋" w:hAnsi="仿宋" w:eastAsia="仿宋" w:cs="Arial"/>
          <w:color w:val="auto"/>
          <w:sz w:val="24"/>
          <w:szCs w:val="24"/>
        </w:rPr>
        <w:t>联系电话：</w:t>
      </w:r>
      <w:r>
        <w:rPr>
          <w:rFonts w:hint="eastAsia" w:ascii="仿宋" w:hAnsi="仿宋" w:eastAsia="仿宋" w:cs="Arial"/>
          <w:color w:val="auto"/>
          <w:sz w:val="24"/>
          <w:szCs w:val="24"/>
          <w:u w:val="single"/>
          <w:lang w:val="en-US" w:eastAsia="zh-CN"/>
        </w:rPr>
        <w:t>021-65397595</w:t>
      </w:r>
    </w:p>
    <w:p>
      <w:pPr>
        <w:pStyle w:val="6"/>
        <w:numPr>
          <w:ilvl w:val="0"/>
          <w:numId w:val="8"/>
        </w:numPr>
        <w:spacing w:line="400" w:lineRule="exact"/>
        <w:ind w:left="1560" w:hanging="426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招标代理机构</w:t>
      </w:r>
    </w:p>
    <w:p>
      <w:pPr>
        <w:pStyle w:val="6"/>
        <w:spacing w:line="400" w:lineRule="exact"/>
        <w:ind w:left="-2" w:leftChars="-1" w:firstLine="1576" w:firstLineChars="657"/>
        <w:rPr>
          <w:rFonts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>机构名称：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中国海洋工程有限公司</w:t>
      </w:r>
    </w:p>
    <w:p>
      <w:pPr>
        <w:pStyle w:val="6"/>
        <w:spacing w:line="400" w:lineRule="exact"/>
        <w:ind w:left="-2" w:leftChars="-1" w:firstLine="1576" w:firstLineChars="657"/>
        <w:rPr>
          <w:rFonts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 xml:space="preserve">地 </w:t>
      </w:r>
      <w:r>
        <w:rPr>
          <w:rFonts w:ascii="仿宋" w:hAnsi="仿宋" w:eastAsia="仿宋" w:cs="Arial"/>
          <w:sz w:val="24"/>
          <w:szCs w:val="24"/>
        </w:rPr>
        <w:t xml:space="preserve">   </w:t>
      </w:r>
      <w:r>
        <w:rPr>
          <w:rFonts w:hint="eastAsia" w:ascii="仿宋" w:hAnsi="仿宋" w:eastAsia="仿宋" w:cs="Arial"/>
          <w:sz w:val="24"/>
          <w:szCs w:val="24"/>
        </w:rPr>
        <w:t>址：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北京市朝阳区安外大街外馆斜街甲1号</w:t>
      </w:r>
    </w:p>
    <w:p>
      <w:pPr>
        <w:pStyle w:val="6"/>
        <w:spacing w:line="400" w:lineRule="exact"/>
        <w:ind w:left="-2" w:leftChars="-1" w:firstLine="1576" w:firstLineChars="657"/>
        <w:rPr>
          <w:rFonts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>联 系 人：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王加鑫/</w:t>
      </w:r>
      <w:r>
        <w:rPr>
          <w:rFonts w:hint="eastAsia" w:ascii="仿宋" w:hAnsi="仿宋" w:eastAsia="仿宋" w:cs="Arial"/>
          <w:sz w:val="24"/>
          <w:szCs w:val="24"/>
          <w:u w:val="single"/>
        </w:rPr>
        <w:t>张丽洁</w:t>
      </w:r>
    </w:p>
    <w:p>
      <w:pPr>
        <w:pStyle w:val="6"/>
        <w:spacing w:line="400" w:lineRule="exact"/>
        <w:ind w:left="1060" w:firstLine="480" w:firstLineChars="20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 xml:space="preserve">电子邮箱： </w:t>
      </w:r>
      <w:r>
        <w:rPr>
          <w:rFonts w:hint="eastAsia" w:ascii="仿宋" w:eastAsia="仿宋" w:cs="Arial"/>
          <w:sz w:val="24"/>
          <w:szCs w:val="24"/>
        </w:rPr>
        <w:t>jiaxinwang_coes@163.com/coes_1426_bidoc@163.com</w:t>
      </w:r>
    </w:p>
    <w:p>
      <w:pPr>
        <w:pStyle w:val="6"/>
        <w:spacing w:line="400" w:lineRule="exact"/>
        <w:ind w:left="-2" w:leftChars="-1" w:firstLine="1576" w:firstLineChars="657"/>
        <w:rPr>
          <w:rFonts w:hint="eastAsia"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>联系电话：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0</w:t>
      </w:r>
      <w:r>
        <w:rPr>
          <w:rFonts w:ascii="仿宋" w:hAnsi="仿宋" w:eastAsia="仿宋" w:cs="Arial"/>
          <w:sz w:val="24"/>
          <w:szCs w:val="24"/>
          <w:u w:val="single"/>
        </w:rPr>
        <w:t>10</w:t>
      </w:r>
      <w:r>
        <w:rPr>
          <w:rFonts w:hint="eastAsia" w:ascii="仿宋" w:hAnsi="仿宋" w:eastAsia="仿宋" w:cs="Arial"/>
          <w:sz w:val="24"/>
          <w:szCs w:val="24"/>
          <w:u w:val="single"/>
        </w:rPr>
        <w:t>-</w:t>
      </w:r>
      <w:r>
        <w:rPr>
          <w:rFonts w:ascii="仿宋" w:hAnsi="仿宋" w:eastAsia="仿宋" w:cs="Arial"/>
          <w:sz w:val="24"/>
          <w:szCs w:val="24"/>
          <w:u w:val="single"/>
        </w:rPr>
        <w:t>852853</w:t>
      </w:r>
      <w:r>
        <w:rPr>
          <w:rFonts w:hint="eastAsia" w:ascii="仿宋" w:hAnsi="仿宋" w:eastAsia="仿宋" w:cs="Arial"/>
          <w:sz w:val="24"/>
          <w:szCs w:val="24"/>
          <w:u w:val="single"/>
        </w:rPr>
        <w:t>87</w:t>
      </w:r>
    </w:p>
    <w:p>
      <w:pPr>
        <w:pStyle w:val="8"/>
        <w:rPr>
          <w:rFonts w:hint="eastAsia" w:ascii="仿宋" w:hAnsi="仿宋" w:eastAsia="仿宋" w:cs="Arial"/>
          <w:kern w:val="2"/>
          <w:sz w:val="24"/>
          <w:szCs w:val="24"/>
          <w:lang w:val="en-US" w:eastAsia="zh-CN" w:bidi="ar-SA"/>
        </w:rPr>
      </w:pPr>
      <w:bookmarkStart w:id="17" w:name="_Toc23840"/>
      <w:bookmarkStart w:id="18" w:name="_Toc22199526"/>
      <w:r>
        <w:rPr>
          <w:rFonts w:hint="eastAsia"/>
          <w:sz w:val="28"/>
          <w:szCs w:val="28"/>
          <w:lang w:val="en-US" w:eastAsia="zh-CN"/>
        </w:rPr>
        <w:t xml:space="preserve">                                   </w:t>
      </w:r>
      <w:bookmarkStart w:id="19" w:name="_Toc23189"/>
      <w:r>
        <w:rPr>
          <w:rFonts w:hint="eastAsia" w:ascii="仿宋" w:hAnsi="仿宋" w:eastAsia="仿宋" w:cs="Arial"/>
          <w:kern w:val="2"/>
          <w:sz w:val="24"/>
          <w:szCs w:val="24"/>
          <w:lang w:val="en-US" w:eastAsia="zh-CN" w:bidi="ar-SA"/>
        </w:rPr>
        <w:t>中国海洋工程有限公司</w:t>
      </w:r>
      <w:bookmarkEnd w:id="19"/>
    </w:p>
    <w:p>
      <w:pPr>
        <w:pStyle w:val="8"/>
        <w:ind w:firstLine="5280" w:firstLineChars="2200"/>
        <w:rPr>
          <w:rFonts w:hint="default" w:ascii="仿宋" w:hAnsi="仿宋" w:eastAsia="仿宋" w:cs="Arial"/>
          <w:kern w:val="2"/>
          <w:sz w:val="24"/>
          <w:szCs w:val="24"/>
          <w:lang w:val="en-US" w:eastAsia="zh-CN" w:bidi="ar-SA"/>
        </w:rPr>
      </w:pPr>
      <w:bookmarkStart w:id="20" w:name="_Toc22416"/>
      <w:r>
        <w:rPr>
          <w:rFonts w:hint="eastAsia" w:ascii="仿宋" w:hAnsi="仿宋" w:eastAsia="仿宋" w:cs="Arial"/>
          <w:kern w:val="2"/>
          <w:sz w:val="24"/>
          <w:szCs w:val="24"/>
          <w:lang w:val="en-US" w:eastAsia="zh-CN" w:bidi="ar-SA"/>
        </w:rPr>
        <w:t>2024年3月</w:t>
      </w:r>
      <w:r>
        <w:rPr>
          <w:rFonts w:hint="eastAsia" w:cs="Arial"/>
          <w:kern w:val="2"/>
          <w:sz w:val="24"/>
          <w:szCs w:val="24"/>
          <w:lang w:val="en-US" w:eastAsia="zh-CN" w:bidi="ar-SA"/>
        </w:rPr>
        <w:t>27</w:t>
      </w:r>
      <w:r>
        <w:rPr>
          <w:rFonts w:hint="eastAsia" w:ascii="仿宋" w:hAnsi="仿宋" w:eastAsia="仿宋" w:cs="Arial"/>
          <w:kern w:val="2"/>
          <w:sz w:val="24"/>
          <w:szCs w:val="24"/>
          <w:lang w:val="en-US" w:eastAsia="zh-CN" w:bidi="ar-SA"/>
        </w:rPr>
        <w:t>日</w:t>
      </w:r>
      <w:bookmarkEnd w:id="20"/>
    </w:p>
    <w:p>
      <w:pPr>
        <w:pStyle w:val="8"/>
        <w:rPr>
          <w:rFonts w:hint="eastAsia"/>
          <w:sz w:val="28"/>
          <w:szCs w:val="28"/>
        </w:rPr>
      </w:pPr>
    </w:p>
    <w:p>
      <w:pPr>
        <w:pStyle w:val="8"/>
        <w:rPr>
          <w:sz w:val="28"/>
          <w:szCs w:val="28"/>
        </w:rPr>
      </w:pPr>
      <w:bookmarkStart w:id="21" w:name="_Toc30761"/>
      <w:r>
        <w:rPr>
          <w:rFonts w:hint="eastAsia"/>
          <w:sz w:val="28"/>
          <w:szCs w:val="28"/>
        </w:rPr>
        <w:t>附件一：招标文件购买（领取）登记表</w:t>
      </w:r>
      <w:bookmarkEnd w:id="17"/>
      <w:bookmarkEnd w:id="18"/>
      <w:bookmarkEnd w:id="21"/>
    </w:p>
    <w:p>
      <w:pPr>
        <w:spacing w:line="480" w:lineRule="exact"/>
        <w:rPr>
          <w:rFonts w:ascii="仿宋" w:hAnsi="仿宋" w:eastAsia="仿宋" w:cs="Arial"/>
          <w:sz w:val="32"/>
          <w:szCs w:val="32"/>
        </w:rPr>
      </w:pPr>
    </w:p>
    <w:p>
      <w:pPr>
        <w:spacing w:line="480" w:lineRule="exact"/>
        <w:jc w:val="center"/>
        <w:rPr>
          <w:rFonts w:ascii="黑体" w:hAnsi="黑体" w:eastAsia="黑体" w:cs="Arial"/>
          <w:sz w:val="28"/>
          <w:szCs w:val="28"/>
        </w:rPr>
      </w:pPr>
      <w:r>
        <w:rPr>
          <w:rFonts w:hint="eastAsia" w:ascii="黑体" w:hAnsi="黑体" w:eastAsia="黑体" w:cs="Arial"/>
          <w:sz w:val="28"/>
          <w:szCs w:val="28"/>
        </w:rPr>
        <w:t>招标文件购买（领取）登记表</w:t>
      </w:r>
    </w:p>
    <w:p>
      <w:pPr>
        <w:spacing w:line="480" w:lineRule="exact"/>
        <w:jc w:val="center"/>
        <w:rPr>
          <w:rFonts w:ascii="黑体" w:hAnsi="黑体" w:eastAsia="黑体" w:cs="Arial"/>
          <w:sz w:val="24"/>
          <w:szCs w:val="24"/>
        </w:rPr>
      </w:pPr>
    </w:p>
    <w:tbl>
      <w:tblPr>
        <w:tblStyle w:val="3"/>
        <w:tblW w:w="81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2248"/>
        <w:gridCol w:w="53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  <w:jc w:val="center"/>
        </w:trPr>
        <w:tc>
          <w:tcPr>
            <w:tcW w:w="2784" w:type="dxa"/>
            <w:gridSpan w:val="2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项目名称</w:t>
            </w:r>
          </w:p>
        </w:tc>
        <w:tc>
          <w:tcPr>
            <w:tcW w:w="5399" w:type="dxa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交通运输部上海打捞局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潜水脐带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采购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2784" w:type="dxa"/>
            <w:gridSpan w:val="2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招标编号</w:t>
            </w:r>
          </w:p>
        </w:tc>
        <w:tc>
          <w:tcPr>
            <w:tcW w:w="5399" w:type="dxa"/>
          </w:tcPr>
          <w:p>
            <w:pPr>
              <w:spacing w:line="480" w:lineRule="exact"/>
              <w:jc w:val="center"/>
              <w:rPr>
                <w:rFonts w:hint="default" w:ascii="仿宋" w:hAnsi="仿宋" w:eastAsia="仿宋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Arial"/>
                <w:sz w:val="24"/>
                <w:szCs w:val="24"/>
                <w:lang w:eastAsia="zh-CN"/>
              </w:rPr>
              <w:t>COES/202403/SG140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536" w:type="dxa"/>
            <w:vMerge w:val="restart"/>
            <w:vAlign w:val="center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投标人信息</w:t>
            </w:r>
          </w:p>
        </w:tc>
        <w:tc>
          <w:tcPr>
            <w:tcW w:w="2248" w:type="dxa"/>
            <w:vAlign w:val="center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税号</w:t>
            </w:r>
          </w:p>
        </w:tc>
        <w:tc>
          <w:tcPr>
            <w:tcW w:w="5399" w:type="dxa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536" w:type="dxa"/>
            <w:vMerge w:val="continue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公司名称</w:t>
            </w:r>
          </w:p>
        </w:tc>
        <w:tc>
          <w:tcPr>
            <w:tcW w:w="5399" w:type="dxa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atLeast"/>
          <w:jc w:val="center"/>
        </w:trPr>
        <w:tc>
          <w:tcPr>
            <w:tcW w:w="536" w:type="dxa"/>
            <w:vMerge w:val="continue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开户银行及帐号</w:t>
            </w:r>
          </w:p>
        </w:tc>
        <w:tc>
          <w:tcPr>
            <w:tcW w:w="5399" w:type="dxa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  <w:jc w:val="center"/>
        </w:trPr>
        <w:tc>
          <w:tcPr>
            <w:tcW w:w="536" w:type="dxa"/>
            <w:vMerge w:val="continue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地址及电话</w:t>
            </w:r>
          </w:p>
        </w:tc>
        <w:tc>
          <w:tcPr>
            <w:tcW w:w="5399" w:type="dxa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  <w:jc w:val="center"/>
        </w:trPr>
        <w:tc>
          <w:tcPr>
            <w:tcW w:w="536" w:type="dxa"/>
            <w:vMerge w:val="continue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发票申请类型</w:t>
            </w:r>
          </w:p>
        </w:tc>
        <w:tc>
          <w:tcPr>
            <w:tcW w:w="5399" w:type="dxa"/>
            <w:vAlign w:val="center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增值税专用/普通发票（选一）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  <w:jc w:val="center"/>
        </w:trPr>
        <w:tc>
          <w:tcPr>
            <w:tcW w:w="536" w:type="dxa"/>
            <w:vMerge w:val="continue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邮寄地址、联系人及联系电话</w:t>
            </w:r>
          </w:p>
        </w:tc>
        <w:tc>
          <w:tcPr>
            <w:tcW w:w="5399" w:type="dxa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536" w:type="dxa"/>
            <w:vMerge w:val="continue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退保证金银行信息</w:t>
            </w:r>
          </w:p>
          <w:p>
            <w:pPr>
              <w:spacing w:line="480" w:lineRule="exact"/>
            </w:pPr>
            <w:r>
              <w:rPr>
                <w:rFonts w:hint="eastAsia" w:ascii="仿宋" w:hAnsi="仿宋" w:eastAsia="仿宋"/>
                <w:sz w:val="24"/>
                <w:szCs w:val="24"/>
              </w:rPr>
              <w:t>（如需，请选填）</w:t>
            </w:r>
          </w:p>
        </w:tc>
        <w:tc>
          <w:tcPr>
            <w:tcW w:w="5399" w:type="dxa"/>
          </w:tcPr>
          <w:p>
            <w:pPr>
              <w:pStyle w:val="9"/>
              <w:rPr>
                <w:rFonts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开户名称：</w:t>
            </w:r>
          </w:p>
          <w:p>
            <w:pPr>
              <w:pStyle w:val="9"/>
              <w:rPr>
                <w:rFonts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银行账号：</w:t>
            </w:r>
          </w:p>
          <w:p>
            <w:pPr>
              <w:pStyle w:val="9"/>
              <w:rPr>
                <w:rFonts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开户银行：</w:t>
            </w:r>
          </w:p>
          <w:p>
            <w:pPr>
              <w:pStyle w:val="9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行号：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  <w:jc w:val="center"/>
        </w:trPr>
        <w:tc>
          <w:tcPr>
            <w:tcW w:w="2784" w:type="dxa"/>
            <w:gridSpan w:val="2"/>
          </w:tcPr>
          <w:p>
            <w:pPr>
              <w:spacing w:line="48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购买（领取）人</w:t>
            </w:r>
          </w:p>
          <w:p>
            <w:pPr>
              <w:spacing w:line="48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签字</w:t>
            </w:r>
          </w:p>
        </w:tc>
        <w:tc>
          <w:tcPr>
            <w:tcW w:w="5399" w:type="dxa"/>
          </w:tcPr>
          <w:p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</w:tbl>
    <w:p/>
    <w:sectPr>
      <w:endnotePr>
        <w:numFmt w:val="decimal"/>
      </w:endnotePr>
      <w:type w:val="continuous"/>
      <w:pgSz w:w="12540" w:h="16838"/>
      <w:pgMar w:top="1440" w:right="1800" w:bottom="1440" w:left="1800" w:header="0" w:footer="0" w:gutter="0"/>
      <w:cols w:space="0" w:num="1"/>
      <w:titlePg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0B351D"/>
    <w:multiLevelType w:val="multilevel"/>
    <w:tmpl w:val="080B351D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abstractNum w:abstractNumId="1">
    <w:nsid w:val="1F4024D2"/>
    <w:multiLevelType w:val="multilevel"/>
    <w:tmpl w:val="1F4024D2"/>
    <w:lvl w:ilvl="0" w:tentative="0">
      <w:start w:val="1"/>
      <w:numFmt w:val="japaneseCounting"/>
      <w:pStyle w:val="7"/>
      <w:lvlText w:val="%1、"/>
      <w:lvlJc w:val="left"/>
      <w:pPr>
        <w:ind w:left="63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BA51C24"/>
    <w:multiLevelType w:val="multilevel"/>
    <w:tmpl w:val="2BA51C24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abstractNum w:abstractNumId="3">
    <w:nsid w:val="31D57A0A"/>
    <w:multiLevelType w:val="multilevel"/>
    <w:tmpl w:val="31D57A0A"/>
    <w:lvl w:ilvl="0" w:tentative="0">
      <w:start w:val="1"/>
      <w:numFmt w:val="japaneseCounting"/>
      <w:pStyle w:val="5"/>
      <w:lvlText w:val="第%1章"/>
      <w:lvlJc w:val="left"/>
      <w:pPr>
        <w:ind w:left="3456" w:hanging="12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3000" w:hanging="420"/>
      </w:pPr>
    </w:lvl>
    <w:lvl w:ilvl="2" w:tentative="0">
      <w:start w:val="1"/>
      <w:numFmt w:val="lowerRoman"/>
      <w:lvlText w:val="%3."/>
      <w:lvlJc w:val="right"/>
      <w:pPr>
        <w:ind w:left="3420" w:hanging="420"/>
      </w:pPr>
    </w:lvl>
    <w:lvl w:ilvl="3" w:tentative="0">
      <w:start w:val="1"/>
      <w:numFmt w:val="decimal"/>
      <w:lvlText w:val="%4."/>
      <w:lvlJc w:val="left"/>
      <w:pPr>
        <w:ind w:left="3840" w:hanging="420"/>
      </w:pPr>
    </w:lvl>
    <w:lvl w:ilvl="4" w:tentative="0">
      <w:start w:val="1"/>
      <w:numFmt w:val="lowerLetter"/>
      <w:lvlText w:val="%5)"/>
      <w:lvlJc w:val="left"/>
      <w:pPr>
        <w:ind w:left="4260" w:hanging="420"/>
      </w:pPr>
    </w:lvl>
    <w:lvl w:ilvl="5" w:tentative="0">
      <w:start w:val="1"/>
      <w:numFmt w:val="lowerRoman"/>
      <w:lvlText w:val="%6."/>
      <w:lvlJc w:val="right"/>
      <w:pPr>
        <w:ind w:left="4680" w:hanging="420"/>
      </w:pPr>
    </w:lvl>
    <w:lvl w:ilvl="6" w:tentative="0">
      <w:start w:val="1"/>
      <w:numFmt w:val="decimal"/>
      <w:lvlText w:val="%7."/>
      <w:lvlJc w:val="left"/>
      <w:pPr>
        <w:ind w:left="5100" w:hanging="420"/>
      </w:pPr>
    </w:lvl>
    <w:lvl w:ilvl="7" w:tentative="0">
      <w:start w:val="1"/>
      <w:numFmt w:val="lowerLetter"/>
      <w:lvlText w:val="%8)"/>
      <w:lvlJc w:val="left"/>
      <w:pPr>
        <w:ind w:left="5520" w:hanging="420"/>
      </w:pPr>
    </w:lvl>
    <w:lvl w:ilvl="8" w:tentative="0">
      <w:start w:val="1"/>
      <w:numFmt w:val="lowerRoman"/>
      <w:lvlText w:val="%9."/>
      <w:lvlJc w:val="right"/>
      <w:pPr>
        <w:ind w:left="5940" w:hanging="420"/>
      </w:pPr>
    </w:lvl>
  </w:abstractNum>
  <w:abstractNum w:abstractNumId="4">
    <w:nsid w:val="53DB41FF"/>
    <w:multiLevelType w:val="multilevel"/>
    <w:tmpl w:val="53DB41FF"/>
    <w:lvl w:ilvl="0" w:tentative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abstractNum w:abstractNumId="5">
    <w:nsid w:val="65B5242D"/>
    <w:multiLevelType w:val="multilevel"/>
    <w:tmpl w:val="65B5242D"/>
    <w:lvl w:ilvl="0" w:tentative="0">
      <w:start w:val="1"/>
      <w:numFmt w:val="decimal"/>
      <w:lvlText w:val="（%1）"/>
      <w:lvlJc w:val="left"/>
      <w:pPr>
        <w:ind w:left="216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920" w:hanging="420"/>
      </w:pPr>
    </w:lvl>
    <w:lvl w:ilvl="2" w:tentative="0">
      <w:start w:val="1"/>
      <w:numFmt w:val="lowerRoman"/>
      <w:lvlText w:val="%3."/>
      <w:lvlJc w:val="right"/>
      <w:pPr>
        <w:ind w:left="2340" w:hanging="420"/>
      </w:pPr>
    </w:lvl>
    <w:lvl w:ilvl="3" w:tentative="0">
      <w:start w:val="1"/>
      <w:numFmt w:val="decimal"/>
      <w:lvlText w:val="%4."/>
      <w:lvlJc w:val="left"/>
      <w:pPr>
        <w:ind w:left="2760" w:hanging="420"/>
      </w:pPr>
    </w:lvl>
    <w:lvl w:ilvl="4" w:tentative="0">
      <w:start w:val="1"/>
      <w:numFmt w:val="lowerLetter"/>
      <w:lvlText w:val="%5)"/>
      <w:lvlJc w:val="left"/>
      <w:pPr>
        <w:ind w:left="3180" w:hanging="420"/>
      </w:pPr>
    </w:lvl>
    <w:lvl w:ilvl="5" w:tentative="0">
      <w:start w:val="1"/>
      <w:numFmt w:val="lowerRoman"/>
      <w:lvlText w:val="%6."/>
      <w:lvlJc w:val="right"/>
      <w:pPr>
        <w:ind w:left="3600" w:hanging="420"/>
      </w:pPr>
    </w:lvl>
    <w:lvl w:ilvl="6" w:tentative="0">
      <w:start w:val="1"/>
      <w:numFmt w:val="decimal"/>
      <w:lvlText w:val="%7."/>
      <w:lvlJc w:val="left"/>
      <w:pPr>
        <w:ind w:left="4020" w:hanging="420"/>
      </w:pPr>
    </w:lvl>
    <w:lvl w:ilvl="7" w:tentative="0">
      <w:start w:val="1"/>
      <w:numFmt w:val="lowerLetter"/>
      <w:lvlText w:val="%8)"/>
      <w:lvlJc w:val="left"/>
      <w:pPr>
        <w:ind w:left="4440" w:hanging="420"/>
      </w:pPr>
    </w:lvl>
    <w:lvl w:ilvl="8" w:tentative="0">
      <w:start w:val="1"/>
      <w:numFmt w:val="lowerRoman"/>
      <w:lvlText w:val="%9."/>
      <w:lvlJc w:val="right"/>
      <w:pPr>
        <w:ind w:left="4860" w:hanging="420"/>
      </w:pPr>
    </w:lvl>
  </w:abstractNum>
  <w:abstractNum w:abstractNumId="6">
    <w:nsid w:val="67683BA6"/>
    <w:multiLevelType w:val="singleLevel"/>
    <w:tmpl w:val="67683BA6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76E63791"/>
    <w:multiLevelType w:val="multilevel"/>
    <w:tmpl w:val="76E63791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c5YmQ2ZjRkMWE3NWRiOWUzN2NhYzQxZWJlNDI1Y2UifQ=="/>
  </w:docVars>
  <w:rsids>
    <w:rsidRoot w:val="3D0B2C64"/>
    <w:rsid w:val="0C6B53CE"/>
    <w:rsid w:val="196A2C4B"/>
    <w:rsid w:val="19AD2EBD"/>
    <w:rsid w:val="1D5521F6"/>
    <w:rsid w:val="3D0B2C64"/>
    <w:rsid w:val="40434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一级第一章"/>
    <w:basedOn w:val="6"/>
    <w:autoRedefine/>
    <w:qFormat/>
    <w:uiPriority w:val="0"/>
    <w:pPr>
      <w:numPr>
        <w:ilvl w:val="0"/>
        <w:numId w:val="1"/>
      </w:numPr>
      <w:spacing w:line="480" w:lineRule="exact"/>
      <w:ind w:left="2694" w:firstLine="0" w:firstLineChars="0"/>
      <w:jc w:val="left"/>
    </w:pPr>
    <w:rPr>
      <w:rFonts w:ascii="Arial" w:hAnsi="Arial" w:eastAsia="黑体" w:cs="Arial"/>
      <w:sz w:val="36"/>
      <w:szCs w:val="36"/>
    </w:rPr>
  </w:style>
  <w:style w:type="paragraph" w:styleId="6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7">
    <w:name w:val="二级第一章一"/>
    <w:basedOn w:val="6"/>
    <w:autoRedefine/>
    <w:qFormat/>
    <w:uiPriority w:val="0"/>
    <w:pPr>
      <w:numPr>
        <w:ilvl w:val="0"/>
        <w:numId w:val="2"/>
      </w:numPr>
      <w:spacing w:line="480" w:lineRule="exact"/>
      <w:ind w:firstLine="0" w:firstLineChars="0"/>
    </w:pPr>
    <w:rPr>
      <w:rFonts w:ascii="仿宋" w:hAnsi="仿宋" w:eastAsia="仿宋" w:cs="Arial"/>
      <w:b/>
      <w:bCs/>
      <w:sz w:val="32"/>
      <w:szCs w:val="32"/>
    </w:rPr>
  </w:style>
  <w:style w:type="paragraph" w:customStyle="1" w:styleId="8">
    <w:name w:val="第一章附件"/>
    <w:basedOn w:val="1"/>
    <w:autoRedefine/>
    <w:qFormat/>
    <w:uiPriority w:val="0"/>
    <w:pPr>
      <w:spacing w:line="480" w:lineRule="exact"/>
    </w:pPr>
    <w:rPr>
      <w:rFonts w:ascii="仿宋" w:hAnsi="仿宋" w:eastAsia="仿宋" w:cs="Arial"/>
      <w:sz w:val="32"/>
      <w:szCs w:val="32"/>
    </w:rPr>
  </w:style>
  <w:style w:type="paragraph" w:customStyle="1" w:styleId="9">
    <w:name w:val="表格文字"/>
    <w:basedOn w:val="1"/>
    <w:autoRedefine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2024-03-27T07:49:00Z</dcterms:created>
  <dc:creator>麦芽豆</dc:creator>
  <cp:lastModifiedBy>麦芽豆</cp:lastModifiedBy>
  <dcterms:modified xsi:type="dcterms:W3CDTF">2024-03-27T07:50:27Z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D92F8521175E4797A69D2B6EF404AF11_11</vt:lpwstr>
  </property>
</Properties>
</file>