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>
      <w:pPr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一、项目编号：</w:t>
      </w:r>
      <w:r>
        <w:rPr>
          <w:rFonts w:hint="eastAsia" w:ascii="宋体" w:hAnsi="宋体"/>
          <w:sz w:val="30"/>
          <w:szCs w:val="30"/>
        </w:rPr>
        <w:t>HCZB-2022-ZB0340</w:t>
      </w:r>
    </w:p>
    <w:p>
      <w:pPr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二、项目名称：</w:t>
      </w:r>
      <w:r>
        <w:rPr>
          <w:rFonts w:hint="eastAsia" w:ascii="宋体" w:hAnsi="宋体"/>
          <w:sz w:val="30"/>
          <w:szCs w:val="30"/>
        </w:rPr>
        <w:t>于卫片执法遥感监测工具软件及变化检测处理工具集采购</w:t>
      </w:r>
    </w:p>
    <w:p>
      <w:pPr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三、中标信息</w:t>
      </w:r>
    </w:p>
    <w:tbl>
      <w:tblPr>
        <w:tblStyle w:val="13"/>
        <w:tblW w:w="6104" w:type="pct"/>
        <w:tblInd w:w="-75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8"/>
        <w:gridCol w:w="2902"/>
        <w:gridCol w:w="4203"/>
        <w:gridCol w:w="226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9" w:type="pct"/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包号</w:t>
            </w:r>
          </w:p>
        </w:tc>
        <w:tc>
          <w:tcPr>
            <w:tcW w:w="1394" w:type="pct"/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中标单位名称</w:t>
            </w:r>
          </w:p>
        </w:tc>
        <w:tc>
          <w:tcPr>
            <w:tcW w:w="2019" w:type="pct"/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中标单位地址</w:t>
            </w:r>
          </w:p>
        </w:tc>
        <w:tc>
          <w:tcPr>
            <w:tcW w:w="1086" w:type="pct"/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中标金额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7" w:hRule="atLeast"/>
        </w:trPr>
        <w:tc>
          <w:tcPr>
            <w:tcW w:w="499" w:type="pct"/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第一包</w:t>
            </w:r>
          </w:p>
        </w:tc>
        <w:tc>
          <w:tcPr>
            <w:tcW w:w="1394" w:type="pct"/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北京世纪国源科技股份有限公司</w:t>
            </w:r>
          </w:p>
        </w:tc>
        <w:tc>
          <w:tcPr>
            <w:tcW w:w="2019" w:type="pct"/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北京市西城区西直门外大街1号院西环广场T210C11、10C12号房间(德胜园区)</w:t>
            </w:r>
          </w:p>
        </w:tc>
        <w:tc>
          <w:tcPr>
            <w:tcW w:w="1086" w:type="pct"/>
            <w:vAlign w:val="center"/>
          </w:tcPr>
          <w:p>
            <w:pPr>
              <w:jc w:val="center"/>
              <w:rPr>
                <w:rFonts w:ascii="宋体" w:hAnsi="宋体" w:cs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1080000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.00</w:t>
            </w:r>
            <w:r>
              <w:rPr>
                <w:rFonts w:hint="eastAsia" w:ascii="宋体" w:hAnsi="宋体" w:cs="宋体"/>
                <w:sz w:val="22"/>
                <w:szCs w:val="22"/>
              </w:rPr>
              <w:t>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" w:hRule="atLeast"/>
        </w:trPr>
        <w:tc>
          <w:tcPr>
            <w:tcW w:w="499" w:type="pct"/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第二包</w:t>
            </w:r>
          </w:p>
        </w:tc>
        <w:tc>
          <w:tcPr>
            <w:tcW w:w="1394" w:type="pct"/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航天宏图信息技术股份有限公司</w:t>
            </w:r>
          </w:p>
        </w:tc>
        <w:tc>
          <w:tcPr>
            <w:tcW w:w="2019" w:type="pct"/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北京市海淀区西杉创意园四区5号楼3层301室</w:t>
            </w:r>
          </w:p>
        </w:tc>
        <w:tc>
          <w:tcPr>
            <w:tcW w:w="1086" w:type="pct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1100000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.00</w:t>
            </w:r>
            <w:r>
              <w:rPr>
                <w:rFonts w:hint="eastAsia" w:ascii="宋体" w:hAnsi="宋体" w:cs="宋体"/>
                <w:sz w:val="22"/>
                <w:szCs w:val="22"/>
              </w:rPr>
              <w:t>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2" w:hRule="atLeast"/>
        </w:trPr>
        <w:tc>
          <w:tcPr>
            <w:tcW w:w="499" w:type="pct"/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第三包</w:t>
            </w:r>
          </w:p>
        </w:tc>
        <w:tc>
          <w:tcPr>
            <w:tcW w:w="1394" w:type="pct"/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北京航天泰坦科技股份有限公司</w:t>
            </w:r>
          </w:p>
        </w:tc>
        <w:tc>
          <w:tcPr>
            <w:tcW w:w="2019" w:type="pct"/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北京市海淀区北四环中路229号海泰大厦1107室</w:t>
            </w:r>
          </w:p>
        </w:tc>
        <w:tc>
          <w:tcPr>
            <w:tcW w:w="1086" w:type="pct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950000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.00</w:t>
            </w:r>
            <w:r>
              <w:rPr>
                <w:rFonts w:hint="eastAsia" w:ascii="宋体" w:hAnsi="宋体" w:cs="宋体"/>
                <w:sz w:val="22"/>
                <w:szCs w:val="22"/>
              </w:rPr>
              <w:t>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4" w:hRule="atLeast"/>
        </w:trPr>
        <w:tc>
          <w:tcPr>
            <w:tcW w:w="499" w:type="pct"/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第四包</w:t>
            </w:r>
          </w:p>
        </w:tc>
        <w:tc>
          <w:tcPr>
            <w:tcW w:w="1394" w:type="pct"/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武汉珞软科技有限公司</w:t>
            </w:r>
          </w:p>
        </w:tc>
        <w:tc>
          <w:tcPr>
            <w:tcW w:w="2019" w:type="pct"/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武汉市青山区工人村街青和居公租房小区20号综合商业楼一、三、四、五层105室</w:t>
            </w:r>
          </w:p>
        </w:tc>
        <w:tc>
          <w:tcPr>
            <w:tcW w:w="1086" w:type="pct"/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1115000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.00</w:t>
            </w:r>
            <w:r>
              <w:rPr>
                <w:rFonts w:hint="eastAsia" w:ascii="宋体" w:hAnsi="宋体" w:cs="宋体"/>
                <w:sz w:val="22"/>
                <w:szCs w:val="22"/>
              </w:rPr>
              <w:t>元</w:t>
            </w:r>
          </w:p>
        </w:tc>
      </w:tr>
    </w:tbl>
    <w:p>
      <w:pPr>
        <w:numPr>
          <w:ilvl w:val="0"/>
          <w:numId w:val="1"/>
        </w:numPr>
        <w:rPr>
          <w:rFonts w:hint="eastAsia"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主要标的信息</w:t>
      </w:r>
    </w:p>
    <w:tbl>
      <w:tblPr>
        <w:tblStyle w:val="13"/>
        <w:tblW w:w="10453" w:type="dxa"/>
        <w:tblInd w:w="-7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08"/>
        <w:gridCol w:w="2677"/>
        <w:gridCol w:w="2584"/>
        <w:gridCol w:w="25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10453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11" w:hRule="atLeast"/>
        </w:trPr>
        <w:tc>
          <w:tcPr>
            <w:tcW w:w="2608" w:type="dxa"/>
          </w:tcPr>
          <w:p>
            <w:pPr>
              <w:spacing w:line="360" w:lineRule="auto"/>
              <w:jc w:val="left"/>
              <w:rPr>
                <w:rFonts w:hint="eastAsia" w:ascii="宋体" w:hAnsi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第一包</w:t>
            </w:r>
          </w:p>
          <w:p>
            <w:pPr>
              <w:spacing w:line="360" w:lineRule="auto"/>
              <w:jc w:val="left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名称：变化图斑自动检查处理及汇集整合软件开发项目</w:t>
            </w:r>
            <w:r>
              <w:rPr>
                <w:rFonts w:hint="eastAsia" w:ascii="宋体" w:hAnsi="宋体"/>
                <w:sz w:val="22"/>
                <w:szCs w:val="22"/>
              </w:rPr>
              <w:t>服务范围：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详见招文件</w:t>
            </w:r>
          </w:p>
          <w:p>
            <w:pPr>
              <w:spacing w:line="360" w:lineRule="auto"/>
              <w:jc w:val="left"/>
              <w:rPr>
                <w:rFonts w:hint="default" w:ascii="宋体" w:hAnsi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服务要求：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详见招文件</w:t>
            </w:r>
          </w:p>
          <w:p>
            <w:pPr>
              <w:spacing w:line="360" w:lineRule="auto"/>
              <w:jc w:val="left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服务时间：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详见招文件</w:t>
            </w:r>
          </w:p>
          <w:p>
            <w:pPr>
              <w:spacing w:line="360" w:lineRule="auto"/>
              <w:jc w:val="left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服务标准：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详见招文件</w:t>
            </w:r>
          </w:p>
        </w:tc>
        <w:tc>
          <w:tcPr>
            <w:tcW w:w="2677" w:type="dxa"/>
          </w:tcPr>
          <w:p>
            <w:pPr>
              <w:spacing w:line="360" w:lineRule="auto"/>
              <w:jc w:val="left"/>
              <w:rPr>
                <w:rFonts w:hint="eastAsia" w:ascii="宋体" w:hAnsi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第二包</w:t>
            </w:r>
          </w:p>
          <w:p>
            <w:pPr>
              <w:spacing w:line="360" w:lineRule="auto"/>
              <w:jc w:val="left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名称：监测信息产品制作及数据管理软件开发项目</w:t>
            </w:r>
          </w:p>
          <w:p>
            <w:pPr>
              <w:spacing w:line="360" w:lineRule="auto"/>
              <w:jc w:val="left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服务范围：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详见招文件</w:t>
            </w:r>
          </w:p>
          <w:p>
            <w:pPr>
              <w:spacing w:line="360" w:lineRule="auto"/>
              <w:jc w:val="left"/>
              <w:rPr>
                <w:rFonts w:hint="default" w:ascii="宋体" w:hAnsi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服务要求：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详见招文件</w:t>
            </w:r>
          </w:p>
          <w:p>
            <w:pPr>
              <w:spacing w:line="360" w:lineRule="auto"/>
              <w:jc w:val="left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服务时间：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详见招文件</w:t>
            </w:r>
          </w:p>
          <w:p>
            <w:pPr>
              <w:spacing w:line="360" w:lineRule="auto"/>
              <w:jc w:val="left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服务标准：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详见招文件</w:t>
            </w:r>
          </w:p>
        </w:tc>
        <w:tc>
          <w:tcPr>
            <w:tcW w:w="2584" w:type="dxa"/>
          </w:tcPr>
          <w:p>
            <w:pPr>
              <w:spacing w:line="360" w:lineRule="auto"/>
              <w:jc w:val="left"/>
              <w:rPr>
                <w:rFonts w:hint="eastAsia" w:ascii="宋体" w:hAnsi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第三包</w:t>
            </w:r>
          </w:p>
          <w:p>
            <w:pPr>
              <w:spacing w:line="360" w:lineRule="auto"/>
              <w:jc w:val="left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名称：镶嵌影像数据预处理工具集开发项目</w:t>
            </w:r>
          </w:p>
          <w:p>
            <w:pPr>
              <w:spacing w:line="360" w:lineRule="auto"/>
              <w:jc w:val="left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服务范围：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详见招文件</w:t>
            </w:r>
          </w:p>
          <w:p>
            <w:pPr>
              <w:spacing w:line="360" w:lineRule="auto"/>
              <w:jc w:val="left"/>
              <w:rPr>
                <w:rFonts w:hint="default" w:ascii="宋体" w:hAnsi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服务要求：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详见招文件</w:t>
            </w:r>
          </w:p>
          <w:p>
            <w:pPr>
              <w:spacing w:line="360" w:lineRule="auto"/>
              <w:jc w:val="left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服务时间：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详见招文件</w:t>
            </w:r>
          </w:p>
          <w:p>
            <w:pPr>
              <w:spacing w:line="360" w:lineRule="auto"/>
              <w:jc w:val="left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服务标准：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详见招文件</w:t>
            </w:r>
          </w:p>
        </w:tc>
        <w:tc>
          <w:tcPr>
            <w:tcW w:w="2584" w:type="dxa"/>
          </w:tcPr>
          <w:p>
            <w:pPr>
              <w:spacing w:line="360" w:lineRule="auto"/>
              <w:jc w:val="left"/>
              <w:rPr>
                <w:rFonts w:hint="eastAsia" w:ascii="宋体" w:hAnsi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第四包</w:t>
            </w:r>
          </w:p>
          <w:p>
            <w:pPr>
              <w:spacing w:line="360" w:lineRule="auto"/>
              <w:jc w:val="left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名称：变化检测后处理工具集开发项目</w:t>
            </w:r>
            <w:r>
              <w:rPr>
                <w:rFonts w:hint="eastAsia" w:ascii="宋体" w:hAnsi="宋体"/>
                <w:sz w:val="22"/>
                <w:szCs w:val="22"/>
              </w:rPr>
              <w:t>服务范围：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详见招文件</w:t>
            </w:r>
          </w:p>
          <w:p>
            <w:pPr>
              <w:spacing w:line="360" w:lineRule="auto"/>
              <w:jc w:val="left"/>
              <w:rPr>
                <w:rFonts w:hint="default" w:ascii="宋体" w:hAnsi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服务要求：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详见招文件</w:t>
            </w:r>
          </w:p>
          <w:p>
            <w:pPr>
              <w:spacing w:line="360" w:lineRule="auto"/>
              <w:jc w:val="left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服务时间：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详见招文件</w:t>
            </w:r>
          </w:p>
          <w:p>
            <w:pPr>
              <w:spacing w:line="360" w:lineRule="auto"/>
              <w:jc w:val="left"/>
              <w:rPr>
                <w:rFonts w:hint="eastAsia"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服务标准：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详见招文件</w:t>
            </w:r>
          </w:p>
        </w:tc>
      </w:tr>
    </w:tbl>
    <w:p>
      <w:pPr>
        <w:pStyle w:val="2"/>
        <w:rPr>
          <w:rFonts w:hint="eastAsia"/>
        </w:rPr>
      </w:pPr>
    </w:p>
    <w:p>
      <w:pPr>
        <w:rPr>
          <w:rFonts w:ascii="宋体" w:hAnsi="宋体"/>
          <w:sz w:val="28"/>
          <w:szCs w:val="28"/>
          <w:highlight w:val="yellow"/>
        </w:rPr>
      </w:pPr>
      <w:r>
        <w:rPr>
          <w:rFonts w:hint="eastAsia" w:ascii="宋体" w:hAnsi="宋体"/>
          <w:sz w:val="28"/>
          <w:szCs w:val="28"/>
        </w:rPr>
        <w:t>五、评审专家名单：臧维良、石明军、任红桂、李敏、刘爱霞</w:t>
      </w:r>
    </w:p>
    <w:p>
      <w:pPr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六、代理服务收费标准及金额：</w:t>
      </w:r>
    </w:p>
    <w:tbl>
      <w:tblPr>
        <w:tblStyle w:val="13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37"/>
        <w:gridCol w:w="42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86" w:type="pct"/>
            <w:vAlign w:val="center"/>
          </w:tcPr>
          <w:p>
            <w:pPr>
              <w:pStyle w:val="2"/>
              <w:ind w:left="0" w:leftChars="0" w:firstLine="0" w:firstLineChars="0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包号</w:t>
            </w:r>
          </w:p>
        </w:tc>
        <w:tc>
          <w:tcPr>
            <w:tcW w:w="2514" w:type="pct"/>
            <w:vAlign w:val="center"/>
          </w:tcPr>
          <w:p>
            <w:pPr>
              <w:pStyle w:val="2"/>
              <w:ind w:left="0" w:leftChars="0" w:firstLine="0" w:firstLineChars="0"/>
              <w:jc w:val="center"/>
              <w:rPr>
                <w:rFonts w:ascii="宋体" w:hAnsi="宋体"/>
                <w:b/>
                <w:sz w:val="24"/>
              </w:rPr>
            </w:pPr>
            <w:r>
              <w:rPr>
                <w:rFonts w:ascii="宋体" w:hAnsi="宋体"/>
                <w:b/>
                <w:sz w:val="24"/>
              </w:rPr>
              <w:t>金额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86" w:type="pct"/>
            <w:vAlign w:val="center"/>
          </w:tcPr>
          <w:p>
            <w:pPr>
              <w:pStyle w:val="2"/>
              <w:ind w:left="0" w:leftChars="0" w:firstLine="0" w:firstLineChars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第一包</w:t>
            </w:r>
          </w:p>
        </w:tc>
        <w:tc>
          <w:tcPr>
            <w:tcW w:w="2514" w:type="pct"/>
            <w:vAlign w:val="center"/>
          </w:tcPr>
          <w:p>
            <w:pPr>
              <w:pStyle w:val="2"/>
              <w:ind w:left="0" w:leftChars="0" w:firstLine="0" w:firstLineChars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14858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.00</w:t>
            </w:r>
            <w:r>
              <w:rPr>
                <w:rFonts w:hint="eastAsia" w:ascii="宋体" w:hAnsi="宋体"/>
                <w:sz w:val="24"/>
              </w:rPr>
              <w:t>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86" w:type="pct"/>
            <w:vAlign w:val="center"/>
          </w:tcPr>
          <w:p>
            <w:pPr>
              <w:pStyle w:val="2"/>
              <w:ind w:left="0" w:leftChars="0" w:firstLine="0" w:firstLineChars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第二包</w:t>
            </w:r>
          </w:p>
        </w:tc>
        <w:tc>
          <w:tcPr>
            <w:tcW w:w="2514" w:type="pct"/>
            <w:vAlign w:val="center"/>
          </w:tcPr>
          <w:p>
            <w:pPr>
              <w:pStyle w:val="2"/>
              <w:ind w:left="0" w:leftChars="0" w:firstLine="0" w:firstLineChars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1501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0</w:t>
            </w:r>
            <w:r>
              <w:rPr>
                <w:rFonts w:hint="eastAsia" w:ascii="宋体" w:hAnsi="宋体"/>
                <w:sz w:val="24"/>
              </w:rPr>
              <w:t>.00元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86" w:type="pct"/>
            <w:vAlign w:val="center"/>
          </w:tcPr>
          <w:p>
            <w:pPr>
              <w:pStyle w:val="2"/>
              <w:ind w:left="0" w:leftChars="0" w:firstLine="0" w:firstLineChars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第三包</w:t>
            </w:r>
          </w:p>
        </w:tc>
        <w:tc>
          <w:tcPr>
            <w:tcW w:w="2514" w:type="pct"/>
            <w:vAlign w:val="center"/>
          </w:tcPr>
          <w:p>
            <w:pPr>
              <w:pStyle w:val="2"/>
              <w:ind w:left="0" w:leftChars="0" w:firstLine="0" w:firstLineChars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1353</w:t>
            </w:r>
            <w:r>
              <w:rPr>
                <w:rFonts w:hint="eastAsia" w:ascii="宋体" w:hAnsi="宋体"/>
                <w:sz w:val="24"/>
                <w:lang w:val="en-US" w:eastAsia="zh-CN"/>
              </w:rPr>
              <w:t>8.00</w:t>
            </w:r>
            <w:r>
              <w:rPr>
                <w:rFonts w:hint="eastAsia" w:ascii="宋体" w:hAnsi="宋体"/>
                <w:sz w:val="24"/>
              </w:rPr>
              <w:t>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86" w:type="pct"/>
            <w:vAlign w:val="center"/>
          </w:tcPr>
          <w:p>
            <w:pPr>
              <w:pStyle w:val="2"/>
              <w:ind w:left="0" w:leftChars="0" w:firstLine="0" w:firstLineChars="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第四包</w:t>
            </w:r>
          </w:p>
        </w:tc>
        <w:tc>
          <w:tcPr>
            <w:tcW w:w="2514" w:type="pct"/>
            <w:vAlign w:val="center"/>
          </w:tcPr>
          <w:p>
            <w:pPr>
              <w:pStyle w:val="2"/>
              <w:ind w:left="0" w:leftChars="0" w:firstLine="0" w:firstLineChars="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15124.00元</w:t>
            </w:r>
          </w:p>
        </w:tc>
      </w:tr>
    </w:tbl>
    <w:p>
      <w:pPr>
        <w:rPr>
          <w:rFonts w:ascii="宋体" w:hAnsi="宋体"/>
          <w:kern w:val="0"/>
          <w:sz w:val="28"/>
          <w:szCs w:val="28"/>
        </w:rPr>
      </w:pPr>
      <w:r>
        <w:rPr>
          <w:rFonts w:hint="eastAsia" w:ascii="宋体" w:hAnsi="宋体"/>
          <w:kern w:val="0"/>
          <w:sz w:val="28"/>
          <w:szCs w:val="28"/>
        </w:rPr>
        <w:t>收费标准详见招标文件</w:t>
      </w:r>
    </w:p>
    <w:p>
      <w:pPr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七、公告期限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自本公告发布之日起1个工作日。</w:t>
      </w:r>
    </w:p>
    <w:p>
      <w:pPr>
        <w:rPr>
          <w:rFonts w:ascii="宋体" w:hAnsi="宋体" w:cs="仿宋"/>
          <w:sz w:val="28"/>
          <w:szCs w:val="28"/>
        </w:rPr>
      </w:pPr>
      <w:r>
        <w:rPr>
          <w:rFonts w:hint="eastAsia" w:ascii="宋体" w:hAnsi="宋体" w:cs="仿宋"/>
          <w:sz w:val="28"/>
          <w:szCs w:val="28"/>
        </w:rPr>
        <w:t>八、其他补充事宜</w:t>
      </w:r>
    </w:p>
    <w:p>
      <w:pPr>
        <w:ind w:firstLine="560" w:firstLineChars="200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无</w:t>
      </w:r>
    </w:p>
    <w:p>
      <w:pPr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九、凡对本次公告内容提出询问，请按以下方式联系。</w:t>
      </w:r>
    </w:p>
    <w:p>
      <w:pPr>
        <w:pStyle w:val="5"/>
        <w:spacing w:line="360" w:lineRule="auto"/>
        <w:ind w:firstLine="700" w:firstLineChars="250"/>
        <w:rPr>
          <w:rFonts w:ascii="宋体" w:hAnsi="宋体" w:eastAsia="宋体" w:cs="宋体"/>
          <w:b w:val="0"/>
          <w:sz w:val="28"/>
          <w:szCs w:val="28"/>
        </w:rPr>
      </w:pPr>
      <w:bookmarkStart w:id="2" w:name="_Toc35393641"/>
      <w:bookmarkStart w:id="3" w:name="_Toc35393810"/>
      <w:bookmarkStart w:id="4" w:name="_Toc28359023"/>
      <w:bookmarkStart w:id="5" w:name="_Toc28359100"/>
      <w:r>
        <w:rPr>
          <w:rFonts w:hint="eastAsia" w:ascii="宋体" w:hAnsi="宋体" w:eastAsia="宋体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ind w:left="1129" w:leftChars="371" w:hanging="350" w:hangingChars="125"/>
        <w:jc w:val="left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名称：自然资源部国土卫星遥感应用中心</w:t>
      </w:r>
    </w:p>
    <w:p>
      <w:pPr>
        <w:spacing w:line="360" w:lineRule="auto"/>
        <w:ind w:left="1129" w:leftChars="371" w:hanging="350" w:hangingChars="125"/>
        <w:jc w:val="left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地址：北京市海淀区紫竹院百胜村1号</w:t>
      </w:r>
    </w:p>
    <w:p>
      <w:pPr>
        <w:spacing w:line="360" w:lineRule="auto"/>
        <w:ind w:left="1129" w:leftChars="371" w:hanging="350" w:hangingChars="125"/>
        <w:jc w:val="left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联系方式：</w:t>
      </w:r>
      <w:r>
        <w:rPr>
          <w:rFonts w:hint="eastAsia" w:ascii="宋体" w:hAnsi="宋体"/>
          <w:sz w:val="28"/>
          <w:szCs w:val="28"/>
          <w:lang w:val="en-US" w:eastAsia="zh-CN"/>
        </w:rPr>
        <w:t>刘</w:t>
      </w:r>
      <w:r>
        <w:rPr>
          <w:rFonts w:hint="eastAsia" w:ascii="宋体" w:hAnsi="宋体"/>
          <w:sz w:val="28"/>
          <w:szCs w:val="28"/>
        </w:rPr>
        <w:t xml:space="preserve">老师010-68412123 </w:t>
      </w:r>
    </w:p>
    <w:p>
      <w:pPr>
        <w:pStyle w:val="5"/>
        <w:spacing w:line="360" w:lineRule="auto"/>
        <w:ind w:firstLine="840" w:firstLineChars="300"/>
        <w:rPr>
          <w:rFonts w:ascii="宋体" w:hAnsi="宋体" w:eastAsia="宋体" w:cs="宋体"/>
          <w:b w:val="0"/>
          <w:sz w:val="28"/>
          <w:szCs w:val="28"/>
        </w:rPr>
      </w:pPr>
      <w:bookmarkStart w:id="6" w:name="_Toc28359024"/>
      <w:bookmarkStart w:id="7" w:name="_Toc35393811"/>
      <w:bookmarkStart w:id="8" w:name="_Toc28359101"/>
      <w:bookmarkStart w:id="9" w:name="_Toc35393642"/>
      <w:r>
        <w:rPr>
          <w:rFonts w:hint="eastAsia" w:ascii="宋体" w:hAnsi="宋体" w:eastAsia="宋体" w:cs="宋体"/>
          <w:b w:val="0"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>
      <w:pPr>
        <w:spacing w:line="360" w:lineRule="auto"/>
        <w:ind w:firstLine="840" w:firstLineChars="3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名称：华采招标集团有限公司</w:t>
      </w:r>
    </w:p>
    <w:p>
      <w:pPr>
        <w:spacing w:line="360" w:lineRule="auto"/>
        <w:ind w:firstLine="840" w:firstLineChars="3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地址：北京市丰台区广安路9号国投财富广场6号楼1601室</w:t>
      </w:r>
    </w:p>
    <w:p>
      <w:pPr>
        <w:spacing w:line="360" w:lineRule="auto"/>
        <w:ind w:firstLine="840" w:firstLineChars="300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 xml:space="preserve">联系方式：010-63509799-8080、8074 </w:t>
      </w:r>
    </w:p>
    <w:p>
      <w:pPr>
        <w:pStyle w:val="5"/>
        <w:spacing w:line="360" w:lineRule="auto"/>
        <w:ind w:firstLine="840" w:firstLineChars="300"/>
        <w:rPr>
          <w:rFonts w:ascii="宋体" w:hAnsi="宋体" w:eastAsia="宋体" w:cs="宋体"/>
          <w:b w:val="0"/>
          <w:sz w:val="28"/>
          <w:szCs w:val="28"/>
        </w:rPr>
      </w:pPr>
      <w:bookmarkStart w:id="10" w:name="_Toc28359102"/>
      <w:bookmarkStart w:id="11" w:name="_Toc35393812"/>
      <w:bookmarkStart w:id="12" w:name="_Toc28359025"/>
      <w:bookmarkStart w:id="13" w:name="_Toc35393643"/>
      <w:r>
        <w:rPr>
          <w:rFonts w:hint="eastAsia" w:ascii="宋体" w:hAnsi="宋体" w:eastAsia="宋体" w:cs="宋体"/>
          <w:b w:val="0"/>
          <w:sz w:val="28"/>
          <w:szCs w:val="28"/>
        </w:rPr>
        <w:t>3.项目</w:t>
      </w:r>
      <w:r>
        <w:rPr>
          <w:rFonts w:ascii="宋体" w:hAnsi="宋体" w:eastAsia="宋体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>
      <w:pPr>
        <w:spacing w:line="336" w:lineRule="auto"/>
        <w:ind w:firstLine="848" w:firstLineChars="303"/>
        <w:rPr>
          <w:rFonts w:ascii="宋体" w:hAnsi="宋体"/>
          <w:sz w:val="28"/>
          <w:szCs w:val="28"/>
        </w:rPr>
      </w:pPr>
      <w:r>
        <w:rPr>
          <w:rFonts w:hint="eastAsia" w:ascii="宋体" w:hAnsi="宋体"/>
          <w:sz w:val="28"/>
          <w:szCs w:val="28"/>
        </w:rPr>
        <w:t>项目联系人：北区招标事业技术2部 孙佳睿、崔丽洁、贾东敏、刘向前</w:t>
      </w:r>
    </w:p>
    <w:p>
      <w:pPr>
        <w:pStyle w:val="8"/>
        <w:spacing w:line="360" w:lineRule="auto"/>
        <w:ind w:firstLine="840" w:firstLineChars="300"/>
        <w:rPr>
          <w:rFonts w:hAnsi="宋体" w:eastAsia="宋体" w:cs="Times New Roman"/>
          <w:sz w:val="28"/>
          <w:szCs w:val="28"/>
        </w:rPr>
      </w:pPr>
      <w:r>
        <w:rPr>
          <w:rFonts w:hAnsi="宋体" w:eastAsia="宋体" w:cs="Times New Roman"/>
          <w:sz w:val="28"/>
          <w:szCs w:val="28"/>
        </w:rPr>
        <w:t>联系方式：</w:t>
      </w:r>
      <w:r>
        <w:rPr>
          <w:rFonts w:hint="eastAsia" w:hAnsi="宋体" w:eastAsia="宋体" w:cs="Times New Roman"/>
          <w:sz w:val="28"/>
          <w:szCs w:val="28"/>
        </w:rPr>
        <w:t>010-63509799-8080、8074</w:t>
      </w:r>
    </w:p>
    <w:p>
      <w:pPr>
        <w:pStyle w:val="8"/>
        <w:spacing w:line="360" w:lineRule="auto"/>
        <w:ind w:firstLine="840" w:firstLineChars="300"/>
        <w:rPr>
          <w:rFonts w:hAnsi="宋体" w:eastAsia="宋体" w:cs="Times New Roman"/>
          <w:sz w:val="28"/>
          <w:szCs w:val="28"/>
        </w:rPr>
      </w:pPr>
    </w:p>
    <w:p>
      <w:pPr>
        <w:widowControl/>
        <w:jc w:val="left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br w:type="page"/>
      </w:r>
    </w:p>
    <w:p>
      <w:pPr>
        <w:pStyle w:val="8"/>
        <w:spacing w:line="360" w:lineRule="auto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附件：武汉珞软科技有限公司</w:t>
      </w:r>
      <w:bookmarkStart w:id="14" w:name="_GoBack"/>
      <w:bookmarkEnd w:id="14"/>
      <w:r>
        <w:rPr>
          <w:rFonts w:hint="eastAsia" w:ascii="仿宋" w:hAnsi="仿宋" w:eastAsia="仿宋"/>
          <w:sz w:val="28"/>
          <w:szCs w:val="28"/>
        </w:rPr>
        <w:t>中小企业声明函</w:t>
      </w:r>
    </w:p>
    <w:p>
      <w:pPr>
        <w:pStyle w:val="8"/>
        <w:spacing w:line="360" w:lineRule="auto"/>
        <w:rPr>
          <w:rFonts w:ascii="仿宋" w:hAnsi="仿宋" w:eastAsia="仿宋" w:cs="Times New Roman"/>
          <w:sz w:val="28"/>
          <w:szCs w:val="28"/>
        </w:rPr>
      </w:pPr>
      <w:r>
        <w:drawing>
          <wp:inline distT="0" distB="0" distL="114300" distR="114300">
            <wp:extent cx="5268595" cy="5784215"/>
            <wp:effectExtent l="0" t="0" r="8255" b="698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5784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D5AC650"/>
    <w:multiLevelType w:val="singleLevel"/>
    <w:tmpl w:val="2D5AC650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M1NTFmZDA4Nzc1ZTM3MmU1YzA5MTJhMmFmZDdlMGEifQ=="/>
  </w:docVars>
  <w:rsids>
    <w:rsidRoot w:val="004826CC"/>
    <w:rsid w:val="000661CF"/>
    <w:rsid w:val="001B7382"/>
    <w:rsid w:val="00202E66"/>
    <w:rsid w:val="0024428D"/>
    <w:rsid w:val="00272F59"/>
    <w:rsid w:val="00286C39"/>
    <w:rsid w:val="002F459C"/>
    <w:rsid w:val="00376CD0"/>
    <w:rsid w:val="003B211E"/>
    <w:rsid w:val="003B24C7"/>
    <w:rsid w:val="004159B1"/>
    <w:rsid w:val="00416439"/>
    <w:rsid w:val="004826CC"/>
    <w:rsid w:val="004A1A2B"/>
    <w:rsid w:val="004B4064"/>
    <w:rsid w:val="00601332"/>
    <w:rsid w:val="006156AD"/>
    <w:rsid w:val="006B24F7"/>
    <w:rsid w:val="006D2E88"/>
    <w:rsid w:val="006F2EB3"/>
    <w:rsid w:val="00727EA2"/>
    <w:rsid w:val="0073110E"/>
    <w:rsid w:val="00750B61"/>
    <w:rsid w:val="007528D6"/>
    <w:rsid w:val="00841660"/>
    <w:rsid w:val="008A7722"/>
    <w:rsid w:val="008E4618"/>
    <w:rsid w:val="009449DC"/>
    <w:rsid w:val="009456AB"/>
    <w:rsid w:val="00A52030"/>
    <w:rsid w:val="00B87EAD"/>
    <w:rsid w:val="00C0426C"/>
    <w:rsid w:val="00C42A05"/>
    <w:rsid w:val="00CA1A58"/>
    <w:rsid w:val="00D60A1B"/>
    <w:rsid w:val="00E91FF7"/>
    <w:rsid w:val="05307841"/>
    <w:rsid w:val="05B60748"/>
    <w:rsid w:val="0A2D3192"/>
    <w:rsid w:val="0F2E33E2"/>
    <w:rsid w:val="154C6414"/>
    <w:rsid w:val="18C94647"/>
    <w:rsid w:val="198539A6"/>
    <w:rsid w:val="21C01625"/>
    <w:rsid w:val="27BD71E4"/>
    <w:rsid w:val="36F97234"/>
    <w:rsid w:val="39322026"/>
    <w:rsid w:val="40BB317A"/>
    <w:rsid w:val="41CB2DDD"/>
    <w:rsid w:val="424A4FC5"/>
    <w:rsid w:val="50CB0952"/>
    <w:rsid w:val="59B46452"/>
    <w:rsid w:val="5CDF06A9"/>
    <w:rsid w:val="5DEA4819"/>
    <w:rsid w:val="605D2255"/>
    <w:rsid w:val="6C0B241E"/>
    <w:rsid w:val="70C263F3"/>
    <w:rsid w:val="722A6763"/>
    <w:rsid w:val="786F0AC7"/>
    <w:rsid w:val="7BA63855"/>
    <w:rsid w:val="7BE603BC"/>
    <w:rsid w:val="7E750788"/>
    <w:rsid w:val="7EAC4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qFormat="1" w:unhideWhenUsed="0" w:uiPriority="0" w:semiHidden="0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link w:val="16"/>
    <w:qFormat/>
    <w:uiPriority w:val="9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link w:val="17"/>
    <w:semiHidden/>
    <w:unhideWhenUsed/>
    <w:qFormat/>
    <w:uiPriority w:val="0"/>
    <w:pPr>
      <w:keepNext/>
      <w:keepLines/>
      <w:spacing w:before="260" w:after="260" w:line="412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4">
    <w:name w:val="Default Paragraph Font"/>
    <w:unhideWhenUsed/>
    <w:qFormat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ind w:firstLine="420" w:firstLineChars="200"/>
    </w:pPr>
  </w:style>
  <w:style w:type="paragraph" w:styleId="3">
    <w:name w:val="Body Text Indent"/>
    <w:basedOn w:val="1"/>
    <w:semiHidden/>
    <w:unhideWhenUsed/>
    <w:qFormat/>
    <w:uiPriority w:val="99"/>
    <w:pPr>
      <w:spacing w:after="120"/>
      <w:ind w:left="420" w:leftChars="200"/>
    </w:pPr>
  </w:style>
  <w:style w:type="paragraph" w:styleId="6">
    <w:name w:val="index 8"/>
    <w:basedOn w:val="1"/>
    <w:next w:val="1"/>
    <w:qFormat/>
    <w:uiPriority w:val="0"/>
    <w:pPr>
      <w:ind w:left="1400" w:leftChars="1400"/>
    </w:pPr>
    <w:rPr>
      <w:szCs w:val="24"/>
    </w:rPr>
  </w:style>
  <w:style w:type="paragraph" w:styleId="7">
    <w:name w:val="Body Text"/>
    <w:basedOn w:val="1"/>
    <w:link w:val="23"/>
    <w:semiHidden/>
    <w:unhideWhenUsed/>
    <w:uiPriority w:val="99"/>
    <w:pPr>
      <w:spacing w:after="120"/>
    </w:pPr>
    <w:rPr>
      <w:szCs w:val="24"/>
    </w:rPr>
  </w:style>
  <w:style w:type="paragraph" w:styleId="8">
    <w:name w:val="Plain Text"/>
    <w:basedOn w:val="1"/>
    <w:link w:val="19"/>
    <w:unhideWhenUsed/>
    <w:qFormat/>
    <w:uiPriority w:val="99"/>
    <w:rPr>
      <w:rFonts w:ascii="宋体" w:hAnsi="Courier New" w:eastAsiaTheme="minorEastAsia" w:cstheme="minorBidi"/>
      <w:szCs w:val="22"/>
    </w:rPr>
  </w:style>
  <w:style w:type="paragraph" w:styleId="9">
    <w:name w:val="Balloon Text"/>
    <w:basedOn w:val="1"/>
    <w:link w:val="22"/>
    <w:semiHidden/>
    <w:unhideWhenUsed/>
    <w:uiPriority w:val="99"/>
    <w:rPr>
      <w:sz w:val="18"/>
      <w:szCs w:val="18"/>
    </w:rPr>
  </w:style>
  <w:style w:type="paragraph" w:styleId="10">
    <w:name w:val="footer"/>
    <w:basedOn w:val="1"/>
    <w:link w:val="2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3">
    <w:name w:val="Table Grid"/>
    <w:basedOn w:val="12"/>
    <w:qFormat/>
    <w:uiPriority w:val="0"/>
    <w:rPr>
      <w:rFonts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5">
    <w:name w:val="Emphasis"/>
    <w:basedOn w:val="14"/>
    <w:qFormat/>
    <w:uiPriority w:val="20"/>
    <w:rPr>
      <w:i/>
    </w:rPr>
  </w:style>
  <w:style w:type="character" w:customStyle="1" w:styleId="16">
    <w:name w:val="标题 1 Char"/>
    <w:basedOn w:val="14"/>
    <w:link w:val="4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7">
    <w:name w:val="标题 2 Char"/>
    <w:basedOn w:val="14"/>
    <w:link w:val="5"/>
    <w:semiHidden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8">
    <w:name w:val="纯文本 字符"/>
    <w:basedOn w:val="14"/>
    <w:semiHidden/>
    <w:qFormat/>
    <w:uiPriority w:val="99"/>
    <w:rPr>
      <w:rFonts w:hAnsi="Courier New" w:cs="Courier New" w:asciiTheme="minorEastAsia"/>
      <w:szCs w:val="21"/>
    </w:rPr>
  </w:style>
  <w:style w:type="character" w:customStyle="1" w:styleId="19">
    <w:name w:val="纯文本 Char"/>
    <w:basedOn w:val="14"/>
    <w:link w:val="8"/>
    <w:qFormat/>
    <w:locked/>
    <w:uiPriority w:val="99"/>
    <w:rPr>
      <w:rFonts w:ascii="宋体" w:hAnsi="Courier New"/>
    </w:rPr>
  </w:style>
  <w:style w:type="character" w:customStyle="1" w:styleId="20">
    <w:name w:val="页眉 Char"/>
    <w:basedOn w:val="14"/>
    <w:link w:val="11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1">
    <w:name w:val="页脚 Char"/>
    <w:basedOn w:val="14"/>
    <w:link w:val="10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批注框文本 Char"/>
    <w:basedOn w:val="14"/>
    <w:link w:val="9"/>
    <w:semiHidden/>
    <w:uiPriority w:val="99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23">
    <w:name w:val="正文文本 Char"/>
    <w:basedOn w:val="14"/>
    <w:link w:val="7"/>
    <w:semiHidden/>
    <w:qFormat/>
    <w:uiPriority w:val="99"/>
    <w:rPr>
      <w:rFonts w:ascii="Times New Roman" w:hAnsi="Times New Roman" w:eastAsia="宋体" w:cs="Times New Roman"/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810</Words>
  <Characters>963</Characters>
  <Lines>2</Lines>
  <Paragraphs>2</Paragraphs>
  <TotalTime>3</TotalTime>
  <ScaleCrop>false</ScaleCrop>
  <LinksUpToDate>false</LinksUpToDate>
  <CharactersWithSpaces>966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2020-05-06T05:06:00Z</dcterms:created>
  <dc:creator>111111</dc:creator>
  <cp:lastModifiedBy>win98</cp:lastModifiedBy>
  <dcterms:modified xsi:type="dcterms:W3CDTF">2022-06-14T08:08:00Z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DE5697F74C1E459291423B37AED9A610</vt:lpwstr>
  </property>
</Properties>
</file>