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版本号：N510683202500016020250820002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大熊猫国家公园绵竹片区绵茂公路沿线科普宣教设施完善项目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N5106832025000160</w:t>
      </w:r>
    </w:p>
    <w:p>
      <w:pPr>
        <w:pStyle w:val="null3"/>
        <w:jc w:val="left"/>
        <w:outlineLvl w:val="2"/>
      </w:pPr>
      <w:r>
        <w:rPr>
          <w:rFonts w:ascii="仿宋_GB2312" w:hAnsi="仿宋_GB2312" w:cs="仿宋_GB2312" w:eastAsia="仿宋_GB2312"/>
          <w:sz w:val="28"/>
          <w:b/>
        </w:rPr>
        <w:t>绵竹市国有林场</w:t>
      </w:r>
    </w:p>
    <w:p>
      <w:pPr>
        <w:pStyle w:val="null3"/>
        <w:jc w:val="center"/>
        <w:outlineLvl w:val="2"/>
      </w:pPr>
      <w:r>
        <w:rPr>
          <w:rFonts w:ascii="仿宋_GB2312" w:hAnsi="仿宋_GB2312" w:cs="仿宋_GB2312" w:eastAsia="仿宋_GB2312"/>
          <w:sz w:val="28"/>
          <w:b/>
        </w:rPr>
        <w:t>中科劝业信息技术（四川）有限公司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中科劝业信息技术（四川）有限公司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绵竹市国有林场</w:t>
      </w:r>
      <w:r>
        <w:rPr>
          <w:rFonts w:ascii="仿宋_GB2312" w:hAnsi="仿宋_GB2312" w:cs="仿宋_GB2312" w:eastAsia="仿宋_GB2312"/>
        </w:rPr>
        <w:t xml:space="preserve"> 委托，拟对 </w:t>
      </w:r>
      <w:r>
        <w:rPr>
          <w:rFonts w:ascii="仿宋_GB2312" w:hAnsi="仿宋_GB2312" w:cs="仿宋_GB2312" w:eastAsia="仿宋_GB2312"/>
        </w:rPr>
        <w:t>大熊猫国家公园绵竹片区绵茂公路沿线科普宣教设施完善项目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N5106832025000160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大熊猫国家公园绵竹片区绵茂公路沿线科普宣教设施完善项目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1.在绵茂路进入大熊猫国家公园绵竹片区的显著位置 ,设置明显的中国国家公园及大熊猫国家公园组 合标志物，对进入国家公园区域的车流、人流进行提示提醒；2.在大熊猫国家公园绵竹片区绵茂路区域沿途设置警示、提示牌；3.在大熊猫国家公园绵竹片区绵茂路沿途，创作一组生态文明思想及国家公园理念宣传墙绘；4.在大熊猫国家公园绵竹片区绵茂路区域安装监测设施。</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绵竹市国有林场</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四川省德阳市绵竹市紫岩街道紫岩路229号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0838-6203553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中科劝业信息技术（四川）有限公司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四川省德阳市绵竹市紫岩街道剑桥城13栋2层218号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0838-6309109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采购包1：920,000.00元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参照《招标代理服务收费管理暂行办法》（计价格〔2002〕1980号）和《国家发展改革委办公厅关于招标代理服务收费有关问题的通知》（发改办价格〔2003〕857号）和发改价格〔2015〕299号文件规定，招标代理费实行市场调节价。本项目代理费为￥15800.00元，大写：壹万伍仟捌佰元整。</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绵竹市国有林场</w:t>
      </w:r>
      <w:r>
        <w:rPr>
          <w:rFonts w:ascii="仿宋_GB2312" w:hAnsi="仿宋_GB2312" w:cs="仿宋_GB2312" w:eastAsia="仿宋_GB2312"/>
        </w:rPr>
        <w:t xml:space="preserve"> 和 </w:t>
      </w:r>
      <w:r>
        <w:rPr>
          <w:rFonts w:ascii="仿宋_GB2312" w:hAnsi="仿宋_GB2312" w:cs="仿宋_GB2312" w:eastAsia="仿宋_GB2312"/>
        </w:rPr>
        <w:t>中科劝业信息技术（四川）有限公司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绵竹市国有林场</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中科劝业信息技术（四川）有限公司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达到合同、采购文件及供应商响应文件的要求后，供应商提出验收申请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采购文件的质量要求和技术指标、供应商的响应文件及承诺。</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采购文件的质量要求和技术指标、供应商的响应文件及承诺。</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和本项目要求的相关规范进行验收。若发现供应商未按要求安装或未按照磋商文件要求、响应文件承诺以及设计方案执行，供应商应进行重新安装，直到采购人验收合格为止，由此所产生的一切费用由成交供应商承担，采购人不另行支付。</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其他未尽事宜应严格按照国家、行业以及《财政部关于进一步加强政府采购需求和履约验收管理的指导意见》（财库〔2016〕205号）和《政府采购需求管理办法》（财库〔2021〕22号）的要求进行。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绵竹市国有林场</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中科劝业信息技术（四川）有限公司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中科劝业信息技术（四川）有限公司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联系人：谭老师</w:t>
      </w:r>
    </w:p>
    <w:p>
      <w:pPr>
        <w:pStyle w:val="null3"/>
        <w:jc w:val="left"/>
      </w:pPr>
      <w:r>
        <w:rPr>
          <w:rFonts w:ascii="仿宋_GB2312" w:hAnsi="仿宋_GB2312" w:cs="仿宋_GB2312" w:eastAsia="仿宋_GB2312"/>
        </w:rPr>
        <w:t>联系电话：0838-6203553</w:t>
      </w:r>
    </w:p>
    <w:p>
      <w:pPr>
        <w:pStyle w:val="null3"/>
        <w:jc w:val="left"/>
      </w:pPr>
      <w:r>
        <w:rPr>
          <w:rFonts w:ascii="仿宋_GB2312" w:hAnsi="仿宋_GB2312" w:cs="仿宋_GB2312" w:eastAsia="仿宋_GB2312"/>
        </w:rPr>
        <w:t>地址：绵竹市南京大道</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联系电话：0838-6309109</w:t>
      </w:r>
    </w:p>
    <w:p>
      <w:pPr>
        <w:pStyle w:val="null3"/>
        <w:jc w:val="left"/>
      </w:pPr>
      <w:r>
        <w:rPr>
          <w:rFonts w:ascii="仿宋_GB2312" w:hAnsi="仿宋_GB2312" w:cs="仿宋_GB2312" w:eastAsia="仿宋_GB2312"/>
        </w:rPr>
        <w:t>地址：四川省绵竹市淮安路剑桥城13栋二楼213号</w:t>
      </w:r>
    </w:p>
    <w:p>
      <w:pPr>
        <w:pStyle w:val="null3"/>
        <w:jc w:val="left"/>
      </w:pPr>
      <w:r>
        <w:rPr>
          <w:rFonts w:ascii="仿宋_GB2312" w:hAnsi="仿宋_GB2312" w:cs="仿宋_GB2312" w:eastAsia="仿宋_GB2312"/>
        </w:rPr>
        <w:t>邮编：618200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920,000.00</w:t>
      </w:r>
    </w:p>
    <w:p>
      <w:pPr>
        <w:pStyle w:val="null3"/>
        <w:jc w:val="left"/>
      </w:pPr>
      <w:r>
        <w:rPr>
          <w:rFonts w:ascii="仿宋_GB2312" w:hAnsi="仿宋_GB2312" w:cs="仿宋_GB2312" w:eastAsia="仿宋_GB2312"/>
        </w:rPr>
        <w:t>采购包最高限价（元）: 920,000.00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C23150000 广告宣传服务</w:t>
            </w:r>
          </w:p>
        </w:tc>
        <w:tc>
          <w:tcPr>
            <w:tcW w:type="dxa" w:w="821"/>
          </w:tcPr>
          <w:p>
            <w:pPr>
              <w:pStyle w:val="null3"/>
              <w:jc w:val="left"/>
            </w:pPr>
            <w:r>
              <w:rPr>
                <w:rFonts w:ascii="仿宋_GB2312" w:hAnsi="仿宋_GB2312" w:cs="仿宋_GB2312" w:eastAsia="仿宋_GB2312"/>
              </w:rPr>
              <w:t>大熊猫国家公园绵竹片区绵茂公路沿线科普宣教设施完善项目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大熊猫国家公园绵竹片区绵茂公路沿线科普宣教设施完善项目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标的名称：大熊猫国家公园绵竹片区绵茂公路沿线科普宣教设施完善项目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ind w:firstLine="480"/>
              <w:jc w:val="left"/>
            </w:pPr>
            <w:r>
              <w:rPr>
                <w:rFonts w:ascii="仿宋_GB2312" w:hAnsi="仿宋_GB2312" w:cs="仿宋_GB2312" w:eastAsia="仿宋_GB2312"/>
                <w:sz w:val="24"/>
                <w:color w:val="000000"/>
              </w:rPr>
              <w:t>一、报价要求</w:t>
            </w:r>
          </w:p>
          <w:p>
            <w:pPr>
              <w:pStyle w:val="null3"/>
              <w:ind w:firstLine="480"/>
              <w:jc w:val="left"/>
            </w:pPr>
            <w:r>
              <w:rPr>
                <w:rFonts w:ascii="仿宋_GB2312" w:hAnsi="仿宋_GB2312" w:cs="仿宋_GB2312" w:eastAsia="仿宋_GB2312"/>
                <w:sz w:val="24"/>
                <w:color w:val="000000"/>
              </w:rPr>
              <w:t>本项目资金分为设计</w:t>
            </w:r>
            <w:r>
              <w:rPr>
                <w:rFonts w:ascii="仿宋_GB2312" w:hAnsi="仿宋_GB2312" w:cs="仿宋_GB2312" w:eastAsia="仿宋_GB2312"/>
                <w:sz w:val="24"/>
                <w:color w:val="000000"/>
              </w:rPr>
              <w:t>和</w:t>
            </w:r>
            <w:r>
              <w:rPr>
                <w:rFonts w:ascii="仿宋_GB2312" w:hAnsi="仿宋_GB2312" w:cs="仿宋_GB2312" w:eastAsia="仿宋_GB2312"/>
                <w:sz w:val="24"/>
                <w:color w:val="000000"/>
              </w:rPr>
              <w:t>制作安装</w:t>
            </w:r>
            <w:r>
              <w:rPr>
                <w:rFonts w:ascii="仿宋_GB2312" w:hAnsi="仿宋_GB2312" w:cs="仿宋_GB2312" w:eastAsia="仿宋_GB2312"/>
                <w:sz w:val="24"/>
                <w:color w:val="000000"/>
              </w:rPr>
              <w:t>两个</w:t>
            </w:r>
            <w:r>
              <w:rPr>
                <w:rFonts w:ascii="仿宋_GB2312" w:hAnsi="仿宋_GB2312" w:cs="仿宋_GB2312" w:eastAsia="仿宋_GB2312"/>
                <w:sz w:val="24"/>
                <w:color w:val="000000"/>
              </w:rPr>
              <w:t>部分，本项目采用</w:t>
            </w:r>
            <w:r>
              <w:rPr>
                <w:rFonts w:ascii="仿宋_GB2312" w:hAnsi="仿宋_GB2312" w:cs="仿宋_GB2312" w:eastAsia="仿宋_GB2312"/>
                <w:sz w:val="24"/>
                <w:color w:val="000000"/>
              </w:rPr>
              <w:t>百分比</w:t>
            </w:r>
            <w:r>
              <w:rPr>
                <w:rFonts w:ascii="仿宋_GB2312" w:hAnsi="仿宋_GB2312" w:cs="仿宋_GB2312" w:eastAsia="仿宋_GB2312"/>
                <w:sz w:val="24"/>
                <w:color w:val="000000"/>
              </w:rPr>
              <w:t>报价，由供应商对设计费及经</w:t>
            </w:r>
            <w:r>
              <w:rPr>
                <w:rFonts w:ascii="仿宋_GB2312" w:hAnsi="仿宋_GB2312" w:cs="仿宋_GB2312" w:eastAsia="仿宋_GB2312"/>
                <w:sz w:val="24"/>
                <w:color w:val="000000"/>
              </w:rPr>
              <w:t>审定</w:t>
            </w:r>
            <w:r>
              <w:rPr>
                <w:rFonts w:ascii="仿宋_GB2312" w:hAnsi="仿宋_GB2312" w:cs="仿宋_GB2312" w:eastAsia="仿宋_GB2312"/>
                <w:sz w:val="24"/>
                <w:color w:val="000000"/>
              </w:rPr>
              <w:t>后的设计稿及全价格清单的下浮比例进行竞争。</w:t>
            </w:r>
          </w:p>
          <w:tbl>
            <w:tblPr>
              <w:tblInd w:type="dxa" w:w="120"/>
              <w:tblBorders>
                <w:top w:val="none" w:color="000000" w:sz="4"/>
                <w:left w:val="none" w:color="000000" w:sz="4"/>
                <w:bottom w:val="none" w:color="000000" w:sz="4"/>
                <w:right w:val="none" w:color="000000" w:sz="4"/>
                <w:insideH w:val="none"/>
                <w:insideV w:val="none"/>
              </w:tblBorders>
            </w:tblPr>
            <w:tblGrid>
              <w:gridCol w:w="550"/>
              <w:gridCol w:w="1782"/>
              <w:gridCol w:w="711"/>
              <w:gridCol w:w="881"/>
              <w:gridCol w:w="1642"/>
            </w:tblGrid>
            <w:tr>
              <w:tc>
                <w:tcPr>
                  <w:tcW w:type="dxa" w:w="5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序号</w:t>
                  </w:r>
                </w:p>
              </w:tc>
              <w:tc>
                <w:tcPr>
                  <w:tcW w:type="dxa" w:w="178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工作内容</w:t>
                  </w:r>
                </w:p>
              </w:tc>
              <w:tc>
                <w:tcPr>
                  <w:tcW w:type="dxa" w:w="7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数量</w:t>
                  </w:r>
                </w:p>
              </w:tc>
              <w:tc>
                <w:tcPr>
                  <w:tcW w:type="dxa" w:w="8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单位</w:t>
                  </w:r>
                </w:p>
              </w:tc>
              <w:tc>
                <w:tcPr>
                  <w:tcW w:type="dxa" w:w="16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计划金额（元）</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1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960"/>
                    <w:jc w:val="both"/>
                  </w:pPr>
                  <w:r>
                    <w:rPr>
                      <w:rFonts w:ascii="仿宋_GB2312" w:hAnsi="仿宋_GB2312" w:cs="仿宋_GB2312" w:eastAsia="仿宋_GB2312"/>
                      <w:sz w:val="24"/>
                      <w:color w:val="000000"/>
                    </w:rPr>
                    <w:t>设计费</w:t>
                  </w:r>
                </w:p>
                <w:p>
                  <w:pPr>
                    <w:pStyle w:val="null3"/>
                    <w:jc w:val="center"/>
                  </w:pPr>
                  <w:r>
                    <w:rPr>
                      <w:rFonts w:ascii="仿宋_GB2312" w:hAnsi="仿宋_GB2312" w:cs="仿宋_GB2312" w:eastAsia="仿宋_GB2312"/>
                      <w:sz w:val="24"/>
                      <w:color w:val="000000"/>
                    </w:rPr>
                    <w:t>（含第三方核费）</w:t>
                  </w:r>
                </w:p>
              </w:tc>
              <w:tc>
                <w:tcPr>
                  <w:tcW w:type="dxa" w:w="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color w:val="000000"/>
                    </w:rPr>
                    <w:t>1</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color w:val="000000"/>
                    </w:rPr>
                    <w:t>项</w:t>
                  </w:r>
                </w:p>
              </w:tc>
              <w:tc>
                <w:tcPr>
                  <w:tcW w:type="dxa" w:w="1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color w:val="000000"/>
                    </w:rPr>
                    <w:t>49000.00</w:t>
                  </w:r>
                </w:p>
              </w:tc>
            </w:tr>
            <w:tr>
              <w:tc>
                <w:tcPr>
                  <w:tcW w:type="dxa" w:w="5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w:t>
                  </w:r>
                </w:p>
              </w:tc>
              <w:tc>
                <w:tcPr>
                  <w:tcW w:type="dxa" w:w="17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制作安装</w:t>
                  </w:r>
                </w:p>
              </w:tc>
              <w:tc>
                <w:tcPr>
                  <w:tcW w:type="dxa" w:w="7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color w:val="000000"/>
                    </w:rPr>
                    <w:t>1</w:t>
                  </w:r>
                </w:p>
              </w:tc>
              <w:tc>
                <w:tcPr>
                  <w:tcW w:type="dxa" w:w="8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color w:val="000000"/>
                    </w:rPr>
                    <w:t>项</w:t>
                  </w:r>
                </w:p>
              </w:tc>
              <w:tc>
                <w:tcPr>
                  <w:tcW w:type="dxa" w:w="16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80"/>
                    <w:jc w:val="left"/>
                  </w:pPr>
                  <w:r>
                    <w:rPr>
                      <w:rFonts w:ascii="仿宋_GB2312" w:hAnsi="仿宋_GB2312" w:cs="仿宋_GB2312" w:eastAsia="仿宋_GB2312"/>
                      <w:sz w:val="24"/>
                      <w:color w:val="000000"/>
                    </w:rPr>
                    <w:t>871000.00</w:t>
                  </w:r>
                </w:p>
              </w:tc>
            </w:tr>
          </w:tbl>
          <w:p>
            <w:pPr>
              <w:pStyle w:val="null3"/>
              <w:ind w:firstLine="480"/>
              <w:jc w:val="left"/>
            </w:pPr>
            <w:r>
              <w:rPr>
                <w:rFonts w:ascii="仿宋_GB2312" w:hAnsi="仿宋_GB2312" w:cs="仿宋_GB2312" w:eastAsia="仿宋_GB2312"/>
                <w:sz w:val="24"/>
                <w:color w:val="000000"/>
              </w:rPr>
              <w:t>注：</w:t>
            </w:r>
            <w:r>
              <w:rPr>
                <w:rFonts w:ascii="仿宋_GB2312" w:hAnsi="仿宋_GB2312" w:cs="仿宋_GB2312" w:eastAsia="仿宋_GB2312"/>
                <w:sz w:val="24"/>
                <w:color w:val="000000"/>
              </w:rPr>
              <w:t>1、本项目采用</w:t>
            </w:r>
            <w:r>
              <w:rPr>
                <w:rFonts w:ascii="仿宋_GB2312" w:hAnsi="仿宋_GB2312" w:cs="仿宋_GB2312" w:eastAsia="仿宋_GB2312"/>
                <w:sz w:val="24"/>
                <w:color w:val="000000"/>
              </w:rPr>
              <w:t>百分</w:t>
            </w:r>
            <w:r>
              <w:rPr>
                <w:rFonts w:ascii="仿宋_GB2312" w:hAnsi="仿宋_GB2312" w:cs="仿宋_GB2312" w:eastAsia="仿宋_GB2312"/>
                <w:sz w:val="24"/>
                <w:color w:val="000000"/>
              </w:rPr>
              <w:t>比报价，供应商报出的百分比为下浮比例，下浮比例为设计费及经</w:t>
            </w:r>
            <w:r>
              <w:rPr>
                <w:rFonts w:ascii="仿宋_GB2312" w:hAnsi="仿宋_GB2312" w:cs="仿宋_GB2312" w:eastAsia="仿宋_GB2312"/>
                <w:sz w:val="24"/>
                <w:color w:val="000000"/>
              </w:rPr>
              <w:t>审定</w:t>
            </w:r>
            <w:r>
              <w:rPr>
                <w:rFonts w:ascii="仿宋_GB2312" w:hAnsi="仿宋_GB2312" w:cs="仿宋_GB2312" w:eastAsia="仿宋_GB2312"/>
                <w:sz w:val="24"/>
                <w:color w:val="000000"/>
              </w:rPr>
              <w:t>后的设计稿全价格清单单价进行下浮结算。</w:t>
            </w:r>
          </w:p>
          <w:p>
            <w:pPr>
              <w:pStyle w:val="null3"/>
              <w:ind w:firstLine="480"/>
              <w:jc w:val="left"/>
            </w:pPr>
            <w:r>
              <w:rPr>
                <w:rFonts w:ascii="仿宋_GB2312" w:hAnsi="仿宋_GB2312" w:cs="仿宋_GB2312" w:eastAsia="仿宋_GB2312"/>
                <w:sz w:val="24"/>
                <w:color w:val="000000"/>
              </w:rPr>
              <w:t>2、本项目以供应商的下浮比例作为评审依据，也作为设计费及制作安装的结算依据。</w:t>
            </w:r>
          </w:p>
          <w:p>
            <w:pPr>
              <w:pStyle w:val="null3"/>
              <w:ind w:firstLine="480"/>
              <w:jc w:val="left"/>
            </w:pPr>
            <w:r>
              <w:rPr>
                <w:rFonts w:ascii="仿宋_GB2312" w:hAnsi="仿宋_GB2312" w:cs="仿宋_GB2312" w:eastAsia="仿宋_GB2312"/>
                <w:sz w:val="24"/>
                <w:color w:val="000000"/>
              </w:rPr>
              <w:t>3、例：供应商下浮5%，即设计稿及全价格清单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包括设计费和制作安装）</w:t>
            </w:r>
            <w:r>
              <w:rPr>
                <w:rFonts w:ascii="仿宋_GB2312" w:hAnsi="仿宋_GB2312" w:cs="仿宋_GB2312" w:eastAsia="仿宋_GB2312"/>
                <w:sz w:val="24"/>
                <w:color w:val="000000"/>
              </w:rPr>
              <w:t>经采购人审核后，以审定后价格清单单项价格</w:t>
            </w:r>
            <w:r>
              <w:rPr>
                <w:rFonts w:ascii="仿宋_GB2312" w:hAnsi="仿宋_GB2312" w:cs="仿宋_GB2312" w:eastAsia="仿宋_GB2312"/>
                <w:sz w:val="24"/>
                <w:color w:val="000000"/>
              </w:rPr>
              <w:t>*（1-5%）作为结算依据。支付总金额不超过项目总预算金额。</w:t>
            </w:r>
          </w:p>
          <w:p>
            <w:pPr>
              <w:pStyle w:val="null3"/>
              <w:ind w:firstLine="480"/>
              <w:jc w:val="left"/>
            </w:pPr>
            <w:r>
              <w:rPr>
                <w:rFonts w:ascii="仿宋_GB2312" w:hAnsi="仿宋_GB2312" w:cs="仿宋_GB2312" w:eastAsia="仿宋_GB2312"/>
                <w:sz w:val="24"/>
                <w:color w:val="000000"/>
              </w:rPr>
              <w:t>4、供应商报价为完成本项目全部工作内</w:t>
            </w:r>
            <w:r>
              <w:rPr>
                <w:rFonts w:ascii="仿宋_GB2312" w:hAnsi="仿宋_GB2312" w:cs="仿宋_GB2312" w:eastAsia="仿宋_GB2312"/>
                <w:sz w:val="24"/>
                <w:color w:val="000000"/>
              </w:rPr>
              <w:t>容的</w:t>
            </w:r>
            <w:r>
              <w:rPr>
                <w:rFonts w:ascii="仿宋_GB2312" w:hAnsi="仿宋_GB2312" w:cs="仿宋_GB2312" w:eastAsia="仿宋_GB2312"/>
                <w:sz w:val="24"/>
                <w:color w:val="000000"/>
              </w:rPr>
              <w:t>报价，包含设计费、制作费、安装费、</w:t>
            </w:r>
            <w:r>
              <w:rPr>
                <w:rFonts w:ascii="仿宋_GB2312" w:hAnsi="仿宋_GB2312" w:cs="仿宋_GB2312" w:eastAsia="仿宋_GB2312"/>
                <w:sz w:val="24"/>
                <w:color w:val="000000"/>
              </w:rPr>
              <w:t>质保费</w:t>
            </w:r>
            <w:r>
              <w:rPr>
                <w:rFonts w:ascii="仿宋_GB2312" w:hAnsi="仿宋_GB2312" w:cs="仿宋_GB2312" w:eastAsia="仿宋_GB2312"/>
                <w:sz w:val="24"/>
                <w:color w:val="000000"/>
              </w:rPr>
              <w:t>、人工、税收、保险、车辆运输、利润等完成本项目所需一切费用，采购人不再额外支付任何费用。</w:t>
            </w:r>
          </w:p>
          <w:p>
            <w:pPr>
              <w:pStyle w:val="null3"/>
              <w:ind w:firstLine="480"/>
              <w:jc w:val="left"/>
            </w:pPr>
            <w:r>
              <w:rPr>
                <w:rFonts w:ascii="仿宋_GB2312" w:hAnsi="仿宋_GB2312" w:cs="仿宋_GB2312" w:eastAsia="仿宋_GB2312"/>
                <w:sz w:val="24"/>
                <w:color w:val="000000"/>
              </w:rPr>
              <w:t>二、设计服务要求</w:t>
            </w:r>
          </w:p>
          <w:p>
            <w:pPr>
              <w:pStyle w:val="null3"/>
              <w:ind w:firstLine="480"/>
              <w:jc w:val="left"/>
            </w:pPr>
            <w:r>
              <w:rPr>
                <w:rFonts w:ascii="仿宋_GB2312" w:hAnsi="仿宋_GB2312" w:cs="仿宋_GB2312" w:eastAsia="仿宋_GB2312"/>
                <w:sz w:val="24"/>
                <w:color w:val="000000"/>
              </w:rPr>
              <w:t>（一）设计内容</w:t>
            </w:r>
          </w:p>
          <w:tbl>
            <w:tblPr>
              <w:tblBorders>
                <w:top w:val="none" w:color="000000" w:sz="4"/>
                <w:left w:val="none" w:color="000000" w:sz="4"/>
                <w:bottom w:val="none" w:color="000000" w:sz="4"/>
                <w:right w:val="none" w:color="000000" w:sz="4"/>
                <w:insideH w:val="none"/>
                <w:insideV w:val="none"/>
              </w:tblBorders>
            </w:tblPr>
            <w:tblGrid>
              <w:gridCol w:w="474"/>
              <w:gridCol w:w="948"/>
              <w:gridCol w:w="3406"/>
              <w:gridCol w:w="434"/>
              <w:gridCol w:w="336"/>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9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位置</w:t>
                  </w:r>
                </w:p>
              </w:tc>
              <w:tc>
                <w:tcPr>
                  <w:tcW w:type="dxa" w:w="3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4"/>
                      <w:color w:val="000000"/>
                    </w:rPr>
                    <w:t>内容</w:t>
                  </w:r>
                </w:p>
              </w:tc>
              <w:tc>
                <w:tcPr>
                  <w:tcW w:type="dxa" w:w="4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实施工程量</w:t>
                  </w:r>
                </w:p>
              </w:tc>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棋盘石隧道口旁护坡挡墙</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1.国家公园生态保护理念主题名称牌；</w:t>
                  </w:r>
                </w:p>
                <w:p>
                  <w:pPr>
                    <w:pStyle w:val="null3"/>
                    <w:jc w:val="both"/>
                  </w:pPr>
                  <w:r>
                    <w:rPr>
                      <w:rFonts w:ascii="仿宋_GB2312" w:hAnsi="仿宋_GB2312" w:cs="仿宋_GB2312" w:eastAsia="仿宋_GB2312"/>
                      <w:sz w:val="24"/>
                      <w:color w:val="000000"/>
                    </w:rPr>
                    <w:t>2.总尺寸：30m长*4m高；</w:t>
                  </w:r>
                </w:p>
                <w:p>
                  <w:pPr>
                    <w:pStyle w:val="null3"/>
                    <w:jc w:val="both"/>
                  </w:pPr>
                  <w:r>
                    <w:rPr>
                      <w:rFonts w:ascii="仿宋_GB2312" w:hAnsi="仿宋_GB2312" w:cs="仿宋_GB2312" w:eastAsia="仿宋_GB2312"/>
                      <w:sz w:val="24"/>
                      <w:color w:val="000000"/>
                    </w:rPr>
                    <w:t>3.安装方式：现场钢构焊接，基脚挖坑，混凝土填埋等。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棋盘石隧道口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1.墙绘、立体字、立体LOGO；</w:t>
                  </w:r>
                </w:p>
                <w:p>
                  <w:pPr>
                    <w:pStyle w:val="null3"/>
                    <w:jc w:val="both"/>
                  </w:pPr>
                  <w:r>
                    <w:rPr>
                      <w:rFonts w:ascii="仿宋_GB2312" w:hAnsi="仿宋_GB2312" w:cs="仿宋_GB2312" w:eastAsia="仿宋_GB2312"/>
                      <w:sz w:val="24"/>
                      <w:color w:val="000000"/>
                    </w:rPr>
                    <w:t>2.总尺寸：27m宽*16m高；</w:t>
                  </w:r>
                </w:p>
                <w:p>
                  <w:pPr>
                    <w:pStyle w:val="null3"/>
                    <w:jc w:val="both"/>
                  </w:pPr>
                  <w:r>
                    <w:rPr>
                      <w:rFonts w:ascii="仿宋_GB2312" w:hAnsi="仿宋_GB2312" w:cs="仿宋_GB2312" w:eastAsia="仿宋_GB2312"/>
                      <w:sz w:val="24"/>
                      <w:color w:val="000000"/>
                    </w:rPr>
                    <w:t>3.安装方式：现场单边设置交通管制警示牌、锥形桶、指挥人员，悬臂吊篮式升降机现场壁画绘制、安装等。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棋盘石隧道口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1.标志物装置（由雕塑、背景等组成的景观装置）、立体字、立体LOGO；</w:t>
                  </w:r>
                </w:p>
                <w:p>
                  <w:pPr>
                    <w:pStyle w:val="null3"/>
                    <w:jc w:val="both"/>
                  </w:pPr>
                  <w:r>
                    <w:rPr>
                      <w:rFonts w:ascii="仿宋_GB2312" w:hAnsi="仿宋_GB2312" w:cs="仿宋_GB2312" w:eastAsia="仿宋_GB2312"/>
                      <w:sz w:val="24"/>
                      <w:color w:val="000000"/>
                    </w:rPr>
                    <w:t>2.总尺寸：10m长*1.3m宽*4m高；</w:t>
                  </w:r>
                </w:p>
                <w:p>
                  <w:pPr>
                    <w:pStyle w:val="null3"/>
                    <w:jc w:val="both"/>
                  </w:pPr>
                  <w:r>
                    <w:rPr>
                      <w:rFonts w:ascii="仿宋_GB2312" w:hAnsi="仿宋_GB2312" w:cs="仿宋_GB2312" w:eastAsia="仿宋_GB2312"/>
                      <w:sz w:val="24"/>
                      <w:color w:val="000000"/>
                    </w:rPr>
                    <w:t>3安装方式：基坑挖掘，预埋件预埋，混凝土基础；大型模块现场吊车吊装，螺母联接固定等。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小木岭二号隧道口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1.墙绘、主题字、立体LOGO；</w:t>
                  </w:r>
                </w:p>
                <w:p>
                  <w:pPr>
                    <w:pStyle w:val="null3"/>
                    <w:jc w:val="both"/>
                  </w:pPr>
                  <w:r>
                    <w:rPr>
                      <w:rFonts w:ascii="仿宋_GB2312" w:hAnsi="仿宋_GB2312" w:cs="仿宋_GB2312" w:eastAsia="仿宋_GB2312"/>
                      <w:sz w:val="24"/>
                      <w:color w:val="000000"/>
                    </w:rPr>
                    <w:t>2.总尺寸：15m宽*12m高；</w:t>
                  </w:r>
                </w:p>
                <w:p>
                  <w:pPr>
                    <w:pStyle w:val="null3"/>
                    <w:jc w:val="both"/>
                  </w:pPr>
                  <w:r>
                    <w:rPr>
                      <w:rFonts w:ascii="仿宋_GB2312" w:hAnsi="仿宋_GB2312" w:cs="仿宋_GB2312" w:eastAsia="仿宋_GB2312"/>
                      <w:sz w:val="24"/>
                      <w:color w:val="000000"/>
                    </w:rPr>
                    <w:t>3.安装方式：现场单边设置交通管制警示牌、锥形桶、指挥人员，悬臂吊篮式升降机现场壁画绘制、膨胀螺栓固定安装等。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干沟隧道口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1.墙绘、主题字、立体LOGO；</w:t>
                  </w:r>
                </w:p>
                <w:p>
                  <w:pPr>
                    <w:pStyle w:val="null3"/>
                    <w:jc w:val="both"/>
                  </w:pPr>
                  <w:r>
                    <w:rPr>
                      <w:rFonts w:ascii="仿宋_GB2312" w:hAnsi="仿宋_GB2312" w:cs="仿宋_GB2312" w:eastAsia="仿宋_GB2312"/>
                      <w:sz w:val="24"/>
                      <w:color w:val="000000"/>
                    </w:rPr>
                    <w:t>2.总尺寸：15m宽*12m高；</w:t>
                  </w:r>
                </w:p>
                <w:p>
                  <w:pPr>
                    <w:pStyle w:val="null3"/>
                    <w:jc w:val="both"/>
                  </w:pPr>
                  <w:r>
                    <w:rPr>
                      <w:rFonts w:ascii="仿宋_GB2312" w:hAnsi="仿宋_GB2312" w:cs="仿宋_GB2312" w:eastAsia="仿宋_GB2312"/>
                      <w:sz w:val="24"/>
                      <w:color w:val="000000"/>
                    </w:rPr>
                    <w:t>3.安装方式：施工全域钢管脚手架搭建，物料安装、壁画绘制等。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二岗桥一号隧道口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1.墙绘、主题字、立体LOGO；</w:t>
                  </w:r>
                </w:p>
                <w:p>
                  <w:pPr>
                    <w:pStyle w:val="null3"/>
                    <w:jc w:val="both"/>
                  </w:pPr>
                  <w:r>
                    <w:rPr>
                      <w:rFonts w:ascii="仿宋_GB2312" w:hAnsi="仿宋_GB2312" w:cs="仿宋_GB2312" w:eastAsia="仿宋_GB2312"/>
                      <w:sz w:val="24"/>
                      <w:color w:val="000000"/>
                    </w:rPr>
                    <w:t>2.总尺寸：15m宽*12m高；</w:t>
                  </w:r>
                </w:p>
                <w:p>
                  <w:pPr>
                    <w:pStyle w:val="null3"/>
                    <w:jc w:val="both"/>
                  </w:pPr>
                  <w:r>
                    <w:rPr>
                      <w:rFonts w:ascii="仿宋_GB2312" w:hAnsi="仿宋_GB2312" w:cs="仿宋_GB2312" w:eastAsia="仿宋_GB2312"/>
                      <w:sz w:val="24"/>
                      <w:color w:val="000000"/>
                    </w:rPr>
                    <w:t>3.安装方式：现场单边设置交通管制警示牌、锥形桶、指挥人员，悬臂吊篮式升降机现场壁画绘制、膨胀螺栓固定安装等。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二岗桥二号隧道口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1.墙绘、主题字、立体LOGO；</w:t>
                  </w:r>
                </w:p>
                <w:p>
                  <w:pPr>
                    <w:pStyle w:val="null3"/>
                    <w:jc w:val="both"/>
                  </w:pPr>
                  <w:r>
                    <w:rPr>
                      <w:rFonts w:ascii="仿宋_GB2312" w:hAnsi="仿宋_GB2312" w:cs="仿宋_GB2312" w:eastAsia="仿宋_GB2312"/>
                      <w:sz w:val="24"/>
                      <w:color w:val="000000"/>
                    </w:rPr>
                    <w:t>2.总尺寸：15m宽*12m高；</w:t>
                  </w:r>
                </w:p>
                <w:p>
                  <w:pPr>
                    <w:pStyle w:val="null3"/>
                    <w:jc w:val="both"/>
                  </w:pPr>
                  <w:r>
                    <w:rPr>
                      <w:rFonts w:ascii="仿宋_GB2312" w:hAnsi="仿宋_GB2312" w:cs="仿宋_GB2312" w:eastAsia="仿宋_GB2312"/>
                      <w:sz w:val="24"/>
                      <w:color w:val="000000"/>
                    </w:rPr>
                    <w:t>3.安装方式：现场单边设置交通管制警示牌、锥形桶、指挥人员，悬臂吊篮式升降机现场壁画绘制、膨胀螺栓固定安装等。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长河坝隧道口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1.墙绘、主题字、立体LOGO；</w:t>
                  </w:r>
                </w:p>
                <w:p>
                  <w:pPr>
                    <w:pStyle w:val="null3"/>
                    <w:jc w:val="both"/>
                  </w:pPr>
                  <w:r>
                    <w:rPr>
                      <w:rFonts w:ascii="仿宋_GB2312" w:hAnsi="仿宋_GB2312" w:cs="仿宋_GB2312" w:eastAsia="仿宋_GB2312"/>
                      <w:sz w:val="24"/>
                      <w:color w:val="000000"/>
                    </w:rPr>
                    <w:t>2.总尺寸：2.5m宽*12m高；</w:t>
                  </w:r>
                </w:p>
                <w:p>
                  <w:pPr>
                    <w:pStyle w:val="null3"/>
                    <w:jc w:val="both"/>
                  </w:pPr>
                  <w:r>
                    <w:rPr>
                      <w:rFonts w:ascii="仿宋_GB2312" w:hAnsi="仿宋_GB2312" w:cs="仿宋_GB2312" w:eastAsia="仿宋_GB2312"/>
                      <w:sz w:val="24"/>
                      <w:color w:val="000000"/>
                    </w:rPr>
                    <w:t>3.安装方式：现场单边设置交通管制警示牌、锥形桶、指挥人员，悬臂吊篮式升降机现场壁画绘制、膨胀螺栓固定安装等。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三个保护站门洞</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1.墙绘、立体字、立体LOGO；</w:t>
                  </w:r>
                </w:p>
                <w:p>
                  <w:pPr>
                    <w:pStyle w:val="null3"/>
                    <w:jc w:val="both"/>
                  </w:pPr>
                  <w:r>
                    <w:rPr>
                      <w:rFonts w:ascii="仿宋_GB2312" w:hAnsi="仿宋_GB2312" w:cs="仿宋_GB2312" w:eastAsia="仿宋_GB2312"/>
                      <w:sz w:val="24"/>
                      <w:color w:val="000000"/>
                    </w:rPr>
                    <w:t>2.单个门洞总尺寸5m宽*6m高；</w:t>
                  </w:r>
                </w:p>
                <w:p>
                  <w:pPr>
                    <w:pStyle w:val="null3"/>
                    <w:jc w:val="both"/>
                  </w:pPr>
                  <w:r>
                    <w:rPr>
                      <w:rFonts w:ascii="仿宋_GB2312" w:hAnsi="仿宋_GB2312" w:cs="仿宋_GB2312" w:eastAsia="仿宋_GB2312"/>
                      <w:sz w:val="24"/>
                      <w:color w:val="000000"/>
                    </w:rPr>
                    <w:t>3.安装方式：施工全域脚手架搭建，物料安装、壁画绘制等。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长河坝停车场挡墙</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1.墙绘、立体字、立体LOGO；</w:t>
                  </w:r>
                </w:p>
                <w:p>
                  <w:pPr>
                    <w:pStyle w:val="null3"/>
                    <w:jc w:val="both"/>
                  </w:pPr>
                  <w:r>
                    <w:rPr>
                      <w:rFonts w:ascii="仿宋_GB2312" w:hAnsi="仿宋_GB2312" w:cs="仿宋_GB2312" w:eastAsia="仿宋_GB2312"/>
                      <w:sz w:val="24"/>
                      <w:color w:val="000000"/>
                    </w:rPr>
                    <w:t>2.总尺寸：15m长*2m高。</w:t>
                  </w:r>
                </w:p>
                <w:p>
                  <w:pPr>
                    <w:pStyle w:val="null3"/>
                    <w:jc w:val="both"/>
                  </w:pP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桂花岩隧道口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1.墙绘、主题字、立体LOGO；</w:t>
                  </w:r>
                </w:p>
                <w:p>
                  <w:pPr>
                    <w:pStyle w:val="null3"/>
                    <w:jc w:val="both"/>
                  </w:pPr>
                  <w:r>
                    <w:rPr>
                      <w:rFonts w:ascii="仿宋_GB2312" w:hAnsi="仿宋_GB2312" w:cs="仿宋_GB2312" w:eastAsia="仿宋_GB2312"/>
                      <w:sz w:val="24"/>
                      <w:color w:val="000000"/>
                    </w:rPr>
                    <w:t>2.总尺寸：15m宽*12m高；</w:t>
                  </w:r>
                </w:p>
                <w:p>
                  <w:pPr>
                    <w:pStyle w:val="null3"/>
                    <w:jc w:val="both"/>
                  </w:pPr>
                  <w:r>
                    <w:rPr>
                      <w:rFonts w:ascii="仿宋_GB2312" w:hAnsi="仿宋_GB2312" w:cs="仿宋_GB2312" w:eastAsia="仿宋_GB2312"/>
                      <w:sz w:val="24"/>
                      <w:color w:val="000000"/>
                    </w:rPr>
                    <w:t>3.安装方式：现场单边设置交通管制警示牌、锥形桶、指挥人员，悬臂吊篮式升降机现场壁画绘制、膨胀螺栓固定安装等。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蓝家岩隧道口</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1.柱体立体字、立体LOGO；</w:t>
                  </w:r>
                </w:p>
                <w:p>
                  <w:pPr>
                    <w:pStyle w:val="null3"/>
                    <w:jc w:val="both"/>
                  </w:pPr>
                  <w:r>
                    <w:rPr>
                      <w:rFonts w:ascii="仿宋_GB2312" w:hAnsi="仿宋_GB2312" w:cs="仿宋_GB2312" w:eastAsia="仿宋_GB2312"/>
                      <w:sz w:val="24"/>
                      <w:color w:val="000000"/>
                    </w:rPr>
                    <w:t>2.总尺寸：1.2m宽*5m高；</w:t>
                  </w:r>
                </w:p>
                <w:p>
                  <w:pPr>
                    <w:pStyle w:val="null3"/>
                    <w:jc w:val="both"/>
                  </w:pPr>
                  <w:r>
                    <w:rPr>
                      <w:rFonts w:ascii="仿宋_GB2312" w:hAnsi="仿宋_GB2312" w:cs="仿宋_GB2312" w:eastAsia="仿宋_GB2312"/>
                      <w:sz w:val="24"/>
                      <w:color w:val="000000"/>
                    </w:rPr>
                    <w:t>3.安装方式：箱体上焊接安装耳朵，玻璃胶，膨胀+螺丝固定等。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蓝家岩隧道口旁</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1.标志物装置（由雕塑、背景等组成的景观装置）、立体字、立体LOGO；</w:t>
                  </w:r>
                </w:p>
                <w:p>
                  <w:pPr>
                    <w:pStyle w:val="null3"/>
                    <w:jc w:val="both"/>
                  </w:pPr>
                  <w:r>
                    <w:rPr>
                      <w:rFonts w:ascii="仿宋_GB2312" w:hAnsi="仿宋_GB2312" w:cs="仿宋_GB2312" w:eastAsia="仿宋_GB2312"/>
                      <w:sz w:val="24"/>
                      <w:color w:val="000000"/>
                    </w:rPr>
                    <w:t>2.总尺寸：6m长*2.74m宽*5m高；</w:t>
                  </w:r>
                </w:p>
                <w:p>
                  <w:pPr>
                    <w:pStyle w:val="null3"/>
                    <w:jc w:val="both"/>
                  </w:pPr>
                  <w:r>
                    <w:rPr>
                      <w:rFonts w:ascii="仿宋_GB2312" w:hAnsi="仿宋_GB2312" w:cs="仿宋_GB2312" w:eastAsia="仿宋_GB2312"/>
                      <w:sz w:val="24"/>
                      <w:color w:val="000000"/>
                    </w:rPr>
                    <w:t>3.安装方式：基坑挖掘，预埋件预埋，混凝土基础；大型模块现场吊车吊装，螺母联接固定等。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绵茂公路沿线各处</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1.提示、警示牌；</w:t>
                  </w:r>
                </w:p>
                <w:p>
                  <w:pPr>
                    <w:pStyle w:val="null3"/>
                    <w:jc w:val="both"/>
                  </w:pPr>
                  <w:r>
                    <w:rPr>
                      <w:rFonts w:ascii="仿宋_GB2312" w:hAnsi="仿宋_GB2312" w:cs="仿宋_GB2312" w:eastAsia="仿宋_GB2312"/>
                      <w:sz w:val="24"/>
                      <w:color w:val="000000"/>
                    </w:rPr>
                    <w:t>2.总尺寸：2.2m高*1m宽*0.11m厚；</w:t>
                  </w:r>
                </w:p>
                <w:p>
                  <w:pPr>
                    <w:pStyle w:val="null3"/>
                    <w:jc w:val="both"/>
                  </w:pPr>
                  <w:r>
                    <w:rPr>
                      <w:rFonts w:ascii="仿宋_GB2312" w:hAnsi="仿宋_GB2312" w:cs="仿宋_GB2312" w:eastAsia="仿宋_GB2312"/>
                      <w:sz w:val="24"/>
                      <w:color w:val="000000"/>
                    </w:rPr>
                    <w:t>3.安装方式：基坑挖掘，混凝土基础等。</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9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绵茂公路起始点、中段、终点</w:t>
                  </w:r>
                </w:p>
              </w:tc>
              <w:tc>
                <w:tcPr>
                  <w:tcW w:type="dxa" w:w="3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1.微型环境监测站；</w:t>
                  </w:r>
                </w:p>
                <w:p>
                  <w:pPr>
                    <w:pStyle w:val="null3"/>
                    <w:jc w:val="both"/>
                  </w:pPr>
                  <w:r>
                    <w:rPr>
                      <w:rFonts w:ascii="仿宋_GB2312" w:hAnsi="仿宋_GB2312" w:cs="仿宋_GB2312" w:eastAsia="仿宋_GB2312"/>
                      <w:sz w:val="24"/>
                      <w:color w:val="000000"/>
                    </w:rPr>
                    <w:t>2.功能要求：支持温度、湿度、颗粒物、负氧离子、噪音、风速、风向等数据采集、计算、U盘拷贝、存储、显示、报警、语音自动播报功能、视频叠加及传输等功能。</w:t>
                  </w:r>
                </w:p>
              </w:tc>
              <w:tc>
                <w:tcPr>
                  <w:tcW w:type="dxa" w:w="4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r>
          </w:tbl>
          <w:p>
            <w:pPr>
              <w:pStyle w:val="null3"/>
              <w:ind w:firstLine="480"/>
              <w:jc w:val="left"/>
            </w:pPr>
            <w:r>
              <w:rPr>
                <w:rFonts w:ascii="仿宋_GB2312" w:hAnsi="仿宋_GB2312" w:cs="仿宋_GB2312" w:eastAsia="仿宋_GB2312"/>
                <w:sz w:val="24"/>
                <w:color w:val="000000"/>
              </w:rPr>
              <w:t>注：本表内实施工程量仅作为参考，具体实施工程量以设计方案为准</w:t>
            </w:r>
          </w:p>
          <w:p>
            <w:pPr>
              <w:pStyle w:val="null3"/>
              <w:ind w:firstLine="480"/>
              <w:jc w:val="left"/>
            </w:pPr>
            <w:r>
              <w:rPr>
                <w:rFonts w:ascii="仿宋_GB2312" w:hAnsi="仿宋_GB2312" w:cs="仿宋_GB2312" w:eastAsia="仿宋_GB2312"/>
                <w:sz w:val="24"/>
                <w:color w:val="000000"/>
              </w:rPr>
              <w:t>（二）设计质量要求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景观装置的设计理念必须紧密围绕大熊猫国家公园展开，从公园的生态环境、大熊猫的生活习性、文化内涵等多方面汲取灵感</w:t>
            </w:r>
            <w:r>
              <w:rPr>
                <w:rFonts w:ascii="仿宋_GB2312" w:hAnsi="仿宋_GB2312" w:cs="仿宋_GB2312" w:eastAsia="仿宋_GB2312"/>
                <w:sz w:val="24"/>
                <w:color w:val="000000"/>
              </w:rPr>
              <w:t>，</w:t>
            </w:r>
            <w:r>
              <w:rPr>
                <w:rFonts w:ascii="仿宋_GB2312" w:hAnsi="仿宋_GB2312" w:cs="仿宋_GB2312" w:eastAsia="仿宋_GB2312"/>
                <w:sz w:val="24"/>
                <w:color w:val="000000"/>
              </w:rPr>
              <w:t>整个景观装置在设计理念上要保持连贯性，各个部分的设计应服务于统一的主题，不能出现理念上的断层或冲突。从整体布局到细节装饰，都要围绕大熊猫国家公园主题构建一个有机的整体，让</w:t>
            </w:r>
            <w:r>
              <w:rPr>
                <w:rFonts w:ascii="仿宋_GB2312" w:hAnsi="仿宋_GB2312" w:cs="仿宋_GB2312" w:eastAsia="仿宋_GB2312"/>
                <w:sz w:val="24"/>
                <w:color w:val="000000"/>
              </w:rPr>
              <w:t>公众</w:t>
            </w:r>
            <w:r>
              <w:rPr>
                <w:rFonts w:ascii="仿宋_GB2312" w:hAnsi="仿宋_GB2312" w:cs="仿宋_GB2312" w:eastAsia="仿宋_GB2312"/>
                <w:sz w:val="24"/>
                <w:color w:val="000000"/>
              </w:rPr>
              <w:t>能够感受到清晰、连贯的主题表达。</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墙绘必须紧密围绕大熊猫国家公园展开，将大熊猫这一核心元素与自然生态、生物多样性等特色，生动且准确地</w:t>
            </w:r>
            <w:r>
              <w:rPr>
                <w:rFonts w:ascii="仿宋_GB2312" w:hAnsi="仿宋_GB2312" w:cs="仿宋_GB2312" w:eastAsia="仿宋_GB2312"/>
                <w:sz w:val="24"/>
                <w:color w:val="000000"/>
              </w:rPr>
              <w:t>表达出生态保护这一理念</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设计须结合大熊猫国家公园绵竹片区的地理位置和气候特点，</w:t>
            </w:r>
            <w:r>
              <w:rPr>
                <w:rFonts w:ascii="仿宋_GB2312" w:hAnsi="仿宋_GB2312" w:cs="仿宋_GB2312" w:eastAsia="仿宋_GB2312"/>
                <w:sz w:val="24"/>
                <w:color w:val="000000"/>
              </w:rPr>
              <w:t>提示牌、警示牌</w:t>
            </w:r>
            <w:r>
              <w:rPr>
                <w:rFonts w:ascii="仿宋_GB2312" w:hAnsi="仿宋_GB2312" w:cs="仿宋_GB2312" w:eastAsia="仿宋_GB2312"/>
                <w:sz w:val="24"/>
                <w:color w:val="000000"/>
              </w:rPr>
              <w:t>设计和材质选择需满足相关标准的前提下经济、环保、耐用，并体现绵竹特色，兼顾美观和可实施性。设计规范必须满足《大熊猫国家公园标志技术规范》。</w:t>
            </w:r>
          </w:p>
          <w:p>
            <w:pPr>
              <w:pStyle w:val="null3"/>
              <w:ind w:firstLine="480"/>
              <w:jc w:val="left"/>
            </w:pPr>
            <w:r>
              <w:rPr>
                <w:rFonts w:ascii="仿宋_GB2312" w:hAnsi="仿宋_GB2312" w:cs="仿宋_GB2312" w:eastAsia="仿宋_GB2312"/>
                <w:sz w:val="24"/>
                <w:color w:val="000000"/>
              </w:rPr>
              <w:t>4.立体字和主题字</w:t>
            </w:r>
            <w:r>
              <w:rPr>
                <w:rFonts w:ascii="仿宋_GB2312" w:hAnsi="仿宋_GB2312" w:cs="仿宋_GB2312" w:eastAsia="仿宋_GB2312"/>
                <w:sz w:val="24"/>
                <w:color w:val="000000"/>
              </w:rPr>
              <w:t>设计需营造出强烈的立体效果，让立体字中凸显出来，具有较强的空间感，</w:t>
            </w:r>
            <w:r>
              <w:rPr>
                <w:rFonts w:ascii="仿宋_GB2312" w:hAnsi="仿宋_GB2312" w:cs="仿宋_GB2312" w:eastAsia="仿宋_GB2312"/>
                <w:sz w:val="24"/>
                <w:color w:val="000000"/>
              </w:rPr>
              <w:t>立体字还需具有</w:t>
            </w:r>
            <w:r>
              <w:rPr>
                <w:rFonts w:ascii="仿宋_GB2312" w:hAnsi="仿宋_GB2312" w:cs="仿宋_GB2312" w:eastAsia="仿宋_GB2312"/>
                <w:sz w:val="24"/>
                <w:color w:val="000000"/>
              </w:rPr>
              <w:t>要有丰富的层次，通过不同元素的前后叠加、大小变化等手段，展现出清晰的主次关系和空间深度</w:t>
            </w:r>
            <w:r>
              <w:rPr>
                <w:rFonts w:ascii="仿宋_GB2312" w:hAnsi="仿宋_GB2312" w:cs="仿宋_GB2312" w:eastAsia="仿宋_GB2312"/>
                <w:sz w:val="24"/>
                <w:color w:val="000000"/>
              </w:rPr>
              <w:t>，</w:t>
            </w:r>
            <w:r>
              <w:rPr>
                <w:rFonts w:ascii="仿宋_GB2312" w:hAnsi="仿宋_GB2312" w:cs="仿宋_GB2312" w:eastAsia="仿宋_GB2312"/>
                <w:sz w:val="24"/>
                <w:color w:val="000000"/>
              </w:rPr>
              <w:t>使其</w:t>
            </w:r>
            <w:r>
              <w:rPr>
                <w:rFonts w:ascii="仿宋_GB2312" w:hAnsi="仿宋_GB2312" w:cs="仿宋_GB2312" w:eastAsia="仿宋_GB2312"/>
                <w:sz w:val="24"/>
                <w:color w:val="000000"/>
              </w:rPr>
              <w:t>能产生视觉冲击</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6.供应商设计方案均应标注每项设计的尺寸，造型结构，安装方式，建议所用材质及型号、厚度及所有色彩的色值、制作工艺说明、制作工艺相对应的市场标识</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设计的图形、字体样式颜色搭配</w:t>
            </w:r>
            <w:r>
              <w:rPr>
                <w:rFonts w:ascii="仿宋_GB2312" w:hAnsi="仿宋_GB2312" w:cs="仿宋_GB2312" w:eastAsia="仿宋_GB2312"/>
                <w:sz w:val="24"/>
                <w:color w:val="000000"/>
              </w:rPr>
              <w:t>在</w:t>
            </w:r>
            <w:r>
              <w:rPr>
                <w:rFonts w:ascii="仿宋_GB2312" w:hAnsi="仿宋_GB2312" w:cs="仿宋_GB2312" w:eastAsia="仿宋_GB2312"/>
                <w:sz w:val="24"/>
                <w:color w:val="000000"/>
              </w:rPr>
              <w:t>符合相关标准要求前提下创新性、可识别性高、贴近自然，符合大熊猫国家公园绵竹片区形象。</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供应商应对项目设计背景认识深刻，设计方案具体深度内容包含项目调研、行业规范、设计方案展示</w:t>
            </w:r>
            <w:r>
              <w:rPr>
                <w:rFonts w:ascii="仿宋_GB2312" w:hAnsi="仿宋_GB2312" w:cs="仿宋_GB2312" w:eastAsia="仿宋_GB2312"/>
                <w:sz w:val="24"/>
                <w:color w:val="000000"/>
              </w:rPr>
              <w:t>、</w:t>
            </w:r>
            <w:r>
              <w:rPr>
                <w:rFonts w:ascii="仿宋_GB2312" w:hAnsi="仿宋_GB2312" w:cs="仿宋_GB2312" w:eastAsia="仿宋_GB2312"/>
                <w:sz w:val="24"/>
                <w:color w:val="000000"/>
              </w:rPr>
              <w:t>文化涵义，并在后续能完成上述内容的深化设计方案。</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设计方案成交供应商应对项目设计背景认识深刻，理解采购人的设计需求</w:t>
            </w:r>
            <w:r>
              <w:rPr>
                <w:rFonts w:ascii="仿宋_GB2312" w:hAnsi="仿宋_GB2312" w:cs="仿宋_GB2312" w:eastAsia="仿宋_GB2312"/>
                <w:sz w:val="24"/>
                <w:color w:val="000000"/>
              </w:rPr>
              <w:t>,对设计要求有完整的解决方案。</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设计方案的色彩要与自然环境色彩、环境风格融合，和谐统一，醒目而不突兀，但设计形式要清晰、精致、简洁，视觉效果良好，对保证设计质量、安装实施能提供优质服务。</w:t>
            </w:r>
          </w:p>
          <w:p>
            <w:pPr>
              <w:pStyle w:val="null3"/>
              <w:ind w:firstLine="48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应充分考虑到自然环境变化大的特性，后期制作成本、市面工艺水平的更新换代，所有</w:t>
            </w:r>
            <w:r>
              <w:rPr>
                <w:rFonts w:ascii="仿宋_GB2312" w:hAnsi="仿宋_GB2312" w:cs="仿宋_GB2312" w:eastAsia="仿宋_GB2312"/>
                <w:sz w:val="24"/>
                <w:color w:val="000000"/>
              </w:rPr>
              <w:t>科普宣传设施</w:t>
            </w:r>
            <w:r>
              <w:rPr>
                <w:rFonts w:ascii="仿宋_GB2312" w:hAnsi="仿宋_GB2312" w:cs="仿宋_GB2312" w:eastAsia="仿宋_GB2312"/>
                <w:sz w:val="24"/>
                <w:color w:val="000000"/>
              </w:rPr>
              <w:t>需易于后期调整和维护，并且维护成本较低。</w:t>
            </w:r>
          </w:p>
          <w:p>
            <w:pPr>
              <w:pStyle w:val="null3"/>
              <w:ind w:firstLine="48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设计成果要求</w:t>
            </w:r>
          </w:p>
          <w:p>
            <w:pPr>
              <w:pStyle w:val="null3"/>
              <w:ind w:firstLine="444"/>
              <w:jc w:val="left"/>
            </w:pPr>
            <w:r>
              <w:rPr>
                <w:rFonts w:ascii="仿宋_GB2312" w:hAnsi="仿宋_GB2312" w:cs="仿宋_GB2312" w:eastAsia="仿宋_GB2312"/>
                <w:sz w:val="24"/>
                <w:color w:val="000000"/>
              </w:rPr>
              <w:t>1.此次项目所涉及的设计、策划成果文件必须属于原创，若涉及侵权，由供应商自行承担相关责任与后果。本项目实施过程中产生的知识成果及知识产权归采购人所有。</w:t>
            </w:r>
          </w:p>
          <w:p>
            <w:pPr>
              <w:pStyle w:val="null3"/>
              <w:ind w:firstLine="444"/>
              <w:jc w:val="left"/>
            </w:pPr>
            <w:r>
              <w:rPr>
                <w:rFonts w:ascii="仿宋_GB2312" w:hAnsi="仿宋_GB2312" w:cs="仿宋_GB2312" w:eastAsia="仿宋_GB2312"/>
                <w:sz w:val="24"/>
                <w:color w:val="000000"/>
              </w:rPr>
              <w:t>*2.供应商需承诺：采购人有权对成交供应商的设计方案提出修改完善，直至通过采购人对设计终稿的最终审定。在后期制作安装维护过程中如采购人有要求的也须根据要求进行调整，相关费用不得增加，（供应商需针对此条单独提供承诺函，格式自拟）</w:t>
            </w:r>
          </w:p>
          <w:p>
            <w:pPr>
              <w:pStyle w:val="null3"/>
              <w:ind w:firstLine="444"/>
              <w:jc w:val="left"/>
            </w:pPr>
            <w:r>
              <w:rPr>
                <w:rFonts w:ascii="仿宋_GB2312" w:hAnsi="仿宋_GB2312" w:cs="仿宋_GB2312" w:eastAsia="仿宋_GB2312"/>
                <w:sz w:val="24"/>
                <w:color w:val="000000"/>
              </w:rPr>
              <w:t>*3.供应商设计方案须包含每项设计的尺寸，造型结构，安装方式，建议所用材质及型号、厚度及所有色彩的色值、制作工艺说明、制作工艺相对应的市场标识牌的单价等，形成详细的全内容的带价清单，清单须包含标识标牌各项规格尺寸、数量、材质、制作费、人工费、车辆运输、安装费等全部内容交采购人进行审核。（供应商需针对此条单独提供承诺函，格式自拟）</w:t>
            </w:r>
          </w:p>
          <w:p>
            <w:pPr>
              <w:pStyle w:val="null3"/>
              <w:ind w:firstLine="444"/>
              <w:jc w:val="left"/>
            </w:pPr>
            <w:r>
              <w:rPr>
                <w:rFonts w:ascii="仿宋_GB2312" w:hAnsi="仿宋_GB2312" w:cs="仿宋_GB2312" w:eastAsia="仿宋_GB2312"/>
                <w:sz w:val="24"/>
                <w:color w:val="000000"/>
              </w:rPr>
              <w:t>*4.供应商提供的设计方案通过业主单位审核通过后，采购人将组织第三方机构对工程清单及价格进行审核并出具正式意见，供应商须配合第三方机构对相关参数及技术指标进行调整，最终形成完整报价清单交采购人进行审核备案（审核费用包含在设计费用报价中，由供应商支付）（供应商需针对此条单独提供承诺函，格式自拟）</w:t>
            </w:r>
          </w:p>
          <w:p>
            <w:pPr>
              <w:pStyle w:val="null3"/>
              <w:ind w:firstLine="444"/>
              <w:jc w:val="left"/>
            </w:pPr>
            <w:r>
              <w:rPr>
                <w:rFonts w:ascii="仿宋_GB2312" w:hAnsi="仿宋_GB2312" w:cs="仿宋_GB2312" w:eastAsia="仿宋_GB2312"/>
                <w:sz w:val="24"/>
                <w:color w:val="000000"/>
              </w:rPr>
              <w:t>5.本次成果为：《大熊猫国家公园绵竹片区绵茂路沿线科普宣教设施设计方案》，分为纸质版和电子版（含审核后全部内容的带价清单）。</w:t>
            </w:r>
          </w:p>
          <w:p>
            <w:pPr>
              <w:pStyle w:val="null3"/>
              <w:ind w:firstLine="480"/>
              <w:jc w:val="left"/>
            </w:pPr>
            <w:r>
              <w:rPr>
                <w:rFonts w:ascii="仿宋_GB2312" w:hAnsi="仿宋_GB2312" w:cs="仿宋_GB2312" w:eastAsia="仿宋_GB2312"/>
                <w:sz w:val="24"/>
                <w:color w:val="000000"/>
              </w:rPr>
              <w:t>三、制作安装要求</w:t>
            </w:r>
          </w:p>
          <w:p>
            <w:pPr>
              <w:pStyle w:val="null3"/>
              <w:ind w:firstLine="480"/>
              <w:jc w:val="left"/>
            </w:pPr>
            <w:r>
              <w:rPr>
                <w:rFonts w:ascii="仿宋_GB2312" w:hAnsi="仿宋_GB2312" w:cs="仿宋_GB2312" w:eastAsia="仿宋_GB2312"/>
                <w:sz w:val="24"/>
                <w:color w:val="000000"/>
              </w:rPr>
              <w:t>（一）材料要求</w:t>
            </w:r>
          </w:p>
          <w:p>
            <w:pPr>
              <w:pStyle w:val="null3"/>
              <w:ind w:firstLine="480"/>
              <w:jc w:val="left"/>
            </w:pPr>
            <w:r>
              <w:rPr>
                <w:rFonts w:ascii="仿宋_GB2312" w:hAnsi="仿宋_GB2312" w:cs="仿宋_GB2312" w:eastAsia="仿宋_GB2312"/>
                <w:sz w:val="24"/>
                <w:color w:val="000000"/>
              </w:rPr>
              <w:t>1.总体要求</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材料安全性：所用的材料应有足够的强度，满足国家及行业相关规范及标准要求；所用的材料、固定件等外部不能有尖、锋边、毛刺等，避免对人员的伤害；安装后应满足不发生变形、倾斜、坠落等异常现象。</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2）材料可靠性：保证材料能够适用于大熊猫国家公园绵竹片区的自然环境。</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3）规范性：最终成果应符合国家环保、交通等标准。</w:t>
            </w:r>
          </w:p>
          <w:p>
            <w:pPr>
              <w:pStyle w:val="null3"/>
              <w:ind w:firstLine="480"/>
              <w:jc w:val="left"/>
            </w:pPr>
            <w:r>
              <w:rPr>
                <w:rFonts w:ascii="仿宋_GB2312" w:hAnsi="仿宋_GB2312" w:cs="仿宋_GB2312" w:eastAsia="仿宋_GB2312"/>
                <w:sz w:val="24"/>
                <w:color w:val="000000"/>
              </w:rPr>
              <w:t>2.主要材料要求</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1）铝材</w:t>
            </w:r>
          </w:p>
          <w:p>
            <w:pPr>
              <w:pStyle w:val="null3"/>
              <w:ind w:firstLine="480"/>
              <w:jc w:val="left"/>
            </w:pPr>
            <w:r>
              <w:rPr>
                <w:rFonts w:ascii="仿宋_GB2312" w:hAnsi="仿宋_GB2312" w:cs="仿宋_GB2312" w:eastAsia="仿宋_GB2312"/>
                <w:sz w:val="24"/>
                <w:color w:val="000000"/>
              </w:rPr>
              <w:t>所有铝板材料采用国标铝合金板材；所有铝合金构件选用牌号为</w:t>
            </w:r>
            <w:r>
              <w:rPr>
                <w:rFonts w:ascii="仿宋_GB2312" w:hAnsi="仿宋_GB2312" w:cs="仿宋_GB2312" w:eastAsia="仿宋_GB2312"/>
                <w:sz w:val="24"/>
                <w:color w:val="000000"/>
              </w:rPr>
              <w:t>6063；铝合金面板厚度：≥3mm；铝板表</w:t>
            </w:r>
          </w:p>
          <w:p>
            <w:pPr>
              <w:pStyle w:val="null3"/>
              <w:ind w:firstLine="480"/>
              <w:jc w:val="left"/>
            </w:pPr>
            <w:r>
              <w:rPr>
                <w:rFonts w:ascii="仿宋_GB2312" w:hAnsi="仿宋_GB2312" w:cs="仿宋_GB2312" w:eastAsia="仿宋_GB2312"/>
                <w:sz w:val="24"/>
                <w:color w:val="000000"/>
              </w:rPr>
              <w:t>面应经过阳极化处理；所有铝型材及装配零件成品表面</w:t>
            </w:r>
          </w:p>
          <w:p>
            <w:pPr>
              <w:pStyle w:val="null3"/>
              <w:jc w:val="left"/>
            </w:pPr>
            <w:r>
              <w:rPr>
                <w:rFonts w:ascii="仿宋_GB2312" w:hAnsi="仿宋_GB2312" w:cs="仿宋_GB2312" w:eastAsia="仿宋_GB2312"/>
                <w:sz w:val="24"/>
                <w:color w:val="000000"/>
              </w:rPr>
              <w:t>应为本色或其它指定色彩的，阳极氧化厚度不能少于</w:t>
            </w:r>
            <w:r>
              <w:rPr>
                <w:rFonts w:ascii="仿宋_GB2312" w:hAnsi="仿宋_GB2312" w:cs="仿宋_GB2312" w:eastAsia="仿宋_GB2312"/>
                <w:sz w:val="24"/>
                <w:color w:val="000000"/>
              </w:rPr>
              <w:t>0.02mm。</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2）油墨</w:t>
            </w:r>
          </w:p>
          <w:p>
            <w:pPr>
              <w:pStyle w:val="null3"/>
              <w:ind w:firstLine="480"/>
              <w:jc w:val="left"/>
            </w:pPr>
            <w:r>
              <w:rPr>
                <w:rFonts w:ascii="仿宋_GB2312" w:hAnsi="仿宋_GB2312" w:cs="仿宋_GB2312" w:eastAsia="仿宋_GB2312"/>
                <w:sz w:val="24"/>
                <w:color w:val="000000"/>
              </w:rPr>
              <w:t>UV印刷油墨必须是能侵蚀至底料的防紫外线丙烯酸类，并能抵御正常的维修及清洁工作带来的磨损。</w:t>
            </w:r>
          </w:p>
          <w:p>
            <w:pPr>
              <w:pStyle w:val="null3"/>
              <w:ind w:firstLine="480"/>
              <w:jc w:val="left"/>
            </w:pPr>
            <w:r>
              <w:rPr>
                <w:rFonts w:ascii="仿宋_GB2312" w:hAnsi="仿宋_GB2312" w:cs="仿宋_GB2312" w:eastAsia="仿宋_GB2312"/>
                <w:sz w:val="24"/>
                <w:color w:val="000000"/>
              </w:rPr>
              <w:t>所有</w:t>
            </w:r>
            <w:r>
              <w:rPr>
                <w:rFonts w:ascii="仿宋_GB2312" w:hAnsi="仿宋_GB2312" w:cs="仿宋_GB2312" w:eastAsia="仿宋_GB2312"/>
                <w:sz w:val="24"/>
                <w:color w:val="000000"/>
              </w:rPr>
              <w:t>UV印刷油墨须为玻璃金属油墨。</w:t>
            </w:r>
          </w:p>
          <w:p>
            <w:pPr>
              <w:pStyle w:val="null3"/>
              <w:ind w:left="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3）纤维水泥板</w:t>
            </w:r>
          </w:p>
          <w:p>
            <w:pPr>
              <w:pStyle w:val="null3"/>
              <w:jc w:val="left"/>
            </w:pPr>
            <w:r>
              <w:rPr>
                <w:rFonts w:ascii="仿宋_GB2312" w:hAnsi="仿宋_GB2312" w:cs="仿宋_GB2312" w:eastAsia="仿宋_GB2312"/>
                <w:sz w:val="24"/>
                <w:color w:val="000000"/>
              </w:rPr>
              <w:t>板材厚度</w:t>
            </w:r>
            <w:r>
              <w:rPr>
                <w:rFonts w:ascii="仿宋_GB2312" w:hAnsi="仿宋_GB2312" w:cs="仿宋_GB2312" w:eastAsia="仿宋_GB2312"/>
                <w:sz w:val="24"/>
                <w:color w:val="000000"/>
              </w:rPr>
              <w:t>≥8mm，抗折强度应不低于4MPa。</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4）清漆</w:t>
            </w:r>
          </w:p>
          <w:p>
            <w:pPr>
              <w:pStyle w:val="null3"/>
              <w:ind w:firstLine="480"/>
              <w:jc w:val="left"/>
            </w:pPr>
            <w:r>
              <w:rPr>
                <w:rFonts w:ascii="仿宋_GB2312" w:hAnsi="仿宋_GB2312" w:cs="仿宋_GB2312" w:eastAsia="仿宋_GB2312"/>
                <w:sz w:val="24"/>
                <w:color w:val="000000"/>
              </w:rPr>
              <w:t>涂于底材时，能形成具有保护、装饰或特殊性能的透明漆膜。标牌上的贴膜文字及图案色泽耐用程度应有</w:t>
            </w:r>
            <w:r>
              <w:rPr>
                <w:rFonts w:ascii="仿宋_GB2312" w:hAnsi="仿宋_GB2312" w:cs="仿宋_GB2312" w:eastAsia="仿宋_GB2312"/>
                <w:sz w:val="24"/>
                <w:color w:val="000000"/>
              </w:rPr>
              <w:t>3年以上保证。</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5）汽车漆</w:t>
            </w:r>
          </w:p>
          <w:p>
            <w:pPr>
              <w:pStyle w:val="null3"/>
              <w:ind w:firstLine="480"/>
              <w:jc w:val="left"/>
            </w:pPr>
            <w:r>
              <w:rPr>
                <w:rFonts w:ascii="仿宋_GB2312" w:hAnsi="仿宋_GB2312" w:cs="仿宋_GB2312" w:eastAsia="仿宋_GB2312"/>
                <w:sz w:val="24"/>
                <w:color w:val="000000"/>
              </w:rPr>
              <w:t>具有良好的耐酸、耐碱、耐酒精性能</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6）不锈钢</w:t>
            </w:r>
          </w:p>
          <w:p>
            <w:pPr>
              <w:pStyle w:val="null3"/>
              <w:ind w:firstLine="480"/>
              <w:jc w:val="left"/>
            </w:pPr>
            <w:r>
              <w:rPr>
                <w:rFonts w:ascii="仿宋_GB2312" w:hAnsi="仿宋_GB2312" w:cs="仿宋_GB2312" w:eastAsia="仿宋_GB2312"/>
                <w:sz w:val="24"/>
                <w:color w:val="000000"/>
              </w:rPr>
              <w:t>科普宣传设施系统所用的不锈钢牌号：</w:t>
            </w:r>
            <w:r>
              <w:rPr>
                <w:rFonts w:ascii="仿宋_GB2312" w:hAnsi="仿宋_GB2312" w:cs="仿宋_GB2312" w:eastAsia="仿宋_GB2312"/>
                <w:sz w:val="24"/>
                <w:color w:val="000000"/>
              </w:rPr>
              <w:t>304#；厚度为≥1.2mm；不锈钢应表面平整，边缘整齐，无缺角和污垢等；不锈钢外置结构除非特别要求打磨，表面采用拉丝；所有外露的螺丝等金属配件采用不锈钢制作，所有金属零配件必须满足强度要求，不能有妨碍组装的缺陷，外露的金属配件没有容易造成手部受伤的毛口、毛刺、尖角存在。</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7）一般钢材</w:t>
            </w:r>
          </w:p>
          <w:p>
            <w:pPr>
              <w:pStyle w:val="null3"/>
              <w:ind w:firstLine="480"/>
              <w:jc w:val="left"/>
            </w:pPr>
            <w:r>
              <w:rPr>
                <w:rFonts w:ascii="仿宋_GB2312" w:hAnsi="仿宋_GB2312" w:cs="仿宋_GB2312" w:eastAsia="仿宋_GB2312"/>
                <w:sz w:val="24"/>
                <w:color w:val="000000"/>
              </w:rPr>
              <w:t>采用的骨架材料（如：矩形钢管、圆形钢管、钢板等</w:t>
            </w:r>
            <w:r>
              <w:rPr>
                <w:rFonts w:ascii="仿宋_GB2312" w:hAnsi="仿宋_GB2312" w:cs="仿宋_GB2312" w:eastAsia="仿宋_GB2312"/>
                <w:sz w:val="24"/>
                <w:color w:val="000000"/>
              </w:rPr>
              <w:t>),应采用碳素结构钢，牌号Q235B，厚度≥1.5mm并符合相关国家标准；钢材必须进行防腐处理；加固用钢材不得外露；所有钢材必须经整体镀锌处理，必须以“热浸法”将锌均匀地涂在钢材表面，而不可出现任何污渍、秃漏点或其它瑕疵；任何经镀锌后进行的切割、钻孔或焊接，必须打磨至底层金属，再涂以二层以上的防锈底漆处理并喷涂面漆，令金属表层得到合适的保护。</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8）烤漆</w:t>
            </w:r>
          </w:p>
          <w:p>
            <w:pPr>
              <w:pStyle w:val="null3"/>
              <w:ind w:firstLine="480"/>
              <w:jc w:val="left"/>
            </w:pPr>
            <w:r>
              <w:rPr>
                <w:rFonts w:ascii="仿宋_GB2312" w:hAnsi="仿宋_GB2312" w:cs="仿宋_GB2312" w:eastAsia="仿宋_GB2312"/>
                <w:sz w:val="24"/>
                <w:color w:val="000000"/>
              </w:rPr>
              <w:t>涂层厚度</w:t>
            </w:r>
            <w:r>
              <w:rPr>
                <w:rFonts w:ascii="仿宋_GB2312" w:hAnsi="仿宋_GB2312" w:cs="仿宋_GB2312" w:eastAsia="仿宋_GB2312"/>
                <w:sz w:val="24"/>
                <w:color w:val="000000"/>
              </w:rPr>
              <w:t>≥35µm，三涂三烤。</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9）颜料</w:t>
            </w:r>
          </w:p>
          <w:p>
            <w:pPr>
              <w:pStyle w:val="null3"/>
              <w:ind w:firstLine="480"/>
              <w:jc w:val="left"/>
            </w:pPr>
            <w:r>
              <w:rPr>
                <w:rFonts w:ascii="仿宋_GB2312" w:hAnsi="仿宋_GB2312" w:cs="仿宋_GB2312" w:eastAsia="仿宋_GB2312"/>
                <w:sz w:val="24"/>
                <w:color w:val="000000"/>
              </w:rPr>
              <w:t>颜料需使用环保颜料具备高鲜艳度且具有良好的耐光性、耐候性和耐水性，绘制后不得出现颗粒感或结块现象，为应对自然环境对墙面的影响，颜料还需具备良好柔韧性和附着性。</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10）螺丝</w:t>
            </w:r>
          </w:p>
          <w:p>
            <w:pPr>
              <w:pStyle w:val="null3"/>
              <w:ind w:firstLine="480"/>
              <w:jc w:val="left"/>
            </w:pPr>
            <w:r>
              <w:rPr>
                <w:rFonts w:ascii="仿宋_GB2312" w:hAnsi="仿宋_GB2312" w:cs="仿宋_GB2312" w:eastAsia="仿宋_GB2312"/>
                <w:sz w:val="24"/>
                <w:color w:val="000000"/>
              </w:rPr>
              <w:t>螺丝是用作固定及装配，应符合金属制品标准规格，且其直径及长度必须符合需要固定的物品；螺丝需按要求选择使用圆头、平头或其它符合安装及设计要求的产品；一般安装用螺丝配件应为不锈钢材质；螺丝长度应穿过丝孔至少突出两道螺纹；安装时螺丝尽最大可能隐藏。</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11）其他材料符合国家相关标准及规定。</w:t>
            </w:r>
          </w:p>
          <w:p>
            <w:pPr>
              <w:pStyle w:val="null3"/>
              <w:ind w:firstLine="480"/>
              <w:jc w:val="left"/>
            </w:pPr>
            <w:r>
              <w:rPr>
                <w:rFonts w:ascii="仿宋_GB2312" w:hAnsi="仿宋_GB2312" w:cs="仿宋_GB2312" w:eastAsia="仿宋_GB2312"/>
                <w:sz w:val="24"/>
                <w:color w:val="000000"/>
              </w:rPr>
              <w:t>（二）安装工艺</w:t>
            </w:r>
          </w:p>
          <w:p>
            <w:pPr>
              <w:pStyle w:val="null3"/>
              <w:ind w:firstLine="480"/>
              <w:jc w:val="left"/>
            </w:pPr>
            <w:r>
              <w:rPr>
                <w:rFonts w:ascii="仿宋_GB2312" w:hAnsi="仿宋_GB2312" w:cs="仿宋_GB2312" w:eastAsia="仿宋_GB2312"/>
                <w:sz w:val="24"/>
                <w:color w:val="000000"/>
              </w:rPr>
              <w:t>1.孔洞</w:t>
            </w:r>
          </w:p>
          <w:p>
            <w:pPr>
              <w:pStyle w:val="null3"/>
              <w:ind w:firstLine="480"/>
              <w:jc w:val="left"/>
            </w:pPr>
            <w:r>
              <w:rPr>
                <w:rFonts w:ascii="仿宋_GB2312" w:hAnsi="仿宋_GB2312" w:cs="仿宋_GB2312" w:eastAsia="仿宋_GB2312"/>
                <w:sz w:val="24"/>
                <w:color w:val="000000"/>
              </w:rPr>
              <w:t>钻孔时应采取适当的措施，防止金属孔周围变形。进行热切割后应将被腐蚀的残留物质清除干净。</w:t>
            </w:r>
          </w:p>
          <w:p>
            <w:pPr>
              <w:pStyle w:val="null3"/>
              <w:ind w:firstLine="480"/>
              <w:jc w:val="left"/>
            </w:pPr>
            <w:r>
              <w:rPr>
                <w:rFonts w:ascii="仿宋_GB2312" w:hAnsi="仿宋_GB2312" w:cs="仿宋_GB2312" w:eastAsia="仿宋_GB2312"/>
                <w:sz w:val="24"/>
                <w:color w:val="000000"/>
              </w:rPr>
              <w:t>2.粘合</w:t>
            </w:r>
          </w:p>
          <w:p>
            <w:pPr>
              <w:pStyle w:val="null3"/>
              <w:ind w:firstLine="480"/>
              <w:jc w:val="left"/>
            </w:pPr>
            <w:r>
              <w:rPr>
                <w:rFonts w:ascii="仿宋_GB2312" w:hAnsi="仿宋_GB2312" w:cs="仿宋_GB2312" w:eastAsia="仿宋_GB2312"/>
                <w:sz w:val="24"/>
                <w:color w:val="000000"/>
              </w:rPr>
              <w:t>黏合前，金属表面应以机械或化学方法去除油脂、污垢、灰土、水份、氧化物，并打磨，以便涂抹粘结剂。</w:t>
            </w:r>
          </w:p>
          <w:p>
            <w:pPr>
              <w:pStyle w:val="null3"/>
              <w:ind w:firstLine="480"/>
              <w:jc w:val="left"/>
            </w:pPr>
            <w:r>
              <w:rPr>
                <w:rFonts w:ascii="仿宋_GB2312" w:hAnsi="仿宋_GB2312" w:cs="仿宋_GB2312" w:eastAsia="仿宋_GB2312"/>
                <w:sz w:val="24"/>
                <w:color w:val="000000"/>
              </w:rPr>
              <w:t>涂抹粘结剂的方法及步骤应严格按照粘结剂制造商的要求执行</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焊接</w:t>
            </w:r>
          </w:p>
          <w:p>
            <w:pPr>
              <w:pStyle w:val="null3"/>
              <w:ind w:firstLine="480"/>
              <w:jc w:val="left"/>
            </w:pPr>
            <w:r>
              <w:rPr>
                <w:rFonts w:ascii="仿宋_GB2312" w:hAnsi="仿宋_GB2312" w:cs="仿宋_GB2312" w:eastAsia="仿宋_GB2312"/>
                <w:sz w:val="24"/>
                <w:color w:val="000000"/>
              </w:rPr>
              <w:t>焊接工艺须符合国家及行业相关规范及标准。</w:t>
            </w:r>
          </w:p>
          <w:p>
            <w:pPr>
              <w:pStyle w:val="null3"/>
              <w:ind w:firstLine="480"/>
              <w:jc w:val="left"/>
            </w:pPr>
            <w:r>
              <w:rPr>
                <w:rFonts w:ascii="仿宋_GB2312" w:hAnsi="仿宋_GB2312" w:cs="仿宋_GB2312" w:eastAsia="仿宋_GB2312"/>
                <w:sz w:val="24"/>
                <w:color w:val="000000"/>
              </w:rPr>
              <w:t>4.铆钉孔和螺栓孔</w:t>
            </w:r>
          </w:p>
          <w:p>
            <w:pPr>
              <w:pStyle w:val="null3"/>
              <w:ind w:firstLine="480"/>
              <w:jc w:val="left"/>
            </w:pPr>
            <w:r>
              <w:rPr>
                <w:rFonts w:ascii="仿宋_GB2312" w:hAnsi="仿宋_GB2312" w:cs="仿宋_GB2312" w:eastAsia="仿宋_GB2312"/>
                <w:sz w:val="24"/>
                <w:color w:val="000000"/>
              </w:rPr>
              <w:t>铆钉孔和螺栓孔应钻至或铰至所需的精确直径，并清除毛边；孔洞的设置应与对接零件上对应的孔洞精确相符，以便于铆钉和螺栓连接；在所需处孔洞应采用埋头式，钻孔应同心。</w:t>
            </w:r>
          </w:p>
          <w:p>
            <w:pPr>
              <w:pStyle w:val="null3"/>
              <w:ind w:firstLine="480"/>
              <w:jc w:val="left"/>
            </w:pPr>
            <w:r>
              <w:rPr>
                <w:rFonts w:ascii="仿宋_GB2312" w:hAnsi="仿宋_GB2312" w:cs="仿宋_GB2312" w:eastAsia="仿宋_GB2312"/>
                <w:sz w:val="24"/>
                <w:color w:val="000000"/>
              </w:rPr>
              <w:t>5.铆接</w:t>
            </w:r>
          </w:p>
          <w:p>
            <w:pPr>
              <w:pStyle w:val="null3"/>
              <w:ind w:firstLine="480"/>
              <w:jc w:val="left"/>
            </w:pPr>
            <w:r>
              <w:rPr>
                <w:rFonts w:ascii="仿宋_GB2312" w:hAnsi="仿宋_GB2312" w:cs="仿宋_GB2312" w:eastAsia="仿宋_GB2312"/>
                <w:sz w:val="24"/>
                <w:color w:val="000000"/>
              </w:rPr>
              <w:t>所有铆钉应牢固的钉入以全部填满孔洞，铆钉头应平整；除另有注明，所有铆接须为隐蔽式。</w:t>
            </w:r>
          </w:p>
          <w:p>
            <w:pPr>
              <w:pStyle w:val="null3"/>
              <w:ind w:firstLine="480"/>
              <w:jc w:val="left"/>
            </w:pPr>
            <w:r>
              <w:rPr>
                <w:rFonts w:ascii="仿宋_GB2312" w:hAnsi="仿宋_GB2312" w:cs="仿宋_GB2312" w:eastAsia="仿宋_GB2312"/>
                <w:sz w:val="24"/>
                <w:color w:val="000000"/>
              </w:rPr>
              <w:t>6.螺栓连接</w:t>
            </w:r>
          </w:p>
          <w:p>
            <w:pPr>
              <w:pStyle w:val="null3"/>
              <w:ind w:firstLine="480"/>
              <w:jc w:val="left"/>
            </w:pPr>
            <w:r>
              <w:rPr>
                <w:rFonts w:ascii="仿宋_GB2312" w:hAnsi="仿宋_GB2312" w:cs="仿宋_GB2312" w:eastAsia="仿宋_GB2312"/>
                <w:sz w:val="24"/>
                <w:color w:val="000000"/>
              </w:rPr>
              <w:t>所有螺栓应采用六角形螺栓，须配有防松垫圈；除另有注明，所有螺栓连接须为隐蔽式。</w:t>
            </w:r>
          </w:p>
          <w:p>
            <w:pPr>
              <w:pStyle w:val="null3"/>
              <w:ind w:firstLine="480"/>
              <w:jc w:val="left"/>
            </w:pPr>
            <w:r>
              <w:rPr>
                <w:rFonts w:ascii="仿宋_GB2312" w:hAnsi="仿宋_GB2312" w:cs="仿宋_GB2312" w:eastAsia="仿宋_GB2312"/>
                <w:sz w:val="24"/>
                <w:color w:val="000000"/>
              </w:rPr>
              <w:t>7.接头</w:t>
            </w:r>
          </w:p>
          <w:p>
            <w:pPr>
              <w:pStyle w:val="null3"/>
              <w:ind w:firstLine="480"/>
              <w:jc w:val="left"/>
            </w:pPr>
            <w:r>
              <w:rPr>
                <w:rFonts w:ascii="仿宋_GB2312" w:hAnsi="仿宋_GB2312" w:cs="仿宋_GB2312" w:eastAsia="仿宋_GB2312"/>
                <w:sz w:val="24"/>
                <w:color w:val="000000"/>
              </w:rPr>
              <w:t>接头应紧密靠拢，机械连接应紧密，无可见空隙。</w:t>
            </w:r>
          </w:p>
          <w:p>
            <w:pPr>
              <w:pStyle w:val="null3"/>
              <w:ind w:firstLine="480"/>
              <w:jc w:val="left"/>
            </w:pPr>
            <w:r>
              <w:rPr>
                <w:rFonts w:ascii="仿宋_GB2312" w:hAnsi="仿宋_GB2312" w:cs="仿宋_GB2312" w:eastAsia="仿宋_GB2312"/>
                <w:sz w:val="24"/>
                <w:color w:val="000000"/>
              </w:rPr>
              <w:t>8.UV喷印</w:t>
            </w:r>
          </w:p>
          <w:p>
            <w:pPr>
              <w:pStyle w:val="null3"/>
              <w:ind w:firstLine="480"/>
              <w:jc w:val="left"/>
            </w:pPr>
            <w:r>
              <w:rPr>
                <w:rFonts w:ascii="仿宋_GB2312" w:hAnsi="仿宋_GB2312" w:cs="仿宋_GB2312" w:eastAsia="仿宋_GB2312"/>
                <w:sz w:val="24"/>
                <w:color w:val="000000"/>
              </w:rPr>
              <w:t>UV喷印图文的边角部分必须深刻清楚，没有因粗糙材料造成的严重锯齿纹或因处理不当造成的污点。</w:t>
            </w:r>
          </w:p>
          <w:p>
            <w:pPr>
              <w:pStyle w:val="null3"/>
              <w:ind w:firstLine="480"/>
              <w:jc w:val="left"/>
            </w:pPr>
            <w:r>
              <w:rPr>
                <w:rFonts w:ascii="仿宋_GB2312" w:hAnsi="仿宋_GB2312" w:cs="仿宋_GB2312" w:eastAsia="仿宋_GB2312"/>
                <w:sz w:val="24"/>
                <w:color w:val="000000"/>
              </w:rPr>
              <w:t>所有图案必须以一种能兼容的聚氨酯底漆来处理，表面须做哑光处理。</w:t>
            </w:r>
          </w:p>
          <w:p>
            <w:pPr>
              <w:pStyle w:val="null3"/>
              <w:ind w:firstLine="480"/>
              <w:jc w:val="left"/>
            </w:pPr>
            <w:r>
              <w:rPr>
                <w:rFonts w:ascii="仿宋_GB2312" w:hAnsi="仿宋_GB2312" w:cs="仿宋_GB2312" w:eastAsia="仿宋_GB2312"/>
                <w:sz w:val="24"/>
                <w:color w:val="000000"/>
              </w:rPr>
              <w:t>A、按设计文件进行制版，颜色按照比选文件中给出的色值调色。</w:t>
            </w:r>
          </w:p>
          <w:p>
            <w:pPr>
              <w:pStyle w:val="null3"/>
              <w:ind w:firstLine="480"/>
              <w:jc w:val="left"/>
            </w:pPr>
            <w:r>
              <w:rPr>
                <w:rFonts w:ascii="仿宋_GB2312" w:hAnsi="仿宋_GB2312" w:cs="仿宋_GB2312" w:eastAsia="仿宋_GB2312"/>
                <w:sz w:val="24"/>
                <w:color w:val="000000"/>
              </w:rPr>
              <w:t>B、丝印成品要求图文字体边缘清晰，无毛边。画面整体无瑕疵。</w:t>
            </w:r>
          </w:p>
          <w:p>
            <w:pPr>
              <w:pStyle w:val="null3"/>
              <w:ind w:firstLine="480"/>
              <w:jc w:val="left"/>
            </w:pPr>
            <w:r>
              <w:rPr>
                <w:rFonts w:ascii="仿宋_GB2312" w:hAnsi="仿宋_GB2312" w:cs="仿宋_GB2312" w:eastAsia="仿宋_GB2312"/>
                <w:sz w:val="24"/>
                <w:color w:val="000000"/>
              </w:rPr>
              <w:t>C、油墨的选用需根据使用条件（户外、使用年限）等因素确定。</w:t>
            </w:r>
          </w:p>
          <w:p>
            <w:pPr>
              <w:pStyle w:val="null3"/>
              <w:ind w:firstLine="480"/>
              <w:jc w:val="left"/>
            </w:pPr>
            <w:r>
              <w:rPr>
                <w:rFonts w:ascii="仿宋_GB2312" w:hAnsi="仿宋_GB2312" w:cs="仿宋_GB2312" w:eastAsia="仿宋_GB2312"/>
                <w:sz w:val="24"/>
                <w:color w:val="000000"/>
              </w:rPr>
              <w:t>9.油漆</w:t>
            </w:r>
          </w:p>
          <w:p>
            <w:pPr>
              <w:pStyle w:val="null3"/>
              <w:ind w:firstLine="480"/>
              <w:jc w:val="left"/>
            </w:pPr>
            <w:r>
              <w:rPr>
                <w:rFonts w:ascii="仿宋_GB2312" w:hAnsi="仿宋_GB2312" w:cs="仿宋_GB2312" w:eastAsia="仿宋_GB2312"/>
                <w:sz w:val="24"/>
                <w:color w:val="000000"/>
              </w:rPr>
              <w:t>不同类别油漆不可混合，用前须搅拌，储存于适当温度下；稀释须依产品指示调配；潮湿大雾、表面未干、</w:t>
            </w:r>
          </w:p>
          <w:p>
            <w:pPr>
              <w:pStyle w:val="null3"/>
              <w:ind w:firstLine="480"/>
              <w:jc w:val="left"/>
            </w:pPr>
            <w:r>
              <w:rPr>
                <w:rFonts w:ascii="仿宋_GB2312" w:hAnsi="仿宋_GB2312" w:cs="仿宋_GB2312" w:eastAsia="仿宋_GB2312"/>
                <w:sz w:val="24"/>
                <w:color w:val="000000"/>
              </w:rPr>
              <w:t>多尘环境，不进行任何油漆施工；每层漆间磨光须用幼号</w:t>
            </w:r>
          </w:p>
          <w:p>
            <w:pPr>
              <w:pStyle w:val="null3"/>
              <w:ind w:firstLine="480"/>
              <w:jc w:val="left"/>
            </w:pPr>
            <w:r>
              <w:rPr>
                <w:rFonts w:ascii="仿宋_GB2312" w:hAnsi="仿宋_GB2312" w:cs="仿宋_GB2312" w:eastAsia="仿宋_GB2312"/>
                <w:sz w:val="24"/>
                <w:color w:val="000000"/>
              </w:rPr>
              <w:t>玻璃砂纸；所有表面处理须检查后方可刷底漆；不能有色差，颜色均匀。</w:t>
            </w:r>
          </w:p>
          <w:p>
            <w:pPr>
              <w:pStyle w:val="null3"/>
              <w:ind w:firstLine="480"/>
              <w:jc w:val="left"/>
            </w:pPr>
            <w:r>
              <w:rPr>
                <w:rFonts w:ascii="仿宋_GB2312" w:hAnsi="仿宋_GB2312" w:cs="仿宋_GB2312" w:eastAsia="仿宋_GB2312"/>
                <w:sz w:val="24"/>
                <w:color w:val="000000"/>
              </w:rPr>
              <w:t>10.钣金作业</w:t>
            </w:r>
          </w:p>
          <w:p>
            <w:pPr>
              <w:pStyle w:val="null3"/>
              <w:ind w:firstLine="480"/>
              <w:jc w:val="left"/>
            </w:pPr>
            <w:r>
              <w:rPr>
                <w:rFonts w:ascii="仿宋_GB2312" w:hAnsi="仿宋_GB2312" w:cs="仿宋_GB2312" w:eastAsia="仿宋_GB2312"/>
                <w:sz w:val="24"/>
                <w:color w:val="000000"/>
              </w:rPr>
              <w:t>所有钣金作业必须小心处理校直及展平用材，不能损伤材质；所有机械剪口、切口应修饰整齐、光滑，避免毛头及变形；所有机械折弯应角度、弧度准确，或按设计要求预先对加工板材开槽加工；所有钻孔应定位精确</w:t>
            </w:r>
            <w:r>
              <w:rPr>
                <w:rFonts w:ascii="仿宋_GB2312" w:hAnsi="仿宋_GB2312" w:cs="仿宋_GB2312" w:eastAsia="仿宋_GB2312"/>
                <w:sz w:val="24"/>
                <w:color w:val="000000"/>
              </w:rPr>
              <w:t>,孔壁光滑，孔口去毛刺处理或配合平头螺丝开斜孔口。</w:t>
            </w:r>
          </w:p>
          <w:p>
            <w:pPr>
              <w:pStyle w:val="null3"/>
              <w:ind w:firstLine="480"/>
              <w:jc w:val="left"/>
            </w:pPr>
            <w:r>
              <w:rPr>
                <w:rFonts w:ascii="仿宋_GB2312" w:hAnsi="仿宋_GB2312" w:cs="仿宋_GB2312" w:eastAsia="仿宋_GB2312"/>
                <w:sz w:val="24"/>
                <w:color w:val="000000"/>
              </w:rPr>
              <w:t>11.镀锌</w:t>
            </w:r>
          </w:p>
          <w:p>
            <w:pPr>
              <w:pStyle w:val="null3"/>
              <w:ind w:firstLine="480"/>
              <w:jc w:val="left"/>
            </w:pPr>
            <w:r>
              <w:rPr>
                <w:rFonts w:ascii="仿宋_GB2312" w:hAnsi="仿宋_GB2312" w:cs="仿宋_GB2312" w:eastAsia="仿宋_GB2312"/>
                <w:sz w:val="24"/>
                <w:color w:val="000000"/>
              </w:rPr>
              <w:t>镀锌必须以</w:t>
            </w:r>
            <w:r>
              <w:rPr>
                <w:rFonts w:ascii="仿宋_GB2312" w:hAnsi="仿宋_GB2312" w:cs="仿宋_GB2312" w:eastAsia="仿宋_GB2312"/>
                <w:sz w:val="24"/>
                <w:color w:val="000000"/>
              </w:rPr>
              <w:t>“热浸法”将锌均匀地涂在钢材表面，锌层要镀得均匀及彻底，不可出现任何污渍、秃漏点或其它瑕疵；镀锌时镀锌池中的锌重量不得少于所镀钢材表面面积每平方米一公斤的计量。</w:t>
            </w:r>
          </w:p>
          <w:p>
            <w:pPr>
              <w:pStyle w:val="null3"/>
              <w:ind w:firstLine="480"/>
              <w:jc w:val="left"/>
            </w:pPr>
            <w:r>
              <w:rPr>
                <w:rFonts w:ascii="仿宋_GB2312" w:hAnsi="仿宋_GB2312" w:cs="仿宋_GB2312" w:eastAsia="仿宋_GB2312"/>
                <w:sz w:val="24"/>
                <w:color w:val="000000"/>
              </w:rPr>
              <w:t>12.阳极氧化</w:t>
            </w:r>
          </w:p>
          <w:p>
            <w:pPr>
              <w:pStyle w:val="null3"/>
              <w:ind w:firstLine="480"/>
              <w:jc w:val="left"/>
            </w:pPr>
            <w:r>
              <w:rPr>
                <w:rFonts w:ascii="仿宋_GB2312" w:hAnsi="仿宋_GB2312" w:cs="仿宋_GB2312" w:eastAsia="仿宋_GB2312"/>
                <w:sz w:val="24"/>
                <w:color w:val="000000"/>
              </w:rPr>
              <w:t>需阳极氧化的铝材均需先清洗，再镀一层透明或不褪色的指定色彩阳极氧化铝层，氧化铝层为一层与基底合成金互相适应、坚硬的无机物外壳；阳极氧化处理前须先用苛性药清洗；氧化铝层必须有效地包裹住镀件，镀层厚度不得小于</w:t>
            </w:r>
            <w:r>
              <w:rPr>
                <w:rFonts w:ascii="仿宋_GB2312" w:hAnsi="仿宋_GB2312" w:cs="仿宋_GB2312" w:eastAsia="仿宋_GB2312"/>
                <w:sz w:val="24"/>
                <w:color w:val="000000"/>
              </w:rPr>
              <w:t>0.02mm。</w:t>
            </w:r>
          </w:p>
          <w:p>
            <w:pPr>
              <w:pStyle w:val="null3"/>
              <w:ind w:firstLine="480"/>
              <w:jc w:val="left"/>
            </w:pPr>
            <w:r>
              <w:rPr>
                <w:rFonts w:ascii="仿宋_GB2312" w:hAnsi="仿宋_GB2312" w:cs="仿宋_GB2312" w:eastAsia="仿宋_GB2312"/>
                <w:sz w:val="24"/>
                <w:color w:val="000000"/>
              </w:rPr>
              <w:t>13.喷漆</w:t>
            </w:r>
          </w:p>
          <w:p>
            <w:pPr>
              <w:pStyle w:val="null3"/>
              <w:ind w:firstLine="480"/>
              <w:jc w:val="left"/>
            </w:pPr>
            <w:r>
              <w:rPr>
                <w:rFonts w:ascii="仿宋_GB2312" w:hAnsi="仿宋_GB2312" w:cs="仿宋_GB2312" w:eastAsia="仿宋_GB2312"/>
                <w:sz w:val="24"/>
                <w:color w:val="000000"/>
              </w:rPr>
              <w:t>喷涂前必须仔细清除物件所有灰尘、污物、染渍、油渍、风化物等；任何风化物应先以粗干布、再以湿布抹净，待</w:t>
            </w:r>
            <w:r>
              <w:rPr>
                <w:rFonts w:ascii="仿宋_GB2312" w:hAnsi="仿宋_GB2312" w:cs="仿宋_GB2312" w:eastAsia="仿宋_GB2312"/>
                <w:sz w:val="24"/>
                <w:color w:val="000000"/>
              </w:rPr>
              <w:t>48小时后再检查风化物会否再在表面出现，要待确认风化物不再出现后才可喷涂底料；不能有色差，颜色均匀；</w:t>
            </w:r>
          </w:p>
          <w:p>
            <w:pPr>
              <w:pStyle w:val="null3"/>
              <w:ind w:firstLine="480"/>
              <w:jc w:val="left"/>
            </w:pPr>
            <w:r>
              <w:rPr>
                <w:rFonts w:ascii="仿宋_GB2312" w:hAnsi="仿宋_GB2312" w:cs="仿宋_GB2312" w:eastAsia="仿宋_GB2312"/>
                <w:sz w:val="24"/>
                <w:color w:val="000000"/>
              </w:rPr>
              <w:t>喷漆处理要求：喷漆及检验：铝型材清洗化学残留物</w:t>
            </w:r>
            <w:r>
              <w:rPr>
                <w:rFonts w:ascii="仿宋_GB2312" w:hAnsi="仿宋_GB2312" w:cs="仿宋_GB2312" w:eastAsia="仿宋_GB2312"/>
                <w:sz w:val="24"/>
                <w:color w:val="000000"/>
              </w:rPr>
              <w:t>,补灰,打磨作进一步处理后,采用环保型优质油漆烤漆处理,油漆颜色要符合设计方案要求，烤漆房须无尘埃颗粒,条件理想,烤漆表面涂层厚度大于或等于35微米.三涂三烤后作烘干处理。</w:t>
            </w:r>
          </w:p>
          <w:p>
            <w:pPr>
              <w:pStyle w:val="null3"/>
              <w:ind w:firstLine="480"/>
              <w:jc w:val="left"/>
            </w:pPr>
            <w:r>
              <w:rPr>
                <w:rFonts w:ascii="仿宋_GB2312" w:hAnsi="仿宋_GB2312" w:cs="仿宋_GB2312" w:eastAsia="仿宋_GB2312"/>
                <w:sz w:val="24"/>
                <w:color w:val="000000"/>
              </w:rPr>
              <w:t>14.墙绘</w:t>
            </w:r>
          </w:p>
          <w:p>
            <w:pPr>
              <w:pStyle w:val="null3"/>
              <w:ind w:firstLine="480"/>
              <w:jc w:val="left"/>
            </w:pPr>
            <w:r>
              <w:rPr>
                <w:rFonts w:ascii="仿宋_GB2312" w:hAnsi="仿宋_GB2312" w:cs="仿宋_GB2312" w:eastAsia="仿宋_GB2312"/>
                <w:sz w:val="24"/>
                <w:color w:val="000000"/>
              </w:rPr>
              <w:t>墙绘的绘制要达到高精度，线条的粗细、形状，图案的细节等都要严格按照设计稿进行绘制，误差控制在极小范围内。墙绘完成后，表面要平整光滑，无凹凸不平、气泡、流坠等现象。对于可能接触到行人的墙绘区域，要进行适当的防护处理，防止刮擦对墙绘造成损坏。</w:t>
            </w:r>
          </w:p>
          <w:p>
            <w:pPr>
              <w:pStyle w:val="null3"/>
              <w:ind w:firstLine="480"/>
              <w:jc w:val="left"/>
            </w:pPr>
            <w:r>
              <w:rPr>
                <w:rFonts w:ascii="仿宋_GB2312" w:hAnsi="仿宋_GB2312" w:cs="仿宋_GB2312" w:eastAsia="仿宋_GB2312"/>
                <w:sz w:val="24"/>
                <w:color w:val="000000"/>
              </w:rPr>
              <w:t>15.切割</w:t>
            </w:r>
          </w:p>
          <w:p>
            <w:pPr>
              <w:pStyle w:val="null3"/>
              <w:ind w:firstLine="480"/>
              <w:jc w:val="left"/>
            </w:pPr>
            <w:r>
              <w:rPr>
                <w:rFonts w:ascii="仿宋_GB2312" w:hAnsi="仿宋_GB2312" w:cs="仿宋_GB2312" w:eastAsia="仿宋_GB2312"/>
                <w:sz w:val="24"/>
                <w:color w:val="000000"/>
              </w:rPr>
              <w:t>所有材质的图案及文字二维、三维切割必须为电脑数控加工，表面及切割面应光滑无毛刺。</w:t>
            </w:r>
          </w:p>
          <w:p>
            <w:pPr>
              <w:pStyle w:val="null3"/>
              <w:ind w:firstLine="48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安装要求</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安装准备</w:t>
            </w:r>
          </w:p>
          <w:p>
            <w:pPr>
              <w:pStyle w:val="null3"/>
              <w:ind w:firstLine="480"/>
              <w:jc w:val="left"/>
            </w:pPr>
            <w:r>
              <w:rPr>
                <w:rFonts w:ascii="仿宋_GB2312" w:hAnsi="仿宋_GB2312" w:cs="仿宋_GB2312" w:eastAsia="仿宋_GB2312"/>
                <w:sz w:val="24"/>
                <w:color w:val="000000"/>
              </w:rPr>
              <w:t>现场测量：设计前核实承载面的尺寸，以符合项目条件。</w:t>
            </w:r>
          </w:p>
          <w:p>
            <w:pPr>
              <w:pStyle w:val="null3"/>
              <w:ind w:firstLine="480"/>
              <w:jc w:val="left"/>
            </w:pPr>
            <w:r>
              <w:rPr>
                <w:rFonts w:ascii="仿宋_GB2312" w:hAnsi="仿宋_GB2312" w:cs="仿宋_GB2312" w:eastAsia="仿宋_GB2312"/>
                <w:sz w:val="24"/>
                <w:color w:val="000000"/>
              </w:rPr>
              <w:t>在安装前，提供安装效果图供采购人审核。</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安装</w:t>
            </w:r>
          </w:p>
          <w:p>
            <w:pPr>
              <w:pStyle w:val="null3"/>
              <w:ind w:firstLine="480"/>
              <w:jc w:val="left"/>
            </w:pPr>
            <w:r>
              <w:rPr>
                <w:rFonts w:ascii="仿宋_GB2312" w:hAnsi="仿宋_GB2312" w:cs="仿宋_GB2312" w:eastAsia="仿宋_GB2312"/>
                <w:sz w:val="24"/>
                <w:color w:val="000000"/>
              </w:rPr>
              <w:t>垂直、水平、准确，外观无变形及瑕疵。</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清洁</w:t>
            </w:r>
          </w:p>
          <w:p>
            <w:pPr>
              <w:pStyle w:val="null3"/>
              <w:ind w:firstLine="480"/>
              <w:jc w:val="left"/>
            </w:pPr>
            <w:r>
              <w:rPr>
                <w:rFonts w:ascii="仿宋_GB2312" w:hAnsi="仿宋_GB2312" w:cs="仿宋_GB2312" w:eastAsia="仿宋_GB2312"/>
                <w:sz w:val="24"/>
                <w:color w:val="000000"/>
              </w:rPr>
              <w:t>安装完成，需去除表面的污迹。</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维修</w:t>
            </w:r>
          </w:p>
          <w:p>
            <w:pPr>
              <w:pStyle w:val="null3"/>
              <w:ind w:firstLine="480"/>
              <w:jc w:val="left"/>
            </w:pPr>
            <w:r>
              <w:rPr>
                <w:rFonts w:ascii="仿宋_GB2312" w:hAnsi="仿宋_GB2312" w:cs="仿宋_GB2312" w:eastAsia="仿宋_GB2312"/>
                <w:sz w:val="24"/>
                <w:color w:val="000000"/>
              </w:rPr>
              <w:t>产品</w:t>
            </w:r>
            <w:r>
              <w:rPr>
                <w:rFonts w:ascii="仿宋_GB2312" w:hAnsi="仿宋_GB2312" w:cs="仿宋_GB2312" w:eastAsia="仿宋_GB2312"/>
                <w:sz w:val="24"/>
                <w:color w:val="000000"/>
              </w:rPr>
              <w:t>维修后应保持原有外观，不得出现剐蹭、脏污。</w:t>
            </w:r>
          </w:p>
          <w:p>
            <w:pPr>
              <w:pStyle w:val="null3"/>
              <w:ind w:firstLine="480"/>
              <w:jc w:val="left"/>
            </w:pPr>
            <w:r>
              <w:rPr>
                <w:rFonts w:ascii="仿宋_GB2312" w:hAnsi="仿宋_GB2312" w:cs="仿宋_GB2312" w:eastAsia="仿宋_GB2312"/>
                <w:sz w:val="24"/>
                <w:color w:val="000000"/>
              </w:rPr>
              <w:t>四、包装和运输</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成交供应商须提供全新的货物（含零部件、配件等</w:t>
            </w:r>
            <w:r>
              <w:rPr>
                <w:rFonts w:ascii="仿宋_GB2312" w:hAnsi="仿宋_GB2312" w:cs="仿宋_GB2312" w:eastAsia="仿宋_GB2312"/>
                <w:sz w:val="24"/>
                <w:color w:val="000000"/>
              </w:rPr>
              <w:t>),表面无划伤、无碰撞痕迹，且权属清楚，不得侵害他人的知识产权。</w:t>
            </w:r>
          </w:p>
          <w:p>
            <w:pPr>
              <w:pStyle w:val="null3"/>
              <w:ind w:firstLine="24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包装应该保证使采购</w:t>
            </w:r>
            <w:r>
              <w:rPr>
                <w:rFonts w:ascii="仿宋_GB2312" w:hAnsi="仿宋_GB2312" w:cs="仿宋_GB2312" w:eastAsia="仿宋_GB2312"/>
                <w:sz w:val="24"/>
                <w:color w:val="000000"/>
              </w:rPr>
              <w:t>的产品</w:t>
            </w:r>
            <w:r>
              <w:rPr>
                <w:rFonts w:ascii="仿宋_GB2312" w:hAnsi="仿宋_GB2312" w:cs="仿宋_GB2312" w:eastAsia="仿宋_GB2312"/>
                <w:sz w:val="24"/>
                <w:color w:val="000000"/>
              </w:rPr>
              <w:t>安全、完好</w:t>
            </w:r>
            <w:r>
              <w:rPr>
                <w:rFonts w:ascii="仿宋_GB2312" w:hAnsi="仿宋_GB2312" w:cs="仿宋_GB2312" w:eastAsia="仿宋_GB2312"/>
                <w:sz w:val="24"/>
                <w:color w:val="000000"/>
              </w:rPr>
              <w:t>地</w:t>
            </w:r>
            <w:r>
              <w:rPr>
                <w:rFonts w:ascii="仿宋_GB2312" w:hAnsi="仿宋_GB2312" w:cs="仿宋_GB2312" w:eastAsia="仿宋_GB2312"/>
                <w:sz w:val="24"/>
                <w:color w:val="000000"/>
              </w:rPr>
              <w:t>运送并卸货至指定地点，并对卸货过程中的</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安全、完好性负责。</w:t>
            </w:r>
          </w:p>
          <w:p>
            <w:pPr>
              <w:pStyle w:val="null3"/>
              <w:ind w:firstLine="480"/>
              <w:jc w:val="left"/>
            </w:pPr>
            <w:r>
              <w:rPr>
                <w:rFonts w:ascii="仿宋_GB2312" w:hAnsi="仿宋_GB2312" w:cs="仿宋_GB2312" w:eastAsia="仿宋_GB2312"/>
                <w:sz w:val="24"/>
                <w:color w:val="000000"/>
              </w:rPr>
              <w:t>五、售后服务要求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供应商所提供的产品发现有诸如数量、型号和外观尺寸与合同不符，或密封包装本身的短少和损坏，如产生更换或补货等情形并导致工期延误，采购人有权据合同有关条款的规定对因此造成的直接损失向供货商索赔，即按采购人本次供货总金额进行处罚并赔偿相应损失。</w:t>
            </w:r>
          </w:p>
          <w:p>
            <w:pPr>
              <w:pStyle w:val="null3"/>
              <w:ind w:firstLine="480"/>
              <w:jc w:val="left"/>
            </w:pPr>
            <w:r>
              <w:rPr>
                <w:rFonts w:ascii="仿宋_GB2312" w:hAnsi="仿宋_GB2312" w:cs="仿宋_GB2312" w:eastAsia="仿宋_GB2312"/>
                <w:sz w:val="24"/>
                <w:color w:val="000000"/>
              </w:rPr>
              <w:t>（二）质保期：供应商提供不少于</w:t>
            </w:r>
            <w:r>
              <w:rPr>
                <w:rFonts w:ascii="仿宋_GB2312" w:hAnsi="仿宋_GB2312" w:cs="仿宋_GB2312" w:eastAsia="仿宋_GB2312"/>
                <w:sz w:val="24"/>
                <w:color w:val="000000"/>
              </w:rPr>
              <w:t>5年的免费质保。质保期内，对墙绘脱落、起鼓等质量问题进行维修维护服务；对金属制品的漆面脱落、开裂、起鼓、焊点脱落等质量问题进行维修维护服务；需在质保期内保证科普宣教设施不褪色、无破损；如受自然灾害（地震、山洪、泥石流、山体滑坡、8级以上大风等不可抗因素）和人为破坏的损坏则不在质保维护维修范围内。</w:t>
            </w:r>
          </w:p>
          <w:p>
            <w:pPr>
              <w:pStyle w:val="null3"/>
              <w:ind w:firstLine="240"/>
              <w:jc w:val="left"/>
            </w:pPr>
            <w:r>
              <w:rPr>
                <w:rFonts w:ascii="仿宋_GB2312" w:hAnsi="仿宋_GB2312" w:cs="仿宋_GB2312" w:eastAsia="仿宋_GB2312"/>
                <w:sz w:val="24"/>
                <w:color w:val="000000"/>
              </w:rPr>
              <w:t>（三）供应商具有详细的售后服务保障措施，并指派专人负责与采购人联系</w:t>
            </w:r>
          </w:p>
          <w:p>
            <w:pPr>
              <w:pStyle w:val="null3"/>
              <w:ind w:firstLine="480"/>
              <w:jc w:val="left"/>
            </w:pPr>
            <w:r>
              <w:rPr>
                <w:rFonts w:ascii="仿宋_GB2312" w:hAnsi="仿宋_GB2312" w:cs="仿宋_GB2312" w:eastAsia="仿宋_GB2312"/>
                <w:sz w:val="24"/>
                <w:color w:val="000000"/>
              </w:rPr>
              <w:t>六、安全责任</w:t>
            </w:r>
          </w:p>
          <w:p>
            <w:pPr>
              <w:pStyle w:val="null3"/>
              <w:jc w:val="left"/>
            </w:pPr>
            <w:r>
              <w:rPr>
                <w:rFonts w:ascii="仿宋_GB2312" w:hAnsi="仿宋_GB2312" w:cs="仿宋_GB2312" w:eastAsia="仿宋_GB2312"/>
                <w:sz w:val="24"/>
                <w:color w:val="000000"/>
              </w:rPr>
              <w:t xml:space="preserve"> ★（一）</w:t>
            </w:r>
            <w:r>
              <w:rPr>
                <w:rFonts w:ascii="仿宋_GB2312" w:hAnsi="仿宋_GB2312" w:cs="仿宋_GB2312" w:eastAsia="仿宋_GB2312"/>
                <w:sz w:val="24"/>
                <w:color w:val="000000"/>
              </w:rPr>
              <w:t>供应商项目实施过程中加强安全管理，在实施过程中的安全责任由供应商自行负责，采购人不承担任何安全责任，也不承担供应商发生安全事故产生的任何责任。</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二）</w:t>
            </w:r>
            <w:r>
              <w:rPr>
                <w:rFonts w:ascii="仿宋_GB2312" w:hAnsi="仿宋_GB2312" w:cs="仿宋_GB2312" w:eastAsia="仿宋_GB2312"/>
                <w:sz w:val="24"/>
                <w:color w:val="000000"/>
              </w:rPr>
              <w:t>施工必须遵守《中华人民共和国森林法》、《中华人民共和国森林法实施条例》、《中华人民共和国野生植物保护条例》、《四川省森林防火条例》</w:t>
            </w:r>
            <w:r>
              <w:rPr>
                <w:rFonts w:ascii="仿宋_GB2312" w:hAnsi="仿宋_GB2312" w:cs="仿宋_GB2312" w:eastAsia="仿宋_GB2312"/>
                <w:sz w:val="24"/>
                <w:color w:val="000000"/>
              </w:rPr>
              <w:t>等</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法律法规</w:t>
            </w:r>
            <w:r>
              <w:rPr>
                <w:rFonts w:ascii="仿宋_GB2312" w:hAnsi="仿宋_GB2312" w:cs="仿宋_GB2312" w:eastAsia="仿宋_GB2312"/>
                <w:sz w:val="24"/>
                <w:color w:val="000000"/>
              </w:rPr>
              <w:t>规定，如在施工中违反相关规定造成的一切损失或法律责任，由供应商自行承担相关不利后果。</w:t>
            </w:r>
          </w:p>
          <w:p>
            <w:pPr>
              <w:pStyle w:val="null3"/>
              <w:jc w:val="left"/>
            </w:pPr>
            <w:r>
              <w:rPr>
                <w:rFonts w:ascii="仿宋_GB2312" w:hAnsi="仿宋_GB2312" w:cs="仿宋_GB2312" w:eastAsia="仿宋_GB2312"/>
                <w:sz w:val="24"/>
                <w:color w:val="000000"/>
              </w:rPr>
              <w:t xml:space="preserve"> ★（三）</w:t>
            </w:r>
            <w:r>
              <w:rPr>
                <w:rFonts w:ascii="仿宋_GB2312" w:hAnsi="仿宋_GB2312" w:cs="仿宋_GB2312" w:eastAsia="仿宋_GB2312"/>
                <w:sz w:val="24"/>
                <w:color w:val="000000"/>
              </w:rPr>
              <w:t>施工过程严格遵守生态环保要求，在制作安装中禁止砍伐或破坏原生植被，完工后需要</w:t>
            </w:r>
            <w:r>
              <w:rPr>
                <w:rFonts w:ascii="仿宋_GB2312" w:hAnsi="仿宋_GB2312" w:cs="仿宋_GB2312" w:eastAsia="仿宋_GB2312"/>
                <w:sz w:val="24"/>
                <w:color w:val="000000"/>
              </w:rPr>
              <w:t>恢复</w:t>
            </w:r>
            <w:r>
              <w:rPr>
                <w:rFonts w:ascii="仿宋_GB2312" w:hAnsi="仿宋_GB2312" w:cs="仿宋_GB2312" w:eastAsia="仿宋_GB2312"/>
                <w:sz w:val="24"/>
                <w:color w:val="000000"/>
              </w:rPr>
              <w:t>地表原貌，以及对安装维护中产生的废弃物进行处理，严禁使用明火或将安装废料遗弃在施工现场</w:t>
            </w:r>
            <w:r>
              <w:rPr>
                <w:rFonts w:ascii="仿宋_GB2312" w:hAnsi="仿宋_GB2312" w:cs="仿宋_GB2312" w:eastAsia="仿宋_GB2312"/>
                <w:sz w:val="24"/>
                <w:color w:val="000000"/>
              </w:rPr>
              <w:t>，</w:t>
            </w:r>
            <w:r>
              <w:rPr>
                <w:rFonts w:ascii="仿宋_GB2312" w:hAnsi="仿宋_GB2312" w:cs="仿宋_GB2312" w:eastAsia="仿宋_GB2312"/>
                <w:sz w:val="24"/>
                <w:color w:val="000000"/>
              </w:rPr>
              <w:t>切实做好森林生态防护。</w:t>
            </w:r>
          </w:p>
          <w:p>
            <w:pPr>
              <w:pStyle w:val="null3"/>
              <w:jc w:val="left"/>
            </w:pPr>
            <w:r>
              <w:rPr>
                <w:rFonts w:ascii="仿宋_GB2312" w:hAnsi="仿宋_GB2312" w:cs="仿宋_GB2312" w:eastAsia="仿宋_GB2312"/>
                <w:sz w:val="24"/>
                <w:color w:val="000000"/>
              </w:rPr>
              <w:t xml:space="preserve"> ★（四）因实施点位主要在绵茂路路段，应遵守相关道路安全规定，如因违反道路相关安全规定，造成的损失由供应商自行承担。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4"/>
                <w:color w:val="000000"/>
              </w:rPr>
              <w:t>（一）供应商应提供设计方案，方案内容包括不限于：</w:t>
            </w:r>
            <w:r>
              <w:rPr>
                <w:rFonts w:ascii="仿宋_GB2312" w:hAnsi="仿宋_GB2312" w:cs="仿宋_GB2312" w:eastAsia="仿宋_GB2312"/>
                <w:sz w:val="24"/>
                <w:color w:val="000000"/>
              </w:rPr>
              <w:t>1.项目概况；2.主题解读；3.点位规划与专项效果图；4.提示警示系统规划与专项效果图。</w:t>
            </w:r>
          </w:p>
          <w:p>
            <w:pPr>
              <w:pStyle w:val="null3"/>
              <w:ind w:firstLine="240"/>
              <w:jc w:val="left"/>
            </w:pPr>
            <w:r>
              <w:rPr>
                <w:rFonts w:ascii="仿宋_GB2312" w:hAnsi="仿宋_GB2312" w:cs="仿宋_GB2312" w:eastAsia="仿宋_GB2312"/>
                <w:sz w:val="24"/>
                <w:color w:val="000000"/>
              </w:rPr>
              <w:t>（二）供应商应提供制作安装方案：</w:t>
            </w:r>
            <w:r>
              <w:rPr>
                <w:rFonts w:ascii="仿宋_GB2312" w:hAnsi="仿宋_GB2312" w:cs="仿宋_GB2312" w:eastAsia="仿宋_GB2312"/>
                <w:sz w:val="24"/>
                <w:color w:val="000000"/>
              </w:rPr>
              <w:t>1.科普宣传设施制作计划；2.包装运输；3.安装计划（含机具设备配置）；4.应急预案；5.安全文明施工保障（含生态文明施工方案、森林防火、野生动植物保护措施）等。</w:t>
            </w:r>
          </w:p>
          <w:p>
            <w:pPr>
              <w:pStyle w:val="null3"/>
              <w:ind w:firstLine="240"/>
              <w:jc w:val="left"/>
            </w:pPr>
            <w:r>
              <w:rPr>
                <w:rFonts w:ascii="仿宋_GB2312" w:hAnsi="仿宋_GB2312" w:cs="仿宋_GB2312" w:eastAsia="仿宋_GB2312"/>
                <w:sz w:val="24"/>
                <w:color w:val="000000"/>
              </w:rPr>
              <w:t>（三）供应商应提供售后服务方案，方案内容包括不限于：</w:t>
            </w:r>
            <w:r>
              <w:rPr>
                <w:rFonts w:ascii="仿宋_GB2312" w:hAnsi="仿宋_GB2312" w:cs="仿宋_GB2312" w:eastAsia="仿宋_GB2312"/>
                <w:sz w:val="24"/>
                <w:color w:val="000000"/>
              </w:rPr>
              <w:t>1.售后服务保障措施；2.售后服务人员安排；3.售后服务响应机制；4.售后服务期限。</w:t>
            </w:r>
          </w:p>
          <w:p>
            <w:pPr>
              <w:pStyle w:val="null3"/>
              <w:ind w:firstLine="240"/>
              <w:jc w:val="left"/>
            </w:pPr>
            <w:r>
              <w:rPr>
                <w:rFonts w:ascii="仿宋_GB2312" w:hAnsi="仿宋_GB2312" w:cs="仿宋_GB2312" w:eastAsia="仿宋_GB2312"/>
                <w:sz w:val="24"/>
                <w:color w:val="000000"/>
              </w:rPr>
              <w:t>（四）供应商应提供质量保障方案，方案内容包括不限于：</w:t>
            </w:r>
            <w:r>
              <w:rPr>
                <w:rFonts w:ascii="仿宋_GB2312" w:hAnsi="仿宋_GB2312" w:cs="仿宋_GB2312" w:eastAsia="仿宋_GB2312"/>
                <w:sz w:val="24"/>
                <w:color w:val="000000"/>
              </w:rPr>
              <w:t>1.质量管理制度（含设计质量及制作安装）；2.原材料质量保障措施；3.制作工艺质量控制措施。</w:t>
            </w:r>
          </w:p>
          <w:p>
            <w:pPr>
              <w:pStyle w:val="null3"/>
              <w:ind w:firstLine="240"/>
              <w:jc w:val="left"/>
            </w:pPr>
            <w:r>
              <w:rPr>
                <w:rFonts w:ascii="仿宋_GB2312" w:hAnsi="仿宋_GB2312" w:cs="仿宋_GB2312" w:eastAsia="仿宋_GB2312"/>
                <w:sz w:val="24"/>
                <w:color w:val="000000"/>
              </w:rPr>
              <w:t>（五）供应商应针对本项目配置专业技术人员，确保具有履约的技术及专业能力。各技术人员均持证上岗。</w:t>
            </w:r>
          </w:p>
          <w:p>
            <w:pPr>
              <w:pStyle w:val="null3"/>
              <w:ind w:firstLine="240"/>
              <w:jc w:val="left"/>
            </w:pPr>
            <w:r>
              <w:rPr>
                <w:rFonts w:ascii="仿宋_GB2312" w:hAnsi="仿宋_GB2312" w:cs="仿宋_GB2312" w:eastAsia="仿宋_GB2312"/>
                <w:sz w:val="24"/>
                <w:color w:val="000000"/>
              </w:rPr>
              <w:t>（六）供应商须具备类似项目经验，项目实施过程中供应商应充分发挥各项优势，合理调配人力资源及机械设备资源，并对采购人提出合理化的建议，确保项目各项质量要求达到国家及行业标准。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合同签订之日起120日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绵竹片区绵茂公路沿线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财政部关于进一步加强政府采购需求和履约验收管理的指导意见》（财库〔2016〕205号）以及《政府采购需求管理办法》（财库〔2021〕22号）的要求和本项目要求的相关规范进行验收。若发现供应商未按要求安装或未按照磋商文件要求、响应文件承诺以及设计方案执行，供应商应进行重新安装，直到采购人验收合格为止，由此所产生的一切费用由成交供应商承担，采购人不另行支付。</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1、签订合同后，达到付款条件起20日内，支付合同总金额的40.00%</w:t>
            </w:r>
          </w:p>
          <w:p>
            <w:pPr>
              <w:pStyle w:val="null3"/>
              <w:jc w:val="left"/>
            </w:pPr>
            <w:r>
              <w:rPr>
                <w:rFonts w:ascii="仿宋_GB2312" w:hAnsi="仿宋_GB2312" w:cs="仿宋_GB2312" w:eastAsia="仿宋_GB2312"/>
              </w:rPr>
              <w:t>2、完成设计经采购人审核通过后，达到付款条件起20日内，支付合同总金额的10.00%</w:t>
            </w:r>
          </w:p>
          <w:p>
            <w:pPr>
              <w:pStyle w:val="null3"/>
              <w:jc w:val="left"/>
            </w:pPr>
            <w:r>
              <w:rPr>
                <w:rFonts w:ascii="仿宋_GB2312" w:hAnsi="仿宋_GB2312" w:cs="仿宋_GB2312" w:eastAsia="仿宋_GB2312"/>
              </w:rPr>
              <w:t>3、制作并安装完成通过采购人验收后，据实情况说明为安装完成后经采购人确认无误，达到付款条件起20日内，支付合同总金额的45.00%</w:t>
            </w:r>
          </w:p>
          <w:p>
            <w:pPr>
              <w:pStyle w:val="null3"/>
              <w:jc w:val="left"/>
            </w:pPr>
            <w:r>
              <w:rPr>
                <w:rFonts w:ascii="仿宋_GB2312" w:hAnsi="仿宋_GB2312" w:cs="仿宋_GB2312" w:eastAsia="仿宋_GB2312"/>
              </w:rPr>
              <w:t>4、提交数据成果文档资料后30日内，达到付款条件起30日内，支付合同总金额的5.00%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③如供应商提交的成果达不到相关质量要求或未按采购人时间进度安排完成成果，采购人有权扣除合同支付金额和提出解除合同。 ④任何一方不履行或不完全履行本合同约定义务的，应当承担相应的违约责任，并赔偿由此给守约方造成的损失，包括守约方为实现债权而支付的律师费、保全费、差旅费、诉讼费、鉴定费等。 2争议解决办法 ①采购人及供应商双方就采购合同所产生的任何争议都应该进行友好协商，协商解决不成的，任何一方均可向项目所在地人民法院提起诉讼。 ②在诉讼期间，除正在进行诉讼的部分外，合同其他部分继续执行。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采购人不组织统一考察现场。供应商应自行自费进行现场查勘，详细了解项目实施过程中的各种不确定（风险）因素，以确保报价的合理性，无论供应商对现场考察与否，都将被视为熟悉履行合同有关的一切情况，并承担一切有关的风险、责任和义务。成交后和签订合同时及项目实施过程中，成交人均不得以不了解现场情况为由，提出任何形式增加造价的要求，因场地问题及水、电费、车辆、设备、机具引起的成本费用增加，均由成交人自行承担，项目结算时金额不作调整。 （二）成交人必须满足采购人的各项管理规定，并采取相应的措施，各项费用包含在供应商报价中，采购人不额外支付任何费用。 （三）每次付款前，供应商须向采购人出具合法有效完整的增值税发票及凭证资料，付款方式均采用公对公的银行转账，供应商接受转账的开户信息以采购合同载明的为准；因供应商未及时出具合法有效完整的增值税发票及凭证资料，导致采购人无法结算支付金额或延期支付的，采购人不承担违约责任。 （四）采购人有权任意使用本项目涉及的相关知识产权，如有任何涉及知识产权的纠纷均与采购人无关，由供应商承担全部责任。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第三章</w:t>
      </w:r>
      <w:r>
        <w:rPr>
          <w:rFonts w:ascii="仿宋_GB2312" w:hAnsi="仿宋_GB2312" w:cs="仿宋_GB2312" w:eastAsia="仿宋_GB2312"/>
          <w:sz w:val="21"/>
        </w:rPr>
        <w:t>“技术、服务及其他要求”中“3.2.技术要求”，“3.3.服务要求，3.4其他要求”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w:t>
              <w:br/>
              <w:t>（2）还需提供：①若供应商为企业法人的，提供具有统一社会信用代码的“营业执照”扫描件；②若供应商为事业法人的，提供具有统一社会信用代码的“法人登记证书”扫描件；未换证的提交“事业法人登记证书扫描件；③若供应商为其他组织的，提供对应主管部门颁发的准许执业的证明文件或营业执照扫描件；④若供应商为自然人的，提供相关“身份证明材料”。</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供应商报价低于采购预算50%或者低于其他有效供应商报价算术平均价40%，有可能影响产品质量或者不能诚信履约的，评标委员会应当要求其在评标现场合理的时间内提供成本构成书面说明，并提交相关证明材料。供应商书面说明应当按照国家财务会计制度的规定要求，逐项就供应商提供的货物的主营业务成本、税金及附加、销售费用、管理费用、财务费用等成本构成事项详细陈述。 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 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c>
          <w:tcPr>
            <w:tcW w:type="dxa" w:w="1910"/>
          </w:tcPr>
          <w:p>
            <w:pPr>
              <w:pStyle w:val="null3"/>
              <w:jc w:val="left"/>
            </w:pPr>
            <w:r>
              <w:rPr>
                <w:rFonts w:ascii="仿宋_GB2312" w:hAnsi="仿宋_GB2312" w:cs="仿宋_GB2312" w:eastAsia="仿宋_GB2312"/>
              </w:rPr>
              <w:t>供应商应提交的相关证明材料,报价表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技术要求应答</w:t>
            </w:r>
          </w:p>
        </w:tc>
        <w:tc>
          <w:tcPr>
            <w:tcW w:type="dxa" w:w="3322"/>
          </w:tcPr>
          <w:p>
            <w:pPr>
              <w:pStyle w:val="null3"/>
              <w:jc w:val="left"/>
            </w:pPr>
            <w:r>
              <w:rPr>
                <w:rFonts w:ascii="仿宋_GB2312" w:hAnsi="仿宋_GB2312" w:cs="仿宋_GB2312" w:eastAsia="仿宋_GB2312"/>
              </w:rPr>
              <w:t>供应商对磋商文件第三章3.2技术要求进行响应应答需在项目电子化交易系统中按要求填写《技术要求应答表》并进行电子签章</w:t>
            </w:r>
          </w:p>
        </w:tc>
        <w:tc>
          <w:tcPr>
            <w:tcW w:type="dxa" w:w="1910"/>
          </w:tcPr>
          <w:p>
            <w:pPr>
              <w:pStyle w:val="null3"/>
              <w:jc w:val="left"/>
            </w:pPr>
            <w:r>
              <w:rPr>
                <w:rFonts w:ascii="仿宋_GB2312" w:hAnsi="仿宋_GB2312" w:cs="仿宋_GB2312" w:eastAsia="仿宋_GB2312"/>
              </w:rPr>
              <w:t>技术要求应答表.docx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服务内容要求应答</w:t>
            </w:r>
          </w:p>
        </w:tc>
        <w:tc>
          <w:tcPr>
            <w:tcW w:type="dxa" w:w="3322"/>
          </w:tcPr>
          <w:p>
            <w:pPr>
              <w:pStyle w:val="null3"/>
              <w:jc w:val="left"/>
            </w:pPr>
            <w:r>
              <w:rPr>
                <w:rFonts w:ascii="仿宋_GB2312" w:hAnsi="仿宋_GB2312" w:cs="仿宋_GB2312" w:eastAsia="仿宋_GB2312"/>
              </w:rPr>
              <w:t>供应商对磋商文件第三章3.3.1服务内容要求进行响应应答需在项目电子化交易系统中按要求填写《服务应答表》并进行电子签章</w:t>
            </w:r>
          </w:p>
        </w:tc>
        <w:tc>
          <w:tcPr>
            <w:tcW w:type="dxa" w:w="1910"/>
          </w:tcPr>
          <w:p>
            <w:pPr>
              <w:pStyle w:val="null3"/>
              <w:jc w:val="left"/>
            </w:pPr>
            <w:r>
              <w:rPr>
                <w:rFonts w:ascii="仿宋_GB2312" w:hAnsi="仿宋_GB2312" w:cs="仿宋_GB2312" w:eastAsia="仿宋_GB2312"/>
              </w:rPr>
              <w:t>服务应答表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商务要求应答</w:t>
            </w:r>
          </w:p>
        </w:tc>
        <w:tc>
          <w:tcPr>
            <w:tcW w:type="dxa" w:w="3322"/>
          </w:tcPr>
          <w:p>
            <w:pPr>
              <w:pStyle w:val="null3"/>
              <w:jc w:val="left"/>
            </w:pPr>
            <w:r>
              <w:rPr>
                <w:rFonts w:ascii="仿宋_GB2312" w:hAnsi="仿宋_GB2312" w:cs="仿宋_GB2312" w:eastAsia="仿宋_GB2312"/>
              </w:rPr>
              <w:t>供应商对磋商文件第三章3.3.2商务要求进行响应应答需在项目电子化交易系统中按要求填写《商务要求应答表》并进行电子签章</w:t>
            </w:r>
          </w:p>
        </w:tc>
        <w:tc>
          <w:tcPr>
            <w:tcW w:type="dxa" w:w="1910"/>
          </w:tcPr>
          <w:p>
            <w:pPr>
              <w:pStyle w:val="null3"/>
              <w:jc w:val="left"/>
            </w:pPr>
            <w:r>
              <w:rPr>
                <w:rFonts w:ascii="仿宋_GB2312" w:hAnsi="仿宋_GB2312" w:cs="仿宋_GB2312" w:eastAsia="仿宋_GB2312"/>
              </w:rPr>
              <w:t>商务要求应答表.docx</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其他要求应答</w:t>
            </w:r>
          </w:p>
        </w:tc>
        <w:tc>
          <w:tcPr>
            <w:tcW w:type="dxa" w:w="3322"/>
          </w:tcPr>
          <w:p>
            <w:pPr>
              <w:pStyle w:val="null3"/>
              <w:jc w:val="left"/>
            </w:pPr>
            <w:r>
              <w:rPr>
                <w:rFonts w:ascii="仿宋_GB2312" w:hAnsi="仿宋_GB2312" w:cs="仿宋_GB2312" w:eastAsia="仿宋_GB2312"/>
              </w:rPr>
              <w:t>供应商对磋商文件第三章3.4其他要求进行响应应答需在项目电子化交易系统中按要求填写《其他要求应答表》并进行电子签章</w:t>
            </w:r>
          </w:p>
        </w:tc>
        <w:tc>
          <w:tcPr>
            <w:tcW w:type="dxa" w:w="1910"/>
          </w:tcPr>
          <w:p>
            <w:pPr>
              <w:pStyle w:val="null3"/>
              <w:jc w:val="left"/>
            </w:pPr>
            <w:r>
              <w:rPr>
                <w:rFonts w:ascii="仿宋_GB2312" w:hAnsi="仿宋_GB2312" w:cs="仿宋_GB2312" w:eastAsia="仿宋_GB2312"/>
              </w:rPr>
              <w:t>其他要求应答表.docx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设计方案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磋商小组各成员根据供应商针对本项目提供的技术方案进行评分，包括不限于：①项目概况；②主题解读；③点位规划与专项效果图；④提示警示系统规划与专项效果图。方案完整的得20分，每缺一项扣5分，每有一处缺陷扣2.5分，扣完为止。注：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制作安装方案</w:t>
            </w:r>
          </w:p>
        </w:tc>
        <w:tc>
          <w:tcPr>
            <w:tcW w:type="dxa" w:w="2575"/>
          </w:tcPr>
          <w:p>
            <w:pPr>
              <w:pStyle w:val="null3"/>
              <w:jc w:val="left"/>
            </w:pPr>
            <w:r>
              <w:rPr>
                <w:rFonts w:ascii="仿宋_GB2312" w:hAnsi="仿宋_GB2312" w:cs="仿宋_GB2312" w:eastAsia="仿宋_GB2312"/>
              </w:rPr>
              <w:t>磋商小组各成员根据供应商针对本项目提供的制作安装方案进行评分，包括不限于：①科普宣传设施制作计划；②包装运输；③安装计划（含机具设备配置）；④应急预案；⑤安全文明施工保障（含生态文明施工方案、森林防火、野生动植物保护措施及道路交通安全保障方案）。方案完整的得20分，每缺一项扣4分，每有一处缺陷扣2分，扣完为止。注：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磋商小组各成员根据供应商针对本项目提供的售后服务方案进行评分，包括不限于：①售后服务保障措施、②售后服务人员安排、③售后服务响应机制。方案完整的得15分，每缺一项扣5分，每有一处缺陷扣2.5分，扣完为止。注：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质量保障方案</w:t>
            </w:r>
          </w:p>
        </w:tc>
        <w:tc>
          <w:tcPr>
            <w:tcW w:type="dxa" w:w="2575"/>
          </w:tcPr>
          <w:p>
            <w:pPr>
              <w:pStyle w:val="null3"/>
              <w:jc w:val="left"/>
            </w:pPr>
            <w:r>
              <w:rPr>
                <w:rFonts w:ascii="仿宋_GB2312" w:hAnsi="仿宋_GB2312" w:cs="仿宋_GB2312" w:eastAsia="仿宋_GB2312"/>
              </w:rPr>
              <w:t>磋商小组各成员根据供应商针对本项目提供的质量保障方案进行评分，包括不限于：①质量管理制度（含设计质量及制作安装）、②原材料质量保障措施、③制作工艺质量控制措施。方案完整的得12分，每缺一项扣4分，每有一处缺陷扣2分，扣完为止。注：缺陷是指：存在项目名称错误、地点区域错误，内容与本项目需求无关、方案内容矛盾或表述前后不一致、仅有框架或标题、适用的标准(方法)错误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1.供应商向本项目提供的服务团队人员配置要求为：设计人员2名、安装技术管理人员4名、售后服务人员2名、绘画人员3名的得5分，不提供或少提供不得分； 2.供应商在满足服务团队人员配置要求的基础上，每增加1名设计人员得1分，最多得2分；每增加1名安装技术管理人员得2分，最多得4分；每增加1名售后服务人员得1分，最多得2分、每增加1名绘画人员得1分，最多得2分；本项最高得10分。 注：①以上人员不重复计分；②提供有效期内的相关证书复印件加盖供应商公章；③以上人员必须是本单位人员，供应商须提供相应的证明材料复印件或承诺函加盖供应商公章；④未提供不得分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人员情况表.docx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提供2022年1月1日（以合同签订时间为准）以来类似项目服务业绩，每提供1个2分，最高得8分。注：以上业绩不重复计算。提供合同复印件（转包、分包合同无效），加盖供应商公章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详见附件：人员情况表.docx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详见附件：投标人类似项目业绩一览表.docx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