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C424A5">
      <w:pPr>
        <w:adjustRightInd w:val="0"/>
        <w:snapToGrid w:val="0"/>
        <w:spacing w:after="156" w:afterLines="50" w:line="360" w:lineRule="auto"/>
        <w:jc w:val="center"/>
        <w:outlineLvl w:val="0"/>
        <w:rPr>
          <w:rFonts w:hint="eastAsia" w:ascii="黑体" w:eastAsia="黑体"/>
          <w:b/>
          <w:color w:val="auto"/>
          <w:kern w:val="44"/>
          <w:sz w:val="48"/>
          <w:szCs w:val="20"/>
          <w:highlight w:val="none"/>
        </w:rPr>
      </w:pPr>
      <w:r>
        <w:rPr>
          <w:rFonts w:hint="eastAsia" w:ascii="宋体" w:hAnsi="宋体"/>
          <w:b/>
          <w:color w:val="auto"/>
          <w:sz w:val="30"/>
          <w:szCs w:val="30"/>
          <w:highlight w:val="none"/>
        </w:rPr>
        <w:t>第八部分 采购需求</w:t>
      </w:r>
    </w:p>
    <w:p w14:paraId="06AD991C">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货物需求一览表</w:t>
      </w:r>
    </w:p>
    <w:p w14:paraId="6FE8E9EF">
      <w:pPr>
        <w:adjustRightInd w:val="0"/>
        <w:snapToGrid w:val="0"/>
        <w:jc w:val="center"/>
        <w:rPr>
          <w:rFonts w:hint="eastAsia" w:ascii="宋体" w:hAnsi="宋体"/>
          <w:b/>
          <w:color w:val="auto"/>
          <w:sz w:val="30"/>
          <w:szCs w:val="30"/>
          <w:highlight w:val="none"/>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61755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5A8AC1E1">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357" w:type="dxa"/>
            <w:noWrap w:val="0"/>
            <w:vAlign w:val="center"/>
          </w:tcPr>
          <w:p w14:paraId="1F930821">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329" w:type="dxa"/>
            <w:noWrap w:val="0"/>
            <w:vAlign w:val="center"/>
          </w:tcPr>
          <w:p w14:paraId="70DA1D53">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2470" w:type="dxa"/>
            <w:noWrap w:val="0"/>
            <w:vAlign w:val="center"/>
          </w:tcPr>
          <w:p w14:paraId="666D33AF">
            <w:pPr>
              <w:jc w:val="center"/>
              <w:rPr>
                <w:rFonts w:ascii="宋体" w:hAnsi="Bookman Old Style"/>
                <w:b/>
                <w:bCs/>
                <w:color w:val="auto"/>
                <w:sz w:val="24"/>
                <w:highlight w:val="none"/>
              </w:rPr>
            </w:pPr>
            <w:r>
              <w:rPr>
                <w:rFonts w:hint="eastAsia" w:ascii="宋体" w:hAnsi="Bookman Old Style"/>
                <w:b/>
                <w:bCs/>
                <w:color w:val="auto"/>
                <w:sz w:val="24"/>
                <w:highlight w:val="none"/>
              </w:rPr>
              <w:t>是否接受进口</w:t>
            </w:r>
          </w:p>
        </w:tc>
      </w:tr>
      <w:tr w14:paraId="01F20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4C456393">
            <w:pPr>
              <w:jc w:val="center"/>
              <w:rPr>
                <w:rFonts w:hint="eastAsia" w:ascii="宋体"/>
                <w:color w:val="auto"/>
                <w:sz w:val="24"/>
                <w:highlight w:val="none"/>
              </w:rPr>
            </w:pPr>
            <w:r>
              <w:rPr>
                <w:rFonts w:hint="eastAsia" w:ascii="宋体"/>
                <w:color w:val="auto"/>
                <w:sz w:val="24"/>
                <w:highlight w:val="none"/>
              </w:rPr>
              <w:t>1</w:t>
            </w:r>
          </w:p>
        </w:tc>
        <w:tc>
          <w:tcPr>
            <w:tcW w:w="2357" w:type="dxa"/>
            <w:noWrap w:val="0"/>
            <w:vAlign w:val="center"/>
          </w:tcPr>
          <w:p w14:paraId="20FD0C30">
            <w:pPr>
              <w:jc w:val="center"/>
              <w:rPr>
                <w:rFonts w:hint="eastAsia" w:ascii="Bookman Old Style" w:hAnsi="Bookman Old Style"/>
                <w:color w:val="auto"/>
                <w:sz w:val="24"/>
                <w:highlight w:val="none"/>
              </w:rPr>
            </w:pPr>
            <w:r>
              <w:rPr>
                <w:rFonts w:ascii="宋体" w:hAnsi="宋体"/>
                <w:color w:val="auto"/>
                <w:sz w:val="24"/>
                <w:highlight w:val="none"/>
              </w:rPr>
              <w:t>全自动智能组织切片成像系统</w:t>
            </w:r>
          </w:p>
        </w:tc>
        <w:tc>
          <w:tcPr>
            <w:tcW w:w="1329" w:type="dxa"/>
            <w:noWrap w:val="0"/>
            <w:vAlign w:val="center"/>
          </w:tcPr>
          <w:p w14:paraId="581309DA">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2470" w:type="dxa"/>
            <w:noWrap w:val="0"/>
            <w:vAlign w:val="center"/>
          </w:tcPr>
          <w:p w14:paraId="53DF0863">
            <w:pPr>
              <w:jc w:val="center"/>
              <w:rPr>
                <w:rFonts w:ascii="宋体" w:hAnsi="Bookman Old Style"/>
                <w:b/>
                <w:bCs/>
                <w:color w:val="auto"/>
                <w:sz w:val="24"/>
                <w:highlight w:val="none"/>
              </w:rPr>
            </w:pPr>
            <w:r>
              <w:rPr>
                <w:rFonts w:hint="eastAsia" w:ascii="宋体" w:hAnsi="Bookman Old Style"/>
                <w:b/>
                <w:bCs/>
                <w:color w:val="auto"/>
                <w:sz w:val="24"/>
                <w:highlight w:val="none"/>
              </w:rPr>
              <w:t>否</w:t>
            </w:r>
          </w:p>
        </w:tc>
      </w:tr>
    </w:tbl>
    <w:p w14:paraId="1D99D599">
      <w:pPr>
        <w:adjustRightInd w:val="0"/>
        <w:snapToGrid w:val="0"/>
        <w:jc w:val="center"/>
        <w:rPr>
          <w:rFonts w:hint="eastAsia" w:ascii="宋体" w:hAnsi="宋体"/>
          <w:b/>
          <w:color w:val="auto"/>
          <w:sz w:val="30"/>
          <w:szCs w:val="30"/>
          <w:highlight w:val="none"/>
        </w:rPr>
      </w:pPr>
    </w:p>
    <w:p w14:paraId="611CFCF7">
      <w:pPr>
        <w:adjustRightInd w:val="0"/>
        <w:snapToGrid w:val="0"/>
        <w:jc w:val="center"/>
        <w:rPr>
          <w:rFonts w:hint="eastAsia" w:ascii="宋体" w:hAnsi="宋体"/>
          <w:b/>
          <w:color w:val="auto"/>
          <w:sz w:val="30"/>
          <w:szCs w:val="30"/>
          <w:highlight w:val="none"/>
        </w:rPr>
      </w:pPr>
    </w:p>
    <w:p w14:paraId="202E0B1B">
      <w:pPr>
        <w:rPr>
          <w:rFonts w:hint="eastAsia" w:ascii="Bookman Old Style" w:hAnsi="Bookman Old Style"/>
          <w:color w:val="auto"/>
          <w:sz w:val="24"/>
          <w:highlight w:val="none"/>
        </w:rPr>
      </w:pPr>
      <w:r>
        <w:rPr>
          <w:rFonts w:hint="eastAsia"/>
          <w:color w:val="auto"/>
          <w:sz w:val="24"/>
          <w:highlight w:val="none"/>
        </w:rPr>
        <w:t>注：投标人须对上述投标内容中完整的一包进行投标，</w:t>
      </w:r>
      <w:r>
        <w:rPr>
          <w:rFonts w:hint="eastAsia" w:ascii="Bookman Old Style" w:hAnsi="Bookman Old Style"/>
          <w:color w:val="auto"/>
          <w:sz w:val="24"/>
          <w:highlight w:val="none"/>
        </w:rPr>
        <w:t>不完整的投标将视为非响应性投标予以拒绝。</w:t>
      </w:r>
    </w:p>
    <w:p w14:paraId="01E6C6E2">
      <w:pPr>
        <w:adjustRightInd w:val="0"/>
        <w:snapToGrid w:val="0"/>
        <w:rPr>
          <w:rFonts w:hint="eastAsia" w:ascii="宋体" w:hAnsi="宋体"/>
          <w:color w:val="auto"/>
          <w:szCs w:val="21"/>
          <w:highlight w:val="none"/>
        </w:rPr>
      </w:pPr>
    </w:p>
    <w:p w14:paraId="322914D7">
      <w:pPr>
        <w:adjustRightInd w:val="0"/>
        <w:snapToGrid w:val="0"/>
        <w:rPr>
          <w:rFonts w:hint="eastAsia" w:ascii="宋体" w:hAnsi="宋体"/>
          <w:color w:val="auto"/>
          <w:szCs w:val="21"/>
          <w:highlight w:val="none"/>
        </w:rPr>
      </w:pPr>
    </w:p>
    <w:p w14:paraId="26BD7F7C">
      <w:pPr>
        <w:adjustRightInd w:val="0"/>
        <w:snapToGrid w:val="0"/>
        <w:rPr>
          <w:rFonts w:hint="eastAsia" w:ascii="宋体" w:hAnsi="宋体"/>
          <w:color w:val="auto"/>
          <w:szCs w:val="21"/>
          <w:highlight w:val="none"/>
        </w:rPr>
      </w:pPr>
    </w:p>
    <w:p w14:paraId="379AE117">
      <w:pPr>
        <w:adjustRightInd w:val="0"/>
        <w:snapToGrid w:val="0"/>
        <w:spacing w:line="360" w:lineRule="auto"/>
        <w:rPr>
          <w:rFonts w:ascii="宋体" w:hAnsi="宋体"/>
          <w:b/>
          <w:color w:val="auto"/>
          <w:sz w:val="28"/>
          <w:szCs w:val="28"/>
          <w:highlight w:val="none"/>
        </w:rPr>
      </w:pPr>
      <w:r>
        <w:rPr>
          <w:rFonts w:ascii="宋体" w:hAnsi="宋体"/>
          <w:b/>
          <w:color w:val="auto"/>
          <w:sz w:val="30"/>
          <w:szCs w:val="30"/>
          <w:highlight w:val="none"/>
        </w:rPr>
        <w:br w:type="page"/>
      </w:r>
      <w:r>
        <w:rPr>
          <w:rFonts w:hint="eastAsia" w:ascii="宋体" w:hAnsi="宋体"/>
          <w:b/>
          <w:color w:val="auto"/>
          <w:sz w:val="28"/>
          <w:szCs w:val="28"/>
          <w:highlight w:val="none"/>
        </w:rPr>
        <w:t>一、总则</w:t>
      </w:r>
    </w:p>
    <w:p w14:paraId="783DFFC3">
      <w:pPr>
        <w:adjustRightInd w:val="0"/>
        <w:snapToGrid w:val="0"/>
        <w:spacing w:line="360" w:lineRule="auto"/>
        <w:rPr>
          <w:rFonts w:ascii="宋体" w:hAnsi="宋体"/>
          <w:b/>
          <w:color w:val="auto"/>
          <w:sz w:val="28"/>
          <w:szCs w:val="28"/>
          <w:highlight w:val="none"/>
        </w:rPr>
      </w:pPr>
      <w:r>
        <w:rPr>
          <w:rFonts w:ascii="宋体" w:hAnsi="宋体"/>
          <w:b/>
          <w:color w:val="auto"/>
          <w:sz w:val="28"/>
          <w:szCs w:val="28"/>
          <w:highlight w:val="none"/>
        </w:rPr>
        <w:t>1</w:t>
      </w:r>
      <w:r>
        <w:rPr>
          <w:rFonts w:hint="eastAsia" w:ascii="宋体" w:hAnsi="宋体"/>
          <w:b/>
          <w:color w:val="auto"/>
          <w:sz w:val="28"/>
          <w:szCs w:val="28"/>
          <w:highlight w:val="none"/>
        </w:rPr>
        <w:t>、投标要求</w:t>
      </w:r>
    </w:p>
    <w:p w14:paraId="33024EA7">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513DDC2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20E0653">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w:t>
      </w:r>
    </w:p>
    <w:p w14:paraId="0947CF13">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FF64D43">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2、评标标准</w:t>
      </w:r>
    </w:p>
    <w:p w14:paraId="22B0C62F">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31D3D6BC">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3C71BEA8">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4D48EF81">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08188EFF">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3C341AAC">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3、工作条件</w:t>
      </w:r>
    </w:p>
    <w:p w14:paraId="4D602038">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6B610D1E">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57D6F7B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03D8B7FD">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50F4EDF8">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15E63A70">
      <w:pPr>
        <w:rPr>
          <w:rFonts w:hint="eastAsia" w:eastAsia="黑体"/>
          <w:b/>
          <w:bCs/>
          <w:color w:val="auto"/>
          <w:kern w:val="44"/>
          <w:sz w:val="24"/>
          <w:highlight w:val="none"/>
        </w:rPr>
      </w:pPr>
    </w:p>
    <w:p w14:paraId="6DB5ECC8">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4、验收标准</w:t>
      </w:r>
    </w:p>
    <w:p w14:paraId="6CE91BD0">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除非另有说明，所有仪器、设备和系统按下列要求进行验收：</w:t>
      </w:r>
      <w:r>
        <w:rPr>
          <w:rFonts w:ascii="宋体" w:hAnsi="宋体"/>
          <w:color w:val="auto"/>
          <w:sz w:val="24"/>
          <w:highlight w:val="none"/>
        </w:rPr>
        <w:t xml:space="preserve"> </w:t>
      </w:r>
    </w:p>
    <w:p w14:paraId="47CD9D6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41BEA992">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5A733A02">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654BF6F9">
      <w:pPr>
        <w:pStyle w:val="2"/>
        <w:spacing w:line="360" w:lineRule="auto"/>
        <w:ind w:left="410" w:hanging="410" w:hangingChars="170"/>
        <w:rPr>
          <w:rFonts w:hint="eastAsia" w:hAnsi="宋体"/>
          <w:b/>
          <w:color w:val="auto"/>
          <w:sz w:val="24"/>
          <w:szCs w:val="24"/>
          <w:highlight w:val="none"/>
        </w:rPr>
      </w:pPr>
    </w:p>
    <w:p w14:paraId="6D4187C1">
      <w:pPr>
        <w:adjustRightInd w:val="0"/>
        <w:snapToGrid w:val="0"/>
        <w:spacing w:line="360" w:lineRule="auto"/>
        <w:rPr>
          <w:rFonts w:hint="eastAsia" w:hAnsi="宋体"/>
          <w:b/>
          <w:color w:val="auto"/>
          <w:sz w:val="24"/>
          <w:highlight w:val="none"/>
        </w:rPr>
      </w:pPr>
      <w:r>
        <w:rPr>
          <w:rFonts w:hint="eastAsia"/>
          <w:b/>
          <w:bCs/>
          <w:color w:val="auto"/>
          <w:sz w:val="24"/>
          <w:highlight w:val="none"/>
        </w:rPr>
        <w:t>5、本采购需求书中标注“★”号技术条款的为实质性要求，不满足其投标将视为无效投标被拒绝。</w:t>
      </w:r>
    </w:p>
    <w:p w14:paraId="3C57C49A">
      <w:pPr>
        <w:adjustRightInd w:val="0"/>
        <w:snapToGrid w:val="0"/>
        <w:spacing w:line="360" w:lineRule="auto"/>
        <w:rPr>
          <w:rFonts w:hint="eastAsia" w:ascii="宋体" w:hAnsi="宋体"/>
          <w:b/>
          <w:color w:val="auto"/>
          <w:sz w:val="24"/>
          <w:highlight w:val="none"/>
        </w:rPr>
      </w:pPr>
    </w:p>
    <w:p w14:paraId="08899888">
      <w:pPr>
        <w:adjustRightInd w:val="0"/>
        <w:snapToGrid w:val="0"/>
        <w:spacing w:line="360" w:lineRule="auto"/>
        <w:rPr>
          <w:rFonts w:hint="eastAsia" w:ascii="宋体" w:hAnsi="宋体"/>
          <w:b/>
          <w:color w:val="auto"/>
          <w:sz w:val="24"/>
          <w:highlight w:val="none"/>
        </w:rPr>
      </w:pPr>
      <w:r>
        <w:rPr>
          <w:rFonts w:hint="eastAsia" w:ascii="宋体" w:hAnsi="宋体"/>
          <w:b/>
          <w:color w:val="auto"/>
          <w:sz w:val="24"/>
          <w:highlight w:val="none"/>
        </w:rPr>
        <w:t>6、如在具体规格要求中有本总则不一致之处，以具体规格中的要求为准。</w:t>
      </w:r>
    </w:p>
    <w:p w14:paraId="65790AE3">
      <w:pPr>
        <w:adjustRightInd w:val="0"/>
        <w:snapToGrid w:val="0"/>
        <w:spacing w:line="360" w:lineRule="auto"/>
        <w:rPr>
          <w:rFonts w:ascii="宋体" w:hAnsi="宋体"/>
          <w:b/>
          <w:color w:val="auto"/>
          <w:sz w:val="28"/>
          <w:szCs w:val="28"/>
          <w:highlight w:val="none"/>
        </w:rPr>
      </w:pPr>
      <w:r>
        <w:rPr>
          <w:rFonts w:ascii="宋体" w:hAnsi="宋体"/>
          <w:b/>
          <w:color w:val="auto"/>
          <w:sz w:val="28"/>
          <w:highlight w:val="none"/>
        </w:rPr>
        <w:br w:type="page"/>
      </w:r>
      <w:r>
        <w:rPr>
          <w:rFonts w:hint="eastAsia" w:ascii="宋体" w:hAnsi="宋体"/>
          <w:b/>
          <w:color w:val="auto"/>
          <w:sz w:val="28"/>
          <w:szCs w:val="28"/>
          <w:highlight w:val="none"/>
        </w:rPr>
        <w:t>二、具体规格要求</w:t>
      </w:r>
    </w:p>
    <w:p w14:paraId="65E6B56F">
      <w:pPr>
        <w:adjustRightInd w:val="0"/>
        <w:snapToGrid w:val="0"/>
        <w:spacing w:line="360" w:lineRule="auto"/>
        <w:rPr>
          <w:rFonts w:ascii="宋体" w:hAnsi="宋体"/>
          <w:b/>
          <w:bCs/>
          <w:color w:val="auto"/>
          <w:sz w:val="24"/>
          <w:highlight w:val="none"/>
        </w:rPr>
      </w:pPr>
      <w:r>
        <w:rPr>
          <w:rFonts w:hint="eastAsia" w:ascii="宋体" w:hAnsi="宋体"/>
          <w:b/>
          <w:color w:val="auto"/>
          <w:sz w:val="28"/>
          <w:szCs w:val="28"/>
          <w:highlight w:val="none"/>
        </w:rPr>
        <w:t>(一)技术要求</w:t>
      </w:r>
    </w:p>
    <w:p w14:paraId="41E1E604">
      <w:pPr>
        <w:keepNext/>
        <w:keepLines/>
        <w:numPr>
          <w:ilvl w:val="0"/>
          <w:numId w:val="1"/>
        </w:numPr>
        <w:adjustRightInd w:val="0"/>
        <w:snapToGrid w:val="0"/>
        <w:spacing w:line="360" w:lineRule="auto"/>
        <w:outlineLvl w:val="2"/>
        <w:rPr>
          <w:rFonts w:ascii="宋体" w:hAnsi="宋体"/>
          <w:b/>
          <w:color w:val="auto"/>
          <w:sz w:val="24"/>
          <w:highlight w:val="none"/>
        </w:rPr>
      </w:pPr>
      <w:r>
        <w:rPr>
          <w:rFonts w:ascii="宋体" w:hAnsi="宋体"/>
          <w:b/>
          <w:color w:val="auto"/>
          <w:sz w:val="24"/>
          <w:highlight w:val="none"/>
        </w:rPr>
        <w:t>设备用途及数量</w:t>
      </w:r>
    </w:p>
    <w:p w14:paraId="4EBE93C0">
      <w:pPr>
        <w:widowControl/>
        <w:numPr>
          <w:ilvl w:val="1"/>
          <w:numId w:val="1"/>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设备用途：用于组织切片全景成像，并配备高性能存储与分析服务器，用于图像数据的高速存储、处理及AI辅助分析。</w:t>
      </w:r>
    </w:p>
    <w:p w14:paraId="2E7DF2EA">
      <w:pPr>
        <w:widowControl/>
        <w:numPr>
          <w:ilvl w:val="1"/>
          <w:numId w:val="1"/>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购置数量：1套</w:t>
      </w:r>
    </w:p>
    <w:p w14:paraId="42425D00">
      <w:pPr>
        <w:keepNext/>
        <w:keepLines/>
        <w:numPr>
          <w:ilvl w:val="0"/>
          <w:numId w:val="1"/>
        </w:numPr>
        <w:adjustRightInd w:val="0"/>
        <w:snapToGrid w:val="0"/>
        <w:spacing w:line="360" w:lineRule="auto"/>
        <w:outlineLvl w:val="2"/>
        <w:rPr>
          <w:rFonts w:ascii="宋体" w:hAnsi="宋体"/>
          <w:b/>
          <w:color w:val="auto"/>
          <w:sz w:val="24"/>
          <w:highlight w:val="none"/>
        </w:rPr>
      </w:pPr>
      <w:r>
        <w:rPr>
          <w:rFonts w:ascii="宋体" w:hAnsi="宋体"/>
          <w:b/>
          <w:color w:val="auto"/>
          <w:sz w:val="24"/>
          <w:highlight w:val="none"/>
        </w:rPr>
        <w:t>工作条件：</w:t>
      </w:r>
    </w:p>
    <w:p w14:paraId="1DC1617E">
      <w:pPr>
        <w:widowControl/>
        <w:numPr>
          <w:ilvl w:val="1"/>
          <w:numId w:val="1"/>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适于在电源220V，常温条件下运行。</w:t>
      </w:r>
    </w:p>
    <w:p w14:paraId="7A1C2832">
      <w:pPr>
        <w:keepNext/>
        <w:keepLines/>
        <w:numPr>
          <w:ilvl w:val="0"/>
          <w:numId w:val="1"/>
        </w:numPr>
        <w:adjustRightInd w:val="0"/>
        <w:snapToGrid w:val="0"/>
        <w:spacing w:line="360" w:lineRule="auto"/>
        <w:outlineLvl w:val="2"/>
        <w:rPr>
          <w:rFonts w:hint="eastAsia" w:ascii="宋体" w:hAnsi="宋体"/>
          <w:color w:val="auto"/>
          <w:sz w:val="24"/>
          <w:highlight w:val="none"/>
        </w:rPr>
      </w:pPr>
      <w:r>
        <w:rPr>
          <w:rFonts w:ascii="宋体" w:hAnsi="宋体"/>
          <w:b/>
          <w:color w:val="auto"/>
          <w:sz w:val="24"/>
          <w:highlight w:val="none"/>
        </w:rPr>
        <w:t>技术参数要求</w:t>
      </w:r>
      <w:r>
        <w:rPr>
          <w:rFonts w:hint="eastAsia" w:ascii="宋体" w:hAnsi="宋体"/>
          <w:b/>
          <w:color w:val="auto"/>
          <w:sz w:val="24"/>
          <w:highlight w:val="none"/>
        </w:rPr>
        <w:t>：</w:t>
      </w:r>
    </w:p>
    <w:p w14:paraId="5C30A945">
      <w:pPr>
        <w:numPr>
          <w:ilvl w:val="1"/>
          <w:numId w:val="1"/>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★高端物镜：4</w:t>
      </w:r>
      <w:r>
        <w:rPr>
          <w:rFonts w:ascii="宋体" w:hAnsi="宋体"/>
          <w:color w:val="auto"/>
          <w:sz w:val="24"/>
          <w:highlight w:val="none"/>
        </w:rPr>
        <w:t>0</w:t>
      </w:r>
      <w:bookmarkStart w:id="0" w:name="OLE_LINK4"/>
      <w:r>
        <w:rPr>
          <w:rFonts w:ascii="宋体" w:hAnsi="宋体"/>
          <w:color w:val="auto"/>
          <w:sz w:val="24"/>
          <w:highlight w:val="none"/>
        </w:rPr>
        <w:t>×</w:t>
      </w:r>
      <w:bookmarkEnd w:id="0"/>
      <w:r>
        <w:rPr>
          <w:rFonts w:hint="eastAsia" w:ascii="宋体" w:hAnsi="宋体"/>
          <w:color w:val="auto"/>
          <w:sz w:val="24"/>
          <w:highlight w:val="none"/>
        </w:rPr>
        <w:t>，扫描分辨率精度≤</w:t>
      </w:r>
      <w:r>
        <w:rPr>
          <w:rFonts w:ascii="宋体" w:hAnsi="宋体"/>
          <w:color w:val="auto"/>
          <w:sz w:val="24"/>
          <w:highlight w:val="none"/>
        </w:rPr>
        <w:t>0.26μm/pixel；</w:t>
      </w:r>
    </w:p>
    <w:p w14:paraId="5FF7DCCF">
      <w:pPr>
        <w:widowControl/>
        <w:numPr>
          <w:ilvl w:val="1"/>
          <w:numId w:val="1"/>
        </w:numPr>
        <w:adjustRightInd w:val="0"/>
        <w:snapToGrid w:val="0"/>
        <w:spacing w:line="360" w:lineRule="auto"/>
        <w:ind w:left="992"/>
        <w:textAlignment w:val="center"/>
        <w:rPr>
          <w:rFonts w:ascii="宋体" w:hAnsi="宋体"/>
          <w:color w:val="auto"/>
          <w:sz w:val="24"/>
          <w:highlight w:val="none"/>
        </w:rPr>
      </w:pPr>
      <w:r>
        <w:rPr>
          <w:rFonts w:hint="eastAsia" w:ascii="宋体" w:hAnsi="宋体"/>
          <w:color w:val="auto"/>
          <w:sz w:val="24"/>
          <w:highlight w:val="none"/>
        </w:rPr>
        <w:t>★实时对焦：获取对焦数据和应用对焦地图扫描之间没有时间延迟，可扫描厚薄不均等</w:t>
      </w:r>
      <w:r>
        <w:rPr>
          <w:rFonts w:ascii="宋体" w:hAnsi="宋体"/>
          <w:color w:val="auto"/>
          <w:sz w:val="24"/>
          <w:highlight w:val="none"/>
        </w:rPr>
        <w:t>特殊玻片或不良玻片，以获得高质量图像；</w:t>
      </w:r>
    </w:p>
    <w:p w14:paraId="501DFEE8">
      <w:pPr>
        <w:widowControl/>
        <w:numPr>
          <w:ilvl w:val="1"/>
          <w:numId w:val="1"/>
        </w:numPr>
        <w:adjustRightInd w:val="0"/>
        <w:snapToGrid w:val="0"/>
        <w:spacing w:line="360" w:lineRule="auto"/>
        <w:ind w:left="992"/>
        <w:textAlignment w:val="center"/>
        <w:rPr>
          <w:rFonts w:ascii="宋体" w:hAnsi="宋体"/>
          <w:color w:val="auto"/>
          <w:sz w:val="24"/>
          <w:highlight w:val="none"/>
        </w:rPr>
      </w:pPr>
      <w:r>
        <w:rPr>
          <w:rFonts w:hint="eastAsia" w:ascii="宋体" w:hAnsi="宋体"/>
          <w:color w:val="auto"/>
          <w:sz w:val="24"/>
          <w:highlight w:val="none"/>
        </w:rPr>
        <w:t>★扫描速度：</w:t>
      </w:r>
      <w:r>
        <w:rPr>
          <w:rFonts w:ascii="宋体" w:hAnsi="宋体"/>
          <w:color w:val="auto"/>
          <w:sz w:val="24"/>
          <w:highlight w:val="none"/>
        </w:rPr>
        <w:t>40×</w:t>
      </w:r>
      <w:r>
        <w:rPr>
          <w:rFonts w:hint="eastAsia" w:ascii="宋体" w:hAnsi="宋体"/>
          <w:color w:val="auto"/>
          <w:sz w:val="24"/>
          <w:highlight w:val="none"/>
        </w:rPr>
        <w:t>物镜</w:t>
      </w:r>
      <w:r>
        <w:rPr>
          <w:rFonts w:ascii="宋体" w:hAnsi="宋体"/>
          <w:color w:val="auto"/>
          <w:sz w:val="24"/>
          <w:highlight w:val="none"/>
        </w:rPr>
        <w:t>下每张玻片（范围：</w:t>
      </w:r>
      <w:r>
        <w:rPr>
          <w:rFonts w:hint="eastAsia" w:ascii="宋体" w:hAnsi="宋体"/>
          <w:color w:val="auto"/>
          <w:sz w:val="24"/>
          <w:highlight w:val="none"/>
        </w:rPr>
        <w:t>15</w:t>
      </w:r>
      <w:r>
        <w:rPr>
          <w:rFonts w:ascii="宋体" w:hAnsi="宋体"/>
          <w:color w:val="auto"/>
          <w:sz w:val="24"/>
          <w:highlight w:val="none"/>
        </w:rPr>
        <w:t>mm×</w:t>
      </w:r>
      <w:r>
        <w:rPr>
          <w:rFonts w:hint="eastAsia" w:ascii="宋体" w:hAnsi="宋体"/>
          <w:color w:val="auto"/>
          <w:sz w:val="24"/>
          <w:highlight w:val="none"/>
        </w:rPr>
        <w:t>15</w:t>
      </w:r>
      <w:r>
        <w:rPr>
          <w:rFonts w:ascii="宋体" w:hAnsi="宋体"/>
          <w:color w:val="auto"/>
          <w:sz w:val="24"/>
          <w:highlight w:val="none"/>
        </w:rPr>
        <w:t>mm）</w:t>
      </w:r>
      <w:r>
        <w:rPr>
          <w:rFonts w:hint="eastAsia" w:ascii="宋体" w:hAnsi="宋体"/>
          <w:color w:val="auto"/>
          <w:sz w:val="24"/>
          <w:highlight w:val="none"/>
        </w:rPr>
        <w:t>扫描</w:t>
      </w:r>
      <w:r>
        <w:rPr>
          <w:rFonts w:ascii="宋体" w:hAnsi="宋体"/>
          <w:color w:val="auto"/>
          <w:sz w:val="24"/>
          <w:highlight w:val="none"/>
        </w:rPr>
        <w:t>时间≤</w:t>
      </w:r>
      <w:r>
        <w:rPr>
          <w:rFonts w:hint="eastAsia" w:ascii="宋体" w:hAnsi="宋体"/>
          <w:color w:val="auto"/>
          <w:sz w:val="24"/>
          <w:highlight w:val="none"/>
        </w:rPr>
        <w:t>32</w:t>
      </w:r>
      <w:r>
        <w:rPr>
          <w:rFonts w:ascii="宋体" w:hAnsi="宋体"/>
          <w:color w:val="auto"/>
          <w:sz w:val="24"/>
          <w:highlight w:val="none"/>
        </w:rPr>
        <w:t>s；</w:t>
      </w:r>
    </w:p>
    <w:p w14:paraId="2E65A956">
      <w:pPr>
        <w:widowControl/>
        <w:numPr>
          <w:ilvl w:val="1"/>
          <w:numId w:val="1"/>
        </w:numPr>
        <w:adjustRightInd w:val="0"/>
        <w:snapToGrid w:val="0"/>
        <w:spacing w:line="360" w:lineRule="auto"/>
        <w:textAlignment w:val="center"/>
        <w:rPr>
          <w:rFonts w:ascii="宋体" w:hAnsi="宋体"/>
          <w:color w:val="auto"/>
          <w:sz w:val="24"/>
          <w:highlight w:val="none"/>
        </w:rPr>
      </w:pPr>
      <w:bookmarkStart w:id="1" w:name="OLE_LINK3"/>
      <w:r>
        <w:rPr>
          <w:rFonts w:hint="eastAsia" w:ascii="宋体" w:hAnsi="宋体"/>
          <w:color w:val="auto"/>
          <w:sz w:val="24"/>
          <w:highlight w:val="none"/>
        </w:rPr>
        <w:t>★</w:t>
      </w:r>
      <w:r>
        <w:rPr>
          <w:rFonts w:ascii="宋体" w:hAnsi="宋体"/>
          <w:color w:val="auto"/>
          <w:sz w:val="24"/>
          <w:highlight w:val="none"/>
        </w:rPr>
        <w:t>组织识别功能：每次扫描玻片自动别识率&gt;99.5%，自动智能排除玻片上残留物、灰尘和记号标记等；</w:t>
      </w:r>
    </w:p>
    <w:p w14:paraId="26B0CDDA">
      <w:pPr>
        <w:widowControl/>
        <w:numPr>
          <w:ilvl w:val="1"/>
          <w:numId w:val="1"/>
        </w:numPr>
        <w:adjustRightInd w:val="0"/>
        <w:snapToGrid w:val="0"/>
        <w:spacing w:line="360" w:lineRule="auto"/>
        <w:textAlignment w:val="center"/>
        <w:rPr>
          <w:rFonts w:ascii="宋体" w:hAnsi="宋体"/>
          <w:color w:val="auto"/>
          <w:sz w:val="24"/>
          <w:highlight w:val="none"/>
        </w:rPr>
      </w:pPr>
      <w:r>
        <w:rPr>
          <w:rFonts w:hint="eastAsia" w:ascii="宋体" w:hAnsi="宋体"/>
          <w:color w:val="auto"/>
          <w:sz w:val="24"/>
          <w:highlight w:val="none"/>
        </w:rPr>
        <w:t>★</w:t>
      </w:r>
      <w:r>
        <w:rPr>
          <w:rFonts w:ascii="宋体" w:hAnsi="宋体"/>
          <w:color w:val="auto"/>
          <w:kern w:val="0"/>
          <w:sz w:val="24"/>
          <w:highlight w:val="none"/>
        </w:rPr>
        <w:t>自动图像质量检测功能：扫描每张玻片时，进行玻片校准和对图质量自动检测，</w:t>
      </w:r>
      <w:r>
        <w:rPr>
          <w:rFonts w:hint="eastAsia" w:ascii="宋体" w:hAnsi="宋体"/>
          <w:color w:val="auto"/>
          <w:kern w:val="0"/>
          <w:sz w:val="24"/>
          <w:highlight w:val="none"/>
        </w:rPr>
        <w:t>并在扫描仪主机显示屏上显示玻片图像扫描质量状态</w:t>
      </w:r>
      <w:r>
        <w:rPr>
          <w:rFonts w:ascii="宋体" w:hAnsi="宋体"/>
          <w:color w:val="auto"/>
          <w:kern w:val="0"/>
          <w:sz w:val="24"/>
          <w:highlight w:val="none"/>
        </w:rPr>
        <w:t>；</w:t>
      </w:r>
    </w:p>
    <w:p w14:paraId="621422BD">
      <w:pPr>
        <w:widowControl/>
        <w:numPr>
          <w:ilvl w:val="1"/>
          <w:numId w:val="1"/>
        </w:numPr>
        <w:adjustRightInd w:val="0"/>
        <w:snapToGrid w:val="0"/>
        <w:spacing w:line="360" w:lineRule="auto"/>
        <w:textAlignment w:val="center"/>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扫描功能：可实现无人值守全自动扫描，单次最大装载量不低于</w:t>
      </w:r>
      <w:r>
        <w:rPr>
          <w:rFonts w:hint="eastAsia" w:ascii="宋体" w:hAnsi="宋体"/>
          <w:color w:val="auto"/>
          <w:sz w:val="24"/>
          <w:highlight w:val="none"/>
        </w:rPr>
        <w:t>3</w:t>
      </w:r>
      <w:r>
        <w:rPr>
          <w:rFonts w:ascii="宋体" w:hAnsi="宋体"/>
          <w:color w:val="auto"/>
          <w:sz w:val="24"/>
          <w:highlight w:val="none"/>
        </w:rPr>
        <w:t>60张</w:t>
      </w:r>
      <w:r>
        <w:rPr>
          <w:rFonts w:hint="eastAsia" w:ascii="宋体" w:hAnsi="宋体"/>
          <w:color w:val="auto"/>
          <w:sz w:val="24"/>
          <w:highlight w:val="none"/>
        </w:rPr>
        <w:t>常规</w:t>
      </w:r>
      <w:r>
        <w:rPr>
          <w:rFonts w:ascii="宋体" w:hAnsi="宋体"/>
          <w:color w:val="auto"/>
          <w:sz w:val="24"/>
          <w:highlight w:val="none"/>
        </w:rPr>
        <w:t>玻片；在不暂停扫描状态下，可通过触摸屏设置玻片架的扫描优先程序</w:t>
      </w:r>
      <w:r>
        <w:rPr>
          <w:rFonts w:hint="eastAsia" w:ascii="宋体" w:hAnsi="宋体"/>
          <w:color w:val="auto"/>
          <w:sz w:val="24"/>
          <w:highlight w:val="none"/>
        </w:rPr>
        <w:t>；</w:t>
      </w:r>
    </w:p>
    <w:p w14:paraId="77D31DF2">
      <w:pPr>
        <w:widowControl/>
        <w:numPr>
          <w:ilvl w:val="1"/>
          <w:numId w:val="1"/>
        </w:numPr>
        <w:adjustRightInd w:val="0"/>
        <w:snapToGrid w:val="0"/>
        <w:spacing w:line="360" w:lineRule="auto"/>
        <w:textAlignment w:val="center"/>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标签识别功能：兼容ID和 2D条码，能够对接</w:t>
      </w:r>
      <w:r>
        <w:rPr>
          <w:rFonts w:hint="eastAsia" w:ascii="宋体" w:hAnsi="宋体"/>
          <w:color w:val="auto"/>
          <w:sz w:val="24"/>
          <w:highlight w:val="none"/>
        </w:rPr>
        <w:t>LI</w:t>
      </w:r>
      <w:r>
        <w:rPr>
          <w:rFonts w:ascii="宋体" w:hAnsi="宋体"/>
          <w:color w:val="auto"/>
          <w:sz w:val="24"/>
          <w:highlight w:val="none"/>
        </w:rPr>
        <w:t>S，LIMS</w:t>
      </w:r>
      <w:r>
        <w:rPr>
          <w:rFonts w:hint="eastAsia" w:ascii="宋体" w:hAnsi="宋体"/>
          <w:color w:val="auto"/>
          <w:sz w:val="24"/>
          <w:highlight w:val="none"/>
        </w:rPr>
        <w:t>、</w:t>
      </w:r>
      <w:r>
        <w:rPr>
          <w:rFonts w:ascii="宋体" w:hAnsi="宋体"/>
          <w:color w:val="auto"/>
          <w:sz w:val="24"/>
          <w:highlight w:val="none"/>
        </w:rPr>
        <w:t>PAC</w:t>
      </w:r>
      <w:r>
        <w:rPr>
          <w:rFonts w:hint="eastAsia" w:ascii="宋体" w:hAnsi="宋体"/>
          <w:color w:val="auto"/>
          <w:sz w:val="24"/>
          <w:highlight w:val="none"/>
        </w:rPr>
        <w:t>S</w:t>
      </w:r>
      <w:r>
        <w:rPr>
          <w:rFonts w:ascii="宋体" w:hAnsi="宋体"/>
          <w:color w:val="auto"/>
          <w:sz w:val="24"/>
          <w:highlight w:val="none"/>
        </w:rPr>
        <w:t>（HL7）和PACS 等</w:t>
      </w:r>
      <w:r>
        <w:rPr>
          <w:rFonts w:hint="eastAsia" w:ascii="宋体" w:hAnsi="宋体"/>
          <w:color w:val="auto"/>
          <w:sz w:val="24"/>
          <w:highlight w:val="none"/>
        </w:rPr>
        <w:t>；</w:t>
      </w:r>
    </w:p>
    <w:p w14:paraId="799727AA">
      <w:pPr>
        <w:widowControl/>
        <w:numPr>
          <w:ilvl w:val="1"/>
          <w:numId w:val="1"/>
        </w:numPr>
        <w:adjustRightInd w:val="0"/>
        <w:snapToGrid w:val="0"/>
        <w:spacing w:line="360" w:lineRule="auto"/>
        <w:ind w:left="992"/>
        <w:textAlignment w:val="center"/>
        <w:rPr>
          <w:rFonts w:ascii="宋体" w:hAnsi="宋体"/>
          <w:color w:val="auto"/>
          <w:sz w:val="24"/>
          <w:highlight w:val="none"/>
        </w:rPr>
      </w:pPr>
      <w:r>
        <w:rPr>
          <w:rFonts w:hint="eastAsia" w:ascii="宋体" w:hAnsi="宋体"/>
          <w:color w:val="auto"/>
          <w:sz w:val="24"/>
          <w:highlight w:val="none"/>
        </w:rPr>
        <w:t>▲</w:t>
      </w:r>
      <w:bookmarkEnd w:id="1"/>
      <w:r>
        <w:rPr>
          <w:rFonts w:hint="eastAsia" w:ascii="宋体" w:hAnsi="宋体"/>
          <w:color w:val="auto"/>
          <w:sz w:val="24"/>
          <w:highlight w:val="none"/>
        </w:rPr>
        <w:t>放入玻片架后无需任何人工操作或人工设置扫描程序，设备可自动感应玻片和玻片上组织后即可启动全自动识别和扫描功能；</w:t>
      </w:r>
      <w:r>
        <w:rPr>
          <w:rFonts w:ascii="宋体" w:hAnsi="宋体"/>
          <w:color w:val="auto"/>
          <w:sz w:val="24"/>
          <w:highlight w:val="none"/>
        </w:rPr>
        <w:t xml:space="preserve"> </w:t>
      </w:r>
    </w:p>
    <w:p w14:paraId="54B16F17">
      <w:pPr>
        <w:numPr>
          <w:ilvl w:val="1"/>
          <w:numId w:val="1"/>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▲扫描仪机身显示屏能够通过不同颜色实时显示玻片扫描状态：可用玻片架、正在扫描、等待扫描、扫描完成、优先扫描、警告报错</w:t>
      </w:r>
      <w:r>
        <w:rPr>
          <w:rFonts w:ascii="宋体" w:hAnsi="宋体"/>
          <w:color w:val="auto"/>
          <w:sz w:val="24"/>
          <w:highlight w:val="none"/>
        </w:rPr>
        <w:t>；</w:t>
      </w:r>
    </w:p>
    <w:p w14:paraId="64B89B52">
      <w:pPr>
        <w:numPr>
          <w:ilvl w:val="1"/>
          <w:numId w:val="1"/>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▲扫描仪机身显示屏上可显示玻片扫描状态（如：扫描数量、平均扫描时间、平均扫描面积等），统计可分为周/月/年数据；</w:t>
      </w:r>
    </w:p>
    <w:p w14:paraId="583419B1">
      <w:pPr>
        <w:numPr>
          <w:ilvl w:val="1"/>
          <w:numId w:val="1"/>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▲扫描仪上载玻片架为标准玻片架，实现直接上载扫描；</w:t>
      </w:r>
    </w:p>
    <w:p w14:paraId="271AF807">
      <w:pPr>
        <w:numPr>
          <w:ilvl w:val="1"/>
          <w:numId w:val="1"/>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设备外观设计：扫描设备进行一体化设计，拆装方便</w:t>
      </w:r>
      <w:r>
        <w:rPr>
          <w:rFonts w:ascii="宋体" w:hAnsi="宋体"/>
          <w:color w:val="auto"/>
          <w:sz w:val="24"/>
          <w:highlight w:val="none"/>
        </w:rPr>
        <w:t>；</w:t>
      </w:r>
    </w:p>
    <w:p w14:paraId="4023375E">
      <w:pPr>
        <w:numPr>
          <w:ilvl w:val="1"/>
          <w:numId w:val="1"/>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扫描仪要配备有设备使用视频、设备常见故障处理视频，可以通过显示器在急需状态下播放，可以帮助用户实时解决问题，并保证日常正常使用。</w:t>
      </w:r>
    </w:p>
    <w:p w14:paraId="6058B205">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3.14</w:t>
      </w:r>
      <w:r>
        <w:rPr>
          <w:rFonts w:ascii="宋体" w:hAnsi="宋体"/>
          <w:color w:val="auto"/>
          <w:kern w:val="0"/>
          <w:sz w:val="24"/>
          <w:highlight w:val="none"/>
        </w:rPr>
        <w:t>配备高性能病理图像存储和分析服务器1台</w:t>
      </w:r>
    </w:p>
    <w:p w14:paraId="27DBDF11">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3.14.1 </w:t>
      </w:r>
      <w:r>
        <w:rPr>
          <w:rFonts w:ascii="宋体" w:hAnsi="宋体"/>
          <w:color w:val="auto"/>
          <w:kern w:val="0"/>
          <w:sz w:val="24"/>
          <w:highlight w:val="none"/>
        </w:rPr>
        <w:t>处理器（CPU）: 2颗AMD EPYC™ 9555，64核心128线程，主频3.2-4.4GHz，缓存256MB，功耗360W；</w:t>
      </w:r>
    </w:p>
    <w:p w14:paraId="1F9A2F50">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3.14.2 </w:t>
      </w:r>
      <w:r>
        <w:rPr>
          <w:rFonts w:ascii="宋体" w:hAnsi="宋体"/>
          <w:color w:val="auto"/>
          <w:kern w:val="0"/>
          <w:sz w:val="24"/>
          <w:highlight w:val="none"/>
        </w:rPr>
        <w:t>主板（MB）：</w:t>
      </w:r>
      <w:r>
        <w:rPr>
          <w:rFonts w:ascii="宋体" w:hAnsi="宋体"/>
          <w:color w:val="auto"/>
          <w:kern w:val="0"/>
          <w:sz w:val="24"/>
          <w:highlight w:val="none"/>
          <w:lang w:bidi="ar"/>
        </w:rPr>
        <w:t>1块双路AMD SP5服务器主板，支持AMD EPYC™ 9005系列处理器，兼容AMD EPYC™ 9555；配置2个SP5 CPU插槽，支持双路处理器运行，提供不少于</w:t>
      </w:r>
      <w:r>
        <w:rPr>
          <w:rFonts w:hint="eastAsia" w:ascii="宋体" w:hAnsi="宋体"/>
          <w:color w:val="auto"/>
          <w:kern w:val="0"/>
          <w:sz w:val="24"/>
          <w:highlight w:val="none"/>
          <w:lang w:bidi="ar"/>
        </w:rPr>
        <w:t>16</w:t>
      </w:r>
      <w:r>
        <w:rPr>
          <w:rFonts w:ascii="宋体" w:hAnsi="宋体"/>
          <w:color w:val="auto"/>
          <w:kern w:val="0"/>
          <w:sz w:val="24"/>
          <w:highlight w:val="none"/>
          <w:lang w:bidi="ar"/>
        </w:rPr>
        <w:t>个DDR5 ECC RDIMM内存插槽，每颗CPU支持</w:t>
      </w:r>
      <w:r>
        <w:rPr>
          <w:rFonts w:hint="eastAsia" w:ascii="宋体" w:hAnsi="宋体"/>
          <w:color w:val="auto"/>
          <w:kern w:val="0"/>
          <w:sz w:val="24"/>
          <w:highlight w:val="none"/>
          <w:lang w:bidi="ar"/>
        </w:rPr>
        <w:t>8</w:t>
      </w:r>
      <w:r>
        <w:rPr>
          <w:rFonts w:ascii="宋体" w:hAnsi="宋体"/>
          <w:color w:val="auto"/>
          <w:kern w:val="0"/>
          <w:sz w:val="24"/>
          <w:highlight w:val="none"/>
          <w:lang w:bidi="ar"/>
        </w:rPr>
        <w:t>通道内存，在搭配AMD EPYC 9005系列处理器时支持DDR5-6400 MT/s</w:t>
      </w:r>
      <w:r>
        <w:rPr>
          <w:rFonts w:ascii="宋体" w:hAnsi="宋体"/>
          <w:color w:val="auto"/>
          <w:kern w:val="0"/>
          <w:sz w:val="24"/>
          <w:highlight w:val="none"/>
        </w:rPr>
        <w:t>；</w:t>
      </w:r>
    </w:p>
    <w:p w14:paraId="658F5836">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3.14.3 </w:t>
      </w:r>
      <w:r>
        <w:rPr>
          <w:rFonts w:ascii="宋体" w:hAnsi="宋体"/>
          <w:color w:val="auto"/>
          <w:kern w:val="0"/>
          <w:sz w:val="24"/>
          <w:highlight w:val="none"/>
        </w:rPr>
        <w:t>内存（RAM）：</w:t>
      </w:r>
      <w:r>
        <w:rPr>
          <w:rFonts w:hint="eastAsia" w:ascii="宋体" w:hAnsi="宋体"/>
          <w:color w:val="auto"/>
          <w:kern w:val="0"/>
          <w:sz w:val="24"/>
          <w:highlight w:val="none"/>
        </w:rPr>
        <w:t>16</w:t>
      </w:r>
      <w:r>
        <w:rPr>
          <w:rFonts w:ascii="宋体" w:hAnsi="宋体"/>
          <w:color w:val="auto"/>
          <w:kern w:val="0"/>
          <w:sz w:val="24"/>
          <w:highlight w:val="none"/>
        </w:rPr>
        <w:t xml:space="preserve">条Samsung/Micron/SK Hynix DDR5 RECC 32GB </w:t>
      </w:r>
      <w:r>
        <w:rPr>
          <w:rFonts w:hint="eastAsia" w:ascii="宋体" w:hAnsi="宋体"/>
          <w:color w:val="auto"/>
          <w:kern w:val="0"/>
          <w:sz w:val="24"/>
          <w:highlight w:val="none"/>
        </w:rPr>
        <w:t xml:space="preserve">6400 </w:t>
      </w:r>
      <w:r>
        <w:rPr>
          <w:rFonts w:ascii="宋体" w:hAnsi="宋体"/>
          <w:color w:val="auto"/>
          <w:kern w:val="0"/>
          <w:sz w:val="24"/>
          <w:highlight w:val="none"/>
        </w:rPr>
        <w:t>MHz，合计</w:t>
      </w:r>
      <w:r>
        <w:rPr>
          <w:rFonts w:hint="eastAsia" w:ascii="宋体" w:hAnsi="宋体"/>
          <w:color w:val="auto"/>
          <w:kern w:val="0"/>
          <w:sz w:val="24"/>
          <w:highlight w:val="none"/>
        </w:rPr>
        <w:t>512</w:t>
      </w:r>
      <w:r>
        <w:rPr>
          <w:rFonts w:ascii="宋体" w:hAnsi="宋体"/>
          <w:color w:val="auto"/>
          <w:kern w:val="0"/>
          <w:sz w:val="24"/>
          <w:highlight w:val="none"/>
        </w:rPr>
        <w:t>GB；</w:t>
      </w:r>
    </w:p>
    <w:p w14:paraId="69EBF2F9">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3.14.4 </w:t>
      </w:r>
      <w:r>
        <w:rPr>
          <w:rFonts w:ascii="宋体" w:hAnsi="宋体"/>
          <w:color w:val="auto"/>
          <w:kern w:val="0"/>
          <w:sz w:val="24"/>
          <w:highlight w:val="none"/>
        </w:rPr>
        <w:t>系统盘（SSD）：2块1.92TB NVMe U.2 SSD企业级固态硬盘；</w:t>
      </w:r>
    </w:p>
    <w:p w14:paraId="72EC089B">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3.14.5 </w:t>
      </w:r>
      <w:r>
        <w:rPr>
          <w:rFonts w:ascii="宋体" w:hAnsi="宋体"/>
          <w:color w:val="auto"/>
          <w:kern w:val="0"/>
          <w:sz w:val="24"/>
          <w:highlight w:val="none"/>
        </w:rPr>
        <w:t>数据盘（SSD）：2块7.68TB NVMe U.2 SSD企业级固态硬盘；</w:t>
      </w:r>
    </w:p>
    <w:p w14:paraId="630D5B60">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3.14.6 </w:t>
      </w:r>
      <w:r>
        <w:rPr>
          <w:rFonts w:ascii="宋体" w:hAnsi="宋体"/>
          <w:color w:val="auto"/>
          <w:kern w:val="0"/>
          <w:sz w:val="24"/>
          <w:highlight w:val="none"/>
        </w:rPr>
        <w:t>存储盘（HDD）：</w:t>
      </w:r>
      <w:r>
        <w:rPr>
          <w:rFonts w:hint="eastAsia" w:ascii="宋体" w:hAnsi="宋体"/>
          <w:color w:val="auto"/>
          <w:kern w:val="0"/>
          <w:sz w:val="24"/>
          <w:highlight w:val="none"/>
        </w:rPr>
        <w:t>4</w:t>
      </w:r>
      <w:r>
        <w:rPr>
          <w:rFonts w:ascii="宋体" w:hAnsi="宋体"/>
          <w:color w:val="auto"/>
          <w:kern w:val="0"/>
          <w:sz w:val="24"/>
          <w:highlight w:val="none"/>
        </w:rPr>
        <w:t>块WD/Seagate 24TB 7200RPM 256MB SATA企业级机械硬盘（3.5英寸）；</w:t>
      </w:r>
    </w:p>
    <w:p w14:paraId="48A23D09">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3.14.7 </w:t>
      </w:r>
      <w:r>
        <w:rPr>
          <w:rFonts w:ascii="宋体" w:hAnsi="宋体"/>
          <w:color w:val="auto"/>
          <w:kern w:val="0"/>
          <w:sz w:val="24"/>
          <w:highlight w:val="none"/>
        </w:rPr>
        <w:t>显卡（GPU）：</w:t>
      </w:r>
      <w:r>
        <w:rPr>
          <w:rFonts w:hint="eastAsia" w:ascii="宋体" w:hAnsi="宋体"/>
          <w:color w:val="auto"/>
          <w:kern w:val="0"/>
          <w:sz w:val="24"/>
          <w:highlight w:val="none"/>
        </w:rPr>
        <w:t>4</w:t>
      </w:r>
      <w:r>
        <w:rPr>
          <w:rFonts w:ascii="宋体" w:hAnsi="宋体"/>
          <w:color w:val="auto"/>
          <w:kern w:val="0"/>
          <w:sz w:val="24"/>
          <w:highlight w:val="none"/>
        </w:rPr>
        <w:t>块NVIDIA RTX PRO™ 5000 Blackwell 72GB GDDR7 ECC显存，300W；</w:t>
      </w:r>
    </w:p>
    <w:p w14:paraId="53B05874">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3.14.8 </w:t>
      </w:r>
      <w:r>
        <w:rPr>
          <w:rFonts w:ascii="宋体" w:hAnsi="宋体"/>
          <w:color w:val="auto"/>
          <w:kern w:val="0"/>
          <w:sz w:val="24"/>
          <w:highlight w:val="none"/>
        </w:rPr>
        <w:t>电源（PSU）：1套3+1 2700W白金额定全模组服务器冗余电源；</w:t>
      </w:r>
    </w:p>
    <w:p w14:paraId="18B749EF">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3.14.9   </w:t>
      </w:r>
      <w:r>
        <w:rPr>
          <w:rFonts w:ascii="宋体" w:hAnsi="宋体"/>
          <w:color w:val="auto"/>
          <w:kern w:val="0"/>
          <w:sz w:val="24"/>
          <w:highlight w:val="none"/>
        </w:rPr>
        <w:t>机箱：1台8卡GPU服务器4U机架式服务器机箱，含导热风墙系统；</w:t>
      </w:r>
    </w:p>
    <w:p w14:paraId="4BEC2421">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3.14.10. </w:t>
      </w:r>
      <w:r>
        <w:rPr>
          <w:rFonts w:ascii="宋体" w:hAnsi="宋体"/>
          <w:color w:val="auto"/>
          <w:kern w:val="0"/>
          <w:sz w:val="24"/>
          <w:highlight w:val="none"/>
        </w:rPr>
        <w:t>阵列卡（RAID）：1块Broadcom / LSI MegaRAID 9560-16i，含CacheVault掉电保护模块及连接线缆；</w:t>
      </w:r>
    </w:p>
    <w:p w14:paraId="0A83E46F">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3.14.11  </w:t>
      </w:r>
      <w:r>
        <w:rPr>
          <w:rFonts w:ascii="宋体" w:hAnsi="宋体"/>
          <w:color w:val="auto"/>
          <w:kern w:val="0"/>
          <w:sz w:val="24"/>
          <w:highlight w:val="none"/>
        </w:rPr>
        <w:t>网卡（NIC）：1张双口25GbE SFP28服务器网卡，Intel E810-XXVDA2或同级，含匹配DAC线或光模块；</w:t>
      </w:r>
    </w:p>
    <w:p w14:paraId="64078A09">
      <w:pPr>
        <w:adjustRightInd w:val="0"/>
        <w:snapToGrid w:val="0"/>
        <w:spacing w:line="360" w:lineRule="auto"/>
        <w:ind w:left="425"/>
        <w:rPr>
          <w:rFonts w:ascii="宋体" w:hAnsi="宋体"/>
          <w:color w:val="auto"/>
          <w:kern w:val="0"/>
          <w:sz w:val="24"/>
          <w:highlight w:val="none"/>
        </w:rPr>
      </w:pPr>
      <w:r>
        <w:rPr>
          <w:rFonts w:hint="eastAsia" w:ascii="宋体" w:hAnsi="宋体"/>
          <w:color w:val="auto"/>
          <w:kern w:val="0"/>
          <w:sz w:val="24"/>
          <w:highlight w:val="none"/>
        </w:rPr>
        <w:t xml:space="preserve">3.14.12  </w:t>
      </w:r>
      <w:r>
        <w:rPr>
          <w:rFonts w:ascii="宋体" w:hAnsi="宋体"/>
          <w:color w:val="auto"/>
          <w:kern w:val="0"/>
          <w:sz w:val="24"/>
          <w:highlight w:val="none"/>
        </w:rPr>
        <w:t>机柜：1台配1200mm深19英寸机柜+PDU+导轨；处理器散热器（CPU FAN）：2个AMD EPYC 9004/5风冷服务器散热器，TDP 500W。</w:t>
      </w:r>
    </w:p>
    <w:p w14:paraId="2B258386">
      <w:pPr>
        <w:keepNext/>
        <w:keepLines/>
        <w:adjustRightInd w:val="0"/>
        <w:snapToGrid w:val="0"/>
        <w:spacing w:line="360" w:lineRule="auto"/>
        <w:ind w:firstLine="482" w:firstLineChars="200"/>
        <w:outlineLvl w:val="2"/>
        <w:rPr>
          <w:rFonts w:ascii="宋体" w:hAnsi="宋体"/>
          <w:b/>
          <w:color w:val="auto"/>
          <w:sz w:val="24"/>
          <w:highlight w:val="none"/>
        </w:rPr>
      </w:pPr>
      <w:r>
        <w:rPr>
          <w:rFonts w:hint="eastAsia" w:ascii="宋体" w:hAnsi="宋体"/>
          <w:b/>
          <w:color w:val="auto"/>
          <w:sz w:val="24"/>
          <w:highlight w:val="none"/>
        </w:rPr>
        <w:t>（二）</w:t>
      </w:r>
      <w:r>
        <w:rPr>
          <w:rFonts w:ascii="宋体" w:hAnsi="宋体"/>
          <w:b/>
          <w:color w:val="auto"/>
          <w:sz w:val="24"/>
          <w:highlight w:val="none"/>
        </w:rPr>
        <w:t>售后服务要求</w:t>
      </w:r>
    </w:p>
    <w:p w14:paraId="685A78C1">
      <w:pPr>
        <w:widowControl/>
        <w:numPr>
          <w:ilvl w:val="2"/>
          <w:numId w:val="2"/>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安装调试</w:t>
      </w:r>
      <w:r>
        <w:rPr>
          <w:rFonts w:hint="eastAsia" w:ascii="宋体" w:hAnsi="宋体"/>
          <w:color w:val="auto"/>
          <w:kern w:val="0"/>
          <w:sz w:val="24"/>
          <w:highlight w:val="none"/>
        </w:rPr>
        <w:t>（不额外收费）</w:t>
      </w:r>
      <w:r>
        <w:rPr>
          <w:rFonts w:ascii="宋体" w:hAnsi="宋体"/>
          <w:color w:val="auto"/>
          <w:kern w:val="0"/>
          <w:sz w:val="24"/>
          <w:highlight w:val="none"/>
        </w:rPr>
        <w:t>；现场安装，现场调试，按照买方和卖方双方同意的标准对主机、附件，软件的性能和功能进行测试；在买方对主机、附件，软件的性能和功能进行测试合格的基础上，由买方授权人签字验收；</w:t>
      </w:r>
    </w:p>
    <w:p w14:paraId="404DA756">
      <w:pPr>
        <w:widowControl/>
        <w:numPr>
          <w:ilvl w:val="2"/>
          <w:numId w:val="2"/>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自设备安装验收完成之日起进入保修期，保修期为36个月</w:t>
      </w:r>
      <w:r>
        <w:rPr>
          <w:rFonts w:hint="eastAsia" w:ascii="宋体" w:hAnsi="宋体"/>
          <w:color w:val="auto"/>
          <w:kern w:val="0"/>
          <w:sz w:val="24"/>
          <w:highlight w:val="none"/>
        </w:rPr>
        <w:t>，不额外收费</w:t>
      </w:r>
      <w:r>
        <w:rPr>
          <w:rFonts w:ascii="宋体" w:hAnsi="宋体"/>
          <w:color w:val="auto"/>
          <w:kern w:val="0"/>
          <w:sz w:val="24"/>
          <w:highlight w:val="none"/>
        </w:rPr>
        <w:t>；</w:t>
      </w:r>
    </w:p>
    <w:p w14:paraId="0EAE71AB">
      <w:pPr>
        <w:widowControl/>
        <w:numPr>
          <w:ilvl w:val="2"/>
          <w:numId w:val="2"/>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保修期满后维修只收材料费；</w:t>
      </w:r>
    </w:p>
    <w:p w14:paraId="7C133A84">
      <w:pPr>
        <w:widowControl/>
        <w:numPr>
          <w:ilvl w:val="2"/>
          <w:numId w:val="2"/>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维修响应24-48小时；在1-3天内到达用户现场，保证提供及时优质的售后服务；</w:t>
      </w:r>
    </w:p>
    <w:p w14:paraId="6CC63768">
      <w:pPr>
        <w:widowControl/>
        <w:numPr>
          <w:ilvl w:val="2"/>
          <w:numId w:val="2"/>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培训用户直至其能完全独立操作；培训内容包括仪器的技术原理、仪器操作、数据处理、软件的使用和结果分析、仪器基本维护等；</w:t>
      </w:r>
      <w:r>
        <w:rPr>
          <w:rFonts w:hint="eastAsia" w:ascii="宋体" w:hAnsi="宋体"/>
          <w:color w:val="auto"/>
          <w:kern w:val="0"/>
          <w:sz w:val="24"/>
          <w:highlight w:val="none"/>
        </w:rPr>
        <w:t>培训发生的一切费用由投标人承担</w:t>
      </w:r>
    </w:p>
    <w:p w14:paraId="1E67F0FC">
      <w:pPr>
        <w:widowControl/>
        <w:numPr>
          <w:ilvl w:val="2"/>
          <w:numId w:val="2"/>
        </w:numPr>
        <w:adjustRightInd w:val="0"/>
        <w:snapToGrid w:val="0"/>
        <w:spacing w:line="360" w:lineRule="auto"/>
        <w:textAlignment w:val="center"/>
        <w:rPr>
          <w:rFonts w:ascii="宋体" w:hAnsi="宋体"/>
          <w:color w:val="auto"/>
          <w:kern w:val="0"/>
          <w:sz w:val="24"/>
          <w:highlight w:val="none"/>
        </w:rPr>
      </w:pPr>
      <w:r>
        <w:rPr>
          <w:rFonts w:ascii="宋体" w:hAnsi="宋体"/>
          <w:color w:val="auto"/>
          <w:kern w:val="0"/>
          <w:sz w:val="24"/>
          <w:highlight w:val="none"/>
        </w:rPr>
        <w:t>保证对所售产品提供专业的技术服务及技术支持</w:t>
      </w:r>
      <w:r>
        <w:rPr>
          <w:rFonts w:hint="eastAsia" w:ascii="宋体" w:hAnsi="宋体"/>
          <w:color w:val="auto"/>
          <w:kern w:val="0"/>
          <w:sz w:val="24"/>
          <w:highlight w:val="none"/>
        </w:rPr>
        <w:t>，不额外收费</w:t>
      </w:r>
      <w:r>
        <w:rPr>
          <w:rFonts w:ascii="宋体" w:hAnsi="宋体"/>
          <w:color w:val="auto"/>
          <w:kern w:val="0"/>
          <w:sz w:val="24"/>
          <w:highlight w:val="none"/>
        </w:rPr>
        <w:t>；提供原厂的产品说明书、操作及安装手册、产品的最新信息及应用资料</w:t>
      </w:r>
      <w:r>
        <w:rPr>
          <w:rFonts w:hint="eastAsia" w:ascii="宋体" w:hAnsi="宋体"/>
          <w:color w:val="auto"/>
          <w:kern w:val="0"/>
          <w:sz w:val="24"/>
          <w:highlight w:val="none"/>
        </w:rPr>
        <w:t>，</w:t>
      </w:r>
      <w:r>
        <w:rPr>
          <w:rFonts w:ascii="宋体" w:hAnsi="宋体"/>
          <w:color w:val="auto"/>
          <w:kern w:val="0"/>
          <w:sz w:val="24"/>
          <w:highlight w:val="none"/>
        </w:rPr>
        <w:t>不额外收费；终身享受软件升级服务</w:t>
      </w:r>
      <w:r>
        <w:rPr>
          <w:rFonts w:hint="eastAsia" w:ascii="宋体" w:hAnsi="宋体"/>
          <w:color w:val="auto"/>
          <w:kern w:val="0"/>
          <w:sz w:val="24"/>
          <w:highlight w:val="none"/>
        </w:rPr>
        <w:t>，</w:t>
      </w:r>
      <w:r>
        <w:rPr>
          <w:rFonts w:ascii="宋体" w:hAnsi="宋体"/>
          <w:color w:val="auto"/>
          <w:kern w:val="0"/>
          <w:sz w:val="24"/>
          <w:highlight w:val="none"/>
        </w:rPr>
        <w:t>不额外收费。</w:t>
      </w:r>
    </w:p>
    <w:p w14:paraId="408C772C">
      <w:pPr>
        <w:widowControl/>
        <w:numPr>
          <w:ilvl w:val="2"/>
          <w:numId w:val="2"/>
        </w:numPr>
        <w:adjustRightInd w:val="0"/>
        <w:snapToGrid w:val="0"/>
        <w:spacing w:line="360" w:lineRule="auto"/>
        <w:textAlignment w:val="center"/>
        <w:rPr>
          <w:rFonts w:ascii="宋体" w:hAnsi="宋体"/>
          <w:color w:val="auto"/>
          <w:kern w:val="0"/>
          <w:sz w:val="24"/>
          <w:highlight w:val="none"/>
        </w:rPr>
      </w:pPr>
      <w:r>
        <w:rPr>
          <w:rFonts w:ascii="宋体" w:hAnsi="宋体"/>
          <w:color w:val="auto"/>
          <w:kern w:val="0"/>
          <w:sz w:val="24"/>
          <w:highlight w:val="none"/>
        </w:rPr>
        <w:t>服务器整机（含CPU、内存、硬盘、GPU、电源等）均享受36个月免费保修；保修期外只收材料费；提供服务器硬件监控及远程诊断支持；免费提供服务器操作系统及驱动升级服务；提供不少于2个工作日的现场技术培训，包括RAID配置、GPU环境部署、系统管理等。</w:t>
      </w:r>
    </w:p>
    <w:p w14:paraId="665B1C1A">
      <w:pPr>
        <w:widowControl/>
        <w:numPr>
          <w:ilvl w:val="2"/>
          <w:numId w:val="2"/>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卖方应提供设备到货、上架、通电、布线、系统安装、驱动安装、GPU计算环境部署、网络配置、存储阵列配置及远程管理配置等完整交付服务，确保设备到场后可直接投入使用。设备交付时应保证NVIDIA GPU驱动、CUDA环境、Docker、NVIDIA Container Toolkit、Python/PyTorch等基础计算环境正常可用，并确保系统能够正确识别全部GPU，支持多GPU计算任务运行。</w:t>
      </w:r>
    </w:p>
    <w:p w14:paraId="7121073D">
      <w:pPr>
        <w:keepNext/>
        <w:keepLines/>
        <w:adjustRightInd w:val="0"/>
        <w:snapToGrid w:val="0"/>
        <w:spacing w:line="360" w:lineRule="auto"/>
        <w:ind w:firstLine="482" w:firstLineChars="200"/>
        <w:outlineLvl w:val="2"/>
        <w:rPr>
          <w:rFonts w:ascii="宋体" w:hAnsi="宋体"/>
          <w:b/>
          <w:color w:val="auto"/>
          <w:sz w:val="24"/>
          <w:highlight w:val="none"/>
        </w:rPr>
      </w:pPr>
      <w:r>
        <w:rPr>
          <w:rFonts w:hint="eastAsia" w:ascii="宋体" w:hAnsi="宋体"/>
          <w:b/>
          <w:color w:val="auto"/>
          <w:sz w:val="24"/>
          <w:highlight w:val="none"/>
        </w:rPr>
        <w:t>（三）</w:t>
      </w:r>
      <w:r>
        <w:rPr>
          <w:rFonts w:ascii="宋体" w:hAnsi="宋体"/>
          <w:b/>
          <w:color w:val="auto"/>
          <w:sz w:val="24"/>
          <w:highlight w:val="none"/>
        </w:rPr>
        <w:t>配置要求</w:t>
      </w:r>
    </w:p>
    <w:p w14:paraId="264D8720">
      <w:pPr>
        <w:widowControl/>
        <w:numPr>
          <w:ilvl w:val="2"/>
          <w:numId w:val="3"/>
        </w:numPr>
        <w:adjustRightInd w:val="0"/>
        <w:snapToGrid w:val="0"/>
        <w:spacing w:line="360" w:lineRule="auto"/>
        <w:textAlignment w:val="center"/>
        <w:rPr>
          <w:rFonts w:ascii="宋体" w:hAnsi="宋体"/>
          <w:color w:val="auto"/>
          <w:sz w:val="24"/>
          <w:highlight w:val="none"/>
        </w:rPr>
      </w:pPr>
      <w:r>
        <w:rPr>
          <w:rFonts w:ascii="宋体" w:hAnsi="宋体"/>
          <w:color w:val="auto"/>
          <w:kern w:val="0"/>
          <w:sz w:val="24"/>
          <w:highlight w:val="none"/>
        </w:rPr>
        <w:t>高容量的数字病理切片扫描仪主机       1台</w:t>
      </w:r>
    </w:p>
    <w:p w14:paraId="12B08D3A">
      <w:pPr>
        <w:widowControl/>
        <w:numPr>
          <w:ilvl w:val="2"/>
          <w:numId w:val="3"/>
        </w:numPr>
        <w:adjustRightInd w:val="0"/>
        <w:snapToGrid w:val="0"/>
        <w:spacing w:line="360" w:lineRule="auto"/>
        <w:textAlignment w:val="center"/>
        <w:rPr>
          <w:rFonts w:ascii="宋体" w:hAnsi="宋体"/>
          <w:color w:val="auto"/>
          <w:kern w:val="0"/>
          <w:sz w:val="24"/>
          <w:highlight w:val="none"/>
        </w:rPr>
      </w:pPr>
      <w:r>
        <w:rPr>
          <w:rFonts w:ascii="宋体" w:hAnsi="宋体"/>
          <w:color w:val="auto"/>
          <w:kern w:val="0"/>
          <w:sz w:val="24"/>
          <w:highlight w:val="none"/>
        </w:rPr>
        <w:t>高性能存储与分析服务器               1台</w:t>
      </w:r>
    </w:p>
    <w:p w14:paraId="1FDFD37E">
      <w:pPr>
        <w:widowControl/>
        <w:numPr>
          <w:ilvl w:val="2"/>
          <w:numId w:val="3"/>
        </w:numPr>
        <w:adjustRightInd w:val="0"/>
        <w:snapToGrid w:val="0"/>
        <w:spacing w:line="360" w:lineRule="auto"/>
        <w:textAlignment w:val="center"/>
        <w:rPr>
          <w:rFonts w:ascii="宋体" w:hAnsi="宋体"/>
          <w:color w:val="auto"/>
          <w:kern w:val="0"/>
          <w:sz w:val="24"/>
          <w:highlight w:val="none"/>
        </w:rPr>
      </w:pPr>
      <w:r>
        <w:rPr>
          <w:rFonts w:ascii="宋体" w:hAnsi="宋体"/>
          <w:color w:val="auto"/>
          <w:kern w:val="0"/>
          <w:sz w:val="24"/>
          <w:highlight w:val="none"/>
        </w:rPr>
        <w:t>阅片工作站                           1台</w:t>
      </w:r>
    </w:p>
    <w:p w14:paraId="73428A56">
      <w:pPr>
        <w:keepNext/>
        <w:keepLines/>
        <w:adjustRightInd w:val="0"/>
        <w:snapToGrid w:val="0"/>
        <w:spacing w:line="360" w:lineRule="auto"/>
        <w:ind w:firstLine="482" w:firstLineChars="200"/>
        <w:outlineLvl w:val="2"/>
        <w:rPr>
          <w:rFonts w:ascii="宋体" w:hAnsi="宋体"/>
          <w:b/>
          <w:color w:val="auto"/>
          <w:sz w:val="24"/>
          <w:highlight w:val="none"/>
        </w:rPr>
      </w:pPr>
      <w:r>
        <w:rPr>
          <w:rFonts w:hint="eastAsia" w:ascii="宋体" w:hAnsi="宋体"/>
          <w:b/>
          <w:color w:val="auto"/>
          <w:sz w:val="24"/>
          <w:highlight w:val="none"/>
        </w:rPr>
        <w:t>（四）</w:t>
      </w:r>
      <w:r>
        <w:rPr>
          <w:rFonts w:ascii="宋体" w:hAnsi="宋体"/>
          <w:b/>
          <w:color w:val="auto"/>
          <w:sz w:val="24"/>
          <w:highlight w:val="none"/>
        </w:rPr>
        <w:t>交货地点：</w:t>
      </w:r>
    </w:p>
    <w:p w14:paraId="0EA465EC">
      <w:pPr>
        <w:widowControl/>
        <w:adjustRightInd w:val="0"/>
        <w:snapToGrid w:val="0"/>
        <w:spacing w:line="360" w:lineRule="auto"/>
        <w:ind w:firstLine="480" w:firstLineChars="200"/>
        <w:textAlignment w:val="center"/>
        <w:rPr>
          <w:rFonts w:ascii="宋体" w:hAnsi="宋体"/>
          <w:color w:val="auto"/>
          <w:sz w:val="24"/>
          <w:highlight w:val="none"/>
        </w:rPr>
      </w:pPr>
      <w:r>
        <w:rPr>
          <w:rFonts w:ascii="宋体" w:hAnsi="宋体"/>
          <w:color w:val="auto"/>
          <w:kern w:val="0"/>
          <w:sz w:val="24"/>
          <w:highlight w:val="none"/>
        </w:rPr>
        <w:t>中国科学院生物物理研究所</w:t>
      </w:r>
      <w:r>
        <w:rPr>
          <w:rFonts w:hint="eastAsia" w:ascii="宋体" w:hAnsi="宋体"/>
          <w:color w:val="auto"/>
          <w:kern w:val="0"/>
          <w:sz w:val="24"/>
          <w:highlight w:val="none"/>
        </w:rPr>
        <w:t>用户</w:t>
      </w:r>
      <w:r>
        <w:rPr>
          <w:rFonts w:ascii="宋体" w:hAnsi="宋体"/>
          <w:color w:val="auto"/>
          <w:kern w:val="0"/>
          <w:sz w:val="24"/>
          <w:highlight w:val="none"/>
        </w:rPr>
        <w:t>指定地点</w:t>
      </w:r>
    </w:p>
    <w:p w14:paraId="08D2141C">
      <w:pPr>
        <w:keepNext/>
        <w:keepLines/>
        <w:adjustRightInd w:val="0"/>
        <w:snapToGrid w:val="0"/>
        <w:spacing w:line="360" w:lineRule="auto"/>
        <w:ind w:firstLine="482" w:firstLineChars="200"/>
        <w:outlineLvl w:val="2"/>
        <w:rPr>
          <w:rFonts w:ascii="宋体" w:hAnsi="宋体"/>
          <w:b/>
          <w:color w:val="auto"/>
          <w:sz w:val="24"/>
          <w:highlight w:val="none"/>
        </w:rPr>
      </w:pPr>
      <w:r>
        <w:rPr>
          <w:rFonts w:hint="eastAsia" w:ascii="宋体" w:hAnsi="宋体"/>
          <w:b/>
          <w:color w:val="auto"/>
          <w:sz w:val="24"/>
          <w:highlight w:val="none"/>
        </w:rPr>
        <w:t>（五）</w:t>
      </w:r>
      <w:r>
        <w:rPr>
          <w:rFonts w:ascii="宋体" w:hAnsi="宋体"/>
          <w:b/>
          <w:color w:val="auto"/>
          <w:sz w:val="24"/>
          <w:highlight w:val="none"/>
        </w:rPr>
        <w:t>交货日期：</w:t>
      </w:r>
    </w:p>
    <w:p w14:paraId="27CE7ABB">
      <w:pPr>
        <w:adjustRightInd w:val="0"/>
        <w:snapToGrid w:val="0"/>
        <w:spacing w:line="360" w:lineRule="auto"/>
        <w:ind w:firstLine="480" w:firstLineChars="200"/>
        <w:rPr>
          <w:rFonts w:ascii="宋体" w:hAnsi="宋体"/>
          <w:color w:val="auto"/>
          <w:sz w:val="24"/>
          <w:highlight w:val="none"/>
        </w:rPr>
      </w:pPr>
      <w:r>
        <w:rPr>
          <w:rFonts w:ascii="宋体" w:hAnsi="宋体"/>
          <w:color w:val="auto"/>
          <w:kern w:val="0"/>
          <w:sz w:val="24"/>
          <w:highlight w:val="none"/>
        </w:rPr>
        <w:t>合同签订后 3个月内交货</w:t>
      </w:r>
    </w:p>
    <w:p w14:paraId="1A03D296">
      <w:pPr>
        <w:widowControl/>
        <w:spacing w:line="360" w:lineRule="atLeast"/>
        <w:rPr>
          <w:rFonts w:hint="eastAsia" w:ascii="宋体" w:hAnsi="宋体"/>
          <w:b/>
          <w:color w:val="auto"/>
          <w:sz w:val="30"/>
          <w:szCs w:val="30"/>
          <w:highlight w:val="none"/>
        </w:rPr>
      </w:pPr>
    </w:p>
    <w:p w14:paraId="21152C95">
      <w:bookmarkStart w:id="2" w:name="_GoBack"/>
      <w:bookmarkEnd w:id="2"/>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B7DAD"/>
    <w:multiLevelType w:val="multilevel"/>
    <w:tmpl w:val="334B7DAD"/>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3."/>
      <w:lvlJc w:val="left"/>
      <w:pPr>
        <w:ind w:left="1291" w:hanging="44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457973C2"/>
    <w:multiLevelType w:val="multilevel"/>
    <w:tmpl w:val="457973C2"/>
    <w:lvl w:ilvl="0" w:tentative="0">
      <w:start w:val="1"/>
      <w:numFmt w:val="decimal"/>
      <w:lvlText w:val="%1"/>
      <w:lvlJc w:val="left"/>
      <w:pPr>
        <w:ind w:left="425" w:hanging="425"/>
      </w:pPr>
    </w:lvl>
    <w:lvl w:ilvl="1" w:tentative="0">
      <w:start w:val="1"/>
      <w:numFmt w:val="decimal"/>
      <w:lvlText w:val="%1.%2"/>
      <w:lvlJc w:val="left"/>
      <w:pPr>
        <w:ind w:left="993"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512E1AFF"/>
    <w:multiLevelType w:val="multilevel"/>
    <w:tmpl w:val="512E1AFF"/>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3."/>
      <w:lvlJc w:val="left"/>
      <w:pPr>
        <w:ind w:left="1291" w:hanging="44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8A7390"/>
    <w:rsid w:val="0A382C50"/>
    <w:rsid w:val="6A8A73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2026-09-11T06:44:00Z</dcterms:created>
  <dc:creator>顾嘉宁</dc:creator>
  <cp:lastModifiedBy>顾嘉宁</cp:lastModifiedBy>
  <dcterms:modified xsi:type="dcterms:W3CDTF">2026-09-11T06:44:38Z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F980EF95E19E4CFA8C906574090C6E28_11</vt:lpwstr>
  </property>
  <property fmtid="{D5CDD505-2E9C-101B-9397-08002B2CF9AE}" pid="4" name="KSOTemplateDocerSaveRecord">
    <vt:lpwstr>eyJoZGlkIjoiM2FjYTIzZGUxMzUyYzc4ODFmYzlkNjk5ZTYzODY2NmIiLCJ1c2VySWQiOiIxNjYzMDExNDYwIn0=</vt:lpwstr>
  </property>
</Properties>
</file>