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A903F1">
      <w:pPr>
        <w:pStyle w:val="87"/>
        <w:ind w:firstLine="0"/>
        <w:jc w:val="center"/>
        <w:rPr>
          <w:rFonts w:eastAsia="黑体"/>
          <w:b/>
          <w:bCs/>
          <w:sz w:val="84"/>
        </w:rPr>
      </w:pPr>
    </w:p>
    <w:p w14:paraId="76090864">
      <w:pPr>
        <w:pStyle w:val="87"/>
        <w:ind w:firstLine="0"/>
        <w:jc w:val="center"/>
        <w:rPr>
          <w:rFonts w:eastAsia="黑体"/>
          <w:b/>
          <w:bCs/>
          <w:sz w:val="84"/>
        </w:rPr>
      </w:pPr>
      <w:r>
        <w:rPr>
          <w:rFonts w:hint="eastAsia" w:ascii="方正小标宋_GBK" w:hAnsi="方正小标宋_GBK" w:eastAsia="方正小标宋_GBK" w:cs="方正小标宋_GBK"/>
          <w:sz w:val="84"/>
        </w:rPr>
        <w:t>竞争性磋商文件</w:t>
      </w:r>
    </w:p>
    <w:p w14:paraId="5393EE58">
      <w:pPr>
        <w:pStyle w:val="87"/>
        <w:ind w:firstLine="2240" w:firstLineChars="700"/>
        <w:rPr>
          <w:sz w:val="32"/>
        </w:rPr>
      </w:pPr>
    </w:p>
    <w:p w14:paraId="6D2B9649">
      <w:pPr>
        <w:pStyle w:val="87"/>
        <w:ind w:firstLine="2240" w:firstLineChars="700"/>
        <w:rPr>
          <w:sz w:val="32"/>
        </w:rPr>
      </w:pPr>
    </w:p>
    <w:p w14:paraId="3C315313">
      <w:pPr>
        <w:pStyle w:val="87"/>
        <w:ind w:firstLine="2240" w:firstLineChars="700"/>
        <w:rPr>
          <w:sz w:val="32"/>
        </w:rPr>
      </w:pPr>
    </w:p>
    <w:p w14:paraId="5CF12F37">
      <w:pPr>
        <w:pStyle w:val="87"/>
        <w:ind w:firstLine="2240" w:firstLineChars="700"/>
        <w:rPr>
          <w:sz w:val="32"/>
        </w:rPr>
      </w:pPr>
    </w:p>
    <w:p w14:paraId="2BAD262D">
      <w:pPr>
        <w:pStyle w:val="87"/>
        <w:ind w:left="0" w:leftChars="0" w:firstLine="0" w:firstLineChars="0"/>
        <w:rPr>
          <w:rFonts w:hint="eastAsia" w:ascii="宋体" w:hAnsi="宋体" w:cs="宋体"/>
          <w:sz w:val="32"/>
        </w:rPr>
      </w:pPr>
      <w:r>
        <w:rPr>
          <w:rFonts w:hint="eastAsia"/>
          <w:sz w:val="32"/>
        </w:rPr>
        <w:t>项目编号：</w:t>
      </w:r>
      <w:r>
        <w:rPr>
          <w:rFonts w:hint="eastAsia" w:ascii="宋体" w:hAnsi="宋体" w:cs="宋体"/>
          <w:sz w:val="32"/>
        </w:rPr>
        <w:t>DFXFCG2026-A01</w:t>
      </w:r>
    </w:p>
    <w:p w14:paraId="2C9E53FB">
      <w:pPr>
        <w:spacing w:line="360" w:lineRule="auto"/>
        <w:ind w:firstLine="0" w:firstLineChars="0"/>
        <w:jc w:val="both"/>
        <w:rPr>
          <w:rFonts w:hint="eastAsia" w:ascii="Arial" w:hAnsi="Arial" w:eastAsia="宋体"/>
          <w:kern w:val="0"/>
          <w:sz w:val="32"/>
          <w:lang w:eastAsia="zh-CN"/>
        </w:rPr>
      </w:pPr>
      <w:r>
        <w:rPr>
          <w:rFonts w:hint="eastAsia"/>
          <w:sz w:val="32"/>
        </w:rPr>
        <w:t>项目名称：</w:t>
      </w:r>
      <w:r>
        <w:rPr>
          <w:rFonts w:hint="eastAsia" w:ascii="Arial" w:hAnsi="Arial"/>
          <w:kern w:val="0"/>
          <w:sz w:val="32"/>
          <w:lang w:eastAsia="zh-CN"/>
        </w:rPr>
        <w:t>大丰大队专职消防员、消防文员保险购置项目</w:t>
      </w:r>
    </w:p>
    <w:p w14:paraId="51089089">
      <w:pPr>
        <w:pStyle w:val="87"/>
        <w:ind w:left="3441" w:leftChars="912" w:hanging="1526" w:hangingChars="475"/>
        <w:rPr>
          <w:b/>
          <w:bCs/>
          <w:sz w:val="32"/>
        </w:rPr>
      </w:pPr>
    </w:p>
    <w:p w14:paraId="509DB521">
      <w:pPr>
        <w:pStyle w:val="87"/>
        <w:ind w:firstLine="0"/>
        <w:jc w:val="center"/>
        <w:rPr>
          <w:b/>
          <w:bCs/>
          <w:sz w:val="32"/>
        </w:rPr>
      </w:pPr>
    </w:p>
    <w:p w14:paraId="5C169D38">
      <w:pPr>
        <w:pStyle w:val="87"/>
        <w:ind w:firstLine="0"/>
        <w:jc w:val="center"/>
        <w:rPr>
          <w:b/>
          <w:bCs/>
          <w:sz w:val="32"/>
        </w:rPr>
      </w:pPr>
    </w:p>
    <w:p w14:paraId="6A9A4D2D">
      <w:pPr>
        <w:pStyle w:val="87"/>
        <w:ind w:firstLine="0"/>
        <w:jc w:val="center"/>
        <w:rPr>
          <w:b/>
          <w:bCs/>
          <w:sz w:val="32"/>
        </w:rPr>
      </w:pPr>
    </w:p>
    <w:p w14:paraId="3C8F9D67">
      <w:pPr>
        <w:pStyle w:val="87"/>
        <w:spacing w:line="500" w:lineRule="exact"/>
        <w:ind w:left="0" w:leftChars="0" w:firstLine="0" w:firstLineChars="0"/>
        <w:jc w:val="both"/>
        <w:rPr>
          <w:rFonts w:hint="eastAsia" w:ascii="宋体" w:hAnsi="宋体" w:eastAsia="宋体" w:cs="宋体"/>
          <w:sz w:val="32"/>
          <w:lang w:eastAsia="zh-CN"/>
        </w:rPr>
      </w:pPr>
      <w:r>
        <w:rPr>
          <w:rFonts w:hint="eastAsia" w:ascii="宋体" w:hAnsi="宋体" w:cs="宋体"/>
          <w:sz w:val="32"/>
        </w:rPr>
        <w:t>采购人：</w:t>
      </w:r>
      <w:r>
        <w:rPr>
          <w:rFonts w:hint="eastAsia" w:ascii="宋体" w:hAnsi="宋体" w:cs="宋体"/>
          <w:sz w:val="32"/>
          <w:u w:val="single"/>
        </w:rPr>
        <w:t>盐城市大丰区消防救援大队</w:t>
      </w:r>
      <w:r>
        <w:rPr>
          <w:rFonts w:hint="eastAsia" w:ascii="宋体" w:hAnsi="宋体" w:cs="宋体"/>
          <w:sz w:val="32"/>
          <w:u w:val="single"/>
          <w:lang w:eastAsia="zh-CN"/>
        </w:rPr>
        <w:t>（</w:t>
      </w:r>
      <w:r>
        <w:rPr>
          <w:rFonts w:hint="eastAsia" w:ascii="宋体" w:hAnsi="宋体" w:cs="宋体"/>
          <w:sz w:val="32"/>
          <w:u w:val="single"/>
          <w:lang w:val="en-US" w:eastAsia="zh-CN"/>
        </w:rPr>
        <w:t>盐城市大丰区消防救援局</w:t>
      </w:r>
      <w:r>
        <w:rPr>
          <w:rFonts w:hint="eastAsia" w:ascii="宋体" w:hAnsi="宋体" w:cs="宋体"/>
          <w:sz w:val="32"/>
          <w:u w:val="single"/>
          <w:lang w:eastAsia="zh-CN"/>
        </w:rPr>
        <w:t>）</w:t>
      </w:r>
    </w:p>
    <w:p w14:paraId="6C963B07">
      <w:pPr>
        <w:pStyle w:val="87"/>
        <w:spacing w:line="500" w:lineRule="exact"/>
        <w:ind w:left="0" w:leftChars="0" w:firstLine="0" w:firstLineChars="0"/>
        <w:jc w:val="both"/>
        <w:rPr>
          <w:rFonts w:hint="eastAsia" w:ascii="宋体" w:hAnsi="宋体" w:eastAsia="宋体" w:cs="宋体"/>
          <w:sz w:val="32"/>
          <w:lang w:eastAsia="zh-CN"/>
        </w:rPr>
      </w:pPr>
      <w:r>
        <w:rPr>
          <w:rFonts w:hint="eastAsia" w:ascii="宋体" w:hAnsi="宋体" w:cs="宋体"/>
          <w:sz w:val="32"/>
        </w:rPr>
        <w:t>采购代理机构：</w:t>
      </w:r>
      <w:r>
        <w:rPr>
          <w:rFonts w:hint="eastAsia" w:ascii="宋体" w:hAnsi="宋体" w:cs="宋体"/>
          <w:sz w:val="32"/>
          <w:u w:val="single"/>
          <w:lang w:eastAsia="zh-CN"/>
        </w:rPr>
        <w:t>盐城中亿源项目管理有限公司</w:t>
      </w:r>
    </w:p>
    <w:p w14:paraId="5A6367BD">
      <w:pPr>
        <w:pStyle w:val="87"/>
        <w:spacing w:line="500" w:lineRule="exact"/>
        <w:ind w:firstLine="0"/>
        <w:jc w:val="center"/>
        <w:rPr>
          <w:rFonts w:hint="default" w:eastAsia="宋体"/>
          <w:sz w:val="32"/>
          <w:lang w:val="en-US" w:eastAsia="zh-CN"/>
        </w:rPr>
      </w:pPr>
      <w:r>
        <w:rPr>
          <w:rFonts w:hint="eastAsia" w:ascii="宋体" w:hAnsi="宋体" w:cs="宋体"/>
          <w:sz w:val="32"/>
          <w:lang w:val="en-US" w:eastAsia="zh-CN"/>
        </w:rPr>
        <w:t>二〇二六年八月</w:t>
      </w:r>
    </w:p>
    <w:p w14:paraId="328FA297">
      <w:pPr>
        <w:pStyle w:val="87"/>
        <w:ind w:firstLine="0"/>
        <w:jc w:val="both"/>
        <w:rPr>
          <w:b/>
          <w:bCs/>
          <w:sz w:val="32"/>
        </w:rPr>
      </w:pPr>
      <w:r>
        <w:rPr>
          <w:b/>
          <w:bCs/>
          <w:sz w:val="32"/>
        </w:rPr>
        <w:br w:type="page"/>
      </w:r>
    </w:p>
    <w:p w14:paraId="4B5D4808"/>
    <w:p w14:paraId="54A13831">
      <w:pPr>
        <w:pStyle w:val="87"/>
        <w:ind w:firstLine="0"/>
        <w:jc w:val="center"/>
        <w:rPr>
          <w:rFonts w:hint="eastAsia" w:ascii="方正小标宋_GBK" w:hAnsi="方正小标宋_GBK" w:eastAsia="方正小标宋_GBK" w:cs="方正小标宋_GBK"/>
          <w:kern w:val="2"/>
          <w:sz w:val="32"/>
          <w:szCs w:val="32"/>
        </w:rPr>
      </w:pPr>
      <w:r>
        <w:rPr>
          <w:rFonts w:hint="eastAsia" w:ascii="方正小标宋_GBK" w:hAnsi="方正小标宋_GBK" w:eastAsia="方正小标宋_GBK" w:cs="方正小标宋_GBK"/>
          <w:kern w:val="2"/>
          <w:sz w:val="32"/>
          <w:szCs w:val="32"/>
        </w:rPr>
        <w:t>总 目 录</w:t>
      </w:r>
    </w:p>
    <w:sdt>
      <w:sdtPr>
        <w:rPr>
          <w:rFonts w:ascii="宋体" w:hAnsi="宋体" w:eastAsia="宋体" w:cs="Times New Roman"/>
          <w:kern w:val="2"/>
          <w:sz w:val="21"/>
          <w:szCs w:val="24"/>
          <w:lang w:val="en-US" w:eastAsia="zh-CN" w:bidi="ar-SA"/>
        </w:rPr>
        <w:id w:val="147458101"/>
        <w15:color w:val="DBDBDB"/>
        <w:docPartObj>
          <w:docPartGallery w:val="Table of Contents"/>
          <w:docPartUnique/>
        </w:docPartObj>
      </w:sdtPr>
      <w:sdtEndPr>
        <w:rPr>
          <w:rFonts w:hint="eastAsia" w:ascii="宋体" w:hAnsi="宋体" w:eastAsia="宋体" w:cs="宋体"/>
          <w:b w:val="0"/>
          <w:bCs/>
          <w:kern w:val="2"/>
          <w:sz w:val="28"/>
          <w:szCs w:val="48"/>
          <w:lang w:val="en-US" w:eastAsia="zh-CN" w:bidi="ar-SA"/>
        </w:rPr>
      </w:sdtEndPr>
      <w:sdtContent>
        <w:p w14:paraId="4B75CD81">
          <w:pPr>
            <w:spacing w:before="0" w:beforeLines="0" w:after="0" w:afterLines="0" w:line="240" w:lineRule="auto"/>
            <w:ind w:left="0" w:leftChars="0" w:right="0" w:rightChars="0" w:firstLine="0" w:firstLineChars="0"/>
            <w:jc w:val="center"/>
          </w:pPr>
        </w:p>
        <w:p w14:paraId="5CA4650F">
          <w:pPr>
            <w:pStyle w:val="29"/>
            <w:tabs>
              <w:tab w:val="right" w:leader="dot" w:pos="9072"/>
              <w:tab w:val="clear" w:pos="9440"/>
            </w:tabs>
            <w:rPr>
              <w:b w:val="0"/>
              <w:bCs w:val="0"/>
              <w:sz w:val="22"/>
              <w:szCs w:val="40"/>
            </w:rPr>
          </w:pPr>
          <w:r>
            <w:rPr>
              <w:rFonts w:hint="eastAsia" w:ascii="宋体" w:hAnsi="宋体" w:cs="宋体"/>
              <w:b w:val="0"/>
              <w:bCs w:val="0"/>
              <w:sz w:val="60"/>
              <w:szCs w:val="60"/>
            </w:rPr>
            <w:fldChar w:fldCharType="begin"/>
          </w:r>
          <w:r>
            <w:rPr>
              <w:rFonts w:hint="eastAsia" w:ascii="宋体" w:hAnsi="宋体" w:cs="宋体"/>
              <w:b w:val="0"/>
              <w:bCs w:val="0"/>
              <w:sz w:val="60"/>
              <w:szCs w:val="60"/>
            </w:rPr>
            <w:instrText xml:space="preserve">TOC \o "1-1" \h \u </w:instrText>
          </w:r>
          <w:r>
            <w:rPr>
              <w:rFonts w:hint="eastAsia" w:ascii="宋体" w:hAnsi="宋体" w:cs="宋体"/>
              <w:b w:val="0"/>
              <w:bCs w:val="0"/>
              <w:sz w:val="60"/>
              <w:szCs w:val="60"/>
            </w:rPr>
            <w:fldChar w:fldCharType="separate"/>
          </w:r>
          <w:r>
            <w:rPr>
              <w:rFonts w:hint="eastAsia" w:ascii="宋体" w:hAnsi="宋体" w:cs="宋体"/>
              <w:b w:val="0"/>
              <w:bCs w:val="0"/>
              <w:sz w:val="22"/>
              <w:szCs w:val="60"/>
            </w:rPr>
            <w:fldChar w:fldCharType="begin"/>
          </w:r>
          <w:r>
            <w:rPr>
              <w:rFonts w:hint="eastAsia" w:ascii="宋体" w:hAnsi="宋体" w:cs="宋体"/>
              <w:b w:val="0"/>
              <w:bCs w:val="0"/>
              <w:sz w:val="22"/>
              <w:szCs w:val="60"/>
            </w:rPr>
            <w:instrText xml:space="preserve"> HYPERLINK \l _Toc20857 </w:instrText>
          </w:r>
          <w:r>
            <w:rPr>
              <w:rFonts w:hint="eastAsia" w:ascii="宋体" w:hAnsi="宋体" w:cs="宋体"/>
              <w:b w:val="0"/>
              <w:bCs w:val="0"/>
              <w:sz w:val="22"/>
              <w:szCs w:val="60"/>
            </w:rPr>
            <w:fldChar w:fldCharType="separate"/>
          </w:r>
          <w:r>
            <w:rPr>
              <w:rFonts w:hint="eastAsia" w:ascii="方正小标宋_GBK" w:hAnsi="方正小标宋_GBK" w:eastAsia="方正小标宋_GBK" w:cs="方正小标宋_GBK"/>
              <w:b w:val="0"/>
              <w:bCs w:val="0"/>
              <w:sz w:val="22"/>
              <w:szCs w:val="56"/>
            </w:rPr>
            <w:t>第一章  竞争性磋商公告</w:t>
          </w:r>
          <w:r>
            <w:rPr>
              <w:b w:val="0"/>
              <w:bCs w:val="0"/>
              <w:sz w:val="22"/>
              <w:szCs w:val="40"/>
            </w:rPr>
            <w:tab/>
          </w:r>
          <w:r>
            <w:rPr>
              <w:b w:val="0"/>
              <w:bCs w:val="0"/>
              <w:sz w:val="22"/>
              <w:szCs w:val="40"/>
            </w:rPr>
            <w:fldChar w:fldCharType="begin"/>
          </w:r>
          <w:r>
            <w:rPr>
              <w:b w:val="0"/>
              <w:bCs w:val="0"/>
              <w:sz w:val="22"/>
              <w:szCs w:val="40"/>
            </w:rPr>
            <w:instrText xml:space="preserve"> PAGEREF _Toc20857 \h </w:instrText>
          </w:r>
          <w:r>
            <w:rPr>
              <w:b w:val="0"/>
              <w:bCs w:val="0"/>
              <w:sz w:val="22"/>
              <w:szCs w:val="40"/>
            </w:rPr>
            <w:fldChar w:fldCharType="separate"/>
          </w:r>
          <w:r>
            <w:rPr>
              <w:b w:val="0"/>
              <w:bCs w:val="0"/>
              <w:sz w:val="22"/>
              <w:szCs w:val="40"/>
            </w:rPr>
            <w:t>3</w:t>
          </w:r>
          <w:r>
            <w:rPr>
              <w:b w:val="0"/>
              <w:bCs w:val="0"/>
              <w:sz w:val="22"/>
              <w:szCs w:val="40"/>
            </w:rPr>
            <w:fldChar w:fldCharType="end"/>
          </w:r>
          <w:r>
            <w:rPr>
              <w:rFonts w:hint="eastAsia" w:ascii="宋体" w:hAnsi="宋体" w:cs="宋体"/>
              <w:b w:val="0"/>
              <w:bCs w:val="0"/>
              <w:sz w:val="22"/>
              <w:szCs w:val="60"/>
            </w:rPr>
            <w:fldChar w:fldCharType="end"/>
          </w:r>
        </w:p>
        <w:p w14:paraId="4E00CDE7">
          <w:pPr>
            <w:pStyle w:val="29"/>
            <w:tabs>
              <w:tab w:val="right" w:leader="dot" w:pos="9072"/>
              <w:tab w:val="clear" w:pos="9440"/>
            </w:tabs>
            <w:rPr>
              <w:b w:val="0"/>
              <w:bCs w:val="0"/>
              <w:sz w:val="22"/>
              <w:szCs w:val="40"/>
            </w:rPr>
          </w:pPr>
          <w:r>
            <w:rPr>
              <w:rFonts w:hint="eastAsia" w:ascii="宋体" w:hAnsi="宋体" w:cs="宋体"/>
              <w:b w:val="0"/>
              <w:bCs w:val="0"/>
              <w:sz w:val="22"/>
              <w:szCs w:val="60"/>
            </w:rPr>
            <w:fldChar w:fldCharType="begin"/>
          </w:r>
          <w:r>
            <w:rPr>
              <w:rFonts w:hint="eastAsia" w:ascii="宋体" w:hAnsi="宋体" w:cs="宋体"/>
              <w:b w:val="0"/>
              <w:bCs w:val="0"/>
              <w:sz w:val="22"/>
              <w:szCs w:val="60"/>
            </w:rPr>
            <w:instrText xml:space="preserve"> HYPERLINK \l _Toc31356 </w:instrText>
          </w:r>
          <w:r>
            <w:rPr>
              <w:rFonts w:hint="eastAsia" w:ascii="宋体" w:hAnsi="宋体" w:cs="宋体"/>
              <w:b w:val="0"/>
              <w:bCs w:val="0"/>
              <w:sz w:val="22"/>
              <w:szCs w:val="60"/>
            </w:rPr>
            <w:fldChar w:fldCharType="separate"/>
          </w:r>
          <w:r>
            <w:rPr>
              <w:rFonts w:hint="eastAsia" w:ascii="方正小标宋_GBK" w:hAnsi="方正小标宋_GBK" w:eastAsia="方正小标宋_GBK" w:cs="方正小标宋_GBK"/>
              <w:b w:val="0"/>
              <w:bCs w:val="0"/>
              <w:sz w:val="22"/>
              <w:szCs w:val="56"/>
            </w:rPr>
            <w:t>第二章  磋商须知</w:t>
          </w:r>
          <w:r>
            <w:rPr>
              <w:b w:val="0"/>
              <w:bCs w:val="0"/>
              <w:sz w:val="22"/>
              <w:szCs w:val="40"/>
            </w:rPr>
            <w:tab/>
          </w:r>
          <w:r>
            <w:rPr>
              <w:b w:val="0"/>
              <w:bCs w:val="0"/>
              <w:sz w:val="22"/>
              <w:szCs w:val="40"/>
            </w:rPr>
            <w:fldChar w:fldCharType="begin"/>
          </w:r>
          <w:r>
            <w:rPr>
              <w:b w:val="0"/>
              <w:bCs w:val="0"/>
              <w:sz w:val="22"/>
              <w:szCs w:val="40"/>
            </w:rPr>
            <w:instrText xml:space="preserve"> PAGEREF _Toc31356 \h </w:instrText>
          </w:r>
          <w:r>
            <w:rPr>
              <w:b w:val="0"/>
              <w:bCs w:val="0"/>
              <w:sz w:val="22"/>
              <w:szCs w:val="40"/>
            </w:rPr>
            <w:fldChar w:fldCharType="separate"/>
          </w:r>
          <w:r>
            <w:rPr>
              <w:b w:val="0"/>
              <w:bCs w:val="0"/>
              <w:sz w:val="22"/>
              <w:szCs w:val="40"/>
            </w:rPr>
            <w:t>6</w:t>
          </w:r>
          <w:r>
            <w:rPr>
              <w:b w:val="0"/>
              <w:bCs w:val="0"/>
              <w:sz w:val="22"/>
              <w:szCs w:val="40"/>
            </w:rPr>
            <w:fldChar w:fldCharType="end"/>
          </w:r>
          <w:r>
            <w:rPr>
              <w:rFonts w:hint="eastAsia" w:ascii="宋体" w:hAnsi="宋体" w:cs="宋体"/>
              <w:b w:val="0"/>
              <w:bCs w:val="0"/>
              <w:sz w:val="22"/>
              <w:szCs w:val="60"/>
            </w:rPr>
            <w:fldChar w:fldCharType="end"/>
          </w:r>
        </w:p>
        <w:p w14:paraId="706A8CFF">
          <w:pPr>
            <w:pStyle w:val="29"/>
            <w:tabs>
              <w:tab w:val="right" w:leader="dot" w:pos="9072"/>
              <w:tab w:val="clear" w:pos="9440"/>
            </w:tabs>
            <w:rPr>
              <w:b w:val="0"/>
              <w:bCs w:val="0"/>
              <w:sz w:val="22"/>
              <w:szCs w:val="40"/>
            </w:rPr>
          </w:pPr>
          <w:r>
            <w:rPr>
              <w:rFonts w:hint="eastAsia" w:ascii="宋体" w:hAnsi="宋体" w:cs="宋体"/>
              <w:b w:val="0"/>
              <w:bCs w:val="0"/>
              <w:sz w:val="22"/>
              <w:szCs w:val="60"/>
            </w:rPr>
            <w:fldChar w:fldCharType="begin"/>
          </w:r>
          <w:r>
            <w:rPr>
              <w:rFonts w:hint="eastAsia" w:ascii="宋体" w:hAnsi="宋体" w:cs="宋体"/>
              <w:b w:val="0"/>
              <w:bCs w:val="0"/>
              <w:sz w:val="22"/>
              <w:szCs w:val="60"/>
            </w:rPr>
            <w:instrText xml:space="preserve"> HYPERLINK \l _Toc20699 </w:instrText>
          </w:r>
          <w:r>
            <w:rPr>
              <w:rFonts w:hint="eastAsia" w:ascii="宋体" w:hAnsi="宋体" w:cs="宋体"/>
              <w:b w:val="0"/>
              <w:bCs w:val="0"/>
              <w:sz w:val="22"/>
              <w:szCs w:val="60"/>
            </w:rPr>
            <w:fldChar w:fldCharType="separate"/>
          </w:r>
          <w:r>
            <w:rPr>
              <w:rFonts w:hint="eastAsia" w:ascii="方正小标宋_GBK" w:hAnsi="方正小标宋_GBK" w:eastAsia="方正小标宋_GBK" w:cs="方正小标宋_GBK"/>
              <w:b w:val="0"/>
              <w:bCs w:val="0"/>
              <w:sz w:val="22"/>
              <w:szCs w:val="56"/>
            </w:rPr>
            <w:t>第三章  合同条款及格式</w:t>
          </w:r>
          <w:r>
            <w:rPr>
              <w:b w:val="0"/>
              <w:bCs w:val="0"/>
              <w:sz w:val="22"/>
              <w:szCs w:val="40"/>
            </w:rPr>
            <w:tab/>
          </w:r>
          <w:r>
            <w:rPr>
              <w:b w:val="0"/>
              <w:bCs w:val="0"/>
              <w:sz w:val="22"/>
              <w:szCs w:val="40"/>
            </w:rPr>
            <w:fldChar w:fldCharType="begin"/>
          </w:r>
          <w:r>
            <w:rPr>
              <w:b w:val="0"/>
              <w:bCs w:val="0"/>
              <w:sz w:val="22"/>
              <w:szCs w:val="40"/>
            </w:rPr>
            <w:instrText xml:space="preserve"> PAGEREF _Toc20699 \h </w:instrText>
          </w:r>
          <w:r>
            <w:rPr>
              <w:b w:val="0"/>
              <w:bCs w:val="0"/>
              <w:sz w:val="22"/>
              <w:szCs w:val="40"/>
            </w:rPr>
            <w:fldChar w:fldCharType="separate"/>
          </w:r>
          <w:r>
            <w:rPr>
              <w:b w:val="0"/>
              <w:bCs w:val="0"/>
              <w:sz w:val="22"/>
              <w:szCs w:val="40"/>
            </w:rPr>
            <w:t>17</w:t>
          </w:r>
          <w:r>
            <w:rPr>
              <w:b w:val="0"/>
              <w:bCs w:val="0"/>
              <w:sz w:val="22"/>
              <w:szCs w:val="40"/>
            </w:rPr>
            <w:fldChar w:fldCharType="end"/>
          </w:r>
          <w:r>
            <w:rPr>
              <w:rFonts w:hint="eastAsia" w:ascii="宋体" w:hAnsi="宋体" w:cs="宋体"/>
              <w:b w:val="0"/>
              <w:bCs w:val="0"/>
              <w:sz w:val="22"/>
              <w:szCs w:val="60"/>
            </w:rPr>
            <w:fldChar w:fldCharType="end"/>
          </w:r>
        </w:p>
        <w:p w14:paraId="73AEA68D">
          <w:pPr>
            <w:pStyle w:val="29"/>
            <w:tabs>
              <w:tab w:val="right" w:leader="dot" w:pos="9072"/>
              <w:tab w:val="clear" w:pos="9440"/>
            </w:tabs>
            <w:rPr>
              <w:b w:val="0"/>
              <w:bCs w:val="0"/>
              <w:sz w:val="22"/>
              <w:szCs w:val="40"/>
            </w:rPr>
          </w:pPr>
          <w:r>
            <w:rPr>
              <w:rFonts w:hint="eastAsia" w:ascii="宋体" w:hAnsi="宋体" w:cs="宋体"/>
              <w:b w:val="0"/>
              <w:bCs w:val="0"/>
              <w:sz w:val="22"/>
              <w:szCs w:val="60"/>
            </w:rPr>
            <w:fldChar w:fldCharType="begin"/>
          </w:r>
          <w:r>
            <w:rPr>
              <w:rFonts w:hint="eastAsia" w:ascii="宋体" w:hAnsi="宋体" w:cs="宋体"/>
              <w:b w:val="0"/>
              <w:bCs w:val="0"/>
              <w:sz w:val="22"/>
              <w:szCs w:val="60"/>
            </w:rPr>
            <w:instrText xml:space="preserve"> HYPERLINK \l _Toc3002 </w:instrText>
          </w:r>
          <w:r>
            <w:rPr>
              <w:rFonts w:hint="eastAsia" w:ascii="宋体" w:hAnsi="宋体" w:cs="宋体"/>
              <w:b w:val="0"/>
              <w:bCs w:val="0"/>
              <w:sz w:val="22"/>
              <w:szCs w:val="60"/>
            </w:rPr>
            <w:fldChar w:fldCharType="separate"/>
          </w:r>
          <w:r>
            <w:rPr>
              <w:rFonts w:hint="eastAsia" w:ascii="方正小标宋_GBK" w:hAnsi="方正小标宋_GBK" w:eastAsia="方正小标宋_GBK" w:cs="方正小标宋_GBK"/>
              <w:b w:val="0"/>
              <w:bCs w:val="0"/>
              <w:sz w:val="22"/>
              <w:szCs w:val="56"/>
            </w:rPr>
            <w:t>第四章  项目需求</w:t>
          </w:r>
          <w:r>
            <w:rPr>
              <w:b w:val="0"/>
              <w:bCs w:val="0"/>
              <w:sz w:val="22"/>
              <w:szCs w:val="40"/>
            </w:rPr>
            <w:tab/>
          </w:r>
          <w:r>
            <w:rPr>
              <w:b w:val="0"/>
              <w:bCs w:val="0"/>
              <w:sz w:val="22"/>
              <w:szCs w:val="40"/>
            </w:rPr>
            <w:fldChar w:fldCharType="begin"/>
          </w:r>
          <w:r>
            <w:rPr>
              <w:b w:val="0"/>
              <w:bCs w:val="0"/>
              <w:sz w:val="22"/>
              <w:szCs w:val="40"/>
            </w:rPr>
            <w:instrText xml:space="preserve"> PAGEREF _Toc3002 \h </w:instrText>
          </w:r>
          <w:r>
            <w:rPr>
              <w:b w:val="0"/>
              <w:bCs w:val="0"/>
              <w:sz w:val="22"/>
              <w:szCs w:val="40"/>
            </w:rPr>
            <w:fldChar w:fldCharType="separate"/>
          </w:r>
          <w:r>
            <w:rPr>
              <w:b w:val="0"/>
              <w:bCs w:val="0"/>
              <w:sz w:val="22"/>
              <w:szCs w:val="40"/>
            </w:rPr>
            <w:t>21</w:t>
          </w:r>
          <w:r>
            <w:rPr>
              <w:b w:val="0"/>
              <w:bCs w:val="0"/>
              <w:sz w:val="22"/>
              <w:szCs w:val="40"/>
            </w:rPr>
            <w:fldChar w:fldCharType="end"/>
          </w:r>
          <w:r>
            <w:rPr>
              <w:rFonts w:hint="eastAsia" w:ascii="宋体" w:hAnsi="宋体" w:cs="宋体"/>
              <w:b w:val="0"/>
              <w:bCs w:val="0"/>
              <w:sz w:val="22"/>
              <w:szCs w:val="60"/>
            </w:rPr>
            <w:fldChar w:fldCharType="end"/>
          </w:r>
        </w:p>
        <w:p w14:paraId="5712093A">
          <w:pPr>
            <w:pStyle w:val="29"/>
            <w:tabs>
              <w:tab w:val="right" w:leader="dot" w:pos="9072"/>
              <w:tab w:val="clear" w:pos="9440"/>
            </w:tabs>
            <w:rPr>
              <w:b w:val="0"/>
              <w:bCs w:val="0"/>
              <w:sz w:val="22"/>
              <w:szCs w:val="40"/>
            </w:rPr>
          </w:pPr>
          <w:r>
            <w:rPr>
              <w:rFonts w:hint="eastAsia" w:ascii="宋体" w:hAnsi="宋体" w:cs="宋体"/>
              <w:b w:val="0"/>
              <w:bCs w:val="0"/>
              <w:sz w:val="22"/>
              <w:szCs w:val="60"/>
            </w:rPr>
            <w:fldChar w:fldCharType="begin"/>
          </w:r>
          <w:r>
            <w:rPr>
              <w:rFonts w:hint="eastAsia" w:ascii="宋体" w:hAnsi="宋体" w:cs="宋体"/>
              <w:b w:val="0"/>
              <w:bCs w:val="0"/>
              <w:sz w:val="22"/>
              <w:szCs w:val="60"/>
            </w:rPr>
            <w:instrText xml:space="preserve"> HYPERLINK \l _Toc19097 </w:instrText>
          </w:r>
          <w:r>
            <w:rPr>
              <w:rFonts w:hint="eastAsia" w:ascii="宋体" w:hAnsi="宋体" w:cs="宋体"/>
              <w:b w:val="0"/>
              <w:bCs w:val="0"/>
              <w:sz w:val="22"/>
              <w:szCs w:val="60"/>
            </w:rPr>
            <w:fldChar w:fldCharType="separate"/>
          </w:r>
          <w:r>
            <w:rPr>
              <w:rFonts w:hint="eastAsia" w:ascii="方正小标宋_GBK" w:hAnsi="方正小标宋_GBK" w:eastAsia="方正小标宋_GBK" w:cs="方正小标宋_GBK"/>
              <w:b w:val="0"/>
              <w:bCs w:val="0"/>
              <w:sz w:val="22"/>
              <w:szCs w:val="56"/>
            </w:rPr>
            <w:t>第五章  评审方法和评审标准</w:t>
          </w:r>
          <w:r>
            <w:rPr>
              <w:b w:val="0"/>
              <w:bCs w:val="0"/>
              <w:sz w:val="22"/>
              <w:szCs w:val="40"/>
            </w:rPr>
            <w:tab/>
          </w:r>
          <w:r>
            <w:rPr>
              <w:b w:val="0"/>
              <w:bCs w:val="0"/>
              <w:sz w:val="22"/>
              <w:szCs w:val="40"/>
            </w:rPr>
            <w:fldChar w:fldCharType="begin"/>
          </w:r>
          <w:r>
            <w:rPr>
              <w:b w:val="0"/>
              <w:bCs w:val="0"/>
              <w:sz w:val="22"/>
              <w:szCs w:val="40"/>
            </w:rPr>
            <w:instrText xml:space="preserve"> PAGEREF _Toc19097 \h </w:instrText>
          </w:r>
          <w:r>
            <w:rPr>
              <w:b w:val="0"/>
              <w:bCs w:val="0"/>
              <w:sz w:val="22"/>
              <w:szCs w:val="40"/>
            </w:rPr>
            <w:fldChar w:fldCharType="separate"/>
          </w:r>
          <w:r>
            <w:rPr>
              <w:b w:val="0"/>
              <w:bCs w:val="0"/>
              <w:sz w:val="22"/>
              <w:szCs w:val="40"/>
            </w:rPr>
            <w:t>22</w:t>
          </w:r>
          <w:r>
            <w:rPr>
              <w:b w:val="0"/>
              <w:bCs w:val="0"/>
              <w:sz w:val="22"/>
              <w:szCs w:val="40"/>
            </w:rPr>
            <w:fldChar w:fldCharType="end"/>
          </w:r>
          <w:r>
            <w:rPr>
              <w:rFonts w:hint="eastAsia" w:ascii="宋体" w:hAnsi="宋体" w:cs="宋体"/>
              <w:b w:val="0"/>
              <w:bCs w:val="0"/>
              <w:sz w:val="22"/>
              <w:szCs w:val="60"/>
            </w:rPr>
            <w:fldChar w:fldCharType="end"/>
          </w:r>
        </w:p>
        <w:p w14:paraId="7D56280F">
          <w:pPr>
            <w:pStyle w:val="29"/>
            <w:tabs>
              <w:tab w:val="right" w:leader="dot" w:pos="9072"/>
              <w:tab w:val="clear" w:pos="9440"/>
            </w:tabs>
            <w:rPr>
              <w:b w:val="0"/>
              <w:bCs w:val="0"/>
              <w:sz w:val="22"/>
              <w:szCs w:val="40"/>
            </w:rPr>
          </w:pPr>
          <w:r>
            <w:rPr>
              <w:rFonts w:hint="eastAsia" w:ascii="宋体" w:hAnsi="宋体" w:cs="宋体"/>
              <w:b w:val="0"/>
              <w:bCs w:val="0"/>
              <w:sz w:val="22"/>
              <w:szCs w:val="60"/>
            </w:rPr>
            <w:fldChar w:fldCharType="begin"/>
          </w:r>
          <w:r>
            <w:rPr>
              <w:rFonts w:hint="eastAsia" w:ascii="宋体" w:hAnsi="宋体" w:cs="宋体"/>
              <w:b w:val="0"/>
              <w:bCs w:val="0"/>
              <w:sz w:val="22"/>
              <w:szCs w:val="60"/>
            </w:rPr>
            <w:instrText xml:space="preserve"> HYPERLINK \l _Toc822 </w:instrText>
          </w:r>
          <w:r>
            <w:rPr>
              <w:rFonts w:hint="eastAsia" w:ascii="宋体" w:hAnsi="宋体" w:cs="宋体"/>
              <w:b w:val="0"/>
              <w:bCs w:val="0"/>
              <w:sz w:val="22"/>
              <w:szCs w:val="60"/>
            </w:rPr>
            <w:fldChar w:fldCharType="separate"/>
          </w:r>
          <w:r>
            <w:rPr>
              <w:rFonts w:hint="eastAsia" w:ascii="方正小标宋_GBK" w:hAnsi="方正小标宋_GBK" w:eastAsia="方正小标宋_GBK" w:cs="方正小标宋_GBK"/>
              <w:b w:val="0"/>
              <w:bCs w:val="0"/>
              <w:sz w:val="22"/>
              <w:szCs w:val="56"/>
            </w:rPr>
            <w:t xml:space="preserve">第六章  </w:t>
          </w:r>
          <w:r>
            <w:rPr>
              <w:rFonts w:hint="eastAsia" w:ascii="方正小标宋_GBK" w:hAnsi="方正小标宋_GBK" w:eastAsia="方正小标宋_GBK" w:cs="方正小标宋_GBK"/>
              <w:b w:val="0"/>
              <w:bCs w:val="0"/>
              <w:sz w:val="22"/>
              <w:szCs w:val="56"/>
              <w:lang w:val="en-US" w:eastAsia="zh-CN"/>
            </w:rPr>
            <w:t>竞争性磋商</w:t>
          </w:r>
          <w:r>
            <w:rPr>
              <w:rFonts w:hint="eastAsia" w:ascii="方正小标宋_GBK" w:hAnsi="方正小标宋_GBK" w:eastAsia="方正小标宋_GBK" w:cs="方正小标宋_GBK"/>
              <w:b w:val="0"/>
              <w:bCs w:val="0"/>
              <w:sz w:val="22"/>
              <w:szCs w:val="56"/>
            </w:rPr>
            <w:t>响应文件格式</w:t>
          </w:r>
          <w:r>
            <w:rPr>
              <w:b w:val="0"/>
              <w:bCs w:val="0"/>
              <w:sz w:val="22"/>
              <w:szCs w:val="40"/>
            </w:rPr>
            <w:tab/>
          </w:r>
          <w:r>
            <w:rPr>
              <w:b w:val="0"/>
              <w:bCs w:val="0"/>
              <w:sz w:val="22"/>
              <w:szCs w:val="40"/>
            </w:rPr>
            <w:fldChar w:fldCharType="begin"/>
          </w:r>
          <w:r>
            <w:rPr>
              <w:b w:val="0"/>
              <w:bCs w:val="0"/>
              <w:sz w:val="22"/>
              <w:szCs w:val="40"/>
            </w:rPr>
            <w:instrText xml:space="preserve"> PAGEREF _Toc822 \h </w:instrText>
          </w:r>
          <w:r>
            <w:rPr>
              <w:b w:val="0"/>
              <w:bCs w:val="0"/>
              <w:sz w:val="22"/>
              <w:szCs w:val="40"/>
            </w:rPr>
            <w:fldChar w:fldCharType="separate"/>
          </w:r>
          <w:r>
            <w:rPr>
              <w:b w:val="0"/>
              <w:bCs w:val="0"/>
              <w:sz w:val="22"/>
              <w:szCs w:val="40"/>
            </w:rPr>
            <w:t>27</w:t>
          </w:r>
          <w:r>
            <w:rPr>
              <w:b w:val="0"/>
              <w:bCs w:val="0"/>
              <w:sz w:val="22"/>
              <w:szCs w:val="40"/>
            </w:rPr>
            <w:fldChar w:fldCharType="end"/>
          </w:r>
          <w:r>
            <w:rPr>
              <w:rFonts w:hint="eastAsia" w:ascii="宋体" w:hAnsi="宋体" w:cs="宋体"/>
              <w:b w:val="0"/>
              <w:bCs w:val="0"/>
              <w:sz w:val="22"/>
              <w:szCs w:val="60"/>
            </w:rPr>
            <w:fldChar w:fldCharType="end"/>
          </w:r>
        </w:p>
        <w:p w14:paraId="0752B374">
          <w:pPr>
            <w:spacing w:line="600" w:lineRule="auto"/>
            <w:rPr>
              <w:rFonts w:hint="eastAsia" w:ascii="宋体" w:hAnsi="宋体" w:eastAsia="宋体" w:cs="宋体"/>
              <w:b w:val="0"/>
              <w:bCs/>
              <w:kern w:val="2"/>
              <w:sz w:val="28"/>
              <w:szCs w:val="48"/>
              <w:lang w:val="en-US" w:eastAsia="zh-CN" w:bidi="ar-SA"/>
            </w:rPr>
          </w:pPr>
          <w:r>
            <w:rPr>
              <w:rFonts w:hint="eastAsia" w:ascii="宋体" w:hAnsi="宋体" w:cs="宋体"/>
              <w:b w:val="0"/>
              <w:bCs w:val="0"/>
              <w:sz w:val="28"/>
              <w:szCs w:val="60"/>
            </w:rPr>
            <w:fldChar w:fldCharType="end"/>
          </w:r>
        </w:p>
      </w:sdtContent>
    </w:sdt>
    <w:p w14:paraId="1B761041">
      <w:pPr>
        <w:pStyle w:val="2"/>
        <w:rPr>
          <w:rFonts w:hint="eastAsia"/>
        </w:rPr>
      </w:pPr>
    </w:p>
    <w:p w14:paraId="0ABB1354">
      <w:pPr>
        <w:pStyle w:val="4"/>
        <w:spacing w:line="360" w:lineRule="auto"/>
        <w:rPr>
          <w:rFonts w:hint="eastAsia" w:ascii="Arial Unicode MS" w:hAnsi="Arial Unicode MS" w:eastAsia="Arial Unicode MS" w:cs="Arial Unicode MS"/>
          <w:kern w:val="0"/>
          <w:sz w:val="44"/>
          <w:szCs w:val="44"/>
        </w:rPr>
      </w:pPr>
    </w:p>
    <w:p w14:paraId="45E13B1B"/>
    <w:p w14:paraId="6CA5607C"/>
    <w:p w14:paraId="1F73618C"/>
    <w:p w14:paraId="2871EBF0"/>
    <w:p w14:paraId="357512E1"/>
    <w:p w14:paraId="67622085"/>
    <w:p w14:paraId="3A8685E7"/>
    <w:p w14:paraId="55CBC4DC"/>
    <w:p w14:paraId="054C12E1"/>
    <w:p w14:paraId="527CE4E1"/>
    <w:p w14:paraId="1C656CD9"/>
    <w:p w14:paraId="7A0D83E4"/>
    <w:p w14:paraId="7389B178"/>
    <w:p w14:paraId="046A3B50"/>
    <w:p w14:paraId="7A722322"/>
    <w:p w14:paraId="07BABC9A"/>
    <w:p w14:paraId="21E20D21"/>
    <w:p w14:paraId="781E72C4"/>
    <w:p w14:paraId="4325C9DB"/>
    <w:p w14:paraId="1BBDABC1"/>
    <w:p w14:paraId="5672D2BE"/>
    <w:p w14:paraId="5C4E8698">
      <w:pPr>
        <w:rPr>
          <w:rFonts w:hint="eastAsia" w:ascii="方正小标宋_GBK" w:hAnsi="方正小标宋_GBK" w:eastAsia="方正小标宋_GBK" w:cs="方正小标宋_GBK"/>
          <w:sz w:val="44"/>
          <w:szCs w:val="44"/>
        </w:rPr>
      </w:pPr>
      <w:bookmarkStart w:id="0" w:name="_Toc20857"/>
      <w:bookmarkStart w:id="1" w:name="_Toc3774"/>
      <w:bookmarkStart w:id="2" w:name="_Toc2444"/>
      <w:bookmarkStart w:id="3" w:name="_Toc23976"/>
      <w:r>
        <w:rPr>
          <w:rFonts w:hint="eastAsia" w:ascii="方正小标宋_GBK" w:hAnsi="方正小标宋_GBK" w:eastAsia="方正小标宋_GBK" w:cs="方正小标宋_GBK"/>
          <w:sz w:val="44"/>
          <w:szCs w:val="44"/>
        </w:rPr>
        <w:br w:type="page"/>
      </w:r>
    </w:p>
    <w:p w14:paraId="48C15886">
      <w:pPr>
        <w:pStyle w:val="4"/>
        <w:jc w:val="center"/>
      </w:pPr>
      <w:r>
        <w:rPr>
          <w:rFonts w:hint="eastAsia" w:ascii="方正小标宋_GBK" w:hAnsi="方正小标宋_GBK" w:eastAsia="方正小标宋_GBK" w:cs="方正小标宋_GBK"/>
          <w:sz w:val="44"/>
          <w:szCs w:val="44"/>
        </w:rPr>
        <w:t xml:space="preserve">第一章  </w:t>
      </w:r>
      <w:bookmarkStart w:id="4" w:name="_Hlk182561491"/>
      <w:r>
        <w:rPr>
          <w:rFonts w:hint="eastAsia" w:ascii="方正小标宋_GBK" w:hAnsi="方正小标宋_GBK" w:eastAsia="方正小标宋_GBK" w:cs="方正小标宋_GBK"/>
          <w:sz w:val="44"/>
          <w:szCs w:val="44"/>
        </w:rPr>
        <w:t>竞争性磋商公告</w:t>
      </w:r>
      <w:bookmarkEnd w:id="0"/>
      <w:bookmarkEnd w:id="1"/>
      <w:bookmarkEnd w:id="2"/>
      <w:bookmarkEnd w:id="3"/>
      <w:bookmarkStart w:id="5" w:name="_Toc513029209"/>
      <w:bookmarkStart w:id="6" w:name="_Toc14577347"/>
      <w:bookmarkStart w:id="7" w:name="_Toc61149549"/>
    </w:p>
    <w:p w14:paraId="3C6DEAF1">
      <w:pPr>
        <w:spacing w:line="500" w:lineRule="exact"/>
        <w:rPr>
          <w:rFonts w:hint="eastAsia" w:ascii="宋体" w:hAnsi="宋体" w:cs="宋体"/>
          <w:b/>
          <w:bCs/>
          <w:sz w:val="24"/>
        </w:rPr>
      </w:pPr>
      <w:bookmarkStart w:id="8" w:name="_Toc35393629"/>
      <w:bookmarkStart w:id="9" w:name="_Toc28359089"/>
      <w:bookmarkStart w:id="10" w:name="_Toc35393798"/>
      <w:bookmarkStart w:id="11" w:name="_Toc28359012"/>
      <w:r>
        <w:rPr>
          <w:rFonts w:hint="eastAsia" w:ascii="方正小标宋_GBK" w:hAnsi="方正小标宋_GBK" w:eastAsia="方正小标宋_GBK" w:cs="方正小标宋_GBK"/>
          <w:sz w:val="44"/>
          <w:szCs w:val="44"/>
        </w:rPr>
        <mc:AlternateContent>
          <mc:Choice Requires="wps">
            <w:drawing>
              <wp:anchor distT="0" distB="0" distL="114300" distR="114300" simplePos="0" relativeHeight="251661312" behindDoc="0" locked="0" layoutInCell="1" allowOverlap="1">
                <wp:simplePos x="0" y="0"/>
                <wp:positionH relativeFrom="column">
                  <wp:posOffset>-59055</wp:posOffset>
                </wp:positionH>
                <wp:positionV relativeFrom="paragraph">
                  <wp:posOffset>22860</wp:posOffset>
                </wp:positionV>
                <wp:extent cx="5900420" cy="1301750"/>
                <wp:effectExtent l="12700" t="12700" r="15240" b="26670"/>
                <wp:wrapNone/>
                <wp:docPr id="810242151" name="矩形 6"/>
                <wp:cNvGraphicFramePr/>
                <a:graphic xmlns:a="http://schemas.openxmlformats.org/drawingml/2006/main">
                  <a:graphicData uri="http://schemas.microsoft.com/office/word/2010/wordprocessingShape">
                    <wps:wsp>
                      <wps:cNvSpPr/>
                      <wps:spPr>
                        <a:xfrm>
                          <a:off x="0" y="0"/>
                          <a:ext cx="5900420" cy="13017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6" o:spid="_x0000_s1026" o:spt="1" style="position:absolute;left:0pt;margin-left:-4.65pt;margin-top:1.8pt;height:102.5pt;width:464.6pt;z-index:251661312;v-text-anchor:middle;mso-width-relative:page;mso-height-relative:page;" filled="f" stroked="t" coordsize="21600,21600" o:gfxdata="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IIfdf/YAAAACAEAAA8AAAAAAAAAAQAgAAAAIgAAAGRycy9k&#10;b3ducmV2LnhtbFBLAQIUABQAAAAIAIdO4kDr+2nxdAIAAN4EAAAOAAAAAAAAAAEAIAAAACcBAABk&#10;cnMvZTJvRG9jLnhtbFBLBQYAAAAABgAGAFkBAAANBgAAAAA=&#10;">
                <v:fill on="f" focussize="0,0"/>
                <v:stroke weight="2pt" color="#1C334E [3204]" joinstyle="round"/>
                <v:imagedata o:title=""/>
                <o:lock v:ext="edit" aspectratio="f"/>
              </v:rect>
            </w:pict>
          </mc:Fallback>
        </mc:AlternateContent>
      </w:r>
      <w:r>
        <w:rPr>
          <w:rFonts w:hint="eastAsia" w:ascii="宋体" w:hAnsi="宋体" w:cs="宋体"/>
          <w:b/>
          <w:bCs/>
          <w:sz w:val="24"/>
        </w:rPr>
        <w:t>项目概况</w:t>
      </w:r>
    </w:p>
    <w:p w14:paraId="5FDAE65B">
      <w:pPr>
        <w:spacing w:line="500" w:lineRule="exact"/>
        <w:ind w:firstLine="480" w:firstLineChars="200"/>
        <w:rPr>
          <w:rFonts w:ascii="宋体"/>
          <w:bCs/>
          <w:sz w:val="24"/>
        </w:rPr>
      </w:pPr>
      <w:r>
        <w:rPr>
          <w:rFonts w:hint="eastAsia" w:ascii="宋体" w:hAnsi="宋体"/>
          <w:sz w:val="24"/>
          <w:u w:val="single"/>
          <w:lang w:eastAsia="zh-CN"/>
        </w:rPr>
        <w:t>大丰大队专职消防员、消防文员保险购置项目</w:t>
      </w:r>
      <w:r>
        <w:rPr>
          <w:rFonts w:hint="eastAsia" w:ascii="宋体"/>
          <w:bCs/>
          <w:sz w:val="24"/>
        </w:rPr>
        <w:t>的潜在供应商应至</w:t>
      </w:r>
      <w:r>
        <w:rPr>
          <w:rFonts w:hint="eastAsia" w:ascii="宋体"/>
          <w:bCs/>
          <w:sz w:val="24"/>
          <w:u w:val="single"/>
          <w:lang w:eastAsia="zh-CN"/>
        </w:rPr>
        <w:t>盐城中亿源项目管理有限公司</w:t>
      </w:r>
      <w:r>
        <w:rPr>
          <w:rFonts w:hint="eastAsia" w:ascii="宋体"/>
          <w:bCs/>
          <w:sz w:val="24"/>
        </w:rPr>
        <w:t>获取磋商文件，并于</w:t>
      </w:r>
      <w:r>
        <w:rPr>
          <w:rFonts w:hint="eastAsia" w:ascii="宋体"/>
          <w:bCs/>
          <w:sz w:val="24"/>
          <w:u w:val="single"/>
        </w:rPr>
        <w:t>202</w:t>
      </w:r>
      <w:r>
        <w:rPr>
          <w:rFonts w:hint="eastAsia" w:ascii="宋体"/>
          <w:bCs/>
          <w:sz w:val="24"/>
          <w:u w:val="single"/>
          <w:lang w:val="en-US" w:eastAsia="zh-CN"/>
        </w:rPr>
        <w:t>6</w:t>
      </w:r>
      <w:r>
        <w:rPr>
          <w:rFonts w:hint="eastAsia" w:ascii="宋体"/>
          <w:bCs/>
          <w:sz w:val="24"/>
        </w:rPr>
        <w:t>年</w:t>
      </w:r>
      <w:r>
        <w:rPr>
          <w:rFonts w:hint="eastAsia" w:ascii="宋体"/>
          <w:bCs/>
          <w:sz w:val="24"/>
          <w:u w:val="single"/>
          <w:lang w:val="en-US" w:eastAsia="zh-CN"/>
        </w:rPr>
        <w:t>09</w:t>
      </w:r>
      <w:r>
        <w:rPr>
          <w:rFonts w:hint="eastAsia" w:ascii="宋体"/>
          <w:bCs/>
          <w:sz w:val="24"/>
        </w:rPr>
        <w:t>月</w:t>
      </w:r>
      <w:r>
        <w:rPr>
          <w:rFonts w:hint="eastAsia" w:ascii="宋体"/>
          <w:bCs/>
          <w:sz w:val="24"/>
          <w:u w:val="single"/>
          <w:lang w:val="en-US" w:eastAsia="zh-CN"/>
        </w:rPr>
        <w:t>09</w:t>
      </w:r>
      <w:r>
        <w:rPr>
          <w:rFonts w:hint="eastAsia" w:ascii="宋体"/>
          <w:bCs/>
          <w:sz w:val="24"/>
        </w:rPr>
        <w:t>日</w:t>
      </w:r>
      <w:r>
        <w:rPr>
          <w:rFonts w:hint="eastAsia" w:ascii="宋体"/>
          <w:bCs/>
          <w:sz w:val="24"/>
          <w:u w:val="single"/>
          <w:lang w:val="en-US" w:eastAsia="zh-CN"/>
        </w:rPr>
        <w:t>10</w:t>
      </w:r>
      <w:r>
        <w:rPr>
          <w:rFonts w:hint="eastAsia" w:ascii="宋体"/>
          <w:bCs/>
          <w:sz w:val="24"/>
        </w:rPr>
        <w:t>时（北京时间）前递交响应文件。</w:t>
      </w:r>
    </w:p>
    <w:p w14:paraId="6BC423D9">
      <w:pPr>
        <w:spacing w:line="500" w:lineRule="exact"/>
        <w:ind w:firstLine="482" w:firstLineChars="200"/>
        <w:rPr>
          <w:rFonts w:hint="eastAsia" w:ascii="宋体" w:hAnsi="宋体" w:cs="宋体"/>
          <w:b/>
          <w:bCs/>
          <w:sz w:val="24"/>
        </w:rPr>
      </w:pPr>
      <w:r>
        <w:rPr>
          <w:rFonts w:hint="eastAsia" w:ascii="宋体" w:hAnsi="宋体" w:cs="宋体"/>
          <w:b/>
          <w:bCs/>
          <w:sz w:val="24"/>
        </w:rPr>
        <w:t>一、项目基本情况</w:t>
      </w:r>
      <w:bookmarkEnd w:id="8"/>
      <w:bookmarkEnd w:id="9"/>
      <w:bookmarkEnd w:id="10"/>
      <w:bookmarkEnd w:id="11"/>
    </w:p>
    <w:p w14:paraId="5EA02029">
      <w:pPr>
        <w:spacing w:line="500" w:lineRule="exact"/>
        <w:ind w:firstLine="480" w:firstLineChars="200"/>
        <w:rPr>
          <w:rFonts w:hint="eastAsia" w:ascii="宋体" w:hAnsi="宋体"/>
          <w:sz w:val="24"/>
        </w:rPr>
      </w:pPr>
      <w:r>
        <w:rPr>
          <w:rFonts w:hint="eastAsia" w:ascii="宋体" w:hAnsi="宋体" w:cs="宋体"/>
          <w:sz w:val="24"/>
        </w:rPr>
        <w:t>1.项目编号：</w:t>
      </w:r>
      <w:r>
        <w:rPr>
          <w:rFonts w:hint="eastAsia" w:ascii="宋体" w:hAnsi="宋体" w:cs="宋体"/>
          <w:sz w:val="24"/>
          <w:u w:val="single"/>
        </w:rPr>
        <w:t>DFXFCG2026-A01</w:t>
      </w:r>
    </w:p>
    <w:p w14:paraId="3FFEA720">
      <w:pPr>
        <w:spacing w:line="500" w:lineRule="exact"/>
        <w:ind w:firstLine="480" w:firstLineChars="200"/>
        <w:rPr>
          <w:rFonts w:hint="eastAsia" w:ascii="宋体" w:hAnsi="宋体" w:eastAsia="宋体"/>
          <w:sz w:val="24"/>
          <w:lang w:eastAsia="zh-CN"/>
        </w:rPr>
      </w:pPr>
      <w:r>
        <w:rPr>
          <w:rFonts w:hint="eastAsia" w:ascii="宋体" w:hAnsi="宋体" w:cs="宋体"/>
          <w:sz w:val="24"/>
        </w:rPr>
        <w:t>2.项目名称：</w:t>
      </w:r>
      <w:r>
        <w:rPr>
          <w:rFonts w:hint="eastAsia" w:ascii="宋体" w:hAnsi="宋体"/>
          <w:sz w:val="24"/>
          <w:u w:val="single"/>
          <w:lang w:eastAsia="zh-CN"/>
        </w:rPr>
        <w:t>大丰大队专职消防员、消防文员保险购置项目</w:t>
      </w:r>
    </w:p>
    <w:p w14:paraId="275E557C">
      <w:pPr>
        <w:spacing w:line="500" w:lineRule="exact"/>
        <w:ind w:firstLine="480" w:firstLineChars="200"/>
        <w:rPr>
          <w:rFonts w:hint="eastAsia" w:ascii="宋体" w:hAnsi="宋体" w:cs="宋体"/>
          <w:sz w:val="24"/>
        </w:rPr>
      </w:pPr>
      <w:r>
        <w:rPr>
          <w:rFonts w:hint="eastAsia" w:ascii="宋体" w:hAnsi="宋体" w:cs="宋体"/>
          <w:sz w:val="24"/>
        </w:rPr>
        <w:t>3.采购方式：</w:t>
      </w:r>
      <w:r>
        <w:rPr>
          <w:rFonts w:hint="eastAsia" w:ascii="宋体" w:hAnsi="宋体" w:cs="宋体"/>
          <w:sz w:val="24"/>
          <w:u w:val="single"/>
        </w:rPr>
        <w:t>竞争性磋商</w:t>
      </w:r>
    </w:p>
    <w:p w14:paraId="69024E3C">
      <w:pPr>
        <w:spacing w:line="500" w:lineRule="exact"/>
        <w:ind w:firstLine="480" w:firstLineChars="200"/>
        <w:rPr>
          <w:rFonts w:hint="default" w:ascii="宋体" w:hAnsi="宋体" w:eastAsia="宋体" w:cs="宋体"/>
          <w:color w:val="auto"/>
          <w:sz w:val="24"/>
          <w:lang w:val="en-US" w:eastAsia="zh-CN"/>
        </w:rPr>
      </w:pPr>
      <w:r>
        <w:rPr>
          <w:rFonts w:hint="eastAsia" w:ascii="宋体" w:hAnsi="宋体" w:cs="宋体"/>
          <w:color w:val="auto"/>
          <w:sz w:val="24"/>
        </w:rPr>
        <w:t>4.预算金额：</w:t>
      </w:r>
      <w:r>
        <w:rPr>
          <w:rFonts w:hint="eastAsia" w:ascii="宋体" w:hAnsi="宋体" w:cs="宋体"/>
          <w:color w:val="auto"/>
          <w:sz w:val="24"/>
          <w:u w:val="single"/>
          <w:lang w:val="en-US" w:eastAsia="zh-CN"/>
        </w:rPr>
        <w:t>30.82</w:t>
      </w:r>
      <w:r>
        <w:rPr>
          <w:rFonts w:hint="eastAsia" w:ascii="宋体" w:hAnsi="宋体" w:cs="宋体"/>
          <w:color w:val="auto"/>
          <w:sz w:val="24"/>
          <w:u w:val="single"/>
        </w:rPr>
        <w:t>万元</w:t>
      </w:r>
    </w:p>
    <w:p w14:paraId="18804BFC">
      <w:pPr>
        <w:spacing w:line="500" w:lineRule="exact"/>
        <w:ind w:firstLine="482" w:firstLineChars="200"/>
        <w:rPr>
          <w:rFonts w:hint="eastAsia" w:ascii="宋体" w:hAnsi="宋体" w:eastAsia="宋体" w:cs="宋体"/>
          <w:b/>
          <w:bCs/>
          <w:color w:val="auto"/>
          <w:sz w:val="24"/>
          <w:lang w:eastAsia="zh-CN"/>
        </w:rPr>
      </w:pPr>
      <w:r>
        <w:rPr>
          <w:rFonts w:hint="eastAsia" w:ascii="宋体" w:hAnsi="宋体" w:cs="宋体"/>
          <w:b/>
          <w:bCs/>
          <w:color w:val="auto"/>
          <w:sz w:val="24"/>
        </w:rPr>
        <w:t>5.最高响应报价：</w:t>
      </w:r>
      <w:r>
        <w:rPr>
          <w:rFonts w:hint="eastAsia" w:ascii="宋体" w:hAnsi="宋体" w:cs="宋体"/>
          <w:b/>
          <w:bCs/>
          <w:color w:val="auto"/>
          <w:sz w:val="24"/>
          <w:u w:val="single"/>
        </w:rPr>
        <w:t>消防文员保费最高响应报价</w:t>
      </w:r>
      <w:r>
        <w:rPr>
          <w:rFonts w:hint="eastAsia" w:ascii="宋体" w:hAnsi="宋体" w:cs="宋体"/>
          <w:b/>
          <w:bCs/>
          <w:color w:val="auto"/>
          <w:sz w:val="24"/>
          <w:u w:val="single"/>
          <w:lang w:val="en-US" w:eastAsia="zh-CN"/>
        </w:rPr>
        <w:t>600</w:t>
      </w:r>
      <w:r>
        <w:rPr>
          <w:rFonts w:hint="eastAsia" w:ascii="宋体" w:hAnsi="宋体" w:cs="宋体"/>
          <w:b/>
          <w:bCs/>
          <w:color w:val="auto"/>
          <w:sz w:val="24"/>
          <w:u w:val="single"/>
        </w:rPr>
        <w:t>元/人/年，大队专职消防员保费最高响应报价</w:t>
      </w:r>
      <w:r>
        <w:rPr>
          <w:rFonts w:hint="eastAsia" w:ascii="宋体" w:hAnsi="宋体" w:cs="宋体"/>
          <w:b/>
          <w:bCs/>
          <w:color w:val="auto"/>
          <w:sz w:val="24"/>
          <w:u w:val="single"/>
          <w:lang w:val="en-US" w:eastAsia="zh-CN"/>
        </w:rPr>
        <w:t>800</w:t>
      </w:r>
      <w:r>
        <w:rPr>
          <w:rFonts w:hint="eastAsia" w:ascii="宋体" w:hAnsi="宋体" w:cs="宋体"/>
          <w:b/>
          <w:bCs/>
          <w:color w:val="auto"/>
          <w:sz w:val="24"/>
          <w:u w:val="single"/>
        </w:rPr>
        <w:t>元/人/年</w:t>
      </w:r>
      <w:r>
        <w:rPr>
          <w:rFonts w:hint="eastAsia" w:ascii="宋体" w:hAnsi="宋体" w:cs="宋体"/>
          <w:b/>
          <w:bCs/>
          <w:color w:val="auto"/>
          <w:sz w:val="24"/>
          <w:u w:val="none"/>
          <w:lang w:eastAsia="zh-CN"/>
        </w:rPr>
        <w:t>。</w:t>
      </w:r>
    </w:p>
    <w:p w14:paraId="0CEFC383">
      <w:pPr>
        <w:spacing w:line="500" w:lineRule="exact"/>
        <w:ind w:firstLine="480" w:firstLineChars="200"/>
        <w:rPr>
          <w:rFonts w:hint="eastAsia" w:ascii="宋体" w:hAnsi="宋体" w:cs="宋体"/>
          <w:color w:val="auto"/>
          <w:sz w:val="24"/>
        </w:rPr>
      </w:pPr>
      <w:r>
        <w:rPr>
          <w:rFonts w:hint="eastAsia" w:ascii="宋体" w:hAnsi="宋体" w:cs="宋体"/>
          <w:color w:val="auto"/>
          <w:sz w:val="24"/>
        </w:rPr>
        <w:t>6.采购需求：</w:t>
      </w:r>
      <w:r>
        <w:rPr>
          <w:rFonts w:hint="eastAsia" w:ascii="宋体" w:hAnsi="宋体" w:cs="宋体"/>
          <w:color w:val="auto"/>
          <w:sz w:val="24"/>
          <w:u w:val="single"/>
          <w:lang w:eastAsia="zh-CN"/>
        </w:rPr>
        <w:t>大丰大队专职消防员、消防文员保险购置项目</w:t>
      </w:r>
      <w:r>
        <w:rPr>
          <w:rFonts w:hint="eastAsia" w:ascii="宋体" w:hAnsi="宋体" w:cs="宋体"/>
          <w:color w:val="auto"/>
          <w:sz w:val="24"/>
          <w:u w:val="single"/>
        </w:rPr>
        <w:t>，包括消防文员、大队专职消防员人身意外险采购服务，消防文员约</w:t>
      </w:r>
      <w:r>
        <w:rPr>
          <w:rFonts w:hint="eastAsia" w:ascii="宋体" w:hAnsi="宋体" w:cs="宋体"/>
          <w:color w:val="auto"/>
          <w:sz w:val="24"/>
          <w:u w:val="single"/>
          <w:lang w:val="en-US" w:eastAsia="zh-CN"/>
        </w:rPr>
        <w:t>63</w:t>
      </w:r>
      <w:r>
        <w:rPr>
          <w:rFonts w:hint="eastAsia" w:ascii="宋体" w:hAnsi="宋体" w:cs="宋体"/>
          <w:color w:val="auto"/>
          <w:sz w:val="24"/>
          <w:u w:val="single"/>
        </w:rPr>
        <w:t>人，大队专职消防员约</w:t>
      </w:r>
      <w:r>
        <w:rPr>
          <w:rFonts w:hint="eastAsia" w:ascii="宋体" w:hAnsi="宋体" w:cs="宋体"/>
          <w:color w:val="auto"/>
          <w:sz w:val="24"/>
          <w:u w:val="single"/>
          <w:lang w:val="en-US" w:eastAsia="zh-CN"/>
        </w:rPr>
        <w:t>338</w:t>
      </w:r>
      <w:r>
        <w:rPr>
          <w:rFonts w:hint="eastAsia" w:ascii="宋体" w:hAnsi="宋体" w:cs="宋体"/>
          <w:color w:val="auto"/>
          <w:sz w:val="24"/>
          <w:u w:val="single"/>
        </w:rPr>
        <w:t>人，具体内容详见本项目竞争性磋商文件第四章项目需求</w:t>
      </w:r>
      <w:r>
        <w:rPr>
          <w:rFonts w:hint="eastAsia" w:ascii="宋体" w:hAnsi="宋体" w:cs="宋体"/>
          <w:color w:val="auto"/>
          <w:sz w:val="24"/>
        </w:rPr>
        <w:t>。</w:t>
      </w:r>
    </w:p>
    <w:p w14:paraId="652C3E92">
      <w:pPr>
        <w:tabs>
          <w:tab w:val="left" w:pos="567"/>
        </w:tabs>
        <w:spacing w:line="500" w:lineRule="exact"/>
        <w:ind w:firstLine="480" w:firstLineChars="200"/>
        <w:rPr>
          <w:rFonts w:hint="eastAsia" w:ascii="宋体" w:hAnsi="宋体" w:cs="宋体"/>
          <w:sz w:val="24"/>
        </w:rPr>
      </w:pPr>
      <w:r>
        <w:rPr>
          <w:rFonts w:hint="eastAsia" w:ascii="宋体" w:hAnsi="宋体" w:cs="宋体"/>
          <w:color w:val="auto"/>
          <w:sz w:val="24"/>
        </w:rPr>
        <w:t>7.合同履行期限：</w:t>
      </w:r>
      <w:bookmarkStart w:id="12" w:name="OLE_LINK3"/>
      <w:r>
        <w:rPr>
          <w:rFonts w:hint="eastAsia" w:ascii="宋体" w:hAnsi="宋体" w:cs="宋体"/>
          <w:color w:val="auto"/>
          <w:sz w:val="24"/>
          <w:u w:val="single"/>
        </w:rPr>
        <w:t>自合同签订之日起30日历天完成所需人员保单生成有效；保险期限自保单生成之日起1年。保险期满，保险服务经甲方认可，可续签合同1年</w:t>
      </w:r>
      <w:bookmarkEnd w:id="12"/>
      <w:r>
        <w:rPr>
          <w:rFonts w:hint="eastAsia" w:ascii="宋体" w:hAnsi="宋体"/>
          <w:color w:val="auto"/>
          <w:sz w:val="24"/>
        </w:rPr>
        <w:t>。</w:t>
      </w:r>
      <w:r>
        <w:rPr>
          <w:rFonts w:hint="eastAsia" w:ascii="宋体" w:hAnsi="宋体" w:cs="宋体"/>
          <w:sz w:val="24"/>
        </w:rPr>
        <w:t xml:space="preserve"> </w:t>
      </w:r>
    </w:p>
    <w:p w14:paraId="6D6959E7">
      <w:pPr>
        <w:pStyle w:val="87"/>
        <w:spacing w:before="0" w:after="0" w:line="500" w:lineRule="exact"/>
        <w:ind w:firstLineChars="200"/>
        <w:rPr>
          <w:rFonts w:hint="eastAsia" w:ascii="宋体" w:hAnsi="宋体" w:cs="宋体"/>
        </w:rPr>
      </w:pPr>
      <w:r>
        <w:rPr>
          <w:rFonts w:hint="eastAsia" w:ascii="宋体" w:hAnsi="宋体" w:cs="宋体"/>
        </w:rPr>
        <w:t>8.本项目</w:t>
      </w:r>
      <w:r>
        <w:rPr>
          <w:rFonts w:hint="eastAsia" w:ascii="宋体" w:hAnsi="宋体" w:cs="宋体"/>
          <w:u w:val="single"/>
        </w:rPr>
        <w:t>不接受</w:t>
      </w:r>
      <w:r>
        <w:rPr>
          <w:rFonts w:hint="eastAsia" w:ascii="宋体" w:hAnsi="宋体" w:cs="宋体"/>
        </w:rPr>
        <w:t>联合体参与磋商。</w:t>
      </w:r>
    </w:p>
    <w:p w14:paraId="7DAADE36">
      <w:pPr>
        <w:widowControl/>
        <w:spacing w:line="500" w:lineRule="exact"/>
        <w:ind w:firstLine="482" w:firstLineChars="200"/>
        <w:jc w:val="left"/>
        <w:rPr>
          <w:rFonts w:hint="eastAsia" w:ascii="宋体" w:hAnsi="宋体" w:cs="宋体"/>
          <w:b/>
          <w:bCs/>
          <w:sz w:val="24"/>
          <w:szCs w:val="20"/>
        </w:rPr>
      </w:pPr>
      <w:r>
        <w:rPr>
          <w:rFonts w:hint="eastAsia" w:ascii="宋体" w:hAnsi="宋体" w:cs="宋体"/>
          <w:b/>
          <w:bCs/>
          <w:sz w:val="24"/>
          <w:szCs w:val="20"/>
        </w:rPr>
        <w:t>二、申请人的资格要求：</w:t>
      </w:r>
    </w:p>
    <w:p w14:paraId="5373D527">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rPr>
        <w:t>1.满足《中华人民共和国政府采购法》第二十二条规定，并提供下列材料；`</w:t>
      </w:r>
    </w:p>
    <w:p w14:paraId="465ABAA9">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rPr>
        <w:t>(1)法人或者其他组织的营业执照等证明文件，自然人的身份证明；</w:t>
      </w:r>
    </w:p>
    <w:p w14:paraId="12910B26">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rPr>
        <w:t>(2)上一年度的财务报表（至少提供资产负债表、利润表、现金流量表，供应商成立不满一年无需提供）；</w:t>
      </w:r>
    </w:p>
    <w:p w14:paraId="2E18502B">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47B60AD3">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rPr>
        <w:t>(4)具备履行合同所必需的设备和专业技术能力的书面声明；</w:t>
      </w:r>
    </w:p>
    <w:p w14:paraId="782C68C7">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rPr>
        <w:t>(5)参加政府采购活动前3年内在经营活动中没有重大违法记录的书面声明；</w:t>
      </w:r>
    </w:p>
    <w:p w14:paraId="321692CF">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rPr>
        <w:t>2.落实政府采购政策需满足的资格要求：本项目执行价格扣除优惠政策，给予小微型企业、监狱企业或残疾人福利性单位报价给予</w:t>
      </w:r>
      <w:r>
        <w:rPr>
          <w:rFonts w:hint="eastAsia" w:ascii="宋体" w:hAnsi="宋体" w:cs="宋体"/>
          <w:sz w:val="24"/>
          <w:szCs w:val="20"/>
          <w:lang w:val="en-US" w:eastAsia="zh-CN"/>
        </w:rPr>
        <w:t>1</w:t>
      </w:r>
      <w:r>
        <w:rPr>
          <w:rFonts w:hint="eastAsia" w:ascii="宋体" w:hAnsi="宋体" w:cs="宋体"/>
          <w:sz w:val="24"/>
          <w:szCs w:val="20"/>
        </w:rPr>
        <w:t>0%的扣除，用扣除后的价格参加评审。价格扣除比例对小型企业和微型企业同等对待，不作区分。监狱企业、残疾人福利单位属于小型、微型企业的，不重复享受政策。采购标的的所属行业为</w:t>
      </w:r>
      <w:r>
        <w:rPr>
          <w:rFonts w:hint="eastAsia" w:ascii="宋体" w:hAnsi="宋体" w:cs="宋体"/>
          <w:b/>
          <w:bCs/>
          <w:sz w:val="24"/>
          <w:szCs w:val="20"/>
          <w:lang w:val="en-US" w:eastAsia="zh-CN"/>
        </w:rPr>
        <w:t>其他未列明行业</w:t>
      </w:r>
      <w:r>
        <w:rPr>
          <w:rFonts w:hint="eastAsia" w:ascii="宋体" w:hAnsi="宋体" w:cs="宋体"/>
          <w:sz w:val="24"/>
          <w:szCs w:val="20"/>
        </w:rPr>
        <w:t>，供应商需按照磋商文件的要求提供相应的《中小企业声明函》。企业标准请参照《关于印发中小企业划型标准规定的通知》（工信部联企业[2011]300号）文件规定自行填写。</w:t>
      </w:r>
    </w:p>
    <w:p w14:paraId="1757A784">
      <w:pPr>
        <w:widowControl/>
        <w:spacing w:line="500" w:lineRule="exact"/>
        <w:ind w:firstLine="480" w:firstLineChars="200"/>
        <w:jc w:val="left"/>
        <w:rPr>
          <w:rFonts w:hint="eastAsia" w:ascii="宋体" w:hAnsi="宋体" w:cs="宋体"/>
          <w:sz w:val="24"/>
          <w:szCs w:val="20"/>
        </w:rPr>
      </w:pPr>
      <w:r>
        <w:rPr>
          <w:rFonts w:hint="eastAsia" w:ascii="宋体" w:hAnsi="宋体" w:cs="宋体"/>
          <w:sz w:val="24"/>
          <w:szCs w:val="20"/>
          <w:lang w:val="en-US" w:eastAsia="zh-CN"/>
        </w:rPr>
        <w:t>3</w:t>
      </w:r>
      <w:r>
        <w:rPr>
          <w:rFonts w:hint="eastAsia" w:ascii="宋体" w:hAnsi="宋体" w:cs="宋体"/>
          <w:sz w:val="24"/>
          <w:szCs w:val="20"/>
        </w:rPr>
        <w:t>.本项目的特定资格要求：</w:t>
      </w:r>
    </w:p>
    <w:p w14:paraId="7F78BE74">
      <w:pPr>
        <w:widowControl/>
        <w:spacing w:line="500" w:lineRule="exact"/>
        <w:ind w:firstLine="480" w:firstLineChars="200"/>
        <w:jc w:val="left"/>
        <w:rPr>
          <w:rFonts w:hint="eastAsia" w:ascii="宋体" w:hAnsi="宋体" w:cs="宋体"/>
          <w:color w:val="auto"/>
          <w:sz w:val="24"/>
          <w:szCs w:val="20"/>
        </w:rPr>
      </w:pPr>
      <w:r>
        <w:rPr>
          <w:rFonts w:hint="eastAsia" w:ascii="宋体" w:hAnsi="宋体" w:cs="宋体"/>
          <w:sz w:val="24"/>
          <w:szCs w:val="20"/>
          <w:lang w:eastAsia="zh-CN"/>
        </w:rPr>
        <w:t>（</w:t>
      </w:r>
      <w:r>
        <w:rPr>
          <w:rFonts w:hint="eastAsia" w:ascii="宋体" w:hAnsi="宋体" w:cs="宋体"/>
          <w:sz w:val="24"/>
          <w:szCs w:val="20"/>
          <w:lang w:val="en-US" w:eastAsia="zh-CN"/>
        </w:rPr>
        <w:t>1</w:t>
      </w:r>
      <w:r>
        <w:rPr>
          <w:rFonts w:hint="eastAsia" w:ascii="宋体" w:hAnsi="宋体" w:cs="宋体"/>
          <w:sz w:val="24"/>
          <w:szCs w:val="20"/>
          <w:lang w:eastAsia="zh-CN"/>
        </w:rPr>
        <w:t>）</w:t>
      </w:r>
      <w:r>
        <w:rPr>
          <w:rFonts w:hint="eastAsia" w:ascii="宋体" w:hAnsi="宋体" w:cs="宋体"/>
          <w:color w:val="auto"/>
          <w:sz w:val="24"/>
          <w:szCs w:val="20"/>
        </w:rPr>
        <w:t>经监管行政主管部门批准的中国境内保险公司，具有经营保险业务许可证和营业执照，具备经营本次采购的意外伤害保险险种承保理赔经营范围的县（市、区）及以上机构。</w:t>
      </w:r>
    </w:p>
    <w:p w14:paraId="0DEFF194">
      <w:pPr>
        <w:widowControl/>
        <w:spacing w:line="500" w:lineRule="exact"/>
        <w:ind w:firstLine="480" w:firstLineChars="200"/>
        <w:jc w:val="left"/>
        <w:rPr>
          <w:rFonts w:hint="eastAsia" w:ascii="宋体" w:hAnsi="宋体" w:cs="宋体"/>
          <w:color w:val="auto"/>
          <w:sz w:val="24"/>
          <w:szCs w:val="20"/>
        </w:rPr>
      </w:pPr>
      <w:r>
        <w:rPr>
          <w:rFonts w:hint="eastAsia" w:ascii="宋体" w:hAnsi="宋体" w:cs="宋体"/>
          <w:color w:val="auto"/>
          <w:sz w:val="24"/>
          <w:szCs w:val="20"/>
        </w:rPr>
        <w:t>（2）未被“信用中国”网站（www.creditchina.gov.cn）列入失信被执行人、重大税收违法案件当事人名单、政府采购严重失信行为记录名单。</w:t>
      </w:r>
    </w:p>
    <w:p w14:paraId="12A86495">
      <w:pPr>
        <w:widowControl/>
        <w:spacing w:line="500" w:lineRule="exact"/>
        <w:ind w:firstLine="480" w:firstLineChars="200"/>
        <w:jc w:val="left"/>
        <w:rPr>
          <w:rFonts w:hint="eastAsia" w:ascii="宋体" w:hAnsi="宋体" w:cs="宋体"/>
          <w:color w:val="auto"/>
          <w:sz w:val="24"/>
          <w:szCs w:val="20"/>
        </w:rPr>
      </w:pPr>
      <w:r>
        <w:rPr>
          <w:rFonts w:hint="eastAsia" w:ascii="宋体" w:hAnsi="宋体" w:cs="宋体"/>
          <w:color w:val="auto"/>
          <w:sz w:val="24"/>
          <w:szCs w:val="20"/>
        </w:rPr>
        <w:t>（3）单位负责人为同一人或者存在直接控股、管理关系的不同供应商，不得参加同一合同项下的政府采购活动。</w:t>
      </w:r>
    </w:p>
    <w:p w14:paraId="61276BF0">
      <w:pPr>
        <w:spacing w:line="500" w:lineRule="exact"/>
        <w:ind w:firstLine="482" w:firstLineChars="200"/>
        <w:rPr>
          <w:rFonts w:hint="eastAsia" w:ascii="宋体" w:hAnsi="宋体" w:cs="宋体"/>
          <w:b/>
          <w:bCs/>
          <w:sz w:val="24"/>
        </w:rPr>
      </w:pPr>
      <w:r>
        <w:rPr>
          <w:rFonts w:hint="eastAsia" w:ascii="宋体" w:hAnsi="宋体" w:cs="宋体"/>
          <w:b/>
          <w:bCs/>
          <w:sz w:val="24"/>
        </w:rPr>
        <w:t>三、获取磋商文件</w:t>
      </w:r>
    </w:p>
    <w:p w14:paraId="4064BECA">
      <w:pPr>
        <w:spacing w:line="500" w:lineRule="exact"/>
        <w:ind w:firstLine="480" w:firstLineChars="200"/>
        <w:rPr>
          <w:rFonts w:hint="eastAsia" w:ascii="宋体" w:hAnsi="宋体" w:cs="宋体"/>
          <w:sz w:val="24"/>
          <w:szCs w:val="20"/>
        </w:rPr>
      </w:pPr>
      <w:bookmarkStart w:id="13" w:name="_Toc38985266"/>
      <w:bookmarkStart w:id="14" w:name="_Toc35393793"/>
      <w:bookmarkStart w:id="15" w:name="_Toc28359005"/>
      <w:bookmarkStart w:id="16" w:name="_Toc35393624"/>
      <w:bookmarkStart w:id="17" w:name="_Toc28359082"/>
      <w:r>
        <w:rPr>
          <w:rFonts w:hint="eastAsia" w:ascii="宋体" w:hAnsi="宋体" w:cs="宋体"/>
          <w:sz w:val="24"/>
          <w:szCs w:val="20"/>
        </w:rPr>
        <w:t>1.时间：202</w:t>
      </w:r>
      <w:r>
        <w:rPr>
          <w:rFonts w:hint="eastAsia" w:ascii="宋体" w:hAnsi="宋体" w:cs="宋体"/>
          <w:sz w:val="24"/>
          <w:szCs w:val="20"/>
          <w:lang w:val="en-US" w:eastAsia="zh-CN"/>
        </w:rPr>
        <w:t>6</w:t>
      </w:r>
      <w:r>
        <w:rPr>
          <w:rFonts w:hint="eastAsia" w:ascii="宋体" w:hAnsi="宋体" w:cs="宋体"/>
          <w:sz w:val="24"/>
          <w:szCs w:val="20"/>
        </w:rPr>
        <w:t>年</w:t>
      </w:r>
      <w:r>
        <w:rPr>
          <w:rFonts w:hint="eastAsia" w:ascii="宋体" w:hAnsi="宋体" w:cs="宋体"/>
          <w:sz w:val="24"/>
          <w:szCs w:val="20"/>
          <w:u w:val="single"/>
          <w:lang w:val="en-US" w:eastAsia="zh-CN"/>
        </w:rPr>
        <w:t>08</w:t>
      </w:r>
      <w:r>
        <w:rPr>
          <w:rFonts w:hint="eastAsia" w:ascii="宋体" w:hAnsi="宋体" w:cs="宋体"/>
          <w:sz w:val="24"/>
          <w:szCs w:val="20"/>
        </w:rPr>
        <w:t>月</w:t>
      </w:r>
      <w:r>
        <w:rPr>
          <w:rFonts w:hint="eastAsia" w:ascii="宋体" w:hAnsi="宋体" w:cs="宋体"/>
          <w:sz w:val="24"/>
          <w:szCs w:val="20"/>
          <w:u w:val="single"/>
          <w:lang w:val="en-US" w:eastAsia="zh-CN"/>
        </w:rPr>
        <w:t>27</w:t>
      </w:r>
      <w:r>
        <w:rPr>
          <w:rFonts w:hint="eastAsia" w:ascii="宋体" w:hAnsi="宋体" w:cs="宋体"/>
          <w:sz w:val="24"/>
          <w:szCs w:val="20"/>
        </w:rPr>
        <w:t>日至202</w:t>
      </w:r>
      <w:r>
        <w:rPr>
          <w:rFonts w:hint="eastAsia" w:ascii="宋体" w:hAnsi="宋体" w:cs="宋体"/>
          <w:sz w:val="24"/>
          <w:szCs w:val="20"/>
          <w:lang w:val="en-US" w:eastAsia="zh-CN"/>
        </w:rPr>
        <w:t>6</w:t>
      </w:r>
      <w:r>
        <w:rPr>
          <w:rFonts w:hint="eastAsia" w:ascii="宋体" w:hAnsi="宋体" w:cs="宋体"/>
          <w:sz w:val="24"/>
          <w:szCs w:val="20"/>
        </w:rPr>
        <w:t>年</w:t>
      </w:r>
      <w:r>
        <w:rPr>
          <w:rFonts w:hint="eastAsia" w:ascii="宋体" w:hAnsi="宋体" w:cs="宋体"/>
          <w:sz w:val="24"/>
          <w:szCs w:val="20"/>
          <w:u w:val="single"/>
          <w:lang w:val="en-US" w:eastAsia="zh-CN"/>
        </w:rPr>
        <w:t>09</w:t>
      </w:r>
      <w:r>
        <w:rPr>
          <w:rFonts w:hint="eastAsia" w:ascii="宋体" w:hAnsi="宋体" w:cs="宋体"/>
          <w:sz w:val="24"/>
          <w:szCs w:val="20"/>
        </w:rPr>
        <w:t>月</w:t>
      </w:r>
      <w:r>
        <w:rPr>
          <w:rFonts w:hint="eastAsia" w:ascii="宋体" w:hAnsi="宋体" w:cs="宋体"/>
          <w:sz w:val="24"/>
          <w:szCs w:val="20"/>
          <w:u w:val="single"/>
          <w:lang w:val="en-US" w:eastAsia="zh-CN"/>
        </w:rPr>
        <w:t>03</w:t>
      </w:r>
      <w:r>
        <w:rPr>
          <w:rFonts w:hint="eastAsia" w:ascii="宋体" w:hAnsi="宋体" w:cs="宋体"/>
          <w:sz w:val="24"/>
          <w:szCs w:val="20"/>
        </w:rPr>
        <w:t>日（每日上午8点至11点30分，下午14点30分至18点整，节假日除外）。</w:t>
      </w:r>
      <w:bookmarkEnd w:id="13"/>
      <w:bookmarkEnd w:id="14"/>
      <w:bookmarkEnd w:id="15"/>
      <w:bookmarkEnd w:id="16"/>
      <w:bookmarkEnd w:id="17"/>
    </w:p>
    <w:p w14:paraId="73F814BC">
      <w:pPr>
        <w:spacing w:line="500" w:lineRule="exact"/>
        <w:ind w:firstLine="480" w:firstLineChars="200"/>
        <w:rPr>
          <w:rFonts w:hint="eastAsia" w:ascii="宋体" w:hAnsi="宋体" w:cs="宋体"/>
          <w:sz w:val="24"/>
          <w:szCs w:val="20"/>
        </w:rPr>
      </w:pPr>
      <w:r>
        <w:rPr>
          <w:rFonts w:hint="eastAsia" w:ascii="宋体" w:hAnsi="宋体" w:cs="宋体"/>
          <w:sz w:val="24"/>
          <w:szCs w:val="20"/>
        </w:rPr>
        <w:t>2.地点：</w:t>
      </w:r>
      <w:r>
        <w:rPr>
          <w:rFonts w:hint="eastAsia" w:ascii="宋体" w:hAnsi="宋体" w:cs="宋体"/>
          <w:sz w:val="24"/>
          <w:szCs w:val="20"/>
          <w:lang w:eastAsia="zh-CN"/>
        </w:rPr>
        <w:t>盐城中亿源项目管理有限公司</w:t>
      </w:r>
      <w:r>
        <w:rPr>
          <w:rFonts w:hint="eastAsia" w:ascii="宋体" w:hAnsi="宋体" w:cs="宋体"/>
          <w:sz w:val="24"/>
          <w:szCs w:val="20"/>
          <w:lang w:val="en-US" w:eastAsia="zh-CN"/>
        </w:rPr>
        <w:t>综合办公室</w:t>
      </w:r>
      <w:r>
        <w:rPr>
          <w:rFonts w:hint="eastAsia" w:ascii="宋体" w:hAnsi="宋体" w:cs="宋体"/>
          <w:sz w:val="24"/>
          <w:szCs w:val="20"/>
        </w:rPr>
        <w:t>（</w:t>
      </w:r>
      <w:r>
        <w:rPr>
          <w:rFonts w:hint="eastAsia" w:ascii="宋体" w:hAnsi="宋体" w:cs="宋体"/>
          <w:sz w:val="24"/>
          <w:szCs w:val="20"/>
          <w:lang w:eastAsia="zh-CN"/>
        </w:rPr>
        <w:t>江苏省盐城市大丰区大中街道永盛路东、瑞丰路南大学生创业园1幢</w:t>
      </w:r>
      <w:r>
        <w:rPr>
          <w:rFonts w:hint="eastAsia" w:ascii="宋体" w:hAnsi="宋体" w:cs="宋体"/>
          <w:sz w:val="24"/>
          <w:szCs w:val="20"/>
          <w:lang w:val="en-US" w:eastAsia="zh-CN"/>
        </w:rPr>
        <w:t>303</w:t>
      </w:r>
      <w:r>
        <w:rPr>
          <w:rFonts w:hint="eastAsia" w:ascii="宋体" w:hAnsi="宋体" w:cs="宋体"/>
          <w:sz w:val="24"/>
          <w:szCs w:val="20"/>
          <w:lang w:eastAsia="zh-CN"/>
        </w:rPr>
        <w:t>室</w:t>
      </w:r>
      <w:r>
        <w:rPr>
          <w:rFonts w:hint="eastAsia" w:ascii="宋体" w:hAnsi="宋体" w:cs="宋体"/>
          <w:sz w:val="24"/>
          <w:szCs w:val="20"/>
        </w:rPr>
        <w:t>）。</w:t>
      </w:r>
    </w:p>
    <w:p w14:paraId="0F4069D5">
      <w:pPr>
        <w:spacing w:line="500" w:lineRule="exact"/>
        <w:ind w:firstLine="480" w:firstLineChars="200"/>
        <w:rPr>
          <w:rFonts w:hint="eastAsia" w:ascii="宋体" w:hAnsi="宋体" w:cs="宋体"/>
          <w:sz w:val="24"/>
          <w:szCs w:val="20"/>
        </w:rPr>
      </w:pPr>
      <w:r>
        <w:rPr>
          <w:rFonts w:hint="eastAsia" w:ascii="宋体" w:hAnsi="宋体" w:cs="宋体"/>
          <w:sz w:val="24"/>
          <w:szCs w:val="20"/>
        </w:rPr>
        <w:t>3.方式：获取磋商文件潜在供应商经办人需携带：</w:t>
      </w:r>
      <w:r>
        <w:rPr>
          <w:rFonts w:hint="eastAsia" w:ascii="宋体" w:hAnsi="宋体" w:cs="宋体"/>
          <w:color w:val="000000"/>
          <w:kern w:val="0"/>
          <w:sz w:val="24"/>
        </w:rPr>
        <w:t>（1）有效的营业执照（副本）复印件；（2）有效</w:t>
      </w:r>
      <w:r>
        <w:rPr>
          <w:rFonts w:hint="eastAsia" w:ascii="宋体" w:hAnsi="宋体" w:cs="宋体"/>
          <w:color w:val="000000"/>
          <w:sz w:val="24"/>
          <w:szCs w:val="20"/>
        </w:rPr>
        <w:t>经营保险业务许可证复印件；</w:t>
      </w:r>
      <w:r>
        <w:rPr>
          <w:rFonts w:hint="eastAsia" w:ascii="宋体" w:hAnsi="宋体" w:cs="宋体"/>
          <w:color w:val="000000"/>
          <w:kern w:val="0"/>
          <w:sz w:val="24"/>
        </w:rPr>
        <w:t>（3）授权委托书原件或单位介绍信。</w:t>
      </w:r>
      <w:r>
        <w:rPr>
          <w:rFonts w:hint="eastAsia" w:ascii="宋体" w:hAnsi="宋体" w:cs="宋体"/>
          <w:sz w:val="24"/>
          <w:szCs w:val="20"/>
        </w:rPr>
        <w:t xml:space="preserve"> </w:t>
      </w:r>
    </w:p>
    <w:p w14:paraId="3528DBD5">
      <w:pPr>
        <w:spacing w:line="500" w:lineRule="exact"/>
        <w:ind w:firstLine="480" w:firstLineChars="200"/>
        <w:rPr>
          <w:rFonts w:hint="eastAsia" w:ascii="宋体" w:hAnsi="宋体" w:cs="宋体"/>
          <w:sz w:val="24"/>
          <w:szCs w:val="20"/>
        </w:rPr>
      </w:pPr>
      <w:r>
        <w:rPr>
          <w:rFonts w:hint="eastAsia" w:ascii="宋体" w:hAnsi="宋体" w:cs="宋体"/>
          <w:sz w:val="24"/>
          <w:szCs w:val="20"/>
        </w:rPr>
        <w:t>4.纸质竞争性磋商文件售价：</w:t>
      </w:r>
      <w:r>
        <w:rPr>
          <w:rFonts w:hint="eastAsia" w:ascii="宋体" w:hAnsi="宋体" w:cs="宋体"/>
          <w:sz w:val="24"/>
          <w:szCs w:val="20"/>
          <w:lang w:val="en-US" w:eastAsia="zh-CN"/>
        </w:rPr>
        <w:t>1</w:t>
      </w:r>
      <w:r>
        <w:rPr>
          <w:rFonts w:hint="eastAsia" w:ascii="宋体" w:hAnsi="宋体" w:cs="宋体"/>
          <w:sz w:val="24"/>
          <w:szCs w:val="20"/>
        </w:rPr>
        <w:t>00元/份，售后不退。</w:t>
      </w:r>
    </w:p>
    <w:p w14:paraId="7B8650D8">
      <w:pPr>
        <w:spacing w:line="500" w:lineRule="exact"/>
        <w:ind w:firstLine="482" w:firstLineChars="200"/>
        <w:rPr>
          <w:rFonts w:hint="eastAsia" w:ascii="宋体" w:hAnsi="宋体" w:cs="宋体"/>
          <w:b/>
          <w:bCs/>
          <w:sz w:val="24"/>
        </w:rPr>
      </w:pPr>
      <w:r>
        <w:rPr>
          <w:rFonts w:ascii="宋体" w:hAnsi="宋体" w:cs="宋体"/>
          <w:b/>
          <w:bCs/>
          <w:sz w:val="24"/>
        </w:rPr>
        <w:t>四、</w:t>
      </w:r>
      <w:r>
        <w:rPr>
          <w:rFonts w:hint="eastAsia" w:ascii="宋体" w:hAnsi="宋体" w:cs="宋体"/>
          <w:b/>
          <w:bCs/>
          <w:sz w:val="24"/>
        </w:rPr>
        <w:t>响应文件提交</w:t>
      </w:r>
      <w:r>
        <w:rPr>
          <w:rFonts w:ascii="宋体" w:hAnsi="宋体" w:cs="宋体"/>
          <w:b/>
          <w:bCs/>
          <w:sz w:val="24"/>
        </w:rPr>
        <w:t>：</w:t>
      </w:r>
    </w:p>
    <w:p w14:paraId="6AD85FD5">
      <w:pPr>
        <w:spacing w:line="500" w:lineRule="exact"/>
        <w:ind w:firstLine="480" w:firstLineChars="200"/>
        <w:rPr>
          <w:rFonts w:hint="eastAsia" w:ascii="宋体" w:hAnsi="宋体" w:cs="宋体"/>
          <w:sz w:val="24"/>
          <w:szCs w:val="20"/>
        </w:rPr>
      </w:pPr>
      <w:r>
        <w:rPr>
          <w:rFonts w:hint="eastAsia" w:ascii="宋体" w:hAnsi="宋体" w:cs="宋体"/>
          <w:sz w:val="24"/>
          <w:szCs w:val="20"/>
        </w:rPr>
        <w:t>1.截止时间：202</w:t>
      </w:r>
      <w:r>
        <w:rPr>
          <w:rFonts w:hint="eastAsia" w:ascii="宋体" w:hAnsi="宋体" w:cs="宋体"/>
          <w:sz w:val="24"/>
          <w:szCs w:val="20"/>
          <w:lang w:val="en-US" w:eastAsia="zh-CN"/>
        </w:rPr>
        <w:t>6</w:t>
      </w:r>
      <w:r>
        <w:rPr>
          <w:rFonts w:hint="eastAsia" w:ascii="宋体" w:hAnsi="宋体" w:cs="宋体"/>
          <w:sz w:val="24"/>
          <w:szCs w:val="20"/>
        </w:rPr>
        <w:t>年</w:t>
      </w:r>
      <w:r>
        <w:rPr>
          <w:rFonts w:hint="eastAsia" w:ascii="宋体" w:hAnsi="宋体" w:cs="宋体"/>
          <w:sz w:val="24"/>
          <w:szCs w:val="20"/>
          <w:u w:val="single"/>
          <w:lang w:val="en-US" w:eastAsia="zh-CN"/>
        </w:rPr>
        <w:t>09</w:t>
      </w:r>
      <w:r>
        <w:rPr>
          <w:rFonts w:hint="eastAsia" w:ascii="宋体" w:hAnsi="宋体" w:cs="宋体"/>
          <w:sz w:val="24"/>
          <w:szCs w:val="20"/>
        </w:rPr>
        <w:t>月</w:t>
      </w:r>
      <w:r>
        <w:rPr>
          <w:rFonts w:hint="eastAsia" w:ascii="宋体" w:hAnsi="宋体" w:cs="宋体"/>
          <w:sz w:val="24"/>
          <w:szCs w:val="20"/>
          <w:u w:val="single"/>
          <w:lang w:val="en-US" w:eastAsia="zh-CN"/>
        </w:rPr>
        <w:t>09</w:t>
      </w:r>
      <w:r>
        <w:rPr>
          <w:rFonts w:hint="eastAsia" w:ascii="宋体" w:hAnsi="宋体" w:cs="宋体"/>
          <w:sz w:val="24"/>
          <w:szCs w:val="20"/>
        </w:rPr>
        <w:t>日</w:t>
      </w:r>
      <w:r>
        <w:rPr>
          <w:rFonts w:hint="eastAsia" w:ascii="宋体" w:hAnsi="宋体" w:cs="宋体"/>
          <w:sz w:val="24"/>
          <w:szCs w:val="20"/>
          <w:u w:val="single"/>
          <w:lang w:val="en-US" w:eastAsia="zh-CN"/>
        </w:rPr>
        <w:t>10</w:t>
      </w:r>
      <w:r>
        <w:rPr>
          <w:rFonts w:hint="eastAsia" w:ascii="宋体" w:hAnsi="宋体" w:cs="宋体"/>
          <w:sz w:val="24"/>
          <w:szCs w:val="20"/>
        </w:rPr>
        <w:t>点</w:t>
      </w:r>
      <w:r>
        <w:rPr>
          <w:rFonts w:hint="eastAsia" w:ascii="宋体" w:hAnsi="宋体" w:cs="宋体"/>
          <w:sz w:val="24"/>
          <w:szCs w:val="20"/>
          <w:u w:val="single"/>
          <w:lang w:val="en-US" w:eastAsia="zh-CN"/>
        </w:rPr>
        <w:t>00</w:t>
      </w:r>
      <w:r>
        <w:rPr>
          <w:rFonts w:hint="eastAsia" w:ascii="宋体" w:hAnsi="宋体" w:cs="宋体"/>
          <w:sz w:val="24"/>
          <w:szCs w:val="20"/>
        </w:rPr>
        <w:t>分（北京时间）。</w:t>
      </w:r>
    </w:p>
    <w:p w14:paraId="09E167D7">
      <w:pPr>
        <w:spacing w:line="500" w:lineRule="exact"/>
        <w:ind w:firstLine="480" w:firstLineChars="200"/>
        <w:rPr>
          <w:rFonts w:hint="eastAsia" w:ascii="宋体" w:hAnsi="宋体" w:cs="宋体"/>
          <w:sz w:val="24"/>
          <w:szCs w:val="20"/>
        </w:rPr>
      </w:pPr>
      <w:r>
        <w:rPr>
          <w:rFonts w:hint="eastAsia" w:ascii="宋体" w:hAnsi="宋体" w:cs="宋体"/>
          <w:sz w:val="24"/>
          <w:szCs w:val="20"/>
        </w:rPr>
        <w:t>2.地点：</w:t>
      </w:r>
      <w:bookmarkStart w:id="18" w:name="_Hlk182561238"/>
      <w:r>
        <w:rPr>
          <w:rFonts w:hint="eastAsia" w:ascii="宋体" w:hAnsi="宋体" w:cs="宋体"/>
          <w:sz w:val="24"/>
          <w:szCs w:val="20"/>
          <w:lang w:eastAsia="zh-CN"/>
        </w:rPr>
        <w:t>盐城中亿源项目管理有限公司</w:t>
      </w:r>
      <w:r>
        <w:rPr>
          <w:rFonts w:hint="eastAsia" w:ascii="宋体" w:hAnsi="宋体" w:cs="宋体"/>
          <w:sz w:val="24"/>
          <w:szCs w:val="20"/>
          <w:lang w:val="en-US" w:eastAsia="zh-CN"/>
        </w:rPr>
        <w:t>会议室</w:t>
      </w:r>
      <w:r>
        <w:rPr>
          <w:rFonts w:hint="eastAsia" w:ascii="宋体" w:hAnsi="宋体" w:cs="宋体"/>
          <w:sz w:val="24"/>
          <w:szCs w:val="20"/>
        </w:rPr>
        <w:t>（</w:t>
      </w:r>
      <w:r>
        <w:rPr>
          <w:rFonts w:hint="eastAsia" w:ascii="宋体" w:hAnsi="宋体" w:cs="宋体"/>
          <w:sz w:val="24"/>
          <w:szCs w:val="20"/>
          <w:lang w:eastAsia="zh-CN"/>
        </w:rPr>
        <w:t>江苏省盐城市大丰区大中街道永盛路东、瑞丰路南大学生创业园1幢312室</w:t>
      </w:r>
      <w:r>
        <w:rPr>
          <w:rFonts w:hint="eastAsia" w:ascii="宋体" w:hAnsi="宋体" w:cs="宋体"/>
          <w:sz w:val="24"/>
          <w:szCs w:val="20"/>
        </w:rPr>
        <w:t>）</w:t>
      </w:r>
      <w:bookmarkEnd w:id="18"/>
      <w:r>
        <w:rPr>
          <w:rFonts w:hint="eastAsia" w:ascii="宋体" w:hAnsi="宋体" w:cs="宋体"/>
          <w:sz w:val="24"/>
          <w:szCs w:val="20"/>
        </w:rPr>
        <w:t>。</w:t>
      </w:r>
    </w:p>
    <w:p w14:paraId="27596784">
      <w:pPr>
        <w:spacing w:line="500" w:lineRule="exact"/>
        <w:ind w:firstLine="482" w:firstLineChars="200"/>
        <w:rPr>
          <w:rFonts w:hint="eastAsia" w:ascii="宋体" w:hAnsi="宋体" w:cs="宋体"/>
          <w:b/>
          <w:bCs/>
          <w:sz w:val="24"/>
        </w:rPr>
      </w:pPr>
      <w:bookmarkStart w:id="19" w:name="_Toc35393626"/>
      <w:bookmarkStart w:id="20" w:name="_Toc38985268"/>
      <w:bookmarkStart w:id="21" w:name="_Toc35393795"/>
      <w:r>
        <w:rPr>
          <w:rFonts w:hint="eastAsia" w:ascii="宋体" w:hAnsi="宋体" w:cs="宋体"/>
          <w:b/>
          <w:bCs/>
          <w:sz w:val="24"/>
        </w:rPr>
        <w:t>五、开启</w:t>
      </w:r>
    </w:p>
    <w:p w14:paraId="2BE50693">
      <w:pPr>
        <w:spacing w:line="500" w:lineRule="exact"/>
        <w:ind w:firstLine="480" w:firstLineChars="200"/>
        <w:rPr>
          <w:rFonts w:hint="eastAsia" w:ascii="宋体" w:hAnsi="宋体" w:eastAsia="宋体" w:cs="宋体"/>
          <w:sz w:val="24"/>
          <w:szCs w:val="20"/>
        </w:rPr>
      </w:pPr>
      <w:r>
        <w:rPr>
          <w:rFonts w:hint="eastAsia" w:ascii="宋体" w:hAnsi="宋体" w:eastAsia="宋体" w:cs="宋体"/>
          <w:kern w:val="2"/>
          <w:sz w:val="24"/>
          <w:szCs w:val="20"/>
        </w:rPr>
        <w:t>1.时间：</w:t>
      </w:r>
      <w:r>
        <w:rPr>
          <w:rFonts w:hint="eastAsia" w:ascii="宋体" w:hAnsi="宋体" w:eastAsia="宋体" w:cs="宋体"/>
          <w:sz w:val="24"/>
          <w:szCs w:val="20"/>
        </w:rPr>
        <w:t>202</w:t>
      </w:r>
      <w:r>
        <w:rPr>
          <w:rFonts w:hint="eastAsia" w:ascii="宋体" w:hAnsi="宋体" w:cs="宋体"/>
          <w:sz w:val="24"/>
          <w:szCs w:val="20"/>
          <w:lang w:val="en-US" w:eastAsia="zh-CN"/>
        </w:rPr>
        <w:t>6</w:t>
      </w:r>
      <w:r>
        <w:rPr>
          <w:rFonts w:hint="eastAsia" w:ascii="宋体" w:hAnsi="宋体" w:eastAsia="宋体" w:cs="宋体"/>
          <w:sz w:val="24"/>
          <w:szCs w:val="20"/>
        </w:rPr>
        <w:t>年</w:t>
      </w:r>
      <w:r>
        <w:rPr>
          <w:rFonts w:hint="eastAsia" w:ascii="宋体" w:hAnsi="宋体" w:cs="宋体"/>
          <w:sz w:val="24"/>
          <w:szCs w:val="20"/>
          <w:u w:val="single"/>
          <w:lang w:val="en-US" w:eastAsia="zh-CN"/>
        </w:rPr>
        <w:t>09</w:t>
      </w:r>
      <w:r>
        <w:rPr>
          <w:rFonts w:hint="eastAsia" w:ascii="宋体" w:hAnsi="宋体" w:eastAsia="宋体" w:cs="宋体"/>
          <w:sz w:val="24"/>
          <w:szCs w:val="20"/>
        </w:rPr>
        <w:t>月</w:t>
      </w:r>
      <w:r>
        <w:rPr>
          <w:rFonts w:hint="eastAsia" w:ascii="宋体" w:hAnsi="宋体" w:cs="宋体"/>
          <w:sz w:val="24"/>
          <w:szCs w:val="20"/>
          <w:u w:val="single"/>
          <w:lang w:val="en-US" w:eastAsia="zh-CN"/>
        </w:rPr>
        <w:t>09</w:t>
      </w:r>
      <w:r>
        <w:rPr>
          <w:rFonts w:hint="eastAsia" w:ascii="宋体" w:hAnsi="宋体" w:eastAsia="宋体" w:cs="宋体"/>
          <w:sz w:val="24"/>
          <w:szCs w:val="20"/>
        </w:rPr>
        <w:t>日</w:t>
      </w:r>
      <w:r>
        <w:rPr>
          <w:rFonts w:hint="eastAsia" w:ascii="宋体" w:hAnsi="宋体" w:cs="宋体"/>
          <w:sz w:val="24"/>
          <w:szCs w:val="20"/>
          <w:u w:val="single"/>
          <w:lang w:val="en-US" w:eastAsia="zh-CN"/>
        </w:rPr>
        <w:t>10</w:t>
      </w:r>
      <w:r>
        <w:rPr>
          <w:rFonts w:hint="eastAsia" w:ascii="宋体" w:hAnsi="宋体" w:eastAsia="宋体" w:cs="宋体"/>
          <w:sz w:val="24"/>
          <w:szCs w:val="20"/>
        </w:rPr>
        <w:t>点</w:t>
      </w:r>
      <w:r>
        <w:rPr>
          <w:rFonts w:hint="eastAsia" w:ascii="宋体" w:hAnsi="宋体" w:cs="宋体"/>
          <w:sz w:val="24"/>
          <w:szCs w:val="20"/>
          <w:u w:val="single"/>
          <w:lang w:val="en-US" w:eastAsia="zh-CN"/>
        </w:rPr>
        <w:t>00</w:t>
      </w:r>
      <w:r>
        <w:rPr>
          <w:rFonts w:hint="eastAsia" w:ascii="宋体" w:hAnsi="宋体" w:eastAsia="宋体" w:cs="宋体"/>
          <w:sz w:val="24"/>
          <w:szCs w:val="20"/>
        </w:rPr>
        <w:t>分（北京时间）。</w:t>
      </w:r>
      <w:bookmarkEnd w:id="19"/>
      <w:bookmarkEnd w:id="20"/>
      <w:bookmarkEnd w:id="21"/>
    </w:p>
    <w:p w14:paraId="0C3A0428">
      <w:pPr>
        <w:spacing w:line="500" w:lineRule="exact"/>
        <w:ind w:firstLine="480" w:firstLineChars="200"/>
        <w:rPr>
          <w:rFonts w:hint="eastAsia" w:ascii="宋体" w:hAnsi="宋体" w:eastAsia="宋体" w:cs="宋体"/>
          <w:sz w:val="24"/>
          <w:szCs w:val="20"/>
        </w:rPr>
      </w:pPr>
      <w:r>
        <w:rPr>
          <w:rFonts w:hint="eastAsia" w:ascii="宋体" w:hAnsi="宋体" w:eastAsia="宋体" w:cs="宋体"/>
          <w:sz w:val="24"/>
          <w:szCs w:val="20"/>
        </w:rPr>
        <w:t>2.地点：</w:t>
      </w:r>
      <w:r>
        <w:rPr>
          <w:rFonts w:hint="eastAsia" w:ascii="宋体" w:hAnsi="宋体" w:eastAsia="宋体" w:cs="宋体"/>
          <w:sz w:val="24"/>
          <w:szCs w:val="20"/>
          <w:lang w:eastAsia="zh-CN"/>
        </w:rPr>
        <w:t>盐城中亿源项目管理有限公司</w:t>
      </w:r>
      <w:r>
        <w:rPr>
          <w:rFonts w:hint="eastAsia" w:ascii="宋体" w:hAnsi="宋体" w:cs="宋体"/>
          <w:sz w:val="24"/>
          <w:szCs w:val="20"/>
          <w:lang w:val="en-US" w:eastAsia="zh-CN"/>
        </w:rPr>
        <w:t>会议室</w:t>
      </w:r>
      <w:r>
        <w:rPr>
          <w:rFonts w:hint="eastAsia" w:ascii="宋体" w:hAnsi="宋体" w:eastAsia="宋体" w:cs="宋体"/>
          <w:sz w:val="24"/>
          <w:szCs w:val="20"/>
        </w:rPr>
        <w:t>（</w:t>
      </w:r>
      <w:r>
        <w:rPr>
          <w:rFonts w:hint="eastAsia" w:ascii="宋体" w:hAnsi="宋体" w:eastAsia="宋体" w:cs="宋体"/>
          <w:sz w:val="24"/>
          <w:szCs w:val="20"/>
          <w:lang w:eastAsia="zh-CN"/>
        </w:rPr>
        <w:t>江苏省盐城市大丰区大中街道永盛路东、瑞丰路南大学生创业园1幢312室</w:t>
      </w:r>
      <w:r>
        <w:rPr>
          <w:rFonts w:hint="eastAsia" w:ascii="宋体" w:hAnsi="宋体" w:eastAsia="宋体" w:cs="宋体"/>
          <w:sz w:val="24"/>
          <w:szCs w:val="20"/>
        </w:rPr>
        <w:t>）。</w:t>
      </w:r>
    </w:p>
    <w:p w14:paraId="28BE2256">
      <w:pPr>
        <w:spacing w:line="500" w:lineRule="exact"/>
        <w:ind w:firstLine="482" w:firstLineChars="200"/>
        <w:rPr>
          <w:rFonts w:hint="eastAsia" w:ascii="宋体" w:hAnsi="宋体" w:cs="宋体"/>
          <w:b/>
          <w:bCs/>
          <w:sz w:val="24"/>
        </w:rPr>
      </w:pPr>
      <w:bookmarkStart w:id="22" w:name="_Toc28359094"/>
      <w:r>
        <w:rPr>
          <w:rFonts w:hint="eastAsia" w:ascii="宋体" w:hAnsi="宋体" w:cs="宋体"/>
          <w:b/>
          <w:bCs/>
          <w:sz w:val="24"/>
        </w:rPr>
        <w:t>六、公告期限</w:t>
      </w:r>
      <w:bookmarkEnd w:id="22"/>
    </w:p>
    <w:p w14:paraId="213812BD">
      <w:pPr>
        <w:spacing w:line="500" w:lineRule="exact"/>
        <w:ind w:firstLine="480" w:firstLineChars="200"/>
        <w:rPr>
          <w:rFonts w:hint="eastAsia" w:ascii="宋体" w:hAnsi="宋体" w:eastAsia="宋体" w:cs="宋体"/>
          <w:kern w:val="2"/>
          <w:sz w:val="24"/>
          <w:szCs w:val="20"/>
        </w:rPr>
      </w:pPr>
      <w:r>
        <w:rPr>
          <w:rFonts w:hint="eastAsia" w:ascii="宋体" w:hAnsi="宋体" w:eastAsia="宋体" w:cs="宋体"/>
          <w:kern w:val="2"/>
          <w:sz w:val="24"/>
          <w:szCs w:val="20"/>
        </w:rPr>
        <w:t>自本公告发布之日起</w:t>
      </w:r>
      <w:r>
        <w:rPr>
          <w:rFonts w:hint="eastAsia" w:ascii="宋体" w:hAnsi="宋体" w:cs="宋体"/>
          <w:kern w:val="2"/>
          <w:sz w:val="24"/>
          <w:szCs w:val="20"/>
          <w:lang w:val="en-US" w:eastAsia="zh-CN"/>
        </w:rPr>
        <w:t>3</w:t>
      </w:r>
      <w:bookmarkStart w:id="124" w:name="_GoBack"/>
      <w:bookmarkEnd w:id="124"/>
      <w:r>
        <w:rPr>
          <w:rFonts w:hint="eastAsia" w:ascii="宋体" w:hAnsi="宋体" w:eastAsia="宋体" w:cs="宋体"/>
          <w:kern w:val="2"/>
          <w:sz w:val="24"/>
          <w:szCs w:val="20"/>
        </w:rPr>
        <w:t>个工作日。</w:t>
      </w:r>
    </w:p>
    <w:p w14:paraId="7F3399CC">
      <w:pPr>
        <w:spacing w:line="500" w:lineRule="exact"/>
        <w:ind w:firstLine="482" w:firstLineChars="200"/>
        <w:rPr>
          <w:rFonts w:hint="eastAsia" w:ascii="宋体" w:hAnsi="宋体" w:cs="宋体"/>
          <w:b/>
          <w:bCs/>
          <w:sz w:val="24"/>
        </w:rPr>
      </w:pPr>
      <w:r>
        <w:rPr>
          <w:rFonts w:hint="eastAsia" w:ascii="宋体" w:hAnsi="宋体" w:cs="宋体"/>
          <w:b/>
          <w:bCs/>
          <w:sz w:val="24"/>
        </w:rPr>
        <w:t>七、其他补充事宜</w:t>
      </w:r>
    </w:p>
    <w:p w14:paraId="79A02FB3">
      <w:pPr>
        <w:spacing w:line="500" w:lineRule="exact"/>
        <w:ind w:firstLine="480" w:firstLineChars="200"/>
        <w:rPr>
          <w:rFonts w:hint="eastAsia" w:ascii="宋体" w:hAnsi="宋体" w:eastAsia="宋体" w:cs="宋体"/>
          <w:kern w:val="2"/>
          <w:sz w:val="24"/>
          <w:szCs w:val="20"/>
        </w:rPr>
      </w:pPr>
      <w:r>
        <w:rPr>
          <w:rFonts w:hint="eastAsia" w:ascii="宋体" w:hAnsi="宋体" w:eastAsia="宋体" w:cs="宋体"/>
          <w:kern w:val="2"/>
          <w:sz w:val="24"/>
          <w:szCs w:val="20"/>
        </w:rPr>
        <w:t>竞争性磋商公告发布媒介：中国政府采购网。</w:t>
      </w:r>
    </w:p>
    <w:p w14:paraId="1152EB54">
      <w:pPr>
        <w:spacing w:line="500" w:lineRule="exact"/>
        <w:ind w:firstLine="482" w:firstLineChars="200"/>
        <w:rPr>
          <w:rFonts w:hint="eastAsia" w:ascii="宋体" w:hAnsi="宋体" w:cs="宋体"/>
          <w:b/>
          <w:bCs/>
          <w:sz w:val="24"/>
        </w:rPr>
      </w:pPr>
      <w:bookmarkStart w:id="23" w:name="_Toc28359018"/>
      <w:r>
        <w:rPr>
          <w:rFonts w:hint="eastAsia" w:ascii="宋体" w:hAnsi="宋体" w:cs="宋体"/>
          <w:b/>
          <w:bCs/>
          <w:sz w:val="24"/>
        </w:rPr>
        <w:t>八、凡对本次采购提出询问，请按以下方式联系。</w:t>
      </w:r>
      <w:bookmarkEnd w:id="23"/>
    </w:p>
    <w:p w14:paraId="351AAE63">
      <w:pPr>
        <w:spacing w:line="500" w:lineRule="exact"/>
        <w:ind w:firstLine="480" w:firstLineChars="200"/>
        <w:rPr>
          <w:rFonts w:hint="eastAsia" w:ascii="宋体" w:hAnsi="宋体" w:cs="宋体"/>
          <w:sz w:val="24"/>
          <w:szCs w:val="20"/>
        </w:rPr>
      </w:pPr>
      <w:r>
        <w:rPr>
          <w:rFonts w:hint="eastAsia" w:ascii="宋体" w:hAnsi="宋体" w:cs="宋体"/>
          <w:sz w:val="24"/>
          <w:szCs w:val="20"/>
        </w:rPr>
        <w:t>1.采购人信息</w:t>
      </w:r>
    </w:p>
    <w:p w14:paraId="5BA0E0A2">
      <w:pPr>
        <w:spacing w:line="500" w:lineRule="exact"/>
        <w:ind w:firstLine="480" w:firstLineChars="200"/>
        <w:rPr>
          <w:rFonts w:hint="eastAsia" w:ascii="宋体" w:hAnsi="宋体" w:eastAsia="宋体" w:cs="宋体"/>
          <w:sz w:val="24"/>
          <w:szCs w:val="20"/>
          <w:lang w:eastAsia="zh-CN"/>
        </w:rPr>
      </w:pPr>
      <w:r>
        <w:rPr>
          <w:rFonts w:hint="eastAsia" w:ascii="宋体" w:hAnsi="宋体" w:cs="宋体"/>
          <w:sz w:val="24"/>
          <w:szCs w:val="20"/>
        </w:rPr>
        <w:t>名称：盐城市大丰区消防救援大队</w:t>
      </w:r>
      <w:r>
        <w:rPr>
          <w:rFonts w:hint="eastAsia" w:ascii="宋体" w:hAnsi="宋体" w:cs="宋体"/>
          <w:sz w:val="24"/>
          <w:szCs w:val="20"/>
          <w:lang w:eastAsia="zh-CN"/>
        </w:rPr>
        <w:t>（</w:t>
      </w:r>
      <w:r>
        <w:rPr>
          <w:rFonts w:hint="eastAsia" w:ascii="宋体" w:hAnsi="宋体" w:cs="宋体"/>
          <w:sz w:val="24"/>
          <w:szCs w:val="20"/>
          <w:lang w:val="en-US" w:eastAsia="zh-CN"/>
        </w:rPr>
        <w:t>盐城市大丰区消防救援局</w:t>
      </w:r>
      <w:r>
        <w:rPr>
          <w:rFonts w:hint="eastAsia" w:ascii="宋体" w:hAnsi="宋体" w:cs="宋体"/>
          <w:sz w:val="24"/>
          <w:szCs w:val="20"/>
          <w:lang w:eastAsia="zh-CN"/>
        </w:rPr>
        <w:t>）</w:t>
      </w:r>
    </w:p>
    <w:p w14:paraId="45D68A6E">
      <w:pPr>
        <w:spacing w:line="500" w:lineRule="exact"/>
        <w:ind w:firstLine="480" w:firstLineChars="200"/>
        <w:rPr>
          <w:rFonts w:hint="eastAsia" w:ascii="宋体" w:hAnsi="宋体" w:cs="宋体"/>
          <w:sz w:val="24"/>
          <w:szCs w:val="20"/>
        </w:rPr>
      </w:pPr>
      <w:r>
        <w:rPr>
          <w:rFonts w:hint="eastAsia" w:ascii="宋体" w:hAnsi="宋体" w:cs="宋体"/>
          <w:sz w:val="24"/>
          <w:szCs w:val="20"/>
        </w:rPr>
        <w:t>联系地址：大丰区幸福西大街11号</w:t>
      </w:r>
    </w:p>
    <w:p w14:paraId="52898729">
      <w:pPr>
        <w:spacing w:line="500" w:lineRule="exact"/>
        <w:ind w:firstLine="480" w:firstLineChars="200"/>
        <w:rPr>
          <w:rFonts w:hint="eastAsia" w:ascii="宋体" w:hAnsi="宋体" w:cs="宋体"/>
          <w:sz w:val="24"/>
          <w:szCs w:val="20"/>
        </w:rPr>
      </w:pPr>
      <w:r>
        <w:rPr>
          <w:rFonts w:hint="eastAsia" w:ascii="宋体" w:hAnsi="宋体" w:cs="宋体"/>
          <w:sz w:val="24"/>
          <w:szCs w:val="20"/>
        </w:rPr>
        <w:t>联系人：段</w:t>
      </w:r>
      <w:r>
        <w:rPr>
          <w:rFonts w:hint="eastAsia" w:ascii="宋体" w:hAnsi="宋体" w:cs="宋体"/>
          <w:sz w:val="24"/>
          <w:szCs w:val="20"/>
          <w:lang w:val="en-US" w:eastAsia="zh-CN"/>
        </w:rPr>
        <w:t>先生</w:t>
      </w:r>
      <w:r>
        <w:rPr>
          <w:rFonts w:hint="eastAsia" w:ascii="宋体" w:hAnsi="宋体" w:cs="宋体"/>
          <w:sz w:val="24"/>
          <w:szCs w:val="20"/>
        </w:rPr>
        <w:t xml:space="preserve">              </w:t>
      </w:r>
    </w:p>
    <w:p w14:paraId="01130AA3">
      <w:pPr>
        <w:spacing w:line="500" w:lineRule="exact"/>
        <w:ind w:firstLine="480" w:firstLineChars="200"/>
        <w:rPr>
          <w:rFonts w:hint="eastAsia" w:ascii="宋体" w:hAnsi="宋体" w:cs="宋体"/>
          <w:sz w:val="24"/>
          <w:szCs w:val="20"/>
        </w:rPr>
      </w:pPr>
      <w:r>
        <w:rPr>
          <w:rFonts w:hint="eastAsia" w:ascii="宋体" w:hAnsi="宋体" w:cs="宋体"/>
          <w:sz w:val="24"/>
          <w:szCs w:val="20"/>
        </w:rPr>
        <w:t>联系方式：</w:t>
      </w:r>
      <w:r>
        <w:rPr>
          <w:rFonts w:ascii="宋体" w:hAnsi="宋体" w:cs="宋体"/>
          <w:sz w:val="24"/>
          <w:szCs w:val="20"/>
        </w:rPr>
        <w:t>18862091458</w:t>
      </w:r>
      <w:r>
        <w:rPr>
          <w:rFonts w:hint="eastAsia" w:ascii="宋体" w:hAnsi="宋体" w:cs="宋体"/>
          <w:sz w:val="24"/>
          <w:szCs w:val="20"/>
        </w:rPr>
        <w:t>     </w:t>
      </w:r>
      <w:bookmarkStart w:id="24" w:name="_Toc28359009"/>
      <w:bookmarkEnd w:id="24"/>
      <w:r>
        <w:rPr>
          <w:rFonts w:hint="eastAsia" w:ascii="宋体" w:hAnsi="宋体" w:cs="宋体"/>
          <w:sz w:val="24"/>
          <w:szCs w:val="20"/>
        </w:rPr>
        <w:t xml:space="preserve">       </w:t>
      </w:r>
    </w:p>
    <w:p w14:paraId="528BC16A">
      <w:pPr>
        <w:spacing w:line="500" w:lineRule="exact"/>
        <w:ind w:firstLine="480" w:firstLineChars="200"/>
        <w:rPr>
          <w:rFonts w:hint="eastAsia" w:ascii="宋体" w:hAnsi="宋体" w:cs="宋体"/>
          <w:sz w:val="24"/>
          <w:szCs w:val="20"/>
        </w:rPr>
      </w:pPr>
      <w:r>
        <w:rPr>
          <w:rFonts w:hint="eastAsia" w:ascii="宋体" w:hAnsi="宋体" w:cs="宋体"/>
          <w:sz w:val="24"/>
          <w:szCs w:val="20"/>
        </w:rPr>
        <w:t>2、采购代理机构信息</w:t>
      </w:r>
    </w:p>
    <w:p w14:paraId="5687F42C">
      <w:pPr>
        <w:spacing w:line="500" w:lineRule="exact"/>
        <w:ind w:firstLine="480" w:firstLineChars="200"/>
        <w:rPr>
          <w:rFonts w:hint="eastAsia" w:ascii="宋体" w:hAnsi="宋体" w:cs="宋体"/>
          <w:sz w:val="24"/>
          <w:szCs w:val="20"/>
        </w:rPr>
      </w:pPr>
      <w:r>
        <w:rPr>
          <w:rFonts w:hint="eastAsia" w:ascii="宋体" w:hAnsi="宋体" w:cs="宋体"/>
          <w:sz w:val="24"/>
          <w:szCs w:val="20"/>
        </w:rPr>
        <w:t>名    称：</w:t>
      </w:r>
      <w:r>
        <w:rPr>
          <w:rFonts w:hint="eastAsia" w:ascii="宋体" w:hAnsi="宋体" w:cs="宋体"/>
          <w:sz w:val="24"/>
          <w:szCs w:val="20"/>
          <w:lang w:eastAsia="zh-CN"/>
        </w:rPr>
        <w:t>盐城中亿源项目管理有限公司</w:t>
      </w:r>
      <w:r>
        <w:rPr>
          <w:rFonts w:hint="eastAsia" w:ascii="宋体" w:hAnsi="宋体" w:cs="宋体"/>
          <w:sz w:val="24"/>
          <w:szCs w:val="20"/>
        </w:rPr>
        <w:t xml:space="preserve"> </w:t>
      </w:r>
    </w:p>
    <w:p w14:paraId="38AF1A2C">
      <w:pPr>
        <w:spacing w:line="500" w:lineRule="exact"/>
        <w:ind w:firstLine="480" w:firstLineChars="200"/>
        <w:rPr>
          <w:rFonts w:hint="eastAsia" w:ascii="宋体" w:hAnsi="宋体" w:cs="宋体"/>
          <w:sz w:val="24"/>
          <w:szCs w:val="20"/>
        </w:rPr>
      </w:pPr>
      <w:r>
        <w:rPr>
          <w:rFonts w:hint="eastAsia" w:ascii="宋体" w:hAnsi="宋体" w:cs="宋体"/>
          <w:sz w:val="24"/>
          <w:szCs w:val="20"/>
        </w:rPr>
        <w:t xml:space="preserve">联系地址：盐城市大丰区大中街道永盛路东、瑞丰路南大学生创业园1幢312室       </w:t>
      </w:r>
    </w:p>
    <w:p w14:paraId="734E0F54">
      <w:pPr>
        <w:spacing w:line="500" w:lineRule="exact"/>
        <w:ind w:firstLine="480" w:firstLineChars="200"/>
        <w:rPr>
          <w:rFonts w:hint="eastAsia" w:ascii="宋体" w:hAnsi="宋体" w:cs="宋体"/>
          <w:sz w:val="24"/>
          <w:szCs w:val="20"/>
        </w:rPr>
      </w:pPr>
      <w:r>
        <w:rPr>
          <w:rFonts w:hint="eastAsia" w:ascii="宋体" w:hAnsi="宋体" w:cs="宋体"/>
          <w:sz w:val="24"/>
          <w:szCs w:val="20"/>
        </w:rPr>
        <w:t>联系人：</w:t>
      </w:r>
      <w:r>
        <w:rPr>
          <w:rFonts w:hint="eastAsia" w:ascii="宋体" w:hAnsi="宋体" w:cs="宋体"/>
          <w:sz w:val="24"/>
          <w:szCs w:val="20"/>
          <w:lang w:val="en-US" w:eastAsia="zh-CN"/>
        </w:rPr>
        <w:t>王先生</w:t>
      </w:r>
    </w:p>
    <w:p w14:paraId="308BC9D3">
      <w:pPr>
        <w:spacing w:line="500" w:lineRule="exact"/>
        <w:ind w:firstLine="480" w:firstLineChars="200"/>
        <w:rPr>
          <w:rFonts w:hint="default" w:ascii="宋体" w:hAnsi="宋体" w:eastAsia="宋体" w:cs="宋体"/>
          <w:sz w:val="24"/>
          <w:szCs w:val="20"/>
          <w:lang w:val="en-US" w:eastAsia="zh-CN"/>
        </w:rPr>
      </w:pPr>
      <w:r>
        <w:rPr>
          <w:rFonts w:hint="eastAsia" w:ascii="宋体" w:hAnsi="宋体" w:cs="宋体"/>
          <w:sz w:val="24"/>
          <w:szCs w:val="20"/>
        </w:rPr>
        <w:t>联系方式：</w:t>
      </w:r>
      <w:r>
        <w:rPr>
          <w:rFonts w:hint="eastAsia" w:ascii="宋体" w:hAnsi="宋体" w:cs="宋体"/>
          <w:sz w:val="24"/>
          <w:szCs w:val="20"/>
          <w:lang w:val="en-US" w:eastAsia="zh-CN"/>
        </w:rPr>
        <w:t>15962990376</w:t>
      </w:r>
    </w:p>
    <w:p w14:paraId="7DCA7432">
      <w:pPr>
        <w:spacing w:line="500" w:lineRule="exact"/>
        <w:ind w:firstLine="480" w:firstLineChars="200"/>
        <w:rPr>
          <w:rFonts w:hint="eastAsia" w:ascii="宋体" w:hAnsi="宋体" w:cs="宋体"/>
          <w:sz w:val="24"/>
          <w:szCs w:val="20"/>
        </w:rPr>
      </w:pPr>
      <w:r>
        <w:rPr>
          <w:rFonts w:hint="eastAsia" w:ascii="宋体" w:hAnsi="宋体" w:cs="宋体"/>
          <w:sz w:val="24"/>
          <w:szCs w:val="20"/>
        </w:rPr>
        <w:t>3、项目联系方式</w:t>
      </w:r>
    </w:p>
    <w:p w14:paraId="5AD8AC7B">
      <w:pPr>
        <w:spacing w:line="500" w:lineRule="exact"/>
        <w:ind w:firstLine="480" w:firstLineChars="200"/>
        <w:rPr>
          <w:rFonts w:hint="eastAsia" w:ascii="宋体" w:hAnsi="宋体" w:eastAsia="宋体" w:cs="宋体"/>
          <w:sz w:val="24"/>
          <w:szCs w:val="20"/>
          <w:lang w:eastAsia="zh-CN"/>
        </w:rPr>
      </w:pPr>
      <w:r>
        <w:rPr>
          <w:rFonts w:hint="eastAsia" w:ascii="宋体" w:hAnsi="宋体" w:cs="宋体"/>
          <w:sz w:val="24"/>
          <w:szCs w:val="20"/>
        </w:rPr>
        <w:t>项目联系人：段</w:t>
      </w:r>
      <w:r>
        <w:rPr>
          <w:rFonts w:hint="eastAsia" w:ascii="宋体" w:hAnsi="宋体" w:cs="宋体"/>
          <w:sz w:val="24"/>
          <w:szCs w:val="20"/>
          <w:lang w:val="en-US" w:eastAsia="zh-CN"/>
        </w:rPr>
        <w:t>先生</w:t>
      </w:r>
    </w:p>
    <w:p w14:paraId="455DD083">
      <w:pPr>
        <w:spacing w:line="500" w:lineRule="exact"/>
        <w:ind w:firstLine="480" w:firstLineChars="200"/>
        <w:rPr>
          <w:rFonts w:hint="eastAsia" w:ascii="宋体" w:hAnsi="宋体" w:cs="宋体"/>
          <w:sz w:val="24"/>
          <w:szCs w:val="21"/>
        </w:rPr>
      </w:pPr>
      <w:r>
        <w:rPr>
          <w:rFonts w:hint="eastAsia" w:ascii="宋体" w:hAnsi="宋体" w:cs="宋体"/>
          <w:sz w:val="24"/>
          <w:szCs w:val="20"/>
        </w:rPr>
        <w:t>电    话：</w:t>
      </w:r>
      <w:r>
        <w:rPr>
          <w:rFonts w:ascii="宋体" w:hAnsi="宋体" w:cs="宋体"/>
          <w:sz w:val="24"/>
          <w:szCs w:val="20"/>
        </w:rPr>
        <w:t>18862091458</w:t>
      </w:r>
      <w:r>
        <w:rPr>
          <w:rFonts w:hint="eastAsia" w:ascii="宋体" w:hAnsi="宋体" w:cs="宋体"/>
          <w:sz w:val="24"/>
          <w:szCs w:val="20"/>
        </w:rPr>
        <w:t>　</w:t>
      </w:r>
      <w:r>
        <w:rPr>
          <w:rFonts w:hint="eastAsia" w:ascii="仿宋" w:hAnsi="仿宋" w:eastAsia="仿宋" w:cs="仿宋"/>
          <w:sz w:val="28"/>
          <w:szCs w:val="28"/>
          <w:shd w:val="clear" w:color="auto" w:fill="FFFFFF"/>
        </w:rPr>
        <w:t>　　　　</w:t>
      </w:r>
    </w:p>
    <w:bookmarkEnd w:id="4"/>
    <w:p w14:paraId="3B1505A9">
      <w:pPr>
        <w:spacing w:line="500" w:lineRule="exact"/>
        <w:ind w:firstLine="482" w:firstLineChars="200"/>
        <w:rPr>
          <w:rFonts w:hint="eastAsia" w:ascii="宋体" w:hAnsi="宋体" w:cs="宋体"/>
          <w:b/>
          <w:bCs/>
          <w:sz w:val="24"/>
        </w:rPr>
      </w:pPr>
    </w:p>
    <w:p w14:paraId="3086F698">
      <w:pPr>
        <w:pBdr>
          <w:top w:val="none" w:color="000000" w:sz="0" w:space="0"/>
          <w:left w:val="none" w:color="000000" w:sz="0" w:space="0"/>
          <w:bottom w:val="none" w:color="000000" w:sz="0" w:space="0"/>
          <w:right w:val="none" w:color="000000" w:sz="0" w:space="0"/>
        </w:pBdr>
        <w:spacing w:line="558" w:lineRule="atLeast"/>
        <w:ind w:firstLine="480"/>
      </w:pPr>
      <w:r>
        <w:rPr>
          <w:rFonts w:hint="eastAsia"/>
        </w:rPr>
        <w:br w:type="page"/>
      </w:r>
      <w:bookmarkEnd w:id="5"/>
      <w:bookmarkEnd w:id="6"/>
      <w:bookmarkEnd w:id="7"/>
    </w:p>
    <w:p w14:paraId="44AEE2A9">
      <w:pPr>
        <w:pStyle w:val="4"/>
        <w:spacing w:line="540" w:lineRule="exact"/>
        <w:ind w:left="420" w:leftChars="200"/>
        <w:jc w:val="center"/>
        <w:rPr>
          <w:rFonts w:hint="eastAsia" w:ascii="方正小标宋_GBK" w:hAnsi="方正小标宋_GBK" w:eastAsia="方正小标宋_GBK" w:cs="方正小标宋_GBK"/>
          <w:sz w:val="44"/>
          <w:szCs w:val="44"/>
        </w:rPr>
      </w:pPr>
      <w:bookmarkStart w:id="25" w:name="_Toc2726"/>
      <w:bookmarkStart w:id="26" w:name="_Toc11466"/>
      <w:bookmarkStart w:id="27" w:name="_Toc31356"/>
      <w:bookmarkStart w:id="28" w:name="_Toc15091"/>
      <w:r>
        <w:rPr>
          <w:rFonts w:hint="eastAsia" w:ascii="方正小标宋_GBK" w:hAnsi="方正小标宋_GBK" w:eastAsia="方正小标宋_GBK" w:cs="方正小标宋_GBK"/>
          <w:sz w:val="44"/>
          <w:szCs w:val="44"/>
        </w:rPr>
        <w:t>第二章  磋商须知</w:t>
      </w:r>
      <w:bookmarkEnd w:id="25"/>
      <w:bookmarkEnd w:id="26"/>
      <w:bookmarkEnd w:id="27"/>
      <w:bookmarkEnd w:id="28"/>
    </w:p>
    <w:p w14:paraId="043A4524">
      <w:pPr>
        <w:spacing w:line="540" w:lineRule="exact"/>
        <w:ind w:left="420" w:leftChars="200"/>
        <w:jc w:val="center"/>
        <w:rPr>
          <w:rFonts w:hint="eastAsia" w:ascii="宋体" w:hAnsi="宋体"/>
          <w:b/>
          <w:bCs/>
          <w:sz w:val="24"/>
        </w:rPr>
      </w:pPr>
      <w:r>
        <w:rPr>
          <w:rFonts w:hint="eastAsia" w:ascii="宋体" w:hAnsi="宋体"/>
          <w:bCs/>
          <w:sz w:val="24"/>
        </w:rPr>
        <w:t>（参加竞争性磋商的供应商以下简称“磋商供应商”）</w:t>
      </w:r>
    </w:p>
    <w:p w14:paraId="4A7B1E17">
      <w:pPr>
        <w:pStyle w:val="38"/>
        <w:spacing w:beforeAutospacing="0" w:afterAutospacing="0" w:line="460" w:lineRule="exact"/>
        <w:ind w:firstLine="422"/>
        <w:jc w:val="both"/>
        <w:rPr>
          <w:rFonts w:hint="eastAsia"/>
          <w:b/>
          <w:bCs/>
        </w:rPr>
      </w:pPr>
      <w:bookmarkStart w:id="29" w:name="_Toc14577351"/>
      <w:bookmarkStart w:id="30" w:name="_Toc513029213"/>
      <w:bookmarkStart w:id="31" w:name="_Toc462564072"/>
      <w:bookmarkStart w:id="32" w:name="_Toc61149553"/>
      <w:r>
        <w:rPr>
          <w:rFonts w:hint="eastAsia"/>
          <w:b/>
          <w:bCs/>
        </w:rPr>
        <w:t>一、总则</w:t>
      </w:r>
    </w:p>
    <w:p w14:paraId="703E320B">
      <w:pPr>
        <w:pStyle w:val="38"/>
        <w:spacing w:beforeAutospacing="0" w:afterAutospacing="0" w:line="460" w:lineRule="exact"/>
        <w:ind w:firstLine="422"/>
        <w:jc w:val="both"/>
        <w:rPr>
          <w:rFonts w:hint="eastAsia"/>
          <w:b/>
          <w:bCs/>
        </w:rPr>
      </w:pPr>
      <w:bookmarkStart w:id="33" w:name="_Toc20823276"/>
      <w:bookmarkStart w:id="34" w:name="_Toc16938520"/>
      <w:bookmarkStart w:id="35" w:name="_Toc458694821"/>
      <w:bookmarkStart w:id="36" w:name="_Toc513029204"/>
      <w:r>
        <w:rPr>
          <w:rFonts w:hint="eastAsia"/>
          <w:b/>
          <w:bCs/>
        </w:rPr>
        <w:t>1</w:t>
      </w:r>
      <w:bookmarkEnd w:id="33"/>
      <w:r>
        <w:rPr>
          <w:rFonts w:hint="eastAsia"/>
          <w:b/>
          <w:bCs/>
        </w:rPr>
        <w:t>、采购方式</w:t>
      </w:r>
      <w:bookmarkEnd w:id="34"/>
      <w:bookmarkEnd w:id="35"/>
      <w:bookmarkEnd w:id="36"/>
    </w:p>
    <w:p w14:paraId="1D12BA19">
      <w:pPr>
        <w:pStyle w:val="38"/>
        <w:spacing w:beforeAutospacing="0" w:afterAutospacing="0" w:line="460" w:lineRule="exact"/>
        <w:ind w:firstLine="420"/>
        <w:jc w:val="both"/>
        <w:rPr>
          <w:rFonts w:hint="eastAsia"/>
        </w:rPr>
      </w:pPr>
      <w:r>
        <w:rPr>
          <w:rFonts w:hint="eastAsia"/>
        </w:rPr>
        <w:t>1.1 本次政府采购活动采取竞争性磋商(以下简称磋商)方式，本磋商文件仅适用于磋商公告中所述项目。</w:t>
      </w:r>
    </w:p>
    <w:p w14:paraId="727A0C59">
      <w:pPr>
        <w:pStyle w:val="38"/>
        <w:spacing w:beforeAutospacing="0" w:afterAutospacing="0" w:line="460" w:lineRule="exact"/>
        <w:ind w:firstLine="422"/>
        <w:jc w:val="both"/>
        <w:rPr>
          <w:rFonts w:hint="eastAsia"/>
          <w:b/>
          <w:bCs/>
        </w:rPr>
      </w:pPr>
      <w:bookmarkStart w:id="37" w:name="_Toc16938521"/>
      <w:bookmarkStart w:id="38" w:name="_Toc20823277"/>
      <w:bookmarkStart w:id="39" w:name="_Toc513029205"/>
      <w:r>
        <w:rPr>
          <w:rFonts w:hint="eastAsia"/>
          <w:b/>
          <w:bCs/>
        </w:rPr>
        <w:t>2、合格的</w:t>
      </w:r>
      <w:bookmarkEnd w:id="37"/>
      <w:bookmarkEnd w:id="38"/>
      <w:bookmarkEnd w:id="39"/>
      <w:r>
        <w:rPr>
          <w:rFonts w:hint="eastAsia"/>
          <w:b/>
          <w:bCs/>
        </w:rPr>
        <w:t>供应商</w:t>
      </w:r>
    </w:p>
    <w:p w14:paraId="4F38A62C">
      <w:pPr>
        <w:pStyle w:val="38"/>
        <w:spacing w:beforeAutospacing="0" w:afterAutospacing="0" w:line="460" w:lineRule="exact"/>
        <w:ind w:firstLine="420"/>
        <w:jc w:val="both"/>
        <w:rPr>
          <w:rFonts w:hint="eastAsia"/>
        </w:rPr>
      </w:pPr>
      <w:r>
        <w:rPr>
          <w:rFonts w:hint="eastAsia"/>
        </w:rPr>
        <w:t>2.1满足磋商公告中供应商资格要求的规定。</w:t>
      </w:r>
    </w:p>
    <w:p w14:paraId="4B4BB8EE">
      <w:pPr>
        <w:pStyle w:val="38"/>
        <w:spacing w:beforeAutospacing="0" w:afterAutospacing="0" w:line="460" w:lineRule="exact"/>
        <w:ind w:firstLine="420"/>
        <w:jc w:val="both"/>
        <w:rPr>
          <w:rFonts w:hint="eastAsia"/>
        </w:rPr>
      </w:pPr>
      <w:r>
        <w:rPr>
          <w:rFonts w:hint="eastAsia"/>
        </w:rPr>
        <w:t>2.2 满足本磋商文件实质性要求和条件的规定。</w:t>
      </w:r>
    </w:p>
    <w:p w14:paraId="33025F39">
      <w:pPr>
        <w:pStyle w:val="38"/>
        <w:spacing w:beforeAutospacing="0" w:afterAutospacing="0" w:line="460" w:lineRule="exact"/>
        <w:ind w:firstLine="422"/>
        <w:jc w:val="both"/>
        <w:rPr>
          <w:rFonts w:hint="eastAsia"/>
          <w:b/>
          <w:bCs/>
        </w:rPr>
      </w:pPr>
      <w:bookmarkStart w:id="40" w:name="_Toc20823278"/>
      <w:bookmarkStart w:id="41" w:name="_Toc513029206"/>
      <w:bookmarkStart w:id="42" w:name="_Toc16938522"/>
      <w:r>
        <w:rPr>
          <w:rFonts w:hint="eastAsia"/>
          <w:b/>
          <w:bCs/>
        </w:rPr>
        <w:t>3、适用法律</w:t>
      </w:r>
      <w:bookmarkEnd w:id="40"/>
      <w:bookmarkEnd w:id="41"/>
      <w:bookmarkEnd w:id="42"/>
    </w:p>
    <w:p w14:paraId="7D0BE299">
      <w:pPr>
        <w:pStyle w:val="38"/>
        <w:spacing w:beforeAutospacing="0" w:afterAutospacing="0" w:line="460" w:lineRule="exact"/>
        <w:ind w:firstLine="420"/>
        <w:jc w:val="both"/>
        <w:rPr>
          <w:rFonts w:hint="eastAsia"/>
        </w:rPr>
      </w:pPr>
      <w:r>
        <w:rPr>
          <w:rFonts w:hint="eastAsia"/>
        </w:rPr>
        <w:t>3.1 本次磋商及由此产生的合同受中华人民共和国有关的法律法规制约和保护。</w:t>
      </w:r>
    </w:p>
    <w:p w14:paraId="4C010011">
      <w:pPr>
        <w:pStyle w:val="38"/>
        <w:spacing w:beforeAutospacing="0" w:afterAutospacing="0" w:line="460" w:lineRule="exact"/>
        <w:ind w:firstLine="422"/>
        <w:jc w:val="both"/>
        <w:rPr>
          <w:rFonts w:hint="eastAsia"/>
          <w:b/>
          <w:bCs/>
        </w:rPr>
      </w:pPr>
      <w:bookmarkStart w:id="43" w:name="_Toc16938523"/>
      <w:bookmarkStart w:id="44" w:name="_Toc462564067"/>
      <w:bookmarkStart w:id="45" w:name="_Toc513029207"/>
      <w:bookmarkStart w:id="46" w:name="_Toc20823279"/>
      <w:r>
        <w:rPr>
          <w:rFonts w:hint="eastAsia"/>
          <w:b/>
          <w:bCs/>
        </w:rPr>
        <w:t>4、磋商费用</w:t>
      </w:r>
      <w:bookmarkEnd w:id="43"/>
      <w:bookmarkEnd w:id="44"/>
      <w:bookmarkEnd w:id="45"/>
      <w:bookmarkEnd w:id="46"/>
    </w:p>
    <w:p w14:paraId="5D6C6903">
      <w:pPr>
        <w:pStyle w:val="38"/>
        <w:spacing w:beforeAutospacing="0" w:afterAutospacing="0" w:line="460" w:lineRule="exact"/>
        <w:ind w:firstLine="420"/>
        <w:jc w:val="both"/>
        <w:rPr>
          <w:rFonts w:hint="eastAsia"/>
        </w:rPr>
      </w:pPr>
      <w:r>
        <w:rPr>
          <w:rFonts w:hint="eastAsia"/>
        </w:rPr>
        <w:t>4.1供应商应自行承担所有与参加本次磋商有关的费用，无论磋商过程中的做法和结果如何，采购人和</w:t>
      </w:r>
      <w:r>
        <w:rPr>
          <w:rFonts w:hint="eastAsia"/>
          <w:lang w:eastAsia="zh-CN"/>
        </w:rPr>
        <w:t>盐城中亿源项目管理有限公司</w:t>
      </w:r>
      <w:r>
        <w:rPr>
          <w:rFonts w:hint="eastAsia"/>
        </w:rPr>
        <w:t>（以下简称代理机构）在任何情况下均无义务和责任承担这些费用。</w:t>
      </w:r>
    </w:p>
    <w:p w14:paraId="230573F4">
      <w:pPr>
        <w:pStyle w:val="38"/>
        <w:spacing w:beforeAutospacing="0" w:afterAutospacing="0" w:line="460" w:lineRule="exact"/>
        <w:ind w:firstLine="422"/>
        <w:jc w:val="both"/>
        <w:rPr>
          <w:rFonts w:hint="eastAsia"/>
          <w:b/>
          <w:bCs/>
        </w:rPr>
      </w:pPr>
      <w:r>
        <w:rPr>
          <w:rFonts w:hint="eastAsia"/>
          <w:b/>
          <w:bCs/>
        </w:rPr>
        <w:t>5、磋商文件的约束力</w:t>
      </w:r>
    </w:p>
    <w:p w14:paraId="233E25A5">
      <w:pPr>
        <w:pStyle w:val="38"/>
        <w:spacing w:beforeAutospacing="0" w:afterAutospacing="0" w:line="460" w:lineRule="exact"/>
        <w:ind w:firstLine="420"/>
        <w:jc w:val="both"/>
        <w:rPr>
          <w:rFonts w:hint="eastAsia"/>
        </w:rPr>
      </w:pPr>
      <w:r>
        <w:rPr>
          <w:rFonts w:hint="eastAsia"/>
        </w:rPr>
        <w:t>5.1供应商一旦参加本项目采购活动，即被认为接受了本磋商文件的规定和约束。</w:t>
      </w:r>
    </w:p>
    <w:p w14:paraId="2236E1CB">
      <w:pPr>
        <w:pStyle w:val="38"/>
        <w:spacing w:beforeAutospacing="0" w:afterAutospacing="0" w:line="460" w:lineRule="exact"/>
        <w:ind w:firstLine="422"/>
        <w:jc w:val="both"/>
        <w:rPr>
          <w:rFonts w:hint="eastAsia"/>
          <w:b/>
          <w:bCs/>
        </w:rPr>
      </w:pPr>
      <w:r>
        <w:rPr>
          <w:rFonts w:hint="eastAsia"/>
          <w:b/>
          <w:bCs/>
        </w:rPr>
        <w:t>二、磋商文件</w:t>
      </w:r>
    </w:p>
    <w:bookmarkEnd w:id="29"/>
    <w:bookmarkEnd w:id="30"/>
    <w:bookmarkEnd w:id="31"/>
    <w:bookmarkEnd w:id="32"/>
    <w:p w14:paraId="2E80DABA">
      <w:pPr>
        <w:pStyle w:val="38"/>
        <w:spacing w:beforeAutospacing="0" w:afterAutospacing="0" w:line="460" w:lineRule="exact"/>
        <w:ind w:firstLine="422"/>
        <w:jc w:val="both"/>
        <w:rPr>
          <w:rFonts w:hint="eastAsia"/>
          <w:b/>
          <w:bCs/>
        </w:rPr>
      </w:pPr>
      <w:r>
        <w:rPr>
          <w:rFonts w:hint="eastAsia"/>
          <w:b/>
          <w:bCs/>
        </w:rPr>
        <w:t>6、磋商文件构成</w:t>
      </w:r>
    </w:p>
    <w:p w14:paraId="2053CAF8">
      <w:pPr>
        <w:pStyle w:val="38"/>
        <w:spacing w:beforeAutospacing="0" w:afterAutospacing="0" w:line="460" w:lineRule="exact"/>
        <w:ind w:firstLine="420"/>
        <w:jc w:val="both"/>
        <w:rPr>
          <w:rFonts w:hint="eastAsia"/>
        </w:rPr>
      </w:pPr>
      <w:r>
        <w:rPr>
          <w:rFonts w:hint="eastAsia"/>
        </w:rPr>
        <w:t>6.1磋商文件由以下部分组成：</w:t>
      </w:r>
    </w:p>
    <w:p w14:paraId="499E44D0">
      <w:pPr>
        <w:pStyle w:val="38"/>
        <w:spacing w:beforeAutospacing="0" w:afterAutospacing="0" w:line="460" w:lineRule="exact"/>
        <w:ind w:firstLine="420"/>
        <w:jc w:val="both"/>
        <w:rPr>
          <w:rFonts w:hint="eastAsia"/>
        </w:rPr>
      </w:pPr>
      <w:r>
        <w:rPr>
          <w:rFonts w:hint="eastAsia"/>
        </w:rPr>
        <w:t>（1）磋商公告</w:t>
      </w:r>
    </w:p>
    <w:p w14:paraId="57C2CCA8">
      <w:pPr>
        <w:pStyle w:val="38"/>
        <w:spacing w:beforeAutospacing="0" w:afterAutospacing="0" w:line="460" w:lineRule="exact"/>
        <w:ind w:firstLine="420"/>
        <w:jc w:val="both"/>
        <w:rPr>
          <w:rFonts w:hint="eastAsia"/>
        </w:rPr>
      </w:pPr>
      <w:r>
        <w:rPr>
          <w:rFonts w:hint="eastAsia"/>
        </w:rPr>
        <w:t>（2）供应商须知</w:t>
      </w:r>
    </w:p>
    <w:p w14:paraId="673234DA">
      <w:pPr>
        <w:pStyle w:val="38"/>
        <w:spacing w:beforeAutospacing="0" w:afterAutospacing="0" w:line="460" w:lineRule="exact"/>
        <w:ind w:firstLine="420"/>
        <w:jc w:val="both"/>
        <w:rPr>
          <w:rFonts w:hint="eastAsia"/>
        </w:rPr>
      </w:pPr>
      <w:r>
        <w:rPr>
          <w:rFonts w:hint="eastAsia"/>
        </w:rPr>
        <w:t>（3）合同文本</w:t>
      </w:r>
    </w:p>
    <w:p w14:paraId="0C2277A6">
      <w:pPr>
        <w:pStyle w:val="38"/>
        <w:spacing w:beforeAutospacing="0" w:afterAutospacing="0" w:line="460" w:lineRule="exact"/>
        <w:ind w:firstLine="420"/>
        <w:jc w:val="both"/>
        <w:rPr>
          <w:rFonts w:hint="eastAsia"/>
        </w:rPr>
      </w:pPr>
      <w:r>
        <w:rPr>
          <w:rFonts w:hint="eastAsia"/>
        </w:rPr>
        <w:t>（4）采购需求</w:t>
      </w:r>
    </w:p>
    <w:p w14:paraId="2154D6BA">
      <w:pPr>
        <w:pStyle w:val="38"/>
        <w:spacing w:beforeAutospacing="0" w:afterAutospacing="0" w:line="460" w:lineRule="exact"/>
        <w:ind w:firstLine="420"/>
        <w:jc w:val="both"/>
        <w:rPr>
          <w:rFonts w:hint="eastAsia"/>
        </w:rPr>
      </w:pPr>
      <w:r>
        <w:rPr>
          <w:rFonts w:hint="eastAsia"/>
        </w:rPr>
        <w:t>（5）评审方法与评审标准</w:t>
      </w:r>
    </w:p>
    <w:p w14:paraId="4EBE529E">
      <w:pPr>
        <w:pStyle w:val="38"/>
        <w:spacing w:beforeAutospacing="0" w:afterAutospacing="0" w:line="460" w:lineRule="exact"/>
        <w:ind w:firstLine="420"/>
        <w:jc w:val="both"/>
        <w:rPr>
          <w:rFonts w:hint="eastAsia"/>
        </w:rPr>
      </w:pPr>
      <w:r>
        <w:rPr>
          <w:rFonts w:hint="eastAsia"/>
        </w:rPr>
        <w:t>（6）响应文件格式</w:t>
      </w:r>
    </w:p>
    <w:p w14:paraId="76746850">
      <w:pPr>
        <w:pStyle w:val="38"/>
        <w:spacing w:beforeAutospacing="0" w:afterAutospacing="0" w:line="460" w:lineRule="exact"/>
        <w:ind w:firstLine="420"/>
        <w:jc w:val="both"/>
        <w:rPr>
          <w:rFonts w:hint="eastAsia"/>
        </w:rPr>
      </w:pPr>
      <w:r>
        <w:rPr>
          <w:rFonts w:hint="eastAsia"/>
        </w:rPr>
        <w:t>请仔细检查磋商文件是否齐全，如有缺漏请立即与采购代理机构联系解决。</w:t>
      </w:r>
    </w:p>
    <w:p w14:paraId="6AD2BAFF">
      <w:pPr>
        <w:pStyle w:val="38"/>
        <w:spacing w:beforeAutospacing="0" w:afterAutospacing="0" w:line="460" w:lineRule="exact"/>
        <w:ind w:firstLine="420"/>
        <w:jc w:val="both"/>
        <w:rPr>
          <w:rFonts w:hint="eastAsia"/>
        </w:rPr>
      </w:pPr>
      <w:r>
        <w:rPr>
          <w:rFonts w:hint="eastAsia"/>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15CC53E">
      <w:pPr>
        <w:pStyle w:val="38"/>
        <w:spacing w:beforeAutospacing="0" w:afterAutospacing="0" w:line="460" w:lineRule="exact"/>
        <w:ind w:firstLine="422"/>
        <w:jc w:val="both"/>
        <w:rPr>
          <w:rFonts w:hint="eastAsia"/>
          <w:b/>
          <w:bCs/>
        </w:rPr>
      </w:pPr>
      <w:bookmarkStart w:id="47" w:name="_Toc16938527"/>
      <w:bookmarkStart w:id="48" w:name="_Toc513029211"/>
      <w:bookmarkStart w:id="49" w:name="_Toc20823283"/>
      <w:bookmarkStart w:id="50" w:name="_Toc462564070"/>
      <w:r>
        <w:rPr>
          <w:rFonts w:hint="eastAsia"/>
          <w:b/>
          <w:bCs/>
        </w:rPr>
        <w:t>7、磋商文件的澄清</w:t>
      </w:r>
      <w:bookmarkEnd w:id="47"/>
      <w:bookmarkEnd w:id="48"/>
      <w:bookmarkEnd w:id="49"/>
      <w:bookmarkEnd w:id="50"/>
    </w:p>
    <w:p w14:paraId="4F07B80F">
      <w:pPr>
        <w:pStyle w:val="38"/>
        <w:spacing w:beforeAutospacing="0" w:afterAutospacing="0" w:line="460" w:lineRule="exact"/>
        <w:ind w:firstLine="420"/>
        <w:jc w:val="both"/>
        <w:rPr>
          <w:rFonts w:hint="eastAsia"/>
        </w:rPr>
      </w:pPr>
      <w:r>
        <w:rPr>
          <w:rFonts w:hint="eastAsia"/>
        </w:rPr>
        <w:t>7.1 任何要求对磋商文件进行澄清的供应商，应在磋商截止期5日前按磋商公告中的通讯地址，以书面形式通知采购代理机构。</w:t>
      </w:r>
    </w:p>
    <w:p w14:paraId="762CFDCC">
      <w:pPr>
        <w:pStyle w:val="38"/>
        <w:spacing w:beforeAutospacing="0" w:afterAutospacing="0" w:line="460" w:lineRule="exact"/>
        <w:ind w:firstLine="422"/>
        <w:jc w:val="both"/>
        <w:rPr>
          <w:rFonts w:hint="eastAsia"/>
          <w:b/>
          <w:bCs/>
        </w:rPr>
      </w:pPr>
      <w:bookmarkStart w:id="51" w:name="_Toc462564071"/>
      <w:bookmarkStart w:id="52" w:name="_Toc513029212"/>
      <w:bookmarkStart w:id="53" w:name="_Toc20823284"/>
      <w:bookmarkStart w:id="54" w:name="_Toc16938528"/>
      <w:r>
        <w:rPr>
          <w:rFonts w:hint="eastAsia"/>
          <w:b/>
          <w:bCs/>
        </w:rPr>
        <w:t>8、磋商文件的澄清和修改</w:t>
      </w:r>
      <w:bookmarkEnd w:id="51"/>
      <w:bookmarkEnd w:id="52"/>
      <w:bookmarkEnd w:id="53"/>
      <w:bookmarkEnd w:id="54"/>
    </w:p>
    <w:p w14:paraId="37117FF5">
      <w:pPr>
        <w:pStyle w:val="38"/>
        <w:spacing w:beforeAutospacing="0" w:afterAutospacing="0" w:line="460" w:lineRule="exact"/>
        <w:ind w:firstLine="420"/>
        <w:jc w:val="both"/>
        <w:rPr>
          <w:rFonts w:hint="eastAsia"/>
        </w:rPr>
      </w:pPr>
      <w:r>
        <w:rPr>
          <w:rFonts w:hint="eastAsia"/>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中国政府采购网”上发布书面更正公告形式通知所有获取磋商文件的供应商,更正公告内容将作为磋商文件的组成部分，并对供应商具有约束力。不足5日的，采购代理机构将顺延提交首次响应文件截止时间。</w:t>
      </w:r>
    </w:p>
    <w:p w14:paraId="3566B5CB">
      <w:pPr>
        <w:pStyle w:val="38"/>
        <w:spacing w:beforeAutospacing="0" w:afterAutospacing="0" w:line="460" w:lineRule="exact"/>
        <w:ind w:firstLine="420"/>
        <w:jc w:val="both"/>
        <w:rPr>
          <w:rFonts w:hint="eastAsia"/>
        </w:rPr>
      </w:pPr>
      <w:r>
        <w:rPr>
          <w:rFonts w:hint="eastAsia"/>
        </w:rPr>
        <w:t>8.2采购代理机构可以视采购项目的具体情况，组织供应商进行现场考察或召开磋商前答疑会，但不单独或分别组织只有一个供应商参加的现场考察和答疑会。</w:t>
      </w:r>
    </w:p>
    <w:p w14:paraId="4058F3C7">
      <w:pPr>
        <w:pStyle w:val="38"/>
        <w:spacing w:beforeAutospacing="0" w:afterAutospacing="0" w:line="460" w:lineRule="exact"/>
        <w:ind w:firstLine="422"/>
        <w:jc w:val="both"/>
        <w:rPr>
          <w:rFonts w:hint="eastAsia"/>
          <w:b/>
          <w:bCs/>
        </w:rPr>
      </w:pPr>
      <w:bookmarkStart w:id="55" w:name="_Toc20823285"/>
      <w:bookmarkStart w:id="56" w:name="_Toc120614216"/>
      <w:bookmarkStart w:id="57" w:name="_Toc16938529"/>
      <w:r>
        <w:rPr>
          <w:rFonts w:hint="eastAsia"/>
          <w:b/>
          <w:bCs/>
        </w:rPr>
        <w:t>三、响应文件的编制</w:t>
      </w:r>
      <w:bookmarkEnd w:id="55"/>
      <w:bookmarkEnd w:id="56"/>
      <w:bookmarkEnd w:id="57"/>
    </w:p>
    <w:p w14:paraId="2F8CFAA0">
      <w:pPr>
        <w:pStyle w:val="38"/>
        <w:spacing w:beforeAutospacing="0" w:afterAutospacing="0" w:line="460" w:lineRule="exact"/>
        <w:ind w:firstLine="422"/>
        <w:jc w:val="both"/>
        <w:rPr>
          <w:rFonts w:hint="eastAsia"/>
          <w:b/>
          <w:bCs/>
        </w:rPr>
      </w:pPr>
      <w:bookmarkStart w:id="58" w:name="_Toc16938530"/>
      <w:bookmarkStart w:id="59" w:name="_Toc20823286"/>
      <w:r>
        <w:rPr>
          <w:rFonts w:hint="eastAsia"/>
          <w:b/>
          <w:bCs/>
        </w:rPr>
        <w:t>9、响应文件的语言及度量衡单位</w:t>
      </w:r>
      <w:bookmarkEnd w:id="58"/>
      <w:bookmarkEnd w:id="59"/>
    </w:p>
    <w:p w14:paraId="4E77A417">
      <w:pPr>
        <w:pStyle w:val="38"/>
        <w:spacing w:beforeAutospacing="0" w:afterAutospacing="0" w:line="460" w:lineRule="exact"/>
        <w:ind w:firstLine="420"/>
        <w:jc w:val="both"/>
        <w:rPr>
          <w:rFonts w:hint="eastAsia"/>
        </w:rPr>
      </w:pPr>
      <w:r>
        <w:rPr>
          <w:rFonts w:hint="eastAsia"/>
        </w:rPr>
        <w:t>9.1供应商提交的响应文件以及供应商与采购代理机构就有关磋商的所有来往通知、函件和文件均应使用简体中文。</w:t>
      </w:r>
    </w:p>
    <w:p w14:paraId="5EDEE9A2">
      <w:pPr>
        <w:pStyle w:val="38"/>
        <w:spacing w:beforeAutospacing="0" w:afterAutospacing="0" w:line="460" w:lineRule="exact"/>
        <w:ind w:firstLine="420"/>
        <w:jc w:val="both"/>
        <w:rPr>
          <w:rFonts w:hint="eastAsia"/>
        </w:rPr>
      </w:pPr>
      <w:r>
        <w:rPr>
          <w:rFonts w:hint="eastAsia"/>
        </w:rPr>
        <w:t>9.2 除技术性能另有规定外，响应文件所使用的度量衡单位，均须采用国家法定计量单位。</w:t>
      </w:r>
    </w:p>
    <w:p w14:paraId="28B5DF8B">
      <w:pPr>
        <w:pStyle w:val="38"/>
        <w:spacing w:beforeAutospacing="0" w:afterAutospacing="0" w:line="460" w:lineRule="exact"/>
        <w:ind w:firstLine="422"/>
        <w:jc w:val="both"/>
        <w:rPr>
          <w:rFonts w:hint="eastAsia"/>
          <w:b/>
          <w:bCs/>
        </w:rPr>
      </w:pPr>
      <w:bookmarkStart w:id="60" w:name="_Toc20823287"/>
      <w:bookmarkStart w:id="61" w:name="_Toc16938531"/>
      <w:r>
        <w:rPr>
          <w:rFonts w:hint="eastAsia"/>
          <w:b/>
          <w:bCs/>
        </w:rPr>
        <w:t>10、响应文件构成</w:t>
      </w:r>
      <w:bookmarkEnd w:id="60"/>
      <w:bookmarkEnd w:id="61"/>
    </w:p>
    <w:p w14:paraId="644D9C5A">
      <w:pPr>
        <w:pStyle w:val="38"/>
        <w:spacing w:beforeAutospacing="0" w:afterAutospacing="0" w:line="460" w:lineRule="exact"/>
        <w:ind w:firstLine="420"/>
        <w:jc w:val="both"/>
        <w:rPr>
          <w:rFonts w:hint="eastAsia"/>
        </w:rPr>
      </w:pPr>
      <w:r>
        <w:rPr>
          <w:rFonts w:hint="eastAsia"/>
        </w:rPr>
        <w:t>10.1供应商编写的响应文件应包括资格证明文件、符合性证明文件、分项报价表、技术要求响应及偏离表、商务要求响应及偏离表、其他证明文件、磋商响应函等部分。</w:t>
      </w:r>
    </w:p>
    <w:p w14:paraId="10742621">
      <w:pPr>
        <w:pStyle w:val="38"/>
        <w:spacing w:beforeAutospacing="0" w:afterAutospacing="0" w:line="460" w:lineRule="exact"/>
        <w:ind w:firstLine="422"/>
        <w:jc w:val="both"/>
        <w:rPr>
          <w:rFonts w:hint="eastAsia"/>
          <w:b/>
          <w:bCs/>
        </w:rPr>
      </w:pPr>
      <w:bookmarkStart w:id="62" w:name="_Toc513029216"/>
      <w:bookmarkStart w:id="63" w:name="_Toc49090508"/>
      <w:bookmarkStart w:id="64" w:name="_Toc49090509"/>
      <w:bookmarkStart w:id="65" w:name="_Toc49090507"/>
      <w:bookmarkStart w:id="66" w:name="_Toc14577354"/>
      <w:r>
        <w:rPr>
          <w:rFonts w:hint="eastAsia"/>
          <w:b/>
          <w:bCs/>
        </w:rPr>
        <w:t>11、证明磋商响应标的符合磋商文件规定的文件</w:t>
      </w:r>
      <w:bookmarkEnd w:id="62"/>
      <w:bookmarkEnd w:id="63"/>
      <w:bookmarkEnd w:id="64"/>
      <w:bookmarkEnd w:id="65"/>
      <w:bookmarkEnd w:id="66"/>
    </w:p>
    <w:p w14:paraId="52E77603">
      <w:pPr>
        <w:pStyle w:val="38"/>
        <w:spacing w:beforeAutospacing="0" w:afterAutospacing="0" w:line="460" w:lineRule="exact"/>
        <w:ind w:firstLine="420"/>
        <w:jc w:val="both"/>
        <w:rPr>
          <w:rFonts w:hint="eastAsia"/>
        </w:rPr>
      </w:pPr>
      <w:r>
        <w:rPr>
          <w:rFonts w:hint="eastAsia"/>
        </w:rPr>
        <w:t>11.1供应商应按照磋商文件要求提交证明文件，证明其及磋商响应标的符合磋商文件规定。</w:t>
      </w:r>
    </w:p>
    <w:p w14:paraId="14A72982">
      <w:pPr>
        <w:pStyle w:val="38"/>
        <w:spacing w:beforeAutospacing="0" w:afterAutospacing="0" w:line="460" w:lineRule="exact"/>
        <w:ind w:firstLine="420"/>
        <w:jc w:val="both"/>
        <w:rPr>
          <w:rFonts w:hint="eastAsia"/>
        </w:rPr>
      </w:pPr>
      <w:r>
        <w:rPr>
          <w:rFonts w:hint="eastAsia"/>
        </w:rPr>
        <w:t>11.2磋商文件对证明文件无明确形式要求的，证明文件可以以文字资料、图纸和数据等形式提交。</w:t>
      </w:r>
    </w:p>
    <w:p w14:paraId="6BF02096">
      <w:pPr>
        <w:pStyle w:val="38"/>
        <w:spacing w:beforeAutospacing="0" w:afterAutospacing="0" w:line="460" w:lineRule="exact"/>
        <w:ind w:firstLine="422"/>
        <w:jc w:val="both"/>
        <w:rPr>
          <w:rFonts w:hint="eastAsia"/>
          <w:b/>
          <w:bCs/>
        </w:rPr>
      </w:pPr>
      <w:r>
        <w:rPr>
          <w:rFonts w:hint="eastAsia"/>
          <w:b/>
          <w:bCs/>
        </w:rPr>
        <w:t>12、分项报价表</w:t>
      </w:r>
    </w:p>
    <w:p w14:paraId="761F1BD1">
      <w:pPr>
        <w:pStyle w:val="38"/>
        <w:spacing w:beforeAutospacing="0" w:afterAutospacing="0" w:line="460" w:lineRule="exact"/>
        <w:ind w:firstLine="420"/>
        <w:jc w:val="both"/>
        <w:rPr>
          <w:rFonts w:hint="eastAsia"/>
        </w:rPr>
      </w:pPr>
      <w:r>
        <w:rPr>
          <w:rFonts w:hint="eastAsia"/>
        </w:rPr>
        <w:t>12.1供应商应按照磋商文件规定格式填报分项报价表。</w:t>
      </w:r>
    </w:p>
    <w:p w14:paraId="227B0E8C">
      <w:pPr>
        <w:pStyle w:val="38"/>
        <w:spacing w:beforeAutospacing="0" w:afterAutospacing="0" w:line="460" w:lineRule="exact"/>
        <w:ind w:firstLine="420"/>
        <w:jc w:val="both"/>
        <w:rPr>
          <w:rFonts w:hint="eastAsia"/>
        </w:rPr>
      </w:pPr>
      <w:r>
        <w:rPr>
          <w:rFonts w:hint="eastAsia"/>
        </w:rPr>
        <w:t>12.2磋商货币。响应文件中的单价和总价无特殊规定的采用人民币报价，以元为单位标注。磋商文件中另有规定的按规定执行。</w:t>
      </w:r>
    </w:p>
    <w:p w14:paraId="65E9E0CE">
      <w:pPr>
        <w:pStyle w:val="38"/>
        <w:spacing w:beforeAutospacing="0" w:afterAutospacing="0" w:line="460" w:lineRule="exact"/>
        <w:ind w:firstLine="422"/>
        <w:jc w:val="both"/>
        <w:rPr>
          <w:rFonts w:hint="eastAsia"/>
          <w:b/>
          <w:bCs/>
        </w:rPr>
      </w:pPr>
      <w:r>
        <w:rPr>
          <w:rFonts w:hint="eastAsia"/>
          <w:b/>
          <w:bCs/>
        </w:rPr>
        <w:t>13、技术要求响应及偏离表、商务要求响应及偏离表</w:t>
      </w:r>
    </w:p>
    <w:p w14:paraId="586237C5">
      <w:pPr>
        <w:pStyle w:val="38"/>
        <w:spacing w:beforeAutospacing="0" w:afterAutospacing="0" w:line="460" w:lineRule="exact"/>
        <w:ind w:firstLine="420"/>
        <w:jc w:val="both"/>
        <w:rPr>
          <w:rFonts w:hint="eastAsia"/>
        </w:rPr>
      </w:pPr>
      <w:r>
        <w:rPr>
          <w:rFonts w:hint="eastAsia"/>
        </w:rPr>
        <w:t>13.1供应商需对磋商文件中的技术要求与商务要求逐项作出响应或偏离，并说明原因。</w:t>
      </w:r>
    </w:p>
    <w:p w14:paraId="4B0260D9">
      <w:pPr>
        <w:pStyle w:val="38"/>
        <w:spacing w:beforeAutospacing="0" w:afterAutospacing="0" w:line="460" w:lineRule="exact"/>
        <w:ind w:firstLine="420"/>
        <w:jc w:val="both"/>
        <w:rPr>
          <w:rFonts w:hint="eastAsia"/>
        </w:rPr>
      </w:pPr>
      <w:r>
        <w:rPr>
          <w:rFonts w:hint="eastAsia"/>
        </w:rPr>
        <w:t>13.2供应商可在响应文件中提供认为需要的其他技术文件或说明。</w:t>
      </w:r>
    </w:p>
    <w:p w14:paraId="354A4E55">
      <w:pPr>
        <w:pStyle w:val="38"/>
        <w:spacing w:beforeAutospacing="0" w:afterAutospacing="0" w:line="460" w:lineRule="exact"/>
        <w:ind w:firstLine="422"/>
        <w:jc w:val="both"/>
        <w:rPr>
          <w:rFonts w:hint="eastAsia"/>
          <w:b/>
          <w:bCs/>
        </w:rPr>
      </w:pPr>
      <w:bookmarkStart w:id="67" w:name="_Toc49090510"/>
      <w:r>
        <w:rPr>
          <w:rFonts w:hint="eastAsia"/>
          <w:b/>
          <w:bCs/>
        </w:rPr>
        <w:t>14、磋商响应函</w:t>
      </w:r>
      <w:bookmarkEnd w:id="67"/>
    </w:p>
    <w:p w14:paraId="7EABE320">
      <w:pPr>
        <w:pStyle w:val="38"/>
        <w:spacing w:beforeAutospacing="0" w:afterAutospacing="0" w:line="460" w:lineRule="exact"/>
        <w:ind w:firstLine="420"/>
        <w:jc w:val="both"/>
        <w:rPr>
          <w:rFonts w:hint="eastAsia"/>
        </w:rPr>
      </w:pPr>
      <w:r>
        <w:rPr>
          <w:rFonts w:hint="eastAsia"/>
        </w:rPr>
        <w:t>14.1供应商应按照磋商文件中提供的格式完整、正确填写磋商响应函。</w:t>
      </w:r>
    </w:p>
    <w:p w14:paraId="23353112">
      <w:pPr>
        <w:pStyle w:val="38"/>
        <w:spacing w:beforeAutospacing="0" w:afterAutospacing="0" w:line="460" w:lineRule="exact"/>
        <w:ind w:firstLine="422"/>
        <w:jc w:val="both"/>
        <w:rPr>
          <w:rFonts w:hint="eastAsia"/>
          <w:b/>
          <w:bCs/>
        </w:rPr>
      </w:pPr>
      <w:bookmarkStart w:id="68" w:name="_Toc49090511"/>
      <w:bookmarkStart w:id="69" w:name="_Toc14577360"/>
      <w:r>
        <w:rPr>
          <w:rFonts w:hint="eastAsia"/>
          <w:b/>
          <w:bCs/>
        </w:rPr>
        <w:t>15、磋商有效期</w:t>
      </w:r>
      <w:bookmarkEnd w:id="68"/>
      <w:bookmarkEnd w:id="69"/>
    </w:p>
    <w:p w14:paraId="4AA84F7D">
      <w:pPr>
        <w:pStyle w:val="38"/>
        <w:spacing w:beforeAutospacing="0" w:afterAutospacing="0" w:line="460" w:lineRule="exact"/>
        <w:ind w:firstLine="420"/>
        <w:jc w:val="both"/>
        <w:rPr>
          <w:rFonts w:hint="eastAsia"/>
        </w:rPr>
      </w:pPr>
      <w:r>
        <w:rPr>
          <w:rFonts w:hint="eastAsia"/>
        </w:rPr>
        <w:t>15.1磋商有效期为采购代理机构规定的提交响应文件截止之日后六十（60）天。磋商有效期比规定短的将被视为非实质性响应磋商文件而予以拒绝。</w:t>
      </w:r>
    </w:p>
    <w:p w14:paraId="35FE40FB">
      <w:pPr>
        <w:pStyle w:val="38"/>
        <w:spacing w:beforeAutospacing="0" w:afterAutospacing="0" w:line="460" w:lineRule="exact"/>
        <w:ind w:firstLine="422"/>
        <w:jc w:val="both"/>
        <w:rPr>
          <w:rFonts w:hint="eastAsia"/>
          <w:b/>
          <w:bCs/>
        </w:rPr>
      </w:pPr>
      <w:r>
        <w:rPr>
          <w:rFonts w:hint="eastAsia"/>
          <w:b/>
          <w:bCs/>
        </w:rPr>
        <w:t>16、磋商有效期的延长</w:t>
      </w:r>
    </w:p>
    <w:p w14:paraId="760FBD77">
      <w:pPr>
        <w:pStyle w:val="38"/>
        <w:spacing w:beforeAutospacing="0" w:afterAutospacing="0" w:line="460" w:lineRule="exact"/>
        <w:ind w:firstLine="420"/>
        <w:jc w:val="both"/>
        <w:rPr>
          <w:rFonts w:hint="eastAsia"/>
        </w:rPr>
      </w:pPr>
      <w:r>
        <w:rPr>
          <w:rFonts w:hint="eastAsia"/>
        </w:rPr>
        <w:t>16.1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54E467BB">
      <w:pPr>
        <w:pStyle w:val="38"/>
        <w:spacing w:beforeAutospacing="0" w:afterAutospacing="0" w:line="460" w:lineRule="exact"/>
        <w:ind w:firstLine="422"/>
        <w:jc w:val="both"/>
        <w:rPr>
          <w:rFonts w:hint="eastAsia"/>
          <w:b/>
          <w:bCs/>
        </w:rPr>
      </w:pPr>
      <w:bookmarkStart w:id="70" w:name="_Toc16938540"/>
      <w:bookmarkStart w:id="71" w:name="_Toc20823296"/>
      <w:bookmarkStart w:id="72" w:name="_Toc120614217"/>
      <w:r>
        <w:rPr>
          <w:rFonts w:hint="eastAsia"/>
          <w:b/>
          <w:bCs/>
        </w:rPr>
        <w:t>四、响应文件的递交</w:t>
      </w:r>
      <w:bookmarkEnd w:id="70"/>
      <w:bookmarkEnd w:id="71"/>
      <w:bookmarkEnd w:id="72"/>
    </w:p>
    <w:p w14:paraId="596C412E">
      <w:pPr>
        <w:pStyle w:val="38"/>
        <w:spacing w:beforeAutospacing="0" w:afterAutospacing="0" w:line="460" w:lineRule="exact"/>
        <w:ind w:firstLine="422"/>
        <w:jc w:val="both"/>
        <w:rPr>
          <w:rFonts w:hint="eastAsia"/>
          <w:b/>
          <w:bCs/>
        </w:rPr>
      </w:pPr>
      <w:bookmarkStart w:id="73" w:name="_Toc20823297"/>
      <w:bookmarkStart w:id="74" w:name="_Toc16938541"/>
      <w:r>
        <w:rPr>
          <w:rFonts w:hint="eastAsia"/>
          <w:b/>
          <w:bCs/>
        </w:rPr>
        <w:t>17、磋商</w:t>
      </w:r>
      <w:bookmarkEnd w:id="73"/>
      <w:bookmarkEnd w:id="74"/>
      <w:r>
        <w:rPr>
          <w:rFonts w:hint="eastAsia"/>
          <w:b/>
          <w:bCs/>
        </w:rPr>
        <w:t>响应文件的递交</w:t>
      </w:r>
    </w:p>
    <w:p w14:paraId="290D7028">
      <w:pPr>
        <w:pStyle w:val="38"/>
        <w:spacing w:beforeAutospacing="0" w:afterAutospacing="0" w:line="460" w:lineRule="exact"/>
        <w:ind w:firstLine="420"/>
        <w:jc w:val="both"/>
        <w:rPr>
          <w:rFonts w:hint="eastAsia"/>
        </w:rPr>
      </w:pPr>
      <w:r>
        <w:rPr>
          <w:rFonts w:hint="eastAsia"/>
        </w:rPr>
        <w:t>17.1供应商应当在提交响应文件截止时间前将响应文件递交至本磋商文件规定的指定地点。</w:t>
      </w:r>
      <w:bookmarkStart w:id="75" w:name="_Toc16938542"/>
      <w:bookmarkEnd w:id="75"/>
      <w:bookmarkStart w:id="76" w:name="_Toc20823298"/>
      <w:bookmarkEnd w:id="76"/>
    </w:p>
    <w:p w14:paraId="70217F1D">
      <w:pPr>
        <w:pStyle w:val="38"/>
        <w:spacing w:beforeAutospacing="0" w:afterAutospacing="0" w:line="460" w:lineRule="exact"/>
        <w:ind w:firstLine="420"/>
        <w:jc w:val="both"/>
        <w:rPr>
          <w:rFonts w:hint="default" w:eastAsia="宋体"/>
          <w:lang w:val="en-US" w:eastAsia="zh-CN"/>
        </w:rPr>
      </w:pPr>
      <w:r>
        <w:rPr>
          <w:rFonts w:hint="eastAsia"/>
          <w:lang w:val="en-US" w:eastAsia="zh-CN"/>
        </w:rPr>
        <w:t>17.2磋商响应文件的份数：一正四副，电子响应文件（全套加盖公章的投标文件正本pdf扫描件一份，载体U盘）。</w:t>
      </w:r>
    </w:p>
    <w:p w14:paraId="03947E55">
      <w:pPr>
        <w:pStyle w:val="38"/>
        <w:spacing w:beforeAutospacing="0" w:afterAutospacing="0" w:line="460" w:lineRule="exact"/>
        <w:ind w:firstLine="422"/>
        <w:jc w:val="both"/>
        <w:rPr>
          <w:rFonts w:hint="eastAsia"/>
          <w:b/>
          <w:bCs/>
        </w:rPr>
      </w:pPr>
      <w:bookmarkStart w:id="77" w:name="_Toc16938543"/>
      <w:bookmarkStart w:id="78" w:name="_Toc20823299"/>
      <w:r>
        <w:rPr>
          <w:rFonts w:hint="eastAsia"/>
          <w:b/>
          <w:bCs/>
        </w:rPr>
        <w:t>18、响应文件</w:t>
      </w:r>
      <w:bookmarkEnd w:id="77"/>
      <w:bookmarkEnd w:id="78"/>
      <w:r>
        <w:rPr>
          <w:rFonts w:hint="eastAsia"/>
          <w:b/>
          <w:bCs/>
        </w:rPr>
        <w:t>的拒收</w:t>
      </w:r>
    </w:p>
    <w:p w14:paraId="72BF4783">
      <w:pPr>
        <w:pStyle w:val="38"/>
        <w:spacing w:beforeAutospacing="0" w:afterAutospacing="0" w:line="460" w:lineRule="exact"/>
        <w:ind w:firstLine="420"/>
        <w:jc w:val="both"/>
        <w:rPr>
          <w:rFonts w:hint="eastAsia"/>
        </w:rPr>
      </w:pPr>
      <w:r>
        <w:rPr>
          <w:rFonts w:hint="eastAsia"/>
        </w:rPr>
        <w:t>18.1 采购代理机构拒绝接收在其规定的提交响应文件截止时间后递交的响应文件。</w:t>
      </w:r>
    </w:p>
    <w:p w14:paraId="2F27551E">
      <w:pPr>
        <w:pStyle w:val="38"/>
        <w:spacing w:beforeAutospacing="0" w:afterAutospacing="0" w:line="460" w:lineRule="exact"/>
        <w:ind w:firstLine="422"/>
        <w:jc w:val="both"/>
        <w:rPr>
          <w:rFonts w:hint="eastAsia"/>
          <w:b/>
          <w:bCs/>
        </w:rPr>
      </w:pPr>
      <w:bookmarkStart w:id="79" w:name="_Toc20823300"/>
      <w:bookmarkStart w:id="80" w:name="_Toc16938544"/>
      <w:r>
        <w:rPr>
          <w:rFonts w:hint="eastAsia"/>
          <w:b/>
          <w:bCs/>
        </w:rPr>
        <w:t>19、响应文件的撤回和修改</w:t>
      </w:r>
      <w:bookmarkEnd w:id="79"/>
      <w:bookmarkEnd w:id="80"/>
    </w:p>
    <w:p w14:paraId="12F9225D">
      <w:pPr>
        <w:pStyle w:val="38"/>
        <w:spacing w:beforeAutospacing="0" w:afterAutospacing="0" w:line="460" w:lineRule="exact"/>
        <w:ind w:firstLine="420"/>
        <w:jc w:val="both"/>
        <w:rPr>
          <w:rFonts w:hint="eastAsia"/>
        </w:rPr>
      </w:pPr>
      <w:r>
        <w:rPr>
          <w:rFonts w:hint="eastAsia"/>
        </w:rPr>
        <w:t>19.1响应文件的撤回</w:t>
      </w:r>
    </w:p>
    <w:p w14:paraId="7AA801AE">
      <w:pPr>
        <w:pStyle w:val="38"/>
        <w:spacing w:beforeAutospacing="0" w:afterAutospacing="0" w:line="460" w:lineRule="exact"/>
        <w:ind w:firstLine="420"/>
        <w:jc w:val="both"/>
        <w:rPr>
          <w:rFonts w:hint="eastAsia"/>
        </w:rPr>
      </w:pPr>
      <w:r>
        <w:rPr>
          <w:rFonts w:hint="eastAsia"/>
        </w:rPr>
        <w:t>19.1.1 响应文件的撤回</w:t>
      </w:r>
    </w:p>
    <w:p w14:paraId="1A555D62">
      <w:pPr>
        <w:pStyle w:val="38"/>
        <w:spacing w:beforeAutospacing="0" w:afterAutospacing="0" w:line="460" w:lineRule="exact"/>
        <w:ind w:firstLine="420"/>
        <w:jc w:val="both"/>
        <w:rPr>
          <w:rFonts w:hint="eastAsia"/>
        </w:rPr>
      </w:pPr>
      <w:r>
        <w:rPr>
          <w:rFonts w:hint="eastAsia"/>
        </w:rPr>
        <w:t>供应商可在提交响应文件截止时间前，撤回其响应文件。</w:t>
      </w:r>
    </w:p>
    <w:p w14:paraId="57EC451A">
      <w:pPr>
        <w:pStyle w:val="38"/>
        <w:spacing w:beforeAutospacing="0" w:afterAutospacing="0" w:line="460" w:lineRule="exact"/>
        <w:ind w:firstLine="420"/>
        <w:jc w:val="both"/>
        <w:rPr>
          <w:rFonts w:hint="eastAsia"/>
        </w:rPr>
      </w:pPr>
      <w:r>
        <w:rPr>
          <w:rFonts w:hint="eastAsia"/>
        </w:rPr>
        <w:t>19.1.2供应商撤回响应文件，则认为其不再参与本项目磋商活动。</w:t>
      </w:r>
    </w:p>
    <w:p w14:paraId="1E23E1BF">
      <w:pPr>
        <w:pStyle w:val="38"/>
        <w:spacing w:beforeAutospacing="0" w:afterAutospacing="0" w:line="460" w:lineRule="exact"/>
        <w:ind w:firstLine="420"/>
        <w:jc w:val="both"/>
        <w:rPr>
          <w:rFonts w:hint="eastAsia"/>
        </w:rPr>
      </w:pPr>
      <w:r>
        <w:rPr>
          <w:rFonts w:hint="eastAsia"/>
        </w:rPr>
        <w:t>19.2响应文件的修改</w:t>
      </w:r>
    </w:p>
    <w:p w14:paraId="6198140F">
      <w:pPr>
        <w:pStyle w:val="38"/>
        <w:spacing w:beforeAutospacing="0" w:afterAutospacing="0" w:line="460" w:lineRule="exact"/>
        <w:ind w:firstLine="420"/>
        <w:jc w:val="both"/>
        <w:rPr>
          <w:rFonts w:hint="eastAsia"/>
        </w:rPr>
      </w:pPr>
      <w:r>
        <w:rPr>
          <w:rFonts w:hint="eastAsia"/>
        </w:rPr>
        <w:t>供应商可在提交响应文件截止时间前，对其响应文件进行修改。</w:t>
      </w:r>
    </w:p>
    <w:p w14:paraId="22465BB8">
      <w:pPr>
        <w:pStyle w:val="38"/>
        <w:spacing w:beforeAutospacing="0" w:afterAutospacing="0" w:line="460" w:lineRule="exact"/>
        <w:ind w:firstLine="420"/>
        <w:jc w:val="both"/>
        <w:rPr>
          <w:rFonts w:hint="eastAsia"/>
        </w:rPr>
      </w:pPr>
      <w:r>
        <w:rPr>
          <w:rFonts w:hint="eastAsia"/>
        </w:rPr>
        <w:t>19.3 在提交响应文件截止时间之后，供应商不得对其响应文件作任何修改。</w:t>
      </w:r>
    </w:p>
    <w:p w14:paraId="00395446">
      <w:pPr>
        <w:pStyle w:val="38"/>
        <w:spacing w:beforeAutospacing="0" w:afterAutospacing="0" w:line="460" w:lineRule="exact"/>
        <w:ind w:firstLine="420"/>
        <w:jc w:val="both"/>
        <w:rPr>
          <w:rFonts w:hint="eastAsia"/>
        </w:rPr>
      </w:pPr>
      <w:r>
        <w:rPr>
          <w:rFonts w:hint="eastAsia"/>
        </w:rPr>
        <w:t>19.4 在提交响应文件截止时间至磋商文件中规定的磋商有效期满之间的这段时间内，供应商不得撤回其响应文件。</w:t>
      </w:r>
    </w:p>
    <w:p w14:paraId="3262BE46">
      <w:pPr>
        <w:pStyle w:val="38"/>
        <w:spacing w:beforeAutospacing="0" w:afterAutospacing="0" w:line="460" w:lineRule="exact"/>
        <w:ind w:firstLine="422"/>
        <w:jc w:val="both"/>
        <w:rPr>
          <w:rFonts w:hint="eastAsia"/>
          <w:b/>
          <w:bCs/>
        </w:rPr>
      </w:pPr>
      <w:bookmarkStart w:id="81" w:name="_Toc120614218"/>
      <w:bookmarkStart w:id="82" w:name="_Toc513029229"/>
      <w:bookmarkStart w:id="83" w:name="_Toc20823301"/>
      <w:bookmarkStart w:id="84" w:name="_Toc16938545"/>
      <w:r>
        <w:rPr>
          <w:rFonts w:hint="eastAsia"/>
          <w:b/>
          <w:bCs/>
        </w:rPr>
        <w:t>五、响应文件评审</w:t>
      </w:r>
      <w:bookmarkEnd w:id="81"/>
      <w:bookmarkEnd w:id="82"/>
      <w:bookmarkEnd w:id="83"/>
      <w:bookmarkEnd w:id="84"/>
    </w:p>
    <w:p w14:paraId="112A49CB">
      <w:pPr>
        <w:pStyle w:val="38"/>
        <w:spacing w:beforeAutospacing="0" w:afterAutospacing="0" w:line="460" w:lineRule="exact"/>
        <w:ind w:firstLine="422"/>
        <w:jc w:val="both"/>
        <w:rPr>
          <w:rFonts w:hint="eastAsia"/>
          <w:b/>
          <w:bCs/>
        </w:rPr>
      </w:pPr>
      <w:r>
        <w:rPr>
          <w:rFonts w:hint="eastAsia"/>
          <w:b/>
          <w:bCs/>
        </w:rPr>
        <w:t>20、磋商小组</w:t>
      </w:r>
    </w:p>
    <w:p w14:paraId="1E5DA1C0">
      <w:pPr>
        <w:pStyle w:val="38"/>
        <w:spacing w:beforeAutospacing="0" w:afterAutospacing="0" w:line="460" w:lineRule="exact"/>
        <w:ind w:firstLine="420"/>
        <w:jc w:val="both"/>
        <w:rPr>
          <w:rFonts w:hint="eastAsia"/>
        </w:rPr>
      </w:pPr>
      <w:r>
        <w:rPr>
          <w:rFonts w:hint="eastAsia"/>
        </w:rPr>
        <w:t>20.1采购代理机构将组织磋商小组对响应文件进行评审。磋商小组由采购人代表和有关技术、经济等方面的3人及以上单数专家组成，且人员构成符合政府采购有关规定。</w:t>
      </w:r>
    </w:p>
    <w:p w14:paraId="091314A6">
      <w:pPr>
        <w:pStyle w:val="38"/>
        <w:spacing w:beforeAutospacing="0" w:afterAutospacing="0" w:line="460" w:lineRule="exact"/>
        <w:ind w:firstLine="420"/>
        <w:jc w:val="both"/>
        <w:rPr>
          <w:rFonts w:hint="eastAsia"/>
        </w:rPr>
      </w:pPr>
      <w:r>
        <w:rPr>
          <w:rFonts w:hint="eastAsia"/>
        </w:rPr>
        <w:t>20.2磋商小组独立工作，负责评审所有响应文件并确定成交候选人。</w:t>
      </w:r>
    </w:p>
    <w:p w14:paraId="3C0BEC3D">
      <w:pPr>
        <w:pStyle w:val="38"/>
        <w:spacing w:beforeAutospacing="0" w:afterAutospacing="0" w:line="460" w:lineRule="exact"/>
        <w:ind w:firstLine="422"/>
        <w:jc w:val="both"/>
        <w:rPr>
          <w:rFonts w:hint="eastAsia"/>
          <w:b/>
          <w:bCs/>
        </w:rPr>
      </w:pPr>
      <w:r>
        <w:rPr>
          <w:rFonts w:hint="eastAsia"/>
          <w:b/>
          <w:bCs/>
        </w:rPr>
        <w:t>21、评审过程的保密与公正</w:t>
      </w:r>
    </w:p>
    <w:p w14:paraId="3072A206">
      <w:pPr>
        <w:pStyle w:val="38"/>
        <w:spacing w:beforeAutospacing="0" w:afterAutospacing="0" w:line="460" w:lineRule="exact"/>
        <w:ind w:firstLine="420"/>
        <w:jc w:val="both"/>
        <w:rPr>
          <w:rFonts w:hint="eastAsia"/>
        </w:rPr>
      </w:pPr>
      <w:r>
        <w:rPr>
          <w:rFonts w:hint="eastAsia"/>
        </w:rPr>
        <w:t>21.1磋商小组、采购人和采购代理机构工作人员、相关监督人员等与评审工作有关的人员，对评审情况以及在评审过程中获悉的国家秘密、商业秘密负有保密责任。</w:t>
      </w:r>
    </w:p>
    <w:p w14:paraId="38BE8D0F">
      <w:pPr>
        <w:pStyle w:val="38"/>
        <w:spacing w:beforeAutospacing="0" w:afterAutospacing="0" w:line="460" w:lineRule="exact"/>
        <w:ind w:firstLine="420"/>
        <w:jc w:val="both"/>
        <w:rPr>
          <w:rFonts w:hint="eastAsia"/>
        </w:rPr>
      </w:pPr>
      <w:r>
        <w:rPr>
          <w:rFonts w:hint="eastAsia"/>
        </w:rPr>
        <w:t>21.2在评审过程中，供应商不得以任何行为影响磋商评审过程，否则其响应文件将被作为无效响应文件。</w:t>
      </w:r>
    </w:p>
    <w:p w14:paraId="013639DE">
      <w:pPr>
        <w:pStyle w:val="38"/>
        <w:spacing w:beforeAutospacing="0" w:afterAutospacing="0" w:line="460" w:lineRule="exact"/>
        <w:ind w:firstLine="420"/>
        <w:jc w:val="both"/>
        <w:rPr>
          <w:rFonts w:hint="eastAsia"/>
        </w:rPr>
      </w:pPr>
      <w:r>
        <w:rPr>
          <w:rFonts w:hint="eastAsia"/>
        </w:rPr>
        <w:t>21.3在项目评审期间，采购代理机构将设专门人员与供应商联系。</w:t>
      </w:r>
    </w:p>
    <w:p w14:paraId="18569CB8">
      <w:pPr>
        <w:pStyle w:val="38"/>
        <w:spacing w:beforeAutospacing="0" w:afterAutospacing="0" w:line="460" w:lineRule="exact"/>
        <w:ind w:firstLine="420"/>
        <w:jc w:val="both"/>
        <w:rPr>
          <w:rFonts w:hint="eastAsia"/>
        </w:rPr>
      </w:pPr>
      <w:r>
        <w:rPr>
          <w:rFonts w:hint="eastAsia"/>
        </w:rPr>
        <w:t>21.4 采购代理机构和磋商小组不向未成交的供应商解释未成交原因，也不公布评审过程中的相关细节。</w:t>
      </w:r>
    </w:p>
    <w:p w14:paraId="4DC6F29F">
      <w:pPr>
        <w:pStyle w:val="38"/>
        <w:spacing w:beforeAutospacing="0" w:afterAutospacing="0" w:line="460" w:lineRule="exact"/>
        <w:ind w:firstLine="422"/>
        <w:jc w:val="both"/>
        <w:rPr>
          <w:rFonts w:hint="eastAsia"/>
          <w:b/>
          <w:bCs/>
        </w:rPr>
      </w:pPr>
      <w:r>
        <w:rPr>
          <w:rFonts w:hint="eastAsia"/>
          <w:b/>
          <w:bCs/>
        </w:rPr>
        <w:t>22、评审过程中的澄清</w:t>
      </w:r>
    </w:p>
    <w:p w14:paraId="64569071">
      <w:pPr>
        <w:pStyle w:val="38"/>
        <w:spacing w:beforeAutospacing="0" w:afterAutospacing="0" w:line="460" w:lineRule="exact"/>
        <w:ind w:firstLine="420"/>
        <w:jc w:val="both"/>
        <w:rPr>
          <w:rFonts w:hint="eastAsia"/>
        </w:rPr>
      </w:pPr>
      <w:r>
        <w:rPr>
          <w:rFonts w:hint="eastAsia"/>
        </w:rPr>
        <w:t>22.1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7F03CEE">
      <w:pPr>
        <w:pStyle w:val="38"/>
        <w:spacing w:beforeAutospacing="0" w:afterAutospacing="0" w:line="460" w:lineRule="exact"/>
        <w:ind w:firstLine="420"/>
        <w:jc w:val="both"/>
        <w:rPr>
          <w:rFonts w:hint="eastAsia"/>
        </w:rPr>
      </w:pPr>
      <w:r>
        <w:rPr>
          <w:rFonts w:hint="eastAsia"/>
        </w:rPr>
        <w:t>磋商小组并非对每个供应商都作澄清要求。</w:t>
      </w:r>
    </w:p>
    <w:p w14:paraId="065E564C">
      <w:pPr>
        <w:pStyle w:val="38"/>
        <w:spacing w:beforeAutospacing="0" w:afterAutospacing="0" w:line="460" w:lineRule="exact"/>
        <w:ind w:firstLine="422"/>
        <w:jc w:val="both"/>
        <w:rPr>
          <w:rFonts w:hint="eastAsia"/>
          <w:b/>
          <w:bCs/>
        </w:rPr>
      </w:pPr>
      <w:r>
        <w:rPr>
          <w:rFonts w:hint="eastAsia"/>
          <w:b/>
          <w:bCs/>
        </w:rPr>
        <w:t>23、对响应文件的审查</w:t>
      </w:r>
    </w:p>
    <w:p w14:paraId="6C21614C">
      <w:pPr>
        <w:pStyle w:val="38"/>
        <w:spacing w:beforeAutospacing="0" w:afterAutospacing="0" w:line="460" w:lineRule="exact"/>
        <w:ind w:firstLine="420"/>
        <w:jc w:val="both"/>
        <w:rPr>
          <w:rFonts w:hint="eastAsia"/>
        </w:rPr>
      </w:pPr>
      <w:r>
        <w:rPr>
          <w:rFonts w:hint="eastAsia"/>
        </w:rPr>
        <w:t>23.1响应文件审查分为资格审查和符合性审查。</w:t>
      </w:r>
    </w:p>
    <w:p w14:paraId="579E8995">
      <w:pPr>
        <w:pStyle w:val="38"/>
        <w:spacing w:beforeAutospacing="0" w:afterAutospacing="0" w:line="460" w:lineRule="exact"/>
        <w:ind w:firstLine="420"/>
        <w:jc w:val="both"/>
        <w:rPr>
          <w:rFonts w:hint="eastAsia"/>
        </w:rPr>
      </w:pPr>
      <w:r>
        <w:rPr>
          <w:rFonts w:hint="eastAsia"/>
        </w:rPr>
        <w:t>23.1.1 资格审查：由磋商小组依据法律法规和磋商文件的规定，对响应文件中的资格证明文件进行审查，以确定供应商是否具备参加磋商的资格。</w:t>
      </w:r>
    </w:p>
    <w:p w14:paraId="78110566">
      <w:pPr>
        <w:pStyle w:val="38"/>
        <w:spacing w:beforeAutospacing="0" w:afterAutospacing="0" w:line="460" w:lineRule="exact"/>
        <w:ind w:firstLine="420"/>
        <w:jc w:val="both"/>
        <w:rPr>
          <w:rFonts w:hint="eastAsia"/>
          <w:b/>
          <w:bCs/>
        </w:rPr>
      </w:pPr>
      <w:r>
        <w:rPr>
          <w:rFonts w:hint="eastAsia"/>
          <w:b/>
          <w:bCs/>
        </w:rPr>
        <w:t>磋商小组在进行资格审查的同时，将在“信用中国”网站（www.creditchina.gov.cn）查询供应商的信用记录，以确定供应商是否具备磋商资格,查询结果留存并归档。</w:t>
      </w:r>
    </w:p>
    <w:p w14:paraId="35362AB2">
      <w:pPr>
        <w:pStyle w:val="38"/>
        <w:spacing w:beforeAutospacing="0" w:afterAutospacing="0" w:line="460" w:lineRule="exact"/>
        <w:ind w:firstLine="420"/>
        <w:jc w:val="both"/>
        <w:rPr>
          <w:rFonts w:hint="eastAsia"/>
        </w:rPr>
      </w:pPr>
      <w:r>
        <w:rPr>
          <w:rFonts w:hint="eastAsia"/>
        </w:rPr>
        <w:t>23.1.2 符合性审查：依据磋商文件的规定，由磋商小组从响应文件的有效性、完整性和对磋商文件的响应程度进行审查，以确定是否对磋商文件的实质性要求作出响应。</w:t>
      </w:r>
    </w:p>
    <w:p w14:paraId="7A10CC52">
      <w:pPr>
        <w:pStyle w:val="38"/>
        <w:spacing w:beforeAutospacing="0" w:afterAutospacing="0" w:line="460" w:lineRule="exact"/>
        <w:ind w:firstLine="420"/>
        <w:jc w:val="both"/>
        <w:rPr>
          <w:rFonts w:hint="eastAsia"/>
        </w:rPr>
      </w:pPr>
      <w:r>
        <w:rPr>
          <w:rFonts w:hint="eastAsia"/>
        </w:rPr>
        <w:t>23.1.3 未通过资格审查或符合性审查的供应商，磋商小组将告知未通过资格审查或符合性审查的原因，评审结束后，磋商小组将不再告知未通过资格审查或符合性审查的原因。</w:t>
      </w:r>
    </w:p>
    <w:p w14:paraId="717B67F0">
      <w:pPr>
        <w:pStyle w:val="38"/>
        <w:spacing w:beforeAutospacing="0" w:afterAutospacing="0" w:line="460" w:lineRule="exact"/>
        <w:ind w:firstLine="420"/>
        <w:jc w:val="both"/>
        <w:rPr>
          <w:rFonts w:hint="eastAsia"/>
        </w:rPr>
      </w:pPr>
      <w:r>
        <w:rPr>
          <w:rFonts w:hint="eastAsia"/>
        </w:rPr>
        <w:t>23.2在详细评审之前，磋商小组将首先审查每份响应文件是否实质性响应了磋商文件的要求。实质性响应的响应文件应该是与磋商文件要求的条款、条件和规格相符，没有重大偏离或保留。</w:t>
      </w:r>
    </w:p>
    <w:p w14:paraId="264F4FA9">
      <w:pPr>
        <w:pStyle w:val="38"/>
        <w:spacing w:beforeAutospacing="0" w:afterAutospacing="0" w:line="460" w:lineRule="exact"/>
        <w:ind w:firstLine="420"/>
        <w:jc w:val="both"/>
        <w:rPr>
          <w:rFonts w:hint="eastAsia"/>
        </w:rPr>
      </w:pPr>
      <w:r>
        <w:rPr>
          <w:rFonts w:hint="eastAsia"/>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BAFC868">
      <w:pPr>
        <w:pStyle w:val="38"/>
        <w:spacing w:beforeAutospacing="0" w:afterAutospacing="0" w:line="460" w:lineRule="exact"/>
        <w:ind w:firstLine="420"/>
        <w:jc w:val="both"/>
        <w:rPr>
          <w:rFonts w:hint="eastAsia"/>
        </w:rPr>
      </w:pPr>
      <w:r>
        <w:rPr>
          <w:rFonts w:hint="eastAsia"/>
        </w:rPr>
        <w:t>23.3未实质性响应磋商文件的情形</w:t>
      </w:r>
    </w:p>
    <w:p w14:paraId="31A81898">
      <w:pPr>
        <w:pStyle w:val="38"/>
        <w:spacing w:beforeAutospacing="0" w:afterAutospacing="0" w:line="460" w:lineRule="exact"/>
        <w:ind w:firstLine="420"/>
        <w:jc w:val="both"/>
        <w:rPr>
          <w:rFonts w:hint="eastAsia"/>
        </w:rPr>
      </w:pPr>
      <w:r>
        <w:rPr>
          <w:rFonts w:hint="eastAsia"/>
        </w:rPr>
        <w:t>23.3.1供应商未按照磋商文件要求编制响应文件的。</w:t>
      </w:r>
    </w:p>
    <w:p w14:paraId="18C45EC1">
      <w:pPr>
        <w:pStyle w:val="38"/>
        <w:spacing w:beforeAutospacing="0" w:afterAutospacing="0" w:line="460" w:lineRule="exact"/>
        <w:ind w:firstLine="420"/>
        <w:jc w:val="both"/>
        <w:rPr>
          <w:rFonts w:hint="eastAsia"/>
        </w:rPr>
      </w:pPr>
      <w:r>
        <w:rPr>
          <w:rFonts w:hint="eastAsia"/>
        </w:rPr>
        <w:t>23.3.2同一供应商提交两个（含两个）以上不同的响应文件或者最后报价的。</w:t>
      </w:r>
    </w:p>
    <w:p w14:paraId="4073DC4B">
      <w:pPr>
        <w:pStyle w:val="38"/>
        <w:spacing w:beforeAutospacing="0" w:afterAutospacing="0" w:line="460" w:lineRule="exact"/>
        <w:ind w:firstLine="420"/>
        <w:jc w:val="both"/>
        <w:rPr>
          <w:rFonts w:hint="eastAsia"/>
        </w:rPr>
      </w:pPr>
      <w:r>
        <w:rPr>
          <w:rFonts w:hint="eastAsia"/>
        </w:rPr>
        <w:t>23.3.3供应商不具备磋商文件中规定资格要求的。</w:t>
      </w:r>
    </w:p>
    <w:p w14:paraId="37D6FC58">
      <w:pPr>
        <w:pStyle w:val="38"/>
        <w:spacing w:beforeAutospacing="0" w:afterAutospacing="0" w:line="460" w:lineRule="exact"/>
        <w:ind w:firstLine="420"/>
        <w:jc w:val="both"/>
        <w:rPr>
          <w:rFonts w:hint="eastAsia"/>
        </w:rPr>
      </w:pPr>
      <w:r>
        <w:rPr>
          <w:rFonts w:hint="eastAsia"/>
        </w:rPr>
        <w:t>23.3.4供应商的最后报价超过了采购预算或</w:t>
      </w:r>
      <w:r>
        <w:rPr>
          <w:rFonts w:hint="eastAsia"/>
          <w:color w:val="auto"/>
          <w:u w:val="none"/>
        </w:rPr>
        <w:t>最高响应报价</w:t>
      </w:r>
      <w:r>
        <w:rPr>
          <w:rFonts w:hint="eastAsia"/>
        </w:rPr>
        <w:t>。</w:t>
      </w:r>
    </w:p>
    <w:p w14:paraId="4D9B804E">
      <w:pPr>
        <w:pStyle w:val="38"/>
        <w:spacing w:beforeAutospacing="0" w:afterAutospacing="0" w:line="460" w:lineRule="exact"/>
        <w:ind w:firstLine="420"/>
        <w:jc w:val="both"/>
        <w:rPr>
          <w:rFonts w:hint="eastAsia"/>
        </w:rPr>
      </w:pPr>
      <w:r>
        <w:rPr>
          <w:rFonts w:hint="eastAsia"/>
        </w:rPr>
        <w:t>23.3.5不符合磋商文件中规定的实质性要求和条件的。</w:t>
      </w:r>
    </w:p>
    <w:p w14:paraId="6195FCFC">
      <w:pPr>
        <w:pStyle w:val="38"/>
        <w:spacing w:beforeAutospacing="0" w:afterAutospacing="0" w:line="460" w:lineRule="exact"/>
        <w:ind w:firstLine="420"/>
        <w:jc w:val="both"/>
        <w:rPr>
          <w:rFonts w:hint="eastAsia"/>
        </w:rPr>
      </w:pPr>
      <w:r>
        <w:rPr>
          <w:rFonts w:hint="eastAsia"/>
        </w:rPr>
        <w:t>23.3.6供应商被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21748C8">
      <w:pPr>
        <w:pStyle w:val="38"/>
        <w:spacing w:beforeAutospacing="0" w:afterAutospacing="0" w:line="460" w:lineRule="exact"/>
        <w:ind w:firstLine="420"/>
        <w:jc w:val="both"/>
        <w:rPr>
          <w:rFonts w:hint="eastAsia"/>
        </w:rPr>
      </w:pPr>
      <w:r>
        <w:rPr>
          <w:rFonts w:hint="eastAsia"/>
        </w:rPr>
        <w:t>23.3.7响应文件含有采购人不能接受的附加条件的。</w:t>
      </w:r>
    </w:p>
    <w:p w14:paraId="624FF673">
      <w:pPr>
        <w:pStyle w:val="38"/>
        <w:spacing w:beforeAutospacing="0" w:afterAutospacing="0" w:line="460" w:lineRule="exact"/>
        <w:ind w:firstLine="420"/>
        <w:jc w:val="both"/>
        <w:rPr>
          <w:rFonts w:hint="eastAsia"/>
        </w:rPr>
      </w:pPr>
      <w:r>
        <w:rPr>
          <w:rFonts w:hint="eastAsia"/>
        </w:rPr>
        <w:t>23.3.8响应文件未按照磋商文件要求加盖单位公章或签字。</w:t>
      </w:r>
    </w:p>
    <w:p w14:paraId="30AE72CB">
      <w:pPr>
        <w:pStyle w:val="38"/>
        <w:spacing w:beforeAutospacing="0" w:afterAutospacing="0" w:line="460" w:lineRule="exact"/>
        <w:ind w:firstLine="420"/>
        <w:jc w:val="both"/>
        <w:rPr>
          <w:rFonts w:hint="eastAsia"/>
        </w:rPr>
      </w:pPr>
      <w:r>
        <w:rPr>
          <w:rFonts w:hint="eastAsia"/>
        </w:rPr>
        <w:t>23.4未实质性响应磋商文件的响应文件按无效响应处理。</w:t>
      </w:r>
    </w:p>
    <w:p w14:paraId="2F76A77F">
      <w:pPr>
        <w:pStyle w:val="38"/>
        <w:spacing w:beforeAutospacing="0" w:afterAutospacing="0" w:line="460" w:lineRule="exact"/>
        <w:ind w:firstLine="420"/>
        <w:jc w:val="both"/>
        <w:rPr>
          <w:rFonts w:hint="eastAsia"/>
        </w:rPr>
      </w:pPr>
      <w:r>
        <w:rPr>
          <w:rFonts w:hint="eastAsia"/>
        </w:rPr>
        <w:t>23.5如果响应文件实质上没有响应磋商文件的要求，磋商小组将予以拒绝，供应商不得通过修改或撤销不合要求的偏离或保留而使其成为实质性响应的文件。</w:t>
      </w:r>
    </w:p>
    <w:p w14:paraId="76046D21">
      <w:pPr>
        <w:pStyle w:val="38"/>
        <w:spacing w:beforeAutospacing="0" w:afterAutospacing="0" w:line="460" w:lineRule="exact"/>
        <w:ind w:firstLine="420"/>
        <w:jc w:val="both"/>
        <w:rPr>
          <w:rFonts w:hint="eastAsia"/>
        </w:rPr>
      </w:pPr>
      <w:r>
        <w:rPr>
          <w:rFonts w:hint="eastAsia"/>
        </w:rPr>
        <w:t>23.6供应商在项目评审全过程中应保持通讯畅通，并安排专人与采购代理机构及磋商小组联系。</w:t>
      </w:r>
    </w:p>
    <w:p w14:paraId="22DB7B75">
      <w:pPr>
        <w:pStyle w:val="38"/>
        <w:spacing w:beforeAutospacing="0" w:afterAutospacing="0" w:line="460" w:lineRule="exact"/>
        <w:ind w:firstLine="422"/>
        <w:jc w:val="both"/>
        <w:rPr>
          <w:rFonts w:hint="eastAsia"/>
          <w:b/>
          <w:bCs/>
        </w:rPr>
      </w:pPr>
      <w:r>
        <w:rPr>
          <w:rFonts w:hint="eastAsia"/>
          <w:b/>
          <w:bCs/>
        </w:rPr>
        <w:t>24、磋商程序及评审方法和评审标准</w:t>
      </w:r>
    </w:p>
    <w:p w14:paraId="591C03B4">
      <w:pPr>
        <w:pStyle w:val="38"/>
        <w:spacing w:beforeAutospacing="0" w:afterAutospacing="0" w:line="460" w:lineRule="exact"/>
        <w:ind w:firstLine="420"/>
        <w:jc w:val="both"/>
        <w:rPr>
          <w:rFonts w:hint="eastAsia"/>
        </w:rPr>
      </w:pPr>
      <w:r>
        <w:rPr>
          <w:rFonts w:hint="eastAsia"/>
        </w:rPr>
        <w:t>24.1磋商程序</w:t>
      </w:r>
    </w:p>
    <w:p w14:paraId="22C7062E">
      <w:pPr>
        <w:pStyle w:val="38"/>
        <w:spacing w:beforeAutospacing="0" w:afterAutospacing="0" w:line="460" w:lineRule="exact"/>
        <w:ind w:firstLine="420"/>
        <w:jc w:val="both"/>
        <w:rPr>
          <w:rFonts w:hint="eastAsia"/>
        </w:rPr>
      </w:pPr>
      <w:r>
        <w:rPr>
          <w:rFonts w:hint="eastAsia"/>
        </w:rPr>
        <w:t>24.1.1对于通过资格审查和符合性审查的供应商，磋商小组将集中与单一供应商分别进行磋商。</w:t>
      </w:r>
    </w:p>
    <w:p w14:paraId="4844DADE">
      <w:pPr>
        <w:pStyle w:val="38"/>
        <w:spacing w:beforeAutospacing="0" w:afterAutospacing="0" w:line="460" w:lineRule="exact"/>
        <w:ind w:firstLine="420"/>
        <w:jc w:val="both"/>
        <w:rPr>
          <w:rFonts w:hint="eastAsia"/>
        </w:rPr>
      </w:pPr>
      <w:r>
        <w:rPr>
          <w:rFonts w:hint="eastAsia"/>
        </w:rPr>
        <w:t>在磋商过程中，磋商小组可能根据磋商文件和磋商情况实质性变动的内容有：采购需求中的技术、服务要求以及合同草案条款。对磋商文件作出的实质性变动是磋商文件的有效组成部分。</w:t>
      </w:r>
    </w:p>
    <w:p w14:paraId="505FBBAF">
      <w:pPr>
        <w:pStyle w:val="38"/>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rPr>
      </w:pPr>
      <w:r>
        <w:rPr>
          <w:rFonts w:hint="eastAsia"/>
        </w:rPr>
        <w:t>24.1.2磋商文件能够详细列明采购标的的技术、服务要求的，磋商结束后，磋商小组将向所有实质性响应的供应商发布“最后报价格式表”，要求所有实质性响应的供应商在规定时间内提交最后报价。</w:t>
      </w:r>
    </w:p>
    <w:p w14:paraId="0BDFC263">
      <w:pPr>
        <w:pStyle w:val="38"/>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rPr>
      </w:pPr>
      <w:r>
        <w:rPr>
          <w:rFonts w:hint="eastAsia"/>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2311281">
      <w:pPr>
        <w:pStyle w:val="38"/>
        <w:spacing w:beforeAutospacing="0" w:afterAutospacing="0" w:line="460" w:lineRule="exact"/>
        <w:ind w:firstLine="420"/>
        <w:jc w:val="both"/>
        <w:rPr>
          <w:rFonts w:hint="eastAsia"/>
        </w:rPr>
      </w:pPr>
      <w:r>
        <w:rPr>
          <w:rFonts w:hint="eastAsia"/>
        </w:rPr>
        <w:t>24.1.3供应商未在磋商小组规定的时间内提交最后报价的视为放弃磋商，其响应文件按无效响应处理。</w:t>
      </w:r>
    </w:p>
    <w:p w14:paraId="4F9F9DBA">
      <w:pPr>
        <w:pStyle w:val="38"/>
        <w:spacing w:beforeAutospacing="0" w:afterAutospacing="0" w:line="460" w:lineRule="exact"/>
        <w:ind w:firstLine="420"/>
        <w:jc w:val="both"/>
        <w:rPr>
          <w:rFonts w:hint="eastAsia"/>
        </w:rPr>
      </w:pPr>
      <w:r>
        <w:rPr>
          <w:rFonts w:hint="eastAsia"/>
        </w:rPr>
        <w:t>24.2 评审方法和评审标准</w:t>
      </w:r>
    </w:p>
    <w:p w14:paraId="3972D19F">
      <w:pPr>
        <w:pStyle w:val="38"/>
        <w:spacing w:beforeAutospacing="0" w:afterAutospacing="0" w:line="460" w:lineRule="exact"/>
        <w:ind w:firstLine="420"/>
        <w:jc w:val="both"/>
        <w:rPr>
          <w:rFonts w:hint="eastAsia"/>
        </w:rPr>
      </w:pPr>
      <w:r>
        <w:rPr>
          <w:rFonts w:hint="eastAsia"/>
        </w:rPr>
        <w:t>24.2.1评审方法。经磋商确定最终采购需求和提交最后报价的供应商后，由磋商小组采用综合评分法对提交最后报价的供应商的响应文件和最后报价进行综合评分。</w:t>
      </w:r>
    </w:p>
    <w:p w14:paraId="04E08D91">
      <w:pPr>
        <w:pStyle w:val="38"/>
        <w:spacing w:beforeAutospacing="0" w:afterAutospacing="0" w:line="460" w:lineRule="exact"/>
        <w:ind w:firstLine="420"/>
        <w:jc w:val="both"/>
        <w:rPr>
          <w:rFonts w:hint="eastAsia"/>
        </w:rPr>
      </w:pPr>
      <w:r>
        <w:rPr>
          <w:rFonts w:hint="eastAsi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5A3AE1F">
      <w:pPr>
        <w:pStyle w:val="38"/>
        <w:spacing w:beforeAutospacing="0" w:afterAutospacing="0" w:line="460" w:lineRule="exact"/>
        <w:ind w:firstLine="420"/>
        <w:jc w:val="both"/>
        <w:rPr>
          <w:rFonts w:hint="eastAsia"/>
        </w:rPr>
      </w:pPr>
      <w:r>
        <w:rPr>
          <w:rFonts w:hint="eastAsia"/>
        </w:rPr>
        <w:t>24.2.2评审标准</w:t>
      </w:r>
    </w:p>
    <w:p w14:paraId="635BA8D0">
      <w:pPr>
        <w:pStyle w:val="38"/>
        <w:spacing w:beforeAutospacing="0" w:afterAutospacing="0" w:line="460" w:lineRule="exact"/>
        <w:ind w:firstLine="420"/>
        <w:jc w:val="both"/>
        <w:rPr>
          <w:rFonts w:hint="eastAsia"/>
        </w:rPr>
      </w:pPr>
      <w:r>
        <w:rPr>
          <w:rFonts w:hint="eastAsia"/>
        </w:rPr>
        <w:t>见本磋商文件第五章规定。</w:t>
      </w:r>
    </w:p>
    <w:p w14:paraId="4E680D53">
      <w:pPr>
        <w:pStyle w:val="38"/>
        <w:spacing w:beforeAutospacing="0" w:afterAutospacing="0" w:line="460" w:lineRule="exact"/>
        <w:ind w:firstLine="420"/>
        <w:jc w:val="both"/>
        <w:rPr>
          <w:rFonts w:hint="eastAsia"/>
        </w:rPr>
      </w:pPr>
      <w:r>
        <w:rPr>
          <w:rFonts w:hint="eastAsia"/>
        </w:rPr>
        <w:t>24.3采购活动终止的情况</w:t>
      </w:r>
    </w:p>
    <w:p w14:paraId="08D41A39">
      <w:pPr>
        <w:pStyle w:val="38"/>
        <w:spacing w:beforeAutospacing="0" w:afterAutospacing="0" w:line="460" w:lineRule="exact"/>
        <w:ind w:firstLine="420"/>
        <w:jc w:val="both"/>
        <w:rPr>
          <w:rFonts w:hint="eastAsia"/>
        </w:rPr>
      </w:pPr>
      <w:r>
        <w:rPr>
          <w:rFonts w:hint="eastAsia"/>
        </w:rPr>
        <w:t>出现下列情形之一的，本次竞争性磋商采购活动将被终止：</w:t>
      </w:r>
    </w:p>
    <w:p w14:paraId="4BFEB3DB">
      <w:pPr>
        <w:pStyle w:val="38"/>
        <w:spacing w:beforeAutospacing="0" w:afterAutospacing="0" w:line="460" w:lineRule="exact"/>
        <w:ind w:firstLine="420"/>
        <w:jc w:val="both"/>
        <w:rPr>
          <w:rFonts w:hint="eastAsia"/>
        </w:rPr>
      </w:pPr>
      <w:r>
        <w:rPr>
          <w:rFonts w:hint="eastAsia"/>
        </w:rPr>
        <w:t>24.3.1因情况变化，不再符合规定的竞争性磋商采购方式适用情形的。</w:t>
      </w:r>
    </w:p>
    <w:p w14:paraId="0546A66A">
      <w:pPr>
        <w:pStyle w:val="38"/>
        <w:spacing w:beforeAutospacing="0" w:afterAutospacing="0" w:line="460" w:lineRule="exact"/>
        <w:ind w:firstLine="420"/>
        <w:jc w:val="both"/>
        <w:rPr>
          <w:rFonts w:hint="eastAsia"/>
        </w:rPr>
      </w:pPr>
      <w:r>
        <w:rPr>
          <w:rFonts w:hint="eastAsia"/>
        </w:rPr>
        <w:t>24.3.2出现影响采购公正的违法、违规行为的。</w:t>
      </w:r>
    </w:p>
    <w:p w14:paraId="026AD96C">
      <w:pPr>
        <w:pStyle w:val="38"/>
        <w:spacing w:beforeAutospacing="0" w:afterAutospacing="0" w:line="460" w:lineRule="exact"/>
        <w:ind w:firstLine="420"/>
        <w:jc w:val="both"/>
        <w:rPr>
          <w:rFonts w:hint="eastAsia"/>
        </w:rPr>
      </w:pPr>
      <w:r>
        <w:rPr>
          <w:rFonts w:hint="eastAsia"/>
        </w:rPr>
        <w:t>24.3.3除本磋商文件第二章第24.1.2条第三款规定的情形外，在采购过程中符合要求的供应商或者最后报价未超过采购预算（或最高响应报价）的供应商不足3家的。</w:t>
      </w:r>
    </w:p>
    <w:p w14:paraId="5823BE74">
      <w:pPr>
        <w:pStyle w:val="38"/>
        <w:spacing w:beforeAutospacing="0" w:afterAutospacing="0" w:line="460" w:lineRule="exact"/>
        <w:ind w:firstLine="420"/>
        <w:jc w:val="both"/>
        <w:rPr>
          <w:rFonts w:hint="eastAsia"/>
        </w:rPr>
      </w:pPr>
      <w:r>
        <w:rPr>
          <w:rFonts w:hint="eastAsia"/>
        </w:rPr>
        <w:t>24.3.4递交响应文件的供应商不足3家的。</w:t>
      </w:r>
    </w:p>
    <w:p w14:paraId="6E4E4726">
      <w:pPr>
        <w:pStyle w:val="38"/>
        <w:spacing w:beforeAutospacing="0" w:afterAutospacing="0" w:line="460" w:lineRule="exact"/>
        <w:ind w:firstLine="422"/>
        <w:jc w:val="both"/>
        <w:rPr>
          <w:rFonts w:hint="eastAsia"/>
          <w:b/>
          <w:bCs/>
        </w:rPr>
      </w:pPr>
      <w:bookmarkStart w:id="85" w:name="_Toc120614219"/>
      <w:r>
        <w:rPr>
          <w:rFonts w:hint="eastAsia"/>
          <w:b/>
          <w:bCs/>
        </w:rPr>
        <w:t>六、</w:t>
      </w:r>
      <w:bookmarkEnd w:id="85"/>
      <w:r>
        <w:rPr>
          <w:rFonts w:hint="eastAsia"/>
          <w:b/>
          <w:bCs/>
        </w:rPr>
        <w:t>成交</w:t>
      </w:r>
    </w:p>
    <w:p w14:paraId="4C0C79EF">
      <w:pPr>
        <w:pStyle w:val="38"/>
        <w:spacing w:beforeAutospacing="0" w:afterAutospacing="0" w:line="460" w:lineRule="exact"/>
        <w:ind w:firstLine="422"/>
        <w:jc w:val="both"/>
        <w:rPr>
          <w:rFonts w:hint="eastAsia"/>
          <w:b/>
          <w:bCs/>
        </w:rPr>
      </w:pPr>
      <w:r>
        <w:rPr>
          <w:rFonts w:hint="eastAsia"/>
          <w:b/>
          <w:bCs/>
        </w:rPr>
        <w:t>25、确定成交单位</w:t>
      </w:r>
    </w:p>
    <w:p w14:paraId="15AEACDB">
      <w:pPr>
        <w:pStyle w:val="38"/>
        <w:spacing w:beforeAutospacing="0" w:afterAutospacing="0" w:line="460" w:lineRule="exact"/>
        <w:ind w:firstLine="420"/>
        <w:jc w:val="both"/>
        <w:rPr>
          <w:rFonts w:hint="eastAsia"/>
        </w:rPr>
      </w:pPr>
      <w:r>
        <w:rPr>
          <w:rFonts w:hint="eastAsia"/>
        </w:rPr>
        <w:t>25.1磋商小组根据综合评分情况，按照评审得分由高到低顺序推荐</w:t>
      </w:r>
      <w:r>
        <w:rPr>
          <w:rFonts w:hint="eastAsia"/>
          <w:lang w:val="en-US" w:eastAsia="zh-CN"/>
        </w:rPr>
        <w:t>1</w:t>
      </w:r>
      <w:r>
        <w:rPr>
          <w:rFonts w:hint="eastAsia"/>
        </w:rPr>
        <w:t>名成交候选供应商，并编写评审报告。符合本磋商文件第二章第24.1.2条情形的，可以推荐2名成交候选供应商。评审得分相同的，按照最后报价由低到高的顺序推荐。评审得分且最后报价相同的，按照技术指标优劣顺序推荐。</w:t>
      </w:r>
    </w:p>
    <w:p w14:paraId="6929F7AB">
      <w:pPr>
        <w:pStyle w:val="38"/>
        <w:spacing w:beforeAutospacing="0" w:afterAutospacing="0" w:line="460" w:lineRule="exact"/>
        <w:ind w:firstLine="420"/>
        <w:jc w:val="both"/>
        <w:rPr>
          <w:rFonts w:hint="eastAsia"/>
        </w:rPr>
      </w:pPr>
      <w:r>
        <w:rPr>
          <w:rFonts w:hint="eastAsia"/>
        </w:rPr>
        <w:t>25.2采购人从评审报告提出的成交候选供应商中，按照排序由高到低的原则确定成交供应商。采购人确定成交供应商后，采购代理机构将在“中国政府采购网”发布成交结果公告，公告期限为1个工作日。</w:t>
      </w:r>
    </w:p>
    <w:p w14:paraId="0A0F381C">
      <w:pPr>
        <w:pStyle w:val="38"/>
        <w:spacing w:beforeAutospacing="0" w:afterAutospacing="0" w:line="460" w:lineRule="exact"/>
        <w:ind w:firstLine="420"/>
        <w:jc w:val="both"/>
        <w:rPr>
          <w:rFonts w:hint="eastAsia"/>
        </w:rPr>
      </w:pPr>
      <w:r>
        <w:rPr>
          <w:rFonts w:hint="eastAsia"/>
        </w:rPr>
        <w:t>25.3若有充分证据证明，成交供应商出现下列情况之一的，一经查实，将被取消成交资格：</w:t>
      </w:r>
    </w:p>
    <w:p w14:paraId="04E84D9C">
      <w:pPr>
        <w:pStyle w:val="38"/>
        <w:spacing w:beforeAutospacing="0" w:afterAutospacing="0" w:line="460" w:lineRule="exact"/>
        <w:ind w:firstLine="420"/>
        <w:jc w:val="both"/>
        <w:rPr>
          <w:rFonts w:hint="eastAsia"/>
        </w:rPr>
      </w:pPr>
      <w:r>
        <w:rPr>
          <w:rFonts w:hint="eastAsia"/>
        </w:rPr>
        <w:t>25.3.1提供虚假材料谋取成交的。</w:t>
      </w:r>
    </w:p>
    <w:p w14:paraId="5EF61F6E">
      <w:pPr>
        <w:pStyle w:val="38"/>
        <w:spacing w:beforeAutospacing="0" w:afterAutospacing="0" w:line="460" w:lineRule="exact"/>
        <w:ind w:firstLine="420"/>
        <w:jc w:val="both"/>
        <w:rPr>
          <w:rFonts w:hint="eastAsia"/>
        </w:rPr>
      </w:pPr>
      <w:r>
        <w:rPr>
          <w:rFonts w:hint="eastAsia"/>
        </w:rPr>
        <w:t>25.3.2与评审专家、采购人、其他供应商或者采购代理机构工作人员恶意串通的。</w:t>
      </w:r>
    </w:p>
    <w:p w14:paraId="23209CEC">
      <w:pPr>
        <w:pStyle w:val="38"/>
        <w:spacing w:beforeAutospacing="0" w:afterAutospacing="0" w:line="460" w:lineRule="exact"/>
        <w:ind w:firstLine="420"/>
        <w:jc w:val="both"/>
        <w:rPr>
          <w:rFonts w:hint="eastAsia"/>
        </w:rPr>
      </w:pPr>
      <w:r>
        <w:rPr>
          <w:rFonts w:hint="eastAsia"/>
        </w:rPr>
        <w:t>25.3.3向评审专家、采购人或采购代理机构工作人员行贿或者提供其他不正当利益的。</w:t>
      </w:r>
    </w:p>
    <w:p w14:paraId="3530DB08">
      <w:pPr>
        <w:pStyle w:val="38"/>
        <w:spacing w:beforeAutospacing="0" w:afterAutospacing="0" w:line="460" w:lineRule="exact"/>
        <w:ind w:firstLine="420"/>
        <w:jc w:val="both"/>
        <w:rPr>
          <w:rFonts w:hint="eastAsia"/>
        </w:rPr>
      </w:pPr>
      <w:r>
        <w:rPr>
          <w:rFonts w:hint="eastAsia"/>
        </w:rPr>
        <w:t>25.3.4恶意竞争，最后报价明显低于其自身合理成本且又无法提供证明的。</w:t>
      </w:r>
    </w:p>
    <w:p w14:paraId="2E4F9ED2">
      <w:pPr>
        <w:pStyle w:val="38"/>
        <w:spacing w:beforeAutospacing="0" w:afterAutospacing="0" w:line="460" w:lineRule="exact"/>
        <w:ind w:firstLine="420"/>
        <w:jc w:val="both"/>
        <w:rPr>
          <w:rFonts w:hint="eastAsia"/>
        </w:rPr>
      </w:pPr>
      <w:r>
        <w:rPr>
          <w:rFonts w:hint="eastAsia"/>
        </w:rPr>
        <w:t>25.3.5不满足本磋商文件规定的实质性要求，但在评审过程中又未被磋商小组发现的。</w:t>
      </w:r>
    </w:p>
    <w:p w14:paraId="3F8C9AC2">
      <w:pPr>
        <w:pStyle w:val="38"/>
        <w:spacing w:beforeAutospacing="0" w:afterAutospacing="0" w:line="460" w:lineRule="exact"/>
        <w:ind w:firstLine="420"/>
        <w:jc w:val="both"/>
        <w:rPr>
          <w:rFonts w:hint="eastAsia"/>
        </w:rPr>
      </w:pPr>
      <w:r>
        <w:rPr>
          <w:rFonts w:hint="eastAsia"/>
        </w:rPr>
        <w:t>25.3.6成交后无正当理由拒不与采购人签订政府采购合同或者未按照磋商文件确定的事项签订政府采购合同的。</w:t>
      </w:r>
    </w:p>
    <w:p w14:paraId="1019CE5C">
      <w:pPr>
        <w:pStyle w:val="38"/>
        <w:spacing w:beforeAutospacing="0" w:afterAutospacing="0" w:line="460" w:lineRule="exact"/>
        <w:ind w:firstLine="420"/>
        <w:jc w:val="both"/>
        <w:rPr>
          <w:rFonts w:hint="eastAsia"/>
        </w:rPr>
      </w:pPr>
      <w:r>
        <w:rPr>
          <w:rFonts w:hint="eastAsia"/>
        </w:rPr>
        <w:t>25.3.7将政府采购合同转包的。</w:t>
      </w:r>
    </w:p>
    <w:p w14:paraId="490E56A5">
      <w:pPr>
        <w:pStyle w:val="38"/>
        <w:spacing w:beforeAutospacing="0" w:afterAutospacing="0" w:line="460" w:lineRule="exact"/>
        <w:ind w:firstLine="422"/>
        <w:jc w:val="both"/>
        <w:rPr>
          <w:rFonts w:hint="eastAsia"/>
          <w:b/>
          <w:bCs/>
        </w:rPr>
      </w:pPr>
      <w:bookmarkStart w:id="86" w:name="_Toc200451960"/>
      <w:r>
        <w:rPr>
          <w:rFonts w:hint="eastAsia"/>
          <w:b/>
          <w:bCs/>
        </w:rPr>
        <w:t>26、质疑处理</w:t>
      </w:r>
      <w:bookmarkEnd w:id="86"/>
    </w:p>
    <w:p w14:paraId="461ECCC3">
      <w:pPr>
        <w:pStyle w:val="38"/>
        <w:spacing w:beforeAutospacing="0" w:afterAutospacing="0" w:line="460" w:lineRule="exact"/>
        <w:ind w:firstLine="420"/>
        <w:jc w:val="both"/>
        <w:rPr>
          <w:rFonts w:hint="eastAsia"/>
        </w:rPr>
      </w:pPr>
      <w:r>
        <w:rPr>
          <w:rFonts w:hint="eastAsia"/>
        </w:rPr>
        <w:t>26.1提出质疑的供应商应当是参与所质疑项目采购活动的供应商。潜在供应商依法获取其可质疑的采购文件的，可以对采购文件提出质疑。</w:t>
      </w:r>
    </w:p>
    <w:p w14:paraId="26A21FFF">
      <w:pPr>
        <w:pStyle w:val="38"/>
        <w:spacing w:beforeAutospacing="0" w:afterAutospacing="0" w:line="460" w:lineRule="exact"/>
        <w:ind w:firstLine="420"/>
        <w:jc w:val="both"/>
        <w:rPr>
          <w:rFonts w:hint="eastAsia"/>
        </w:rPr>
      </w:pPr>
      <w:r>
        <w:rPr>
          <w:rFonts w:hint="eastAsia"/>
        </w:rPr>
        <w:t>26.2供应商认为采购文件、采购过程和采购结果使自己的权益受到损害的，可以在知道或应知其权益受到损害之日起七个工作日内，以书面形式根据下述26.4条款的规定向采购代理机构或采购人提出质疑。上述应知其权益受到损害之日，是指：</w:t>
      </w:r>
    </w:p>
    <w:p w14:paraId="34B2343B">
      <w:pPr>
        <w:pStyle w:val="38"/>
        <w:spacing w:beforeAutospacing="0" w:afterAutospacing="0" w:line="460" w:lineRule="exact"/>
        <w:ind w:firstLine="420"/>
        <w:jc w:val="both"/>
        <w:rPr>
          <w:rFonts w:hint="eastAsia"/>
        </w:rPr>
      </w:pPr>
      <w:r>
        <w:rPr>
          <w:rFonts w:hint="eastAsia"/>
        </w:rPr>
        <w:t>26.2.1对可以质疑的采购文件提出质疑的，为收到采购文件之日或者采购文件公告期限届满之日。</w:t>
      </w:r>
    </w:p>
    <w:p w14:paraId="338A96EC">
      <w:pPr>
        <w:pStyle w:val="38"/>
        <w:spacing w:before="0" w:beforeAutospacing="0" w:after="0" w:afterAutospacing="0" w:line="460" w:lineRule="exact"/>
        <w:ind w:firstLine="420"/>
        <w:jc w:val="both"/>
        <w:rPr>
          <w:rFonts w:hint="eastAsia"/>
        </w:rPr>
      </w:pPr>
      <w:r>
        <w:rPr>
          <w:rFonts w:hint="eastAsia"/>
        </w:rPr>
        <w:t>26.2.2对采购过程提出质疑的，为各采购程序环节结束之日。</w:t>
      </w:r>
    </w:p>
    <w:p w14:paraId="00217235">
      <w:pPr>
        <w:pStyle w:val="38"/>
        <w:keepNext w:val="0"/>
        <w:keepLines w:val="0"/>
        <w:pageBreakBefore w:val="0"/>
        <w:widowControl w:val="0"/>
        <w:kinsoku/>
        <w:wordWrap/>
        <w:overflowPunct/>
        <w:topLinePunct w:val="0"/>
        <w:autoSpaceDE/>
        <w:autoSpaceDN/>
        <w:bidi w:val="0"/>
        <w:adjustRightInd/>
        <w:snapToGrid/>
        <w:spacing w:before="0" w:beforeAutospacing="0" w:after="0" w:afterAutospacing="0" w:line="460" w:lineRule="exact"/>
        <w:ind w:firstLine="420"/>
        <w:jc w:val="both"/>
        <w:textAlignment w:val="auto"/>
        <w:rPr>
          <w:rFonts w:hint="eastAsia"/>
        </w:rPr>
      </w:pPr>
      <w:r>
        <w:rPr>
          <w:rFonts w:hint="eastAsia"/>
        </w:rPr>
        <w:t>26.2.3对成交结果提出质疑的，为成交结果公告期限届满之日。</w:t>
      </w:r>
    </w:p>
    <w:p w14:paraId="551F886E">
      <w:pPr>
        <w:pStyle w:val="38"/>
        <w:keepNext w:val="0"/>
        <w:keepLines w:val="0"/>
        <w:pageBreakBefore w:val="0"/>
        <w:widowControl w:val="0"/>
        <w:kinsoku/>
        <w:wordWrap/>
        <w:overflowPunct/>
        <w:topLinePunct w:val="0"/>
        <w:autoSpaceDE/>
        <w:autoSpaceDN/>
        <w:bidi w:val="0"/>
        <w:adjustRightInd/>
        <w:snapToGrid/>
        <w:spacing w:before="0" w:beforeAutospacing="0" w:after="0" w:afterAutospacing="0" w:line="460" w:lineRule="exact"/>
        <w:ind w:firstLine="420"/>
        <w:jc w:val="both"/>
        <w:textAlignment w:val="auto"/>
        <w:rPr>
          <w:rFonts w:hint="eastAsia"/>
        </w:rPr>
      </w:pPr>
      <w:r>
        <w:rPr>
          <w:rFonts w:hint="eastAsia"/>
        </w:rPr>
        <w:t>供应商应当在法定质疑期内一次性提出针对同一采购程序环节的质疑。供应商如在法定期限内对同一采购程序环节提出多次质疑的，采购代理机构、采购人将只对供应商第一次质疑作出答复。</w:t>
      </w:r>
    </w:p>
    <w:p w14:paraId="35C1BA6E">
      <w:pPr>
        <w:pStyle w:val="38"/>
        <w:spacing w:beforeAutospacing="0" w:afterAutospacing="0" w:line="460" w:lineRule="exact"/>
        <w:ind w:firstLine="420"/>
        <w:jc w:val="both"/>
        <w:rPr>
          <w:rFonts w:hint="eastAsia"/>
        </w:rPr>
      </w:pPr>
      <w:r>
        <w:rPr>
          <w:rFonts w:hint="eastAsia"/>
        </w:rPr>
        <w:t>26.3质疑函必须按照本磋商文件中《质疑函范本》要求的格式和内容进行填写。供应商如组成联合体参加磋商，则《质疑函范本》中要求签字、盖章、加盖公章之处，联合体各方均须按要求签字、盖章、加盖公章。</w:t>
      </w:r>
    </w:p>
    <w:p w14:paraId="6419D8F6">
      <w:pPr>
        <w:pStyle w:val="38"/>
        <w:spacing w:beforeAutospacing="0" w:afterAutospacing="0" w:line="460" w:lineRule="exact"/>
        <w:ind w:firstLine="420"/>
        <w:jc w:val="both"/>
        <w:rPr>
          <w:rFonts w:hint="eastAsia"/>
        </w:rPr>
      </w:pPr>
      <w:r>
        <w:rPr>
          <w:rFonts w:hint="eastAsia"/>
        </w:rPr>
        <w:t>26.4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p>
    <w:p w14:paraId="4EA54EC0">
      <w:pPr>
        <w:pStyle w:val="38"/>
        <w:spacing w:beforeAutospacing="0" w:afterAutospacing="0" w:line="460" w:lineRule="exact"/>
        <w:ind w:firstLine="420"/>
        <w:jc w:val="both"/>
        <w:rPr>
          <w:rFonts w:hint="eastAsia"/>
        </w:rPr>
      </w:pPr>
      <w:r>
        <w:rPr>
          <w:rFonts w:hint="eastAsia"/>
        </w:rPr>
        <w:t>采购人及采购代理机构只接收以纸质原件形式送达的质疑,采购人和采购代理机构不接受未填写快递运单的快件。</w:t>
      </w:r>
    </w:p>
    <w:p w14:paraId="36CAFF7B">
      <w:pPr>
        <w:pStyle w:val="38"/>
        <w:spacing w:beforeAutospacing="0" w:afterAutospacing="0" w:line="460" w:lineRule="exact"/>
        <w:ind w:firstLine="420"/>
        <w:jc w:val="both"/>
        <w:rPr>
          <w:rFonts w:hint="eastAsia"/>
        </w:rPr>
      </w:pPr>
      <w:r>
        <w:rPr>
          <w:rFonts w:hint="eastAsia"/>
        </w:rPr>
        <w:t>26.5以下情形的质疑不予受理</w:t>
      </w:r>
    </w:p>
    <w:p w14:paraId="24B7E275">
      <w:pPr>
        <w:pStyle w:val="38"/>
        <w:spacing w:beforeAutospacing="0" w:afterAutospacing="0" w:line="460" w:lineRule="exact"/>
        <w:ind w:firstLine="420"/>
        <w:jc w:val="both"/>
        <w:rPr>
          <w:rFonts w:hint="eastAsia"/>
        </w:rPr>
      </w:pPr>
      <w:r>
        <w:rPr>
          <w:rFonts w:hint="eastAsia"/>
        </w:rPr>
        <w:t>26.5.1内容不符合《政府采购质疑和投诉办法》第十二条规定的质疑。</w:t>
      </w:r>
    </w:p>
    <w:p w14:paraId="3D777500">
      <w:pPr>
        <w:pStyle w:val="38"/>
        <w:spacing w:beforeAutospacing="0" w:afterAutospacing="0" w:line="460" w:lineRule="exact"/>
        <w:ind w:firstLine="420"/>
        <w:jc w:val="both"/>
        <w:rPr>
          <w:rFonts w:hint="eastAsia"/>
        </w:rPr>
      </w:pPr>
      <w:r>
        <w:rPr>
          <w:rFonts w:hint="eastAsia"/>
        </w:rPr>
        <w:t>26.5.2超出政府采购法定期限的质疑。</w:t>
      </w:r>
    </w:p>
    <w:p w14:paraId="2AD05A51">
      <w:pPr>
        <w:pStyle w:val="38"/>
        <w:spacing w:beforeAutospacing="0" w:afterAutospacing="0" w:line="460" w:lineRule="exact"/>
        <w:ind w:firstLine="420"/>
        <w:jc w:val="both"/>
        <w:rPr>
          <w:rFonts w:hint="eastAsia"/>
        </w:rPr>
      </w:pPr>
      <w:r>
        <w:rPr>
          <w:rFonts w:hint="eastAsia"/>
        </w:rPr>
        <w:t>26.5.3以传真、电子邮件等方式递交的非原件形式的质疑。</w:t>
      </w:r>
    </w:p>
    <w:p w14:paraId="16259CAF">
      <w:pPr>
        <w:pStyle w:val="38"/>
        <w:spacing w:beforeAutospacing="0" w:afterAutospacing="0" w:line="460" w:lineRule="exact"/>
        <w:ind w:firstLine="420"/>
        <w:jc w:val="both"/>
        <w:rPr>
          <w:rFonts w:hint="eastAsia"/>
        </w:rPr>
      </w:pPr>
      <w:r>
        <w:rPr>
          <w:rFonts w:hint="eastAsia"/>
        </w:rPr>
        <w:t>26.5.4未参加磋商活动的供应商或在磋商活动中自身权益未受到损害的供应商所提出的质疑。</w:t>
      </w:r>
    </w:p>
    <w:p w14:paraId="3BF8B573">
      <w:pPr>
        <w:pStyle w:val="38"/>
        <w:spacing w:beforeAutospacing="0" w:afterAutospacing="0" w:line="460" w:lineRule="exact"/>
        <w:ind w:firstLine="420"/>
        <w:jc w:val="both"/>
        <w:rPr>
          <w:rFonts w:hint="eastAsia"/>
        </w:rPr>
      </w:pPr>
      <w:r>
        <w:rPr>
          <w:rFonts w:hint="eastAsia"/>
        </w:rPr>
        <w:t>26.5.5供应商组成联合体参加磋商，联合体中任何一方或多方未按要求签字、盖章、加盖公章的质疑。</w:t>
      </w:r>
    </w:p>
    <w:p w14:paraId="4F55C861">
      <w:pPr>
        <w:pStyle w:val="38"/>
        <w:spacing w:beforeAutospacing="0" w:afterAutospacing="0" w:line="460" w:lineRule="exact"/>
        <w:ind w:firstLine="420"/>
        <w:jc w:val="both"/>
        <w:rPr>
          <w:rFonts w:hint="eastAsia"/>
        </w:rPr>
      </w:pPr>
      <w:r>
        <w:rPr>
          <w:rFonts w:hint="eastAsia"/>
        </w:rPr>
        <w:t>26.6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8F515A5">
      <w:pPr>
        <w:pStyle w:val="38"/>
        <w:spacing w:beforeAutospacing="0" w:afterAutospacing="0" w:line="460" w:lineRule="exact"/>
        <w:ind w:firstLine="422"/>
        <w:jc w:val="both"/>
        <w:rPr>
          <w:rFonts w:hint="eastAsia"/>
          <w:b/>
          <w:bCs/>
        </w:rPr>
      </w:pPr>
      <w:r>
        <w:rPr>
          <w:rFonts w:hint="eastAsia"/>
          <w:b/>
          <w:bCs/>
        </w:rPr>
        <w:t>27、成交通知书</w:t>
      </w:r>
    </w:p>
    <w:p w14:paraId="5D4C1DB3">
      <w:pPr>
        <w:pStyle w:val="38"/>
        <w:spacing w:beforeAutospacing="0" w:afterAutospacing="0" w:line="460" w:lineRule="exact"/>
        <w:ind w:firstLine="420"/>
        <w:jc w:val="both"/>
        <w:rPr>
          <w:rFonts w:hint="eastAsia"/>
        </w:rPr>
      </w:pPr>
      <w:r>
        <w:rPr>
          <w:rFonts w:hint="eastAsia"/>
        </w:rPr>
        <w:t>27.1成交结果确定后，</w:t>
      </w:r>
      <w:bookmarkStart w:id="87" w:name="OLE_LINK2"/>
      <w:r>
        <w:rPr>
          <w:rFonts w:hint="eastAsia"/>
        </w:rPr>
        <w:t>采购代理机构</w:t>
      </w:r>
      <w:bookmarkEnd w:id="87"/>
      <w:r>
        <w:rPr>
          <w:rFonts w:hint="eastAsia"/>
        </w:rPr>
        <w:t>发布成交结果公告，同时向成交供应商发出成交通知书。</w:t>
      </w:r>
    </w:p>
    <w:p w14:paraId="4C1C5629">
      <w:pPr>
        <w:pStyle w:val="38"/>
        <w:spacing w:beforeAutospacing="0" w:afterAutospacing="0" w:line="460" w:lineRule="exact"/>
        <w:ind w:firstLine="420"/>
        <w:jc w:val="both"/>
        <w:rPr>
          <w:rFonts w:hint="eastAsia"/>
        </w:rPr>
      </w:pPr>
      <w:r>
        <w:rPr>
          <w:rFonts w:hint="eastAsia"/>
        </w:rPr>
        <w:t>27.2成交通知书将是合同的一个组成部分。对采购人和成交供应商均具有法律效力。成交通知书发出后，采购人改变成交结果的，或者成交供应商放弃成交项目的，应当依法承担法律责任。</w:t>
      </w:r>
    </w:p>
    <w:p w14:paraId="76223F94">
      <w:pPr>
        <w:pStyle w:val="38"/>
        <w:spacing w:beforeAutospacing="0" w:afterAutospacing="0" w:line="460" w:lineRule="exact"/>
        <w:ind w:firstLine="422"/>
        <w:jc w:val="both"/>
        <w:rPr>
          <w:rFonts w:hint="eastAsia"/>
          <w:b/>
          <w:bCs/>
        </w:rPr>
      </w:pPr>
      <w:bookmarkStart w:id="88" w:name="_Toc20823308"/>
      <w:bookmarkStart w:id="89" w:name="_Toc120614220"/>
      <w:bookmarkStart w:id="90" w:name="_Toc16938552"/>
      <w:bookmarkStart w:id="91" w:name="_Toc513029236"/>
      <w:r>
        <w:rPr>
          <w:rFonts w:hint="eastAsia"/>
          <w:b/>
          <w:bCs/>
        </w:rPr>
        <w:t>七、授予合同</w:t>
      </w:r>
      <w:bookmarkEnd w:id="88"/>
      <w:bookmarkEnd w:id="89"/>
      <w:bookmarkEnd w:id="90"/>
      <w:bookmarkEnd w:id="91"/>
    </w:p>
    <w:p w14:paraId="1AEE050F">
      <w:pPr>
        <w:pStyle w:val="38"/>
        <w:spacing w:beforeAutospacing="0" w:afterAutospacing="0" w:line="460" w:lineRule="exact"/>
        <w:ind w:firstLine="422"/>
        <w:jc w:val="both"/>
        <w:rPr>
          <w:rFonts w:hint="eastAsia"/>
          <w:b/>
          <w:bCs/>
        </w:rPr>
      </w:pPr>
      <w:bookmarkStart w:id="92" w:name="_Toc513029237"/>
      <w:bookmarkStart w:id="93" w:name="_Toc20823309"/>
      <w:bookmarkStart w:id="94" w:name="_Toc16938553"/>
      <w:r>
        <w:rPr>
          <w:rFonts w:hint="eastAsia"/>
          <w:b/>
          <w:bCs/>
        </w:rPr>
        <w:t>28</w:t>
      </w:r>
      <w:r>
        <w:rPr>
          <w:rFonts w:hint="eastAsia"/>
          <w:b/>
          <w:bCs/>
          <w:lang w:eastAsia="zh-CN"/>
        </w:rPr>
        <w:t>、</w:t>
      </w:r>
      <w:r>
        <w:rPr>
          <w:rFonts w:hint="eastAsia"/>
          <w:b/>
          <w:bCs/>
        </w:rPr>
        <w:t>签订合同</w:t>
      </w:r>
      <w:bookmarkEnd w:id="92"/>
      <w:bookmarkEnd w:id="93"/>
      <w:bookmarkEnd w:id="94"/>
    </w:p>
    <w:p w14:paraId="3844C054">
      <w:pPr>
        <w:pStyle w:val="38"/>
        <w:spacing w:beforeAutospacing="0" w:afterAutospacing="0" w:line="460" w:lineRule="exact"/>
        <w:ind w:firstLine="420"/>
        <w:jc w:val="both"/>
        <w:rPr>
          <w:rFonts w:hint="eastAsia"/>
        </w:rPr>
      </w:pPr>
      <w:r>
        <w:rPr>
          <w:rFonts w:hint="eastAsia"/>
        </w:rPr>
        <w:t>28.l成交供应商应当在</w:t>
      </w:r>
      <w:r>
        <w:rPr>
          <w:rFonts w:hint="eastAsia"/>
          <w:lang w:val="en-US" w:eastAsia="zh-CN"/>
        </w:rPr>
        <w:t>成交</w:t>
      </w:r>
      <w:r>
        <w:rPr>
          <w:rFonts w:hint="eastAsia"/>
        </w:rPr>
        <w:t>通知书发出之日起三十日内，按照磋商文件确定的事项与采购人签订政府采购合同。所签订的合同不得对磋商文件确定的事项和</w:t>
      </w:r>
      <w:r>
        <w:rPr>
          <w:rFonts w:hint="eastAsia"/>
          <w:lang w:val="en-US" w:eastAsia="zh-CN"/>
        </w:rPr>
        <w:t>成交供应商</w:t>
      </w:r>
      <w:r>
        <w:rPr>
          <w:rFonts w:hint="eastAsia"/>
        </w:rPr>
        <w:t>响应文件作实质性修改。</w:t>
      </w:r>
    </w:p>
    <w:p w14:paraId="409332FA">
      <w:pPr>
        <w:pStyle w:val="38"/>
        <w:spacing w:beforeAutospacing="0" w:afterAutospacing="0" w:line="460" w:lineRule="exact"/>
        <w:ind w:firstLine="420"/>
        <w:jc w:val="both"/>
        <w:rPr>
          <w:rFonts w:hint="eastAsia"/>
        </w:rPr>
      </w:pPr>
      <w:r>
        <w:rPr>
          <w:rFonts w:hint="eastAsia"/>
        </w:rPr>
        <w:t>28.2磋商文件、成交供应商的响应文件及磋商过程中有关澄清、承诺文件均应作为合同附件。</w:t>
      </w:r>
    </w:p>
    <w:p w14:paraId="6A178034">
      <w:pPr>
        <w:pStyle w:val="38"/>
        <w:spacing w:beforeAutospacing="0" w:afterAutospacing="0" w:line="460" w:lineRule="exact"/>
        <w:ind w:firstLine="420"/>
        <w:jc w:val="both"/>
        <w:rPr>
          <w:rFonts w:hint="eastAsia"/>
        </w:rPr>
      </w:pPr>
      <w:r>
        <w:rPr>
          <w:rFonts w:hint="eastAsia"/>
        </w:rPr>
        <w:t>28.3签订合同后，</w:t>
      </w:r>
      <w:r>
        <w:rPr>
          <w:rFonts w:hint="eastAsia"/>
          <w:i/>
          <w:u w:val="single"/>
        </w:rPr>
        <w:t>成交供应商不得将合同标的进行转包</w:t>
      </w:r>
      <w:r>
        <w:rPr>
          <w:rFonts w:hint="eastAsia"/>
        </w:rPr>
        <w:t>。未经采购人同意，成交供应商也不得采用分包形式履行合同,否则采购人有权终止合同。转包或分包造成采购人损失的，成交供应商应承担相应赔偿责任。</w:t>
      </w:r>
    </w:p>
    <w:p w14:paraId="229E2D80">
      <w:pPr>
        <w:pStyle w:val="38"/>
        <w:spacing w:beforeAutospacing="0" w:afterAutospacing="0" w:line="460" w:lineRule="exact"/>
        <w:ind w:firstLine="420"/>
        <w:jc w:val="both"/>
        <w:rPr>
          <w:rFonts w:hint="eastAsia"/>
          <w:b/>
          <w:bCs/>
        </w:rPr>
      </w:pPr>
      <w:r>
        <w:rPr>
          <w:rFonts w:hint="eastAsia"/>
          <w:b/>
          <w:bCs/>
        </w:rPr>
        <w:t>29、标的物的追加</w:t>
      </w:r>
    </w:p>
    <w:p w14:paraId="39D0D7E8">
      <w:pPr>
        <w:pStyle w:val="38"/>
        <w:spacing w:beforeAutospacing="0" w:afterAutospacing="0" w:line="460" w:lineRule="exact"/>
        <w:ind w:firstLine="420"/>
        <w:jc w:val="both"/>
        <w:rPr>
          <w:rFonts w:hint="eastAsia"/>
        </w:rPr>
      </w:pPr>
      <w:r>
        <w:rPr>
          <w:rFonts w:hint="eastAsia"/>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1BF7B2FB">
      <w:pPr>
        <w:tabs>
          <w:tab w:val="left" w:pos="900"/>
        </w:tabs>
        <w:spacing w:line="450" w:lineRule="exact"/>
        <w:ind w:firstLine="480" w:firstLineChars="200"/>
        <w:rPr>
          <w:rFonts w:hint="eastAsia" w:ascii="宋体" w:hAnsi="宋体"/>
          <w:sz w:val="24"/>
        </w:rPr>
      </w:pPr>
      <w:r>
        <w:rPr>
          <w:rFonts w:hint="eastAsia" w:ascii="宋体" w:hAnsi="宋体"/>
          <w:sz w:val="24"/>
        </w:rPr>
        <w:t>30、履约保证金</w:t>
      </w:r>
    </w:p>
    <w:p w14:paraId="0899F68B">
      <w:pPr>
        <w:tabs>
          <w:tab w:val="left" w:pos="900"/>
        </w:tabs>
        <w:spacing w:line="450" w:lineRule="exact"/>
        <w:ind w:firstLine="477" w:firstLineChars="199"/>
        <w:rPr>
          <w:rFonts w:hint="eastAsia" w:ascii="宋体" w:hAnsi="宋体"/>
          <w:color w:val="0000CC"/>
          <w:sz w:val="24"/>
        </w:rPr>
      </w:pPr>
      <w:r>
        <w:rPr>
          <w:rFonts w:hint="eastAsia" w:ascii="宋体" w:hAnsi="宋体"/>
          <w:sz w:val="24"/>
        </w:rPr>
        <w:t>30.1</w:t>
      </w:r>
      <w:bookmarkStart w:id="95" w:name="_Hlk182646315"/>
      <w:r>
        <w:rPr>
          <w:rFonts w:hint="eastAsia" w:ascii="宋体" w:hAnsi="宋体"/>
          <w:sz w:val="24"/>
        </w:rPr>
        <w:t>在签订合同</w:t>
      </w:r>
      <w:r>
        <w:rPr>
          <w:rFonts w:hint="eastAsia" w:ascii="宋体" w:hAnsi="宋体"/>
          <w:sz w:val="24"/>
          <w:lang w:val="en-US" w:eastAsia="zh-CN"/>
        </w:rPr>
        <w:t>前</w:t>
      </w:r>
      <w:r>
        <w:rPr>
          <w:rFonts w:hint="eastAsia" w:ascii="宋体" w:hAnsi="宋体"/>
          <w:sz w:val="24"/>
        </w:rPr>
        <w:t>，</w:t>
      </w:r>
      <w:r>
        <w:rPr>
          <w:rFonts w:hint="eastAsia" w:ascii="宋体" w:hAnsi="宋体"/>
          <w:color w:val="0000CC"/>
          <w:sz w:val="24"/>
        </w:rPr>
        <w:t>须向采购人缴纳履约保证金</w:t>
      </w:r>
      <w:r>
        <w:rPr>
          <w:rFonts w:hint="eastAsia" w:ascii="宋体" w:hAnsi="宋体"/>
          <w:color w:val="0000CC"/>
          <w:sz w:val="24"/>
          <w:u w:val="single"/>
          <w:lang w:val="en-US" w:eastAsia="zh-CN"/>
        </w:rPr>
        <w:t xml:space="preserve">  中标价的10%  </w:t>
      </w:r>
      <w:r>
        <w:rPr>
          <w:rFonts w:hint="eastAsia" w:ascii="宋体" w:hAnsi="宋体"/>
          <w:color w:val="0000CC"/>
          <w:sz w:val="24"/>
        </w:rPr>
        <w:t>,于合同履行完毕后无息退还。</w:t>
      </w:r>
      <w:r>
        <w:rPr>
          <w:rFonts w:hint="eastAsia" w:ascii="宋体" w:hAnsi="宋体"/>
          <w:sz w:val="24"/>
        </w:rPr>
        <w:t>履约保证金用以约束成交供应商在合同履行中的行为，弥补合同执行中由于自身行为可能给采购人带来的各种损失。</w:t>
      </w:r>
      <w:r>
        <w:rPr>
          <w:rFonts w:hint="eastAsia" w:ascii="宋体" w:hAnsi="宋体"/>
          <w:b/>
          <w:bCs/>
          <w:sz w:val="24"/>
        </w:rPr>
        <w:t>乙方存在违约行为给甲方造成损失的，甲方有权直接从履约保证金中扣除相应损失金额，不足部分甲方有权向乙方追偿。</w:t>
      </w:r>
      <w:r>
        <w:rPr>
          <w:rFonts w:hint="eastAsia" w:ascii="宋体" w:hAnsi="宋体"/>
          <w:color w:val="0000CC"/>
          <w:sz w:val="24"/>
        </w:rPr>
        <w:t>采购人对AA评级及以上政府采购供应商（需提供信用管理部门备案的第三方信用报告</w:t>
      </w:r>
      <w:r>
        <w:rPr>
          <w:rFonts w:hint="eastAsia" w:hAnsi="宋体"/>
          <w:b/>
          <w:bCs/>
          <w:color w:val="0000CC"/>
          <w:sz w:val="24"/>
        </w:rPr>
        <w:t>，</w:t>
      </w:r>
      <w:r>
        <w:rPr>
          <w:rFonts w:hint="eastAsia" w:ascii="宋体" w:hAnsi="宋体"/>
          <w:color w:val="0000CC"/>
          <w:sz w:val="24"/>
        </w:rPr>
        <w:t>且信用报告通过“信用盐城网”可查实。），免收履约保证金。</w:t>
      </w:r>
    </w:p>
    <w:bookmarkEnd w:id="95"/>
    <w:p w14:paraId="1593DE2F">
      <w:pPr>
        <w:tabs>
          <w:tab w:val="left" w:pos="900"/>
        </w:tabs>
        <w:spacing w:line="450" w:lineRule="exact"/>
        <w:ind w:firstLine="477" w:firstLineChars="199"/>
        <w:rPr>
          <w:rFonts w:ascii="宋体" w:hAnsi="宋体"/>
          <w:sz w:val="24"/>
        </w:rPr>
      </w:pPr>
      <w:r>
        <w:rPr>
          <w:rFonts w:hint="eastAsia" w:ascii="宋体" w:hAnsi="宋体"/>
          <w:sz w:val="24"/>
        </w:rPr>
        <w:t>30.2履约保证金允许供应商自主选择以汇票、本票、保函等非现金形式缴纳或提交。</w:t>
      </w:r>
    </w:p>
    <w:p w14:paraId="1EB48CCB">
      <w:pPr>
        <w:tabs>
          <w:tab w:val="left" w:pos="900"/>
        </w:tabs>
        <w:spacing w:line="450" w:lineRule="exact"/>
        <w:ind w:firstLine="477" w:firstLineChars="199"/>
        <w:rPr>
          <w:rFonts w:hint="eastAsia" w:ascii="宋体" w:hAnsi="宋体"/>
          <w:sz w:val="24"/>
        </w:rPr>
      </w:pPr>
      <w:r>
        <w:rPr>
          <w:rFonts w:hint="eastAsia" w:ascii="宋体" w:hAnsi="宋体"/>
          <w:sz w:val="24"/>
        </w:rPr>
        <w:t>30.3履约保证金退还时间：履约保证金在保险服务期限届满且乙方无违约行为、无未决理赔事项后30日内无息退还。</w:t>
      </w:r>
    </w:p>
    <w:p w14:paraId="64BF6094">
      <w:pPr>
        <w:tabs>
          <w:tab w:val="left" w:pos="900"/>
        </w:tabs>
        <w:spacing w:line="450" w:lineRule="exact"/>
        <w:ind w:firstLine="477" w:firstLineChars="199"/>
        <w:rPr>
          <w:rFonts w:hint="eastAsia" w:ascii="宋体" w:hAnsi="宋体"/>
          <w:sz w:val="24"/>
        </w:rPr>
      </w:pPr>
      <w:r>
        <w:rPr>
          <w:rFonts w:hint="eastAsia" w:ascii="宋体" w:hAnsi="宋体"/>
          <w:sz w:val="24"/>
        </w:rPr>
        <w:t>31、采购项目需满足的政府采购政策目标和具体支持对象</w:t>
      </w:r>
    </w:p>
    <w:p w14:paraId="1CE8EDC0">
      <w:pPr>
        <w:tabs>
          <w:tab w:val="left" w:pos="900"/>
        </w:tabs>
        <w:spacing w:line="450" w:lineRule="exact"/>
        <w:ind w:firstLine="477" w:firstLineChars="199"/>
        <w:rPr>
          <w:rFonts w:hint="eastAsia" w:ascii="宋体" w:hAnsi="宋体"/>
          <w:sz w:val="24"/>
        </w:rPr>
      </w:pPr>
      <w:r>
        <w:rPr>
          <w:rFonts w:ascii="宋体" w:hAnsi="宋体"/>
          <w:sz w:val="24"/>
        </w:rPr>
        <w:t>3</w:t>
      </w:r>
      <w:r>
        <w:rPr>
          <w:rFonts w:hint="eastAsia" w:ascii="宋体" w:hAnsi="宋体"/>
          <w:sz w:val="24"/>
        </w:rPr>
        <w:t>1.1政府采购促进中小企业发展，参加响应企业提供《中小企业声明函》（“中小企业划型标准”详见《关于印发中小企业划型标准规定的通知》(工信部联企业〔2011〕300号) 、国家统计局关于印发《统计上大中小微型企业划分办法（2017）》的通知(国统字〔2017〕213号)。</w:t>
      </w:r>
    </w:p>
    <w:p w14:paraId="2EF5AC61">
      <w:pPr>
        <w:spacing w:line="450" w:lineRule="exact"/>
        <w:ind w:firstLine="480"/>
        <w:rPr>
          <w:rFonts w:hint="eastAsia" w:ascii="宋体" w:hAnsi="宋体"/>
          <w:sz w:val="24"/>
        </w:rPr>
      </w:pPr>
      <w:r>
        <w:rPr>
          <w:rFonts w:ascii="宋体" w:hAnsi="宋体"/>
          <w:sz w:val="24"/>
        </w:rPr>
        <w:t>3</w:t>
      </w:r>
      <w:r>
        <w:rPr>
          <w:rFonts w:hint="eastAsia" w:ascii="宋体" w:hAnsi="宋体"/>
          <w:sz w:val="24"/>
        </w:rPr>
        <w:t>1.2政府采购支持监狱和戒毒企业发展，监狱和戒毒企业视同小微企业，参加投标</w:t>
      </w:r>
      <w:r>
        <w:rPr>
          <w:rFonts w:hint="eastAsia" w:ascii="宋体" w:hAnsi="宋体"/>
          <w:sz w:val="24"/>
          <w:lang w:eastAsia="zh-CN"/>
        </w:rPr>
        <w:t>（</w:t>
      </w:r>
      <w:r>
        <w:rPr>
          <w:rFonts w:hint="eastAsia" w:ascii="宋体" w:hAnsi="宋体"/>
          <w:sz w:val="24"/>
          <w:lang w:val="en-US" w:eastAsia="zh-CN"/>
        </w:rPr>
        <w:t>响应</w:t>
      </w:r>
      <w:r>
        <w:rPr>
          <w:rFonts w:hint="eastAsia" w:ascii="宋体" w:hAnsi="宋体"/>
          <w:sz w:val="24"/>
          <w:lang w:eastAsia="zh-CN"/>
        </w:rPr>
        <w:t>）</w:t>
      </w:r>
      <w:r>
        <w:rPr>
          <w:rFonts w:hint="eastAsia" w:ascii="宋体" w:hAnsi="宋体"/>
          <w:sz w:val="24"/>
        </w:rPr>
        <w:t>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21E2BF9C">
      <w:pPr>
        <w:spacing w:line="450" w:lineRule="exact"/>
        <w:ind w:firstLine="480"/>
        <w:rPr>
          <w:rFonts w:hint="eastAsia" w:ascii="宋体" w:hAnsi="宋体"/>
          <w:sz w:val="24"/>
        </w:rPr>
      </w:pPr>
      <w:r>
        <w:rPr>
          <w:rFonts w:ascii="宋体" w:hAnsi="宋体"/>
          <w:sz w:val="24"/>
        </w:rPr>
        <w:t>3</w:t>
      </w:r>
      <w:r>
        <w:rPr>
          <w:rFonts w:hint="eastAsia" w:ascii="宋体" w:hAnsi="宋体"/>
          <w:sz w:val="24"/>
        </w:rPr>
        <w:t>1.3政府采购促进残疾人就业，残疾人福利性单位视同小微企业，参加投标</w:t>
      </w:r>
      <w:r>
        <w:rPr>
          <w:rFonts w:hint="eastAsia" w:ascii="宋体" w:hAnsi="宋体"/>
          <w:sz w:val="24"/>
          <w:lang w:eastAsia="zh-CN"/>
        </w:rPr>
        <w:t>（</w:t>
      </w:r>
      <w:r>
        <w:rPr>
          <w:rFonts w:hint="eastAsia" w:ascii="宋体" w:hAnsi="宋体"/>
          <w:sz w:val="24"/>
          <w:lang w:val="en-US" w:eastAsia="zh-CN"/>
        </w:rPr>
        <w:t>响应</w:t>
      </w:r>
      <w:r>
        <w:rPr>
          <w:rFonts w:hint="eastAsia" w:ascii="宋体" w:hAnsi="宋体"/>
          <w:sz w:val="24"/>
          <w:lang w:eastAsia="zh-CN"/>
        </w:rPr>
        <w:t>）</w:t>
      </w:r>
      <w:r>
        <w:rPr>
          <w:rFonts w:hint="eastAsia" w:ascii="宋体" w:hAnsi="宋体"/>
          <w:sz w:val="24"/>
        </w:rPr>
        <w:t>的残疾人福利性单位应当提供《残疾人福利性单位声明函》，残疾人福利性单位享受政府采购支持政策的要求详见《关于促进残疾人就业政府采购政策的通知》（财库〔2017〕141号）。</w:t>
      </w:r>
    </w:p>
    <w:p w14:paraId="12DD8A42">
      <w:pPr>
        <w:spacing w:line="500" w:lineRule="exact"/>
        <w:ind w:firstLine="482" w:firstLineChars="200"/>
        <w:rPr>
          <w:rFonts w:hint="eastAsia" w:ascii="宋体" w:hAnsi="宋体" w:cs="宋体"/>
          <w:b/>
          <w:sz w:val="24"/>
        </w:rPr>
      </w:pPr>
      <w:r>
        <w:rPr>
          <w:rFonts w:hint="eastAsia" w:ascii="宋体" w:hAnsi="宋体" w:cs="宋体"/>
          <w:b/>
          <w:sz w:val="24"/>
        </w:rPr>
        <w:t>32、代理服务费</w:t>
      </w:r>
    </w:p>
    <w:p w14:paraId="580DBD7F">
      <w:pPr>
        <w:spacing w:line="500" w:lineRule="exact"/>
        <w:ind w:firstLine="480" w:firstLineChars="200"/>
        <w:rPr>
          <w:rStyle w:val="99"/>
          <w:rFonts w:hint="eastAsia" w:ascii="宋体" w:hAnsi="宋体" w:cs="宋体"/>
          <w:bCs/>
          <w:kern w:val="0"/>
          <w:sz w:val="24"/>
          <w:szCs w:val="24"/>
        </w:rPr>
      </w:pPr>
      <w:r>
        <w:rPr>
          <w:rFonts w:hint="eastAsia" w:ascii="宋体" w:hAnsi="宋体" w:cs="宋体"/>
          <w:bCs/>
          <w:kern w:val="0"/>
          <w:sz w:val="24"/>
        </w:rPr>
        <w:t>本项目代理服务费</w:t>
      </w:r>
      <w:r>
        <w:rPr>
          <w:rFonts w:hint="eastAsia" w:ascii="宋体" w:hAnsi="宋体" w:cs="宋体"/>
          <w:bCs/>
          <w:kern w:val="0"/>
          <w:sz w:val="24"/>
          <w:lang w:val="en-US" w:eastAsia="zh-CN"/>
        </w:rPr>
        <w:t>为2000.00</w:t>
      </w:r>
      <w:r>
        <w:rPr>
          <w:rFonts w:hint="eastAsia" w:ascii="宋体" w:hAnsi="宋体" w:cs="宋体"/>
          <w:bCs/>
          <w:kern w:val="0"/>
          <w:sz w:val="24"/>
        </w:rPr>
        <w:t>元，代理服务费计算按照《招标代理服务收费管理暂行办法》(计价格[2002]1980号)标准的40%</w:t>
      </w:r>
      <w:r>
        <w:rPr>
          <w:rFonts w:hint="eastAsia" w:ascii="宋体" w:hAnsi="宋体" w:cs="宋体"/>
          <w:bCs/>
          <w:kern w:val="0"/>
          <w:sz w:val="24"/>
          <w:lang w:val="en-US" w:eastAsia="zh-CN"/>
        </w:rPr>
        <w:t>收</w:t>
      </w:r>
      <w:r>
        <w:rPr>
          <w:rFonts w:hint="eastAsia" w:ascii="宋体" w:hAnsi="宋体" w:cs="宋体"/>
          <w:bCs/>
          <w:kern w:val="0"/>
          <w:sz w:val="24"/>
        </w:rPr>
        <w:t>取(不足2000元，按2000元计算) [计费基数按</w:t>
      </w:r>
      <w:r>
        <w:rPr>
          <w:rFonts w:hint="eastAsia" w:ascii="宋体" w:hAnsi="宋体" w:cs="宋体"/>
          <w:bCs/>
          <w:kern w:val="0"/>
          <w:sz w:val="24"/>
          <w:lang w:val="en-US" w:eastAsia="zh-CN"/>
        </w:rPr>
        <w:t>30.82</w:t>
      </w:r>
      <w:r>
        <w:rPr>
          <w:rFonts w:hint="eastAsia" w:ascii="宋体" w:hAnsi="宋体" w:cs="宋体"/>
          <w:bCs/>
          <w:kern w:val="0"/>
          <w:sz w:val="24"/>
        </w:rPr>
        <w:t>万元计取]。采购完成后，由成交供应商在领取成交通知书前将代理服务费一次性向代理机构支付。</w:t>
      </w:r>
    </w:p>
    <w:p w14:paraId="222BA1D5">
      <w:pPr>
        <w:tabs>
          <w:tab w:val="left" w:pos="900"/>
        </w:tabs>
        <w:spacing w:after="120" w:afterLines="50" w:line="560" w:lineRule="exact"/>
        <w:ind w:firstLine="477" w:firstLineChars="199"/>
        <w:rPr>
          <w:rFonts w:hint="eastAsia" w:ascii="宋体" w:hAnsi="宋体"/>
          <w:sz w:val="24"/>
        </w:rPr>
      </w:pPr>
    </w:p>
    <w:p w14:paraId="7EEC230B">
      <w:pPr>
        <w:keepNext/>
        <w:spacing w:line="360" w:lineRule="auto"/>
        <w:jc w:val="center"/>
        <w:outlineLvl w:val="0"/>
        <w:rPr>
          <w:rFonts w:hint="eastAsia" w:ascii="方正小标宋_GBK" w:hAnsi="方正小标宋_GBK" w:eastAsia="方正小标宋_GBK" w:cs="方正小标宋_GBK"/>
          <w:sz w:val="44"/>
          <w:szCs w:val="44"/>
        </w:rPr>
      </w:pPr>
      <w:r>
        <w:rPr>
          <w:rFonts w:eastAsia="黑体"/>
          <w:bCs/>
          <w:spacing w:val="2"/>
          <w:szCs w:val="44"/>
        </w:rPr>
        <w:br w:type="page"/>
      </w:r>
      <w:bookmarkStart w:id="96" w:name="_Toc20699"/>
      <w:bookmarkStart w:id="97" w:name="_Toc32245"/>
      <w:bookmarkStart w:id="98" w:name="_Toc3327"/>
      <w:bookmarkStart w:id="99" w:name="_Toc3456"/>
      <w:bookmarkStart w:id="100" w:name="_Toc23828480"/>
      <w:bookmarkStart w:id="101" w:name="_Toc32681"/>
      <w:bookmarkStart w:id="102" w:name="_Toc16496"/>
      <w:bookmarkStart w:id="103" w:name="_Toc61149622"/>
      <w:bookmarkStart w:id="104" w:name="_Toc16187"/>
      <w:bookmarkStart w:id="105" w:name="_Toc26554097"/>
      <w:r>
        <w:rPr>
          <w:rFonts w:hint="eastAsia" w:ascii="方正小标宋_GBK" w:hAnsi="方正小标宋_GBK" w:eastAsia="方正小标宋_GBK" w:cs="方正小标宋_GBK"/>
          <w:sz w:val="44"/>
          <w:szCs w:val="44"/>
        </w:rPr>
        <w:t>第三章  合同条款及格式</w:t>
      </w:r>
      <w:bookmarkEnd w:id="96"/>
    </w:p>
    <w:p w14:paraId="440965D1">
      <w:pPr>
        <w:snapToGrid w:val="0"/>
        <w:spacing w:before="120" w:beforeLines="50" w:after="120" w:afterLines="50" w:line="480" w:lineRule="exact"/>
        <w:jc w:val="center"/>
        <w:outlineLvl w:val="9"/>
        <w:rPr>
          <w:rFonts w:hint="eastAsia" w:ascii="宋体" w:hAnsi="宋体"/>
          <w:b/>
          <w:bCs/>
          <w:sz w:val="30"/>
          <w:szCs w:val="20"/>
        </w:rPr>
      </w:pPr>
      <w:bookmarkStart w:id="106" w:name="_Hlt16619369"/>
      <w:bookmarkEnd w:id="106"/>
      <w:r>
        <w:rPr>
          <w:rFonts w:hint="eastAsia" w:ascii="宋体" w:hAnsi="宋体"/>
          <w:b/>
          <w:sz w:val="30"/>
        </w:rPr>
        <w:t>政府采购合同</w:t>
      </w:r>
    </w:p>
    <w:p w14:paraId="3793D07A">
      <w:pPr>
        <w:spacing w:line="360" w:lineRule="auto"/>
        <w:ind w:firstLine="420" w:firstLineChars="200"/>
        <w:contextualSpacing/>
        <w:rPr>
          <w:rFonts w:hint="eastAsia" w:ascii="宋体" w:hAnsi="宋体"/>
        </w:rPr>
      </w:pPr>
      <w:r>
        <w:rPr>
          <w:rFonts w:hint="eastAsia" w:ascii="宋体" w:hAnsi="宋体"/>
        </w:rPr>
        <w:t>甲方：</w:t>
      </w:r>
      <w:r>
        <w:rPr>
          <w:rFonts w:hint="eastAsia" w:ascii="宋体" w:hAnsi="宋体"/>
          <w:u w:val="single"/>
        </w:rPr>
        <w:t>盐城市大丰区消防救援大队</w:t>
      </w:r>
      <w:r>
        <w:rPr>
          <w:rFonts w:hint="eastAsia" w:ascii="宋体" w:hAnsi="宋体"/>
          <w:u w:val="single"/>
          <w:lang w:eastAsia="zh-CN"/>
        </w:rPr>
        <w:t>（</w:t>
      </w:r>
      <w:r>
        <w:rPr>
          <w:rFonts w:hint="eastAsia" w:ascii="宋体" w:hAnsi="宋体"/>
          <w:u w:val="single"/>
          <w:lang w:val="en-US" w:eastAsia="zh-CN"/>
        </w:rPr>
        <w:t>盐城市大丰区消防救援局</w:t>
      </w:r>
      <w:r>
        <w:rPr>
          <w:rFonts w:hint="eastAsia" w:ascii="宋体" w:hAnsi="宋体"/>
          <w:u w:val="single"/>
          <w:lang w:eastAsia="zh-CN"/>
        </w:rPr>
        <w:t>）</w:t>
      </w:r>
      <w:r>
        <w:rPr>
          <w:rFonts w:hint="eastAsia" w:ascii="宋体" w:hAnsi="宋体"/>
        </w:rPr>
        <w:t>（采购人）</w:t>
      </w:r>
    </w:p>
    <w:p w14:paraId="3CB1B216">
      <w:pPr>
        <w:spacing w:line="360" w:lineRule="auto"/>
        <w:ind w:firstLine="420" w:firstLineChars="200"/>
        <w:contextualSpacing/>
        <w:rPr>
          <w:rFonts w:hint="eastAsia" w:ascii="宋体" w:hAnsi="宋体"/>
        </w:rPr>
      </w:pPr>
      <w:r>
        <w:rPr>
          <w:rFonts w:hint="eastAsia" w:ascii="宋体" w:hAnsi="宋体"/>
        </w:rPr>
        <w:t>乙方：</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（成交供应商）</w:t>
      </w:r>
    </w:p>
    <w:p w14:paraId="0809C0B3">
      <w:pPr>
        <w:spacing w:line="360" w:lineRule="auto"/>
        <w:ind w:firstLine="420" w:firstLineChars="200"/>
        <w:contextualSpacing/>
        <w:rPr>
          <w:rFonts w:hint="eastAsia" w:ascii="宋体" w:hAnsi="宋体"/>
        </w:rPr>
      </w:pPr>
      <w:r>
        <w:rPr>
          <w:rFonts w:hint="eastAsia" w:ascii="宋体" w:hAnsi="宋体"/>
        </w:rPr>
        <w:t>甲方对</w:t>
      </w:r>
      <w:r>
        <w:rPr>
          <w:rFonts w:hint="eastAsia" w:ascii="宋体" w:hAnsi="宋体"/>
          <w:lang w:eastAsia="zh-CN"/>
        </w:rPr>
        <w:t>大丰大队专职消防员、消防文员保险购置项目</w:t>
      </w:r>
      <w:r>
        <w:rPr>
          <w:rFonts w:hint="eastAsia" w:ascii="宋体" w:hAnsi="宋体"/>
          <w:szCs w:val="22"/>
        </w:rPr>
        <w:t>进行竞争性磋商采购</w:t>
      </w:r>
      <w:r>
        <w:rPr>
          <w:rFonts w:hint="eastAsia" w:ascii="宋体" w:hAnsi="宋体"/>
        </w:rPr>
        <w:t>，经评审，确定乙方为成交供应商，依据《中华人民共和国政府采购法》、《中华人民共和国民法典》及有关法律、法规。双方就有关事项协商一致，订立本合同。</w:t>
      </w:r>
    </w:p>
    <w:p w14:paraId="6E4973D8">
      <w:pPr>
        <w:numPr>
          <w:ilvl w:val="-1"/>
          <w:numId w:val="0"/>
        </w:numPr>
        <w:spacing w:line="360" w:lineRule="auto"/>
        <w:ind w:left="0" w:firstLine="420" w:firstLineChars="200"/>
        <w:contextualSpacing/>
        <w:rPr>
          <w:rFonts w:hint="default" w:ascii="宋体" w:hAnsi="宋体" w:eastAsia="宋体" w:cs="Times New Roman"/>
          <w:kern w:val="2"/>
          <w:sz w:val="21"/>
          <w:szCs w:val="24"/>
          <w:lang w:val="en-US" w:eastAsia="zh-CN" w:bidi="ar-SA"/>
        </w:rPr>
      </w:pPr>
      <w:r>
        <w:rPr>
          <w:rFonts w:hint="eastAsia" w:ascii="宋体" w:hAnsi="宋体"/>
          <w:lang w:val="en-US" w:eastAsia="zh-CN"/>
        </w:rPr>
        <w:t>一、服务内容及赔付细则</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0"/>
        <w:gridCol w:w="2321"/>
        <w:gridCol w:w="2323"/>
        <w:gridCol w:w="2324"/>
      </w:tblGrid>
      <w:tr w14:paraId="4ACB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344" w:type="dxa"/>
            <w:vAlign w:val="center"/>
          </w:tcPr>
          <w:p w14:paraId="56C85CD7">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人员类别</w:t>
            </w:r>
          </w:p>
        </w:tc>
        <w:tc>
          <w:tcPr>
            <w:tcW w:w="2344" w:type="dxa"/>
            <w:vAlign w:val="center"/>
          </w:tcPr>
          <w:p w14:paraId="302A2B09">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保险保障</w:t>
            </w:r>
          </w:p>
        </w:tc>
        <w:tc>
          <w:tcPr>
            <w:tcW w:w="2345" w:type="dxa"/>
            <w:vAlign w:val="center"/>
          </w:tcPr>
          <w:p w14:paraId="18A3E4E6">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赔偿限额</w:t>
            </w:r>
          </w:p>
        </w:tc>
        <w:tc>
          <w:tcPr>
            <w:tcW w:w="2345" w:type="dxa"/>
            <w:vAlign w:val="center"/>
          </w:tcPr>
          <w:p w14:paraId="022BBAD4">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Cs w:val="21"/>
              </w:rPr>
              <w:t>结算单价（元/人）</w:t>
            </w:r>
          </w:p>
        </w:tc>
      </w:tr>
      <w:tr w14:paraId="2ECF4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344" w:type="dxa"/>
            <w:vMerge w:val="restart"/>
            <w:vAlign w:val="center"/>
          </w:tcPr>
          <w:p w14:paraId="4335C444">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消防文员</w:t>
            </w:r>
          </w:p>
        </w:tc>
        <w:tc>
          <w:tcPr>
            <w:tcW w:w="2344" w:type="dxa"/>
            <w:vAlign w:val="center"/>
          </w:tcPr>
          <w:p w14:paraId="319419A3">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死亡/伤残</w:t>
            </w:r>
          </w:p>
        </w:tc>
        <w:tc>
          <w:tcPr>
            <w:tcW w:w="2345" w:type="dxa"/>
            <w:vAlign w:val="center"/>
          </w:tcPr>
          <w:p w14:paraId="19287586">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100万元</w:t>
            </w:r>
          </w:p>
        </w:tc>
        <w:tc>
          <w:tcPr>
            <w:tcW w:w="2345" w:type="dxa"/>
            <w:vMerge w:val="restart"/>
            <w:vAlign w:val="center"/>
          </w:tcPr>
          <w:p w14:paraId="0BE619E1">
            <w:pPr>
              <w:spacing w:line="240" w:lineRule="auto"/>
              <w:ind w:firstLine="420" w:firstLineChars="200"/>
              <w:jc w:val="center"/>
              <w:rPr>
                <w:rFonts w:hint="eastAsia" w:asciiTheme="minorEastAsia" w:hAnsiTheme="minorEastAsia" w:eastAsiaTheme="minorEastAsia"/>
                <w:color w:val="0000CC"/>
                <w:sz w:val="21"/>
                <w:szCs w:val="21"/>
              </w:rPr>
            </w:pPr>
          </w:p>
        </w:tc>
      </w:tr>
      <w:tr w14:paraId="02ED8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344" w:type="dxa"/>
            <w:vMerge w:val="continue"/>
            <w:vAlign w:val="center"/>
          </w:tcPr>
          <w:p w14:paraId="67AAF2F5">
            <w:pPr>
              <w:spacing w:line="240" w:lineRule="auto"/>
              <w:jc w:val="center"/>
              <w:rPr>
                <w:rFonts w:hint="eastAsia" w:asciiTheme="minorEastAsia" w:hAnsiTheme="minorEastAsia" w:eastAsiaTheme="minorEastAsia"/>
                <w:color w:val="0000CC"/>
                <w:sz w:val="21"/>
                <w:szCs w:val="21"/>
              </w:rPr>
            </w:pPr>
          </w:p>
        </w:tc>
        <w:tc>
          <w:tcPr>
            <w:tcW w:w="2344" w:type="dxa"/>
            <w:vAlign w:val="center"/>
          </w:tcPr>
          <w:p w14:paraId="11566B01">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医疗费用</w:t>
            </w:r>
          </w:p>
        </w:tc>
        <w:tc>
          <w:tcPr>
            <w:tcW w:w="2345" w:type="dxa"/>
            <w:vAlign w:val="center"/>
          </w:tcPr>
          <w:p w14:paraId="30A2E86F">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10万元</w:t>
            </w:r>
          </w:p>
        </w:tc>
        <w:tc>
          <w:tcPr>
            <w:tcW w:w="2345" w:type="dxa"/>
            <w:vMerge w:val="continue"/>
            <w:vAlign w:val="center"/>
          </w:tcPr>
          <w:p w14:paraId="41737F16">
            <w:pPr>
              <w:spacing w:line="240" w:lineRule="auto"/>
              <w:jc w:val="center"/>
              <w:rPr>
                <w:rFonts w:hint="eastAsia" w:asciiTheme="minorEastAsia" w:hAnsiTheme="minorEastAsia" w:eastAsiaTheme="minorEastAsia"/>
                <w:color w:val="0000CC"/>
                <w:sz w:val="21"/>
                <w:szCs w:val="21"/>
              </w:rPr>
            </w:pPr>
          </w:p>
        </w:tc>
      </w:tr>
      <w:tr w14:paraId="1D859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344" w:type="dxa"/>
            <w:vMerge w:val="restart"/>
            <w:vAlign w:val="center"/>
          </w:tcPr>
          <w:p w14:paraId="04CB68F2">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大队专职消防员</w:t>
            </w:r>
          </w:p>
        </w:tc>
        <w:tc>
          <w:tcPr>
            <w:tcW w:w="2344" w:type="dxa"/>
            <w:vAlign w:val="center"/>
          </w:tcPr>
          <w:p w14:paraId="30481EB4">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死亡/伤残</w:t>
            </w:r>
          </w:p>
        </w:tc>
        <w:tc>
          <w:tcPr>
            <w:tcW w:w="2345" w:type="dxa"/>
            <w:vAlign w:val="center"/>
          </w:tcPr>
          <w:p w14:paraId="2A852798">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100万元</w:t>
            </w:r>
          </w:p>
        </w:tc>
        <w:tc>
          <w:tcPr>
            <w:tcW w:w="2345" w:type="dxa"/>
            <w:vMerge w:val="restart"/>
            <w:vAlign w:val="center"/>
          </w:tcPr>
          <w:p w14:paraId="7B546F59">
            <w:pPr>
              <w:spacing w:line="240" w:lineRule="auto"/>
              <w:ind w:firstLine="420" w:firstLineChars="200"/>
              <w:jc w:val="center"/>
              <w:rPr>
                <w:rFonts w:hint="eastAsia" w:asciiTheme="minorEastAsia" w:hAnsiTheme="minorEastAsia" w:eastAsiaTheme="minorEastAsia"/>
                <w:color w:val="0000CC"/>
                <w:sz w:val="21"/>
                <w:szCs w:val="21"/>
              </w:rPr>
            </w:pPr>
          </w:p>
        </w:tc>
      </w:tr>
      <w:tr w14:paraId="01CCF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2344" w:type="dxa"/>
            <w:vMerge w:val="continue"/>
            <w:vAlign w:val="center"/>
          </w:tcPr>
          <w:p w14:paraId="7591C3AF">
            <w:pPr>
              <w:spacing w:line="240" w:lineRule="auto"/>
              <w:jc w:val="center"/>
              <w:rPr>
                <w:rFonts w:hint="eastAsia" w:asciiTheme="minorEastAsia" w:hAnsiTheme="minorEastAsia" w:eastAsiaTheme="minorEastAsia"/>
                <w:color w:val="0000CC"/>
                <w:sz w:val="24"/>
              </w:rPr>
            </w:pPr>
          </w:p>
        </w:tc>
        <w:tc>
          <w:tcPr>
            <w:tcW w:w="2344" w:type="dxa"/>
            <w:vAlign w:val="center"/>
          </w:tcPr>
          <w:p w14:paraId="470E9914">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医疗费用</w:t>
            </w:r>
          </w:p>
        </w:tc>
        <w:tc>
          <w:tcPr>
            <w:tcW w:w="2345" w:type="dxa"/>
            <w:vAlign w:val="center"/>
          </w:tcPr>
          <w:p w14:paraId="215ADB3F">
            <w:pPr>
              <w:spacing w:line="240" w:lineRule="auto"/>
              <w:jc w:val="center"/>
              <w:rPr>
                <w:rFonts w:hint="eastAsia" w:asciiTheme="minorEastAsia" w:hAnsiTheme="minorEastAsia" w:eastAsiaTheme="minorEastAsia"/>
                <w:color w:val="0000CC"/>
                <w:sz w:val="21"/>
                <w:szCs w:val="21"/>
              </w:rPr>
            </w:pPr>
            <w:r>
              <w:rPr>
                <w:rFonts w:hint="eastAsia" w:asciiTheme="minorEastAsia" w:hAnsiTheme="minorEastAsia" w:eastAsiaTheme="minorEastAsia"/>
                <w:color w:val="0000CC"/>
                <w:sz w:val="21"/>
                <w:szCs w:val="21"/>
              </w:rPr>
              <w:t>10万元</w:t>
            </w:r>
          </w:p>
        </w:tc>
        <w:tc>
          <w:tcPr>
            <w:tcW w:w="2345" w:type="dxa"/>
            <w:vMerge w:val="continue"/>
            <w:vAlign w:val="center"/>
          </w:tcPr>
          <w:p w14:paraId="5EEE422E">
            <w:pPr>
              <w:spacing w:line="240" w:lineRule="auto"/>
              <w:jc w:val="center"/>
              <w:rPr>
                <w:rFonts w:hint="eastAsia" w:asciiTheme="minorEastAsia" w:hAnsiTheme="minorEastAsia" w:eastAsiaTheme="minorEastAsia"/>
                <w:color w:val="0000CC"/>
                <w:sz w:val="24"/>
              </w:rPr>
            </w:pPr>
          </w:p>
        </w:tc>
      </w:tr>
    </w:tbl>
    <w:p w14:paraId="65FF400A">
      <w:pPr>
        <w:numPr>
          <w:ilvl w:val="0"/>
          <w:numId w:val="0"/>
        </w:numPr>
        <w:spacing w:line="360" w:lineRule="auto"/>
        <w:ind w:left="0" w:firstLine="422" w:firstLineChars="200"/>
        <w:contextualSpacing/>
        <w:rPr>
          <w:rFonts w:hint="default" w:ascii="宋体" w:hAnsi="宋体" w:eastAsia="宋体" w:cs="Times New Roman"/>
          <w:kern w:val="2"/>
          <w:sz w:val="21"/>
          <w:szCs w:val="21"/>
          <w:lang w:val="en-US" w:eastAsia="zh-CN" w:bidi="ar-SA"/>
        </w:rPr>
      </w:pPr>
      <w:r>
        <w:rPr>
          <w:rFonts w:hint="eastAsia" w:asciiTheme="minorEastAsia" w:hAnsiTheme="minorEastAsia" w:eastAsiaTheme="minorEastAsia"/>
          <w:b/>
          <w:bCs/>
          <w:color w:val="FF0000"/>
          <w:sz w:val="21"/>
          <w:szCs w:val="21"/>
        </w:rPr>
        <w:t>保险保障内容：意外身故及伤残保险金额为每人100万元；意外</w:t>
      </w:r>
      <w:r>
        <w:rPr>
          <w:rFonts w:hint="eastAsia" w:asciiTheme="minorEastAsia" w:hAnsiTheme="minorEastAsia" w:eastAsiaTheme="minorEastAsia"/>
          <w:b/>
          <w:bCs/>
          <w:color w:val="FF0000"/>
          <w:sz w:val="21"/>
          <w:szCs w:val="21"/>
          <w:lang w:val="en-US" w:eastAsia="zh-CN"/>
        </w:rPr>
        <w:t>伤害</w:t>
      </w:r>
      <w:r>
        <w:rPr>
          <w:rFonts w:hint="eastAsia" w:asciiTheme="minorEastAsia" w:hAnsiTheme="minorEastAsia" w:eastAsiaTheme="minorEastAsia"/>
          <w:b/>
          <w:bCs/>
          <w:color w:val="FF0000"/>
          <w:sz w:val="21"/>
          <w:szCs w:val="21"/>
        </w:rPr>
        <w:t>医疗保险金额为10万元，伤残等级给付比例一级100%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二级90%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三级80%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四级70%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五级60%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六级50%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七级40%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八级30%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九级20%</w:t>
      </w:r>
      <w:r>
        <w:rPr>
          <w:rFonts w:hint="eastAsia" w:asciiTheme="minorEastAsia" w:hAnsiTheme="minorEastAsia" w:eastAsiaTheme="minorEastAsia"/>
          <w:b/>
          <w:bCs/>
          <w:color w:val="FF0000"/>
          <w:sz w:val="21"/>
          <w:szCs w:val="21"/>
          <w:lang w:eastAsia="zh-CN"/>
        </w:rPr>
        <w:t>；</w:t>
      </w:r>
      <w:r>
        <w:rPr>
          <w:rFonts w:hint="eastAsia" w:asciiTheme="minorEastAsia" w:hAnsiTheme="minorEastAsia" w:eastAsiaTheme="minorEastAsia"/>
          <w:b/>
          <w:bCs/>
          <w:color w:val="FF0000"/>
          <w:sz w:val="21"/>
          <w:szCs w:val="21"/>
        </w:rPr>
        <w:t>十级10%。门诊赔付无限额，给付比例 100%；意外伤害住院津贴为100元/人/天，上限180天，住院延长津贴给付日数30天，前3天无补偿金额，无门槛。</w:t>
      </w:r>
    </w:p>
    <w:p w14:paraId="1846C6BD">
      <w:pPr>
        <w:numPr>
          <w:ilvl w:val="0"/>
          <w:numId w:val="0"/>
        </w:numPr>
        <w:spacing w:line="360" w:lineRule="auto"/>
        <w:ind w:left="0" w:firstLine="422" w:firstLineChars="200"/>
        <w:contextualSpacing/>
        <w:rPr>
          <w:rFonts w:hint="eastAsia" w:ascii="宋体" w:hAnsi="宋体" w:cs="Times New Roman"/>
          <w:kern w:val="2"/>
          <w:sz w:val="21"/>
          <w:szCs w:val="24"/>
          <w:lang w:val="en-US" w:eastAsia="zh-CN" w:bidi="ar-SA"/>
        </w:rPr>
      </w:pPr>
      <w:r>
        <w:rPr>
          <w:rFonts w:hint="eastAsia" w:ascii="宋体" w:hAnsi="宋体" w:cs="Times New Roman"/>
          <w:b/>
          <w:bCs/>
          <w:kern w:val="2"/>
          <w:sz w:val="21"/>
          <w:szCs w:val="24"/>
          <w:lang w:val="en-US" w:eastAsia="zh-CN" w:bidi="ar-SA"/>
        </w:rPr>
        <w:t>保险承保范围： 本保险承保被保险人工作期间及非工作期间发生的所有意外伤害，乙方不得因被保险人执行消防救援任务的职业性质拒绝赔付或降低赔付标准。</w:t>
      </w:r>
    </w:p>
    <w:p w14:paraId="79324A2C">
      <w:pPr>
        <w:numPr>
          <w:ilvl w:val="0"/>
          <w:numId w:val="0"/>
        </w:numPr>
        <w:spacing w:line="360" w:lineRule="auto"/>
        <w:ind w:left="0" w:firstLine="420" w:firstLineChars="200"/>
        <w:contextualSpacing/>
        <w:rPr>
          <w:rFonts w:hint="eastAsia" w:ascii="宋体" w:hAnsi="宋体"/>
        </w:rPr>
      </w:pPr>
      <w:r>
        <w:rPr>
          <w:rFonts w:hint="eastAsia" w:ascii="宋体" w:hAnsi="宋体" w:cs="Times New Roman"/>
          <w:kern w:val="2"/>
          <w:sz w:val="21"/>
          <w:szCs w:val="24"/>
          <w:lang w:val="en-US" w:eastAsia="zh-CN" w:bidi="ar-SA"/>
        </w:rPr>
        <w:t>二</w:t>
      </w:r>
      <w:r>
        <w:rPr>
          <w:rFonts w:hint="default" w:ascii="宋体" w:hAnsi="宋体" w:eastAsia="宋体" w:cs="Times New Roman"/>
          <w:kern w:val="2"/>
          <w:sz w:val="21"/>
          <w:szCs w:val="24"/>
          <w:lang w:val="en-US" w:eastAsia="zh-CN" w:bidi="ar-SA"/>
        </w:rPr>
        <w:t>、</w:t>
      </w:r>
      <w:r>
        <w:rPr>
          <w:rFonts w:hint="eastAsia" w:ascii="宋体" w:hAnsi="宋体"/>
        </w:rPr>
        <w:t>合同价款及合同履行期限：</w:t>
      </w:r>
    </w:p>
    <w:p w14:paraId="40E0451E">
      <w:pPr>
        <w:pStyle w:val="19"/>
        <w:spacing w:line="360" w:lineRule="auto"/>
        <w:ind w:left="0" w:leftChars="0" w:firstLine="420" w:firstLineChars="200"/>
        <w:contextualSpacing/>
        <w:rPr>
          <w:rFonts w:hint="eastAsia" w:ascii="宋体" w:hAnsi="宋体"/>
        </w:rPr>
      </w:pPr>
      <w:r>
        <w:rPr>
          <w:rFonts w:hint="eastAsia" w:ascii="宋体" w:hAnsi="宋体"/>
        </w:rPr>
        <w:t>1.合同价款</w:t>
      </w:r>
    </w:p>
    <w:p w14:paraId="19546E33">
      <w:pPr>
        <w:pStyle w:val="19"/>
        <w:spacing w:line="360" w:lineRule="auto"/>
        <w:ind w:left="0" w:leftChars="0" w:firstLine="420" w:firstLineChars="200"/>
        <w:contextualSpacing/>
      </w:pPr>
      <w:r>
        <w:rPr>
          <w:rFonts w:hint="eastAsia" w:ascii="宋体" w:hAnsi="宋体"/>
        </w:rPr>
        <w:t>本合同金额</w:t>
      </w:r>
      <w:r>
        <w:rPr>
          <w:rFonts w:hint="eastAsia" w:ascii="宋体" w:hAnsi="宋体"/>
          <w:lang w:val="en-US" w:eastAsia="zh-CN"/>
        </w:rPr>
        <w:t>暂定</w:t>
      </w:r>
      <w:r>
        <w:rPr>
          <w:rFonts w:hint="eastAsia" w:ascii="宋体" w:hAnsi="宋体"/>
        </w:rPr>
        <w:t>为（大写）：_________</w:t>
      </w:r>
      <w:r>
        <w:rPr>
          <w:rFonts w:hint="eastAsia" w:ascii="宋体" w:hAnsi="宋体"/>
          <w:lang w:eastAsia="zh-CN"/>
        </w:rPr>
        <w:t>（</w:t>
      </w:r>
      <w:r>
        <w:rPr>
          <w:rFonts w:hint="eastAsia" w:ascii="宋体" w:hAnsi="宋体"/>
          <w:lang w:val="en-US" w:eastAsia="zh-CN"/>
        </w:rPr>
        <w:t>小写：¥</w:t>
      </w:r>
      <w:r>
        <w:rPr>
          <w:rFonts w:hint="eastAsia" w:ascii="宋体" w:hAnsi="宋体"/>
          <w:u w:val="single"/>
          <w:lang w:val="en-US" w:eastAsia="zh-CN"/>
        </w:rPr>
        <w:t xml:space="preserve">       </w:t>
      </w:r>
      <w:r>
        <w:rPr>
          <w:rFonts w:hint="eastAsia" w:ascii="宋体" w:hAnsi="宋体"/>
          <w:lang w:eastAsia="zh-CN"/>
        </w:rPr>
        <w:t>）。终按实际投保人员数量、合同结算单价结算，但总价不超过</w:t>
      </w:r>
      <w:r>
        <w:rPr>
          <w:rFonts w:hint="eastAsia" w:ascii="宋体" w:hAnsi="宋体"/>
          <w:lang w:val="en-US" w:eastAsia="zh-CN"/>
        </w:rPr>
        <w:t>30.82</w:t>
      </w:r>
      <w:r>
        <w:rPr>
          <w:rFonts w:hint="eastAsia" w:ascii="宋体" w:hAnsi="宋体"/>
          <w:lang w:eastAsia="zh-CN"/>
        </w:rPr>
        <w:t>万元。</w:t>
      </w:r>
    </w:p>
    <w:tbl>
      <w:tblPr>
        <w:tblStyle w:val="42"/>
        <w:tblW w:w="9359" w:type="dxa"/>
        <w:jc w:val="center"/>
        <w:tblLayout w:type="fixed"/>
        <w:tblCellMar>
          <w:top w:w="0" w:type="dxa"/>
          <w:left w:w="0" w:type="dxa"/>
          <w:bottom w:w="0" w:type="dxa"/>
          <w:right w:w="0" w:type="dxa"/>
        </w:tblCellMar>
      </w:tblPr>
      <w:tblGrid>
        <w:gridCol w:w="1288"/>
        <w:gridCol w:w="4296"/>
        <w:gridCol w:w="3775"/>
      </w:tblGrid>
      <w:tr w14:paraId="083B150D">
        <w:tblPrEx>
          <w:tblCellMar>
            <w:top w:w="0" w:type="dxa"/>
            <w:left w:w="0" w:type="dxa"/>
            <w:bottom w:w="0" w:type="dxa"/>
            <w:right w:w="0" w:type="dxa"/>
          </w:tblCellMar>
        </w:tblPrEx>
        <w:trPr>
          <w:trHeight w:val="539" w:hRule="atLeast"/>
          <w:jc w:val="center"/>
        </w:trPr>
        <w:tc>
          <w:tcPr>
            <w:tcW w:w="12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71469E0">
            <w:pPr>
              <w:spacing w:line="240" w:lineRule="auto"/>
              <w:jc w:val="center"/>
            </w:pPr>
            <w:r>
              <w:rPr>
                <w:rFonts w:hint="eastAsia"/>
              </w:rPr>
              <w:t>序号</w:t>
            </w:r>
          </w:p>
        </w:tc>
        <w:tc>
          <w:tcPr>
            <w:tcW w:w="42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452E9DED">
            <w:pPr>
              <w:spacing w:line="240" w:lineRule="auto"/>
              <w:jc w:val="center"/>
            </w:pPr>
            <w:r>
              <w:rPr>
                <w:rFonts w:hint="eastAsia"/>
              </w:rPr>
              <w:t>保险种类</w:t>
            </w:r>
          </w:p>
        </w:tc>
        <w:tc>
          <w:tcPr>
            <w:tcW w:w="377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6D67FD">
            <w:pPr>
              <w:spacing w:line="240" w:lineRule="auto"/>
              <w:jc w:val="center"/>
            </w:pPr>
            <w:r>
              <w:rPr>
                <w:rFonts w:hint="eastAsia"/>
              </w:rPr>
              <w:t>结算单价（元/人）</w:t>
            </w:r>
          </w:p>
        </w:tc>
      </w:tr>
      <w:tr w14:paraId="7EF429E1">
        <w:tblPrEx>
          <w:tblCellMar>
            <w:top w:w="0" w:type="dxa"/>
            <w:left w:w="0" w:type="dxa"/>
            <w:bottom w:w="0" w:type="dxa"/>
            <w:right w:w="0" w:type="dxa"/>
          </w:tblCellMar>
        </w:tblPrEx>
        <w:trPr>
          <w:trHeight w:val="561" w:hRule="atLeast"/>
          <w:jc w:val="center"/>
        </w:trPr>
        <w:tc>
          <w:tcPr>
            <w:tcW w:w="12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A359C7">
            <w:pPr>
              <w:spacing w:line="240" w:lineRule="auto"/>
              <w:jc w:val="center"/>
            </w:pPr>
            <w:r>
              <w:rPr>
                <w:rFonts w:hint="eastAsia"/>
              </w:rPr>
              <w:t>1</w:t>
            </w:r>
          </w:p>
        </w:tc>
        <w:tc>
          <w:tcPr>
            <w:tcW w:w="42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EB82120">
            <w:pPr>
              <w:spacing w:line="240" w:lineRule="auto"/>
              <w:jc w:val="center"/>
            </w:pPr>
            <w:r>
              <w:rPr>
                <w:rFonts w:hint="eastAsia"/>
              </w:rPr>
              <w:t>消防文员人身意外保险</w:t>
            </w:r>
          </w:p>
        </w:tc>
        <w:tc>
          <w:tcPr>
            <w:tcW w:w="377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DBAFCD">
            <w:pPr>
              <w:spacing w:line="240" w:lineRule="auto"/>
              <w:jc w:val="center"/>
            </w:pPr>
          </w:p>
        </w:tc>
      </w:tr>
      <w:tr w14:paraId="5546905B">
        <w:tblPrEx>
          <w:tblCellMar>
            <w:top w:w="0" w:type="dxa"/>
            <w:left w:w="0" w:type="dxa"/>
            <w:bottom w:w="0" w:type="dxa"/>
            <w:right w:w="0" w:type="dxa"/>
          </w:tblCellMar>
        </w:tblPrEx>
        <w:trPr>
          <w:trHeight w:val="580" w:hRule="atLeast"/>
          <w:jc w:val="center"/>
        </w:trPr>
        <w:tc>
          <w:tcPr>
            <w:tcW w:w="1288"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7F797D8">
            <w:pPr>
              <w:spacing w:line="240" w:lineRule="auto"/>
              <w:jc w:val="center"/>
            </w:pPr>
            <w:r>
              <w:rPr>
                <w:rFonts w:hint="eastAsia"/>
              </w:rPr>
              <w:t>2</w:t>
            </w:r>
          </w:p>
        </w:tc>
        <w:tc>
          <w:tcPr>
            <w:tcW w:w="4296"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0892417">
            <w:pPr>
              <w:spacing w:line="240" w:lineRule="auto"/>
              <w:jc w:val="center"/>
            </w:pPr>
            <w:r>
              <w:rPr>
                <w:rFonts w:hint="eastAsia"/>
              </w:rPr>
              <w:t>大队专职消防员人身意外保险</w:t>
            </w:r>
          </w:p>
        </w:tc>
        <w:tc>
          <w:tcPr>
            <w:tcW w:w="3775" w:type="dxa"/>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83A727A">
            <w:pPr>
              <w:spacing w:line="240" w:lineRule="auto"/>
              <w:jc w:val="center"/>
            </w:pPr>
          </w:p>
        </w:tc>
      </w:tr>
    </w:tbl>
    <w:p w14:paraId="21D675B9">
      <w:pPr>
        <w:pStyle w:val="19"/>
        <w:spacing w:line="360" w:lineRule="auto"/>
        <w:ind w:left="0" w:leftChars="0" w:firstLine="420" w:firstLineChars="200"/>
        <w:contextualSpacing/>
        <w:rPr>
          <w:rFonts w:hint="eastAsia" w:eastAsia="宋体"/>
          <w:u w:val="single"/>
          <w:lang w:eastAsia="zh-CN"/>
        </w:rPr>
      </w:pPr>
      <w:r>
        <w:rPr>
          <w:rFonts w:hint="eastAsia"/>
        </w:rPr>
        <w:t>2. 合同履行期限：</w:t>
      </w:r>
      <w:r>
        <w:rPr>
          <w:rFonts w:hint="eastAsia" w:ascii="宋体" w:hAnsi="宋体" w:cs="宋体"/>
          <w:color w:val="0000CC"/>
          <w:sz w:val="24"/>
          <w:u w:val="single"/>
        </w:rPr>
        <w:t>自合同签订之日起30日历天内，乙方应当完成所需人员全部保单的生成；保险期限自保单生成之日起1年。保险期满，乙方的保险服务经甲方认可的，可续签合同1年</w:t>
      </w:r>
      <w:r>
        <w:rPr>
          <w:rFonts w:hint="eastAsia" w:ascii="宋体" w:hAnsi="宋体" w:cs="宋体"/>
          <w:color w:val="0000CC"/>
          <w:sz w:val="24"/>
          <w:u w:val="single"/>
          <w:lang w:eastAsia="zh-CN"/>
        </w:rPr>
        <w:t>。</w:t>
      </w:r>
    </w:p>
    <w:p w14:paraId="77ECB62F">
      <w:pPr>
        <w:spacing w:line="360" w:lineRule="auto"/>
        <w:ind w:firstLine="420" w:firstLineChars="200"/>
        <w:contextualSpacing/>
        <w:rPr>
          <w:rFonts w:hint="eastAsia" w:ascii="宋体" w:hAnsi="宋体"/>
          <w:lang w:val="en-US" w:eastAsia="zh-CN"/>
        </w:rPr>
      </w:pPr>
      <w:r>
        <w:rPr>
          <w:rFonts w:hint="eastAsia" w:ascii="宋体" w:hAnsi="宋体"/>
          <w:lang w:val="en-US" w:eastAsia="zh-CN"/>
        </w:rPr>
        <w:t>三、人员变动结算规则</w:t>
      </w:r>
    </w:p>
    <w:p w14:paraId="67D67380">
      <w:pPr>
        <w:spacing w:line="360" w:lineRule="auto"/>
        <w:ind w:firstLine="420" w:firstLineChars="200"/>
        <w:contextualSpacing/>
        <w:rPr>
          <w:rFonts w:hint="eastAsia" w:ascii="宋体" w:hAnsi="宋体"/>
          <w:lang w:val="en-US" w:eastAsia="zh-CN"/>
        </w:rPr>
      </w:pPr>
      <w:r>
        <w:rPr>
          <w:rFonts w:hint="eastAsia" w:ascii="宋体" w:hAnsi="宋体"/>
          <w:lang w:val="en-US" w:eastAsia="zh-CN"/>
        </w:rPr>
        <w:t>1.合同履行期间，被保险人人员数量发生增减的，甲方应提前5个工作日书面通知乙方。乙方应在收到通知后5个工作日内完成新增人员的保单生成或减少人员的保单批改。</w:t>
      </w:r>
    </w:p>
    <w:p w14:paraId="0F6F879A">
      <w:pPr>
        <w:spacing w:line="360" w:lineRule="auto"/>
        <w:ind w:firstLine="420" w:firstLineChars="200"/>
        <w:contextualSpacing/>
        <w:rPr>
          <w:rFonts w:hint="eastAsia" w:ascii="宋体" w:hAnsi="宋体"/>
          <w:lang w:val="en-US" w:eastAsia="zh-CN"/>
        </w:rPr>
      </w:pPr>
      <w:r>
        <w:rPr>
          <w:rFonts w:hint="eastAsia" w:ascii="宋体" w:hAnsi="宋体"/>
          <w:lang w:val="en-US" w:eastAsia="zh-CN"/>
        </w:rPr>
        <w:t>2.合同价款最终结算：最终结算价=</w:t>
      </w:r>
      <w:r>
        <w:rPr>
          <w:rFonts w:hint="eastAsia"/>
        </w:rPr>
        <w:t>消防文员人身意外保险</w:t>
      </w:r>
      <w:r>
        <w:rPr>
          <w:rFonts w:hint="eastAsia" w:ascii="宋体" w:hAnsi="宋体"/>
          <w:lang w:val="en-US" w:eastAsia="zh-CN"/>
        </w:rPr>
        <w:t>结算单价×消防文员人身意外保险实际投保人员人数+大队专职消防员人身意外保险结算单价+大队专职消防员人身意外保险实际投保人员人数，但总价不超过30.82万元。</w:t>
      </w:r>
    </w:p>
    <w:p w14:paraId="3B6F10E6">
      <w:pPr>
        <w:spacing w:line="360" w:lineRule="auto"/>
        <w:ind w:firstLine="420" w:firstLineChars="200"/>
        <w:contextualSpacing/>
        <w:rPr>
          <w:rFonts w:hint="eastAsia" w:ascii="宋体" w:hAnsi="宋体"/>
        </w:rPr>
      </w:pPr>
      <w:r>
        <w:rPr>
          <w:rFonts w:hint="eastAsia" w:ascii="宋体" w:hAnsi="宋体"/>
          <w:lang w:val="en-US" w:eastAsia="zh-CN"/>
        </w:rPr>
        <w:t>四</w:t>
      </w:r>
      <w:r>
        <w:rPr>
          <w:rFonts w:hint="eastAsia" w:ascii="宋体" w:hAnsi="宋体"/>
        </w:rPr>
        <w:t>、付款方式</w:t>
      </w:r>
    </w:p>
    <w:p w14:paraId="2EE82777">
      <w:pPr>
        <w:spacing w:line="360" w:lineRule="auto"/>
        <w:ind w:firstLine="422" w:firstLineChars="200"/>
        <w:contextualSpacing/>
        <w:rPr>
          <w:rFonts w:hint="eastAsia" w:ascii="宋体" w:hAnsi="宋体"/>
          <w:b/>
          <w:bCs/>
        </w:rPr>
      </w:pPr>
      <w:r>
        <w:rPr>
          <w:rFonts w:hint="eastAsia" w:ascii="宋体" w:hAnsi="宋体"/>
          <w:b/>
          <w:bCs/>
        </w:rPr>
        <w:t>本项目无预付款，所有人员保险合同签订完毕生效后按合同结算单价</w:t>
      </w:r>
      <w:r>
        <w:rPr>
          <w:rFonts w:ascii="宋体" w:hAnsi="宋体"/>
          <w:b/>
          <w:bCs/>
        </w:rPr>
        <w:t>×</w:t>
      </w:r>
      <w:r>
        <w:rPr>
          <w:rFonts w:hint="eastAsia" w:ascii="宋体" w:hAnsi="宋体"/>
          <w:b/>
          <w:bCs/>
        </w:rPr>
        <w:t>实际投保人员数量所得的总价一次性付清。</w:t>
      </w:r>
    </w:p>
    <w:p w14:paraId="1B3EC6E4">
      <w:pPr>
        <w:spacing w:line="360" w:lineRule="auto"/>
        <w:ind w:firstLine="422" w:firstLineChars="200"/>
        <w:contextualSpacing/>
        <w:rPr>
          <w:rFonts w:hint="eastAsia" w:ascii="宋体" w:hAnsi="宋体"/>
          <w:b/>
          <w:bCs/>
        </w:rPr>
      </w:pPr>
      <w:r>
        <w:rPr>
          <w:rFonts w:hint="eastAsia" w:ascii="宋体" w:hAnsi="宋体"/>
          <w:b/>
          <w:bCs/>
        </w:rPr>
        <w:t>按以上进度付款无任何利息补偿，付款时</w:t>
      </w:r>
      <w:r>
        <w:rPr>
          <w:rFonts w:hint="eastAsia" w:ascii="宋体" w:hAnsi="宋体"/>
          <w:b/>
          <w:bCs/>
          <w:lang w:val="en-US" w:eastAsia="zh-CN"/>
        </w:rPr>
        <w:t>乙方</w:t>
      </w:r>
      <w:r>
        <w:rPr>
          <w:rFonts w:hint="eastAsia" w:ascii="宋体" w:hAnsi="宋体"/>
          <w:b/>
          <w:bCs/>
        </w:rPr>
        <w:t>须提供</w:t>
      </w:r>
      <w:r>
        <w:rPr>
          <w:rFonts w:hint="eastAsia" w:ascii="宋体" w:hAnsi="宋体"/>
          <w:b/>
          <w:bCs/>
          <w:lang w:val="en-US" w:eastAsia="zh-CN"/>
        </w:rPr>
        <w:t>甲方</w:t>
      </w:r>
      <w:r>
        <w:rPr>
          <w:rFonts w:hint="eastAsia" w:ascii="宋体" w:hAnsi="宋体"/>
          <w:b/>
          <w:bCs/>
        </w:rPr>
        <w:t>认可的增值税发票。</w:t>
      </w:r>
    </w:p>
    <w:p w14:paraId="5260D751">
      <w:pPr>
        <w:spacing w:line="360" w:lineRule="auto"/>
        <w:ind w:firstLine="422" w:firstLineChars="200"/>
        <w:contextualSpacing/>
        <w:rPr>
          <w:rFonts w:hint="eastAsia" w:ascii="宋体" w:hAnsi="宋体"/>
          <w:b/>
          <w:bCs/>
        </w:rPr>
      </w:pPr>
      <w:r>
        <w:rPr>
          <w:rFonts w:hint="eastAsia" w:ascii="宋体" w:hAnsi="宋体"/>
          <w:b/>
          <w:bCs/>
        </w:rPr>
        <w:t>合同价款一律通过银行非现金结算，结算方式：转账。</w:t>
      </w:r>
    </w:p>
    <w:p w14:paraId="68312AFF">
      <w:pPr>
        <w:spacing w:line="360" w:lineRule="auto"/>
        <w:ind w:firstLine="422" w:firstLineChars="200"/>
        <w:contextualSpacing/>
        <w:rPr>
          <w:rFonts w:hint="eastAsia" w:ascii="宋体" w:hAnsi="宋体"/>
          <w:b/>
          <w:bCs/>
        </w:rPr>
      </w:pPr>
      <w:r>
        <w:rPr>
          <w:rFonts w:hint="eastAsia" w:ascii="宋体" w:hAnsi="宋体"/>
          <w:b/>
          <w:bCs/>
        </w:rPr>
        <w:t>甲方保留适度调整采购需求的权利，</w:t>
      </w:r>
      <w:r>
        <w:rPr>
          <w:rFonts w:hint="eastAsia"/>
          <w:b/>
          <w:bCs/>
        </w:rPr>
        <w:t>乙方应当无条件配合被保险人员名额的调整。</w:t>
      </w:r>
      <w:r>
        <w:rPr>
          <w:rFonts w:hint="eastAsia" w:ascii="宋体" w:hAnsi="宋体"/>
          <w:b/>
          <w:bCs/>
        </w:rPr>
        <w:t>本项目最终按实际投保人员数量、合同结算单价结算</w:t>
      </w:r>
      <w:r>
        <w:rPr>
          <w:rFonts w:hint="eastAsia" w:ascii="宋体" w:hAnsi="宋体"/>
          <w:b/>
          <w:bCs/>
          <w:color w:val="FF0000"/>
        </w:rPr>
        <w:t>，但总价不超过</w:t>
      </w:r>
      <w:r>
        <w:rPr>
          <w:rFonts w:hint="eastAsia" w:ascii="宋体" w:hAnsi="宋体"/>
          <w:b/>
          <w:bCs/>
          <w:color w:val="FF0000"/>
          <w:lang w:val="en-US" w:eastAsia="zh-CN"/>
        </w:rPr>
        <w:t>30.82</w:t>
      </w:r>
      <w:r>
        <w:rPr>
          <w:rFonts w:hint="eastAsia" w:ascii="宋体" w:hAnsi="宋体"/>
          <w:b/>
          <w:bCs/>
          <w:color w:val="FF0000"/>
        </w:rPr>
        <w:t>万元</w:t>
      </w:r>
      <w:r>
        <w:rPr>
          <w:rFonts w:hint="eastAsia" w:ascii="宋体" w:hAnsi="宋体"/>
          <w:b/>
          <w:bCs/>
        </w:rPr>
        <w:t>。</w:t>
      </w:r>
    </w:p>
    <w:p w14:paraId="414B5A0B">
      <w:pPr>
        <w:spacing w:line="360" w:lineRule="auto"/>
        <w:ind w:firstLine="420" w:firstLineChars="200"/>
        <w:contextualSpacing/>
        <w:rPr>
          <w:rFonts w:hint="eastAsia" w:ascii="宋体" w:hAnsi="宋体"/>
        </w:rPr>
      </w:pPr>
      <w:r>
        <w:rPr>
          <w:rFonts w:hint="eastAsia" w:ascii="宋体" w:hAnsi="宋体"/>
          <w:lang w:val="en-US" w:eastAsia="zh-CN"/>
        </w:rPr>
        <w:t>五</w:t>
      </w:r>
      <w:r>
        <w:rPr>
          <w:rFonts w:hint="eastAsia" w:ascii="宋体" w:hAnsi="宋体"/>
        </w:rPr>
        <w:t>、履约保证金</w:t>
      </w:r>
    </w:p>
    <w:p w14:paraId="152CC3B2">
      <w:pPr>
        <w:spacing w:line="360" w:lineRule="auto"/>
        <w:ind w:firstLine="420" w:firstLineChars="200"/>
        <w:contextualSpacing/>
        <w:rPr>
          <w:rFonts w:hint="eastAsia" w:ascii="宋体" w:hAnsi="宋体"/>
          <w:color w:val="0000CC"/>
        </w:rPr>
      </w:pPr>
      <w:r>
        <w:rPr>
          <w:rFonts w:hint="eastAsia" w:ascii="宋体" w:hAnsi="宋体"/>
          <w:color w:val="0000CC"/>
        </w:rPr>
        <w:t>在签订合同前，须向甲方缴纳中标价的10%作为履约保证金。乙方存在违约行为给甲方造成损失的，甲方有权直接从履约保证金中扣除相应损失金额，不足部分甲方有权向乙方追偿。</w:t>
      </w:r>
    </w:p>
    <w:p w14:paraId="02CA36EF">
      <w:pPr>
        <w:spacing w:line="360" w:lineRule="auto"/>
        <w:ind w:firstLine="420" w:firstLineChars="200"/>
        <w:contextualSpacing/>
        <w:rPr>
          <w:rFonts w:ascii="宋体" w:hAnsi="宋体"/>
          <w:color w:val="0000CC"/>
        </w:rPr>
      </w:pPr>
      <w:r>
        <w:rPr>
          <w:rFonts w:hint="eastAsia" w:ascii="宋体" w:hAnsi="宋体"/>
          <w:color w:val="0000CC"/>
          <w:lang w:val="en-US" w:eastAsia="zh-CN"/>
        </w:rPr>
        <w:t>甲方</w:t>
      </w:r>
      <w:r>
        <w:rPr>
          <w:rFonts w:hint="eastAsia" w:ascii="宋体" w:hAnsi="宋体"/>
          <w:color w:val="0000CC"/>
        </w:rPr>
        <w:t>对AA评级及以上</w:t>
      </w:r>
      <w:r>
        <w:rPr>
          <w:rFonts w:hint="eastAsia" w:ascii="宋体" w:hAnsi="宋体"/>
          <w:color w:val="0000CC"/>
          <w:lang w:val="en-US" w:eastAsia="zh-CN"/>
        </w:rPr>
        <w:t>乙方</w:t>
      </w:r>
      <w:r>
        <w:rPr>
          <w:rFonts w:hint="eastAsia" w:ascii="宋体" w:hAnsi="宋体"/>
          <w:color w:val="0000CC"/>
        </w:rPr>
        <w:t>（需提供信用管理部门备案的第三方信用报告，且信用报告通过“信用盐城网”可查实。），免收履约保证金。</w:t>
      </w:r>
    </w:p>
    <w:p w14:paraId="6B38E2E7">
      <w:pPr>
        <w:spacing w:line="360" w:lineRule="auto"/>
        <w:ind w:firstLine="420" w:firstLineChars="200"/>
        <w:contextualSpacing/>
        <w:rPr>
          <w:rFonts w:hint="eastAsia" w:ascii="宋体" w:hAnsi="宋体"/>
          <w:color w:val="0000CC"/>
        </w:rPr>
      </w:pPr>
      <w:r>
        <w:rPr>
          <w:rFonts w:hint="eastAsia" w:ascii="宋体" w:hAnsi="宋体"/>
          <w:color w:val="0000CC"/>
        </w:rPr>
        <w:t>履约保证金退还时间：履约保证金在保险服务期限届满且乙方无违约行为、无未决理赔事项后30日内无息退还。</w:t>
      </w:r>
    </w:p>
    <w:p w14:paraId="2A14CFA9">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eastAsia="宋体" w:cs="Times New Roman"/>
          <w:kern w:val="2"/>
          <w:sz w:val="21"/>
          <w:szCs w:val="24"/>
          <w:lang w:val="en-US" w:eastAsia="zh-CN" w:bidi="ar-SA"/>
        </w:rPr>
        <w:t>六、</w:t>
      </w:r>
      <w:r>
        <w:rPr>
          <w:rFonts w:hint="eastAsia" w:ascii="宋体" w:hAnsi="宋体"/>
          <w:lang w:val="en-US" w:eastAsia="zh-CN"/>
        </w:rPr>
        <w:t>违约责任</w:t>
      </w:r>
    </w:p>
    <w:p w14:paraId="7CCB7D1C">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lang w:val="en-US" w:eastAsia="zh-CN"/>
        </w:rPr>
        <w:t>1.乙方未在约定期限内完成保单生成或批改的，每逾期一日，应向甲方支付合同暂定总价的万分之五作为违约金，逾期超过15日的，甲方有权单方解除合同。</w:t>
      </w:r>
    </w:p>
    <w:p w14:paraId="4485690A">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lang w:val="en-US" w:eastAsia="zh-CN"/>
        </w:rPr>
        <w:t>2.乙方无正当理由拒绝赔付或拖延理赔的，每发生一次，应向甲方支付5000元违约金，甲方有权直接从履约保证金中扣除；累计发生三次以上的，甲方有权单方解除合同。</w:t>
      </w:r>
    </w:p>
    <w:p w14:paraId="34B5E905">
      <w:pPr>
        <w:numPr>
          <w:ilvl w:val="0"/>
          <w:numId w:val="0"/>
        </w:numPr>
        <w:spacing w:line="360" w:lineRule="auto"/>
        <w:ind w:firstLine="420" w:firstLineChars="200"/>
        <w:contextualSpacing/>
        <w:rPr>
          <w:rFonts w:hint="default"/>
          <w:lang w:val="en-US" w:eastAsia="zh-CN"/>
        </w:rPr>
      </w:pPr>
      <w:r>
        <w:rPr>
          <w:rFonts w:hint="eastAsia" w:ascii="宋体" w:hAnsi="宋体"/>
          <w:lang w:val="en-US" w:eastAsia="zh-CN"/>
        </w:rPr>
        <w:t>3.保险服务未达到本合同附件《年度服务考核细则》约定标准的，甲方有权根据考核细则的规定扣除相应比例的履约保证金。</w:t>
      </w:r>
    </w:p>
    <w:p w14:paraId="55D73A86">
      <w:pPr>
        <w:spacing w:line="360" w:lineRule="auto"/>
        <w:ind w:firstLine="420" w:firstLineChars="200"/>
        <w:contextualSpacing/>
        <w:rPr>
          <w:rFonts w:hint="eastAsia" w:ascii="宋体" w:hAnsi="宋体" w:eastAsia="宋体"/>
          <w:lang w:eastAsia="zh-CN"/>
        </w:rPr>
      </w:pPr>
      <w:r>
        <w:rPr>
          <w:rFonts w:hint="eastAsia" w:ascii="宋体" w:hAnsi="宋体"/>
          <w:lang w:val="en-US" w:eastAsia="zh-CN"/>
        </w:rPr>
        <w:t>七</w:t>
      </w:r>
      <w:r>
        <w:rPr>
          <w:rFonts w:hint="eastAsia" w:ascii="宋体" w:hAnsi="宋体"/>
        </w:rPr>
        <w:t>、</w:t>
      </w:r>
      <w:r>
        <w:rPr>
          <w:rFonts w:hint="eastAsia" w:ascii="宋体" w:hAnsi="宋体"/>
          <w:lang w:val="en-US" w:eastAsia="zh-CN"/>
        </w:rPr>
        <w:t>保密义务</w:t>
      </w:r>
    </w:p>
    <w:p w14:paraId="17F1A1A5">
      <w:pPr>
        <w:spacing w:line="360" w:lineRule="auto"/>
        <w:ind w:firstLine="420" w:firstLineChars="200"/>
        <w:contextualSpacing/>
        <w:rPr>
          <w:rFonts w:hint="eastAsia" w:ascii="宋体" w:hAnsi="宋体"/>
          <w:lang w:val="en-US" w:eastAsia="zh-CN"/>
        </w:rPr>
      </w:pPr>
      <w:r>
        <w:rPr>
          <w:rFonts w:hint="eastAsia" w:ascii="宋体" w:hAnsi="宋体"/>
          <w:lang w:val="en-US" w:eastAsia="zh-CN"/>
        </w:rPr>
        <w:t>乙方应对甲方及被保险人信息严格保密，未经甲方书面同意不得向第三方披露。若乙方违反保密义务，需向甲方支付违约金，违约金金额为合同暂定总价的10%，并赔偿甲方因此遭受的全部损失。</w:t>
      </w:r>
    </w:p>
    <w:p w14:paraId="1C4FBB69">
      <w:pPr>
        <w:spacing w:line="360" w:lineRule="auto"/>
        <w:ind w:firstLine="420" w:firstLineChars="200"/>
        <w:contextualSpacing/>
        <w:rPr>
          <w:rFonts w:hint="default" w:ascii="宋体" w:hAnsi="宋体"/>
          <w:lang w:val="en-US" w:eastAsia="zh-CN"/>
        </w:rPr>
      </w:pPr>
      <w:r>
        <w:rPr>
          <w:rFonts w:hint="eastAsia" w:ascii="宋体" w:hAnsi="宋体"/>
          <w:lang w:val="en-US" w:eastAsia="zh-CN"/>
        </w:rPr>
        <w:t>八、合同解除</w:t>
      </w:r>
    </w:p>
    <w:p w14:paraId="6B8853B1">
      <w:pPr>
        <w:spacing w:line="360" w:lineRule="auto"/>
        <w:ind w:firstLine="420" w:firstLineChars="200"/>
        <w:contextualSpacing/>
        <w:rPr>
          <w:rFonts w:hint="eastAsia" w:ascii="宋体" w:hAnsi="宋体"/>
          <w:lang w:val="en-US" w:eastAsia="zh-CN"/>
        </w:rPr>
      </w:pPr>
      <w:r>
        <w:rPr>
          <w:rFonts w:hint="eastAsia" w:ascii="宋体" w:hAnsi="宋体"/>
          <w:lang w:val="en-US" w:eastAsia="zh-CN"/>
        </w:rPr>
        <w:t>如乙方发生根本违约，包括但不限于严重违反服务标准、被吊销经营保险业务许可证、偿付能力严重不足等情形，甲方有权书面通知乙方单方解除合同，并要求乙方承担违约责任。合同解除后，乙方应按甲方要求办理已生效保单的移交或批改手续，确保保险保障不中断。</w:t>
      </w:r>
    </w:p>
    <w:p w14:paraId="1EE2789E">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eastAsia="宋体" w:cs="Times New Roman"/>
          <w:kern w:val="2"/>
          <w:sz w:val="21"/>
          <w:szCs w:val="24"/>
          <w:lang w:val="en-US" w:eastAsia="zh-CN" w:bidi="ar-SA"/>
        </w:rPr>
        <w:t>九、</w:t>
      </w:r>
      <w:r>
        <w:rPr>
          <w:rFonts w:hint="eastAsia" w:ascii="宋体" w:hAnsi="宋体"/>
          <w:lang w:val="en-US" w:eastAsia="zh-CN"/>
        </w:rPr>
        <w:t>争议解决</w:t>
      </w:r>
    </w:p>
    <w:p w14:paraId="674BA14D">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lang w:val="en-US" w:eastAsia="zh-CN"/>
        </w:rPr>
        <w:t>因本合同引起的或与本合同有关的任何争议，双方应协商解决；协商不成的，任何一方均有权向甲方所在地有管辖权的人民法院提起诉讼。</w:t>
      </w:r>
    </w:p>
    <w:p w14:paraId="43A414F7">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lang w:val="en-US" w:eastAsia="zh-CN"/>
        </w:rPr>
        <w:t>十、年度服务考核</w:t>
      </w:r>
    </w:p>
    <w:p w14:paraId="17755D05">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lang w:val="en-US" w:eastAsia="zh-CN"/>
        </w:rPr>
        <w:t>1.合同履行期满一年前30日内，甲方依据本合同附件《年度服务考核细则》对乙方进行考核。</w:t>
      </w:r>
    </w:p>
    <w:p w14:paraId="4FF7AFE0">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lang w:val="en-US" w:eastAsia="zh-CN"/>
        </w:rPr>
        <w:t>2.考核结果分为"合格"与"不合格"。考核合格的，经双方协商一致可续签合同1年，续签合同单价不变；考核不合格的，甲方有权不予续签合同，且不承担任何违约责任。</w:t>
      </w:r>
    </w:p>
    <w:p w14:paraId="34A0672E">
      <w:pPr>
        <w:numPr>
          <w:ilvl w:val="0"/>
          <w:numId w:val="0"/>
        </w:numPr>
        <w:spacing w:line="360" w:lineRule="auto"/>
        <w:ind w:firstLine="420" w:firstLineChars="200"/>
        <w:contextualSpacing/>
        <w:rPr>
          <w:rFonts w:hint="eastAsia" w:ascii="宋体" w:hAnsi="宋体"/>
          <w:lang w:val="en-US" w:eastAsia="zh-CN"/>
        </w:rPr>
      </w:pPr>
      <w:r>
        <w:rPr>
          <w:rFonts w:hint="eastAsia" w:ascii="宋体" w:hAnsi="宋体"/>
          <w:lang w:val="en-US" w:eastAsia="zh-CN"/>
        </w:rPr>
        <w:t>3.甲方应在考核结束后5个工作日内将考核结果书面通知乙方。乙方对考核结果有异议的，可在收到通知后5个工作日内向甲方提出书面申诉，甲方应在收到申诉后10个工作日内作出复核答复。</w:t>
      </w:r>
    </w:p>
    <w:p w14:paraId="56B6C992">
      <w:pPr>
        <w:numPr>
          <w:ilvl w:val="0"/>
          <w:numId w:val="0"/>
        </w:numPr>
        <w:spacing w:line="360" w:lineRule="auto"/>
        <w:ind w:firstLine="420" w:firstLineChars="200"/>
        <w:contextualSpacing/>
        <w:rPr>
          <w:rFonts w:hint="eastAsia" w:ascii="宋体" w:hAnsi="宋体"/>
        </w:rPr>
      </w:pPr>
      <w:r>
        <w:rPr>
          <w:rFonts w:hint="eastAsia" w:ascii="宋体" w:hAnsi="宋体"/>
          <w:lang w:val="en-US" w:eastAsia="zh-CN"/>
        </w:rPr>
        <w:t>十一</w:t>
      </w:r>
      <w:r>
        <w:rPr>
          <w:rFonts w:hint="eastAsia" w:ascii="宋体" w:hAnsi="宋体"/>
        </w:rPr>
        <w:t>、本合同由下列文件共同构成：</w:t>
      </w:r>
    </w:p>
    <w:p w14:paraId="3D5FC5DF">
      <w:pPr>
        <w:spacing w:line="360" w:lineRule="auto"/>
        <w:ind w:firstLine="420" w:firstLineChars="200"/>
        <w:contextualSpacing/>
        <w:rPr>
          <w:rFonts w:hint="eastAsia" w:ascii="宋体" w:hAnsi="宋体"/>
        </w:rPr>
      </w:pPr>
      <w:r>
        <w:rPr>
          <w:rFonts w:hint="eastAsia" w:ascii="宋体" w:hAnsi="宋体"/>
        </w:rPr>
        <w:t>1.本合同书；</w:t>
      </w:r>
    </w:p>
    <w:p w14:paraId="1E36E211">
      <w:pPr>
        <w:spacing w:line="360" w:lineRule="auto"/>
        <w:ind w:firstLine="420" w:firstLineChars="200"/>
        <w:contextualSpacing/>
        <w:rPr>
          <w:rFonts w:hint="eastAsia" w:ascii="宋体" w:hAnsi="宋体"/>
        </w:rPr>
      </w:pPr>
      <w:r>
        <w:rPr>
          <w:rFonts w:hint="eastAsia" w:ascii="宋体" w:hAnsi="宋体"/>
        </w:rPr>
        <w:t>2.成交通知书；</w:t>
      </w:r>
    </w:p>
    <w:p w14:paraId="3A8B68CA">
      <w:pPr>
        <w:spacing w:line="360" w:lineRule="auto"/>
        <w:ind w:firstLine="420" w:firstLineChars="200"/>
        <w:contextualSpacing/>
        <w:rPr>
          <w:rFonts w:hint="eastAsia" w:ascii="宋体" w:hAnsi="宋体"/>
        </w:rPr>
      </w:pPr>
      <w:r>
        <w:rPr>
          <w:rFonts w:hint="eastAsia" w:ascii="宋体" w:hAnsi="宋体"/>
        </w:rPr>
        <w:t>3.采购人</w:t>
      </w:r>
      <w:r>
        <w:rPr>
          <w:rFonts w:hint="eastAsia" w:ascii="宋体" w:hAnsi="宋体"/>
          <w:szCs w:val="22"/>
        </w:rPr>
        <w:t>的竞争性磋商文</w:t>
      </w:r>
      <w:r>
        <w:rPr>
          <w:rFonts w:hint="eastAsia" w:ascii="宋体" w:hAnsi="宋体"/>
        </w:rPr>
        <w:t>件及其补充（答疑）资料；</w:t>
      </w:r>
    </w:p>
    <w:p w14:paraId="113FD338">
      <w:pPr>
        <w:spacing w:line="360" w:lineRule="auto"/>
        <w:ind w:firstLine="420" w:firstLineChars="200"/>
        <w:contextualSpacing/>
        <w:rPr>
          <w:rFonts w:hint="eastAsia" w:ascii="宋体" w:hAnsi="宋体"/>
        </w:rPr>
      </w:pPr>
      <w:r>
        <w:rPr>
          <w:rFonts w:hint="eastAsia" w:ascii="宋体" w:hAnsi="宋体"/>
        </w:rPr>
        <w:t>4.成交供应商的响应文件及其补充（澄清）资料。</w:t>
      </w:r>
    </w:p>
    <w:p w14:paraId="417C4C1F">
      <w:pPr>
        <w:spacing w:line="360" w:lineRule="auto"/>
        <w:ind w:firstLine="420" w:firstLineChars="200"/>
        <w:contextualSpacing/>
        <w:rPr>
          <w:rFonts w:hint="default" w:ascii="宋体" w:hAnsi="宋体"/>
          <w:lang w:val="en-US" w:eastAsia="zh-CN"/>
        </w:rPr>
      </w:pPr>
      <w:r>
        <w:rPr>
          <w:rFonts w:hint="eastAsia" w:ascii="宋体" w:hAnsi="宋体"/>
          <w:lang w:val="en-US" w:eastAsia="zh-CN"/>
        </w:rPr>
        <w:t>十二、其他</w:t>
      </w:r>
    </w:p>
    <w:p w14:paraId="5896C9E8">
      <w:pPr>
        <w:spacing w:line="360" w:lineRule="auto"/>
        <w:ind w:firstLine="420" w:firstLineChars="200"/>
        <w:contextualSpacing/>
        <w:rPr>
          <w:rFonts w:hint="eastAsia" w:ascii="宋体" w:hAnsi="宋体"/>
        </w:rPr>
      </w:pPr>
      <w:r>
        <w:rPr>
          <w:rFonts w:hint="eastAsia" w:ascii="宋体" w:hAnsi="宋体"/>
          <w:lang w:val="en-US" w:eastAsia="zh-CN"/>
        </w:rPr>
        <w:t>1.</w:t>
      </w:r>
      <w:r>
        <w:rPr>
          <w:rFonts w:hint="eastAsia" w:ascii="宋体" w:hAnsi="宋体"/>
        </w:rPr>
        <w:t>本合同未尽事宜，由甲、乙</w:t>
      </w:r>
      <w:r>
        <w:rPr>
          <w:rFonts w:hint="eastAsia" w:ascii="宋体" w:hAnsi="宋体"/>
          <w:szCs w:val="22"/>
        </w:rPr>
        <w:t>双方依据竞争性</w:t>
      </w:r>
      <w:r>
        <w:rPr>
          <w:rFonts w:hint="eastAsia" w:ascii="宋体" w:hAnsi="宋体"/>
          <w:szCs w:val="22"/>
          <w:lang w:val="en-US" w:eastAsia="zh-CN"/>
        </w:rPr>
        <w:t>磋商</w:t>
      </w:r>
      <w:r>
        <w:rPr>
          <w:rFonts w:hint="eastAsia" w:ascii="宋体" w:hAnsi="宋体"/>
        </w:rPr>
        <w:t>文件、成交供应商的响应文件另行协商解决。</w:t>
      </w:r>
    </w:p>
    <w:p w14:paraId="2BCCBCD2">
      <w:pPr>
        <w:spacing w:line="360" w:lineRule="auto"/>
        <w:ind w:firstLine="422" w:firstLineChars="200"/>
        <w:contextualSpacing/>
        <w:rPr>
          <w:rFonts w:hint="eastAsia" w:ascii="宋体" w:hAnsi="宋体"/>
          <w:b/>
          <w:bCs/>
        </w:rPr>
      </w:pPr>
      <w:r>
        <w:rPr>
          <w:rFonts w:hint="eastAsia" w:ascii="宋体" w:hAnsi="宋体"/>
          <w:b/>
          <w:bCs/>
          <w:szCs w:val="22"/>
          <w:lang w:val="en-US" w:eastAsia="zh-CN"/>
        </w:rPr>
        <w:t>2.</w:t>
      </w:r>
      <w:r>
        <w:rPr>
          <w:rFonts w:hint="eastAsia" w:ascii="宋体" w:hAnsi="宋体"/>
          <w:b/>
          <w:bCs/>
          <w:szCs w:val="22"/>
        </w:rPr>
        <w:t>本合同经双方签字盖章后生效，一式</w:t>
      </w:r>
      <w:r>
        <w:rPr>
          <w:rFonts w:hint="eastAsia" w:ascii="宋体" w:hAnsi="宋体"/>
          <w:b/>
          <w:bCs/>
          <w:szCs w:val="22"/>
          <w:u w:val="single"/>
        </w:rPr>
        <w:t xml:space="preserve"> 四 </w:t>
      </w:r>
      <w:r>
        <w:rPr>
          <w:rFonts w:hint="eastAsia" w:ascii="宋体" w:hAnsi="宋体"/>
          <w:b/>
          <w:bCs/>
          <w:szCs w:val="22"/>
        </w:rPr>
        <w:t>份，甲乙双方各执一份，其余用于相关单位存档，均具同等法律效力。</w:t>
      </w:r>
    </w:p>
    <w:p w14:paraId="6874A193">
      <w:pPr>
        <w:spacing w:line="360" w:lineRule="auto"/>
        <w:rPr>
          <w:rFonts w:hint="eastAsia" w:ascii="宋体" w:hAnsi="宋体"/>
        </w:rPr>
      </w:pPr>
    </w:p>
    <w:p w14:paraId="5D6763B6">
      <w:pPr>
        <w:tabs>
          <w:tab w:val="left" w:pos="5250"/>
        </w:tabs>
        <w:spacing w:line="360" w:lineRule="auto"/>
        <w:rPr>
          <w:rFonts w:hint="eastAsia" w:ascii="宋体" w:hAnsi="宋体"/>
        </w:rPr>
      </w:pPr>
      <w:r>
        <w:rPr>
          <w:rFonts w:hint="eastAsia" w:ascii="宋体" w:hAnsi="宋体"/>
        </w:rPr>
        <w:t xml:space="preserve">　甲方（盖章）　　　　　　　     </w:t>
      </w:r>
      <w:r>
        <w:rPr>
          <w:rFonts w:ascii="宋体" w:hAnsi="宋体"/>
        </w:rPr>
        <w:t xml:space="preserve">  </w:t>
      </w:r>
      <w:r>
        <w:rPr>
          <w:rFonts w:hint="eastAsia" w:ascii="宋体" w:hAnsi="宋体"/>
        </w:rPr>
        <w:t>　           乙方（盖章）</w:t>
      </w:r>
    </w:p>
    <w:p w14:paraId="626918C1">
      <w:pPr>
        <w:spacing w:line="360" w:lineRule="auto"/>
        <w:rPr>
          <w:rFonts w:hint="eastAsia" w:ascii="宋体" w:hAnsi="宋体"/>
        </w:rPr>
      </w:pPr>
      <w:r>
        <w:rPr>
          <w:rFonts w:hint="eastAsia" w:ascii="宋体" w:hAnsi="宋体"/>
        </w:rPr>
        <w:t>　代表（签字）　　　　　　</w:t>
      </w:r>
      <w:r>
        <w:rPr>
          <w:rFonts w:ascii="宋体" w:hAnsi="宋体"/>
        </w:rPr>
        <w:t xml:space="preserve">  </w:t>
      </w:r>
      <w:r>
        <w:rPr>
          <w:rFonts w:hint="eastAsia" w:ascii="宋体" w:hAnsi="宋体"/>
        </w:rPr>
        <w:t xml:space="preserve">  　　              代表（签字）　　　　　　　</w:t>
      </w:r>
      <w:r>
        <w:rPr>
          <w:rFonts w:ascii="宋体" w:hAnsi="宋体"/>
        </w:rPr>
        <w:tab/>
      </w:r>
    </w:p>
    <w:p w14:paraId="74E78392">
      <w:pPr>
        <w:spacing w:line="360" w:lineRule="auto"/>
        <w:ind w:firstLine="5040" w:firstLineChars="2400"/>
        <w:rPr>
          <w:rFonts w:hint="eastAsia" w:ascii="宋体" w:hAnsi="宋体"/>
        </w:rPr>
      </w:pPr>
      <w:r>
        <w:rPr>
          <w:rFonts w:hint="eastAsia" w:ascii="宋体" w:hAnsi="宋体"/>
        </w:rPr>
        <w:t>开户行：</w:t>
      </w:r>
    </w:p>
    <w:p w14:paraId="70AF619C">
      <w:pPr>
        <w:spacing w:line="360" w:lineRule="auto"/>
        <w:ind w:firstLine="5040" w:firstLineChars="2400"/>
        <w:rPr>
          <w:rFonts w:hint="eastAsia" w:ascii="宋体" w:hAnsi="宋体"/>
        </w:rPr>
      </w:pPr>
      <w:r>
        <w:rPr>
          <w:rFonts w:hint="eastAsia" w:ascii="宋体" w:hAnsi="宋体"/>
        </w:rPr>
        <w:t xml:space="preserve">账  号：          </w:t>
      </w:r>
      <w:r>
        <w:rPr>
          <w:rFonts w:ascii="宋体" w:hAnsi="宋体"/>
        </w:rPr>
        <w:tab/>
      </w:r>
      <w:r>
        <w:rPr>
          <w:rFonts w:hint="eastAsia" w:ascii="宋体" w:hAnsi="宋体"/>
        </w:rPr>
        <w:t xml:space="preserve">      </w:t>
      </w:r>
      <w:r>
        <w:rPr>
          <w:rFonts w:hint="eastAsia" w:ascii="宋体" w:hAnsi="宋体"/>
        </w:rPr>
        <w:tab/>
      </w:r>
      <w:r>
        <w:rPr>
          <w:rFonts w:hint="eastAsia" w:ascii="宋体" w:hAnsi="宋体"/>
        </w:rPr>
        <w:t>　　</w:t>
      </w:r>
    </w:p>
    <w:p w14:paraId="13409B54">
      <w:pPr>
        <w:spacing w:line="360" w:lineRule="auto"/>
        <w:ind w:firstLine="210" w:firstLineChars="100"/>
        <w:rPr>
          <w:rFonts w:hint="eastAsia" w:ascii="宋体" w:hAnsi="宋体"/>
        </w:rPr>
      </w:pP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 xml:space="preserve">日                       </w:t>
      </w:r>
      <w:r>
        <w:rPr>
          <w:rFonts w:hint="eastAsia" w:ascii="宋体" w:hAnsi="宋体"/>
          <w:u w:val="single"/>
        </w:rPr>
        <w:t xml:space="preserve">        </w:t>
      </w:r>
      <w:r>
        <w:rPr>
          <w:rFonts w:hint="eastAsia" w:ascii="宋体" w:hAnsi="宋体"/>
        </w:rPr>
        <w:t>年</w:t>
      </w:r>
      <w:r>
        <w:rPr>
          <w:rFonts w:hint="eastAsia" w:ascii="宋体" w:hAnsi="宋体"/>
          <w:u w:val="single"/>
        </w:rPr>
        <w:t xml:space="preserve">　  </w:t>
      </w:r>
      <w:r>
        <w:rPr>
          <w:rFonts w:hint="eastAsia" w:ascii="宋体" w:hAnsi="宋体"/>
        </w:rPr>
        <w:t>月</w:t>
      </w:r>
      <w:r>
        <w:rPr>
          <w:rFonts w:hint="eastAsia" w:ascii="宋体" w:hAnsi="宋体"/>
          <w:u w:val="single"/>
        </w:rPr>
        <w:t xml:space="preserve">　   </w:t>
      </w:r>
      <w:r>
        <w:rPr>
          <w:rFonts w:hint="eastAsia" w:ascii="宋体" w:hAnsi="宋体"/>
        </w:rPr>
        <w:t>日</w:t>
      </w:r>
    </w:p>
    <w:p w14:paraId="3093B085"/>
    <w:p w14:paraId="2CE7B157"/>
    <w:p w14:paraId="43E25650">
      <w:pPr>
        <w:rPr>
          <w:rFonts w:hint="default" w:ascii="Segoe UI" w:hAnsi="Segoe UI" w:eastAsia="Segoe UI" w:cs="Segoe UI"/>
          <w:i w:val="0"/>
          <w:iCs w:val="0"/>
          <w:caps w:val="0"/>
          <w:color w:val="0F1115"/>
          <w:spacing w:val="0"/>
          <w:shd w:val="clear" w:fill="FFFFFF"/>
        </w:rPr>
      </w:pPr>
      <w:r>
        <w:rPr>
          <w:rFonts w:hint="default" w:ascii="Segoe UI" w:hAnsi="Segoe UI" w:eastAsia="Segoe UI" w:cs="Segoe UI"/>
          <w:i w:val="0"/>
          <w:iCs w:val="0"/>
          <w:caps w:val="0"/>
          <w:color w:val="0F1115"/>
          <w:spacing w:val="0"/>
          <w:shd w:val="clear" w:fill="FFFFFF"/>
        </w:rPr>
        <w:br w:type="page"/>
      </w:r>
    </w:p>
    <w:p w14:paraId="5067F2FB">
      <w:pPr>
        <w:pStyle w:val="6"/>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240" w:lineRule="auto"/>
        <w:ind w:left="0" w:right="0" w:firstLine="0"/>
        <w:textAlignment w:val="auto"/>
        <w:rPr>
          <w:rFonts w:hint="default" w:ascii="Segoe UI" w:hAnsi="Segoe UI" w:eastAsia="Segoe UI" w:cs="Segoe UI"/>
          <w:i w:val="0"/>
          <w:iCs w:val="0"/>
          <w:caps w:val="0"/>
          <w:color w:val="0F1115"/>
          <w:spacing w:val="0"/>
          <w:shd w:val="clear" w:fill="FFFFFF"/>
        </w:rPr>
      </w:pPr>
      <w:r>
        <w:rPr>
          <w:rFonts w:hint="default" w:ascii="Segoe UI" w:hAnsi="Segoe UI" w:eastAsia="Segoe UI" w:cs="Segoe UI"/>
          <w:i w:val="0"/>
          <w:iCs w:val="0"/>
          <w:caps w:val="0"/>
          <w:color w:val="0F1115"/>
          <w:spacing w:val="0"/>
          <w:shd w:val="clear" w:fill="FFFFFF"/>
        </w:rPr>
        <w:t>合同附件：年度服务考核细则</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4"/>
        <w:gridCol w:w="2628"/>
        <w:gridCol w:w="3936"/>
        <w:gridCol w:w="870"/>
      </w:tblGrid>
      <w:tr w14:paraId="2545D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1854" w:type="dxa"/>
            <w:vAlign w:val="center"/>
          </w:tcPr>
          <w:p w14:paraId="6288C441">
            <w:pPr>
              <w:jc w:val="center"/>
              <w:rPr>
                <w:rFonts w:hint="default"/>
                <w:vertAlign w:val="baseline"/>
              </w:rPr>
            </w:pPr>
            <w:r>
              <w:rPr>
                <w:rFonts w:hint="eastAsia" w:ascii="宋体" w:hAnsi="宋体" w:eastAsia="宋体" w:cs="宋体"/>
                <w:b/>
                <w:bCs/>
                <w:kern w:val="0"/>
                <w:sz w:val="24"/>
                <w:szCs w:val="24"/>
                <w:lang w:val="en-US" w:eastAsia="zh-CN" w:bidi="ar"/>
              </w:rPr>
              <w:t>考核项目</w:t>
            </w:r>
          </w:p>
        </w:tc>
        <w:tc>
          <w:tcPr>
            <w:tcW w:w="2628" w:type="dxa"/>
            <w:vAlign w:val="center"/>
          </w:tcPr>
          <w:p w14:paraId="1451C082">
            <w:pPr>
              <w:jc w:val="center"/>
              <w:rPr>
                <w:rFonts w:hint="default"/>
                <w:vertAlign w:val="baseline"/>
              </w:rPr>
            </w:pPr>
            <w:r>
              <w:rPr>
                <w:rFonts w:hint="eastAsia" w:ascii="宋体" w:hAnsi="宋体" w:eastAsia="宋体" w:cs="宋体"/>
                <w:b/>
                <w:bCs/>
                <w:kern w:val="0"/>
                <w:sz w:val="24"/>
                <w:szCs w:val="24"/>
                <w:lang w:val="en-US" w:eastAsia="zh-CN" w:bidi="ar"/>
              </w:rPr>
              <w:t>考核内容</w:t>
            </w:r>
          </w:p>
        </w:tc>
        <w:tc>
          <w:tcPr>
            <w:tcW w:w="3936" w:type="dxa"/>
            <w:vAlign w:val="center"/>
          </w:tcPr>
          <w:p w14:paraId="5135E5BE">
            <w:pPr>
              <w:jc w:val="center"/>
              <w:rPr>
                <w:rFonts w:hint="default"/>
                <w:vertAlign w:val="baseline"/>
              </w:rPr>
            </w:pPr>
            <w:r>
              <w:rPr>
                <w:rFonts w:hint="eastAsia" w:ascii="宋体" w:hAnsi="宋体" w:eastAsia="宋体" w:cs="宋体"/>
                <w:b/>
                <w:bCs/>
                <w:kern w:val="0"/>
                <w:sz w:val="24"/>
                <w:szCs w:val="24"/>
                <w:lang w:val="en-US" w:eastAsia="zh-CN" w:bidi="ar"/>
              </w:rPr>
              <w:t>考核标准</w:t>
            </w:r>
          </w:p>
        </w:tc>
        <w:tc>
          <w:tcPr>
            <w:tcW w:w="870" w:type="dxa"/>
            <w:vAlign w:val="center"/>
          </w:tcPr>
          <w:p w14:paraId="7AE4A43F">
            <w:pPr>
              <w:jc w:val="center"/>
              <w:rPr>
                <w:rFonts w:hint="default"/>
                <w:vertAlign w:val="baseline"/>
              </w:rPr>
            </w:pPr>
            <w:r>
              <w:rPr>
                <w:rFonts w:hint="eastAsia" w:ascii="宋体" w:hAnsi="宋体" w:eastAsia="宋体" w:cs="宋体"/>
                <w:b/>
                <w:bCs/>
                <w:kern w:val="0"/>
                <w:sz w:val="24"/>
                <w:szCs w:val="24"/>
                <w:lang w:val="en-US" w:eastAsia="zh-CN" w:bidi="ar"/>
              </w:rPr>
              <w:t>分值</w:t>
            </w:r>
          </w:p>
        </w:tc>
      </w:tr>
      <w:tr w14:paraId="17E6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4" w:type="dxa"/>
            <w:vAlign w:val="center"/>
          </w:tcPr>
          <w:p w14:paraId="6F96C6EE">
            <w:pPr>
              <w:jc w:val="center"/>
              <w:rPr>
                <w:rFonts w:hint="default"/>
                <w:vertAlign w:val="baseline"/>
              </w:rPr>
            </w:pPr>
            <w:r>
              <w:rPr>
                <w:rFonts w:hint="eastAsia" w:ascii="宋体" w:hAnsi="宋体" w:eastAsia="宋体" w:cs="宋体"/>
                <w:kern w:val="0"/>
                <w:sz w:val="24"/>
                <w:szCs w:val="24"/>
                <w:lang w:val="en-US" w:eastAsia="zh-CN" w:bidi="ar"/>
              </w:rPr>
              <w:t>保单出单时效</w:t>
            </w:r>
          </w:p>
        </w:tc>
        <w:tc>
          <w:tcPr>
            <w:tcW w:w="2628" w:type="dxa"/>
            <w:vAlign w:val="center"/>
          </w:tcPr>
          <w:p w14:paraId="5A57D224">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新增人员保单生成是否在规定时限内完成</w:t>
            </w:r>
          </w:p>
        </w:tc>
        <w:tc>
          <w:tcPr>
            <w:tcW w:w="3936" w:type="dxa"/>
            <w:vAlign w:val="center"/>
          </w:tcPr>
          <w:p w14:paraId="7FF36C2C">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5个工作日内完成得满分；每逾期1天扣2分，扣完为止</w:t>
            </w:r>
          </w:p>
        </w:tc>
        <w:tc>
          <w:tcPr>
            <w:tcW w:w="870" w:type="dxa"/>
            <w:vAlign w:val="center"/>
          </w:tcPr>
          <w:p w14:paraId="737D3D18">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20</w:t>
            </w:r>
          </w:p>
        </w:tc>
      </w:tr>
      <w:tr w14:paraId="756E0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4" w:type="dxa"/>
            <w:vAlign w:val="center"/>
          </w:tcPr>
          <w:p w14:paraId="5518D7BD">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理赔处理时效</w:t>
            </w:r>
          </w:p>
        </w:tc>
        <w:tc>
          <w:tcPr>
            <w:tcW w:w="2628" w:type="dxa"/>
            <w:vAlign w:val="center"/>
          </w:tcPr>
          <w:p w14:paraId="3AE29E67">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赔案是否在承诺时限内结案</w:t>
            </w:r>
          </w:p>
        </w:tc>
        <w:tc>
          <w:tcPr>
            <w:tcW w:w="3936" w:type="dxa"/>
            <w:vAlign w:val="center"/>
          </w:tcPr>
          <w:p w14:paraId="6E9A75C8">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全部在规定时限内结案得满分；每发生1件超时赔案扣2分，扣完为止</w:t>
            </w:r>
          </w:p>
        </w:tc>
        <w:tc>
          <w:tcPr>
            <w:tcW w:w="870" w:type="dxa"/>
            <w:vAlign w:val="center"/>
          </w:tcPr>
          <w:p w14:paraId="6CF13749">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25</w:t>
            </w:r>
          </w:p>
        </w:tc>
      </w:tr>
      <w:tr w14:paraId="45CC3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4" w:type="dxa"/>
            <w:vAlign w:val="center"/>
          </w:tcPr>
          <w:p w14:paraId="2E3BECAC">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理赔服务质量</w:t>
            </w:r>
          </w:p>
        </w:tc>
        <w:tc>
          <w:tcPr>
            <w:tcW w:w="2628" w:type="dxa"/>
            <w:vAlign w:val="center"/>
          </w:tcPr>
          <w:p w14:paraId="52537E32">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是否存在无正当理由拒赔、惜赔情形</w:t>
            </w:r>
          </w:p>
        </w:tc>
        <w:tc>
          <w:tcPr>
            <w:tcW w:w="3936" w:type="dxa"/>
            <w:vAlign w:val="center"/>
          </w:tcPr>
          <w:p w14:paraId="4B3F4337">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无拒赔、惜赔情形得满分；每发生1件扣5分，扣完为止</w:t>
            </w:r>
          </w:p>
        </w:tc>
        <w:tc>
          <w:tcPr>
            <w:tcW w:w="870" w:type="dxa"/>
            <w:vAlign w:val="center"/>
          </w:tcPr>
          <w:p w14:paraId="41D0E2C9">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20</w:t>
            </w:r>
          </w:p>
        </w:tc>
      </w:tr>
      <w:tr w14:paraId="06B31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4" w:type="dxa"/>
            <w:vAlign w:val="center"/>
          </w:tcPr>
          <w:p w14:paraId="2DAA2734">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服务响应</w:t>
            </w:r>
          </w:p>
        </w:tc>
        <w:tc>
          <w:tcPr>
            <w:tcW w:w="2628" w:type="dxa"/>
            <w:vAlign w:val="center"/>
          </w:tcPr>
          <w:p w14:paraId="27DC666C">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对甲方咨询、投诉是否在规定时间内响应</w:t>
            </w:r>
          </w:p>
        </w:tc>
        <w:tc>
          <w:tcPr>
            <w:tcW w:w="3936" w:type="dxa"/>
            <w:vAlign w:val="center"/>
          </w:tcPr>
          <w:p w14:paraId="72E673ED">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24小时内响应得满分；每超时1次扣2分，扣完为止</w:t>
            </w:r>
          </w:p>
        </w:tc>
        <w:tc>
          <w:tcPr>
            <w:tcW w:w="870" w:type="dxa"/>
            <w:vAlign w:val="center"/>
          </w:tcPr>
          <w:p w14:paraId="3F2BB827">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15</w:t>
            </w:r>
          </w:p>
        </w:tc>
      </w:tr>
      <w:tr w14:paraId="7E854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4" w:type="dxa"/>
            <w:vAlign w:val="center"/>
          </w:tcPr>
          <w:p w14:paraId="715DC06A">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信息报送</w:t>
            </w:r>
          </w:p>
        </w:tc>
        <w:tc>
          <w:tcPr>
            <w:tcW w:w="2628" w:type="dxa"/>
            <w:vAlign w:val="center"/>
          </w:tcPr>
          <w:p w14:paraId="20C7087F">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在保人员清单及结算明细是否按时、准确报送</w:t>
            </w:r>
          </w:p>
        </w:tc>
        <w:tc>
          <w:tcPr>
            <w:tcW w:w="3936" w:type="dxa"/>
            <w:vAlign w:val="center"/>
          </w:tcPr>
          <w:p w14:paraId="4F1D2412">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按时准确报送得满分；每发生1次延迟或错误扣2分，扣完为止</w:t>
            </w:r>
          </w:p>
        </w:tc>
        <w:tc>
          <w:tcPr>
            <w:tcW w:w="870" w:type="dxa"/>
            <w:vAlign w:val="center"/>
          </w:tcPr>
          <w:p w14:paraId="71058465">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10</w:t>
            </w:r>
          </w:p>
        </w:tc>
      </w:tr>
      <w:tr w14:paraId="4B08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54" w:type="dxa"/>
            <w:vAlign w:val="center"/>
          </w:tcPr>
          <w:p w14:paraId="5D07965E">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投诉处理</w:t>
            </w:r>
          </w:p>
        </w:tc>
        <w:tc>
          <w:tcPr>
            <w:tcW w:w="2628" w:type="dxa"/>
            <w:vAlign w:val="center"/>
          </w:tcPr>
          <w:p w14:paraId="50BB0321">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被保险人有效投诉情况</w:t>
            </w:r>
          </w:p>
        </w:tc>
        <w:tc>
          <w:tcPr>
            <w:tcW w:w="3936" w:type="dxa"/>
            <w:vAlign w:val="center"/>
          </w:tcPr>
          <w:p w14:paraId="67F8FEF0">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无有效投诉得满分；每发生1件有效投诉扣3分，扣完为止</w:t>
            </w:r>
          </w:p>
        </w:tc>
        <w:tc>
          <w:tcPr>
            <w:tcW w:w="870" w:type="dxa"/>
            <w:vAlign w:val="center"/>
          </w:tcPr>
          <w:p w14:paraId="31ED625B">
            <w:pPr>
              <w:keepNext w:val="0"/>
              <w:keepLines w:val="0"/>
              <w:pageBreakBefore w:val="0"/>
              <w:widowControl w:val="0"/>
              <w:suppressLineNumbers w:val="0"/>
              <w:kinsoku/>
              <w:wordWrap/>
              <w:overflowPunct/>
              <w:topLinePunct w:val="0"/>
              <w:autoSpaceDE/>
              <w:autoSpaceDN/>
              <w:bidi w:val="0"/>
              <w:adjustRightInd/>
              <w:snapToGrid w:val="0"/>
              <w:spacing w:line="240" w:lineRule="auto"/>
              <w:ind w:left="0" w:leftChars="0" w:right="0" w:rightChars="0" w:firstLine="0" w:firstLineChars="0"/>
              <w:jc w:val="center"/>
              <w:textAlignment w:val="auto"/>
              <w:rPr>
                <w:rFonts w:hint="default"/>
                <w:vertAlign w:val="baseline"/>
              </w:rPr>
            </w:pPr>
            <w:r>
              <w:rPr>
                <w:rFonts w:hint="eastAsia" w:ascii="宋体" w:hAnsi="宋体" w:eastAsia="宋体" w:cs="宋体"/>
                <w:kern w:val="0"/>
                <w:sz w:val="24"/>
                <w:szCs w:val="24"/>
                <w:lang w:val="en-US" w:eastAsia="zh-CN" w:bidi="ar"/>
              </w:rPr>
              <w:t>10</w:t>
            </w:r>
          </w:p>
        </w:tc>
      </w:tr>
    </w:tbl>
    <w:p w14:paraId="228603DB">
      <w:pPr>
        <w:pStyle w:val="38"/>
        <w:keepNext w:val="0"/>
        <w:keepLines w:val="0"/>
        <w:widowControl/>
        <w:suppressLineNumbers w:val="0"/>
        <w:shd w:val="clear" w:fill="FFFFFF"/>
        <w:spacing w:before="192" w:beforeAutospacing="0" w:after="192" w:afterAutospacing="0"/>
        <w:ind w:left="0" w:right="0" w:firstLine="0"/>
        <w:rPr>
          <w:rFonts w:hint="eastAsia" w:ascii="宋体" w:hAnsi="宋体" w:eastAsia="宋体" w:cs="宋体"/>
          <w:i w:val="0"/>
          <w:iCs w:val="0"/>
          <w:caps w:val="0"/>
          <w:color w:val="0F1115"/>
          <w:spacing w:val="0"/>
          <w:sz w:val="24"/>
          <w:szCs w:val="24"/>
        </w:rPr>
      </w:pPr>
      <w:r>
        <w:rPr>
          <w:rFonts w:hint="eastAsia" w:ascii="宋体" w:hAnsi="宋体" w:eastAsia="宋体" w:cs="宋体"/>
          <w:b/>
          <w:bCs/>
          <w:i w:val="0"/>
          <w:iCs w:val="0"/>
          <w:caps w:val="0"/>
          <w:color w:val="0F1115"/>
          <w:spacing w:val="0"/>
          <w:sz w:val="24"/>
          <w:szCs w:val="24"/>
          <w:shd w:val="clear" w:fill="FFFFFF"/>
        </w:rPr>
        <w:t>考核结果判定：</w:t>
      </w:r>
      <w:r>
        <w:rPr>
          <w:rFonts w:hint="eastAsia" w:ascii="宋体" w:hAnsi="宋体" w:eastAsia="宋体" w:cs="宋体"/>
          <w:i w:val="0"/>
          <w:iCs w:val="0"/>
          <w:caps w:val="0"/>
          <w:color w:val="0F1115"/>
          <w:spacing w:val="0"/>
          <w:sz w:val="24"/>
          <w:szCs w:val="24"/>
          <w:shd w:val="clear" w:fill="FFFFFF"/>
        </w:rPr>
        <w:t> 总分≥80分为"合格"；总分＜80分为"不合格"。</w:t>
      </w:r>
    </w:p>
    <w:p w14:paraId="188C977F">
      <w:pP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br w:type="page"/>
      </w:r>
    </w:p>
    <w:p w14:paraId="43B97531">
      <w:pPr>
        <w:pStyle w:val="4"/>
        <w:spacing w:line="360" w:lineRule="auto"/>
        <w:jc w:val="center"/>
        <w:rPr>
          <w:rFonts w:hint="eastAsia" w:ascii="方正小标宋_GBK" w:hAnsi="方正小标宋_GBK" w:eastAsia="方正小标宋_GBK" w:cs="方正小标宋_GBK"/>
          <w:sz w:val="44"/>
          <w:szCs w:val="44"/>
        </w:rPr>
      </w:pPr>
      <w:bookmarkStart w:id="107" w:name="_Toc3002"/>
      <w:r>
        <w:rPr>
          <w:rFonts w:hint="eastAsia" w:ascii="方正小标宋_GBK" w:hAnsi="方正小标宋_GBK" w:eastAsia="方正小标宋_GBK" w:cs="方正小标宋_GBK"/>
          <w:sz w:val="44"/>
          <w:szCs w:val="44"/>
        </w:rPr>
        <w:t>第四章  项目需求</w:t>
      </w:r>
      <w:bookmarkEnd w:id="97"/>
      <w:bookmarkEnd w:id="98"/>
      <w:bookmarkEnd w:id="99"/>
      <w:bookmarkEnd w:id="107"/>
    </w:p>
    <w:p w14:paraId="3CD1B989">
      <w:pPr>
        <w:pStyle w:val="38"/>
        <w:spacing w:before="0" w:beforeAutospacing="0" w:after="0" w:afterAutospacing="0" w:line="500" w:lineRule="exact"/>
        <w:ind w:firstLine="480" w:firstLineChars="200"/>
        <w:contextualSpacing/>
        <w:jc w:val="both"/>
        <w:rPr>
          <w:rFonts w:hint="eastAsia" w:asciiTheme="minorEastAsia" w:hAnsiTheme="minorEastAsia" w:eastAsiaTheme="minorEastAsia"/>
        </w:rPr>
      </w:pPr>
      <w:r>
        <w:rPr>
          <w:rFonts w:hint="eastAsia" w:asciiTheme="minorEastAsia" w:hAnsiTheme="minorEastAsia" w:eastAsiaTheme="minorEastAsia"/>
        </w:rPr>
        <w:t>一、项目属性：服务类项目</w:t>
      </w:r>
    </w:p>
    <w:p w14:paraId="54C7835A">
      <w:pPr>
        <w:pStyle w:val="38"/>
        <w:spacing w:before="0" w:beforeAutospacing="0" w:after="0" w:afterAutospacing="0" w:line="500" w:lineRule="exact"/>
        <w:ind w:firstLine="480" w:firstLineChars="200"/>
        <w:contextualSpacing/>
        <w:jc w:val="both"/>
        <w:rPr>
          <w:rFonts w:hint="eastAsia" w:asciiTheme="minorEastAsia" w:hAnsiTheme="minorEastAsia" w:eastAsiaTheme="minorEastAsia"/>
        </w:rPr>
      </w:pPr>
      <w:r>
        <w:rPr>
          <w:rFonts w:hint="eastAsia" w:asciiTheme="minorEastAsia" w:hAnsiTheme="minorEastAsia" w:eastAsiaTheme="minorEastAsia"/>
        </w:rPr>
        <w:t>二、本项目属于：其他未列明行业</w:t>
      </w:r>
    </w:p>
    <w:p w14:paraId="0506F196">
      <w:pPr>
        <w:spacing w:line="500" w:lineRule="exact"/>
        <w:ind w:firstLine="482" w:firstLineChars="200"/>
        <w:contextualSpacing/>
        <w:jc w:val="left"/>
        <w:outlineLvl w:val="1"/>
        <w:rPr>
          <w:rFonts w:hint="eastAsia" w:asciiTheme="minorEastAsia" w:hAnsiTheme="minorEastAsia" w:eastAsiaTheme="minorEastAsia"/>
          <w:b/>
          <w:sz w:val="24"/>
        </w:rPr>
      </w:pPr>
      <w:bookmarkStart w:id="108" w:name="_Toc21507"/>
      <w:bookmarkStart w:id="109" w:name="_Toc10360"/>
      <w:bookmarkStart w:id="110" w:name="_Toc29713"/>
      <w:r>
        <w:rPr>
          <w:rFonts w:hint="eastAsia" w:asciiTheme="minorEastAsia" w:hAnsiTheme="minorEastAsia" w:eastAsiaTheme="minorEastAsia"/>
          <w:b/>
          <w:sz w:val="24"/>
        </w:rPr>
        <w:t>三、项目概况</w:t>
      </w:r>
    </w:p>
    <w:p w14:paraId="36E8D37D">
      <w:pPr>
        <w:pStyle w:val="25"/>
        <w:spacing w:line="500" w:lineRule="exact"/>
        <w:ind w:firstLine="480"/>
        <w:contextualSpacing/>
        <w:rPr>
          <w:rFonts w:hint="eastAsia" w:asciiTheme="minorEastAsia" w:hAnsiTheme="minorEastAsia" w:eastAsiaTheme="minorEastAsia"/>
          <w:sz w:val="24"/>
        </w:rPr>
      </w:pPr>
      <w:bookmarkStart w:id="111" w:name="OLE_LINK4"/>
      <w:r>
        <w:rPr>
          <w:rFonts w:hint="eastAsia" w:asciiTheme="minorEastAsia" w:hAnsiTheme="minorEastAsia" w:eastAsiaTheme="minorEastAsia"/>
          <w:sz w:val="24"/>
          <w:lang w:eastAsia="zh-CN"/>
        </w:rPr>
        <w:t>大丰大队专职消防员、消防文员保险购置项目</w:t>
      </w:r>
      <w:r>
        <w:rPr>
          <w:rFonts w:hint="eastAsia" w:asciiTheme="minorEastAsia" w:hAnsiTheme="minorEastAsia" w:eastAsiaTheme="minorEastAsia"/>
          <w:sz w:val="24"/>
        </w:rPr>
        <w:t>，包括消防文员、大队专职消防员人身意外险采购服务</w:t>
      </w:r>
      <w:bookmarkEnd w:id="111"/>
      <w:r>
        <w:rPr>
          <w:rFonts w:hint="eastAsia" w:asciiTheme="minorEastAsia" w:hAnsiTheme="minorEastAsia" w:eastAsiaTheme="minorEastAsia"/>
          <w:sz w:val="24"/>
        </w:rPr>
        <w:t>，本项目以单价形式报价，按照实际投保人员数量进行项目结算。</w:t>
      </w:r>
    </w:p>
    <w:p w14:paraId="4BF22DB8">
      <w:pPr>
        <w:pStyle w:val="25"/>
        <w:spacing w:line="500" w:lineRule="exact"/>
        <w:ind w:firstLine="480"/>
        <w:contextualSpacing/>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17</w:t>
      </w:r>
      <w:r>
        <w:rPr>
          <w:rFonts w:hint="eastAsia" w:asciiTheme="minorEastAsia" w:hAnsiTheme="minorEastAsia" w:eastAsiaTheme="minorEastAsia"/>
          <w:sz w:val="24"/>
        </w:rPr>
        <w:t>个专职队分别为：开发区、临港、特勤、丰华、大中、刘庄、三龙、大桥、白驹、万盈、草堰、西团、南阳、小海、新丰、草庙</w:t>
      </w:r>
      <w:r>
        <w:rPr>
          <w:rFonts w:hint="eastAsia" w:asciiTheme="minorEastAsia" w:hAnsiTheme="minorEastAsia" w:eastAsiaTheme="minorEastAsia"/>
          <w:sz w:val="24"/>
          <w:lang w:eastAsia="zh-CN"/>
        </w:rPr>
        <w:t>、</w:t>
      </w:r>
      <w:r>
        <w:rPr>
          <w:rFonts w:hint="eastAsia" w:asciiTheme="minorEastAsia" w:hAnsiTheme="minorEastAsia" w:eastAsiaTheme="minorEastAsia"/>
          <w:sz w:val="24"/>
          <w:lang w:val="en-US" w:eastAsia="zh-CN"/>
        </w:rPr>
        <w:t>沪苏</w:t>
      </w:r>
      <w:r>
        <w:rPr>
          <w:rFonts w:hint="eastAsia" w:asciiTheme="minorEastAsia" w:hAnsiTheme="minorEastAsia" w:eastAsiaTheme="minorEastAsia"/>
          <w:sz w:val="24"/>
          <w:lang w:eastAsia="zh-CN"/>
        </w:rPr>
        <w:t>。</w:t>
      </w:r>
    </w:p>
    <w:p w14:paraId="0EB4888A">
      <w:pPr>
        <w:spacing w:line="500" w:lineRule="exact"/>
        <w:ind w:firstLine="482" w:firstLineChars="200"/>
        <w:contextualSpacing/>
        <w:outlineLvl w:val="2"/>
        <w:rPr>
          <w:rFonts w:hint="eastAsia" w:asciiTheme="minorEastAsia" w:hAnsiTheme="minorEastAsia" w:eastAsiaTheme="minorEastAsia"/>
          <w:b/>
          <w:sz w:val="24"/>
        </w:rPr>
      </w:pPr>
      <w:r>
        <w:rPr>
          <w:rFonts w:hint="eastAsia" w:asciiTheme="minorEastAsia" w:hAnsiTheme="minorEastAsia" w:eastAsiaTheme="minorEastAsia"/>
          <w:b/>
          <w:sz w:val="24"/>
        </w:rPr>
        <w:t>四、人员数量</w:t>
      </w:r>
    </w:p>
    <w:p w14:paraId="3EE6D24D">
      <w:pPr>
        <w:pStyle w:val="19"/>
        <w:spacing w:line="500" w:lineRule="exact"/>
        <w:ind w:left="0" w:leftChars="0" w:firstLine="480" w:firstLineChars="200"/>
        <w:contextualSpacing/>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目前在岗消防文员</w:t>
      </w:r>
      <w:r>
        <w:rPr>
          <w:rFonts w:hint="eastAsia" w:asciiTheme="minorEastAsia" w:hAnsiTheme="minorEastAsia" w:eastAsiaTheme="minorEastAsia"/>
          <w:sz w:val="24"/>
          <w:szCs w:val="24"/>
          <w:lang w:val="en-US" w:eastAsia="zh-CN"/>
        </w:rPr>
        <w:t>63</w:t>
      </w:r>
      <w:r>
        <w:rPr>
          <w:rFonts w:hint="eastAsia" w:asciiTheme="minorEastAsia" w:hAnsiTheme="minorEastAsia" w:eastAsiaTheme="minorEastAsia"/>
          <w:sz w:val="24"/>
          <w:szCs w:val="24"/>
        </w:rPr>
        <w:t>人，大队专职消防员</w:t>
      </w:r>
      <w:r>
        <w:rPr>
          <w:rFonts w:hint="eastAsia" w:asciiTheme="minorEastAsia" w:hAnsiTheme="minorEastAsia" w:eastAsiaTheme="minorEastAsia"/>
          <w:sz w:val="24"/>
          <w:szCs w:val="24"/>
          <w:lang w:val="en-US" w:eastAsia="zh-CN"/>
        </w:rPr>
        <w:t>338</w:t>
      </w:r>
      <w:r>
        <w:rPr>
          <w:rFonts w:hint="eastAsia" w:asciiTheme="minorEastAsia" w:hAnsiTheme="minorEastAsia" w:eastAsiaTheme="minorEastAsia"/>
          <w:sz w:val="24"/>
          <w:szCs w:val="24"/>
        </w:rPr>
        <w:t>人。（人员数量不固定，或有可能发生增减，按照实际投保人员数量进行项目结算）。</w:t>
      </w:r>
    </w:p>
    <w:p w14:paraId="381EA858">
      <w:pPr>
        <w:pStyle w:val="19"/>
        <w:spacing w:line="500" w:lineRule="exact"/>
        <w:ind w:left="0" w:leftChars="0" w:firstLine="482" w:firstLineChars="200"/>
        <w:contextualSpacing/>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五、服务要求</w:t>
      </w:r>
    </w:p>
    <w:p w14:paraId="0B2CFFAE">
      <w:pPr>
        <w:pStyle w:val="19"/>
        <w:spacing w:line="500" w:lineRule="exact"/>
        <w:ind w:left="0" w:leftChars="0" w:firstLine="480" w:firstLineChars="200"/>
        <w:contextualSpacing/>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供应商按照以下所提供的保险方案进行报价，保障不得低于方案标准，保费不得超过最高响应报价，否则均为无效报价。</w:t>
      </w:r>
    </w:p>
    <w:tbl>
      <w:tblPr>
        <w:tblStyle w:val="43"/>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4"/>
        <w:gridCol w:w="2324"/>
        <w:gridCol w:w="2325"/>
        <w:gridCol w:w="2325"/>
      </w:tblGrid>
      <w:tr w14:paraId="0835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24" w:type="dxa"/>
            <w:vAlign w:val="center"/>
          </w:tcPr>
          <w:p w14:paraId="5859632B">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人员类别</w:t>
            </w:r>
          </w:p>
        </w:tc>
        <w:tc>
          <w:tcPr>
            <w:tcW w:w="2324" w:type="dxa"/>
            <w:vAlign w:val="center"/>
          </w:tcPr>
          <w:p w14:paraId="783E41DC">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保险保障</w:t>
            </w:r>
          </w:p>
        </w:tc>
        <w:tc>
          <w:tcPr>
            <w:tcW w:w="2325" w:type="dxa"/>
            <w:vAlign w:val="center"/>
          </w:tcPr>
          <w:p w14:paraId="07717B94">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赔偿限额</w:t>
            </w:r>
          </w:p>
        </w:tc>
        <w:tc>
          <w:tcPr>
            <w:tcW w:w="2325" w:type="dxa"/>
            <w:vAlign w:val="center"/>
          </w:tcPr>
          <w:p w14:paraId="279E8A8C">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保费最高响应报价</w:t>
            </w:r>
          </w:p>
        </w:tc>
      </w:tr>
      <w:tr w14:paraId="2D8E7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24" w:type="dxa"/>
            <w:vMerge w:val="restart"/>
            <w:vAlign w:val="center"/>
          </w:tcPr>
          <w:p w14:paraId="192C23DE">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消防文员</w:t>
            </w:r>
          </w:p>
        </w:tc>
        <w:tc>
          <w:tcPr>
            <w:tcW w:w="2324" w:type="dxa"/>
            <w:vAlign w:val="center"/>
          </w:tcPr>
          <w:p w14:paraId="4D68AD66">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死亡/伤残</w:t>
            </w:r>
          </w:p>
        </w:tc>
        <w:tc>
          <w:tcPr>
            <w:tcW w:w="2325" w:type="dxa"/>
            <w:vAlign w:val="center"/>
          </w:tcPr>
          <w:p w14:paraId="43D11345">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100万元</w:t>
            </w:r>
          </w:p>
        </w:tc>
        <w:tc>
          <w:tcPr>
            <w:tcW w:w="2325" w:type="dxa"/>
            <w:vMerge w:val="restart"/>
            <w:vAlign w:val="center"/>
          </w:tcPr>
          <w:p w14:paraId="46DD2983">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lang w:val="en-US" w:eastAsia="zh-CN"/>
              </w:rPr>
              <w:t>600</w:t>
            </w:r>
            <w:r>
              <w:rPr>
                <w:rFonts w:hint="eastAsia" w:asciiTheme="minorEastAsia" w:hAnsiTheme="minorEastAsia" w:eastAsiaTheme="minorEastAsia"/>
                <w:color w:val="0000CC"/>
                <w:sz w:val="24"/>
              </w:rPr>
              <w:t>元/人/年</w:t>
            </w:r>
          </w:p>
        </w:tc>
      </w:tr>
      <w:tr w14:paraId="026B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24" w:type="dxa"/>
            <w:vMerge w:val="continue"/>
            <w:vAlign w:val="center"/>
          </w:tcPr>
          <w:p w14:paraId="4CCDCE56">
            <w:pPr>
              <w:jc w:val="center"/>
              <w:rPr>
                <w:rFonts w:hint="eastAsia" w:asciiTheme="minorEastAsia" w:hAnsiTheme="minorEastAsia" w:eastAsiaTheme="minorEastAsia"/>
                <w:color w:val="0000CC"/>
                <w:sz w:val="24"/>
              </w:rPr>
            </w:pPr>
          </w:p>
        </w:tc>
        <w:tc>
          <w:tcPr>
            <w:tcW w:w="2324" w:type="dxa"/>
            <w:vAlign w:val="center"/>
          </w:tcPr>
          <w:p w14:paraId="0E7192C9">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医疗费用</w:t>
            </w:r>
          </w:p>
        </w:tc>
        <w:tc>
          <w:tcPr>
            <w:tcW w:w="2325" w:type="dxa"/>
            <w:vAlign w:val="center"/>
          </w:tcPr>
          <w:p w14:paraId="3618DED2">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10万元</w:t>
            </w:r>
          </w:p>
        </w:tc>
        <w:tc>
          <w:tcPr>
            <w:tcW w:w="2325" w:type="dxa"/>
            <w:vMerge w:val="continue"/>
            <w:vAlign w:val="center"/>
          </w:tcPr>
          <w:p w14:paraId="7328E1CC">
            <w:pPr>
              <w:jc w:val="center"/>
              <w:rPr>
                <w:rFonts w:hint="eastAsia" w:asciiTheme="minorEastAsia" w:hAnsiTheme="minorEastAsia" w:eastAsiaTheme="minorEastAsia"/>
                <w:color w:val="0000CC"/>
                <w:sz w:val="24"/>
              </w:rPr>
            </w:pPr>
          </w:p>
        </w:tc>
      </w:tr>
      <w:tr w14:paraId="61DC6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24" w:type="dxa"/>
            <w:vMerge w:val="restart"/>
            <w:vAlign w:val="center"/>
          </w:tcPr>
          <w:p w14:paraId="67D7785D">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大队专职消防员</w:t>
            </w:r>
          </w:p>
        </w:tc>
        <w:tc>
          <w:tcPr>
            <w:tcW w:w="2324" w:type="dxa"/>
            <w:vAlign w:val="center"/>
          </w:tcPr>
          <w:p w14:paraId="50317FD2">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死亡/伤残</w:t>
            </w:r>
          </w:p>
        </w:tc>
        <w:tc>
          <w:tcPr>
            <w:tcW w:w="2325" w:type="dxa"/>
            <w:vAlign w:val="center"/>
          </w:tcPr>
          <w:p w14:paraId="16018BAF">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100万元</w:t>
            </w:r>
          </w:p>
        </w:tc>
        <w:tc>
          <w:tcPr>
            <w:tcW w:w="2325" w:type="dxa"/>
            <w:vMerge w:val="restart"/>
            <w:vAlign w:val="center"/>
          </w:tcPr>
          <w:p w14:paraId="54587DBB">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lang w:val="en-US" w:eastAsia="zh-CN"/>
              </w:rPr>
              <w:t>800</w:t>
            </w:r>
            <w:r>
              <w:rPr>
                <w:rFonts w:hint="eastAsia" w:asciiTheme="minorEastAsia" w:hAnsiTheme="minorEastAsia" w:eastAsiaTheme="minorEastAsia"/>
                <w:color w:val="0000CC"/>
                <w:sz w:val="24"/>
              </w:rPr>
              <w:t>元/人/年</w:t>
            </w:r>
          </w:p>
        </w:tc>
      </w:tr>
      <w:tr w14:paraId="36224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2324" w:type="dxa"/>
            <w:vMerge w:val="continue"/>
            <w:vAlign w:val="center"/>
          </w:tcPr>
          <w:p w14:paraId="5EA39A47">
            <w:pPr>
              <w:rPr>
                <w:rFonts w:hint="eastAsia" w:asciiTheme="minorEastAsia" w:hAnsiTheme="minorEastAsia" w:eastAsiaTheme="minorEastAsia"/>
                <w:color w:val="0000CC"/>
                <w:sz w:val="24"/>
              </w:rPr>
            </w:pPr>
          </w:p>
        </w:tc>
        <w:tc>
          <w:tcPr>
            <w:tcW w:w="2324" w:type="dxa"/>
            <w:vAlign w:val="center"/>
          </w:tcPr>
          <w:p w14:paraId="45626FB5">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医疗费用</w:t>
            </w:r>
          </w:p>
        </w:tc>
        <w:tc>
          <w:tcPr>
            <w:tcW w:w="2325" w:type="dxa"/>
            <w:vAlign w:val="center"/>
          </w:tcPr>
          <w:p w14:paraId="6C644B64">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10万元</w:t>
            </w:r>
          </w:p>
        </w:tc>
        <w:tc>
          <w:tcPr>
            <w:tcW w:w="2325" w:type="dxa"/>
            <w:vMerge w:val="continue"/>
            <w:vAlign w:val="center"/>
          </w:tcPr>
          <w:p w14:paraId="5EAD36F5">
            <w:pPr>
              <w:rPr>
                <w:rFonts w:hint="eastAsia" w:asciiTheme="minorEastAsia" w:hAnsiTheme="minorEastAsia" w:eastAsiaTheme="minorEastAsia"/>
                <w:color w:val="0000CC"/>
                <w:sz w:val="24"/>
              </w:rPr>
            </w:pPr>
          </w:p>
        </w:tc>
      </w:tr>
    </w:tbl>
    <w:p w14:paraId="7CDCD3CD">
      <w:pPr>
        <w:spacing w:line="500" w:lineRule="exact"/>
        <w:rPr>
          <w:rFonts w:hint="eastAsia" w:asciiTheme="minorEastAsia" w:hAnsiTheme="minorEastAsia" w:eastAsiaTheme="minorEastAsia"/>
          <w:b/>
          <w:bCs/>
          <w:color w:val="FF0000"/>
          <w:sz w:val="24"/>
        </w:rPr>
      </w:pPr>
      <w:r>
        <w:rPr>
          <w:rFonts w:hint="eastAsia" w:asciiTheme="minorEastAsia" w:hAnsiTheme="minorEastAsia" w:eastAsiaTheme="minorEastAsia"/>
          <w:b/>
          <w:bCs/>
          <w:color w:val="FF0000"/>
          <w:sz w:val="24"/>
        </w:rPr>
        <w:t>赔付细则：</w:t>
      </w:r>
    </w:p>
    <w:p w14:paraId="46355B0B">
      <w:pPr>
        <w:spacing w:line="500" w:lineRule="exact"/>
        <w:rPr>
          <w:rFonts w:hint="eastAsia" w:cs="Times New Roman" w:asciiTheme="minorEastAsia" w:hAnsiTheme="minorEastAsia" w:eastAsiaTheme="minorEastAsia"/>
          <w:b/>
          <w:bCs/>
          <w:color w:val="FF0000"/>
          <w:kern w:val="2"/>
          <w:sz w:val="24"/>
          <w:szCs w:val="24"/>
          <w:lang w:val="en-US" w:eastAsia="zh-CN" w:bidi="ar-SA"/>
        </w:rPr>
      </w:pPr>
      <w:r>
        <w:rPr>
          <w:rFonts w:hint="eastAsia" w:cs="Times New Roman" w:asciiTheme="minorEastAsia" w:hAnsiTheme="minorEastAsia" w:eastAsiaTheme="minorEastAsia"/>
          <w:b/>
          <w:bCs/>
          <w:color w:val="FF0000"/>
          <w:kern w:val="2"/>
          <w:sz w:val="24"/>
          <w:szCs w:val="24"/>
          <w:lang w:val="en-US" w:eastAsia="zh-CN" w:bidi="ar-SA"/>
        </w:rPr>
        <w:t>保险保障内容：意外身故及伤残保险金额为每人100万元；意外伤害医疗保险金额为10万元，伤残等级给付比例一级100%；二级90%；三级80%；四级70%；五级60%；六级50%；七级40%；八级30%；九级20%；十级10%。门诊赔付无限额，给付比例 100%；意外伤害住院津贴为100元/人/天，上限180天，住院延长津贴给付日数30天，前3天无补偿金额，无门槛。</w:t>
      </w:r>
    </w:p>
    <w:p w14:paraId="3112DE1A">
      <w:pPr>
        <w:rPr>
          <w:rFonts w:hint="eastAsia" w:ascii="方正小标宋_GBK" w:hAnsi="方正小标宋_GBK" w:eastAsia="方正小标宋_GBK" w:cs="方正小标宋_GBK"/>
          <w:sz w:val="44"/>
          <w:szCs w:val="44"/>
        </w:rPr>
      </w:pPr>
      <w:bookmarkStart w:id="112" w:name="_Toc19097"/>
      <w:r>
        <w:rPr>
          <w:rFonts w:hint="eastAsia" w:ascii="方正小标宋_GBK" w:hAnsi="方正小标宋_GBK" w:eastAsia="方正小标宋_GBK" w:cs="方正小标宋_GBK"/>
          <w:sz w:val="44"/>
          <w:szCs w:val="44"/>
        </w:rPr>
        <w:br w:type="page"/>
      </w:r>
    </w:p>
    <w:p w14:paraId="05FAEFA1">
      <w:pPr>
        <w:spacing w:line="500" w:lineRule="exact"/>
        <w:jc w:val="center"/>
        <w:outlineLvl w:val="0"/>
      </w:pPr>
      <w:r>
        <w:rPr>
          <w:rFonts w:hint="eastAsia" w:ascii="方正小标宋_GBK" w:hAnsi="方正小标宋_GBK" w:eastAsia="方正小标宋_GBK" w:cs="方正小标宋_GBK"/>
          <w:sz w:val="44"/>
          <w:szCs w:val="44"/>
        </w:rPr>
        <w:t>第五章  评审方法和评审标准</w:t>
      </w:r>
      <w:bookmarkEnd w:id="108"/>
      <w:bookmarkEnd w:id="109"/>
      <w:bookmarkEnd w:id="110"/>
      <w:bookmarkEnd w:id="112"/>
    </w:p>
    <w:p w14:paraId="06C7AF5C">
      <w:pPr>
        <w:pStyle w:val="87"/>
        <w:spacing w:before="0" w:after="0" w:line="500" w:lineRule="exact"/>
        <w:ind w:firstLine="482" w:firstLineChars="200"/>
        <w:jc w:val="both"/>
        <w:rPr>
          <w:rFonts w:hint="eastAsia" w:ascii="宋体" w:hAnsi="宋体" w:cs="宋体"/>
          <w:b/>
          <w:kern w:val="2"/>
        </w:rPr>
      </w:pPr>
      <w:r>
        <w:rPr>
          <w:rFonts w:hint="eastAsia" w:ascii="宋体" w:hAnsi="宋体" w:cs="宋体"/>
          <w:b/>
          <w:kern w:val="2"/>
        </w:rPr>
        <w:t>一、磋商小组</w:t>
      </w:r>
    </w:p>
    <w:p w14:paraId="359F14EB">
      <w:pPr>
        <w:pStyle w:val="87"/>
        <w:spacing w:before="0" w:after="0" w:line="500" w:lineRule="exact"/>
        <w:ind w:firstLineChars="200"/>
        <w:jc w:val="both"/>
        <w:rPr>
          <w:rFonts w:hint="eastAsia" w:ascii="宋体" w:hAnsi="宋体" w:cs="宋体"/>
          <w:bCs/>
          <w:kern w:val="2"/>
        </w:rPr>
      </w:pPr>
      <w:r>
        <w:rPr>
          <w:rFonts w:hint="eastAsia" w:ascii="宋体" w:hAnsi="宋体" w:cs="宋体"/>
          <w:bCs/>
          <w:kern w:val="2"/>
        </w:rPr>
        <w:t>本采购项目磋商小组的评委由相关的专家、采购人代表等有关人员构成。</w:t>
      </w:r>
    </w:p>
    <w:p w14:paraId="32F25390">
      <w:pPr>
        <w:pStyle w:val="87"/>
        <w:spacing w:before="0" w:after="0" w:line="500" w:lineRule="exact"/>
        <w:ind w:firstLine="482" w:firstLineChars="200"/>
        <w:jc w:val="both"/>
        <w:rPr>
          <w:rFonts w:hint="eastAsia" w:ascii="宋体" w:hAnsi="宋体" w:cs="宋体"/>
          <w:b/>
          <w:kern w:val="2"/>
        </w:rPr>
      </w:pPr>
      <w:r>
        <w:rPr>
          <w:rFonts w:hint="eastAsia" w:ascii="宋体" w:hAnsi="宋体" w:cs="宋体"/>
          <w:b/>
          <w:kern w:val="2"/>
        </w:rPr>
        <w:t>二、定标原则</w:t>
      </w:r>
    </w:p>
    <w:p w14:paraId="157C8D23">
      <w:pPr>
        <w:spacing w:line="500" w:lineRule="exact"/>
        <w:ind w:firstLine="480" w:firstLineChars="200"/>
        <w:rPr>
          <w:rFonts w:hint="eastAsia" w:ascii="宋体" w:hAnsi="宋体" w:cs="宋体"/>
          <w:bCs/>
          <w:sz w:val="24"/>
        </w:rPr>
      </w:pPr>
      <w:r>
        <w:rPr>
          <w:rFonts w:hint="eastAsia" w:ascii="宋体" w:hAnsi="宋体" w:cs="宋体"/>
          <w:bCs/>
          <w:sz w:val="24"/>
        </w:rPr>
        <w:t>经磋商确定最终采购需求和提交最终报价的供应商后，由磋商小组采用综合评分法对提交最终报价的供应商的响应文件和最终报价进行综合评分。</w:t>
      </w:r>
    </w:p>
    <w:p w14:paraId="663F38AD">
      <w:pPr>
        <w:spacing w:line="500" w:lineRule="exact"/>
        <w:ind w:firstLine="480" w:firstLineChars="200"/>
        <w:rPr>
          <w:rFonts w:hint="eastAsia" w:ascii="宋体" w:hAnsi="宋体" w:cs="宋体"/>
          <w:bCs/>
          <w:sz w:val="24"/>
        </w:rPr>
      </w:pPr>
      <w:r>
        <w:rPr>
          <w:rFonts w:hint="eastAsia" w:ascii="宋体" w:hAnsi="宋体" w:cs="宋体"/>
          <w:bCs/>
          <w:sz w:val="24"/>
        </w:rPr>
        <w:t>综合评分法，是指响应文件满足磋商文件全部实质性要求，磋商小组按评审因素的量化指标评审，根据总得分高低排列各供应商次序（评审得分相同的，按照最终报价由低到高的顺序推荐。评审得分且最终报价相同的，按照技术指标优劣顺序推荐），得分最高的供应商为成交候选供应商的评审方法。</w:t>
      </w:r>
    </w:p>
    <w:p w14:paraId="226E3132">
      <w:pPr>
        <w:spacing w:line="500" w:lineRule="exact"/>
        <w:ind w:firstLine="480" w:firstLineChars="200"/>
        <w:rPr>
          <w:rFonts w:hint="eastAsia" w:ascii="宋体" w:hAnsi="宋体" w:cs="宋体"/>
          <w:bCs/>
          <w:sz w:val="24"/>
        </w:rPr>
      </w:pPr>
      <w:r>
        <w:rPr>
          <w:rFonts w:hint="eastAsia" w:ascii="宋体" w:hAnsi="宋体" w:cs="宋体"/>
          <w:bCs/>
          <w:sz w:val="24"/>
        </w:rPr>
        <w:t>本项目选取1名候选供应商，并最终确定1名</w:t>
      </w:r>
      <w:r>
        <w:rPr>
          <w:rFonts w:hint="eastAsia" w:ascii="宋体" w:hAnsi="宋体" w:cs="宋体"/>
          <w:bCs/>
          <w:sz w:val="24"/>
          <w:lang w:val="en-US" w:eastAsia="zh-CN"/>
        </w:rPr>
        <w:t>成交供应商</w:t>
      </w:r>
      <w:r>
        <w:rPr>
          <w:rFonts w:hint="eastAsia" w:ascii="宋体" w:hAnsi="宋体" w:cs="宋体"/>
          <w:bCs/>
          <w:sz w:val="24"/>
        </w:rPr>
        <w:t>。</w:t>
      </w:r>
    </w:p>
    <w:p w14:paraId="786217AA">
      <w:pPr>
        <w:spacing w:line="500" w:lineRule="exact"/>
        <w:ind w:firstLine="482" w:firstLineChars="200"/>
        <w:rPr>
          <w:rFonts w:hint="eastAsia" w:ascii="宋体" w:hAnsi="宋体" w:cs="宋体"/>
          <w:b/>
          <w:sz w:val="24"/>
        </w:rPr>
      </w:pPr>
      <w:r>
        <w:rPr>
          <w:rFonts w:hint="eastAsia" w:ascii="宋体" w:hAnsi="宋体" w:cs="宋体"/>
          <w:b/>
          <w:sz w:val="24"/>
        </w:rPr>
        <w:t>政府采购政策功能落实</w:t>
      </w:r>
    </w:p>
    <w:p w14:paraId="6632C00E">
      <w:pPr>
        <w:spacing w:line="500" w:lineRule="exact"/>
        <w:ind w:firstLine="480" w:firstLineChars="200"/>
        <w:rPr>
          <w:rFonts w:hint="eastAsia" w:ascii="宋体" w:hAnsi="宋体" w:cs="宋体"/>
          <w:bCs/>
          <w:sz w:val="24"/>
        </w:rPr>
      </w:pPr>
      <w:r>
        <w:rPr>
          <w:rFonts w:hint="eastAsia" w:ascii="宋体" w:hAnsi="宋体" w:cs="宋体"/>
          <w:bCs/>
          <w:sz w:val="24"/>
        </w:rPr>
        <w:t>1、小微型企业价格扣除</w:t>
      </w:r>
    </w:p>
    <w:p w14:paraId="43FEB71F">
      <w:pPr>
        <w:spacing w:line="500" w:lineRule="exact"/>
        <w:ind w:firstLine="480" w:firstLineChars="200"/>
        <w:rPr>
          <w:rFonts w:hint="eastAsia" w:ascii="宋体" w:hAnsi="宋体" w:cs="宋体"/>
          <w:bCs/>
          <w:sz w:val="24"/>
        </w:rPr>
      </w:pPr>
      <w:r>
        <w:rPr>
          <w:rFonts w:hint="eastAsia" w:ascii="宋体" w:hAnsi="宋体" w:cs="宋体"/>
          <w:bCs/>
          <w:sz w:val="24"/>
        </w:rPr>
        <w:t>（1）本项目不专门面向中小企业采购，对符合规定的小型和微型企业报价给予</w:t>
      </w:r>
      <w:r>
        <w:rPr>
          <w:rFonts w:hint="eastAsia" w:ascii="宋体" w:hAnsi="宋体" w:cs="宋体"/>
          <w:bCs/>
          <w:sz w:val="24"/>
          <w:lang w:val="en-US" w:eastAsia="zh-CN"/>
        </w:rPr>
        <w:t>1</w:t>
      </w:r>
      <w:r>
        <w:rPr>
          <w:rFonts w:hint="eastAsia" w:ascii="宋体" w:hAnsi="宋体" w:cs="宋体"/>
          <w:bCs/>
          <w:sz w:val="24"/>
        </w:rPr>
        <w:t>0%的扣除价格，用扣除后的价格参与评审。</w:t>
      </w:r>
    </w:p>
    <w:p w14:paraId="1DC3F888">
      <w:pPr>
        <w:spacing w:line="500" w:lineRule="exact"/>
        <w:ind w:firstLine="480" w:firstLineChars="200"/>
        <w:rPr>
          <w:rFonts w:hint="eastAsia" w:ascii="宋体" w:hAnsi="宋体" w:cs="宋体"/>
          <w:bCs/>
          <w:sz w:val="24"/>
        </w:rPr>
      </w:pPr>
      <w:r>
        <w:rPr>
          <w:rFonts w:hint="eastAsia" w:ascii="宋体" w:hAnsi="宋体" w:cs="宋体"/>
          <w:bCs/>
          <w:sz w:val="24"/>
        </w:rPr>
        <w:t>（2）供应商需按照采购文件的要求提供相应的《小微企业声明函》。</w:t>
      </w:r>
    </w:p>
    <w:p w14:paraId="02222BD6">
      <w:pPr>
        <w:spacing w:line="500" w:lineRule="exact"/>
        <w:ind w:firstLine="480" w:firstLineChars="200"/>
        <w:rPr>
          <w:rFonts w:hint="eastAsia" w:ascii="宋体" w:hAnsi="宋体" w:cs="宋体"/>
          <w:bCs/>
          <w:sz w:val="24"/>
        </w:rPr>
      </w:pPr>
      <w:r>
        <w:rPr>
          <w:rFonts w:hint="eastAsia" w:ascii="宋体" w:hAnsi="宋体" w:cs="宋体"/>
          <w:bCs/>
          <w:sz w:val="24"/>
        </w:rPr>
        <w:t>（3）企业标准请参照《关于印发中小企业划型标准规定的通知》（工信部联企业[2011]300号）文件规定自行填写。</w:t>
      </w:r>
    </w:p>
    <w:p w14:paraId="73F86D95">
      <w:pPr>
        <w:spacing w:line="500" w:lineRule="exact"/>
        <w:ind w:firstLine="480" w:firstLineChars="200"/>
        <w:rPr>
          <w:rFonts w:hint="eastAsia" w:ascii="宋体" w:hAnsi="宋体" w:cs="宋体"/>
          <w:bCs/>
          <w:sz w:val="24"/>
        </w:rPr>
      </w:pPr>
      <w:r>
        <w:rPr>
          <w:rFonts w:hint="eastAsia" w:ascii="宋体" w:hAnsi="宋体" w:cs="宋体"/>
          <w:bCs/>
          <w:sz w:val="24"/>
        </w:rPr>
        <w:t>2、残疾人福利单位价格扣除</w:t>
      </w:r>
    </w:p>
    <w:p w14:paraId="1C90D9DB">
      <w:pPr>
        <w:spacing w:line="500" w:lineRule="exact"/>
        <w:ind w:firstLine="480" w:firstLineChars="200"/>
        <w:rPr>
          <w:rFonts w:hint="eastAsia" w:ascii="宋体" w:hAnsi="宋体" w:cs="宋体"/>
          <w:bCs/>
          <w:sz w:val="24"/>
        </w:rPr>
      </w:pPr>
      <w:r>
        <w:rPr>
          <w:rFonts w:hint="eastAsia" w:ascii="宋体" w:hAnsi="宋体" w:cs="宋体"/>
          <w:bCs/>
          <w:sz w:val="24"/>
        </w:rPr>
        <w:t>（1）本项目对残疾人福利性单位视同小型、微型企业，给予</w:t>
      </w:r>
      <w:r>
        <w:rPr>
          <w:rFonts w:hint="eastAsia" w:ascii="宋体" w:hAnsi="宋体" w:cs="宋体"/>
          <w:bCs/>
          <w:sz w:val="24"/>
          <w:lang w:val="en-US" w:eastAsia="zh-CN"/>
        </w:rPr>
        <w:t>1</w:t>
      </w:r>
      <w:r>
        <w:rPr>
          <w:rFonts w:hint="eastAsia" w:ascii="宋体" w:hAnsi="宋体" w:cs="宋体"/>
          <w:bCs/>
          <w:sz w:val="24"/>
        </w:rPr>
        <w:t>0%的价格扣除，用扣除后的价格参与评审。</w:t>
      </w:r>
    </w:p>
    <w:p w14:paraId="7C02602D">
      <w:pPr>
        <w:spacing w:line="500" w:lineRule="exact"/>
        <w:ind w:firstLine="480" w:firstLineChars="200"/>
        <w:rPr>
          <w:rFonts w:hint="eastAsia" w:ascii="宋体" w:hAnsi="宋体" w:cs="宋体"/>
          <w:bCs/>
          <w:sz w:val="24"/>
        </w:rPr>
      </w:pPr>
      <w:r>
        <w:rPr>
          <w:rFonts w:hint="eastAsia" w:ascii="宋体" w:hAnsi="宋体" w:cs="宋体"/>
          <w:bCs/>
          <w:sz w:val="24"/>
        </w:rPr>
        <w:t>（2）残疾人福利单位需按照采购文件的要求提供《残疾人福利性单位声明函》。</w:t>
      </w:r>
    </w:p>
    <w:p w14:paraId="02309257">
      <w:pPr>
        <w:spacing w:line="500" w:lineRule="exact"/>
        <w:ind w:firstLine="480" w:firstLineChars="200"/>
        <w:rPr>
          <w:rFonts w:hint="eastAsia" w:ascii="宋体" w:hAnsi="宋体" w:cs="宋体"/>
          <w:bCs/>
          <w:sz w:val="24"/>
        </w:rPr>
      </w:pPr>
      <w:r>
        <w:rPr>
          <w:rFonts w:hint="eastAsia" w:ascii="宋体" w:hAnsi="宋体" w:cs="宋体"/>
          <w:bCs/>
          <w:sz w:val="24"/>
        </w:rPr>
        <w:t>（3）残疾人福利单位标准请参照《关于促进残疾人就业政府采购政策的通知》（财库〔2017〕141号）。</w:t>
      </w:r>
    </w:p>
    <w:p w14:paraId="1C6ACDFA">
      <w:pPr>
        <w:spacing w:line="500" w:lineRule="exact"/>
        <w:ind w:firstLine="480" w:firstLineChars="200"/>
        <w:rPr>
          <w:rFonts w:hint="eastAsia" w:ascii="宋体" w:hAnsi="宋体" w:cs="宋体"/>
          <w:bCs/>
          <w:sz w:val="24"/>
        </w:rPr>
      </w:pPr>
      <w:r>
        <w:rPr>
          <w:rFonts w:hint="eastAsia" w:ascii="宋体" w:hAnsi="宋体" w:cs="宋体"/>
          <w:bCs/>
          <w:sz w:val="24"/>
        </w:rPr>
        <w:t>3、监狱和戒毒企业价格扣除</w:t>
      </w:r>
    </w:p>
    <w:p w14:paraId="486CB668">
      <w:pPr>
        <w:spacing w:line="500" w:lineRule="exact"/>
        <w:ind w:firstLine="480" w:firstLineChars="200"/>
        <w:rPr>
          <w:rFonts w:hint="eastAsia" w:ascii="宋体" w:hAnsi="宋体" w:cs="宋体"/>
          <w:bCs/>
          <w:sz w:val="24"/>
        </w:rPr>
      </w:pPr>
      <w:r>
        <w:rPr>
          <w:rFonts w:hint="eastAsia" w:ascii="宋体" w:hAnsi="宋体" w:cs="宋体"/>
          <w:bCs/>
          <w:sz w:val="24"/>
        </w:rPr>
        <w:t>（1）本项目对监狱和戒毒企业（简称监狱企业）视同小型、微型企业，给予</w:t>
      </w:r>
      <w:r>
        <w:rPr>
          <w:rFonts w:hint="eastAsia" w:ascii="宋体" w:hAnsi="宋体" w:cs="宋体"/>
          <w:bCs/>
          <w:sz w:val="24"/>
          <w:lang w:val="en-US" w:eastAsia="zh-CN"/>
        </w:rPr>
        <w:t>1</w:t>
      </w:r>
      <w:r>
        <w:rPr>
          <w:rFonts w:hint="eastAsia" w:ascii="宋体" w:hAnsi="宋体" w:cs="宋体"/>
          <w:bCs/>
          <w:sz w:val="24"/>
        </w:rPr>
        <w:t>0%的价格扣除，用扣除后的价格参与评审。</w:t>
      </w:r>
    </w:p>
    <w:p w14:paraId="0D9E824F">
      <w:pPr>
        <w:spacing w:line="500" w:lineRule="exact"/>
        <w:ind w:firstLine="480" w:firstLineChars="200"/>
        <w:rPr>
          <w:rFonts w:hint="eastAsia" w:ascii="宋体" w:hAnsi="宋体" w:cs="宋体"/>
          <w:bCs/>
          <w:sz w:val="24"/>
        </w:rPr>
      </w:pPr>
      <w:r>
        <w:rPr>
          <w:rFonts w:hint="eastAsia" w:ascii="宋体" w:hAnsi="宋体" w:cs="宋体"/>
          <w:bCs/>
          <w:sz w:val="24"/>
        </w:rPr>
        <w:t>（2）监狱企业参加政府采购活动时，需提供由省级以上监狱管理局、戒毒管理局(含新疆生产建设兵团)出具的属于监狱企业的证明文件。供应商如不提供上述证明文件，价格将不做相应扣除。</w:t>
      </w:r>
    </w:p>
    <w:p w14:paraId="14F9D1F7">
      <w:pPr>
        <w:spacing w:line="500" w:lineRule="exact"/>
        <w:ind w:firstLine="480" w:firstLineChars="200"/>
        <w:rPr>
          <w:rFonts w:hint="eastAsia" w:ascii="宋体" w:hAnsi="宋体" w:cs="宋体"/>
          <w:bCs/>
          <w:sz w:val="24"/>
        </w:rPr>
      </w:pPr>
      <w:r>
        <w:rPr>
          <w:rFonts w:hint="eastAsia" w:ascii="宋体" w:hAnsi="宋体" w:cs="宋体"/>
          <w:bCs/>
          <w:sz w:val="24"/>
        </w:rPr>
        <w:t>（3）监狱企业标准请参照《关于政府采购支持监狱企业发展有关问题的通知》（财库[2014]68号）。</w:t>
      </w:r>
    </w:p>
    <w:p w14:paraId="4EF8AC39">
      <w:pPr>
        <w:spacing w:line="500" w:lineRule="exact"/>
        <w:ind w:firstLine="480" w:firstLineChars="200"/>
        <w:rPr>
          <w:rFonts w:hint="eastAsia" w:ascii="宋体" w:hAnsi="宋体" w:cs="宋体"/>
          <w:bCs/>
          <w:sz w:val="24"/>
        </w:rPr>
      </w:pPr>
      <w:r>
        <w:rPr>
          <w:rFonts w:hint="eastAsia" w:ascii="宋体" w:hAnsi="宋体" w:cs="宋体"/>
          <w:bCs/>
          <w:sz w:val="24"/>
        </w:rPr>
        <w:t>4、残疾人福利单位、监狱企业属于小型、微型企业的，不重复享受政策。</w:t>
      </w:r>
    </w:p>
    <w:p w14:paraId="410A53F5">
      <w:pPr>
        <w:spacing w:line="500" w:lineRule="exact"/>
        <w:ind w:firstLine="480"/>
        <w:rPr>
          <w:rFonts w:hint="eastAsia" w:ascii="宋体" w:hAnsi="宋体"/>
          <w:b/>
          <w:bCs/>
          <w:color w:val="auto"/>
          <w:sz w:val="24"/>
          <w:szCs w:val="24"/>
        </w:rPr>
      </w:pPr>
      <w:r>
        <w:rPr>
          <w:rFonts w:hint="eastAsia" w:ascii="宋体" w:hAnsi="宋体"/>
          <w:b/>
          <w:bCs/>
          <w:color w:val="auto"/>
          <w:sz w:val="24"/>
          <w:szCs w:val="24"/>
          <w:lang w:eastAsia="zh-CN"/>
        </w:rPr>
        <w:t>5</w:t>
      </w:r>
      <w:r>
        <w:rPr>
          <w:rFonts w:hint="eastAsia" w:ascii="宋体" w:hAnsi="宋体"/>
          <w:b/>
          <w:bCs/>
          <w:color w:val="auto"/>
          <w:sz w:val="24"/>
          <w:szCs w:val="24"/>
          <w:lang w:val="en-US" w:eastAsia="zh-CN"/>
        </w:rPr>
        <w:t>.根据《关于推动解决政府采购异常低价问题相关工作的通知》（苏财购</w:t>
      </w:r>
      <w:r>
        <w:rPr>
          <w:rFonts w:hint="eastAsia" w:ascii="微软雅黑" w:hAnsi="微软雅黑" w:eastAsia="微软雅黑" w:cs="微软雅黑"/>
          <w:b/>
          <w:bCs/>
          <w:color w:val="auto"/>
          <w:sz w:val="24"/>
          <w:szCs w:val="24"/>
          <w:lang w:val="en-US" w:eastAsia="zh-CN"/>
        </w:rPr>
        <w:t>〔2025〕62号</w:t>
      </w:r>
      <w:r>
        <w:rPr>
          <w:rFonts w:hint="eastAsia" w:ascii="宋体" w:hAnsi="宋体"/>
          <w:b/>
          <w:bCs/>
          <w:color w:val="auto"/>
          <w:sz w:val="24"/>
          <w:szCs w:val="24"/>
          <w:lang w:val="en-US" w:eastAsia="zh-CN"/>
        </w:rPr>
        <w:t>）文件要求，</w:t>
      </w:r>
      <w:r>
        <w:rPr>
          <w:rFonts w:hint="eastAsia" w:ascii="宋体" w:hAnsi="宋体"/>
          <w:b/>
          <w:bCs/>
          <w:color w:val="auto"/>
          <w:sz w:val="24"/>
          <w:szCs w:val="24"/>
        </w:rPr>
        <w:t>评审过程中出现下列情形之一的，评审委员会应当启动异常低价投标(响应)审查程序:</w:t>
      </w:r>
    </w:p>
    <w:p w14:paraId="3C69F006">
      <w:pPr>
        <w:spacing w:line="500" w:lineRule="exact"/>
        <w:ind w:firstLine="480"/>
        <w:rPr>
          <w:rFonts w:hint="eastAsia" w:ascii="宋体" w:hAnsi="宋体"/>
          <w:b/>
          <w:bCs/>
          <w:color w:val="auto"/>
          <w:sz w:val="24"/>
          <w:szCs w:val="24"/>
        </w:rPr>
      </w:pPr>
      <w:r>
        <w:rPr>
          <w:rFonts w:hint="eastAsia" w:ascii="宋体" w:hAnsi="宋体"/>
          <w:b/>
          <w:bCs/>
          <w:color w:val="auto"/>
          <w:sz w:val="24"/>
          <w:szCs w:val="24"/>
        </w:rPr>
        <w:t>（1）投标(响应)报价低于采购项目预算50%的，即投标(响应)报价&lt;采购项目预算x50%;</w:t>
      </w:r>
    </w:p>
    <w:p w14:paraId="7548509B">
      <w:pPr>
        <w:spacing w:line="500" w:lineRule="exact"/>
        <w:ind w:firstLine="480"/>
        <w:rPr>
          <w:rFonts w:hint="eastAsia" w:ascii="宋体" w:hAnsi="宋体"/>
          <w:b/>
          <w:bCs/>
          <w:color w:val="auto"/>
          <w:sz w:val="24"/>
          <w:szCs w:val="24"/>
        </w:rPr>
      </w:pPr>
      <w:r>
        <w:rPr>
          <w:rFonts w:hint="eastAsia" w:ascii="宋体" w:hAnsi="宋体"/>
          <w:b/>
          <w:bCs/>
          <w:color w:val="auto"/>
          <w:sz w:val="24"/>
          <w:szCs w:val="24"/>
        </w:rPr>
        <w:t>（2）投标(响应)报价低于采购项目最高限价45%的，即投标(响应)报价&lt;采购项目最高限价x45%;</w:t>
      </w:r>
    </w:p>
    <w:p w14:paraId="3AC04DD0">
      <w:pPr>
        <w:spacing w:line="500" w:lineRule="exact"/>
        <w:ind w:firstLine="480"/>
        <w:rPr>
          <w:rFonts w:hint="eastAsia" w:ascii="宋体" w:hAnsi="宋体"/>
          <w:b/>
          <w:bCs/>
          <w:color w:val="auto"/>
          <w:sz w:val="24"/>
          <w:szCs w:val="24"/>
        </w:rPr>
      </w:pPr>
      <w:r>
        <w:rPr>
          <w:rFonts w:hint="eastAsia" w:ascii="宋体" w:hAnsi="宋体"/>
          <w:b/>
          <w:bCs/>
          <w:color w:val="auto"/>
          <w:sz w:val="24"/>
          <w:szCs w:val="24"/>
        </w:rPr>
        <w:t>（3）评审委员会认定的供应商报价过低、有可能影响产品质量或者不能诚信履约的其他情形。</w:t>
      </w:r>
    </w:p>
    <w:p w14:paraId="1B4F6F00">
      <w:pPr>
        <w:spacing w:line="500" w:lineRule="exact"/>
        <w:ind w:firstLine="480"/>
        <w:rPr>
          <w:rFonts w:ascii="宋体" w:hAnsi="宋体"/>
          <w:b/>
          <w:bCs/>
          <w:color w:val="auto"/>
          <w:sz w:val="24"/>
          <w:szCs w:val="24"/>
        </w:rPr>
      </w:pPr>
      <w:r>
        <w:rPr>
          <w:rFonts w:hint="eastAsia" w:ascii="宋体" w:hAnsi="宋体"/>
          <w:b/>
          <w:bCs/>
          <w:color w:val="auto"/>
          <w:sz w:val="24"/>
          <w:szCs w:val="24"/>
          <w:lang w:eastAsia="zh-CN"/>
        </w:rPr>
        <w:t>6</w:t>
      </w:r>
      <w:r>
        <w:rPr>
          <w:rFonts w:hint="eastAsia" w:ascii="宋体" w:hAnsi="宋体"/>
          <w:b/>
          <w:bCs/>
          <w:color w:val="auto"/>
          <w:sz w:val="24"/>
          <w:szCs w:val="24"/>
          <w:lang w:val="en-US" w:eastAsia="zh-CN"/>
        </w:rPr>
        <w:t>.</w:t>
      </w:r>
      <w:r>
        <w:rPr>
          <w:rFonts w:hint="eastAsia" w:ascii="宋体" w:hAnsi="宋体"/>
          <w:b/>
          <w:bCs/>
          <w:color w:val="auto"/>
          <w:sz w:val="24"/>
          <w:szCs w:val="24"/>
        </w:rPr>
        <w:t>启动异常低价投标(响应)审查后，评审委员会应当要求相关供应商在评</w:t>
      </w:r>
      <w:r>
        <w:rPr>
          <w:rFonts w:hint="eastAsia" w:ascii="宋体" w:hAnsi="宋体"/>
          <w:b/>
          <w:bCs/>
          <w:color w:val="auto"/>
          <w:sz w:val="24"/>
          <w:szCs w:val="24"/>
          <w:lang w:val="en-US" w:eastAsia="zh-CN"/>
        </w:rPr>
        <w:t>审</w:t>
      </w:r>
      <w:r>
        <w:rPr>
          <w:rFonts w:hint="eastAsia" w:ascii="宋体" w:hAnsi="宋体"/>
          <w:b/>
          <w:bCs/>
          <w:color w:val="auto"/>
          <w:sz w:val="24"/>
          <w:szCs w:val="24"/>
        </w:rPr>
        <w:t>现场合理的时间内，提供项目具体成本测算等与报价合理性相关的书面说明及相关证明材料，对投标(响应)价格作出解释，由评审委员会结合同类产品在主要电商平台的价格、该行业当地薪资水</w:t>
      </w:r>
      <w:r>
        <w:rPr>
          <w:rFonts w:hint="eastAsia" w:ascii="宋体" w:hAnsi="宋体"/>
          <w:b/>
          <w:bCs/>
          <w:color w:val="auto"/>
          <w:sz w:val="24"/>
          <w:szCs w:val="24"/>
          <w:lang w:val="en-US" w:eastAsia="zh-CN"/>
        </w:rPr>
        <w:t>平</w:t>
      </w:r>
      <w:r>
        <w:rPr>
          <w:rFonts w:hint="eastAsia" w:ascii="宋体" w:hAnsi="宋体"/>
          <w:b/>
          <w:bCs/>
          <w:color w:val="auto"/>
          <w:sz w:val="24"/>
          <w:szCs w:val="24"/>
        </w:rPr>
        <w:t>等情况，依据专业经验对供应商报价合理性进行判断。投标(响应)供应商不提供书面说明、证明材料,或者提供的书面说明、证明材料不能证明其报价合理性的评审委员会应当将其作为无效投标(响应)处理。审查相关情况在评审报告中进行记录。</w:t>
      </w:r>
    </w:p>
    <w:p w14:paraId="71BA3055">
      <w:pPr>
        <w:rPr>
          <w:rFonts w:hint="eastAsia" w:ascii="宋体" w:hAnsi="宋体" w:cs="宋体"/>
          <w:b/>
          <w:sz w:val="24"/>
        </w:rPr>
      </w:pPr>
      <w:r>
        <w:rPr>
          <w:rFonts w:hint="eastAsia" w:ascii="宋体" w:hAnsi="宋体" w:cs="宋体"/>
          <w:b/>
          <w:sz w:val="24"/>
        </w:rPr>
        <w:br w:type="page"/>
      </w:r>
    </w:p>
    <w:p w14:paraId="34F3E917">
      <w:pPr>
        <w:spacing w:line="500" w:lineRule="exact"/>
        <w:ind w:firstLine="482" w:firstLineChars="200"/>
        <w:rPr>
          <w:rFonts w:hint="eastAsia" w:ascii="宋体" w:hAnsi="宋体" w:cs="宋体"/>
          <w:b/>
          <w:sz w:val="24"/>
        </w:rPr>
      </w:pPr>
      <w:r>
        <w:rPr>
          <w:rFonts w:hint="eastAsia" w:ascii="宋体" w:hAnsi="宋体" w:cs="宋体"/>
          <w:b/>
          <w:sz w:val="24"/>
        </w:rPr>
        <w:t>三、评</w:t>
      </w:r>
      <w:r>
        <w:rPr>
          <w:rFonts w:hint="eastAsia" w:ascii="宋体" w:hAnsi="宋体" w:cs="宋体"/>
          <w:b/>
          <w:sz w:val="24"/>
          <w:lang w:val="en-US" w:eastAsia="zh-CN"/>
        </w:rPr>
        <w:t>分</w:t>
      </w:r>
      <w:r>
        <w:rPr>
          <w:rFonts w:hint="eastAsia" w:ascii="宋体" w:hAnsi="宋体" w:cs="宋体"/>
          <w:b/>
          <w:sz w:val="24"/>
        </w:rPr>
        <w:t>标准</w:t>
      </w:r>
    </w:p>
    <w:p w14:paraId="0C41DDCB">
      <w:pPr>
        <w:spacing w:line="500" w:lineRule="exact"/>
        <w:ind w:firstLine="480" w:firstLineChars="200"/>
        <w:rPr>
          <w:rFonts w:hint="eastAsia" w:ascii="宋体" w:hAnsi="宋体" w:cs="宋体"/>
          <w:bCs/>
          <w:sz w:val="24"/>
        </w:rPr>
      </w:pPr>
      <w:r>
        <w:rPr>
          <w:rFonts w:hint="eastAsia" w:ascii="宋体" w:hAnsi="宋体" w:cs="宋体"/>
          <w:bCs/>
          <w:sz w:val="24"/>
        </w:rPr>
        <w:t>本项目评分总分值为100分。</w:t>
      </w:r>
    </w:p>
    <w:tbl>
      <w:tblPr>
        <w:tblStyle w:val="4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097"/>
        <w:gridCol w:w="1299"/>
        <w:gridCol w:w="711"/>
        <w:gridCol w:w="5538"/>
      </w:tblGrid>
      <w:tr w14:paraId="62FAF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339" w:type="pct"/>
            <w:tcBorders>
              <w:top w:val="single" w:color="auto" w:sz="4" w:space="0"/>
              <w:left w:val="single" w:color="auto" w:sz="4" w:space="0"/>
              <w:bottom w:val="single" w:color="auto" w:sz="4" w:space="0"/>
              <w:right w:val="single" w:color="auto" w:sz="4" w:space="0"/>
            </w:tcBorders>
            <w:noWrap w:val="0"/>
            <w:vAlign w:val="center"/>
          </w:tcPr>
          <w:p w14:paraId="2F076070">
            <w:pPr>
              <w:spacing w:line="240" w:lineRule="atLeast"/>
              <w:contextualSpacing/>
              <w:jc w:val="center"/>
              <w:rPr>
                <w:rFonts w:hint="eastAsia" w:ascii="宋体" w:hAnsi="宋体"/>
                <w:b/>
                <w:bCs/>
                <w:szCs w:val="21"/>
              </w:rPr>
            </w:pPr>
            <w:r>
              <w:rPr>
                <w:rFonts w:hint="eastAsia" w:ascii="宋体" w:hAnsi="宋体"/>
                <w:b/>
                <w:bCs/>
                <w:szCs w:val="21"/>
              </w:rPr>
              <w:t>序号</w:t>
            </w:r>
          </w:p>
        </w:tc>
        <w:tc>
          <w:tcPr>
            <w:tcW w:w="591" w:type="pct"/>
            <w:tcBorders>
              <w:top w:val="single" w:color="auto" w:sz="4" w:space="0"/>
              <w:left w:val="single" w:color="auto" w:sz="4" w:space="0"/>
              <w:bottom w:val="single" w:color="auto" w:sz="4" w:space="0"/>
              <w:right w:val="single" w:color="auto" w:sz="4" w:space="0"/>
            </w:tcBorders>
            <w:noWrap w:val="0"/>
            <w:vAlign w:val="center"/>
          </w:tcPr>
          <w:p w14:paraId="00214CCE">
            <w:pPr>
              <w:spacing w:line="240" w:lineRule="atLeast"/>
              <w:contextualSpacing/>
              <w:jc w:val="center"/>
              <w:rPr>
                <w:rFonts w:ascii="宋体" w:hAnsi="宋体"/>
                <w:b/>
                <w:bCs/>
                <w:szCs w:val="21"/>
              </w:rPr>
            </w:pPr>
            <w:r>
              <w:rPr>
                <w:rFonts w:hint="eastAsia" w:ascii="宋体" w:hAnsi="宋体"/>
                <w:b/>
                <w:bCs/>
                <w:szCs w:val="21"/>
              </w:rPr>
              <w:t>分部内容</w:t>
            </w:r>
          </w:p>
        </w:tc>
        <w:tc>
          <w:tcPr>
            <w:tcW w:w="699" w:type="pct"/>
            <w:tcBorders>
              <w:top w:val="single" w:color="auto" w:sz="4" w:space="0"/>
              <w:left w:val="single" w:color="auto" w:sz="4" w:space="0"/>
              <w:bottom w:val="single" w:color="auto" w:sz="4" w:space="0"/>
              <w:right w:val="single" w:color="auto" w:sz="4" w:space="0"/>
            </w:tcBorders>
            <w:noWrap w:val="0"/>
            <w:vAlign w:val="center"/>
          </w:tcPr>
          <w:p w14:paraId="3EB41F40">
            <w:pPr>
              <w:spacing w:line="240" w:lineRule="atLeast"/>
              <w:contextualSpacing/>
              <w:jc w:val="center"/>
              <w:rPr>
                <w:rFonts w:ascii="宋体" w:hAnsi="宋体"/>
                <w:b/>
                <w:bCs/>
                <w:szCs w:val="21"/>
              </w:rPr>
            </w:pPr>
            <w:r>
              <w:rPr>
                <w:rFonts w:hint="eastAsia" w:ascii="宋体" w:hAnsi="宋体"/>
                <w:b/>
                <w:bCs/>
                <w:szCs w:val="21"/>
              </w:rPr>
              <w:t>分项内容</w:t>
            </w:r>
          </w:p>
        </w:tc>
        <w:tc>
          <w:tcPr>
            <w:tcW w:w="383" w:type="pct"/>
            <w:tcBorders>
              <w:top w:val="single" w:color="auto" w:sz="4" w:space="0"/>
              <w:left w:val="single" w:color="auto" w:sz="4" w:space="0"/>
              <w:bottom w:val="single" w:color="auto" w:sz="4" w:space="0"/>
              <w:right w:val="single" w:color="auto" w:sz="4" w:space="0"/>
            </w:tcBorders>
            <w:noWrap w:val="0"/>
            <w:vAlign w:val="center"/>
          </w:tcPr>
          <w:p w14:paraId="676C64BE">
            <w:pPr>
              <w:spacing w:line="240" w:lineRule="atLeast"/>
              <w:contextualSpacing/>
              <w:jc w:val="center"/>
              <w:rPr>
                <w:rFonts w:ascii="宋体" w:hAnsi="宋体"/>
                <w:b/>
                <w:bCs/>
                <w:szCs w:val="21"/>
              </w:rPr>
            </w:pPr>
            <w:r>
              <w:rPr>
                <w:rFonts w:hint="eastAsia" w:ascii="宋体" w:hAnsi="宋体"/>
                <w:b/>
                <w:bCs/>
                <w:szCs w:val="21"/>
              </w:rPr>
              <w:t>分值</w:t>
            </w:r>
          </w:p>
        </w:tc>
        <w:tc>
          <w:tcPr>
            <w:tcW w:w="2985" w:type="pct"/>
            <w:tcBorders>
              <w:top w:val="single" w:color="auto" w:sz="4" w:space="0"/>
              <w:left w:val="single" w:color="auto" w:sz="4" w:space="0"/>
              <w:bottom w:val="single" w:color="auto" w:sz="4" w:space="0"/>
              <w:right w:val="single" w:color="auto" w:sz="4" w:space="0"/>
            </w:tcBorders>
            <w:noWrap w:val="0"/>
            <w:vAlign w:val="center"/>
          </w:tcPr>
          <w:p w14:paraId="227742D1">
            <w:pPr>
              <w:spacing w:line="240" w:lineRule="atLeast"/>
              <w:contextualSpacing/>
              <w:jc w:val="center"/>
              <w:rPr>
                <w:rFonts w:ascii="宋体" w:hAnsi="宋体"/>
                <w:b/>
                <w:bCs/>
                <w:szCs w:val="21"/>
              </w:rPr>
            </w:pPr>
            <w:r>
              <w:rPr>
                <w:rFonts w:hint="eastAsia" w:ascii="宋体" w:hAnsi="宋体"/>
                <w:b/>
                <w:bCs/>
                <w:szCs w:val="21"/>
              </w:rPr>
              <w:t>打分要求</w:t>
            </w:r>
          </w:p>
        </w:tc>
      </w:tr>
      <w:tr w14:paraId="06B48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5" w:hRule="atLeast"/>
          <w:jc w:val="center"/>
        </w:trPr>
        <w:tc>
          <w:tcPr>
            <w:tcW w:w="339" w:type="pct"/>
            <w:tcBorders>
              <w:top w:val="single" w:color="auto" w:sz="4" w:space="0"/>
              <w:left w:val="single" w:color="auto" w:sz="4" w:space="0"/>
              <w:bottom w:val="single" w:color="auto" w:sz="4" w:space="0"/>
              <w:right w:val="single" w:color="auto" w:sz="4" w:space="0"/>
            </w:tcBorders>
            <w:noWrap w:val="0"/>
            <w:vAlign w:val="center"/>
          </w:tcPr>
          <w:p w14:paraId="729A2286">
            <w:pPr>
              <w:spacing w:line="240" w:lineRule="atLeast"/>
              <w:contextualSpacing/>
              <w:jc w:val="center"/>
              <w:rPr>
                <w:rFonts w:ascii="宋体" w:hAnsi="宋体"/>
                <w:szCs w:val="21"/>
              </w:rPr>
            </w:pPr>
            <w:r>
              <w:rPr>
                <w:rFonts w:hint="eastAsia" w:ascii="宋体" w:hAnsi="宋体"/>
                <w:szCs w:val="21"/>
              </w:rPr>
              <w:t>一</w:t>
            </w:r>
          </w:p>
        </w:tc>
        <w:tc>
          <w:tcPr>
            <w:tcW w:w="591" w:type="pct"/>
            <w:tcBorders>
              <w:top w:val="single" w:color="auto" w:sz="4" w:space="0"/>
              <w:left w:val="single" w:color="auto" w:sz="4" w:space="0"/>
              <w:bottom w:val="single" w:color="auto" w:sz="4" w:space="0"/>
              <w:right w:val="single" w:color="auto" w:sz="4" w:space="0"/>
            </w:tcBorders>
            <w:noWrap w:val="0"/>
            <w:vAlign w:val="center"/>
          </w:tcPr>
          <w:p w14:paraId="33954182">
            <w:pPr>
              <w:spacing w:line="240" w:lineRule="atLeast"/>
              <w:contextualSpacing/>
              <w:jc w:val="center"/>
              <w:rPr>
                <w:rFonts w:ascii="宋体" w:hAnsi="宋体"/>
                <w:szCs w:val="21"/>
              </w:rPr>
            </w:pPr>
            <w:r>
              <w:rPr>
                <w:rFonts w:hint="eastAsia" w:ascii="宋体" w:hAnsi="宋体"/>
                <w:szCs w:val="21"/>
              </w:rPr>
              <w:t>价格部分</w:t>
            </w:r>
          </w:p>
          <w:p w14:paraId="733041F3">
            <w:pPr>
              <w:spacing w:line="240" w:lineRule="atLeast"/>
              <w:contextualSpacing/>
              <w:jc w:val="center"/>
              <w:rPr>
                <w:rFonts w:ascii="宋体" w:hAnsi="宋体"/>
                <w:szCs w:val="21"/>
              </w:rPr>
            </w:pPr>
            <w:r>
              <w:rPr>
                <w:rFonts w:hint="eastAsia" w:ascii="宋体" w:hAnsi="宋体"/>
                <w:szCs w:val="21"/>
              </w:rPr>
              <w:t>（</w:t>
            </w:r>
            <w:r>
              <w:rPr>
                <w:rFonts w:hint="eastAsia" w:ascii="宋体" w:hAnsi="宋体"/>
                <w:szCs w:val="21"/>
                <w:lang w:val="en-US" w:eastAsia="zh-CN"/>
              </w:rPr>
              <w:t>30</w:t>
            </w:r>
            <w:r>
              <w:rPr>
                <w:rFonts w:hint="eastAsia" w:ascii="宋体" w:hAnsi="宋体"/>
                <w:szCs w:val="21"/>
              </w:rPr>
              <w:t>分）</w:t>
            </w:r>
          </w:p>
        </w:tc>
        <w:tc>
          <w:tcPr>
            <w:tcW w:w="699" w:type="pct"/>
            <w:tcBorders>
              <w:top w:val="single" w:color="auto" w:sz="4" w:space="0"/>
              <w:left w:val="single" w:color="auto" w:sz="4" w:space="0"/>
              <w:bottom w:val="single" w:color="auto" w:sz="4" w:space="0"/>
              <w:right w:val="single" w:color="auto" w:sz="4" w:space="0"/>
            </w:tcBorders>
            <w:noWrap w:val="0"/>
            <w:vAlign w:val="center"/>
          </w:tcPr>
          <w:p w14:paraId="1EDA1C63">
            <w:pPr>
              <w:spacing w:line="240" w:lineRule="atLeast"/>
              <w:contextualSpacing/>
              <w:jc w:val="center"/>
              <w:rPr>
                <w:rFonts w:ascii="宋体" w:hAnsi="宋体"/>
                <w:szCs w:val="21"/>
              </w:rPr>
            </w:pPr>
            <w:r>
              <w:rPr>
                <w:rFonts w:hint="eastAsia" w:ascii="宋体" w:hAnsi="宋体"/>
                <w:szCs w:val="21"/>
                <w:lang w:val="en-US" w:eastAsia="zh-CN"/>
              </w:rPr>
              <w:t>响应</w:t>
            </w:r>
            <w:r>
              <w:rPr>
                <w:rFonts w:hint="eastAsia" w:ascii="宋体" w:hAnsi="宋体"/>
                <w:szCs w:val="21"/>
              </w:rPr>
              <w:t>报价</w:t>
            </w:r>
          </w:p>
        </w:tc>
        <w:tc>
          <w:tcPr>
            <w:tcW w:w="383" w:type="pct"/>
            <w:tcBorders>
              <w:top w:val="single" w:color="auto" w:sz="4" w:space="0"/>
              <w:left w:val="single" w:color="auto" w:sz="4" w:space="0"/>
              <w:bottom w:val="single" w:color="auto" w:sz="4" w:space="0"/>
              <w:right w:val="single" w:color="auto" w:sz="4" w:space="0"/>
            </w:tcBorders>
            <w:noWrap w:val="0"/>
            <w:vAlign w:val="center"/>
          </w:tcPr>
          <w:p w14:paraId="35AAF9E3">
            <w:pPr>
              <w:spacing w:line="240" w:lineRule="atLeast"/>
              <w:contextualSpacing/>
              <w:jc w:val="center"/>
              <w:rPr>
                <w:rFonts w:hint="default" w:ascii="宋体" w:hAnsi="宋体" w:eastAsia="宋体"/>
                <w:szCs w:val="21"/>
                <w:lang w:val="en-US" w:eastAsia="zh-CN"/>
              </w:rPr>
            </w:pPr>
            <w:r>
              <w:rPr>
                <w:rFonts w:hint="eastAsia" w:ascii="宋体" w:hAnsi="宋体" w:eastAsia="宋体"/>
                <w:szCs w:val="21"/>
                <w:lang w:val="en-US" w:eastAsia="zh-CN"/>
              </w:rPr>
              <w:t>30</w:t>
            </w:r>
          </w:p>
        </w:tc>
        <w:tc>
          <w:tcPr>
            <w:tcW w:w="2985" w:type="pct"/>
            <w:tcBorders>
              <w:top w:val="single" w:color="auto" w:sz="4" w:space="0"/>
              <w:left w:val="single" w:color="auto" w:sz="4" w:space="0"/>
              <w:bottom w:val="single" w:color="auto" w:sz="4" w:space="0"/>
              <w:right w:val="single" w:color="auto" w:sz="4" w:space="0"/>
            </w:tcBorders>
            <w:noWrap w:val="0"/>
            <w:vAlign w:val="center"/>
          </w:tcPr>
          <w:p w14:paraId="77F89F36">
            <w:pPr>
              <w:widowControl/>
              <w:spacing w:line="360" w:lineRule="auto"/>
              <w:rPr>
                <w:rFonts w:hint="eastAsia" w:ascii="宋体" w:hAnsi="宋体" w:cs="宋体"/>
                <w:szCs w:val="21"/>
              </w:rPr>
            </w:pPr>
            <w:r>
              <w:rPr>
                <w:rFonts w:hint="eastAsia" w:ascii="宋体" w:hAnsi="宋体" w:cs="宋体"/>
                <w:szCs w:val="21"/>
              </w:rPr>
              <w:t>满足竞争性磋商文件要求且价格最低的</w:t>
            </w:r>
            <w:r>
              <w:rPr>
                <w:rFonts w:hint="eastAsia" w:ascii="宋体" w:hAnsi="宋体" w:cs="宋体"/>
                <w:szCs w:val="21"/>
                <w:lang w:val="en-US" w:eastAsia="zh-CN"/>
              </w:rPr>
              <w:t>磋商报</w:t>
            </w:r>
            <w:r>
              <w:rPr>
                <w:rFonts w:hint="eastAsia" w:ascii="宋体" w:hAnsi="宋体" w:cs="宋体"/>
                <w:szCs w:val="21"/>
              </w:rPr>
              <w:t>价为基准价，其价格分为满分。其他供应商的价格分统一按照下列公式计算：</w:t>
            </w:r>
            <w:r>
              <w:rPr>
                <w:rFonts w:hint="eastAsia" w:ascii="宋体" w:hAnsi="宋体" w:cs="宋体"/>
                <w:szCs w:val="21"/>
                <w:lang w:val="en-US" w:eastAsia="zh-CN"/>
              </w:rPr>
              <w:t>响应</w:t>
            </w:r>
            <w:r>
              <w:rPr>
                <w:rFonts w:hint="eastAsia" w:ascii="宋体" w:hAnsi="宋体" w:cs="宋体"/>
                <w:szCs w:val="21"/>
              </w:rPr>
              <w:t>报价得分=（评</w:t>
            </w:r>
            <w:r>
              <w:rPr>
                <w:rFonts w:hint="eastAsia" w:ascii="宋体" w:hAnsi="宋体" w:cs="宋体"/>
                <w:szCs w:val="21"/>
                <w:lang w:val="en-US" w:eastAsia="zh-CN"/>
              </w:rPr>
              <w:t>审</w:t>
            </w:r>
            <w:r>
              <w:rPr>
                <w:rFonts w:hint="eastAsia" w:ascii="宋体" w:hAnsi="宋体" w:cs="宋体"/>
                <w:szCs w:val="21"/>
              </w:rPr>
              <w:t>基准价/磋商报价）×</w:t>
            </w:r>
            <w:r>
              <w:rPr>
                <w:rFonts w:hint="eastAsia" w:ascii="宋体" w:hAnsi="宋体" w:cs="宋体"/>
                <w:szCs w:val="21"/>
                <w:lang w:val="en-US" w:eastAsia="zh-CN"/>
              </w:rPr>
              <w:t>30</w:t>
            </w:r>
            <w:r>
              <w:rPr>
                <w:rFonts w:hint="eastAsia" w:ascii="宋体" w:hAnsi="宋体" w:cs="宋体"/>
                <w:szCs w:val="21"/>
              </w:rPr>
              <w:t>，结果保留两位小数。</w:t>
            </w:r>
          </w:p>
          <w:p w14:paraId="236D62F5">
            <w:pPr>
              <w:widowControl/>
              <w:spacing w:line="360" w:lineRule="auto"/>
              <w:rPr>
                <w:rFonts w:hint="eastAsia" w:ascii="宋体" w:hAnsi="宋体" w:cs="宋体"/>
                <w:szCs w:val="21"/>
              </w:rPr>
            </w:pPr>
            <w:r>
              <w:rPr>
                <w:rFonts w:hint="eastAsia" w:ascii="宋体" w:hAnsi="宋体" w:cs="宋体"/>
                <w:szCs w:val="21"/>
              </w:rPr>
              <w:t>注：</w:t>
            </w:r>
          </w:p>
          <w:p w14:paraId="163539BC">
            <w:pPr>
              <w:widowControl/>
              <w:spacing w:line="360" w:lineRule="auto"/>
              <w:rPr>
                <w:rFonts w:hint="eastAsia" w:ascii="宋体" w:hAnsi="宋体" w:cs="宋体"/>
                <w:szCs w:val="21"/>
              </w:rPr>
            </w:pPr>
            <w:r>
              <w:rPr>
                <w:rFonts w:hint="eastAsia" w:ascii="宋体" w:hAnsi="宋体" w:cs="宋体"/>
                <w:szCs w:val="21"/>
              </w:rPr>
              <w:t>依据财政部87号第六十条，评</w:t>
            </w:r>
            <w:r>
              <w:rPr>
                <w:rFonts w:hint="eastAsia" w:ascii="宋体" w:hAnsi="宋体" w:cs="宋体"/>
                <w:szCs w:val="21"/>
                <w:lang w:val="en-US" w:eastAsia="zh-CN"/>
              </w:rPr>
              <w:t>审</w:t>
            </w:r>
            <w:r>
              <w:rPr>
                <w:rFonts w:hint="eastAsia" w:ascii="宋体" w:hAnsi="宋体" w:cs="宋体"/>
                <w:szCs w:val="21"/>
              </w:rPr>
              <w:t>委员会认为供应商的报价明显低于其他通过符合性审查供应商的报价，有可能影响产品质量或者不能诚信履约的，应当要求其在评</w:t>
            </w:r>
            <w:r>
              <w:rPr>
                <w:rFonts w:hint="eastAsia" w:ascii="宋体" w:hAnsi="宋体" w:cs="宋体"/>
                <w:szCs w:val="21"/>
                <w:lang w:val="en-US" w:eastAsia="zh-CN"/>
              </w:rPr>
              <w:t>审</w:t>
            </w:r>
            <w:r>
              <w:rPr>
                <w:rFonts w:hint="eastAsia" w:ascii="宋体" w:hAnsi="宋体" w:cs="宋体"/>
                <w:szCs w:val="21"/>
              </w:rPr>
              <w:t>现场合理的时间内提供书面说明，必要时提交相关证明材料；供应商不能证明其报价合理性的，评</w:t>
            </w:r>
            <w:r>
              <w:rPr>
                <w:rFonts w:hint="eastAsia" w:ascii="宋体" w:hAnsi="宋体" w:cs="宋体"/>
                <w:szCs w:val="21"/>
                <w:lang w:val="en-US" w:eastAsia="zh-CN"/>
              </w:rPr>
              <w:t>审</w:t>
            </w:r>
            <w:r>
              <w:rPr>
                <w:rFonts w:hint="eastAsia" w:ascii="宋体" w:hAnsi="宋体" w:cs="宋体"/>
                <w:szCs w:val="21"/>
              </w:rPr>
              <w:t>委员会应当将其作为无效</w:t>
            </w:r>
            <w:r>
              <w:rPr>
                <w:rFonts w:hint="eastAsia" w:ascii="宋体" w:hAnsi="宋体" w:cs="宋体"/>
                <w:szCs w:val="21"/>
                <w:lang w:val="en-US" w:eastAsia="zh-CN"/>
              </w:rPr>
              <w:t>响应</w:t>
            </w:r>
            <w:r>
              <w:rPr>
                <w:rFonts w:hint="eastAsia" w:ascii="宋体" w:hAnsi="宋体" w:cs="宋体"/>
                <w:szCs w:val="21"/>
              </w:rPr>
              <w:t>处理。</w:t>
            </w:r>
          </w:p>
        </w:tc>
      </w:tr>
      <w:tr w14:paraId="0C19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jc w:val="center"/>
        </w:trPr>
        <w:tc>
          <w:tcPr>
            <w:tcW w:w="339" w:type="pct"/>
            <w:vMerge w:val="restart"/>
            <w:tcBorders>
              <w:top w:val="single" w:color="auto" w:sz="4" w:space="0"/>
              <w:left w:val="single" w:color="auto" w:sz="4" w:space="0"/>
              <w:right w:val="single" w:color="auto" w:sz="4" w:space="0"/>
            </w:tcBorders>
            <w:noWrap w:val="0"/>
            <w:vAlign w:val="center"/>
          </w:tcPr>
          <w:p w14:paraId="0FC1AC00">
            <w:pPr>
              <w:spacing w:line="240" w:lineRule="atLeast"/>
              <w:contextualSpacing/>
              <w:jc w:val="center"/>
              <w:rPr>
                <w:rFonts w:hint="eastAsia" w:ascii="宋体" w:hAnsi="宋体"/>
                <w:szCs w:val="21"/>
              </w:rPr>
            </w:pPr>
            <w:r>
              <w:rPr>
                <w:rFonts w:hint="eastAsia" w:ascii="宋体" w:hAnsi="宋体"/>
                <w:szCs w:val="21"/>
              </w:rPr>
              <w:t>二</w:t>
            </w:r>
          </w:p>
          <w:p w14:paraId="470973A3">
            <w:pPr>
              <w:spacing w:line="240" w:lineRule="atLeast"/>
              <w:contextualSpacing/>
              <w:jc w:val="center"/>
              <w:rPr>
                <w:rFonts w:ascii="宋体" w:hAnsi="宋体"/>
                <w:szCs w:val="21"/>
              </w:rPr>
            </w:pPr>
          </w:p>
        </w:tc>
        <w:tc>
          <w:tcPr>
            <w:tcW w:w="591" w:type="pct"/>
            <w:vMerge w:val="restart"/>
            <w:tcBorders>
              <w:top w:val="single" w:color="auto" w:sz="4" w:space="0"/>
              <w:left w:val="single" w:color="auto" w:sz="4" w:space="0"/>
              <w:right w:val="single" w:color="auto" w:sz="4" w:space="0"/>
            </w:tcBorders>
            <w:noWrap w:val="0"/>
            <w:vAlign w:val="center"/>
          </w:tcPr>
          <w:p w14:paraId="1CD6272D">
            <w:pPr>
              <w:spacing w:line="240" w:lineRule="atLeast"/>
              <w:contextualSpacing/>
              <w:jc w:val="center"/>
              <w:rPr>
                <w:rFonts w:ascii="宋体" w:hAnsi="宋体"/>
                <w:szCs w:val="21"/>
              </w:rPr>
            </w:pPr>
            <w:r>
              <w:rPr>
                <w:rFonts w:hint="eastAsia" w:ascii="宋体" w:hAnsi="宋体"/>
                <w:szCs w:val="21"/>
              </w:rPr>
              <w:t>商务部分</w:t>
            </w:r>
          </w:p>
          <w:p w14:paraId="76395DDE">
            <w:pPr>
              <w:spacing w:line="240" w:lineRule="atLeast"/>
              <w:contextualSpacing/>
              <w:jc w:val="center"/>
              <w:rPr>
                <w:rFonts w:ascii="宋体" w:hAnsi="宋体"/>
                <w:szCs w:val="21"/>
              </w:rPr>
            </w:pPr>
            <w:r>
              <w:rPr>
                <w:rFonts w:hint="eastAsia" w:ascii="宋体" w:hAnsi="宋体"/>
                <w:szCs w:val="21"/>
              </w:rPr>
              <w:t>（</w:t>
            </w:r>
            <w:r>
              <w:rPr>
                <w:rFonts w:hint="eastAsia" w:ascii="宋体" w:hAnsi="宋体"/>
                <w:szCs w:val="21"/>
                <w:lang w:val="en-US" w:eastAsia="zh-CN"/>
              </w:rPr>
              <w:t>56</w:t>
            </w:r>
            <w:r>
              <w:rPr>
                <w:rFonts w:hint="eastAsia" w:ascii="宋体" w:hAnsi="宋体"/>
                <w:szCs w:val="21"/>
              </w:rPr>
              <w:t>分）</w:t>
            </w:r>
          </w:p>
        </w:tc>
        <w:tc>
          <w:tcPr>
            <w:tcW w:w="699" w:type="pct"/>
            <w:tcBorders>
              <w:top w:val="single" w:color="auto" w:sz="4" w:space="0"/>
              <w:left w:val="single" w:color="auto" w:sz="4" w:space="0"/>
              <w:right w:val="single" w:color="auto" w:sz="4" w:space="0"/>
            </w:tcBorders>
            <w:noWrap w:val="0"/>
            <w:vAlign w:val="center"/>
          </w:tcPr>
          <w:p w14:paraId="45893E03">
            <w:pPr>
              <w:spacing w:line="240" w:lineRule="atLeast"/>
              <w:contextualSpacing/>
              <w:jc w:val="center"/>
              <w:rPr>
                <w:rFonts w:hint="eastAsia" w:ascii="宋体" w:hAnsi="宋体" w:eastAsia="宋体"/>
                <w:szCs w:val="21"/>
                <w:lang w:val="en-US" w:eastAsia="zh-CN"/>
              </w:rPr>
            </w:pPr>
            <w:r>
              <w:rPr>
                <w:rFonts w:hint="eastAsia" w:ascii="宋体" w:hAnsi="宋体" w:cs="宋体"/>
                <w:szCs w:val="21"/>
              </w:rPr>
              <w:t>核心偿付能力充足率</w:t>
            </w:r>
          </w:p>
        </w:tc>
        <w:tc>
          <w:tcPr>
            <w:tcW w:w="383" w:type="pct"/>
            <w:tcBorders>
              <w:top w:val="single" w:color="auto" w:sz="4" w:space="0"/>
              <w:left w:val="single" w:color="auto" w:sz="4" w:space="0"/>
              <w:right w:val="single" w:color="auto" w:sz="4" w:space="0"/>
            </w:tcBorders>
            <w:noWrap w:val="0"/>
            <w:vAlign w:val="center"/>
          </w:tcPr>
          <w:p w14:paraId="4FE07211">
            <w:pPr>
              <w:spacing w:line="240" w:lineRule="atLeast"/>
              <w:contextualSpacing/>
              <w:jc w:val="center"/>
              <w:rPr>
                <w:rFonts w:hint="default" w:ascii="宋体" w:hAnsi="宋体" w:eastAsia="宋体"/>
                <w:szCs w:val="21"/>
                <w:lang w:val="en-US" w:eastAsia="zh-CN"/>
              </w:rPr>
            </w:pPr>
            <w:r>
              <w:rPr>
                <w:rFonts w:hint="eastAsia" w:ascii="宋体" w:hAnsi="宋体" w:eastAsia="宋体"/>
                <w:szCs w:val="21"/>
                <w:lang w:val="en-US" w:eastAsia="zh-CN"/>
              </w:rPr>
              <w:t>1</w:t>
            </w:r>
            <w:r>
              <w:rPr>
                <w:rFonts w:hint="eastAsia" w:ascii="宋体" w:hAnsi="宋体"/>
                <w:szCs w:val="21"/>
                <w:lang w:val="en-US" w:eastAsia="zh-CN"/>
              </w:rPr>
              <w:t>3</w:t>
            </w:r>
          </w:p>
        </w:tc>
        <w:tc>
          <w:tcPr>
            <w:tcW w:w="2985" w:type="pct"/>
            <w:tcBorders>
              <w:top w:val="single" w:color="auto" w:sz="4" w:space="0"/>
              <w:left w:val="single" w:color="auto" w:sz="4" w:space="0"/>
              <w:right w:val="single" w:color="auto" w:sz="4" w:space="0"/>
            </w:tcBorders>
            <w:noWrap w:val="0"/>
            <w:vAlign w:val="center"/>
          </w:tcPr>
          <w:p w14:paraId="7192A18E">
            <w:pPr>
              <w:spacing w:line="460" w:lineRule="exact"/>
              <w:rPr>
                <w:rFonts w:hint="eastAsia" w:ascii="宋体" w:hAnsi="宋体" w:cs="宋体"/>
                <w:szCs w:val="21"/>
              </w:rPr>
            </w:pPr>
            <w:r>
              <w:rPr>
                <w:rFonts w:hint="eastAsia" w:ascii="宋体" w:hAnsi="宋体" w:cs="宋体"/>
                <w:szCs w:val="21"/>
              </w:rPr>
              <w:t>供应商或其总公司</w:t>
            </w:r>
            <w:r>
              <w:rPr>
                <w:rFonts w:hint="eastAsia" w:ascii="宋体" w:hAnsi="宋体" w:cs="宋体"/>
                <w:szCs w:val="21"/>
                <w:lang w:val="en-US" w:eastAsia="zh-CN"/>
              </w:rPr>
              <w:t>在</w:t>
            </w:r>
            <w:r>
              <w:rPr>
                <w:rFonts w:hint="eastAsia" w:ascii="宋体" w:hAnsi="宋体" w:cs="宋体"/>
                <w:szCs w:val="21"/>
                <w:lang w:eastAsia="zh-CN"/>
              </w:rPr>
              <w:t>2</w:t>
            </w:r>
            <w:r>
              <w:rPr>
                <w:rFonts w:hint="eastAsia" w:ascii="宋体" w:hAnsi="宋体" w:cs="宋体"/>
                <w:szCs w:val="21"/>
                <w:lang w:val="en-US" w:eastAsia="zh-CN"/>
              </w:rPr>
              <w:t>023</w:t>
            </w:r>
            <w:r>
              <w:rPr>
                <w:rFonts w:hint="eastAsia" w:ascii="宋体" w:hAnsi="宋体" w:cs="宋体"/>
                <w:szCs w:val="21"/>
              </w:rPr>
              <w:t>年</w:t>
            </w:r>
            <w:r>
              <w:rPr>
                <w:rFonts w:hint="eastAsia" w:ascii="宋体" w:hAnsi="宋体" w:cs="宋体"/>
                <w:szCs w:val="21"/>
                <w:lang w:val="en-US" w:eastAsia="zh-CN"/>
              </w:rPr>
              <w:t>1月1日以来</w:t>
            </w:r>
            <w:r>
              <w:rPr>
                <w:rFonts w:hint="eastAsia" w:ascii="宋体" w:hAnsi="宋体" w:cs="宋体"/>
                <w:szCs w:val="21"/>
              </w:rPr>
              <w:t>任意季度核心偿付能力充足率在</w:t>
            </w:r>
            <w:r>
              <w:rPr>
                <w:rFonts w:hint="eastAsia" w:ascii="宋体" w:hAnsi="宋体" w:cs="宋体"/>
                <w:szCs w:val="21"/>
                <w:lang w:val="en-US" w:eastAsia="zh-CN"/>
              </w:rPr>
              <w:t xml:space="preserve">50%及以上的，得13分 </w:t>
            </w:r>
            <w:r>
              <w:rPr>
                <w:rFonts w:hint="eastAsia" w:ascii="宋体" w:hAnsi="宋体" w:cs="宋体"/>
                <w:szCs w:val="21"/>
              </w:rPr>
              <w:t>。(</w:t>
            </w:r>
            <w:r>
              <w:rPr>
                <w:rFonts w:hint="eastAsia" w:ascii="宋体" w:hAnsi="宋体" w:cs="宋体"/>
                <w:szCs w:val="21"/>
                <w:lang w:val="en-US" w:eastAsia="zh-CN"/>
              </w:rPr>
              <w:t>响应</w:t>
            </w:r>
            <w:r>
              <w:rPr>
                <w:rFonts w:hint="eastAsia" w:ascii="宋体" w:hAnsi="宋体" w:cs="宋体"/>
                <w:szCs w:val="21"/>
              </w:rPr>
              <w:t>时提供供应商或其总公司在中国保险行业协会网站公开信息披露上述内容的偿付能力报告复印件</w:t>
            </w:r>
            <w:r>
              <w:rPr>
                <w:rFonts w:hint="eastAsia" w:ascii="宋体" w:hAnsi="宋体" w:cs="宋体"/>
                <w:szCs w:val="21"/>
                <w:lang w:val="en-US" w:eastAsia="zh-CN"/>
              </w:rPr>
              <w:t>并加盖供应商公章</w:t>
            </w:r>
            <w:r>
              <w:rPr>
                <w:rFonts w:hint="eastAsia" w:ascii="宋体" w:hAnsi="宋体" w:cs="宋体"/>
                <w:szCs w:val="21"/>
              </w:rPr>
              <w:t>，未提供不得分）</w:t>
            </w:r>
          </w:p>
        </w:tc>
      </w:tr>
      <w:tr w14:paraId="1CA2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jc w:val="center"/>
        </w:trPr>
        <w:tc>
          <w:tcPr>
            <w:tcW w:w="339" w:type="pct"/>
            <w:vMerge w:val="continue"/>
            <w:tcBorders>
              <w:left w:val="single" w:color="auto" w:sz="4" w:space="0"/>
              <w:right w:val="single" w:color="auto" w:sz="4" w:space="0"/>
            </w:tcBorders>
            <w:noWrap w:val="0"/>
            <w:vAlign w:val="center"/>
          </w:tcPr>
          <w:p w14:paraId="74654B65">
            <w:pPr>
              <w:spacing w:line="240" w:lineRule="atLeast"/>
              <w:contextualSpacing/>
              <w:jc w:val="center"/>
              <w:rPr>
                <w:rFonts w:ascii="宋体" w:hAnsi="宋体"/>
                <w:szCs w:val="21"/>
              </w:rPr>
            </w:pPr>
          </w:p>
        </w:tc>
        <w:tc>
          <w:tcPr>
            <w:tcW w:w="591" w:type="pct"/>
            <w:vMerge w:val="continue"/>
            <w:tcBorders>
              <w:left w:val="single" w:color="auto" w:sz="4" w:space="0"/>
              <w:right w:val="single" w:color="auto" w:sz="4" w:space="0"/>
            </w:tcBorders>
            <w:noWrap w:val="0"/>
            <w:vAlign w:val="center"/>
          </w:tcPr>
          <w:p w14:paraId="239052B6">
            <w:pPr>
              <w:spacing w:line="240" w:lineRule="atLeast"/>
              <w:contextualSpacing/>
              <w:jc w:val="center"/>
              <w:rPr>
                <w:rFonts w:hint="eastAsia" w:ascii="宋体" w:hAnsi="宋体"/>
                <w:szCs w:val="21"/>
              </w:rPr>
            </w:pPr>
          </w:p>
        </w:tc>
        <w:tc>
          <w:tcPr>
            <w:tcW w:w="699" w:type="pct"/>
            <w:tcBorders>
              <w:left w:val="single" w:color="auto" w:sz="4" w:space="0"/>
              <w:right w:val="single" w:color="auto" w:sz="4" w:space="0"/>
            </w:tcBorders>
            <w:noWrap w:val="0"/>
            <w:vAlign w:val="center"/>
          </w:tcPr>
          <w:p w14:paraId="2234FA19">
            <w:pPr>
              <w:spacing w:line="240" w:lineRule="atLeast"/>
              <w:contextualSpacing/>
              <w:jc w:val="center"/>
              <w:rPr>
                <w:rFonts w:hint="default" w:ascii="宋体" w:hAnsi="宋体"/>
                <w:szCs w:val="21"/>
                <w:lang w:val="en-US" w:eastAsia="zh-CN"/>
              </w:rPr>
            </w:pPr>
            <w:r>
              <w:rPr>
                <w:rFonts w:hint="default" w:ascii="宋体" w:hAnsi="宋体"/>
                <w:szCs w:val="21"/>
              </w:rPr>
              <w:t>综合偿付能力充足率</w:t>
            </w:r>
          </w:p>
        </w:tc>
        <w:tc>
          <w:tcPr>
            <w:tcW w:w="383" w:type="pct"/>
            <w:tcBorders>
              <w:top w:val="single" w:color="auto" w:sz="4" w:space="0"/>
              <w:left w:val="single" w:color="auto" w:sz="4" w:space="0"/>
              <w:right w:val="single" w:color="auto" w:sz="4" w:space="0"/>
            </w:tcBorders>
            <w:noWrap w:val="0"/>
            <w:vAlign w:val="center"/>
          </w:tcPr>
          <w:p w14:paraId="1406333D">
            <w:pPr>
              <w:spacing w:line="240" w:lineRule="atLeast"/>
              <w:contextualSpacing/>
              <w:jc w:val="center"/>
              <w:rPr>
                <w:rFonts w:hint="default" w:ascii="宋体" w:hAnsi="宋体" w:eastAsia="宋体"/>
                <w:szCs w:val="21"/>
                <w:lang w:val="en-US" w:eastAsia="zh-CN"/>
              </w:rPr>
            </w:pPr>
            <w:r>
              <w:rPr>
                <w:rFonts w:hint="eastAsia" w:ascii="宋体" w:hAnsi="宋体" w:eastAsia="宋体"/>
                <w:szCs w:val="21"/>
                <w:lang w:val="en-US" w:eastAsia="zh-CN"/>
              </w:rPr>
              <w:t>13</w:t>
            </w:r>
          </w:p>
        </w:tc>
        <w:tc>
          <w:tcPr>
            <w:tcW w:w="2985" w:type="pct"/>
            <w:tcBorders>
              <w:top w:val="single" w:color="auto" w:sz="4" w:space="0"/>
              <w:left w:val="single" w:color="auto" w:sz="4" w:space="0"/>
              <w:right w:val="single" w:color="auto" w:sz="4" w:space="0"/>
            </w:tcBorders>
            <w:noWrap w:val="0"/>
            <w:vAlign w:val="center"/>
          </w:tcPr>
          <w:p w14:paraId="057BA5EA">
            <w:pPr>
              <w:spacing w:line="460" w:lineRule="exact"/>
              <w:rPr>
                <w:rFonts w:hint="eastAsia" w:ascii="宋体" w:hAnsi="宋体" w:cs="宋体"/>
                <w:szCs w:val="21"/>
              </w:rPr>
            </w:pPr>
            <w:r>
              <w:rPr>
                <w:rFonts w:hint="eastAsia" w:ascii="宋体" w:hAnsi="宋体" w:cs="宋体"/>
                <w:szCs w:val="21"/>
              </w:rPr>
              <w:t>供应商或其总公司</w:t>
            </w:r>
            <w:r>
              <w:rPr>
                <w:rFonts w:hint="eastAsia" w:ascii="宋体" w:hAnsi="宋体" w:cs="宋体"/>
                <w:szCs w:val="21"/>
                <w:lang w:val="en-US" w:eastAsia="zh-CN"/>
              </w:rPr>
              <w:t>在</w:t>
            </w:r>
            <w:r>
              <w:rPr>
                <w:rFonts w:hint="eastAsia" w:ascii="宋体" w:hAnsi="宋体" w:cs="宋体"/>
                <w:szCs w:val="21"/>
                <w:lang w:eastAsia="zh-CN"/>
              </w:rPr>
              <w:t>2</w:t>
            </w:r>
            <w:r>
              <w:rPr>
                <w:rFonts w:hint="eastAsia" w:ascii="宋体" w:hAnsi="宋体" w:cs="宋体"/>
                <w:szCs w:val="21"/>
                <w:lang w:val="en-US" w:eastAsia="zh-CN"/>
              </w:rPr>
              <w:t>023</w:t>
            </w:r>
            <w:r>
              <w:rPr>
                <w:rFonts w:hint="eastAsia" w:ascii="宋体" w:hAnsi="宋体" w:cs="宋体"/>
                <w:szCs w:val="21"/>
              </w:rPr>
              <w:t>年</w:t>
            </w:r>
            <w:r>
              <w:rPr>
                <w:rFonts w:hint="eastAsia" w:ascii="宋体" w:hAnsi="宋体" w:cs="宋体"/>
                <w:szCs w:val="21"/>
                <w:lang w:val="en-US" w:eastAsia="zh-CN"/>
              </w:rPr>
              <w:t>1月1日以来</w:t>
            </w:r>
            <w:r>
              <w:rPr>
                <w:rFonts w:hint="eastAsia" w:ascii="宋体" w:hAnsi="宋体" w:cs="宋体"/>
                <w:szCs w:val="21"/>
              </w:rPr>
              <w:t>任意季度</w:t>
            </w:r>
            <w:r>
              <w:rPr>
                <w:rFonts w:hint="eastAsia" w:ascii="宋体" w:hAnsi="宋体" w:cs="宋体"/>
                <w:szCs w:val="21"/>
                <w:lang w:val="en-US" w:eastAsia="zh-CN"/>
              </w:rPr>
              <w:t>综合偿付能力充足率</w:t>
            </w:r>
            <w:r>
              <w:rPr>
                <w:rFonts w:hint="eastAsia" w:ascii="宋体" w:hAnsi="宋体" w:cs="宋体"/>
                <w:szCs w:val="21"/>
              </w:rPr>
              <w:t>在</w:t>
            </w:r>
            <w:r>
              <w:rPr>
                <w:rFonts w:hint="eastAsia" w:ascii="宋体" w:hAnsi="宋体" w:cs="宋体"/>
                <w:szCs w:val="21"/>
                <w:lang w:val="en-US" w:eastAsia="zh-CN"/>
              </w:rPr>
              <w:t xml:space="preserve">100%及以上的，得13分 </w:t>
            </w:r>
            <w:r>
              <w:rPr>
                <w:rFonts w:hint="eastAsia" w:ascii="宋体" w:hAnsi="宋体" w:cs="宋体"/>
                <w:szCs w:val="21"/>
              </w:rPr>
              <w:t>。(</w:t>
            </w:r>
            <w:r>
              <w:rPr>
                <w:rFonts w:hint="eastAsia" w:ascii="宋体" w:hAnsi="宋体" w:cs="宋体"/>
                <w:szCs w:val="21"/>
                <w:lang w:val="en-US" w:eastAsia="zh-CN"/>
              </w:rPr>
              <w:t>响应</w:t>
            </w:r>
            <w:r>
              <w:rPr>
                <w:rFonts w:hint="eastAsia" w:ascii="宋体" w:hAnsi="宋体" w:cs="宋体"/>
                <w:szCs w:val="21"/>
              </w:rPr>
              <w:t>时提供供应商或其总公司在中国保险行业协会网站公开信息披露上述内容的偿付能力报告复印件</w:t>
            </w:r>
            <w:r>
              <w:rPr>
                <w:rFonts w:hint="eastAsia" w:ascii="宋体" w:hAnsi="宋体" w:cs="宋体"/>
                <w:szCs w:val="21"/>
                <w:lang w:val="en-US" w:eastAsia="zh-CN"/>
              </w:rPr>
              <w:t>并加盖供应商公章</w:t>
            </w:r>
            <w:r>
              <w:rPr>
                <w:rFonts w:hint="eastAsia" w:ascii="宋体" w:hAnsi="宋体" w:cs="宋体"/>
                <w:szCs w:val="21"/>
              </w:rPr>
              <w:t>，未提供不得分）</w:t>
            </w:r>
          </w:p>
        </w:tc>
      </w:tr>
      <w:tr w14:paraId="56952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jc w:val="center"/>
        </w:trPr>
        <w:tc>
          <w:tcPr>
            <w:tcW w:w="339" w:type="pct"/>
            <w:vMerge w:val="continue"/>
            <w:tcBorders>
              <w:left w:val="single" w:color="auto" w:sz="4" w:space="0"/>
              <w:right w:val="single" w:color="auto" w:sz="4" w:space="0"/>
            </w:tcBorders>
            <w:noWrap w:val="0"/>
            <w:vAlign w:val="center"/>
          </w:tcPr>
          <w:p w14:paraId="5DAFF038">
            <w:pPr>
              <w:spacing w:line="240" w:lineRule="atLeast"/>
              <w:contextualSpacing/>
              <w:jc w:val="center"/>
              <w:rPr>
                <w:rFonts w:ascii="宋体" w:hAnsi="宋体"/>
                <w:szCs w:val="21"/>
              </w:rPr>
            </w:pPr>
          </w:p>
        </w:tc>
        <w:tc>
          <w:tcPr>
            <w:tcW w:w="591" w:type="pct"/>
            <w:vMerge w:val="continue"/>
            <w:tcBorders>
              <w:left w:val="single" w:color="auto" w:sz="4" w:space="0"/>
              <w:right w:val="single" w:color="auto" w:sz="4" w:space="0"/>
            </w:tcBorders>
            <w:noWrap w:val="0"/>
            <w:vAlign w:val="center"/>
          </w:tcPr>
          <w:p w14:paraId="1350F13F">
            <w:pPr>
              <w:spacing w:line="240" w:lineRule="atLeast"/>
              <w:contextualSpacing/>
              <w:jc w:val="center"/>
              <w:rPr>
                <w:rFonts w:hint="eastAsia" w:ascii="宋体" w:hAnsi="宋体"/>
                <w:szCs w:val="21"/>
              </w:rPr>
            </w:pPr>
          </w:p>
        </w:tc>
        <w:tc>
          <w:tcPr>
            <w:tcW w:w="699" w:type="pct"/>
            <w:tcBorders>
              <w:left w:val="single" w:color="auto" w:sz="4" w:space="0"/>
              <w:right w:val="single" w:color="auto" w:sz="4" w:space="0"/>
            </w:tcBorders>
            <w:noWrap w:val="0"/>
            <w:vAlign w:val="center"/>
          </w:tcPr>
          <w:p w14:paraId="4B4E0FCF">
            <w:pPr>
              <w:spacing w:line="240" w:lineRule="atLeast"/>
              <w:contextualSpacing/>
              <w:jc w:val="center"/>
              <w:rPr>
                <w:rFonts w:hint="default" w:ascii="宋体" w:hAnsi="宋体" w:eastAsia="宋体"/>
                <w:szCs w:val="21"/>
                <w:lang w:val="en-US" w:eastAsia="zh-CN"/>
              </w:rPr>
            </w:pPr>
            <w:r>
              <w:rPr>
                <w:rFonts w:hint="eastAsia" w:ascii="宋体" w:hAnsi="宋体"/>
                <w:szCs w:val="21"/>
                <w:lang w:val="en-US" w:eastAsia="zh-CN"/>
              </w:rPr>
              <w:t>风险综合评级</w:t>
            </w:r>
          </w:p>
        </w:tc>
        <w:tc>
          <w:tcPr>
            <w:tcW w:w="383" w:type="pct"/>
            <w:tcBorders>
              <w:top w:val="single" w:color="auto" w:sz="4" w:space="0"/>
              <w:left w:val="single" w:color="auto" w:sz="4" w:space="0"/>
              <w:right w:val="single" w:color="auto" w:sz="4" w:space="0"/>
            </w:tcBorders>
            <w:noWrap w:val="0"/>
            <w:vAlign w:val="center"/>
          </w:tcPr>
          <w:p w14:paraId="35DA9470">
            <w:pPr>
              <w:spacing w:line="240" w:lineRule="atLeast"/>
              <w:contextualSpacing/>
              <w:jc w:val="center"/>
              <w:rPr>
                <w:rFonts w:hint="default" w:ascii="宋体" w:hAnsi="宋体" w:eastAsia="宋体"/>
                <w:szCs w:val="21"/>
                <w:lang w:val="en-US" w:eastAsia="zh-CN"/>
              </w:rPr>
            </w:pPr>
            <w:r>
              <w:rPr>
                <w:rFonts w:hint="eastAsia" w:ascii="宋体" w:hAnsi="宋体" w:eastAsia="宋体"/>
                <w:szCs w:val="21"/>
                <w:lang w:val="en-US" w:eastAsia="zh-CN"/>
              </w:rPr>
              <w:t>13</w:t>
            </w:r>
          </w:p>
        </w:tc>
        <w:tc>
          <w:tcPr>
            <w:tcW w:w="2985" w:type="pct"/>
            <w:tcBorders>
              <w:top w:val="single" w:color="auto" w:sz="4" w:space="0"/>
              <w:left w:val="single" w:color="auto" w:sz="4" w:space="0"/>
              <w:right w:val="single" w:color="auto" w:sz="4" w:space="0"/>
            </w:tcBorders>
            <w:noWrap w:val="0"/>
            <w:vAlign w:val="center"/>
          </w:tcPr>
          <w:p w14:paraId="2095DE54">
            <w:pPr>
              <w:spacing w:line="460" w:lineRule="exact"/>
              <w:rPr>
                <w:rFonts w:hint="eastAsia" w:ascii="宋体" w:hAnsi="宋体" w:cs="宋体"/>
                <w:szCs w:val="21"/>
              </w:rPr>
            </w:pPr>
            <w:r>
              <w:rPr>
                <w:rFonts w:hint="eastAsia" w:ascii="宋体" w:hAnsi="宋体" w:cs="宋体"/>
                <w:szCs w:val="21"/>
              </w:rPr>
              <w:t>供应商或其总公司</w:t>
            </w:r>
            <w:r>
              <w:rPr>
                <w:rFonts w:hint="eastAsia" w:ascii="宋体" w:hAnsi="宋体" w:cs="宋体"/>
                <w:szCs w:val="21"/>
                <w:lang w:val="en-US" w:eastAsia="zh-CN"/>
              </w:rPr>
              <w:t>在</w:t>
            </w:r>
            <w:r>
              <w:rPr>
                <w:rFonts w:hint="eastAsia" w:ascii="宋体" w:hAnsi="宋体" w:cs="宋体"/>
                <w:szCs w:val="21"/>
              </w:rPr>
              <w:t>202</w:t>
            </w:r>
            <w:r>
              <w:rPr>
                <w:rFonts w:hint="eastAsia" w:ascii="宋体" w:hAnsi="宋体" w:cs="宋体"/>
                <w:szCs w:val="21"/>
                <w:lang w:eastAsia="zh-CN"/>
              </w:rPr>
              <w:t>3</w:t>
            </w:r>
            <w:r>
              <w:rPr>
                <w:rFonts w:hint="eastAsia" w:ascii="宋体" w:hAnsi="宋体" w:cs="宋体"/>
                <w:szCs w:val="21"/>
              </w:rPr>
              <w:t>年</w:t>
            </w:r>
            <w:r>
              <w:rPr>
                <w:rFonts w:hint="eastAsia" w:ascii="宋体" w:hAnsi="宋体" w:cs="宋体"/>
                <w:szCs w:val="21"/>
                <w:lang w:val="en-US" w:eastAsia="zh-CN"/>
              </w:rPr>
              <w:t>1月1日以来</w:t>
            </w:r>
            <w:r>
              <w:rPr>
                <w:rFonts w:hint="eastAsia" w:ascii="宋体" w:hAnsi="宋体" w:cs="宋体"/>
                <w:szCs w:val="21"/>
              </w:rPr>
              <w:t>任意季度的风险综合评级B级及以上的得1</w:t>
            </w:r>
            <w:r>
              <w:rPr>
                <w:rFonts w:hint="eastAsia" w:ascii="宋体" w:hAnsi="宋体" w:cs="宋体"/>
                <w:szCs w:val="21"/>
                <w:lang w:val="en-US" w:eastAsia="zh-CN"/>
              </w:rPr>
              <w:t>3</w:t>
            </w:r>
            <w:r>
              <w:rPr>
                <w:rFonts w:hint="eastAsia" w:ascii="宋体" w:hAnsi="宋体" w:cs="宋体"/>
                <w:szCs w:val="21"/>
              </w:rPr>
              <w:t>分。（</w:t>
            </w:r>
            <w:r>
              <w:rPr>
                <w:rFonts w:hint="eastAsia" w:ascii="宋体" w:hAnsi="宋体" w:cs="宋体"/>
                <w:szCs w:val="21"/>
                <w:lang w:val="en-US" w:eastAsia="zh-CN"/>
              </w:rPr>
              <w:t>响应</w:t>
            </w:r>
            <w:r>
              <w:rPr>
                <w:rFonts w:hint="eastAsia" w:ascii="宋体" w:hAnsi="宋体" w:cs="宋体"/>
                <w:szCs w:val="21"/>
              </w:rPr>
              <w:t>时提供供应商</w:t>
            </w:r>
            <w:r>
              <w:rPr>
                <w:rFonts w:hint="eastAsia" w:ascii="宋体" w:hAnsi="宋体" w:cs="宋体"/>
                <w:szCs w:val="21"/>
                <w:lang w:val="en-US" w:eastAsia="zh-CN"/>
              </w:rPr>
              <w:t>或其</w:t>
            </w:r>
            <w:r>
              <w:rPr>
                <w:rFonts w:hint="eastAsia" w:ascii="宋体" w:hAnsi="宋体" w:cs="宋体"/>
                <w:szCs w:val="21"/>
              </w:rPr>
              <w:t>总公司在国家金融监督管理总局偿付能力监管信息系统最终评级结果截图或公司官方网站公开信息披露上述内容的偿付能力报告</w:t>
            </w:r>
            <w:r>
              <w:rPr>
                <w:rFonts w:hint="eastAsia" w:ascii="宋体" w:hAnsi="宋体" w:cs="宋体"/>
                <w:szCs w:val="21"/>
                <w:lang w:val="en-US" w:eastAsia="zh-CN"/>
              </w:rPr>
              <w:t>复印件并</w:t>
            </w:r>
            <w:r>
              <w:rPr>
                <w:rFonts w:hint="eastAsia" w:ascii="宋体" w:hAnsi="宋体" w:cs="宋体"/>
                <w:szCs w:val="21"/>
              </w:rPr>
              <w:t>加盖供应商公章，</w:t>
            </w:r>
            <w:r>
              <w:rPr>
                <w:rFonts w:hint="eastAsia" w:ascii="宋体" w:hAnsi="宋体" w:cs="宋体"/>
                <w:szCs w:val="21"/>
                <w:lang w:val="en-US" w:eastAsia="zh-CN"/>
              </w:rPr>
              <w:t>不提供</w:t>
            </w:r>
            <w:r>
              <w:rPr>
                <w:rFonts w:hint="eastAsia" w:ascii="宋体" w:hAnsi="宋体" w:cs="宋体"/>
                <w:szCs w:val="21"/>
              </w:rPr>
              <w:t>不得分。）</w:t>
            </w:r>
          </w:p>
        </w:tc>
      </w:tr>
      <w:tr w14:paraId="33EC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339" w:type="pct"/>
            <w:vMerge w:val="continue"/>
            <w:tcBorders>
              <w:left w:val="single" w:color="auto" w:sz="4" w:space="0"/>
              <w:right w:val="single" w:color="auto" w:sz="4" w:space="0"/>
            </w:tcBorders>
            <w:noWrap w:val="0"/>
            <w:vAlign w:val="center"/>
          </w:tcPr>
          <w:p w14:paraId="39263C38">
            <w:pPr>
              <w:spacing w:line="460" w:lineRule="exact"/>
            </w:pPr>
          </w:p>
        </w:tc>
        <w:tc>
          <w:tcPr>
            <w:tcW w:w="591" w:type="pct"/>
            <w:vMerge w:val="continue"/>
            <w:tcBorders>
              <w:left w:val="single" w:color="auto" w:sz="4" w:space="0"/>
              <w:right w:val="single" w:color="auto" w:sz="4" w:space="0"/>
            </w:tcBorders>
            <w:noWrap w:val="0"/>
            <w:vAlign w:val="center"/>
          </w:tcPr>
          <w:p w14:paraId="3C5454B6">
            <w:pPr>
              <w:spacing w:line="460" w:lineRule="exact"/>
            </w:pPr>
          </w:p>
        </w:tc>
        <w:tc>
          <w:tcPr>
            <w:tcW w:w="699" w:type="pct"/>
            <w:tcBorders>
              <w:left w:val="single" w:color="auto" w:sz="4" w:space="0"/>
              <w:right w:val="single" w:color="auto" w:sz="4" w:space="0"/>
            </w:tcBorders>
            <w:noWrap w:val="0"/>
            <w:vAlign w:val="center"/>
          </w:tcPr>
          <w:p w14:paraId="0D13BB7A">
            <w:pPr>
              <w:spacing w:line="460" w:lineRule="exact"/>
              <w:jc w:val="center"/>
            </w:pPr>
            <w:r>
              <w:rPr>
                <w:rFonts w:hint="eastAsia" w:ascii="宋体" w:hAnsi="宋体"/>
                <w:szCs w:val="21"/>
              </w:rPr>
              <w:t>类似业绩</w:t>
            </w:r>
          </w:p>
        </w:tc>
        <w:tc>
          <w:tcPr>
            <w:tcW w:w="383" w:type="pct"/>
            <w:tcBorders>
              <w:left w:val="single" w:color="auto" w:sz="4" w:space="0"/>
              <w:right w:val="single" w:color="auto" w:sz="4" w:space="0"/>
            </w:tcBorders>
            <w:noWrap w:val="0"/>
            <w:vAlign w:val="center"/>
          </w:tcPr>
          <w:p w14:paraId="04D398DF">
            <w:pPr>
              <w:spacing w:line="240" w:lineRule="atLeast"/>
              <w:contextualSpacing/>
              <w:jc w:val="center"/>
              <w:rPr>
                <w:rFonts w:hint="eastAsia" w:eastAsia="宋体"/>
                <w:lang w:eastAsia="zh-CN"/>
              </w:rPr>
            </w:pPr>
            <w:r>
              <w:rPr>
                <w:rFonts w:hint="eastAsia" w:ascii="宋体" w:hAnsi="宋体"/>
                <w:szCs w:val="21"/>
                <w:lang w:val="en-US" w:eastAsia="zh-CN"/>
              </w:rPr>
              <w:t>5</w:t>
            </w:r>
          </w:p>
        </w:tc>
        <w:tc>
          <w:tcPr>
            <w:tcW w:w="2985" w:type="pct"/>
            <w:tcBorders>
              <w:top w:val="single" w:color="auto" w:sz="4" w:space="0"/>
              <w:left w:val="single" w:color="auto" w:sz="4" w:space="0"/>
              <w:right w:val="single" w:color="auto" w:sz="4" w:space="0"/>
            </w:tcBorders>
            <w:noWrap w:val="0"/>
            <w:vAlign w:val="center"/>
          </w:tcPr>
          <w:p w14:paraId="1BC1A755">
            <w:pPr>
              <w:spacing w:line="460" w:lineRule="exact"/>
              <w:rPr>
                <w:rFonts w:hint="eastAsia" w:ascii="宋体" w:hAnsi="宋体" w:cs="宋体"/>
                <w:szCs w:val="21"/>
              </w:rPr>
            </w:pPr>
            <w:r>
              <w:rPr>
                <w:rFonts w:hint="eastAsia" w:ascii="宋体" w:hAnsi="宋体" w:cs="宋体"/>
                <w:szCs w:val="21"/>
              </w:rPr>
              <w:t>供应商自202</w:t>
            </w:r>
            <w:r>
              <w:rPr>
                <w:rFonts w:hint="eastAsia" w:ascii="宋体" w:hAnsi="宋体" w:cs="宋体"/>
                <w:szCs w:val="21"/>
                <w:lang w:val="en-US" w:eastAsia="zh-CN"/>
              </w:rPr>
              <w:t>3</w:t>
            </w:r>
            <w:r>
              <w:rPr>
                <w:rFonts w:hint="eastAsia" w:ascii="宋体" w:hAnsi="宋体" w:cs="宋体"/>
                <w:szCs w:val="21"/>
              </w:rPr>
              <w:t>年1月1日（以合同签订时间为准）以来具有类似项目业绩的有一个得1分，最高得5分。</w:t>
            </w:r>
          </w:p>
          <w:p w14:paraId="21FFA864">
            <w:pPr>
              <w:spacing w:line="460" w:lineRule="exact"/>
              <w:rPr>
                <w:rFonts w:hint="eastAsia" w:ascii="宋体" w:hAnsi="宋体" w:eastAsia="宋体" w:cs="宋体"/>
                <w:szCs w:val="21"/>
                <w:lang w:eastAsia="zh-CN"/>
              </w:rPr>
            </w:pPr>
            <w:r>
              <w:rPr>
                <w:rFonts w:hint="eastAsia" w:ascii="宋体" w:hAnsi="宋体" w:cs="宋体"/>
                <w:szCs w:val="21"/>
              </w:rPr>
              <w:t>“类似</w:t>
            </w:r>
            <w:r>
              <w:rPr>
                <w:rFonts w:hint="eastAsia" w:ascii="宋体" w:hAnsi="宋体" w:cs="宋体"/>
                <w:szCs w:val="21"/>
                <w:lang w:val="en-US" w:eastAsia="zh-CN"/>
              </w:rPr>
              <w:t>项目</w:t>
            </w:r>
            <w:r>
              <w:rPr>
                <w:rFonts w:hint="eastAsia" w:ascii="宋体" w:hAnsi="宋体" w:cs="宋体"/>
                <w:szCs w:val="21"/>
              </w:rPr>
              <w:t>业绩”定义：机关/事业单位专职人员、消防从业人员人身意外险项目均属于同类业绩</w:t>
            </w:r>
            <w:r>
              <w:rPr>
                <w:rFonts w:hint="eastAsia" w:ascii="宋体" w:hAnsi="宋体" w:cs="宋体"/>
                <w:szCs w:val="21"/>
                <w:lang w:eastAsia="zh-CN"/>
              </w:rPr>
              <w:t>。</w:t>
            </w:r>
          </w:p>
          <w:p w14:paraId="2465C3E1">
            <w:pPr>
              <w:spacing w:line="460" w:lineRule="exact"/>
              <w:rPr>
                <w:rFonts w:ascii="宋体" w:hAnsi="宋体" w:cs="宋体"/>
                <w:b/>
                <w:bCs/>
                <w:szCs w:val="21"/>
              </w:rPr>
            </w:pPr>
            <w:r>
              <w:rPr>
                <w:rFonts w:hint="eastAsia" w:ascii="宋体" w:hAnsi="宋体" w:cs="宋体"/>
                <w:szCs w:val="21"/>
              </w:rPr>
              <w:t>注：</w:t>
            </w:r>
            <w:r>
              <w:rPr>
                <w:rFonts w:hint="eastAsia" w:ascii="宋体" w:hAnsi="宋体" w:cs="宋体"/>
                <w:szCs w:val="21"/>
                <w:lang w:val="en-US" w:eastAsia="zh-CN"/>
              </w:rPr>
              <w:t>响应</w:t>
            </w:r>
            <w:r>
              <w:rPr>
                <w:rFonts w:hint="eastAsia" w:ascii="宋体" w:hAnsi="宋体" w:cs="宋体"/>
                <w:szCs w:val="21"/>
              </w:rPr>
              <w:t>时须提供业绩合同（或保险协议书）复印件加盖供应商公章，未提供的或提供内容不能反映上述要求的，不得分。</w:t>
            </w:r>
          </w:p>
        </w:tc>
      </w:tr>
      <w:tr w14:paraId="1F062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45" w:hRule="atLeast"/>
          <w:jc w:val="center"/>
        </w:trPr>
        <w:tc>
          <w:tcPr>
            <w:tcW w:w="339" w:type="pct"/>
            <w:vMerge w:val="continue"/>
            <w:tcBorders>
              <w:left w:val="single" w:color="auto" w:sz="4" w:space="0"/>
              <w:right w:val="single" w:color="auto" w:sz="4" w:space="0"/>
            </w:tcBorders>
            <w:noWrap w:val="0"/>
            <w:vAlign w:val="center"/>
          </w:tcPr>
          <w:p w14:paraId="4208FFB1">
            <w:pPr>
              <w:spacing w:line="460" w:lineRule="exact"/>
            </w:pPr>
          </w:p>
        </w:tc>
        <w:tc>
          <w:tcPr>
            <w:tcW w:w="591" w:type="pct"/>
            <w:vMerge w:val="continue"/>
            <w:tcBorders>
              <w:left w:val="single" w:color="auto" w:sz="4" w:space="0"/>
              <w:right w:val="single" w:color="auto" w:sz="4" w:space="0"/>
            </w:tcBorders>
            <w:noWrap w:val="0"/>
            <w:vAlign w:val="center"/>
          </w:tcPr>
          <w:p w14:paraId="613C61B2">
            <w:pPr>
              <w:spacing w:line="460" w:lineRule="exact"/>
            </w:pPr>
          </w:p>
        </w:tc>
        <w:tc>
          <w:tcPr>
            <w:tcW w:w="699" w:type="pct"/>
            <w:tcBorders>
              <w:left w:val="single" w:color="auto" w:sz="4" w:space="0"/>
              <w:right w:val="single" w:color="auto" w:sz="4" w:space="0"/>
            </w:tcBorders>
            <w:noWrap w:val="0"/>
            <w:vAlign w:val="center"/>
          </w:tcPr>
          <w:p w14:paraId="4D0441C1">
            <w:pPr>
              <w:spacing w:line="460" w:lineRule="exact"/>
              <w:jc w:val="center"/>
              <w:rPr>
                <w:rFonts w:hint="eastAsia" w:ascii="宋体" w:hAnsi="宋体" w:eastAsia="宋体"/>
                <w:szCs w:val="21"/>
                <w:lang w:val="en-US" w:eastAsia="zh-CN"/>
              </w:rPr>
            </w:pPr>
            <w:r>
              <w:rPr>
                <w:rFonts w:hint="eastAsia" w:ascii="宋体" w:hAnsi="宋体"/>
                <w:szCs w:val="21"/>
                <w:lang w:val="en-US" w:eastAsia="zh-CN"/>
              </w:rPr>
              <w:t>赔案时效</w:t>
            </w:r>
          </w:p>
        </w:tc>
        <w:tc>
          <w:tcPr>
            <w:tcW w:w="383" w:type="pct"/>
            <w:tcBorders>
              <w:left w:val="single" w:color="auto" w:sz="4" w:space="0"/>
              <w:right w:val="single" w:color="auto" w:sz="4" w:space="0"/>
            </w:tcBorders>
            <w:noWrap w:val="0"/>
            <w:vAlign w:val="center"/>
          </w:tcPr>
          <w:p w14:paraId="7BDED595">
            <w:pPr>
              <w:spacing w:line="240" w:lineRule="atLeast"/>
              <w:contextualSpacing/>
              <w:jc w:val="center"/>
              <w:rPr>
                <w:rFonts w:hint="default" w:ascii="宋体" w:hAnsi="宋体"/>
                <w:szCs w:val="21"/>
                <w:lang w:val="en-US" w:eastAsia="zh-CN"/>
              </w:rPr>
            </w:pPr>
            <w:r>
              <w:rPr>
                <w:rFonts w:hint="eastAsia" w:ascii="宋体" w:hAnsi="宋体"/>
                <w:szCs w:val="21"/>
                <w:lang w:val="en-US" w:eastAsia="zh-CN"/>
              </w:rPr>
              <w:t>12</w:t>
            </w:r>
          </w:p>
        </w:tc>
        <w:tc>
          <w:tcPr>
            <w:tcW w:w="2985" w:type="pct"/>
            <w:tcBorders>
              <w:top w:val="single" w:color="auto" w:sz="4" w:space="0"/>
              <w:left w:val="single" w:color="auto" w:sz="4" w:space="0"/>
              <w:right w:val="single" w:color="auto" w:sz="4" w:space="0"/>
            </w:tcBorders>
            <w:noWrap w:val="0"/>
            <w:vAlign w:val="center"/>
          </w:tcPr>
          <w:p w14:paraId="49493319">
            <w:pPr>
              <w:spacing w:line="460" w:lineRule="exact"/>
              <w:rPr>
                <w:rFonts w:hint="eastAsia" w:ascii="宋体" w:hAnsi="宋体" w:cs="宋体"/>
                <w:b w:val="0"/>
                <w:bCs w:val="0"/>
                <w:szCs w:val="21"/>
              </w:rPr>
            </w:pPr>
            <w:r>
              <w:rPr>
                <w:rFonts w:hint="eastAsia" w:ascii="宋体" w:hAnsi="宋体" w:cs="宋体"/>
                <w:b w:val="0"/>
                <w:bCs w:val="0"/>
                <w:szCs w:val="21"/>
              </w:rPr>
              <w:t>供应商针对本项目理赔时效，作出如下承诺：</w:t>
            </w:r>
          </w:p>
          <w:p w14:paraId="7F216991">
            <w:pPr>
              <w:spacing w:line="460" w:lineRule="exact"/>
              <w:rPr>
                <w:rFonts w:hint="eastAsia" w:ascii="宋体" w:hAnsi="宋体" w:cs="宋体"/>
                <w:b w:val="0"/>
                <w:bCs w:val="0"/>
                <w:szCs w:val="21"/>
              </w:rPr>
            </w:pPr>
            <w:r>
              <w:rPr>
                <w:rFonts w:hint="eastAsia" w:ascii="宋体" w:hAnsi="宋体" w:cs="宋体"/>
                <w:b w:val="0"/>
                <w:bCs w:val="0"/>
                <w:szCs w:val="21"/>
              </w:rPr>
              <w:t>赔款人民币5000元</w:t>
            </w:r>
            <w:r>
              <w:rPr>
                <w:rFonts w:hint="eastAsia" w:ascii="宋体" w:hAnsi="宋体" w:cs="宋体"/>
                <w:b w:val="0"/>
                <w:bCs w:val="0"/>
                <w:szCs w:val="21"/>
                <w:lang w:eastAsia="zh-CN"/>
              </w:rPr>
              <w:t>（</w:t>
            </w:r>
            <w:r>
              <w:rPr>
                <w:rFonts w:hint="eastAsia" w:ascii="宋体" w:hAnsi="宋体" w:cs="宋体"/>
                <w:b w:val="0"/>
                <w:bCs w:val="0"/>
                <w:szCs w:val="21"/>
                <w:lang w:val="en-US" w:eastAsia="zh-CN"/>
              </w:rPr>
              <w:t>不含5000元</w:t>
            </w:r>
            <w:r>
              <w:rPr>
                <w:rFonts w:hint="eastAsia" w:ascii="宋体" w:hAnsi="宋体" w:cs="宋体"/>
                <w:b w:val="0"/>
                <w:bCs w:val="0"/>
                <w:szCs w:val="21"/>
                <w:lang w:eastAsia="zh-CN"/>
              </w:rPr>
              <w:t>）</w:t>
            </w:r>
            <w:r>
              <w:rPr>
                <w:rFonts w:hint="eastAsia" w:ascii="宋体" w:hAnsi="宋体" w:cs="宋体"/>
                <w:b w:val="0"/>
                <w:bCs w:val="0"/>
                <w:szCs w:val="21"/>
              </w:rPr>
              <w:t>以下，资料齐全当天结案的得</w:t>
            </w:r>
            <w:r>
              <w:rPr>
                <w:rFonts w:hint="eastAsia" w:ascii="宋体" w:hAnsi="宋体" w:cs="宋体"/>
                <w:b w:val="0"/>
                <w:bCs w:val="0"/>
                <w:szCs w:val="21"/>
                <w:lang w:eastAsia="zh-CN"/>
              </w:rPr>
              <w:t>4</w:t>
            </w:r>
            <w:r>
              <w:rPr>
                <w:rFonts w:hint="eastAsia" w:ascii="宋体" w:hAnsi="宋体" w:cs="宋体"/>
                <w:b w:val="0"/>
                <w:bCs w:val="0"/>
                <w:szCs w:val="21"/>
              </w:rPr>
              <w:t>分，增加一天扣</w:t>
            </w:r>
            <w:r>
              <w:rPr>
                <w:rFonts w:hint="eastAsia" w:ascii="宋体" w:hAnsi="宋体" w:cs="宋体"/>
                <w:b w:val="0"/>
                <w:bCs w:val="0"/>
                <w:szCs w:val="21"/>
                <w:lang w:eastAsia="zh-CN"/>
              </w:rPr>
              <w:t>1</w:t>
            </w:r>
            <w:r>
              <w:rPr>
                <w:rFonts w:hint="eastAsia" w:ascii="宋体" w:hAnsi="宋体" w:cs="宋体"/>
                <w:b w:val="0"/>
                <w:bCs w:val="0"/>
                <w:szCs w:val="21"/>
              </w:rPr>
              <w:t xml:space="preserve">分，扣完为止，不承诺不得分。 </w:t>
            </w:r>
          </w:p>
          <w:p w14:paraId="2510A646">
            <w:pPr>
              <w:spacing w:line="460" w:lineRule="exact"/>
              <w:rPr>
                <w:rFonts w:hint="eastAsia" w:ascii="宋体" w:hAnsi="宋体" w:cs="宋体"/>
                <w:b w:val="0"/>
                <w:bCs w:val="0"/>
                <w:szCs w:val="21"/>
              </w:rPr>
            </w:pPr>
            <w:r>
              <w:rPr>
                <w:rFonts w:hint="eastAsia" w:ascii="宋体" w:hAnsi="宋体" w:cs="宋体"/>
                <w:b w:val="0"/>
                <w:bCs w:val="0"/>
                <w:szCs w:val="21"/>
              </w:rPr>
              <w:t>赔款人民币5000-30000元</w:t>
            </w:r>
            <w:r>
              <w:rPr>
                <w:rFonts w:hint="eastAsia" w:ascii="宋体" w:hAnsi="宋体" w:cs="宋体"/>
                <w:b w:val="0"/>
                <w:bCs w:val="0"/>
                <w:szCs w:val="21"/>
                <w:lang w:eastAsia="zh-CN"/>
              </w:rPr>
              <w:t>（</w:t>
            </w:r>
            <w:r>
              <w:rPr>
                <w:rFonts w:hint="eastAsia" w:ascii="宋体" w:hAnsi="宋体" w:cs="宋体"/>
                <w:b w:val="0"/>
                <w:bCs w:val="0"/>
                <w:szCs w:val="21"/>
                <w:lang w:val="en-US" w:eastAsia="zh-CN"/>
              </w:rPr>
              <w:t>含5000元，不含30000元</w:t>
            </w:r>
            <w:r>
              <w:rPr>
                <w:rFonts w:hint="eastAsia" w:ascii="宋体" w:hAnsi="宋体" w:cs="宋体"/>
                <w:b w:val="0"/>
                <w:bCs w:val="0"/>
                <w:szCs w:val="21"/>
                <w:lang w:eastAsia="zh-CN"/>
              </w:rPr>
              <w:t>）</w:t>
            </w:r>
            <w:r>
              <w:rPr>
                <w:rFonts w:hint="eastAsia" w:ascii="宋体" w:hAnsi="宋体" w:cs="宋体"/>
                <w:b w:val="0"/>
                <w:bCs w:val="0"/>
                <w:szCs w:val="21"/>
              </w:rPr>
              <w:t>之间，资料齐全3天内结案的得</w:t>
            </w:r>
            <w:r>
              <w:rPr>
                <w:rFonts w:hint="eastAsia" w:ascii="宋体" w:hAnsi="宋体" w:cs="宋体"/>
                <w:b w:val="0"/>
                <w:bCs w:val="0"/>
                <w:szCs w:val="21"/>
                <w:lang w:eastAsia="zh-CN"/>
              </w:rPr>
              <w:t>4</w:t>
            </w:r>
            <w:r>
              <w:rPr>
                <w:rFonts w:hint="eastAsia" w:ascii="宋体" w:hAnsi="宋体" w:cs="宋体"/>
                <w:b w:val="0"/>
                <w:bCs w:val="0"/>
                <w:szCs w:val="21"/>
              </w:rPr>
              <w:t>分，增加一天扣</w:t>
            </w:r>
            <w:r>
              <w:rPr>
                <w:rFonts w:hint="eastAsia" w:ascii="宋体" w:hAnsi="宋体" w:cs="宋体"/>
                <w:b w:val="0"/>
                <w:bCs w:val="0"/>
                <w:szCs w:val="21"/>
                <w:lang w:eastAsia="zh-CN"/>
              </w:rPr>
              <w:t>1</w:t>
            </w:r>
            <w:r>
              <w:rPr>
                <w:rFonts w:hint="eastAsia" w:ascii="宋体" w:hAnsi="宋体" w:cs="宋体"/>
                <w:b w:val="0"/>
                <w:bCs w:val="0"/>
                <w:szCs w:val="21"/>
              </w:rPr>
              <w:t>分，扣完为止，不承诺不得分。</w:t>
            </w:r>
          </w:p>
          <w:p w14:paraId="0C58F69B">
            <w:pPr>
              <w:spacing w:line="460" w:lineRule="exact"/>
              <w:rPr>
                <w:rFonts w:hint="eastAsia" w:ascii="宋体" w:hAnsi="宋体" w:cs="宋体"/>
                <w:b w:val="0"/>
                <w:bCs w:val="0"/>
                <w:szCs w:val="21"/>
              </w:rPr>
            </w:pPr>
            <w:r>
              <w:rPr>
                <w:rFonts w:hint="eastAsia" w:ascii="宋体" w:hAnsi="宋体" w:cs="宋体"/>
                <w:b w:val="0"/>
                <w:bCs w:val="0"/>
                <w:szCs w:val="21"/>
              </w:rPr>
              <w:t>赔款人民币30000元</w:t>
            </w:r>
            <w:r>
              <w:rPr>
                <w:rFonts w:hint="eastAsia" w:ascii="宋体" w:hAnsi="宋体" w:cs="宋体"/>
                <w:b w:val="0"/>
                <w:bCs w:val="0"/>
                <w:szCs w:val="21"/>
                <w:lang w:eastAsia="zh-CN"/>
              </w:rPr>
              <w:t>（</w:t>
            </w:r>
            <w:r>
              <w:rPr>
                <w:rFonts w:hint="eastAsia" w:ascii="宋体" w:hAnsi="宋体" w:cs="宋体"/>
                <w:b w:val="0"/>
                <w:bCs w:val="0"/>
                <w:szCs w:val="21"/>
                <w:lang w:val="en-US" w:eastAsia="zh-CN"/>
              </w:rPr>
              <w:t>含30000元</w:t>
            </w:r>
            <w:r>
              <w:rPr>
                <w:rFonts w:hint="eastAsia" w:ascii="宋体" w:hAnsi="宋体" w:cs="宋体"/>
                <w:b w:val="0"/>
                <w:bCs w:val="0"/>
                <w:szCs w:val="21"/>
                <w:lang w:eastAsia="zh-CN"/>
              </w:rPr>
              <w:t>）</w:t>
            </w:r>
            <w:r>
              <w:rPr>
                <w:rFonts w:hint="eastAsia" w:ascii="宋体" w:hAnsi="宋体" w:cs="宋体"/>
                <w:b w:val="0"/>
                <w:bCs w:val="0"/>
                <w:szCs w:val="21"/>
              </w:rPr>
              <w:t>以上，资料齐全7天内结案的得4分，增加一天扣</w:t>
            </w:r>
            <w:r>
              <w:rPr>
                <w:rFonts w:hint="eastAsia" w:ascii="宋体" w:hAnsi="宋体" w:cs="宋体"/>
                <w:b w:val="0"/>
                <w:bCs w:val="0"/>
                <w:szCs w:val="21"/>
                <w:lang w:eastAsia="zh-CN"/>
              </w:rPr>
              <w:t>1</w:t>
            </w:r>
            <w:r>
              <w:rPr>
                <w:rFonts w:hint="eastAsia" w:ascii="宋体" w:hAnsi="宋体" w:cs="宋体"/>
                <w:b w:val="0"/>
                <w:bCs w:val="0"/>
                <w:szCs w:val="21"/>
              </w:rPr>
              <w:t>分，扣完为止，不承诺不得分。</w:t>
            </w:r>
          </w:p>
          <w:p w14:paraId="6BC02764">
            <w:pPr>
              <w:spacing w:line="460" w:lineRule="exact"/>
              <w:rPr>
                <w:rFonts w:hint="eastAsia" w:ascii="宋体" w:hAnsi="宋体" w:cs="宋体"/>
                <w:b/>
                <w:bCs/>
                <w:szCs w:val="21"/>
              </w:rPr>
            </w:pPr>
            <w:r>
              <w:rPr>
                <w:rFonts w:hint="eastAsia" w:ascii="宋体" w:hAnsi="宋体" w:cs="宋体"/>
                <w:b w:val="0"/>
                <w:bCs w:val="0"/>
                <w:szCs w:val="21"/>
                <w:lang w:val="en-US" w:eastAsia="zh-CN"/>
              </w:rPr>
              <w:t>注：响应</w:t>
            </w:r>
            <w:r>
              <w:rPr>
                <w:rFonts w:hint="eastAsia" w:ascii="宋体" w:hAnsi="宋体" w:cs="宋体"/>
                <w:b w:val="0"/>
                <w:bCs w:val="0"/>
                <w:szCs w:val="21"/>
              </w:rPr>
              <w:t>时需提供</w:t>
            </w:r>
            <w:r>
              <w:rPr>
                <w:rFonts w:hint="eastAsia" w:ascii="宋体" w:hAnsi="宋体" w:cs="宋体"/>
                <w:b w:val="0"/>
                <w:bCs w:val="0"/>
                <w:szCs w:val="21"/>
                <w:lang w:val="en-US" w:eastAsia="zh-CN"/>
              </w:rPr>
              <w:t>响应</w:t>
            </w:r>
            <w:r>
              <w:rPr>
                <w:rFonts w:hint="eastAsia" w:ascii="宋体" w:hAnsi="宋体" w:cs="宋体"/>
                <w:b w:val="0"/>
                <w:bCs w:val="0"/>
                <w:szCs w:val="21"/>
              </w:rPr>
              <w:t>承诺书并加盖供应商公章。</w:t>
            </w:r>
          </w:p>
        </w:tc>
      </w:tr>
      <w:tr w14:paraId="3F647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7" w:hRule="atLeast"/>
          <w:jc w:val="center"/>
        </w:trPr>
        <w:tc>
          <w:tcPr>
            <w:tcW w:w="339" w:type="pct"/>
            <w:vMerge w:val="restart"/>
            <w:tcBorders>
              <w:left w:val="single" w:color="auto" w:sz="4" w:space="0"/>
              <w:right w:val="single" w:color="auto" w:sz="4" w:space="0"/>
            </w:tcBorders>
            <w:noWrap w:val="0"/>
            <w:vAlign w:val="center"/>
          </w:tcPr>
          <w:p w14:paraId="6390FE7D">
            <w:pPr>
              <w:spacing w:line="240" w:lineRule="atLeast"/>
              <w:contextualSpacing/>
              <w:jc w:val="center"/>
              <w:rPr>
                <w:rFonts w:ascii="宋体" w:hAnsi="宋体"/>
                <w:szCs w:val="21"/>
              </w:rPr>
            </w:pPr>
            <w:r>
              <w:rPr>
                <w:rFonts w:hint="eastAsia" w:ascii="宋体" w:hAnsi="宋体"/>
                <w:szCs w:val="21"/>
              </w:rPr>
              <w:t>三</w:t>
            </w:r>
          </w:p>
        </w:tc>
        <w:tc>
          <w:tcPr>
            <w:tcW w:w="591" w:type="pct"/>
            <w:vMerge w:val="restart"/>
            <w:tcBorders>
              <w:left w:val="single" w:color="auto" w:sz="4" w:space="0"/>
              <w:right w:val="single" w:color="auto" w:sz="4" w:space="0"/>
            </w:tcBorders>
            <w:noWrap w:val="0"/>
            <w:vAlign w:val="center"/>
          </w:tcPr>
          <w:p w14:paraId="47D3FAC8">
            <w:pPr>
              <w:spacing w:line="240" w:lineRule="atLeast"/>
              <w:contextualSpacing/>
              <w:jc w:val="center"/>
              <w:rPr>
                <w:rFonts w:ascii="宋体" w:hAnsi="宋体"/>
                <w:szCs w:val="21"/>
              </w:rPr>
            </w:pPr>
            <w:r>
              <w:rPr>
                <w:rFonts w:hint="eastAsia" w:ascii="宋体" w:hAnsi="宋体"/>
                <w:szCs w:val="21"/>
              </w:rPr>
              <w:t>技术部分</w:t>
            </w:r>
          </w:p>
          <w:p w14:paraId="58B8729F">
            <w:pPr>
              <w:spacing w:line="240" w:lineRule="atLeast"/>
              <w:contextualSpacing/>
              <w:jc w:val="center"/>
              <w:rPr>
                <w:rFonts w:ascii="宋体" w:hAnsi="宋体"/>
                <w:szCs w:val="21"/>
              </w:rPr>
            </w:pPr>
            <w:r>
              <w:rPr>
                <w:rFonts w:hint="eastAsia" w:ascii="宋体" w:hAnsi="宋体"/>
                <w:szCs w:val="21"/>
              </w:rPr>
              <w:t>（</w:t>
            </w:r>
            <w:r>
              <w:rPr>
                <w:rFonts w:hint="eastAsia" w:ascii="宋体" w:hAnsi="宋体"/>
                <w:szCs w:val="21"/>
                <w:lang w:val="en-US" w:eastAsia="zh-CN"/>
              </w:rPr>
              <w:t>14</w:t>
            </w:r>
            <w:r>
              <w:rPr>
                <w:rFonts w:hint="eastAsia" w:ascii="宋体" w:hAnsi="宋体"/>
                <w:szCs w:val="21"/>
              </w:rPr>
              <w:t>分）</w:t>
            </w:r>
          </w:p>
        </w:tc>
        <w:tc>
          <w:tcPr>
            <w:tcW w:w="699" w:type="pct"/>
            <w:tcBorders>
              <w:top w:val="single" w:color="auto" w:sz="4" w:space="0"/>
              <w:left w:val="single" w:color="auto" w:sz="4" w:space="0"/>
              <w:right w:val="single" w:color="auto" w:sz="4" w:space="0"/>
            </w:tcBorders>
            <w:noWrap w:val="0"/>
            <w:vAlign w:val="center"/>
          </w:tcPr>
          <w:p w14:paraId="031AAFC0">
            <w:pPr>
              <w:contextualSpacing/>
              <w:jc w:val="center"/>
              <w:rPr>
                <w:rFonts w:hint="eastAsia" w:ascii="宋体" w:hAnsi="宋体" w:eastAsia="宋体"/>
                <w:szCs w:val="21"/>
                <w:lang w:val="en-US" w:eastAsia="zh-CN"/>
              </w:rPr>
            </w:pPr>
            <w:r>
              <w:rPr>
                <w:rFonts w:hint="eastAsia" w:ascii="宋体" w:hAnsi="宋体"/>
                <w:szCs w:val="21"/>
                <w:lang w:val="en-US" w:eastAsia="zh-CN"/>
              </w:rPr>
              <w:t>项目启动实施方案</w:t>
            </w:r>
          </w:p>
        </w:tc>
        <w:tc>
          <w:tcPr>
            <w:tcW w:w="383" w:type="pct"/>
            <w:tcBorders>
              <w:top w:val="single" w:color="auto" w:sz="4" w:space="0"/>
              <w:left w:val="single" w:color="auto" w:sz="4" w:space="0"/>
              <w:bottom w:val="single" w:color="auto" w:sz="4" w:space="0"/>
              <w:right w:val="single" w:color="auto" w:sz="4" w:space="0"/>
            </w:tcBorders>
            <w:noWrap w:val="0"/>
            <w:vAlign w:val="center"/>
          </w:tcPr>
          <w:p w14:paraId="2028C9D7">
            <w:pPr>
              <w:contextualSpacing/>
              <w:jc w:val="center"/>
              <w:rPr>
                <w:rFonts w:hint="default" w:ascii="宋体" w:hAnsi="宋体" w:eastAsia="宋体"/>
                <w:szCs w:val="21"/>
                <w:lang w:val="en-US" w:eastAsia="zh-CN"/>
              </w:rPr>
            </w:pPr>
            <w:r>
              <w:rPr>
                <w:rFonts w:hint="eastAsia" w:ascii="宋体" w:hAnsi="宋体"/>
                <w:szCs w:val="21"/>
                <w:lang w:val="en-US" w:eastAsia="zh-CN"/>
              </w:rPr>
              <w:t>5</w:t>
            </w:r>
          </w:p>
        </w:tc>
        <w:tc>
          <w:tcPr>
            <w:tcW w:w="2985" w:type="pct"/>
            <w:tcBorders>
              <w:top w:val="single" w:color="auto" w:sz="4" w:space="0"/>
              <w:left w:val="single" w:color="auto" w:sz="4" w:space="0"/>
              <w:right w:val="single" w:color="auto" w:sz="4" w:space="0"/>
            </w:tcBorders>
            <w:noWrap w:val="0"/>
            <w:vAlign w:val="top"/>
          </w:tcPr>
          <w:p w14:paraId="1A30B1DC">
            <w:pPr>
              <w:spacing w:line="460" w:lineRule="exact"/>
              <w:rPr>
                <w:rFonts w:hint="eastAsia" w:ascii="宋体" w:hAnsi="宋体" w:cs="宋体"/>
                <w:szCs w:val="21"/>
              </w:rPr>
            </w:pPr>
            <w:r>
              <w:rPr>
                <w:rFonts w:hint="eastAsia" w:ascii="宋体" w:hAnsi="宋体" w:cs="宋体"/>
                <w:szCs w:val="21"/>
              </w:rPr>
              <w:t>根据供应商提供的项目启动实施方案（包括项目实施前准备、推进措施以及阶段性工作安排，管理制度、风险防控和保障措施等）进行综合评审，以上方案内容完整的得</w:t>
            </w:r>
            <w:r>
              <w:rPr>
                <w:rFonts w:hint="eastAsia" w:ascii="宋体" w:hAnsi="宋体" w:cs="宋体"/>
                <w:szCs w:val="21"/>
                <w:lang w:val="en-US" w:eastAsia="zh-CN"/>
              </w:rPr>
              <w:t>5</w:t>
            </w:r>
            <w:r>
              <w:rPr>
                <w:rFonts w:hint="eastAsia" w:ascii="宋体" w:hAnsi="宋体" w:cs="宋体"/>
                <w:szCs w:val="21"/>
              </w:rPr>
              <w:t>.00分，方案内容基本完整的得</w:t>
            </w:r>
            <w:r>
              <w:rPr>
                <w:rFonts w:hint="eastAsia" w:ascii="宋体" w:hAnsi="宋体" w:cs="宋体"/>
                <w:szCs w:val="21"/>
                <w:lang w:val="en-US" w:eastAsia="zh-CN"/>
              </w:rPr>
              <w:t>3</w:t>
            </w:r>
            <w:r>
              <w:rPr>
                <w:rFonts w:hint="eastAsia" w:ascii="宋体" w:hAnsi="宋体" w:cs="宋体"/>
                <w:szCs w:val="21"/>
              </w:rPr>
              <w:t>.00分，方案内容存在缺陷的得</w:t>
            </w:r>
            <w:r>
              <w:rPr>
                <w:rFonts w:hint="eastAsia" w:ascii="宋体" w:hAnsi="宋体" w:cs="宋体"/>
                <w:szCs w:val="21"/>
                <w:lang w:val="en-US" w:eastAsia="zh-CN"/>
              </w:rPr>
              <w:t>1</w:t>
            </w:r>
            <w:r>
              <w:rPr>
                <w:rFonts w:hint="eastAsia" w:ascii="宋体" w:hAnsi="宋体" w:cs="宋体"/>
                <w:szCs w:val="21"/>
              </w:rPr>
              <w:t>.00分(缺陷是指不适用于本项目，仅有框架或标题)，不提供或提供不全的得0分。</w:t>
            </w:r>
          </w:p>
        </w:tc>
      </w:tr>
      <w:tr w14:paraId="68FAC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339" w:type="pct"/>
            <w:vMerge w:val="continue"/>
            <w:tcBorders>
              <w:left w:val="single" w:color="auto" w:sz="4" w:space="0"/>
              <w:right w:val="single" w:color="auto" w:sz="4" w:space="0"/>
            </w:tcBorders>
            <w:noWrap w:val="0"/>
            <w:vAlign w:val="center"/>
          </w:tcPr>
          <w:p w14:paraId="607193E6">
            <w:pPr>
              <w:spacing w:line="240" w:lineRule="atLeast"/>
              <w:contextualSpacing/>
              <w:rPr>
                <w:rFonts w:ascii="宋体" w:hAnsi="宋体"/>
                <w:szCs w:val="21"/>
              </w:rPr>
            </w:pPr>
          </w:p>
        </w:tc>
        <w:tc>
          <w:tcPr>
            <w:tcW w:w="591" w:type="pct"/>
            <w:vMerge w:val="continue"/>
            <w:tcBorders>
              <w:left w:val="single" w:color="auto" w:sz="4" w:space="0"/>
              <w:right w:val="single" w:color="auto" w:sz="4" w:space="0"/>
            </w:tcBorders>
            <w:noWrap w:val="0"/>
            <w:vAlign w:val="center"/>
          </w:tcPr>
          <w:p w14:paraId="3A37AE9E">
            <w:pPr>
              <w:spacing w:line="240" w:lineRule="atLeast"/>
              <w:contextualSpacing/>
              <w:rPr>
                <w:rFonts w:ascii="宋体" w:hAnsi="宋体"/>
                <w:szCs w:val="21"/>
              </w:rPr>
            </w:pPr>
          </w:p>
        </w:tc>
        <w:tc>
          <w:tcPr>
            <w:tcW w:w="699" w:type="pct"/>
            <w:tcBorders>
              <w:top w:val="single" w:color="auto" w:sz="4" w:space="0"/>
              <w:left w:val="single" w:color="auto" w:sz="4" w:space="0"/>
              <w:bottom w:val="single" w:color="auto" w:sz="4" w:space="0"/>
              <w:right w:val="single" w:color="auto" w:sz="4" w:space="0"/>
            </w:tcBorders>
            <w:noWrap w:val="0"/>
            <w:vAlign w:val="center"/>
          </w:tcPr>
          <w:p w14:paraId="791F1112">
            <w:pPr>
              <w:spacing w:line="240" w:lineRule="exact"/>
              <w:contextualSpacing/>
              <w:jc w:val="center"/>
              <w:rPr>
                <w:rFonts w:ascii="宋体" w:hAnsi="宋体"/>
                <w:szCs w:val="21"/>
              </w:rPr>
            </w:pPr>
            <w:r>
              <w:rPr>
                <w:rFonts w:hint="eastAsia" w:ascii="宋体" w:hAnsi="宋体"/>
                <w:szCs w:val="21"/>
              </w:rPr>
              <w:t>培训方案</w:t>
            </w:r>
          </w:p>
        </w:tc>
        <w:tc>
          <w:tcPr>
            <w:tcW w:w="383" w:type="pct"/>
            <w:tcBorders>
              <w:top w:val="single" w:color="auto" w:sz="4" w:space="0"/>
              <w:left w:val="single" w:color="auto" w:sz="4" w:space="0"/>
              <w:bottom w:val="single" w:color="auto" w:sz="4" w:space="0"/>
              <w:right w:val="single" w:color="auto" w:sz="4" w:space="0"/>
            </w:tcBorders>
            <w:noWrap w:val="0"/>
            <w:vAlign w:val="center"/>
          </w:tcPr>
          <w:p w14:paraId="71F1C015">
            <w:pPr>
              <w:spacing w:line="240" w:lineRule="atLeast"/>
              <w:contextualSpacing/>
              <w:jc w:val="center"/>
              <w:rPr>
                <w:rFonts w:hint="default" w:ascii="宋体" w:hAnsi="宋体" w:eastAsia="宋体"/>
                <w:szCs w:val="21"/>
                <w:lang w:val="en-US" w:eastAsia="zh-CN"/>
              </w:rPr>
            </w:pPr>
            <w:r>
              <w:rPr>
                <w:rFonts w:hint="eastAsia" w:ascii="宋体" w:hAnsi="宋体"/>
                <w:szCs w:val="21"/>
                <w:lang w:val="en-US" w:eastAsia="zh-CN"/>
              </w:rPr>
              <w:t>3</w:t>
            </w:r>
          </w:p>
        </w:tc>
        <w:tc>
          <w:tcPr>
            <w:tcW w:w="2985" w:type="pct"/>
            <w:tcBorders>
              <w:top w:val="single" w:color="auto" w:sz="4" w:space="0"/>
              <w:left w:val="single" w:color="auto" w:sz="4" w:space="0"/>
              <w:bottom w:val="single" w:color="auto" w:sz="4" w:space="0"/>
              <w:right w:val="single" w:color="auto" w:sz="4" w:space="0"/>
            </w:tcBorders>
            <w:noWrap w:val="0"/>
            <w:vAlign w:val="center"/>
          </w:tcPr>
          <w:p w14:paraId="63880948">
            <w:pPr>
              <w:spacing w:line="460" w:lineRule="exact"/>
              <w:rPr>
                <w:rFonts w:hint="eastAsia" w:ascii="宋体" w:hAnsi="宋体" w:cs="宋体"/>
                <w:szCs w:val="21"/>
              </w:rPr>
            </w:pPr>
            <w:r>
              <w:rPr>
                <w:rFonts w:hint="eastAsia" w:ascii="宋体" w:hAnsi="宋体" w:cs="宋体"/>
                <w:szCs w:val="21"/>
              </w:rPr>
              <w:t>根据供应商提供的培训方案（包括理赔流程培训、保险条款解读等）进行综合评审，以上内容完整的得</w:t>
            </w:r>
            <w:r>
              <w:rPr>
                <w:rFonts w:hint="eastAsia" w:ascii="宋体" w:hAnsi="宋体" w:cs="宋体"/>
                <w:szCs w:val="21"/>
                <w:lang w:val="en-US" w:eastAsia="zh-CN"/>
              </w:rPr>
              <w:t>3</w:t>
            </w:r>
            <w:r>
              <w:rPr>
                <w:rFonts w:hint="eastAsia" w:ascii="宋体" w:hAnsi="宋体" w:cs="宋体"/>
                <w:szCs w:val="21"/>
              </w:rPr>
              <w:t>.00分，方案内容基本完整的得</w:t>
            </w:r>
            <w:r>
              <w:rPr>
                <w:rFonts w:hint="eastAsia" w:ascii="宋体" w:hAnsi="宋体" w:cs="宋体"/>
                <w:szCs w:val="21"/>
                <w:lang w:val="en-US" w:eastAsia="zh-CN"/>
              </w:rPr>
              <w:t>2</w:t>
            </w:r>
            <w:r>
              <w:rPr>
                <w:rFonts w:hint="eastAsia" w:ascii="宋体" w:hAnsi="宋体" w:cs="宋体"/>
                <w:szCs w:val="21"/>
              </w:rPr>
              <w:t>.00分，方案内容存在缺陷的得</w:t>
            </w:r>
            <w:r>
              <w:rPr>
                <w:rFonts w:hint="eastAsia" w:ascii="宋体" w:hAnsi="宋体" w:cs="宋体"/>
                <w:szCs w:val="21"/>
                <w:lang w:val="en-US" w:eastAsia="zh-CN"/>
              </w:rPr>
              <w:t>1</w:t>
            </w:r>
            <w:r>
              <w:rPr>
                <w:rFonts w:hint="eastAsia" w:ascii="宋体" w:hAnsi="宋体" w:cs="宋体"/>
                <w:szCs w:val="21"/>
              </w:rPr>
              <w:t>.00分(缺陷是指不适用于本项目，仅有框架或标题)，不提供或提供不全的得0分。</w:t>
            </w:r>
          </w:p>
        </w:tc>
      </w:tr>
      <w:tr w14:paraId="78AD3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339" w:type="pct"/>
            <w:vMerge w:val="continue"/>
            <w:tcBorders>
              <w:left w:val="single" w:color="auto" w:sz="4" w:space="0"/>
              <w:right w:val="single" w:color="auto" w:sz="4" w:space="0"/>
            </w:tcBorders>
            <w:noWrap w:val="0"/>
            <w:vAlign w:val="center"/>
          </w:tcPr>
          <w:p w14:paraId="365BADEC">
            <w:pPr>
              <w:spacing w:line="240" w:lineRule="atLeast"/>
              <w:contextualSpacing/>
              <w:rPr>
                <w:rFonts w:ascii="宋体" w:hAnsi="宋体"/>
                <w:szCs w:val="21"/>
              </w:rPr>
            </w:pPr>
          </w:p>
        </w:tc>
        <w:tc>
          <w:tcPr>
            <w:tcW w:w="591" w:type="pct"/>
            <w:vMerge w:val="continue"/>
            <w:tcBorders>
              <w:left w:val="single" w:color="auto" w:sz="4" w:space="0"/>
              <w:right w:val="single" w:color="auto" w:sz="4" w:space="0"/>
            </w:tcBorders>
            <w:noWrap w:val="0"/>
            <w:vAlign w:val="center"/>
          </w:tcPr>
          <w:p w14:paraId="2D9F2519">
            <w:pPr>
              <w:spacing w:line="240" w:lineRule="atLeast"/>
              <w:contextualSpacing/>
              <w:rPr>
                <w:rFonts w:ascii="宋体" w:hAnsi="宋体"/>
                <w:szCs w:val="21"/>
              </w:rPr>
            </w:pPr>
          </w:p>
        </w:tc>
        <w:tc>
          <w:tcPr>
            <w:tcW w:w="699" w:type="pct"/>
            <w:tcBorders>
              <w:top w:val="single" w:color="auto" w:sz="4" w:space="0"/>
              <w:left w:val="single" w:color="auto" w:sz="4" w:space="0"/>
              <w:bottom w:val="single" w:color="auto" w:sz="4" w:space="0"/>
              <w:right w:val="single" w:color="auto" w:sz="4" w:space="0"/>
            </w:tcBorders>
            <w:noWrap w:val="0"/>
            <w:vAlign w:val="center"/>
          </w:tcPr>
          <w:p w14:paraId="416210B0">
            <w:pPr>
              <w:spacing w:line="240" w:lineRule="exact"/>
              <w:contextualSpacing/>
              <w:jc w:val="center"/>
              <w:rPr>
                <w:rFonts w:hint="eastAsia" w:ascii="宋体" w:hAnsi="宋体"/>
                <w:szCs w:val="21"/>
              </w:rPr>
            </w:pPr>
            <w:r>
              <w:rPr>
                <w:rFonts w:hint="eastAsia" w:ascii="宋体" w:hAnsi="宋体"/>
                <w:szCs w:val="21"/>
              </w:rPr>
              <w:t>理赔服务方案</w:t>
            </w:r>
          </w:p>
        </w:tc>
        <w:tc>
          <w:tcPr>
            <w:tcW w:w="383" w:type="pct"/>
            <w:tcBorders>
              <w:top w:val="single" w:color="auto" w:sz="4" w:space="0"/>
              <w:left w:val="single" w:color="auto" w:sz="4" w:space="0"/>
              <w:bottom w:val="single" w:color="auto" w:sz="4" w:space="0"/>
              <w:right w:val="single" w:color="auto" w:sz="4" w:space="0"/>
            </w:tcBorders>
            <w:noWrap w:val="0"/>
            <w:vAlign w:val="center"/>
          </w:tcPr>
          <w:p w14:paraId="61BD7D73">
            <w:pPr>
              <w:spacing w:line="240" w:lineRule="atLeast"/>
              <w:contextualSpacing/>
              <w:jc w:val="center"/>
              <w:rPr>
                <w:rFonts w:hint="eastAsia" w:ascii="宋体" w:hAnsi="宋体" w:eastAsia="宋体"/>
                <w:szCs w:val="21"/>
                <w:lang w:val="en-US" w:eastAsia="zh-CN"/>
              </w:rPr>
            </w:pPr>
            <w:r>
              <w:rPr>
                <w:rFonts w:hint="eastAsia" w:ascii="宋体" w:hAnsi="宋体"/>
                <w:szCs w:val="21"/>
                <w:lang w:val="en-US" w:eastAsia="zh-CN"/>
              </w:rPr>
              <w:t>3</w:t>
            </w:r>
          </w:p>
        </w:tc>
        <w:tc>
          <w:tcPr>
            <w:tcW w:w="2985" w:type="pct"/>
            <w:tcBorders>
              <w:top w:val="single" w:color="auto" w:sz="4" w:space="0"/>
              <w:left w:val="single" w:color="auto" w:sz="4" w:space="0"/>
              <w:bottom w:val="single" w:color="auto" w:sz="4" w:space="0"/>
              <w:right w:val="single" w:color="auto" w:sz="4" w:space="0"/>
            </w:tcBorders>
            <w:noWrap w:val="0"/>
            <w:vAlign w:val="center"/>
          </w:tcPr>
          <w:p w14:paraId="322FE934">
            <w:pPr>
              <w:spacing w:line="460" w:lineRule="exact"/>
              <w:rPr>
                <w:rFonts w:hint="eastAsia" w:ascii="宋体" w:hAnsi="宋体" w:cs="宋体"/>
                <w:szCs w:val="21"/>
              </w:rPr>
            </w:pPr>
            <w:r>
              <w:rPr>
                <w:rFonts w:hint="eastAsia" w:ascii="宋体" w:hAnsi="宋体" w:cs="宋体"/>
                <w:szCs w:val="21"/>
              </w:rPr>
              <w:t>根据供应商提供的理赔服务方案（包括理赔申请方式、核实理赔资料方式、提高理赔处理效率措施），以上内容完整的得</w:t>
            </w:r>
            <w:r>
              <w:rPr>
                <w:rFonts w:hint="eastAsia" w:ascii="宋体" w:hAnsi="宋体" w:cs="宋体"/>
                <w:szCs w:val="21"/>
                <w:lang w:val="en-US" w:eastAsia="zh-CN"/>
              </w:rPr>
              <w:t>3</w:t>
            </w:r>
            <w:r>
              <w:rPr>
                <w:rFonts w:hint="eastAsia" w:ascii="宋体" w:hAnsi="宋体" w:cs="宋体"/>
                <w:szCs w:val="21"/>
              </w:rPr>
              <w:t>.00分，方案内容基本完整的得</w:t>
            </w:r>
            <w:r>
              <w:rPr>
                <w:rFonts w:hint="eastAsia" w:ascii="宋体" w:hAnsi="宋体" w:cs="宋体"/>
                <w:szCs w:val="21"/>
                <w:lang w:val="en-US" w:eastAsia="zh-CN"/>
              </w:rPr>
              <w:t>2</w:t>
            </w:r>
            <w:r>
              <w:rPr>
                <w:rFonts w:hint="eastAsia" w:ascii="宋体" w:hAnsi="宋体" w:cs="宋体"/>
                <w:szCs w:val="21"/>
              </w:rPr>
              <w:t>.00分，方案内容存在缺陷的得</w:t>
            </w:r>
            <w:r>
              <w:rPr>
                <w:rFonts w:hint="eastAsia" w:ascii="宋体" w:hAnsi="宋体" w:cs="宋体"/>
                <w:szCs w:val="21"/>
                <w:lang w:val="en-US" w:eastAsia="zh-CN"/>
              </w:rPr>
              <w:t>1</w:t>
            </w:r>
            <w:r>
              <w:rPr>
                <w:rFonts w:hint="eastAsia" w:ascii="宋体" w:hAnsi="宋体" w:cs="宋体"/>
                <w:szCs w:val="21"/>
              </w:rPr>
              <w:t>.00分(缺陷是指不适用于本项目，仅有框架或标题)，不提供或提供不全的得0分。</w:t>
            </w:r>
          </w:p>
        </w:tc>
      </w:tr>
      <w:tr w14:paraId="271FA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339" w:type="pct"/>
            <w:vMerge w:val="continue"/>
            <w:tcBorders>
              <w:left w:val="single" w:color="auto" w:sz="4" w:space="0"/>
              <w:right w:val="single" w:color="auto" w:sz="4" w:space="0"/>
            </w:tcBorders>
            <w:noWrap w:val="0"/>
            <w:vAlign w:val="center"/>
          </w:tcPr>
          <w:p w14:paraId="5BA8A846">
            <w:pPr>
              <w:spacing w:line="240" w:lineRule="atLeast"/>
              <w:contextualSpacing/>
              <w:rPr>
                <w:rFonts w:ascii="宋体" w:hAnsi="宋体"/>
                <w:szCs w:val="21"/>
              </w:rPr>
            </w:pPr>
          </w:p>
        </w:tc>
        <w:tc>
          <w:tcPr>
            <w:tcW w:w="591" w:type="pct"/>
            <w:vMerge w:val="continue"/>
            <w:tcBorders>
              <w:left w:val="single" w:color="auto" w:sz="4" w:space="0"/>
              <w:right w:val="single" w:color="auto" w:sz="4" w:space="0"/>
            </w:tcBorders>
            <w:noWrap w:val="0"/>
            <w:vAlign w:val="center"/>
          </w:tcPr>
          <w:p w14:paraId="702DFD21">
            <w:pPr>
              <w:spacing w:line="240" w:lineRule="atLeast"/>
              <w:contextualSpacing/>
              <w:rPr>
                <w:rFonts w:ascii="宋体" w:hAnsi="宋体"/>
                <w:szCs w:val="21"/>
              </w:rPr>
            </w:pPr>
          </w:p>
        </w:tc>
        <w:tc>
          <w:tcPr>
            <w:tcW w:w="699" w:type="pct"/>
            <w:tcBorders>
              <w:top w:val="single" w:color="auto" w:sz="4" w:space="0"/>
              <w:left w:val="single" w:color="auto" w:sz="4" w:space="0"/>
              <w:bottom w:val="single" w:color="auto" w:sz="4" w:space="0"/>
              <w:right w:val="single" w:color="auto" w:sz="4" w:space="0"/>
            </w:tcBorders>
            <w:noWrap w:val="0"/>
            <w:vAlign w:val="center"/>
          </w:tcPr>
          <w:p w14:paraId="4270C630">
            <w:pPr>
              <w:spacing w:line="240" w:lineRule="exact"/>
              <w:contextualSpacing/>
              <w:jc w:val="center"/>
              <w:rPr>
                <w:rFonts w:hint="eastAsia" w:ascii="宋体" w:hAnsi="宋体"/>
                <w:szCs w:val="21"/>
              </w:rPr>
            </w:pPr>
            <w:r>
              <w:rPr>
                <w:rFonts w:hint="eastAsia" w:ascii="宋体" w:hAnsi="宋体"/>
                <w:szCs w:val="21"/>
              </w:rPr>
              <w:t>创新服务方案</w:t>
            </w:r>
          </w:p>
        </w:tc>
        <w:tc>
          <w:tcPr>
            <w:tcW w:w="383" w:type="pct"/>
            <w:tcBorders>
              <w:top w:val="single" w:color="auto" w:sz="4" w:space="0"/>
              <w:left w:val="single" w:color="auto" w:sz="4" w:space="0"/>
              <w:bottom w:val="single" w:color="auto" w:sz="4" w:space="0"/>
              <w:right w:val="single" w:color="auto" w:sz="4" w:space="0"/>
            </w:tcBorders>
            <w:noWrap w:val="0"/>
            <w:vAlign w:val="center"/>
          </w:tcPr>
          <w:p w14:paraId="472A9106">
            <w:pPr>
              <w:spacing w:line="240" w:lineRule="atLeast"/>
              <w:contextualSpacing/>
              <w:jc w:val="center"/>
              <w:rPr>
                <w:rFonts w:hint="default" w:ascii="宋体" w:hAnsi="宋体" w:eastAsia="宋体"/>
                <w:szCs w:val="21"/>
                <w:lang w:val="en-US" w:eastAsia="zh-CN"/>
              </w:rPr>
            </w:pPr>
            <w:r>
              <w:rPr>
                <w:rFonts w:hint="eastAsia" w:ascii="宋体" w:hAnsi="宋体"/>
                <w:szCs w:val="21"/>
                <w:lang w:val="en-US" w:eastAsia="zh-CN"/>
              </w:rPr>
              <w:t>3</w:t>
            </w:r>
          </w:p>
        </w:tc>
        <w:tc>
          <w:tcPr>
            <w:tcW w:w="2985" w:type="pct"/>
            <w:tcBorders>
              <w:top w:val="single" w:color="auto" w:sz="4" w:space="0"/>
              <w:left w:val="single" w:color="auto" w:sz="4" w:space="0"/>
              <w:bottom w:val="single" w:color="auto" w:sz="4" w:space="0"/>
              <w:right w:val="single" w:color="auto" w:sz="4" w:space="0"/>
            </w:tcBorders>
            <w:noWrap w:val="0"/>
            <w:vAlign w:val="center"/>
          </w:tcPr>
          <w:p w14:paraId="3B1A8576">
            <w:pPr>
              <w:spacing w:line="460" w:lineRule="exact"/>
              <w:rPr>
                <w:rFonts w:hint="eastAsia" w:ascii="宋体" w:hAnsi="宋体" w:cs="宋体"/>
                <w:szCs w:val="21"/>
              </w:rPr>
            </w:pPr>
            <w:r>
              <w:rPr>
                <w:rFonts w:hint="eastAsia" w:ascii="宋体" w:hAnsi="宋体" w:cs="宋体"/>
                <w:szCs w:val="21"/>
              </w:rPr>
              <w:t>根据供应商提供的创新服务方案（特别是在利用互联网、大数据等先进技术对服务质量跟踪管理、待遇享受人员跟踪回访、服务监管及违规行为查处等方面的应用及总体情况等）进行综合评审，以上内容完整的得</w:t>
            </w:r>
            <w:r>
              <w:rPr>
                <w:rFonts w:hint="eastAsia" w:ascii="宋体" w:hAnsi="宋体" w:cs="宋体"/>
                <w:szCs w:val="21"/>
                <w:lang w:val="en-US" w:eastAsia="zh-CN"/>
              </w:rPr>
              <w:t>3</w:t>
            </w:r>
            <w:r>
              <w:rPr>
                <w:rFonts w:hint="eastAsia" w:ascii="宋体" w:hAnsi="宋体" w:cs="宋体"/>
                <w:szCs w:val="21"/>
              </w:rPr>
              <w:t>.00分，方案内容基本完整的得</w:t>
            </w:r>
            <w:r>
              <w:rPr>
                <w:rFonts w:hint="eastAsia" w:ascii="宋体" w:hAnsi="宋体" w:cs="宋体"/>
                <w:szCs w:val="21"/>
                <w:lang w:val="en-US" w:eastAsia="zh-CN"/>
              </w:rPr>
              <w:t>2</w:t>
            </w:r>
            <w:r>
              <w:rPr>
                <w:rFonts w:hint="eastAsia" w:ascii="宋体" w:hAnsi="宋体" w:cs="宋体"/>
                <w:szCs w:val="21"/>
              </w:rPr>
              <w:t>.00分，方案内容存在缺陷的得</w:t>
            </w:r>
            <w:r>
              <w:rPr>
                <w:rFonts w:hint="eastAsia" w:ascii="宋体" w:hAnsi="宋体" w:cs="宋体"/>
                <w:szCs w:val="21"/>
                <w:lang w:val="en-US" w:eastAsia="zh-CN"/>
              </w:rPr>
              <w:t>1</w:t>
            </w:r>
            <w:r>
              <w:rPr>
                <w:rFonts w:hint="eastAsia" w:ascii="宋体" w:hAnsi="宋体" w:cs="宋体"/>
                <w:szCs w:val="21"/>
              </w:rPr>
              <w:t>.00分(缺陷是指不适用于本项目，仅有框架或标题)，不提供或提供不全的得0分。</w:t>
            </w:r>
          </w:p>
        </w:tc>
      </w:tr>
      <w:tr w14:paraId="1404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630" w:type="pct"/>
            <w:gridSpan w:val="3"/>
            <w:tcBorders>
              <w:top w:val="single" w:color="auto" w:sz="4" w:space="0"/>
              <w:left w:val="single" w:color="auto" w:sz="4" w:space="0"/>
              <w:bottom w:val="single" w:color="auto" w:sz="4" w:space="0"/>
              <w:right w:val="single" w:color="auto" w:sz="4" w:space="0"/>
            </w:tcBorders>
            <w:noWrap w:val="0"/>
            <w:vAlign w:val="center"/>
          </w:tcPr>
          <w:p w14:paraId="26AFB7C1">
            <w:pPr>
              <w:spacing w:line="240" w:lineRule="atLeast"/>
              <w:contextualSpacing/>
              <w:jc w:val="center"/>
              <w:rPr>
                <w:rFonts w:ascii="宋体" w:hAnsi="宋体"/>
                <w:szCs w:val="21"/>
              </w:rPr>
            </w:pPr>
            <w:r>
              <w:rPr>
                <w:rFonts w:hint="eastAsia" w:ascii="宋体" w:hAnsi="宋体"/>
                <w:szCs w:val="21"/>
              </w:rPr>
              <w:t>合计</w:t>
            </w:r>
          </w:p>
        </w:tc>
        <w:tc>
          <w:tcPr>
            <w:tcW w:w="383" w:type="pct"/>
            <w:tcBorders>
              <w:top w:val="single" w:color="auto" w:sz="4" w:space="0"/>
              <w:left w:val="single" w:color="auto" w:sz="4" w:space="0"/>
              <w:bottom w:val="single" w:color="auto" w:sz="4" w:space="0"/>
              <w:right w:val="single" w:color="auto" w:sz="4" w:space="0"/>
            </w:tcBorders>
            <w:noWrap w:val="0"/>
            <w:vAlign w:val="center"/>
          </w:tcPr>
          <w:p w14:paraId="4C709C59">
            <w:pPr>
              <w:spacing w:line="240" w:lineRule="atLeast"/>
              <w:ind w:firstLine="105" w:firstLineChars="50"/>
              <w:contextualSpacing/>
              <w:rPr>
                <w:rFonts w:ascii="宋体" w:hAnsi="宋体"/>
                <w:szCs w:val="21"/>
              </w:rPr>
            </w:pPr>
            <w:r>
              <w:rPr>
                <w:rFonts w:hint="eastAsia" w:ascii="宋体" w:hAnsi="宋体"/>
                <w:szCs w:val="21"/>
              </w:rPr>
              <w:t>100</w:t>
            </w:r>
          </w:p>
        </w:tc>
        <w:tc>
          <w:tcPr>
            <w:tcW w:w="2985" w:type="pct"/>
            <w:tcBorders>
              <w:top w:val="single" w:color="auto" w:sz="4" w:space="0"/>
              <w:left w:val="single" w:color="auto" w:sz="4" w:space="0"/>
              <w:bottom w:val="single" w:color="auto" w:sz="4" w:space="0"/>
              <w:right w:val="single" w:color="auto" w:sz="4" w:space="0"/>
            </w:tcBorders>
            <w:noWrap w:val="0"/>
            <w:vAlign w:val="center"/>
          </w:tcPr>
          <w:p w14:paraId="48116737">
            <w:pPr>
              <w:spacing w:line="240" w:lineRule="atLeast"/>
              <w:contextualSpacing/>
              <w:rPr>
                <w:rFonts w:ascii="宋体" w:hAnsi="宋体"/>
                <w:szCs w:val="21"/>
              </w:rPr>
            </w:pPr>
          </w:p>
        </w:tc>
      </w:tr>
    </w:tbl>
    <w:p w14:paraId="65C19514">
      <w:pPr>
        <w:spacing w:line="500" w:lineRule="exact"/>
        <w:ind w:firstLine="480" w:firstLineChars="200"/>
        <w:rPr>
          <w:rFonts w:hint="eastAsia" w:ascii="宋体" w:hAnsi="宋体" w:cs="宋体"/>
          <w:bCs/>
          <w:sz w:val="24"/>
        </w:rPr>
      </w:pPr>
    </w:p>
    <w:p w14:paraId="603AA5C6"/>
    <w:p w14:paraId="44F69356"/>
    <w:p w14:paraId="427F1BEA"/>
    <w:p w14:paraId="215EB966"/>
    <w:p w14:paraId="49FB4C48"/>
    <w:p w14:paraId="48AA31E9"/>
    <w:p w14:paraId="4449839F"/>
    <w:p w14:paraId="534B4BA5"/>
    <w:p w14:paraId="0AA1CD77"/>
    <w:p w14:paraId="7C53FD82"/>
    <w:p w14:paraId="3D3155AB"/>
    <w:p w14:paraId="28B05B43"/>
    <w:p w14:paraId="10A9E086"/>
    <w:p w14:paraId="60173D95"/>
    <w:p w14:paraId="76A27336"/>
    <w:p w14:paraId="512AE902"/>
    <w:p w14:paraId="535CF4AC"/>
    <w:p w14:paraId="55964397"/>
    <w:p w14:paraId="59AF95CF"/>
    <w:p w14:paraId="37EC0F1E"/>
    <w:p w14:paraId="6321ECA4"/>
    <w:p w14:paraId="221A3B8C">
      <w:pP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br w:type="page"/>
      </w:r>
    </w:p>
    <w:p w14:paraId="68CE0E68">
      <w:pPr>
        <w:keepNext/>
        <w:spacing w:line="500" w:lineRule="exact"/>
        <w:jc w:val="center"/>
        <w:outlineLvl w:val="0"/>
        <w:rPr>
          <w:rFonts w:hint="eastAsia" w:ascii="方正小标宋_GBK" w:hAnsi="方正小标宋_GBK" w:eastAsia="方正小标宋_GBK" w:cs="方正小标宋_GBK"/>
          <w:sz w:val="44"/>
          <w:szCs w:val="44"/>
        </w:rPr>
      </w:pPr>
      <w:bookmarkStart w:id="113" w:name="_Toc822"/>
      <w:r>
        <w:rPr>
          <w:rFonts w:hint="eastAsia" w:ascii="方正小标宋_GBK" w:hAnsi="方正小标宋_GBK" w:eastAsia="方正小标宋_GBK" w:cs="方正小标宋_GBK"/>
          <w:sz w:val="44"/>
          <w:szCs w:val="44"/>
        </w:rPr>
        <w:t xml:space="preserve">第六章  </w:t>
      </w:r>
      <w:r>
        <w:rPr>
          <w:rFonts w:hint="eastAsia" w:ascii="方正小标宋_GBK" w:hAnsi="方正小标宋_GBK" w:eastAsia="方正小标宋_GBK" w:cs="方正小标宋_GBK"/>
          <w:sz w:val="44"/>
          <w:szCs w:val="44"/>
          <w:lang w:val="en-US" w:eastAsia="zh-CN"/>
        </w:rPr>
        <w:t>竞争性磋商</w:t>
      </w:r>
      <w:r>
        <w:rPr>
          <w:rFonts w:hint="eastAsia" w:ascii="方正小标宋_GBK" w:hAnsi="方正小标宋_GBK" w:eastAsia="方正小标宋_GBK" w:cs="方正小标宋_GBK"/>
          <w:sz w:val="44"/>
          <w:szCs w:val="44"/>
        </w:rPr>
        <w:t>响应文件格式</w:t>
      </w:r>
      <w:bookmarkEnd w:id="113"/>
    </w:p>
    <w:p w14:paraId="440B8997">
      <w:pPr>
        <w:jc w:val="center"/>
        <w:rPr>
          <w:rFonts w:hint="eastAsia" w:ascii="方正小标宋_GBK" w:hAnsi="方正小标宋_GBK" w:eastAsia="方正小标宋_GBK" w:cs="方正小标宋_GBK"/>
          <w:b/>
          <w:sz w:val="72"/>
          <w:szCs w:val="21"/>
        </w:rPr>
      </w:pPr>
      <w:bookmarkStart w:id="114" w:name="_Hlt26671244"/>
      <w:bookmarkEnd w:id="114"/>
      <w:bookmarkStart w:id="115" w:name="_Hlt26955039"/>
      <w:bookmarkEnd w:id="115"/>
    </w:p>
    <w:p w14:paraId="48DD831C">
      <w:pPr>
        <w:jc w:val="center"/>
        <w:rPr>
          <w:rFonts w:hint="eastAsia" w:ascii="方正小标宋_GBK" w:hAnsi="方正小标宋_GBK" w:eastAsia="方正小标宋_GBK" w:cs="方正小标宋_GBK"/>
          <w:bCs/>
          <w:sz w:val="72"/>
          <w:szCs w:val="21"/>
        </w:rPr>
      </w:pPr>
    </w:p>
    <w:p w14:paraId="09AA4F95">
      <w:pPr>
        <w:jc w:val="center"/>
        <w:rPr>
          <w:rFonts w:hint="eastAsia" w:ascii="方正小标宋_GBK" w:hAnsi="方正小标宋_GBK" w:eastAsia="方正小标宋_GBK" w:cs="方正小标宋_GBK"/>
          <w:bCs/>
          <w:sz w:val="72"/>
          <w:szCs w:val="21"/>
        </w:rPr>
      </w:pPr>
      <w:r>
        <w:rPr>
          <w:rFonts w:hint="eastAsia" w:ascii="方正小标宋_GBK" w:hAnsi="方正小标宋_GBK" w:eastAsia="方正小标宋_GBK" w:cs="方正小标宋_GBK"/>
          <w:bCs/>
          <w:sz w:val="72"/>
          <w:szCs w:val="21"/>
        </w:rPr>
        <w:t>响 应 文 件</w:t>
      </w:r>
    </w:p>
    <w:p w14:paraId="65BBC5EB">
      <w:pPr>
        <w:jc w:val="center"/>
        <w:rPr>
          <w:rFonts w:hint="eastAsia" w:ascii="宋体" w:hAnsi="宋体"/>
          <w:b/>
          <w:sz w:val="72"/>
          <w:szCs w:val="21"/>
        </w:rPr>
      </w:pPr>
    </w:p>
    <w:p w14:paraId="6FA4AA73">
      <w:pPr>
        <w:jc w:val="center"/>
        <w:rPr>
          <w:rFonts w:hint="eastAsia" w:ascii="宋体" w:hAnsi="宋体"/>
          <w:b/>
          <w:sz w:val="36"/>
          <w:szCs w:val="21"/>
        </w:rPr>
      </w:pPr>
    </w:p>
    <w:p w14:paraId="1B2BF511">
      <w:pPr>
        <w:jc w:val="center"/>
        <w:rPr>
          <w:rFonts w:hint="eastAsia" w:ascii="宋体" w:hAnsi="宋体"/>
          <w:b/>
          <w:sz w:val="36"/>
          <w:szCs w:val="21"/>
        </w:rPr>
      </w:pPr>
    </w:p>
    <w:p w14:paraId="00654740">
      <w:pPr>
        <w:jc w:val="center"/>
        <w:rPr>
          <w:rFonts w:hint="eastAsia" w:ascii="宋体" w:hAnsi="宋体"/>
          <w:b/>
          <w:sz w:val="36"/>
          <w:szCs w:val="21"/>
        </w:rPr>
      </w:pPr>
    </w:p>
    <w:p w14:paraId="486B0CF5">
      <w:pPr>
        <w:jc w:val="center"/>
        <w:rPr>
          <w:rFonts w:hint="eastAsia" w:ascii="宋体" w:hAnsi="宋体"/>
          <w:b/>
          <w:sz w:val="36"/>
          <w:szCs w:val="21"/>
        </w:rPr>
      </w:pPr>
    </w:p>
    <w:p w14:paraId="4DDD0160">
      <w:pPr>
        <w:jc w:val="center"/>
        <w:rPr>
          <w:rFonts w:hint="eastAsia" w:ascii="宋体" w:hAnsi="宋体"/>
          <w:b/>
          <w:sz w:val="36"/>
          <w:szCs w:val="21"/>
        </w:rPr>
      </w:pPr>
    </w:p>
    <w:p w14:paraId="328A9718">
      <w:pPr>
        <w:jc w:val="center"/>
        <w:rPr>
          <w:rFonts w:hint="eastAsia" w:ascii="宋体" w:hAnsi="宋体"/>
          <w:b/>
          <w:sz w:val="36"/>
          <w:szCs w:val="21"/>
        </w:rPr>
      </w:pPr>
    </w:p>
    <w:p w14:paraId="09D337AF">
      <w:pPr>
        <w:jc w:val="center"/>
        <w:rPr>
          <w:rFonts w:hint="eastAsia" w:ascii="宋体" w:hAnsi="宋体"/>
          <w:b/>
          <w:sz w:val="36"/>
          <w:szCs w:val="21"/>
        </w:rPr>
      </w:pPr>
    </w:p>
    <w:p w14:paraId="070BDE63">
      <w:pPr>
        <w:jc w:val="center"/>
        <w:rPr>
          <w:rFonts w:hint="eastAsia" w:ascii="宋体" w:hAnsi="宋体"/>
          <w:b/>
          <w:sz w:val="36"/>
          <w:szCs w:val="21"/>
        </w:rPr>
      </w:pPr>
    </w:p>
    <w:p w14:paraId="6D5F3D13">
      <w:pPr>
        <w:jc w:val="center"/>
        <w:rPr>
          <w:rFonts w:hint="eastAsia" w:ascii="宋体" w:hAnsi="宋体"/>
          <w:b/>
          <w:sz w:val="36"/>
          <w:szCs w:val="21"/>
        </w:rPr>
      </w:pPr>
    </w:p>
    <w:p w14:paraId="79B6FC2F">
      <w:pPr>
        <w:jc w:val="center"/>
        <w:rPr>
          <w:rFonts w:hint="eastAsia" w:ascii="宋体" w:hAnsi="宋体"/>
          <w:b/>
          <w:sz w:val="36"/>
          <w:szCs w:val="21"/>
        </w:rPr>
      </w:pPr>
    </w:p>
    <w:p w14:paraId="7BF581B2">
      <w:pPr>
        <w:jc w:val="center"/>
        <w:rPr>
          <w:rFonts w:hint="eastAsia" w:ascii="宋体" w:hAnsi="宋体"/>
          <w:b/>
          <w:sz w:val="36"/>
          <w:szCs w:val="21"/>
        </w:rPr>
      </w:pPr>
    </w:p>
    <w:p w14:paraId="147D75CA">
      <w:pPr>
        <w:jc w:val="center"/>
        <w:rPr>
          <w:rFonts w:hint="eastAsia" w:ascii="宋体" w:hAnsi="宋体"/>
          <w:b/>
          <w:sz w:val="36"/>
          <w:szCs w:val="21"/>
        </w:rPr>
      </w:pPr>
    </w:p>
    <w:p w14:paraId="2C1C7E0E">
      <w:pPr>
        <w:jc w:val="center"/>
        <w:rPr>
          <w:rFonts w:hint="eastAsia" w:ascii="宋体" w:hAnsi="宋体"/>
          <w:b/>
          <w:sz w:val="36"/>
          <w:szCs w:val="21"/>
        </w:rPr>
      </w:pPr>
    </w:p>
    <w:p w14:paraId="5C1CB75A">
      <w:pPr>
        <w:jc w:val="center"/>
        <w:rPr>
          <w:rFonts w:hint="eastAsia" w:ascii="宋体" w:hAnsi="宋体"/>
          <w:b/>
          <w:sz w:val="36"/>
          <w:szCs w:val="21"/>
        </w:rPr>
      </w:pPr>
    </w:p>
    <w:p w14:paraId="54B2D07C">
      <w:pPr>
        <w:ind w:firstLine="1260" w:firstLineChars="350"/>
        <w:rPr>
          <w:rFonts w:hint="eastAsia" w:ascii="宋体" w:hAnsi="宋体"/>
          <w:bCs/>
          <w:sz w:val="36"/>
          <w:szCs w:val="21"/>
        </w:rPr>
      </w:pPr>
      <w:r>
        <w:rPr>
          <w:rFonts w:hint="eastAsia" w:ascii="宋体" w:hAnsi="宋体"/>
          <w:bCs/>
          <w:sz w:val="36"/>
          <w:szCs w:val="21"/>
        </w:rPr>
        <w:t>项 目 名 称：</w:t>
      </w:r>
      <w:r>
        <w:rPr>
          <w:rFonts w:hint="eastAsia" w:ascii="宋体" w:hAnsi="宋体"/>
          <w:bCs/>
          <w:sz w:val="36"/>
          <w:szCs w:val="21"/>
          <w:u w:val="single"/>
        </w:rPr>
        <w:t xml:space="preserve">                  </w:t>
      </w:r>
    </w:p>
    <w:p w14:paraId="6AF50840">
      <w:pPr>
        <w:ind w:firstLine="1260" w:firstLineChars="350"/>
        <w:rPr>
          <w:rFonts w:hint="eastAsia" w:ascii="宋体" w:hAnsi="宋体"/>
          <w:bCs/>
          <w:sz w:val="36"/>
          <w:szCs w:val="21"/>
          <w:u w:val="single"/>
        </w:rPr>
      </w:pPr>
      <w:r>
        <w:rPr>
          <w:rFonts w:hint="eastAsia" w:ascii="宋体" w:hAnsi="宋体"/>
          <w:bCs/>
          <w:sz w:val="36"/>
          <w:szCs w:val="21"/>
        </w:rPr>
        <w:t>招 标 编 号：</w:t>
      </w:r>
      <w:r>
        <w:rPr>
          <w:rFonts w:hint="eastAsia" w:ascii="宋体" w:hAnsi="宋体"/>
          <w:bCs/>
          <w:sz w:val="36"/>
          <w:szCs w:val="21"/>
          <w:u w:val="single"/>
        </w:rPr>
        <w:t xml:space="preserve">                  </w:t>
      </w:r>
    </w:p>
    <w:p w14:paraId="554A6BF8">
      <w:pPr>
        <w:ind w:firstLine="1260" w:firstLineChars="350"/>
        <w:rPr>
          <w:rFonts w:hint="eastAsia" w:ascii="宋体" w:hAnsi="宋体" w:eastAsia="宋体"/>
          <w:bCs/>
          <w:sz w:val="36"/>
          <w:szCs w:val="21"/>
          <w:u w:val="single"/>
          <w:lang w:val="en-US" w:eastAsia="zh-CN"/>
        </w:rPr>
      </w:pPr>
      <w:r>
        <w:rPr>
          <w:rFonts w:hint="eastAsia" w:ascii="宋体" w:hAnsi="宋体"/>
          <w:bCs/>
          <w:sz w:val="36"/>
          <w:szCs w:val="21"/>
        </w:rPr>
        <w:t>供应商名称：</w:t>
      </w:r>
      <w:r>
        <w:rPr>
          <w:rFonts w:hint="eastAsia" w:ascii="宋体" w:hAnsi="宋体"/>
          <w:bCs/>
          <w:sz w:val="36"/>
          <w:szCs w:val="21"/>
          <w:u w:val="single"/>
        </w:rPr>
        <w:t>（加盖供应商公章）</w:t>
      </w:r>
      <w:r>
        <w:rPr>
          <w:rFonts w:hint="eastAsia" w:ascii="宋体" w:hAnsi="宋体"/>
          <w:bCs/>
          <w:sz w:val="36"/>
          <w:szCs w:val="21"/>
          <w:u w:val="single"/>
          <w:lang w:val="en-US" w:eastAsia="zh-CN"/>
        </w:rPr>
        <w:t xml:space="preserve"> </w:t>
      </w:r>
    </w:p>
    <w:p w14:paraId="231CF884">
      <w:pPr>
        <w:ind w:firstLine="1260" w:firstLineChars="350"/>
        <w:rPr>
          <w:rFonts w:hint="eastAsia" w:ascii="宋体" w:hAnsi="宋体"/>
          <w:bCs/>
          <w:sz w:val="36"/>
          <w:szCs w:val="21"/>
        </w:rPr>
      </w:pPr>
      <w:r>
        <w:rPr>
          <w:rFonts w:hint="eastAsia" w:ascii="宋体" w:hAnsi="宋体"/>
          <w:bCs/>
          <w:sz w:val="36"/>
          <w:szCs w:val="21"/>
        </w:rPr>
        <w:t>日      期 ：</w:t>
      </w:r>
      <w:r>
        <w:rPr>
          <w:rFonts w:hint="eastAsia" w:ascii="宋体" w:hAnsi="宋体"/>
          <w:bCs/>
          <w:sz w:val="36"/>
          <w:szCs w:val="21"/>
          <w:u w:val="single"/>
        </w:rPr>
        <w:t xml:space="preserve">                  </w:t>
      </w:r>
    </w:p>
    <w:p w14:paraId="29769740">
      <w:pPr>
        <w:spacing w:line="440" w:lineRule="exact"/>
        <w:jc w:val="center"/>
        <w:rPr>
          <w:rFonts w:hint="eastAsia" w:ascii="宋体" w:hAnsi="宋体"/>
          <w:b/>
          <w:bCs/>
          <w:sz w:val="32"/>
          <w:szCs w:val="32"/>
        </w:rPr>
      </w:pPr>
    </w:p>
    <w:p w14:paraId="763ED551">
      <w:pPr>
        <w:widowControl/>
        <w:spacing w:before="100" w:after="100" w:line="0" w:lineRule="atLeast"/>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lang w:val="en-US" w:eastAsia="zh-CN"/>
        </w:rPr>
        <w:t>响应</w:t>
      </w:r>
      <w:r>
        <w:rPr>
          <w:rFonts w:hint="eastAsia" w:ascii="方正小标宋_GBK" w:hAnsi="方正小标宋_GBK" w:eastAsia="方正小标宋_GBK" w:cs="方正小标宋_GBK"/>
          <w:sz w:val="32"/>
          <w:szCs w:val="32"/>
        </w:rPr>
        <w:t>文件目录</w:t>
      </w:r>
    </w:p>
    <w:p w14:paraId="638A8E11">
      <w:pPr>
        <w:spacing w:line="500" w:lineRule="exact"/>
        <w:ind w:firstLine="480" w:firstLineChars="200"/>
        <w:rPr>
          <w:rFonts w:hint="eastAsia" w:ascii="宋体" w:hAnsi="宋体" w:eastAsia="宋体"/>
          <w:bCs/>
          <w:sz w:val="24"/>
          <w:szCs w:val="21"/>
          <w:lang w:eastAsia="zh-CN"/>
        </w:rPr>
      </w:pPr>
      <w:r>
        <w:rPr>
          <w:rFonts w:hint="eastAsia" w:ascii="宋体" w:hAnsi="宋体"/>
          <w:bCs/>
          <w:sz w:val="24"/>
          <w:szCs w:val="21"/>
        </w:rPr>
        <w:t>一、法人或者其他组织的营业执照等证明文件，自然人的身份证明</w:t>
      </w:r>
      <w:r>
        <w:rPr>
          <w:rFonts w:hint="eastAsia" w:ascii="宋体" w:hAnsi="宋体"/>
          <w:bCs/>
          <w:sz w:val="24"/>
          <w:szCs w:val="21"/>
          <w:lang w:eastAsia="zh-CN"/>
        </w:rPr>
        <w:t>（</w:t>
      </w:r>
      <w:r>
        <w:rPr>
          <w:rFonts w:hint="eastAsia" w:ascii="宋体" w:hAnsi="宋体"/>
          <w:bCs/>
          <w:sz w:val="24"/>
          <w:szCs w:val="21"/>
          <w:lang w:val="en-US" w:eastAsia="zh-CN"/>
        </w:rPr>
        <w:t>复印件</w:t>
      </w:r>
      <w:r>
        <w:rPr>
          <w:rFonts w:hint="eastAsia" w:ascii="宋体" w:hAnsi="宋体"/>
          <w:bCs/>
          <w:sz w:val="24"/>
          <w:szCs w:val="21"/>
          <w:lang w:eastAsia="zh-CN"/>
        </w:rPr>
        <w:t>）</w:t>
      </w:r>
    </w:p>
    <w:p w14:paraId="4022410E">
      <w:pPr>
        <w:spacing w:line="500" w:lineRule="exact"/>
        <w:ind w:firstLine="480" w:firstLineChars="200"/>
        <w:rPr>
          <w:rFonts w:hint="eastAsia" w:ascii="宋体" w:hAnsi="宋体"/>
          <w:bCs/>
          <w:sz w:val="24"/>
          <w:szCs w:val="21"/>
        </w:rPr>
      </w:pPr>
      <w:r>
        <w:rPr>
          <w:rFonts w:hint="eastAsia" w:ascii="宋体" w:hAnsi="宋体"/>
          <w:bCs/>
          <w:sz w:val="24"/>
          <w:szCs w:val="21"/>
        </w:rPr>
        <w:t>二、上一年度的财务状况报表（至少提供资产负债表、利润表、现金流量表，供应商成立不满一年无需提供）</w:t>
      </w:r>
      <w:r>
        <w:rPr>
          <w:rFonts w:hint="eastAsia" w:ascii="宋体" w:hAnsi="宋体"/>
          <w:bCs/>
          <w:sz w:val="24"/>
          <w:szCs w:val="21"/>
          <w:lang w:eastAsia="zh-CN"/>
        </w:rPr>
        <w:t>（</w:t>
      </w:r>
      <w:r>
        <w:rPr>
          <w:rFonts w:hint="eastAsia" w:ascii="宋体" w:hAnsi="宋体"/>
          <w:bCs/>
          <w:sz w:val="24"/>
          <w:szCs w:val="21"/>
          <w:lang w:val="en-US" w:eastAsia="zh-CN"/>
        </w:rPr>
        <w:t>复印件</w:t>
      </w:r>
      <w:r>
        <w:rPr>
          <w:rFonts w:hint="eastAsia" w:ascii="宋体" w:hAnsi="宋体"/>
          <w:bCs/>
          <w:sz w:val="24"/>
          <w:szCs w:val="21"/>
          <w:lang w:eastAsia="zh-CN"/>
        </w:rPr>
        <w:t>）</w:t>
      </w:r>
    </w:p>
    <w:p w14:paraId="214B8A61">
      <w:pPr>
        <w:spacing w:line="500" w:lineRule="exact"/>
        <w:ind w:firstLine="480" w:firstLineChars="200"/>
        <w:rPr>
          <w:rFonts w:hint="eastAsia" w:ascii="宋体" w:hAnsi="宋体"/>
          <w:bCs/>
          <w:sz w:val="24"/>
          <w:szCs w:val="21"/>
        </w:rPr>
      </w:pPr>
      <w:r>
        <w:rPr>
          <w:rFonts w:hint="eastAsia" w:ascii="宋体" w:hAnsi="宋体"/>
          <w:bCs/>
          <w:sz w:val="24"/>
          <w:szCs w:val="21"/>
        </w:rPr>
        <w:t>三、具备履行合同所必需的设备和专业技术能力的书面声明</w:t>
      </w:r>
      <w:r>
        <w:rPr>
          <w:rFonts w:hint="eastAsia" w:ascii="宋体" w:hAnsi="宋体"/>
          <w:bCs/>
          <w:sz w:val="24"/>
          <w:szCs w:val="21"/>
          <w:lang w:eastAsia="zh-CN"/>
        </w:rPr>
        <w:t>（</w:t>
      </w:r>
      <w:r>
        <w:rPr>
          <w:rFonts w:hint="eastAsia" w:ascii="宋体" w:hAnsi="宋体"/>
          <w:bCs/>
          <w:sz w:val="24"/>
          <w:szCs w:val="21"/>
          <w:lang w:val="en-US" w:eastAsia="zh-CN"/>
        </w:rPr>
        <w:t>原件</w:t>
      </w:r>
      <w:r>
        <w:rPr>
          <w:rFonts w:hint="eastAsia" w:ascii="宋体" w:hAnsi="宋体"/>
          <w:bCs/>
          <w:sz w:val="24"/>
          <w:szCs w:val="21"/>
          <w:lang w:eastAsia="zh-CN"/>
        </w:rPr>
        <w:t>）</w:t>
      </w:r>
    </w:p>
    <w:p w14:paraId="6A087E2F">
      <w:pPr>
        <w:spacing w:line="500" w:lineRule="exact"/>
        <w:ind w:firstLine="480" w:firstLineChars="200"/>
        <w:rPr>
          <w:rFonts w:hint="eastAsia" w:ascii="宋体" w:hAnsi="宋体" w:eastAsia="宋体"/>
          <w:bCs/>
          <w:sz w:val="24"/>
          <w:szCs w:val="21"/>
          <w:lang w:eastAsia="zh-CN"/>
        </w:rPr>
      </w:pPr>
      <w:r>
        <w:rPr>
          <w:rFonts w:hint="eastAsia" w:ascii="宋体" w:hAnsi="宋体"/>
          <w:bCs/>
          <w:sz w:val="24"/>
          <w:szCs w:val="21"/>
        </w:rPr>
        <w:t>四、依法缴纳税收和社会保障资金的相关材料（提供提交</w:t>
      </w:r>
      <w:r>
        <w:rPr>
          <w:rFonts w:hint="eastAsia" w:ascii="宋体" w:hAnsi="宋体"/>
          <w:bCs/>
          <w:sz w:val="24"/>
          <w:szCs w:val="21"/>
          <w:lang w:val="en-US" w:eastAsia="zh-CN"/>
        </w:rPr>
        <w:t>响应</w:t>
      </w:r>
      <w:r>
        <w:rPr>
          <w:rFonts w:hint="eastAsia" w:ascii="宋体" w:hAnsi="宋体"/>
          <w:bCs/>
          <w:sz w:val="24"/>
          <w:szCs w:val="21"/>
        </w:rPr>
        <w:t>文件截止时间前一年内至少一个月依法缴纳税收及缴纳社会保障资金的证明材料。供应商依法享受缓缴、免缴税收、社会保障资金的提供证明材料）</w:t>
      </w:r>
      <w:r>
        <w:rPr>
          <w:rFonts w:hint="eastAsia" w:ascii="宋体" w:hAnsi="宋体"/>
          <w:bCs/>
          <w:sz w:val="24"/>
          <w:szCs w:val="21"/>
          <w:lang w:eastAsia="zh-CN"/>
        </w:rPr>
        <w:t>（</w:t>
      </w:r>
      <w:r>
        <w:rPr>
          <w:rFonts w:hint="eastAsia" w:ascii="宋体" w:hAnsi="宋体"/>
          <w:bCs/>
          <w:sz w:val="24"/>
          <w:szCs w:val="21"/>
          <w:lang w:val="en-US" w:eastAsia="zh-CN"/>
        </w:rPr>
        <w:t>复印件</w:t>
      </w:r>
      <w:r>
        <w:rPr>
          <w:rFonts w:hint="eastAsia" w:ascii="宋体" w:hAnsi="宋体"/>
          <w:bCs/>
          <w:sz w:val="24"/>
          <w:szCs w:val="21"/>
          <w:lang w:eastAsia="zh-CN"/>
        </w:rPr>
        <w:t>）</w:t>
      </w:r>
    </w:p>
    <w:p w14:paraId="62DDADD5">
      <w:pPr>
        <w:spacing w:line="500" w:lineRule="exact"/>
        <w:ind w:firstLine="480" w:firstLineChars="200"/>
        <w:rPr>
          <w:rFonts w:hint="eastAsia" w:ascii="宋体" w:hAnsi="宋体"/>
          <w:bCs/>
          <w:sz w:val="24"/>
          <w:szCs w:val="21"/>
        </w:rPr>
      </w:pPr>
      <w:r>
        <w:rPr>
          <w:rFonts w:hint="eastAsia" w:ascii="宋体" w:hAnsi="宋体"/>
          <w:bCs/>
          <w:sz w:val="24"/>
          <w:szCs w:val="21"/>
        </w:rPr>
        <w:t>五、参加政府采购活动前 3 年内在经营活动中没有重大违法记录的书面声明</w:t>
      </w:r>
      <w:r>
        <w:rPr>
          <w:rFonts w:hint="eastAsia" w:ascii="宋体" w:hAnsi="宋体"/>
          <w:bCs/>
          <w:sz w:val="24"/>
          <w:szCs w:val="21"/>
          <w:lang w:eastAsia="zh-CN"/>
        </w:rPr>
        <w:t>（</w:t>
      </w:r>
      <w:r>
        <w:rPr>
          <w:rFonts w:hint="eastAsia" w:ascii="宋体" w:hAnsi="宋体"/>
          <w:bCs/>
          <w:sz w:val="24"/>
          <w:szCs w:val="21"/>
          <w:lang w:val="en-US" w:eastAsia="zh-CN"/>
        </w:rPr>
        <w:t>原件</w:t>
      </w:r>
      <w:r>
        <w:rPr>
          <w:rFonts w:hint="eastAsia" w:ascii="宋体" w:hAnsi="宋体"/>
          <w:bCs/>
          <w:sz w:val="24"/>
          <w:szCs w:val="21"/>
          <w:lang w:eastAsia="zh-CN"/>
        </w:rPr>
        <w:t>）</w:t>
      </w:r>
    </w:p>
    <w:p w14:paraId="6D62BFA2">
      <w:pPr>
        <w:spacing w:line="500" w:lineRule="exact"/>
        <w:ind w:firstLine="480" w:firstLineChars="200"/>
        <w:rPr>
          <w:rFonts w:hint="eastAsia" w:ascii="宋体" w:hAnsi="宋体" w:eastAsia="宋体"/>
          <w:bCs/>
          <w:sz w:val="24"/>
          <w:szCs w:val="21"/>
          <w:lang w:eastAsia="zh-CN"/>
        </w:rPr>
      </w:pPr>
      <w:r>
        <w:rPr>
          <w:rFonts w:hint="eastAsia" w:ascii="宋体" w:hAnsi="宋体"/>
          <w:bCs/>
          <w:sz w:val="24"/>
          <w:szCs w:val="21"/>
        </w:rPr>
        <w:t>六、经监管行政主管部门批准的中国境内保险公司，具有经营保险业务许可证和营业执照，具备经营本次采购的意外伤害保险险种承保理赔经营范围的县（市、区）及以上机构</w:t>
      </w:r>
      <w:r>
        <w:rPr>
          <w:rFonts w:hint="eastAsia" w:ascii="宋体" w:hAnsi="宋体"/>
          <w:bCs/>
          <w:sz w:val="24"/>
          <w:szCs w:val="21"/>
          <w:lang w:eastAsia="zh-CN"/>
        </w:rPr>
        <w:t>（</w:t>
      </w:r>
      <w:r>
        <w:rPr>
          <w:rFonts w:hint="eastAsia" w:ascii="宋体" w:hAnsi="宋体"/>
          <w:bCs/>
          <w:sz w:val="24"/>
          <w:szCs w:val="21"/>
          <w:lang w:val="en-US" w:eastAsia="zh-CN"/>
        </w:rPr>
        <w:t>复印件</w:t>
      </w:r>
      <w:r>
        <w:rPr>
          <w:rFonts w:hint="eastAsia" w:ascii="宋体" w:hAnsi="宋体"/>
          <w:bCs/>
          <w:sz w:val="24"/>
          <w:szCs w:val="21"/>
          <w:lang w:eastAsia="zh-CN"/>
        </w:rPr>
        <w:t>）</w:t>
      </w:r>
    </w:p>
    <w:p w14:paraId="005EA257">
      <w:pPr>
        <w:spacing w:line="500" w:lineRule="exact"/>
        <w:ind w:firstLine="480" w:firstLineChars="200"/>
        <w:rPr>
          <w:rFonts w:hint="eastAsia" w:ascii="宋体" w:hAnsi="宋体"/>
          <w:bCs/>
          <w:sz w:val="24"/>
          <w:szCs w:val="21"/>
        </w:rPr>
      </w:pPr>
      <w:r>
        <w:rPr>
          <w:rFonts w:hint="eastAsia" w:ascii="宋体" w:hAnsi="宋体"/>
          <w:bCs/>
          <w:sz w:val="24"/>
          <w:szCs w:val="21"/>
        </w:rPr>
        <w:t>七、法人授权书</w:t>
      </w:r>
    </w:p>
    <w:p w14:paraId="49869A14">
      <w:pPr>
        <w:spacing w:line="500" w:lineRule="exact"/>
        <w:ind w:firstLine="480" w:firstLineChars="200"/>
        <w:rPr>
          <w:rFonts w:hint="eastAsia" w:ascii="宋体" w:hAnsi="宋体"/>
          <w:bCs/>
          <w:sz w:val="24"/>
          <w:szCs w:val="21"/>
        </w:rPr>
      </w:pPr>
      <w:r>
        <w:rPr>
          <w:rFonts w:hint="eastAsia" w:ascii="宋体" w:hAnsi="宋体"/>
          <w:bCs/>
          <w:sz w:val="24"/>
          <w:szCs w:val="21"/>
        </w:rPr>
        <w:t>八、磋商响应函</w:t>
      </w:r>
    </w:p>
    <w:p w14:paraId="4BD1CD21">
      <w:pPr>
        <w:spacing w:line="500" w:lineRule="exact"/>
        <w:ind w:firstLine="480" w:firstLineChars="200"/>
        <w:rPr>
          <w:rFonts w:hint="eastAsia" w:ascii="宋体" w:hAnsi="宋体"/>
          <w:bCs/>
          <w:sz w:val="24"/>
          <w:szCs w:val="21"/>
        </w:rPr>
      </w:pPr>
      <w:r>
        <w:rPr>
          <w:rFonts w:hint="eastAsia" w:ascii="宋体" w:hAnsi="宋体"/>
          <w:bCs/>
          <w:sz w:val="24"/>
          <w:szCs w:val="21"/>
        </w:rPr>
        <w:t>九、中小微企业声明函</w:t>
      </w:r>
    </w:p>
    <w:p w14:paraId="4AB74760">
      <w:pPr>
        <w:spacing w:line="500" w:lineRule="exact"/>
        <w:ind w:firstLine="480" w:firstLineChars="200"/>
        <w:rPr>
          <w:rFonts w:hint="eastAsia" w:ascii="宋体" w:hAnsi="宋体"/>
          <w:bCs/>
          <w:sz w:val="24"/>
          <w:szCs w:val="21"/>
        </w:rPr>
      </w:pPr>
      <w:r>
        <w:rPr>
          <w:rFonts w:hint="eastAsia" w:ascii="宋体" w:hAnsi="宋体"/>
          <w:bCs/>
          <w:sz w:val="24"/>
          <w:szCs w:val="21"/>
        </w:rPr>
        <w:t>十、残疾人福利性单位声明函</w:t>
      </w:r>
    </w:p>
    <w:p w14:paraId="743A064A">
      <w:pPr>
        <w:spacing w:line="500" w:lineRule="exact"/>
        <w:ind w:firstLine="480" w:firstLineChars="200"/>
        <w:rPr>
          <w:rFonts w:hint="eastAsia" w:ascii="宋体" w:hAnsi="宋体"/>
          <w:bCs/>
          <w:sz w:val="24"/>
          <w:szCs w:val="21"/>
        </w:rPr>
      </w:pPr>
      <w:r>
        <w:rPr>
          <w:rFonts w:hint="eastAsia" w:ascii="宋体" w:hAnsi="宋体"/>
          <w:bCs/>
          <w:sz w:val="24"/>
          <w:szCs w:val="21"/>
        </w:rPr>
        <w:t>十一、分项报价表</w:t>
      </w:r>
    </w:p>
    <w:p w14:paraId="71102B9B">
      <w:pPr>
        <w:spacing w:line="500" w:lineRule="exact"/>
        <w:ind w:firstLine="480" w:firstLineChars="200"/>
        <w:rPr>
          <w:rFonts w:hint="eastAsia" w:ascii="宋体" w:hAnsi="宋体"/>
          <w:bCs/>
          <w:sz w:val="24"/>
          <w:szCs w:val="21"/>
        </w:rPr>
      </w:pPr>
      <w:r>
        <w:rPr>
          <w:rFonts w:hint="eastAsia" w:ascii="宋体" w:hAnsi="宋体"/>
          <w:bCs/>
          <w:sz w:val="24"/>
          <w:szCs w:val="21"/>
        </w:rPr>
        <w:t>十二、技术要求响应及偏离表</w:t>
      </w:r>
    </w:p>
    <w:p w14:paraId="1465DAB6">
      <w:pPr>
        <w:spacing w:line="500" w:lineRule="exact"/>
        <w:ind w:firstLine="480" w:firstLineChars="200"/>
        <w:rPr>
          <w:rFonts w:hint="eastAsia" w:ascii="宋体" w:hAnsi="宋体"/>
          <w:bCs/>
          <w:sz w:val="24"/>
          <w:szCs w:val="21"/>
        </w:rPr>
      </w:pPr>
      <w:r>
        <w:rPr>
          <w:rFonts w:hint="eastAsia" w:ascii="宋体" w:hAnsi="宋体"/>
          <w:bCs/>
          <w:sz w:val="24"/>
          <w:szCs w:val="21"/>
        </w:rPr>
        <w:t>十三、商务要求响应及偏离表</w:t>
      </w:r>
    </w:p>
    <w:p w14:paraId="478889DA">
      <w:pPr>
        <w:spacing w:line="500" w:lineRule="exact"/>
        <w:ind w:firstLine="480" w:firstLineChars="200"/>
        <w:rPr>
          <w:rFonts w:hint="eastAsia" w:ascii="宋体" w:hAnsi="宋体"/>
          <w:bCs/>
          <w:sz w:val="24"/>
          <w:szCs w:val="21"/>
        </w:rPr>
      </w:pPr>
      <w:r>
        <w:rPr>
          <w:rFonts w:hint="eastAsia" w:ascii="宋体" w:hAnsi="宋体"/>
          <w:bCs/>
          <w:sz w:val="24"/>
          <w:szCs w:val="21"/>
        </w:rPr>
        <w:t>十四、技术方案</w:t>
      </w:r>
    </w:p>
    <w:p w14:paraId="5C1D404B">
      <w:pPr>
        <w:rPr>
          <w:szCs w:val="21"/>
        </w:rPr>
      </w:pPr>
    </w:p>
    <w:p w14:paraId="69385DC0">
      <w:pPr>
        <w:spacing w:line="500" w:lineRule="exact"/>
        <w:jc w:val="center"/>
        <w:rPr>
          <w:rFonts w:hint="eastAsia" w:ascii="方正小标宋_GBK" w:hAnsi="方正小标宋_GBK" w:eastAsia="方正小标宋_GBK" w:cs="方正小标宋_GBK"/>
          <w:sz w:val="32"/>
          <w:szCs w:val="32"/>
        </w:rPr>
      </w:pPr>
    </w:p>
    <w:p w14:paraId="32718D28">
      <w:pPr>
        <w:spacing w:line="500" w:lineRule="exact"/>
        <w:jc w:val="center"/>
        <w:rPr>
          <w:rFonts w:hint="eastAsia" w:ascii="方正小标宋_GBK" w:hAnsi="方正小标宋_GBK" w:eastAsia="方正小标宋_GBK" w:cs="方正小标宋_GBK"/>
          <w:sz w:val="32"/>
          <w:szCs w:val="32"/>
        </w:rPr>
      </w:pPr>
    </w:p>
    <w:p w14:paraId="4940FB6B">
      <w:pPr>
        <w:spacing w:line="500" w:lineRule="exact"/>
        <w:jc w:val="center"/>
        <w:rPr>
          <w:rFonts w:hint="eastAsia" w:ascii="方正小标宋_GBK" w:hAnsi="方正小标宋_GBK" w:eastAsia="方正小标宋_GBK" w:cs="方正小标宋_GBK"/>
          <w:sz w:val="32"/>
          <w:szCs w:val="32"/>
        </w:rPr>
      </w:pPr>
    </w:p>
    <w:p w14:paraId="5CFA0113">
      <w:pPr>
        <w:spacing w:line="500" w:lineRule="exact"/>
        <w:jc w:val="center"/>
        <w:rPr>
          <w:rFonts w:hint="eastAsia" w:ascii="方正小标宋_GBK" w:hAnsi="方正小标宋_GBK" w:eastAsia="方正小标宋_GBK" w:cs="方正小标宋_GBK"/>
          <w:sz w:val="32"/>
          <w:szCs w:val="32"/>
        </w:rPr>
      </w:pPr>
    </w:p>
    <w:p w14:paraId="7E08217F">
      <w:pPr>
        <w:spacing w:line="500" w:lineRule="exact"/>
        <w:jc w:val="center"/>
        <w:rPr>
          <w:rFonts w:hint="eastAsia" w:ascii="方正小标宋_GBK" w:hAnsi="方正小标宋_GBK" w:eastAsia="方正小标宋_GBK" w:cs="方正小标宋_GBK"/>
          <w:sz w:val="32"/>
          <w:szCs w:val="32"/>
        </w:rPr>
      </w:pPr>
    </w:p>
    <w:p w14:paraId="09AB00BD">
      <w:pPr>
        <w:rPr>
          <w:rFonts w:hint="eastAsia" w:ascii="方正小标宋_GBK" w:hAnsi="方正小标宋_GBK" w:eastAsia="方正小标宋_GBK" w:cs="方正小标宋_GBK"/>
          <w:sz w:val="32"/>
          <w:szCs w:val="32"/>
        </w:rPr>
      </w:pPr>
    </w:p>
    <w:p w14:paraId="717E50EE">
      <w:pPr>
        <w:snapToGrid w:val="0"/>
        <w:spacing w:before="50" w:after="50" w:line="500" w:lineRule="exact"/>
        <w:jc w:val="center"/>
        <w:rPr>
          <w:rFonts w:hint="eastAsia" w:ascii="宋体" w:hAnsi="宋体" w:eastAsia="仿宋_GB2312"/>
          <w:sz w:val="24"/>
          <w:szCs w:val="20"/>
        </w:rPr>
      </w:pPr>
      <w:r>
        <w:rPr>
          <w:rFonts w:hint="eastAsia" w:ascii="方正小标宋_GBK" w:hAnsi="方正小标宋_GBK" w:eastAsia="方正小标宋_GBK" w:cs="方正小标宋_GBK"/>
          <w:sz w:val="32"/>
          <w:szCs w:val="32"/>
        </w:rPr>
        <w:t>一、法人或者其他组织的营业执照等证明文件，自然人的身份证明</w:t>
      </w:r>
    </w:p>
    <w:p w14:paraId="15F3ADC7">
      <w:pPr>
        <w:rPr>
          <w:szCs w:val="21"/>
        </w:rPr>
      </w:pPr>
    </w:p>
    <w:p w14:paraId="405E73C0">
      <w:pPr>
        <w:rPr>
          <w:szCs w:val="21"/>
        </w:rPr>
      </w:pPr>
    </w:p>
    <w:p w14:paraId="028B5908">
      <w:pPr>
        <w:rPr>
          <w:szCs w:val="21"/>
        </w:rPr>
      </w:pPr>
    </w:p>
    <w:p w14:paraId="36E337F0">
      <w:pPr>
        <w:rPr>
          <w:szCs w:val="21"/>
        </w:rPr>
      </w:pPr>
    </w:p>
    <w:p w14:paraId="45E5B63A">
      <w:pPr>
        <w:rPr>
          <w:szCs w:val="21"/>
        </w:rPr>
      </w:pPr>
    </w:p>
    <w:p w14:paraId="188C96DB">
      <w:pPr>
        <w:spacing w:line="260" w:lineRule="exact"/>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Cs w:val="21"/>
        </w:rPr>
        <w:br w:type="page"/>
      </w:r>
    </w:p>
    <w:p w14:paraId="6484037B">
      <w:pPr>
        <w:widowControl/>
        <w:spacing w:before="100" w:after="100"/>
        <w:jc w:val="center"/>
        <w:rPr>
          <w:rFonts w:hint="eastAsia" w:ascii="宋体" w:hAnsi="宋体" w:eastAsia="黑体" w:cs="宋体"/>
          <w:kern w:val="0"/>
          <w:sz w:val="24"/>
        </w:rPr>
      </w:pPr>
      <w:r>
        <w:rPr>
          <w:rFonts w:hint="eastAsia" w:ascii="方正小标宋_GBK" w:hAnsi="方正小标宋_GBK" w:eastAsia="方正小标宋_GBK" w:cs="方正小标宋_GBK"/>
          <w:sz w:val="32"/>
          <w:szCs w:val="32"/>
        </w:rPr>
        <w:t>二、上一年度的财务状况报表</w:t>
      </w:r>
    </w:p>
    <w:p w14:paraId="3786812B">
      <w:pPr>
        <w:widowControl/>
        <w:spacing w:before="100" w:after="100"/>
        <w:jc w:val="center"/>
        <w:rPr>
          <w:rFonts w:hint="eastAsia" w:ascii="宋体" w:hAnsi="宋体" w:cs="宋体"/>
          <w:kern w:val="0"/>
          <w:szCs w:val="21"/>
        </w:rPr>
      </w:pPr>
      <w:r>
        <w:rPr>
          <w:rFonts w:hint="eastAsia"/>
          <w:bCs/>
          <w:kern w:val="0"/>
          <w:sz w:val="24"/>
        </w:rPr>
        <w:t>（至少提供资产负债表、利润表、现金流量表，供应商成立不满一年无需提供）</w:t>
      </w:r>
    </w:p>
    <w:p w14:paraId="3E160F49">
      <w:pPr>
        <w:spacing w:line="260" w:lineRule="exact"/>
        <w:rPr>
          <w:rFonts w:hint="eastAsia" w:ascii="方正小标宋_GBK" w:hAnsi="方正小标宋_GBK" w:eastAsia="方正小标宋_GBK" w:cs="方正小标宋_GBK"/>
          <w:sz w:val="32"/>
          <w:szCs w:val="32"/>
        </w:rPr>
      </w:pPr>
      <w:r>
        <w:rPr>
          <w:rFonts w:hint="eastAsia"/>
          <w:szCs w:val="21"/>
        </w:rPr>
        <w:br w:type="page"/>
      </w:r>
    </w:p>
    <w:p w14:paraId="6F5533FD">
      <w:pPr>
        <w:jc w:val="center"/>
        <w:rPr>
          <w:rFonts w:hint="eastAsia" w:ascii="方正小标宋_GBK" w:hAnsi="方正小标宋_GBK" w:eastAsia="方正小标宋_GBK" w:cs="方正小标宋_GBK"/>
          <w:sz w:val="40"/>
          <w:szCs w:val="40"/>
        </w:rPr>
      </w:pPr>
      <w:r>
        <w:rPr>
          <w:rFonts w:hint="eastAsia" w:ascii="方正小标宋_GBK" w:hAnsi="方正小标宋_GBK" w:eastAsia="方正小标宋_GBK" w:cs="方正小标宋_GBK"/>
          <w:sz w:val="32"/>
          <w:szCs w:val="32"/>
        </w:rPr>
        <w:t>三、具备履行合同所必需的设备和专业技术能力的书面声明</w:t>
      </w:r>
    </w:p>
    <w:p w14:paraId="32B87443">
      <w:pPr>
        <w:rPr>
          <w:szCs w:val="21"/>
        </w:rPr>
      </w:pPr>
    </w:p>
    <w:p w14:paraId="6950F1D9">
      <w:pPr>
        <w:spacing w:line="500" w:lineRule="exact"/>
        <w:ind w:firstLine="493"/>
        <w:rPr>
          <w:rFonts w:ascii="宋体"/>
          <w:bCs/>
          <w:sz w:val="24"/>
          <w:szCs w:val="21"/>
        </w:rPr>
      </w:pPr>
      <w:r>
        <w:rPr>
          <w:rFonts w:hint="eastAsia" w:ascii="宋体" w:hAnsi="宋体"/>
          <w:bCs/>
          <w:sz w:val="24"/>
          <w:szCs w:val="21"/>
        </w:rPr>
        <w:t>我公司郑重声明：我公司具备履行本项采购合同所必需的设备和专业技术能力，为履行本项采购合同我公司具备如下主要设备和主要专业技术能力：</w:t>
      </w:r>
    </w:p>
    <w:p w14:paraId="615B04EC">
      <w:pPr>
        <w:spacing w:line="500" w:lineRule="exact"/>
        <w:ind w:firstLine="493"/>
        <w:rPr>
          <w:rFonts w:ascii="宋体"/>
          <w:bCs/>
          <w:sz w:val="24"/>
          <w:szCs w:val="21"/>
        </w:rPr>
      </w:pPr>
      <w:r>
        <w:rPr>
          <w:rFonts w:hint="eastAsia" w:ascii="宋体" w:hAnsi="宋体"/>
          <w:bCs/>
          <w:sz w:val="24"/>
          <w:szCs w:val="21"/>
        </w:rPr>
        <w:t>主要设备有：</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w:t>
      </w:r>
    </w:p>
    <w:p w14:paraId="7BD8AB92">
      <w:pPr>
        <w:spacing w:line="500" w:lineRule="exact"/>
        <w:ind w:firstLine="493"/>
        <w:rPr>
          <w:rFonts w:hint="eastAsia" w:ascii="宋体" w:hAnsi="宋体"/>
          <w:bCs/>
          <w:sz w:val="24"/>
          <w:szCs w:val="21"/>
        </w:rPr>
      </w:pPr>
      <w:r>
        <w:rPr>
          <w:rFonts w:hint="eastAsia" w:ascii="宋体" w:hAnsi="宋体"/>
          <w:bCs/>
          <w:sz w:val="24"/>
          <w:szCs w:val="21"/>
        </w:rPr>
        <w:t>主要专业技术能力有：</w:t>
      </w:r>
      <w:r>
        <w:rPr>
          <w:rFonts w:ascii="宋体" w:hAnsi="宋体"/>
          <w:bCs/>
          <w:sz w:val="24"/>
          <w:szCs w:val="21"/>
          <w:u w:val="single"/>
        </w:rPr>
        <w:t xml:space="preserve">  </w:t>
      </w:r>
      <w:r>
        <w:rPr>
          <w:rFonts w:hint="eastAsia" w:ascii="宋体" w:hAnsi="宋体"/>
          <w:bCs/>
          <w:sz w:val="24"/>
          <w:szCs w:val="21"/>
          <w:u w:val="single"/>
        </w:rPr>
        <w:t xml:space="preserve">     </w:t>
      </w:r>
      <w:r>
        <w:rPr>
          <w:rFonts w:ascii="宋体" w:hAnsi="宋体"/>
          <w:bCs/>
          <w:sz w:val="24"/>
          <w:szCs w:val="21"/>
          <w:u w:val="single"/>
        </w:rPr>
        <w:t xml:space="preserve"> </w:t>
      </w:r>
      <w:r>
        <w:rPr>
          <w:rFonts w:hint="eastAsia" w:ascii="宋体" w:hAnsi="宋体"/>
          <w:bCs/>
          <w:sz w:val="24"/>
          <w:szCs w:val="21"/>
        </w:rPr>
        <w:t>。</w:t>
      </w:r>
    </w:p>
    <w:p w14:paraId="423AF813">
      <w:pPr>
        <w:spacing w:line="360" w:lineRule="auto"/>
        <w:ind w:firstLine="420" w:firstLineChars="200"/>
        <w:rPr>
          <w:rFonts w:hint="eastAsia" w:ascii="宋体" w:hAnsi="宋体"/>
          <w:szCs w:val="20"/>
        </w:rPr>
      </w:pPr>
    </w:p>
    <w:p w14:paraId="6B4BCA70">
      <w:pPr>
        <w:spacing w:line="360" w:lineRule="auto"/>
        <w:ind w:firstLine="420" w:firstLineChars="200"/>
        <w:rPr>
          <w:rFonts w:hint="eastAsia" w:ascii="宋体" w:hAnsi="宋体"/>
          <w:szCs w:val="20"/>
        </w:rPr>
      </w:pPr>
    </w:p>
    <w:p w14:paraId="55A22D36">
      <w:pPr>
        <w:spacing w:line="360" w:lineRule="auto"/>
        <w:ind w:firstLine="420" w:firstLineChars="200"/>
        <w:rPr>
          <w:rFonts w:hint="eastAsia" w:ascii="宋体" w:hAnsi="宋体"/>
          <w:szCs w:val="20"/>
        </w:rPr>
      </w:pPr>
    </w:p>
    <w:p w14:paraId="49AD5AA4">
      <w:pPr>
        <w:spacing w:line="500" w:lineRule="exact"/>
        <w:jc w:val="center"/>
        <w:rPr>
          <w:rFonts w:ascii="宋体"/>
          <w:bCs/>
          <w:sz w:val="24"/>
          <w:szCs w:val="21"/>
        </w:rPr>
      </w:pPr>
      <w:r>
        <w:rPr>
          <w:rFonts w:hint="eastAsia" w:ascii="宋体" w:hAnsi="宋体"/>
          <w:bCs/>
          <w:sz w:val="24"/>
          <w:szCs w:val="21"/>
        </w:rPr>
        <w:t xml:space="preserve">                            </w:t>
      </w:r>
      <w:r>
        <w:rPr>
          <w:rFonts w:ascii="宋体" w:hAnsi="宋体"/>
          <w:bCs/>
          <w:sz w:val="24"/>
          <w:szCs w:val="21"/>
        </w:rPr>
        <w:t xml:space="preserve"> </w:t>
      </w:r>
      <w:r>
        <w:rPr>
          <w:rFonts w:hint="eastAsia" w:ascii="宋体" w:hAnsi="宋体"/>
          <w:bCs/>
          <w:sz w:val="24"/>
          <w:szCs w:val="21"/>
        </w:rPr>
        <w:t>供应商名称（公章）：</w:t>
      </w:r>
    </w:p>
    <w:p w14:paraId="1A7B203E">
      <w:pPr>
        <w:spacing w:line="500" w:lineRule="exact"/>
        <w:rPr>
          <w:rFonts w:ascii="宋体"/>
          <w:bCs/>
          <w:sz w:val="24"/>
          <w:szCs w:val="21"/>
        </w:rPr>
      </w:pPr>
      <w:r>
        <w:rPr>
          <w:rFonts w:ascii="宋体" w:hAnsi="宋体"/>
          <w:bCs/>
          <w:sz w:val="24"/>
          <w:szCs w:val="21"/>
        </w:rPr>
        <w:t xml:space="preserve">                                   </w:t>
      </w:r>
      <w:r>
        <w:rPr>
          <w:szCs w:val="21"/>
        </w:rPr>
        <w:t xml:space="preserve">  </w:t>
      </w:r>
      <w:r>
        <w:rPr>
          <w:rFonts w:hint="eastAsia"/>
          <w:szCs w:val="21"/>
        </w:rPr>
        <w:t xml:space="preserve">   </w:t>
      </w:r>
      <w:r>
        <w:rPr>
          <w:rFonts w:hint="eastAsia" w:ascii="宋体" w:hAnsi="宋体"/>
          <w:bCs/>
          <w:sz w:val="24"/>
          <w:szCs w:val="21"/>
        </w:rPr>
        <w:t>日期：</w:t>
      </w:r>
      <w:r>
        <w:rPr>
          <w:rFonts w:ascii="宋体" w:hAnsi="宋体"/>
          <w:bCs/>
          <w:sz w:val="24"/>
          <w:szCs w:val="21"/>
          <w:u w:val="single"/>
        </w:rPr>
        <w:t xml:space="preserve">      </w:t>
      </w:r>
      <w:r>
        <w:rPr>
          <w:rFonts w:hint="eastAsia" w:ascii="宋体" w:hAnsi="宋体"/>
          <w:bCs/>
          <w:sz w:val="24"/>
          <w:szCs w:val="21"/>
        </w:rPr>
        <w:t>年</w:t>
      </w:r>
      <w:r>
        <w:rPr>
          <w:rFonts w:ascii="宋体" w:hAnsi="宋体"/>
          <w:bCs/>
          <w:sz w:val="24"/>
          <w:szCs w:val="21"/>
          <w:u w:val="single"/>
        </w:rPr>
        <w:t xml:space="preserve">    </w:t>
      </w:r>
      <w:r>
        <w:rPr>
          <w:rFonts w:hint="eastAsia" w:ascii="宋体" w:hAnsi="宋体"/>
          <w:bCs/>
          <w:sz w:val="24"/>
          <w:szCs w:val="21"/>
        </w:rPr>
        <w:t>月</w:t>
      </w:r>
      <w:r>
        <w:rPr>
          <w:rFonts w:ascii="宋体" w:hAnsi="宋体"/>
          <w:bCs/>
          <w:sz w:val="24"/>
          <w:szCs w:val="21"/>
          <w:u w:val="single"/>
        </w:rPr>
        <w:t xml:space="preserve">    </w:t>
      </w:r>
      <w:r>
        <w:rPr>
          <w:rFonts w:hint="eastAsia" w:ascii="宋体" w:hAnsi="宋体"/>
          <w:bCs/>
          <w:sz w:val="24"/>
          <w:szCs w:val="21"/>
        </w:rPr>
        <w:t>日</w:t>
      </w:r>
    </w:p>
    <w:p w14:paraId="0090BC20">
      <w:pPr>
        <w:spacing w:line="260" w:lineRule="exact"/>
        <w:rPr>
          <w:rFonts w:hint="eastAsia" w:ascii="方正小标宋_GBK" w:hAnsi="方正小标宋_GBK" w:eastAsia="方正小标宋_GBK" w:cs="方正小标宋_GBK"/>
          <w:sz w:val="32"/>
          <w:szCs w:val="32"/>
        </w:rPr>
      </w:pPr>
      <w:r>
        <w:rPr>
          <w:szCs w:val="21"/>
        </w:rPr>
        <w:br w:type="page"/>
      </w:r>
    </w:p>
    <w:p w14:paraId="4B8DC3AF">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四、依法缴纳税收和社会保障资金的相关材料</w:t>
      </w:r>
    </w:p>
    <w:p w14:paraId="1898E2ED">
      <w:pPr>
        <w:widowControl/>
        <w:spacing w:before="100" w:after="100" w:line="500" w:lineRule="exact"/>
        <w:ind w:firstLine="480"/>
        <w:jc w:val="left"/>
        <w:rPr>
          <w:rFonts w:hint="eastAsia" w:ascii="宋体" w:hAnsi="宋体" w:cs="宋体"/>
          <w:kern w:val="0"/>
          <w:sz w:val="24"/>
        </w:rPr>
      </w:pPr>
      <w:r>
        <w:rPr>
          <w:rFonts w:hint="eastAsia" w:ascii="宋体" w:hAnsi="宋体" w:cs="宋体"/>
          <w:kern w:val="0"/>
          <w:sz w:val="24"/>
        </w:rPr>
        <w:t>提供提交</w:t>
      </w:r>
      <w:r>
        <w:rPr>
          <w:rFonts w:hint="eastAsia" w:ascii="宋体" w:hAnsi="宋体" w:cs="宋体"/>
          <w:kern w:val="0"/>
          <w:sz w:val="24"/>
          <w:lang w:val="en-US" w:eastAsia="zh-CN"/>
        </w:rPr>
        <w:t>响应</w:t>
      </w:r>
      <w:r>
        <w:rPr>
          <w:rFonts w:hint="eastAsia" w:ascii="宋体" w:hAnsi="宋体" w:cs="宋体"/>
          <w:kern w:val="0"/>
          <w:sz w:val="24"/>
        </w:rPr>
        <w:t>文件截止时间前一年内至少一个月依法缴纳税收及缴纳社会保障资金的证明材料。供应商依法享受缓缴、免缴税收、社会保障资金的提供证明材料。</w:t>
      </w:r>
    </w:p>
    <w:p w14:paraId="3C464E94">
      <w:pPr>
        <w:keepNext/>
        <w:keepLines/>
        <w:spacing w:before="260" w:after="260" w:line="500" w:lineRule="exact"/>
        <w:jc w:val="center"/>
        <w:outlineLvl w:val="2"/>
        <w:rPr>
          <w:rFonts w:hint="eastAsia" w:ascii="方正小标宋_GBK" w:hAnsi="方正小标宋_GBK" w:eastAsia="方正小标宋_GBK" w:cs="方正小标宋_GBK"/>
          <w:sz w:val="32"/>
          <w:szCs w:val="32"/>
        </w:rPr>
      </w:pPr>
    </w:p>
    <w:p w14:paraId="70414B3F">
      <w:pPr>
        <w:spacing w:line="500" w:lineRule="exact"/>
        <w:jc w:val="center"/>
        <w:rPr>
          <w:rFonts w:ascii="宋体"/>
          <w:bCs/>
          <w:sz w:val="24"/>
          <w:szCs w:val="21"/>
        </w:rPr>
      </w:pPr>
      <w:r>
        <w:rPr>
          <w:rFonts w:hint="eastAsia" w:ascii="宋体" w:hAnsi="宋体"/>
          <w:bCs/>
          <w:sz w:val="24"/>
          <w:szCs w:val="21"/>
        </w:rPr>
        <w:t xml:space="preserve">                        </w:t>
      </w:r>
      <w:r>
        <w:rPr>
          <w:rFonts w:ascii="宋体" w:hAnsi="宋体"/>
          <w:bCs/>
          <w:sz w:val="24"/>
          <w:szCs w:val="21"/>
        </w:rPr>
        <w:t xml:space="preserve"> </w:t>
      </w:r>
      <w:r>
        <w:rPr>
          <w:rFonts w:hint="eastAsia" w:ascii="宋体" w:hAnsi="宋体"/>
          <w:bCs/>
          <w:sz w:val="24"/>
          <w:szCs w:val="21"/>
        </w:rPr>
        <w:t>供应商名称（公章）：</w:t>
      </w:r>
    </w:p>
    <w:p w14:paraId="13F094AB">
      <w:pPr>
        <w:spacing w:line="500" w:lineRule="exact"/>
        <w:rPr>
          <w:rFonts w:ascii="宋体"/>
          <w:bCs/>
          <w:sz w:val="24"/>
          <w:szCs w:val="21"/>
        </w:rPr>
      </w:pPr>
      <w:r>
        <w:rPr>
          <w:rFonts w:ascii="宋体" w:hAnsi="宋体"/>
          <w:bCs/>
          <w:sz w:val="24"/>
          <w:szCs w:val="21"/>
        </w:rPr>
        <w:t xml:space="preserve">                                   </w:t>
      </w:r>
      <w:r>
        <w:rPr>
          <w:szCs w:val="21"/>
        </w:rPr>
        <w:t xml:space="preserve">  </w:t>
      </w:r>
      <w:r>
        <w:rPr>
          <w:rFonts w:hint="eastAsia"/>
          <w:szCs w:val="21"/>
        </w:rPr>
        <w:t xml:space="preserve">   </w:t>
      </w:r>
      <w:r>
        <w:rPr>
          <w:rFonts w:hint="eastAsia" w:ascii="宋体" w:hAnsi="宋体"/>
          <w:bCs/>
          <w:sz w:val="24"/>
          <w:szCs w:val="21"/>
        </w:rPr>
        <w:t>日期：</w:t>
      </w:r>
      <w:r>
        <w:rPr>
          <w:rFonts w:ascii="宋体" w:hAnsi="宋体"/>
          <w:bCs/>
          <w:sz w:val="24"/>
          <w:szCs w:val="21"/>
          <w:u w:val="single"/>
        </w:rPr>
        <w:t xml:space="preserve">      </w:t>
      </w:r>
      <w:r>
        <w:rPr>
          <w:rFonts w:hint="eastAsia" w:ascii="宋体" w:hAnsi="宋体"/>
          <w:bCs/>
          <w:sz w:val="24"/>
          <w:szCs w:val="21"/>
        </w:rPr>
        <w:t>年</w:t>
      </w:r>
      <w:r>
        <w:rPr>
          <w:rFonts w:ascii="宋体" w:hAnsi="宋体"/>
          <w:bCs/>
          <w:sz w:val="24"/>
          <w:szCs w:val="21"/>
          <w:u w:val="single"/>
        </w:rPr>
        <w:t xml:space="preserve">    </w:t>
      </w:r>
      <w:r>
        <w:rPr>
          <w:rFonts w:hint="eastAsia" w:ascii="宋体" w:hAnsi="宋体"/>
          <w:bCs/>
          <w:sz w:val="24"/>
          <w:szCs w:val="21"/>
        </w:rPr>
        <w:t>月</w:t>
      </w:r>
      <w:r>
        <w:rPr>
          <w:rFonts w:ascii="宋体" w:hAnsi="宋体"/>
          <w:bCs/>
          <w:sz w:val="24"/>
          <w:szCs w:val="21"/>
          <w:u w:val="single"/>
        </w:rPr>
        <w:t xml:space="preserve">    </w:t>
      </w:r>
      <w:r>
        <w:rPr>
          <w:rFonts w:hint="eastAsia" w:ascii="宋体" w:hAnsi="宋体"/>
          <w:bCs/>
          <w:sz w:val="24"/>
          <w:szCs w:val="21"/>
        </w:rPr>
        <w:t>日</w:t>
      </w:r>
    </w:p>
    <w:p w14:paraId="5B5045D2">
      <w:pPr>
        <w:keepNext/>
        <w:keepLines/>
        <w:spacing w:before="260" w:after="260" w:line="500" w:lineRule="exact"/>
        <w:jc w:val="center"/>
        <w:outlineLvl w:val="2"/>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br w:type="page"/>
      </w:r>
      <w:r>
        <w:rPr>
          <w:rFonts w:hint="eastAsia" w:ascii="方正小标宋_GBK" w:hAnsi="方正小标宋_GBK" w:eastAsia="方正小标宋_GBK" w:cs="方正小标宋_GBK"/>
          <w:sz w:val="32"/>
          <w:szCs w:val="32"/>
        </w:rPr>
        <w:t>五、参加政府采购活动前 3 年内在经营活动中没有重大违法记录的书面声明</w:t>
      </w:r>
    </w:p>
    <w:p w14:paraId="319363BB">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声</w:t>
      </w:r>
      <w:r>
        <w:rPr>
          <w:rFonts w:ascii="Cambria" w:hAnsi="Cambria" w:eastAsia="方正小标宋_GBK" w:cs="Cambria"/>
          <w:sz w:val="32"/>
          <w:szCs w:val="32"/>
        </w:rPr>
        <w:t> </w:t>
      </w:r>
      <w:r>
        <w:rPr>
          <w:rFonts w:hint="eastAsia" w:ascii="方正小标宋_GBK" w:hAnsi="方正小标宋_GBK" w:eastAsia="方正小标宋_GBK" w:cs="方正小标宋_GBK"/>
          <w:sz w:val="32"/>
          <w:szCs w:val="32"/>
        </w:rPr>
        <w:t xml:space="preserve"> 明</w:t>
      </w:r>
    </w:p>
    <w:p w14:paraId="7E65B99F">
      <w:pPr>
        <w:jc w:val="left"/>
        <w:rPr>
          <w:szCs w:val="21"/>
        </w:rPr>
      </w:pPr>
    </w:p>
    <w:p w14:paraId="1F8F0DE9">
      <w:pPr>
        <w:spacing w:line="500" w:lineRule="exact"/>
        <w:rPr>
          <w:rFonts w:ascii="宋体"/>
          <w:bCs/>
          <w:sz w:val="24"/>
          <w:szCs w:val="21"/>
        </w:rPr>
      </w:pPr>
      <w:r>
        <w:rPr>
          <w:rFonts w:ascii="宋体" w:hAnsi="宋体"/>
          <w:b/>
          <w:bCs/>
          <w:sz w:val="24"/>
          <w:szCs w:val="21"/>
        </w:rPr>
        <w:t xml:space="preserve">    </w:t>
      </w:r>
      <w:r>
        <w:rPr>
          <w:rFonts w:hint="eastAsia" w:ascii="宋体" w:hAnsi="宋体"/>
          <w:bCs/>
          <w:sz w:val="24"/>
          <w:szCs w:val="21"/>
        </w:rPr>
        <w:t>我公司郑重声明：参加本次政府采购活动前</w:t>
      </w:r>
      <w:r>
        <w:rPr>
          <w:rFonts w:ascii="宋体" w:hAnsi="宋体"/>
          <w:bCs/>
          <w:sz w:val="24"/>
          <w:szCs w:val="21"/>
        </w:rPr>
        <w:t xml:space="preserve"> 3 </w:t>
      </w:r>
      <w:r>
        <w:rPr>
          <w:rFonts w:hint="eastAsia" w:ascii="宋体" w:hAnsi="宋体"/>
          <w:bCs/>
          <w:sz w:val="24"/>
          <w:szCs w:val="21"/>
        </w:rPr>
        <w:t>年内，我公司在经营活动中没有因违法经营受到刑事处罚或者责令停产停业、吊销许可证或者执照、较大数额罚款等行政处罚。</w:t>
      </w:r>
    </w:p>
    <w:p w14:paraId="4E1574F1">
      <w:pPr>
        <w:spacing w:line="360" w:lineRule="auto"/>
        <w:rPr>
          <w:rFonts w:hint="eastAsia" w:ascii="宋体" w:hAnsi="宋体"/>
          <w:bCs/>
          <w:sz w:val="24"/>
          <w:szCs w:val="21"/>
        </w:rPr>
      </w:pPr>
      <w:r>
        <w:rPr>
          <w:rFonts w:ascii="宋体" w:hAnsi="宋体"/>
          <w:bCs/>
          <w:sz w:val="24"/>
          <w:szCs w:val="21"/>
        </w:rPr>
        <w:t xml:space="preserve">                                     </w:t>
      </w:r>
    </w:p>
    <w:p w14:paraId="28341E77">
      <w:pPr>
        <w:spacing w:line="360" w:lineRule="auto"/>
        <w:rPr>
          <w:rFonts w:hint="eastAsia" w:ascii="宋体" w:hAnsi="宋体"/>
          <w:bCs/>
          <w:sz w:val="24"/>
          <w:szCs w:val="21"/>
        </w:rPr>
      </w:pPr>
    </w:p>
    <w:p w14:paraId="728177B2">
      <w:pPr>
        <w:spacing w:line="360" w:lineRule="auto"/>
        <w:rPr>
          <w:rFonts w:hint="eastAsia" w:ascii="宋体" w:hAnsi="宋体"/>
          <w:bCs/>
          <w:sz w:val="24"/>
          <w:szCs w:val="21"/>
        </w:rPr>
      </w:pPr>
    </w:p>
    <w:p w14:paraId="6BD9D7E8">
      <w:pPr>
        <w:spacing w:line="500" w:lineRule="exact"/>
        <w:ind w:firstLine="5880" w:firstLineChars="2450"/>
        <w:rPr>
          <w:rFonts w:ascii="宋体"/>
          <w:bCs/>
          <w:sz w:val="24"/>
          <w:szCs w:val="21"/>
        </w:rPr>
      </w:pPr>
      <w:r>
        <w:rPr>
          <w:rFonts w:hint="eastAsia" w:ascii="宋体" w:hAnsi="宋体"/>
          <w:bCs/>
          <w:sz w:val="24"/>
          <w:szCs w:val="21"/>
        </w:rPr>
        <w:t>供应商名称（公章）：</w:t>
      </w:r>
    </w:p>
    <w:p w14:paraId="1F3CBD05">
      <w:pPr>
        <w:spacing w:line="360" w:lineRule="auto"/>
        <w:ind w:firstLine="4560" w:firstLineChars="1900"/>
        <w:jc w:val="center"/>
        <w:rPr>
          <w:rFonts w:ascii="宋体"/>
          <w:bCs/>
          <w:sz w:val="24"/>
          <w:szCs w:val="21"/>
        </w:rPr>
      </w:pPr>
      <w:r>
        <w:rPr>
          <w:rFonts w:hint="eastAsia" w:ascii="宋体" w:hAnsi="宋体"/>
          <w:bCs/>
          <w:sz w:val="24"/>
          <w:szCs w:val="21"/>
        </w:rPr>
        <w:t>日期：</w:t>
      </w:r>
      <w:r>
        <w:rPr>
          <w:rFonts w:ascii="宋体" w:hAnsi="宋体"/>
          <w:bCs/>
          <w:sz w:val="24"/>
          <w:szCs w:val="21"/>
          <w:u w:val="single"/>
        </w:rPr>
        <w:t xml:space="preserve">      </w:t>
      </w:r>
      <w:r>
        <w:rPr>
          <w:rFonts w:hint="eastAsia" w:ascii="宋体" w:hAnsi="宋体"/>
          <w:bCs/>
          <w:sz w:val="24"/>
          <w:szCs w:val="21"/>
        </w:rPr>
        <w:t>年</w:t>
      </w:r>
      <w:r>
        <w:rPr>
          <w:rFonts w:ascii="宋体" w:hAnsi="宋体"/>
          <w:bCs/>
          <w:sz w:val="24"/>
          <w:szCs w:val="21"/>
          <w:u w:val="single"/>
        </w:rPr>
        <w:t xml:space="preserve">    </w:t>
      </w:r>
      <w:r>
        <w:rPr>
          <w:rFonts w:hint="eastAsia" w:ascii="宋体" w:hAnsi="宋体"/>
          <w:bCs/>
          <w:sz w:val="24"/>
          <w:szCs w:val="21"/>
        </w:rPr>
        <w:t>月</w:t>
      </w:r>
      <w:r>
        <w:rPr>
          <w:rFonts w:ascii="宋体" w:hAnsi="宋体"/>
          <w:bCs/>
          <w:sz w:val="24"/>
          <w:szCs w:val="21"/>
          <w:u w:val="single"/>
        </w:rPr>
        <w:t xml:space="preserve">    </w:t>
      </w:r>
      <w:r>
        <w:rPr>
          <w:rFonts w:hint="eastAsia" w:ascii="宋体" w:hAnsi="宋体"/>
          <w:bCs/>
          <w:sz w:val="24"/>
          <w:szCs w:val="21"/>
        </w:rPr>
        <w:t>日</w:t>
      </w:r>
    </w:p>
    <w:p w14:paraId="782C2548">
      <w:pPr>
        <w:spacing w:line="460" w:lineRule="exact"/>
        <w:rPr>
          <w:rFonts w:hint="eastAsia" w:ascii="宋体" w:hAnsi="宋体"/>
          <w:bCs/>
          <w:sz w:val="24"/>
          <w:szCs w:val="21"/>
        </w:rPr>
      </w:pPr>
    </w:p>
    <w:p w14:paraId="509F2B66">
      <w:pPr>
        <w:spacing w:line="460" w:lineRule="exact"/>
        <w:rPr>
          <w:rFonts w:hint="eastAsia" w:ascii="宋体" w:hAnsi="宋体"/>
          <w:bCs/>
          <w:sz w:val="24"/>
          <w:szCs w:val="21"/>
        </w:rPr>
      </w:pPr>
    </w:p>
    <w:p w14:paraId="0550C5CB">
      <w:pPr>
        <w:spacing w:line="460" w:lineRule="exact"/>
        <w:rPr>
          <w:rFonts w:hint="eastAsia" w:ascii="宋体" w:hAnsi="宋体"/>
          <w:bCs/>
          <w:sz w:val="24"/>
          <w:szCs w:val="21"/>
        </w:rPr>
      </w:pPr>
    </w:p>
    <w:p w14:paraId="06C0B924">
      <w:pPr>
        <w:spacing w:line="460" w:lineRule="exact"/>
        <w:rPr>
          <w:rFonts w:hint="eastAsia" w:ascii="宋体" w:hAnsi="宋体"/>
          <w:bCs/>
          <w:sz w:val="24"/>
          <w:szCs w:val="21"/>
        </w:rPr>
      </w:pPr>
    </w:p>
    <w:p w14:paraId="2A8B5CFE">
      <w:pPr>
        <w:spacing w:line="460" w:lineRule="exact"/>
        <w:rPr>
          <w:rFonts w:hint="eastAsia" w:ascii="宋体" w:hAnsi="宋体"/>
          <w:bCs/>
          <w:sz w:val="24"/>
          <w:szCs w:val="21"/>
        </w:rPr>
      </w:pPr>
    </w:p>
    <w:p w14:paraId="3F7B379E">
      <w:pPr>
        <w:spacing w:line="460" w:lineRule="exact"/>
        <w:rPr>
          <w:rFonts w:hint="eastAsia" w:ascii="宋体" w:hAnsi="宋体"/>
          <w:bCs/>
          <w:sz w:val="24"/>
          <w:szCs w:val="21"/>
        </w:rPr>
      </w:pPr>
    </w:p>
    <w:p w14:paraId="75117CD7">
      <w:pPr>
        <w:spacing w:line="460" w:lineRule="exact"/>
        <w:rPr>
          <w:rFonts w:hint="eastAsia" w:ascii="宋体" w:hAnsi="宋体"/>
          <w:bCs/>
          <w:sz w:val="24"/>
          <w:szCs w:val="21"/>
        </w:rPr>
      </w:pPr>
    </w:p>
    <w:p w14:paraId="3AEF3925">
      <w:pPr>
        <w:spacing w:line="460" w:lineRule="exact"/>
        <w:rPr>
          <w:rFonts w:hint="eastAsia" w:ascii="宋体" w:hAnsi="宋体"/>
          <w:bCs/>
          <w:sz w:val="24"/>
          <w:szCs w:val="21"/>
        </w:rPr>
      </w:pPr>
    </w:p>
    <w:p w14:paraId="06700FCB">
      <w:pPr>
        <w:spacing w:line="460" w:lineRule="exact"/>
        <w:rPr>
          <w:rFonts w:hint="eastAsia" w:ascii="宋体" w:hAnsi="宋体"/>
          <w:bCs/>
          <w:sz w:val="24"/>
          <w:szCs w:val="21"/>
        </w:rPr>
      </w:pPr>
    </w:p>
    <w:p w14:paraId="141A9FF0">
      <w:pPr>
        <w:spacing w:line="460" w:lineRule="exact"/>
        <w:rPr>
          <w:rFonts w:hint="eastAsia" w:ascii="宋体" w:hAnsi="宋体"/>
          <w:bCs/>
          <w:sz w:val="24"/>
          <w:szCs w:val="21"/>
        </w:rPr>
      </w:pPr>
    </w:p>
    <w:p w14:paraId="5C766EB6">
      <w:pPr>
        <w:spacing w:line="460" w:lineRule="exact"/>
        <w:rPr>
          <w:rFonts w:hint="eastAsia" w:ascii="宋体" w:hAnsi="宋体"/>
          <w:bCs/>
          <w:sz w:val="24"/>
          <w:szCs w:val="21"/>
        </w:rPr>
      </w:pPr>
    </w:p>
    <w:p w14:paraId="4682229E">
      <w:pPr>
        <w:spacing w:line="460" w:lineRule="exact"/>
        <w:rPr>
          <w:rFonts w:hint="eastAsia" w:ascii="宋体" w:hAnsi="宋体"/>
          <w:bCs/>
          <w:sz w:val="24"/>
          <w:szCs w:val="21"/>
        </w:rPr>
      </w:pPr>
    </w:p>
    <w:p w14:paraId="0976F3D3">
      <w:pPr>
        <w:spacing w:line="260" w:lineRule="exact"/>
        <w:rPr>
          <w:rFonts w:hint="eastAsia" w:ascii="方正小标宋_GBK" w:hAnsi="方正小标宋_GBK" w:eastAsia="方正小标宋_GBK" w:cs="方正小标宋_GBK"/>
          <w:sz w:val="32"/>
          <w:szCs w:val="32"/>
        </w:rPr>
      </w:pPr>
      <w:r>
        <w:rPr>
          <w:rFonts w:hint="eastAsia"/>
          <w:szCs w:val="21"/>
        </w:rPr>
        <w:br w:type="page"/>
      </w:r>
    </w:p>
    <w:p w14:paraId="337492C3">
      <w:pPr>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六、特定资格要求的证明文件</w:t>
      </w:r>
    </w:p>
    <w:p w14:paraId="1A2F03A8">
      <w:pPr>
        <w:widowControl/>
        <w:spacing w:before="100" w:after="100" w:line="0" w:lineRule="atLeast"/>
        <w:jc w:val="center"/>
        <w:rPr>
          <w:rFonts w:hint="eastAsia" w:ascii="宋体" w:hAnsi="宋体" w:cs="宋体"/>
          <w:kern w:val="0"/>
          <w:sz w:val="24"/>
        </w:rPr>
      </w:pPr>
      <w:r>
        <w:rPr>
          <w:rFonts w:hint="eastAsia" w:ascii="宋体" w:hAnsi="宋体" w:cs="宋体"/>
          <w:kern w:val="0"/>
          <w:sz w:val="24"/>
        </w:rPr>
        <w:t>如果本项目申请人的特定资格要求中要求提供的，必须提供。</w:t>
      </w:r>
    </w:p>
    <w:p w14:paraId="18ABFC15">
      <w:pPr>
        <w:rPr>
          <w:szCs w:val="21"/>
        </w:rPr>
      </w:pPr>
      <w:r>
        <w:rPr>
          <w:rFonts w:hint="eastAsia" w:ascii="方正小标宋_GBK" w:hAnsi="方正小标宋_GBK" w:eastAsia="方正小标宋_GBK" w:cs="方正小标宋_GBK"/>
          <w:sz w:val="32"/>
          <w:szCs w:val="32"/>
        </w:rPr>
        <w:br w:type="page"/>
      </w:r>
    </w:p>
    <w:p w14:paraId="18F26003">
      <w:pPr>
        <w:spacing w:line="500" w:lineRule="exact"/>
        <w:jc w:val="center"/>
        <w:rPr>
          <w:rFonts w:hint="eastAsia"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七、法人授权书</w:t>
      </w:r>
    </w:p>
    <w:p w14:paraId="255A1747">
      <w:pPr>
        <w:rPr>
          <w:szCs w:val="21"/>
        </w:rPr>
      </w:pPr>
    </w:p>
    <w:p w14:paraId="0C3BBD83">
      <w:pPr>
        <w:tabs>
          <w:tab w:val="left" w:pos="360"/>
        </w:tabs>
        <w:spacing w:line="500" w:lineRule="exact"/>
        <w:ind w:firstLine="480" w:firstLineChars="200"/>
        <w:rPr>
          <w:sz w:val="24"/>
        </w:rPr>
      </w:pPr>
      <w:r>
        <w:rPr>
          <w:rFonts w:hint="eastAsia"/>
          <w:sz w:val="24"/>
        </w:rPr>
        <w:t xml:space="preserve">本授权书声明：____________（供应商名称）授权________________（被授权人的姓名）为我方就 </w:t>
      </w:r>
      <w:r>
        <w:rPr>
          <w:rFonts w:hint="eastAsia"/>
          <w:sz w:val="24"/>
          <w:u w:val="single"/>
        </w:rPr>
        <w:t xml:space="preserve">       </w:t>
      </w:r>
      <w:r>
        <w:rPr>
          <w:rFonts w:hint="eastAsia"/>
          <w:sz w:val="24"/>
        </w:rPr>
        <w:t>项目采购活动的合法代理人，以本公司名义全权处理一切与该项目采购有关的事务。</w:t>
      </w:r>
    </w:p>
    <w:p w14:paraId="6AE1FF56">
      <w:pPr>
        <w:tabs>
          <w:tab w:val="left" w:pos="360"/>
        </w:tabs>
        <w:spacing w:line="500" w:lineRule="exact"/>
        <w:ind w:firstLine="480" w:firstLineChars="200"/>
        <w:rPr>
          <w:sz w:val="24"/>
        </w:rPr>
      </w:pPr>
      <w:r>
        <w:rPr>
          <w:rFonts w:hint="eastAsia"/>
          <w:sz w:val="24"/>
        </w:rPr>
        <w:t>本授权书于______年____月____日起生效，特此声明。</w:t>
      </w:r>
    </w:p>
    <w:p w14:paraId="7B0D81A5">
      <w:pPr>
        <w:widowControl/>
        <w:spacing w:before="100" w:beforeAutospacing="1" w:after="100" w:afterAutospacing="1" w:line="240" w:lineRule="exact"/>
        <w:ind w:firstLine="480"/>
        <w:jc w:val="left"/>
        <w:rPr>
          <w:rFonts w:hint="eastAsia" w:ascii="宋体" w:hAnsi="宋体" w:cs="宋体"/>
          <w:sz w:val="24"/>
          <w:szCs w:val="21"/>
        </w:rPr>
      </w:pPr>
      <w:r>
        <w:rPr>
          <w:rFonts w:hint="eastAsia" w:ascii="宋体" w:hAnsi="宋体" w:cs="宋体"/>
          <w:sz w:val="24"/>
          <w:szCs w:val="21"/>
        </w:rPr>
        <w:t>被授权人身份证号码：</w:t>
      </w:r>
      <w:r>
        <w:rPr>
          <w:rFonts w:hint="eastAsia" w:ascii="宋体" w:hAnsi="宋体" w:cs="宋体"/>
          <w:sz w:val="24"/>
          <w:szCs w:val="21"/>
          <w:u w:val="single"/>
        </w:rPr>
        <w:t xml:space="preserve">                  </w:t>
      </w:r>
      <w:r>
        <w:rPr>
          <w:rFonts w:hint="eastAsia" w:ascii="宋体" w:hAnsi="宋体" w:cs="宋体"/>
          <w:sz w:val="24"/>
          <w:szCs w:val="21"/>
        </w:rPr>
        <w:t xml:space="preserve">          </w:t>
      </w:r>
    </w:p>
    <w:p w14:paraId="50339D70">
      <w:pPr>
        <w:widowControl/>
        <w:spacing w:before="100" w:beforeAutospacing="1" w:after="100" w:afterAutospacing="1" w:line="240" w:lineRule="exact"/>
        <w:ind w:firstLine="480"/>
        <w:jc w:val="left"/>
        <w:rPr>
          <w:rFonts w:hint="eastAsia" w:ascii="宋体" w:hAnsi="宋体" w:cs="宋体"/>
          <w:sz w:val="24"/>
          <w:szCs w:val="21"/>
        </w:rPr>
      </w:pPr>
      <w:r>
        <w:rPr>
          <w:rFonts w:hint="eastAsia" w:ascii="宋体" w:hAnsi="宋体" w:cs="宋体"/>
          <w:sz w:val="24"/>
          <w:szCs w:val="21"/>
        </w:rPr>
        <w:t>被授权人联系电话：</w:t>
      </w:r>
      <w:r>
        <w:rPr>
          <w:rFonts w:hint="eastAsia" w:ascii="宋体" w:hAnsi="宋体" w:cs="宋体"/>
          <w:sz w:val="24"/>
          <w:szCs w:val="21"/>
          <w:u w:val="single"/>
        </w:rPr>
        <w:t xml:space="preserve">  （手机）              </w:t>
      </w:r>
      <w:r>
        <w:rPr>
          <w:rFonts w:hint="eastAsia" w:ascii="宋体" w:hAnsi="宋体" w:cs="宋体"/>
          <w:sz w:val="24"/>
          <w:szCs w:val="21"/>
        </w:rPr>
        <w:t xml:space="preserve">                   </w:t>
      </w:r>
    </w:p>
    <w:p w14:paraId="672BAD53">
      <w:pPr>
        <w:widowControl/>
        <w:spacing w:before="100" w:beforeAutospacing="1" w:after="100" w:afterAutospacing="1" w:line="240" w:lineRule="exact"/>
        <w:ind w:firstLine="480"/>
        <w:jc w:val="left"/>
        <w:rPr>
          <w:rFonts w:hint="eastAsia" w:ascii="宋体" w:hAnsi="宋体" w:cs="宋体"/>
          <w:sz w:val="24"/>
          <w:szCs w:val="21"/>
        </w:rPr>
      </w:pPr>
      <w:r>
        <w:rPr>
          <w:rFonts w:hint="eastAsia" w:ascii="宋体" w:hAnsi="宋体" w:cs="宋体"/>
          <w:sz w:val="24"/>
          <w:szCs w:val="21"/>
        </w:rPr>
        <w:t>授权单位名称：</w:t>
      </w:r>
      <w:r>
        <w:rPr>
          <w:rFonts w:hint="eastAsia" w:ascii="宋体" w:hAnsi="宋体" w:cs="宋体"/>
          <w:sz w:val="24"/>
          <w:szCs w:val="21"/>
          <w:u w:val="single"/>
        </w:rPr>
        <w:t xml:space="preserve">（加盖单位公章）          </w:t>
      </w:r>
      <w:r>
        <w:rPr>
          <w:rFonts w:hint="eastAsia" w:ascii="宋体" w:hAnsi="宋体" w:cs="宋体"/>
          <w:sz w:val="24"/>
          <w:szCs w:val="21"/>
        </w:rPr>
        <w:t xml:space="preserve">           </w:t>
      </w:r>
    </w:p>
    <w:p w14:paraId="11A5289D">
      <w:pPr>
        <w:widowControl/>
        <w:spacing w:before="100" w:beforeAutospacing="1" w:after="100" w:afterAutospacing="1" w:line="240" w:lineRule="exact"/>
        <w:ind w:firstLine="480"/>
        <w:jc w:val="left"/>
        <w:rPr>
          <w:rFonts w:hint="eastAsia" w:ascii="宋体" w:hAnsi="宋体" w:cs="宋体"/>
          <w:sz w:val="24"/>
          <w:szCs w:val="21"/>
        </w:rPr>
      </w:pPr>
      <w:r>
        <w:rPr>
          <w:rFonts w:hint="eastAsia" w:ascii="宋体" w:hAnsi="宋体" w:cs="宋体"/>
          <w:sz w:val="24"/>
          <w:szCs w:val="21"/>
        </w:rPr>
        <w:t>单 位 地 址：</w:t>
      </w:r>
      <w:r>
        <w:rPr>
          <w:rFonts w:hint="eastAsia" w:ascii="宋体" w:hAnsi="宋体" w:cs="宋体"/>
          <w:sz w:val="24"/>
          <w:szCs w:val="21"/>
          <w:u w:val="single"/>
        </w:rPr>
        <w:t xml:space="preserve">                      </w:t>
      </w:r>
    </w:p>
    <w:p w14:paraId="0813D240">
      <w:pPr>
        <w:widowControl/>
        <w:spacing w:before="100" w:beforeAutospacing="1" w:after="100" w:afterAutospacing="1" w:line="240" w:lineRule="exact"/>
        <w:ind w:firstLine="480"/>
        <w:jc w:val="left"/>
        <w:rPr>
          <w:rFonts w:hint="eastAsia" w:ascii="宋体" w:hAnsi="宋体" w:cs="宋体"/>
          <w:sz w:val="24"/>
          <w:szCs w:val="22"/>
        </w:rPr>
      </w:pPr>
      <w:r>
        <w:rPr>
          <w:rFonts w:hint="eastAsia" w:ascii="宋体" w:hAnsi="宋体" w:cs="宋体"/>
          <w:sz w:val="24"/>
          <w:szCs w:val="22"/>
        </w:rPr>
        <w:t>日       期：</w:t>
      </w:r>
      <w:r>
        <w:rPr>
          <w:rFonts w:hint="eastAsia" w:ascii="宋体" w:hAnsi="宋体" w:cs="宋体"/>
          <w:sz w:val="24"/>
          <w:szCs w:val="22"/>
          <w:u w:val="single"/>
        </w:rPr>
        <w:t xml:space="preserve">                           </w:t>
      </w:r>
    </w:p>
    <w:p w14:paraId="7B75921A">
      <w:pPr>
        <w:keepNext/>
        <w:keepLines/>
        <w:spacing w:before="260" w:after="260" w:line="416" w:lineRule="auto"/>
        <w:outlineLvl w:val="2"/>
        <w:rPr>
          <w:b/>
          <w:bCs/>
          <w:sz w:val="32"/>
          <w:szCs w:val="32"/>
        </w:rPr>
      </w:pPr>
    </w:p>
    <w:p w14:paraId="6872D9C4">
      <w:pPr>
        <w:pBdr>
          <w:top w:val="single" w:color="auto" w:sz="4" w:space="1"/>
          <w:left w:val="single" w:color="auto" w:sz="4" w:space="4"/>
          <w:bottom w:val="single" w:color="auto" w:sz="4" w:space="1"/>
          <w:right w:val="single" w:color="auto" w:sz="4" w:space="4"/>
        </w:pBdr>
        <w:ind w:firstLine="420"/>
        <w:rPr>
          <w:szCs w:val="21"/>
        </w:rPr>
      </w:pPr>
    </w:p>
    <w:p w14:paraId="19192AD1">
      <w:pPr>
        <w:pBdr>
          <w:top w:val="single" w:color="auto" w:sz="4" w:space="1"/>
          <w:left w:val="single" w:color="auto" w:sz="4" w:space="4"/>
          <w:bottom w:val="single" w:color="auto" w:sz="4" w:space="1"/>
          <w:right w:val="single" w:color="auto" w:sz="4" w:space="4"/>
        </w:pBdr>
        <w:ind w:firstLine="420"/>
        <w:rPr>
          <w:szCs w:val="21"/>
        </w:rPr>
      </w:pPr>
    </w:p>
    <w:p w14:paraId="758C5C01">
      <w:pPr>
        <w:pBdr>
          <w:top w:val="single" w:color="auto" w:sz="4" w:space="1"/>
          <w:left w:val="single" w:color="auto" w:sz="4" w:space="4"/>
          <w:bottom w:val="single" w:color="auto" w:sz="4" w:space="1"/>
          <w:right w:val="single" w:color="auto" w:sz="4" w:space="4"/>
        </w:pBdr>
        <w:ind w:firstLine="420"/>
        <w:rPr>
          <w:szCs w:val="21"/>
        </w:rPr>
      </w:pPr>
    </w:p>
    <w:p w14:paraId="24B28887">
      <w:pPr>
        <w:pBdr>
          <w:top w:val="single" w:color="auto" w:sz="4" w:space="1"/>
          <w:left w:val="single" w:color="auto" w:sz="4" w:space="4"/>
          <w:bottom w:val="single" w:color="auto" w:sz="4" w:space="1"/>
          <w:right w:val="single" w:color="auto" w:sz="4" w:space="4"/>
        </w:pBdr>
        <w:ind w:firstLine="420"/>
        <w:rPr>
          <w:szCs w:val="21"/>
        </w:rPr>
      </w:pPr>
    </w:p>
    <w:p w14:paraId="702C67C0">
      <w:pPr>
        <w:pBdr>
          <w:top w:val="single" w:color="auto" w:sz="4" w:space="1"/>
          <w:left w:val="single" w:color="auto" w:sz="4" w:space="4"/>
          <w:bottom w:val="single" w:color="auto" w:sz="4" w:space="1"/>
          <w:right w:val="single" w:color="auto" w:sz="4" w:space="4"/>
        </w:pBdr>
        <w:spacing w:line="560" w:lineRule="exact"/>
        <w:ind w:firstLine="1800" w:firstLineChars="750"/>
        <w:rPr>
          <w:rFonts w:hint="eastAsia" w:ascii="宋体" w:hAnsi="宋体"/>
          <w:sz w:val="24"/>
          <w:szCs w:val="21"/>
        </w:rPr>
      </w:pPr>
      <w:r>
        <w:rPr>
          <w:rFonts w:hint="eastAsia" w:ascii="宋体" w:hAnsi="宋体"/>
          <w:sz w:val="24"/>
          <w:szCs w:val="21"/>
        </w:rPr>
        <w:t>身份证复印件粘贴处（正反面且须与原件一致）：</w:t>
      </w:r>
    </w:p>
    <w:p w14:paraId="7295203E">
      <w:pPr>
        <w:pBdr>
          <w:top w:val="single" w:color="auto" w:sz="4" w:space="1"/>
          <w:left w:val="single" w:color="auto" w:sz="4" w:space="4"/>
          <w:bottom w:val="single" w:color="auto" w:sz="4" w:space="1"/>
          <w:right w:val="single" w:color="auto" w:sz="4" w:space="4"/>
        </w:pBdr>
        <w:spacing w:line="560" w:lineRule="exact"/>
        <w:rPr>
          <w:rFonts w:hint="eastAsia" w:ascii="宋体" w:hAnsi="宋体"/>
          <w:sz w:val="24"/>
          <w:szCs w:val="21"/>
        </w:rPr>
      </w:pPr>
    </w:p>
    <w:p w14:paraId="5E02CF27">
      <w:pPr>
        <w:pBdr>
          <w:top w:val="single" w:color="auto" w:sz="4" w:space="1"/>
          <w:left w:val="single" w:color="auto" w:sz="4" w:space="4"/>
          <w:bottom w:val="single" w:color="auto" w:sz="4" w:space="1"/>
          <w:right w:val="single" w:color="auto" w:sz="4" w:space="4"/>
        </w:pBdr>
        <w:spacing w:line="560" w:lineRule="exact"/>
        <w:ind w:firstLine="645"/>
        <w:rPr>
          <w:rFonts w:hint="eastAsia" w:ascii="宋体" w:hAnsi="宋体"/>
          <w:sz w:val="24"/>
          <w:szCs w:val="21"/>
        </w:rPr>
      </w:pPr>
    </w:p>
    <w:p w14:paraId="2CD1E2E9">
      <w:pPr>
        <w:pBdr>
          <w:top w:val="single" w:color="auto" w:sz="4" w:space="1"/>
          <w:left w:val="single" w:color="auto" w:sz="4" w:space="4"/>
          <w:bottom w:val="single" w:color="auto" w:sz="4" w:space="1"/>
          <w:right w:val="single" w:color="auto" w:sz="4" w:space="4"/>
        </w:pBdr>
        <w:spacing w:line="560" w:lineRule="exact"/>
        <w:ind w:firstLine="645"/>
        <w:rPr>
          <w:rFonts w:hint="eastAsia" w:ascii="宋体" w:hAnsi="宋体"/>
          <w:sz w:val="24"/>
          <w:szCs w:val="21"/>
        </w:rPr>
      </w:pPr>
    </w:p>
    <w:p w14:paraId="0AFAD306">
      <w:pPr>
        <w:rPr>
          <w:szCs w:val="21"/>
        </w:rPr>
      </w:pPr>
      <w:r>
        <w:rPr>
          <w:rFonts w:hint="eastAsia"/>
          <w:szCs w:val="21"/>
        </w:rPr>
        <w:br w:type="page"/>
      </w:r>
    </w:p>
    <w:p w14:paraId="537E4081">
      <w:pPr>
        <w:keepNext/>
        <w:keepLines/>
        <w:widowControl/>
        <w:spacing w:before="260" w:after="260" w:line="415" w:lineRule="auto"/>
        <w:jc w:val="center"/>
        <w:rPr>
          <w:rFonts w:hint="eastAsia" w:ascii="宋体" w:hAnsi="宋体" w:cs="宋体"/>
          <w:kern w:val="0"/>
          <w:sz w:val="24"/>
        </w:rPr>
      </w:pPr>
      <w:r>
        <w:rPr>
          <w:rFonts w:hint="eastAsia" w:ascii="方正小标宋_GBK" w:hAnsi="方正小标宋_GBK" w:eastAsia="方正小标宋_GBK" w:cs="方正小标宋_GBK"/>
          <w:kern w:val="0"/>
          <w:sz w:val="32"/>
          <w:szCs w:val="32"/>
        </w:rPr>
        <w:t>八、磋商响应函（格式）</w:t>
      </w:r>
    </w:p>
    <w:p w14:paraId="2D7D7EF7">
      <w:pPr>
        <w:adjustRightInd w:val="0"/>
        <w:spacing w:line="500" w:lineRule="exact"/>
        <w:jc w:val="left"/>
        <w:textAlignment w:val="baseline"/>
        <w:rPr>
          <w:rFonts w:hint="eastAsia" w:ascii="宋体" w:hAnsi="宋体"/>
          <w:sz w:val="24"/>
          <w:szCs w:val="21"/>
        </w:rPr>
      </w:pPr>
      <w:r>
        <w:rPr>
          <w:rFonts w:hint="eastAsia" w:ascii="宋体" w:hAnsi="宋体"/>
          <w:sz w:val="24"/>
          <w:szCs w:val="21"/>
        </w:rPr>
        <w:t>致：</w:t>
      </w:r>
      <w:r>
        <w:rPr>
          <w:rFonts w:hint="eastAsia" w:ascii="宋体" w:hAnsi="宋体" w:cs="宋体"/>
          <w:kern w:val="0"/>
          <w:sz w:val="24"/>
        </w:rPr>
        <w:t>盐城市大丰区消防救援大队</w:t>
      </w:r>
    </w:p>
    <w:p w14:paraId="427C8500">
      <w:pPr>
        <w:adjustRightInd w:val="0"/>
        <w:spacing w:line="500" w:lineRule="exact"/>
        <w:ind w:firstLine="480" w:firstLineChars="200"/>
        <w:jc w:val="left"/>
        <w:textAlignment w:val="baseline"/>
        <w:rPr>
          <w:rFonts w:hint="eastAsia" w:ascii="宋体" w:hAnsi="宋体"/>
          <w:sz w:val="24"/>
          <w:szCs w:val="21"/>
        </w:rPr>
      </w:pPr>
      <w:r>
        <w:rPr>
          <w:rFonts w:hint="eastAsia" w:ascii="宋体" w:hAnsi="宋体"/>
          <w:sz w:val="24"/>
          <w:szCs w:val="21"/>
        </w:rPr>
        <w:t>根据贵方的</w:t>
      </w:r>
      <w:r>
        <w:rPr>
          <w:rFonts w:hint="eastAsia" w:ascii="宋体" w:hAnsi="宋体"/>
          <w:sz w:val="24"/>
          <w:szCs w:val="21"/>
          <w:u w:val="single"/>
        </w:rPr>
        <w:t xml:space="preserve">                      </w:t>
      </w:r>
      <w:r>
        <w:rPr>
          <w:rFonts w:hint="eastAsia" w:ascii="宋体" w:hAnsi="宋体"/>
          <w:sz w:val="24"/>
          <w:szCs w:val="21"/>
        </w:rPr>
        <w:t>项目磋商文件，正式授权下述签字人_______________(姓名)代表我方______________（供应商的名称），全权处理本次项目磋商的有关事宜。</w:t>
      </w:r>
    </w:p>
    <w:p w14:paraId="3E071E7A">
      <w:pPr>
        <w:adjustRightInd w:val="0"/>
        <w:spacing w:line="500" w:lineRule="exact"/>
        <w:ind w:firstLine="480" w:firstLineChars="200"/>
        <w:jc w:val="left"/>
        <w:textAlignment w:val="baseline"/>
        <w:rPr>
          <w:rFonts w:hint="eastAsia" w:ascii="宋体" w:hAnsi="宋体"/>
          <w:sz w:val="24"/>
          <w:szCs w:val="21"/>
        </w:rPr>
      </w:pPr>
      <w:r>
        <w:rPr>
          <w:rFonts w:hint="eastAsia" w:ascii="宋体" w:hAnsi="宋体"/>
          <w:sz w:val="24"/>
          <w:szCs w:val="21"/>
        </w:rPr>
        <w:t>据此函，兹宣布同意如下：</w:t>
      </w:r>
    </w:p>
    <w:p w14:paraId="3229011E">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1.按磋商文件规定的各项要求，向甲方提供所需服务。</w:t>
      </w:r>
    </w:p>
    <w:p w14:paraId="6A1CAAB9">
      <w:pPr>
        <w:adjustRightInd w:val="0"/>
        <w:spacing w:line="500" w:lineRule="exact"/>
        <w:ind w:firstLine="480" w:firstLineChars="200"/>
        <w:jc w:val="left"/>
        <w:textAlignment w:val="baseline"/>
        <w:rPr>
          <w:rFonts w:hint="eastAsia" w:ascii="宋体" w:hAnsi="宋体"/>
          <w:sz w:val="24"/>
          <w:szCs w:val="21"/>
        </w:rPr>
      </w:pPr>
      <w:r>
        <w:rPr>
          <w:rFonts w:hint="eastAsia" w:ascii="宋体" w:hAnsi="宋体"/>
          <w:sz w:val="24"/>
          <w:szCs w:val="21"/>
        </w:rPr>
        <w:t>2.我们完全理解贵方不一定将合同授予最低报价的供应商。</w:t>
      </w:r>
    </w:p>
    <w:p w14:paraId="68CE5857">
      <w:pPr>
        <w:adjustRightInd w:val="0"/>
        <w:spacing w:line="500" w:lineRule="exact"/>
        <w:ind w:firstLine="480" w:firstLineChars="200"/>
        <w:jc w:val="left"/>
        <w:textAlignment w:val="baseline"/>
        <w:rPr>
          <w:rFonts w:hint="eastAsia" w:ascii="宋体" w:hAnsi="宋体"/>
          <w:sz w:val="24"/>
          <w:szCs w:val="21"/>
        </w:rPr>
      </w:pPr>
      <w:r>
        <w:rPr>
          <w:rFonts w:hint="eastAsia" w:ascii="宋体" w:hAnsi="宋体"/>
          <w:sz w:val="24"/>
          <w:szCs w:val="21"/>
        </w:rPr>
        <w:t>3.我们已详细审核全部磋商文件及其有效补充文件，我们知道必须放弃提出含糊不清或误解问题的权利。</w:t>
      </w:r>
    </w:p>
    <w:p w14:paraId="4F1FF957">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4.我们同意从规定的磋商开始起遵循本响应文件，并在规定的</w:t>
      </w:r>
      <w:r>
        <w:rPr>
          <w:rFonts w:hint="eastAsia" w:ascii="宋体" w:hAnsi="宋体"/>
          <w:sz w:val="24"/>
          <w:szCs w:val="21"/>
          <w:lang w:val="en-US" w:eastAsia="zh-CN"/>
        </w:rPr>
        <w:t>磋商</w:t>
      </w:r>
      <w:r>
        <w:rPr>
          <w:rFonts w:hint="eastAsia" w:ascii="宋体" w:hAnsi="宋体"/>
          <w:sz w:val="24"/>
          <w:szCs w:val="21"/>
        </w:rPr>
        <w:t>有效期期满之前均具有约束力。</w:t>
      </w:r>
    </w:p>
    <w:p w14:paraId="18AD627D">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5.如果在成交后规定的</w:t>
      </w:r>
      <w:r>
        <w:rPr>
          <w:rFonts w:hint="eastAsia" w:ascii="宋体" w:hAnsi="宋体"/>
          <w:sz w:val="24"/>
          <w:szCs w:val="21"/>
          <w:lang w:val="en-US" w:eastAsia="zh-CN"/>
        </w:rPr>
        <w:t>磋商</w:t>
      </w:r>
      <w:r>
        <w:rPr>
          <w:rFonts w:hint="eastAsia" w:ascii="宋体" w:hAnsi="宋体"/>
          <w:sz w:val="24"/>
          <w:szCs w:val="21"/>
        </w:rPr>
        <w:t>有效期内撤回</w:t>
      </w:r>
      <w:r>
        <w:rPr>
          <w:rFonts w:hint="eastAsia" w:ascii="宋体" w:hAnsi="宋体"/>
          <w:sz w:val="24"/>
          <w:szCs w:val="21"/>
          <w:lang w:val="en-US" w:eastAsia="zh-CN"/>
        </w:rPr>
        <w:t>响应</w:t>
      </w:r>
      <w:r>
        <w:rPr>
          <w:rFonts w:hint="eastAsia" w:ascii="宋体" w:hAnsi="宋体"/>
          <w:sz w:val="24"/>
          <w:szCs w:val="21"/>
        </w:rPr>
        <w:t>或成交后拒绝签订合同，则按照国家相关法律法规受到相应处罚。</w:t>
      </w:r>
    </w:p>
    <w:p w14:paraId="4EA80DC1">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6.同意向贵方提供贵方可能另外要求的与</w:t>
      </w:r>
      <w:r>
        <w:rPr>
          <w:rFonts w:hint="eastAsia" w:ascii="宋体" w:hAnsi="宋体"/>
          <w:sz w:val="24"/>
          <w:szCs w:val="21"/>
          <w:lang w:val="en-US" w:eastAsia="zh-CN"/>
        </w:rPr>
        <w:t>响应</w:t>
      </w:r>
      <w:r>
        <w:rPr>
          <w:rFonts w:hint="eastAsia" w:ascii="宋体" w:hAnsi="宋体"/>
          <w:sz w:val="24"/>
          <w:szCs w:val="21"/>
        </w:rPr>
        <w:t>有关的任何证据或资料，并保证我方已提供和将要提供的文件是真实的、准确的。</w:t>
      </w:r>
    </w:p>
    <w:p w14:paraId="202495BC">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7.一旦我方</w:t>
      </w:r>
      <w:r>
        <w:rPr>
          <w:rFonts w:hint="eastAsia" w:ascii="宋体" w:hAnsi="宋体"/>
          <w:sz w:val="24"/>
          <w:szCs w:val="21"/>
          <w:lang w:val="en-US" w:eastAsia="zh-CN"/>
        </w:rPr>
        <w:t>成交</w:t>
      </w:r>
      <w:r>
        <w:rPr>
          <w:rFonts w:hint="eastAsia" w:ascii="宋体" w:hAnsi="宋体"/>
          <w:sz w:val="24"/>
          <w:szCs w:val="21"/>
        </w:rPr>
        <w:t>，我方将根据磋商文件的规定，严格履行合同的责任和义务，并保证在磋商文件规定的时间完成项目，交付甲方验收、使用。</w:t>
      </w:r>
    </w:p>
    <w:p w14:paraId="36910100">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8.与本</w:t>
      </w:r>
      <w:r>
        <w:rPr>
          <w:rFonts w:hint="eastAsia" w:ascii="宋体" w:hAnsi="宋体"/>
          <w:sz w:val="24"/>
          <w:szCs w:val="21"/>
          <w:lang w:val="en-US" w:eastAsia="zh-CN"/>
        </w:rPr>
        <w:t>次磋商响应</w:t>
      </w:r>
      <w:r>
        <w:rPr>
          <w:rFonts w:hint="eastAsia" w:ascii="宋体" w:hAnsi="宋体"/>
          <w:sz w:val="24"/>
          <w:szCs w:val="21"/>
        </w:rPr>
        <w:t>有关的正式通讯地址为：</w:t>
      </w:r>
    </w:p>
    <w:p w14:paraId="73E01D36">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地     址：</w:t>
      </w:r>
    </w:p>
    <w:p w14:paraId="77CD9401">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邮     编：</w:t>
      </w:r>
    </w:p>
    <w:p w14:paraId="24B3E014">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电     话：</w:t>
      </w:r>
    </w:p>
    <w:p w14:paraId="23A82088">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传     真：</w:t>
      </w:r>
    </w:p>
    <w:p w14:paraId="03F4BCE7">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供应商开户行：</w:t>
      </w:r>
    </w:p>
    <w:p w14:paraId="5EFFA5EF">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 xml:space="preserve">账      号： </w:t>
      </w:r>
    </w:p>
    <w:p w14:paraId="108DAEA0">
      <w:pPr>
        <w:adjustRightInd w:val="0"/>
        <w:spacing w:line="500" w:lineRule="exact"/>
        <w:ind w:firstLine="480"/>
        <w:jc w:val="left"/>
        <w:textAlignment w:val="baseline"/>
        <w:rPr>
          <w:rFonts w:hint="eastAsia" w:ascii="宋体" w:hAnsi="宋体"/>
          <w:sz w:val="24"/>
          <w:szCs w:val="21"/>
        </w:rPr>
      </w:pPr>
      <w:r>
        <w:rPr>
          <w:rFonts w:hint="eastAsia" w:ascii="宋体" w:hAnsi="宋体"/>
          <w:sz w:val="24"/>
          <w:szCs w:val="21"/>
        </w:rPr>
        <w:t>日     期：______年____月____日</w:t>
      </w:r>
    </w:p>
    <w:p w14:paraId="2670D9B6">
      <w:pPr>
        <w:spacing w:line="500" w:lineRule="exact"/>
        <w:jc w:val="center"/>
        <w:rPr>
          <w:rFonts w:hint="eastAsia" w:ascii="方正小标宋_GBK" w:hAnsi="方正小标宋_GBK" w:eastAsia="方正小标宋_GBK" w:cs="方正小标宋_GBK"/>
          <w:sz w:val="32"/>
          <w:szCs w:val="32"/>
        </w:rPr>
      </w:pPr>
      <w:r>
        <w:rPr>
          <w:szCs w:val="21"/>
        </w:rPr>
        <w:br w:type="page"/>
      </w:r>
      <w:r>
        <w:rPr>
          <w:rFonts w:hint="eastAsia" w:ascii="方正小标宋_GBK" w:hAnsi="方正小标宋_GBK" w:eastAsia="方正小标宋_GBK" w:cs="方正小标宋_GBK"/>
          <w:sz w:val="32"/>
          <w:szCs w:val="32"/>
        </w:rPr>
        <w:t>九、中小微企业声明函（服务）</w:t>
      </w:r>
    </w:p>
    <w:p w14:paraId="525CEDB0">
      <w:pPr>
        <w:widowControl/>
        <w:spacing w:before="100" w:after="100" w:line="500" w:lineRule="exact"/>
        <w:ind w:firstLine="480" w:firstLineChars="200"/>
        <w:rPr>
          <w:rFonts w:hint="eastAsia" w:ascii="宋体" w:hAnsi="宋体" w:cs="宋体"/>
          <w:kern w:val="0"/>
          <w:sz w:val="24"/>
        </w:rPr>
      </w:pPr>
      <w:r>
        <w:rPr>
          <w:rFonts w:hint="eastAsia" w:ascii="宋体" w:hAnsi="宋体" w:cs="宋体"/>
          <w:kern w:val="0"/>
          <w:sz w:val="24"/>
        </w:rPr>
        <w:t>本公司（联合体）郑重声明，根据《政府采购促进中小企业发展管理办法》(财库[2020]46号)的规定，本公司（联合体）参加</w:t>
      </w:r>
      <w:r>
        <w:rPr>
          <w:rFonts w:hint="eastAsia" w:ascii="宋体" w:hAnsi="宋体" w:cs="宋体"/>
          <w:bCs/>
          <w:kern w:val="0"/>
          <w:sz w:val="24"/>
          <w:u w:val="single"/>
        </w:rPr>
        <w:t xml:space="preserve"> </w:t>
      </w:r>
      <w:r>
        <w:rPr>
          <w:rFonts w:ascii="宋体" w:hAnsi="宋体" w:cs="宋体"/>
          <w:bCs/>
          <w:kern w:val="0"/>
          <w:sz w:val="24"/>
          <w:u w:val="single"/>
        </w:rPr>
        <w:t xml:space="preserve">          </w:t>
      </w:r>
      <w:r>
        <w:rPr>
          <w:rFonts w:hint="eastAsia" w:ascii="宋体" w:hAnsi="宋体" w:cs="宋体"/>
          <w:kern w:val="0"/>
          <w:sz w:val="24"/>
        </w:rPr>
        <w:t>单位的采购文件编号为</w:t>
      </w:r>
      <w:r>
        <w:rPr>
          <w:rFonts w:hint="eastAsia" w:ascii="宋体" w:hAnsi="宋体" w:cs="宋体"/>
          <w:kern w:val="0"/>
          <w:sz w:val="24"/>
          <w:u w:val="single"/>
        </w:rPr>
        <w:t xml:space="preserve">         </w:t>
      </w:r>
      <w:r>
        <w:rPr>
          <w:rFonts w:ascii="宋体" w:hAnsi="宋体" w:cs="宋体"/>
          <w:bCs/>
          <w:kern w:val="0"/>
          <w:sz w:val="24"/>
          <w:u w:val="single"/>
        </w:rPr>
        <w:t xml:space="preserve">     </w:t>
      </w:r>
      <w:r>
        <w:rPr>
          <w:rFonts w:hint="eastAsia" w:ascii="宋体" w:hAnsi="宋体" w:cs="宋体"/>
          <w:kern w:val="0"/>
          <w:sz w:val="24"/>
        </w:rPr>
        <w:t>的采购活动，服务全部由符合政策的中小微企业承接。根据《工业和信息化部、国家统计局、国家发展和改革委员会、财政部关于印发中小微企业划型标准规定的通知》(工信部联企业[2011]300号)的规定，相关企业（含联合体中的中小微企业、签订分包意向协议的中小微企业）的具体情况如下：</w:t>
      </w:r>
    </w:p>
    <w:p w14:paraId="52175938">
      <w:pPr>
        <w:widowControl/>
        <w:spacing w:before="100" w:after="100" w:line="500" w:lineRule="exact"/>
        <w:ind w:firstLine="360"/>
        <w:rPr>
          <w:rFonts w:hint="eastAsia" w:ascii="宋体" w:hAnsi="宋体" w:cs="宋体"/>
          <w:i/>
          <w:iCs/>
          <w:kern w:val="0"/>
          <w:sz w:val="24"/>
        </w:rPr>
      </w:pPr>
      <w:r>
        <w:rPr>
          <w:rFonts w:hint="eastAsia" w:ascii="宋体" w:hAnsi="宋体" w:cs="宋体"/>
          <w:i/>
          <w:iCs/>
          <w:kern w:val="0"/>
          <w:sz w:val="24"/>
        </w:rPr>
        <w:t>1.</w:t>
      </w:r>
      <w:r>
        <w:rPr>
          <w:rFonts w:hint="eastAsia" w:ascii="宋体" w:hAnsi="宋体" w:cs="宋体"/>
          <w:i/>
          <w:iCs/>
          <w:kern w:val="0"/>
          <w:sz w:val="24"/>
          <w:u w:val="single"/>
        </w:rPr>
        <w:t>（标的名称）</w:t>
      </w:r>
      <w:r>
        <w:rPr>
          <w:rFonts w:hint="eastAsia" w:ascii="宋体" w:hAnsi="宋体" w:cs="宋体"/>
          <w:i/>
          <w:iCs/>
          <w:kern w:val="0"/>
          <w:sz w:val="24"/>
        </w:rPr>
        <w:t>，属于</w:t>
      </w:r>
      <w:r>
        <w:rPr>
          <w:rFonts w:hint="eastAsia" w:ascii="宋体" w:hAnsi="宋体" w:cs="宋体"/>
          <w:i/>
          <w:iCs/>
          <w:kern w:val="0"/>
          <w:sz w:val="24"/>
          <w:u w:val="single"/>
        </w:rPr>
        <w:t xml:space="preserve">       </w:t>
      </w:r>
      <w:r>
        <w:rPr>
          <w:rFonts w:hint="eastAsia" w:ascii="宋体" w:hAnsi="宋体" w:cs="宋体"/>
          <w:i/>
          <w:iCs/>
          <w:kern w:val="0"/>
          <w:sz w:val="24"/>
        </w:rPr>
        <w:t>行业；承接企业为</w:t>
      </w:r>
      <w:r>
        <w:rPr>
          <w:rFonts w:hint="eastAsia" w:ascii="宋体" w:hAnsi="宋体" w:cs="宋体"/>
          <w:i/>
          <w:iCs/>
          <w:kern w:val="0"/>
          <w:sz w:val="24"/>
          <w:u w:val="single"/>
        </w:rPr>
        <w:t>（企业名称）</w:t>
      </w:r>
      <w:r>
        <w:rPr>
          <w:rFonts w:hint="eastAsia" w:ascii="宋体" w:hAnsi="宋体" w:cs="宋体"/>
          <w:i/>
          <w:iCs/>
          <w:kern w:val="0"/>
          <w:sz w:val="24"/>
        </w:rPr>
        <w:t>，从业人员</w:t>
      </w:r>
      <w:r>
        <w:rPr>
          <w:rFonts w:hint="eastAsia" w:ascii="宋体" w:hAnsi="宋体" w:cs="宋体"/>
          <w:i/>
          <w:iCs/>
          <w:kern w:val="0"/>
          <w:sz w:val="24"/>
          <w:u w:val="single"/>
        </w:rPr>
        <w:t xml:space="preserve">      </w:t>
      </w:r>
      <w:r>
        <w:rPr>
          <w:rFonts w:hint="eastAsia" w:ascii="宋体" w:hAnsi="宋体" w:cs="宋体"/>
          <w:i/>
          <w:iCs/>
          <w:kern w:val="0"/>
          <w:sz w:val="24"/>
        </w:rPr>
        <w:t>人，营业收入为</w:t>
      </w:r>
      <w:r>
        <w:rPr>
          <w:rFonts w:hint="eastAsia" w:ascii="宋体" w:hAnsi="宋体" w:cs="宋体"/>
          <w:i/>
          <w:iCs/>
          <w:kern w:val="0"/>
          <w:sz w:val="24"/>
          <w:u w:val="single"/>
        </w:rPr>
        <w:t xml:space="preserve">     </w:t>
      </w:r>
      <w:r>
        <w:rPr>
          <w:rFonts w:hint="eastAsia" w:ascii="宋体" w:hAnsi="宋体" w:cs="宋体"/>
          <w:i/>
          <w:iCs/>
          <w:kern w:val="0"/>
          <w:sz w:val="24"/>
        </w:rPr>
        <w:t>万元，资产总额为</w:t>
      </w:r>
      <w:r>
        <w:rPr>
          <w:rFonts w:hint="eastAsia" w:ascii="宋体" w:hAnsi="宋体" w:cs="宋体"/>
          <w:i/>
          <w:iCs/>
          <w:kern w:val="0"/>
          <w:sz w:val="24"/>
          <w:u w:val="single"/>
        </w:rPr>
        <w:t xml:space="preserve">      </w:t>
      </w:r>
      <w:r>
        <w:rPr>
          <w:rFonts w:hint="eastAsia" w:ascii="宋体" w:hAnsi="宋体" w:cs="宋体"/>
          <w:i/>
          <w:iCs/>
          <w:kern w:val="0"/>
          <w:sz w:val="24"/>
        </w:rPr>
        <w:t>万元</w:t>
      </w:r>
      <w:r>
        <w:rPr>
          <w:rFonts w:hint="eastAsia" w:ascii="宋体" w:hAnsi="宋体" w:cs="宋体"/>
          <w:i/>
          <w:iCs/>
          <w:kern w:val="0"/>
          <w:sz w:val="24"/>
          <w:vertAlign w:val="superscript"/>
        </w:rPr>
        <w:t>1</w:t>
      </w:r>
      <w:r>
        <w:rPr>
          <w:rFonts w:hint="eastAsia" w:ascii="宋体" w:hAnsi="宋体" w:cs="宋体"/>
          <w:i/>
          <w:iCs/>
          <w:kern w:val="0"/>
          <w:sz w:val="24"/>
        </w:rPr>
        <w:t>，属于</w:t>
      </w:r>
      <w:r>
        <w:rPr>
          <w:rFonts w:hint="eastAsia" w:ascii="宋体" w:hAnsi="宋体" w:cs="宋体"/>
          <w:i/>
          <w:iCs/>
          <w:kern w:val="0"/>
          <w:sz w:val="24"/>
          <w:u w:val="single"/>
        </w:rPr>
        <w:t>（中型企业、小型企业、微型企业）；</w:t>
      </w:r>
    </w:p>
    <w:p w14:paraId="64C6A2D7">
      <w:pPr>
        <w:widowControl/>
        <w:spacing w:before="100" w:after="100" w:line="500" w:lineRule="exact"/>
        <w:ind w:firstLine="360"/>
        <w:rPr>
          <w:rFonts w:hint="eastAsia" w:ascii="宋体" w:hAnsi="宋体" w:cs="宋体"/>
          <w:i/>
          <w:iCs/>
          <w:kern w:val="0"/>
          <w:sz w:val="24"/>
        </w:rPr>
      </w:pPr>
      <w:r>
        <w:rPr>
          <w:rFonts w:hint="eastAsia" w:ascii="宋体" w:hAnsi="宋体" w:cs="宋体"/>
          <w:i/>
          <w:iCs/>
          <w:kern w:val="0"/>
          <w:sz w:val="24"/>
        </w:rPr>
        <w:t>2.</w:t>
      </w:r>
      <w:r>
        <w:rPr>
          <w:rFonts w:hint="eastAsia" w:ascii="宋体" w:hAnsi="宋体" w:cs="宋体"/>
          <w:i/>
          <w:iCs/>
          <w:kern w:val="0"/>
          <w:sz w:val="24"/>
          <w:u w:val="single"/>
        </w:rPr>
        <w:t>（标的名称）</w:t>
      </w:r>
      <w:r>
        <w:rPr>
          <w:rFonts w:hint="eastAsia" w:ascii="宋体" w:hAnsi="宋体" w:cs="宋体"/>
          <w:i/>
          <w:iCs/>
          <w:kern w:val="0"/>
          <w:sz w:val="24"/>
        </w:rPr>
        <w:t>，属于</w:t>
      </w:r>
      <w:r>
        <w:rPr>
          <w:rFonts w:hint="eastAsia" w:ascii="宋体" w:hAnsi="宋体" w:cs="宋体"/>
          <w:i/>
          <w:iCs/>
          <w:kern w:val="0"/>
          <w:sz w:val="24"/>
          <w:u w:val="single"/>
        </w:rPr>
        <w:t xml:space="preserve">       </w:t>
      </w:r>
      <w:r>
        <w:rPr>
          <w:rFonts w:hint="eastAsia" w:ascii="宋体" w:hAnsi="宋体" w:cs="宋体"/>
          <w:i/>
          <w:iCs/>
          <w:kern w:val="0"/>
          <w:sz w:val="24"/>
        </w:rPr>
        <w:t>行业；承接企业为</w:t>
      </w:r>
      <w:r>
        <w:rPr>
          <w:rFonts w:hint="eastAsia" w:ascii="宋体" w:hAnsi="宋体" w:cs="宋体"/>
          <w:i/>
          <w:iCs/>
          <w:kern w:val="0"/>
          <w:sz w:val="24"/>
          <w:u w:val="single"/>
        </w:rPr>
        <w:t>（企业名称）</w:t>
      </w:r>
      <w:r>
        <w:rPr>
          <w:rFonts w:hint="eastAsia" w:ascii="宋体" w:hAnsi="宋体" w:cs="宋体"/>
          <w:i/>
          <w:iCs/>
          <w:kern w:val="0"/>
          <w:sz w:val="24"/>
        </w:rPr>
        <w:t>，从业人员</w:t>
      </w:r>
      <w:r>
        <w:rPr>
          <w:rFonts w:hint="eastAsia" w:ascii="宋体" w:hAnsi="宋体" w:cs="宋体"/>
          <w:i/>
          <w:iCs/>
          <w:kern w:val="0"/>
          <w:sz w:val="24"/>
          <w:u w:val="single"/>
        </w:rPr>
        <w:t xml:space="preserve">      </w:t>
      </w:r>
      <w:r>
        <w:rPr>
          <w:rFonts w:hint="eastAsia" w:ascii="宋体" w:hAnsi="宋体" w:cs="宋体"/>
          <w:i/>
          <w:iCs/>
          <w:kern w:val="0"/>
          <w:sz w:val="24"/>
        </w:rPr>
        <w:t>人，营业收入为</w:t>
      </w:r>
      <w:r>
        <w:rPr>
          <w:rFonts w:hint="eastAsia" w:ascii="宋体" w:hAnsi="宋体" w:cs="宋体"/>
          <w:i/>
          <w:iCs/>
          <w:kern w:val="0"/>
          <w:sz w:val="24"/>
          <w:u w:val="single"/>
        </w:rPr>
        <w:t xml:space="preserve">     </w:t>
      </w:r>
      <w:r>
        <w:rPr>
          <w:rFonts w:hint="eastAsia" w:ascii="宋体" w:hAnsi="宋体" w:cs="宋体"/>
          <w:i/>
          <w:iCs/>
          <w:kern w:val="0"/>
          <w:sz w:val="24"/>
        </w:rPr>
        <w:t>万元，资产总额为</w:t>
      </w:r>
      <w:r>
        <w:rPr>
          <w:rFonts w:hint="eastAsia" w:ascii="宋体" w:hAnsi="宋体" w:cs="宋体"/>
          <w:i/>
          <w:iCs/>
          <w:kern w:val="0"/>
          <w:sz w:val="24"/>
          <w:u w:val="single"/>
        </w:rPr>
        <w:t xml:space="preserve">      </w:t>
      </w:r>
      <w:r>
        <w:rPr>
          <w:rFonts w:hint="eastAsia" w:ascii="宋体" w:hAnsi="宋体" w:cs="宋体"/>
          <w:i/>
          <w:iCs/>
          <w:kern w:val="0"/>
          <w:sz w:val="24"/>
        </w:rPr>
        <w:t>万元</w:t>
      </w:r>
      <w:r>
        <w:rPr>
          <w:rFonts w:hint="eastAsia" w:ascii="宋体" w:hAnsi="宋体" w:cs="宋体"/>
          <w:i/>
          <w:iCs/>
          <w:kern w:val="0"/>
          <w:sz w:val="24"/>
          <w:vertAlign w:val="superscript"/>
        </w:rPr>
        <w:t>1</w:t>
      </w:r>
      <w:r>
        <w:rPr>
          <w:rFonts w:hint="eastAsia" w:ascii="宋体" w:hAnsi="宋体" w:cs="宋体"/>
          <w:i/>
          <w:iCs/>
          <w:kern w:val="0"/>
          <w:sz w:val="24"/>
        </w:rPr>
        <w:t>，属于</w:t>
      </w:r>
      <w:r>
        <w:rPr>
          <w:rFonts w:hint="eastAsia" w:ascii="宋体" w:hAnsi="宋体" w:cs="宋体"/>
          <w:i/>
          <w:iCs/>
          <w:kern w:val="0"/>
          <w:sz w:val="24"/>
          <w:u w:val="single"/>
        </w:rPr>
        <w:t>（中型企业、小型企业、微型企业）；</w:t>
      </w:r>
    </w:p>
    <w:p w14:paraId="336208B8">
      <w:pPr>
        <w:widowControl/>
        <w:spacing w:before="100" w:after="100" w:line="500" w:lineRule="exact"/>
        <w:ind w:firstLine="360"/>
        <w:rPr>
          <w:rFonts w:hint="eastAsia" w:ascii="宋体" w:hAnsi="宋体" w:cs="宋体"/>
          <w:kern w:val="0"/>
          <w:sz w:val="24"/>
        </w:rPr>
      </w:pPr>
      <w:r>
        <w:rPr>
          <w:rFonts w:hint="eastAsia" w:ascii="宋体" w:hAnsi="宋体" w:cs="宋体"/>
          <w:kern w:val="0"/>
          <w:sz w:val="24"/>
        </w:rPr>
        <w:t>……</w:t>
      </w:r>
    </w:p>
    <w:p w14:paraId="52F542ED">
      <w:pPr>
        <w:widowControl/>
        <w:spacing w:before="100" w:after="100" w:line="500" w:lineRule="exact"/>
        <w:ind w:firstLine="360"/>
        <w:rPr>
          <w:rFonts w:hint="eastAsia" w:ascii="宋体" w:hAnsi="宋体" w:cs="宋体"/>
          <w:kern w:val="0"/>
          <w:sz w:val="24"/>
        </w:rPr>
      </w:pPr>
      <w:r>
        <w:rPr>
          <w:rFonts w:hint="eastAsia" w:ascii="宋体" w:hAnsi="宋体" w:cs="宋体"/>
          <w:kern w:val="0"/>
          <w:sz w:val="24"/>
        </w:rPr>
        <w:t>以上企业，不属于大企业的分支机构，不存在控股股东为大企业的情形，也不存在与大企业的负责人为同一人的情形。</w:t>
      </w:r>
    </w:p>
    <w:p w14:paraId="26154DE6">
      <w:pPr>
        <w:widowControl/>
        <w:spacing w:before="100" w:after="100" w:line="500" w:lineRule="exact"/>
        <w:ind w:firstLine="360"/>
        <w:rPr>
          <w:rFonts w:hint="eastAsia" w:ascii="宋体" w:hAnsi="宋体" w:cs="宋体"/>
          <w:kern w:val="0"/>
          <w:sz w:val="24"/>
        </w:rPr>
      </w:pPr>
      <w:r>
        <w:rPr>
          <w:rFonts w:hint="eastAsia" w:ascii="宋体" w:hAnsi="宋体" w:cs="宋体"/>
          <w:kern w:val="0"/>
          <w:sz w:val="24"/>
        </w:rPr>
        <w:t>本企业对上述声明内容的真实性负责。如有虚假，将依法承担相应责任。</w:t>
      </w:r>
    </w:p>
    <w:p w14:paraId="1A5A3531">
      <w:pPr>
        <w:widowControl/>
        <w:spacing w:before="100" w:after="100" w:line="500" w:lineRule="exact"/>
        <w:ind w:right="720"/>
        <w:rPr>
          <w:rFonts w:hint="eastAsia" w:ascii="宋体" w:hAnsi="宋体" w:cs="宋体"/>
          <w:kern w:val="0"/>
          <w:sz w:val="24"/>
        </w:rPr>
      </w:pPr>
      <w:r>
        <w:rPr>
          <w:rFonts w:ascii="宋体" w:hAnsi="宋体" w:cs="宋体"/>
          <w:kern w:val="0"/>
          <w:sz w:val="24"/>
        </w:rPr>
        <w:t> </w:t>
      </w:r>
    </w:p>
    <w:p w14:paraId="11B75AF7">
      <w:pPr>
        <w:widowControl/>
        <w:spacing w:before="100" w:after="100" w:line="500" w:lineRule="exact"/>
        <w:ind w:right="180" w:firstLine="360"/>
        <w:jc w:val="right"/>
        <w:rPr>
          <w:rFonts w:hint="eastAsia" w:ascii="宋体" w:hAnsi="宋体" w:cs="宋体"/>
          <w:kern w:val="0"/>
          <w:sz w:val="24"/>
        </w:rPr>
      </w:pPr>
      <w:r>
        <w:rPr>
          <w:rFonts w:hint="eastAsia" w:ascii="宋体" w:hAnsi="宋体" w:cs="宋体"/>
          <w:kern w:val="0"/>
          <w:sz w:val="24"/>
        </w:rPr>
        <w:t>企业名称（公章）：</w:t>
      </w:r>
    </w:p>
    <w:p w14:paraId="4229781E">
      <w:pPr>
        <w:widowControl/>
        <w:spacing w:before="100" w:after="100" w:line="500" w:lineRule="exact"/>
        <w:ind w:right="480"/>
        <w:jc w:val="right"/>
        <w:rPr>
          <w:rFonts w:hint="eastAsia" w:ascii="宋体" w:hAnsi="宋体" w:cs="宋体"/>
          <w:kern w:val="0"/>
          <w:sz w:val="24"/>
        </w:rPr>
      </w:pPr>
      <w:r>
        <w:rPr>
          <w:rFonts w:hint="eastAsia" w:ascii="宋体" w:hAnsi="宋体" w:cs="宋体"/>
          <w:kern w:val="0"/>
          <w:sz w:val="24"/>
        </w:rPr>
        <w:t>日  期：</w:t>
      </w:r>
    </w:p>
    <w:p w14:paraId="4BF1EE31">
      <w:pPr>
        <w:spacing w:line="500" w:lineRule="exact"/>
        <w:ind w:firstLine="480"/>
        <w:rPr>
          <w:sz w:val="24"/>
          <w:szCs w:val="21"/>
        </w:rPr>
      </w:pPr>
      <w:r>
        <w:rPr>
          <w:szCs w:val="21"/>
        </w:rPr>
        <w:t> </w:t>
      </w:r>
      <w:r>
        <w:rPr>
          <w:rFonts w:hint="eastAsia"/>
          <w:sz w:val="24"/>
          <w:szCs w:val="21"/>
        </w:rPr>
        <w:t>备注1：从业人员、营业收入、资产总额填报上一年度数据，无上一年度数据的新成立企业可不填报。</w:t>
      </w:r>
    </w:p>
    <w:p w14:paraId="1B4B98BB">
      <w:pPr>
        <w:spacing w:line="500" w:lineRule="exact"/>
        <w:ind w:firstLine="480"/>
        <w:rPr>
          <w:rFonts w:cs="黑体"/>
          <w:i/>
          <w:sz w:val="32"/>
          <w:szCs w:val="32"/>
          <w:u w:val="single"/>
        </w:rPr>
      </w:pPr>
      <w:r>
        <w:rPr>
          <w:rFonts w:hint="eastAsia"/>
          <w:sz w:val="24"/>
          <w:szCs w:val="21"/>
        </w:rPr>
        <w:t>备注2：供应商如不提供此声明函，价格将不做相应扣除（如项目全面面向中小企业，则资格审查不通过）。</w:t>
      </w:r>
    </w:p>
    <w:p w14:paraId="3E2F09FC">
      <w:pPr>
        <w:widowControl/>
        <w:spacing w:before="100" w:after="100" w:line="500" w:lineRule="exact"/>
        <w:ind w:firstLine="480"/>
        <w:rPr>
          <w:rFonts w:hint="eastAsia" w:ascii="宋体" w:hAnsi="宋体" w:cs="宋体"/>
          <w:kern w:val="0"/>
          <w:sz w:val="24"/>
        </w:rPr>
      </w:pPr>
    </w:p>
    <w:p w14:paraId="2D9EF066">
      <w:pPr>
        <w:rPr>
          <w:szCs w:val="21"/>
        </w:rPr>
      </w:pPr>
      <w:r>
        <w:rPr>
          <w:rFonts w:hint="eastAsia" w:ascii="黑体" w:hAnsi="宋体" w:eastAsia="黑体" w:cs="黑体"/>
          <w:b/>
          <w:sz w:val="32"/>
          <w:szCs w:val="32"/>
        </w:rPr>
        <w:br w:type="page"/>
      </w:r>
    </w:p>
    <w:p w14:paraId="45794974">
      <w:pPr>
        <w:widowControl/>
        <w:spacing w:before="100" w:after="100" w:line="400" w:lineRule="exact"/>
        <w:jc w:val="center"/>
        <w:rPr>
          <w:rFonts w:hint="eastAsia" w:ascii="宋体" w:hAnsi="宋体" w:cs="宋体"/>
          <w:kern w:val="0"/>
          <w:sz w:val="24"/>
        </w:rPr>
      </w:pPr>
      <w:r>
        <w:rPr>
          <w:rFonts w:ascii="Cambria" w:hAnsi="Cambria" w:eastAsia="方正小标宋_GBK" w:cs="Cambria"/>
          <w:sz w:val="32"/>
          <w:szCs w:val="32"/>
        </w:rPr>
        <w:t> </w:t>
      </w:r>
      <w:r>
        <w:rPr>
          <w:rFonts w:hint="eastAsia" w:ascii="方正小标宋_GBK" w:hAnsi="方正小标宋_GBK" w:eastAsia="方正小标宋_GBK" w:cs="方正小标宋_GBK"/>
          <w:sz w:val="32"/>
          <w:szCs w:val="32"/>
        </w:rPr>
        <w:t>十、残疾人福利性单位声明函</w:t>
      </w:r>
    </w:p>
    <w:p w14:paraId="5903BD28">
      <w:pPr>
        <w:widowControl/>
        <w:spacing w:before="100" w:after="100" w:line="500" w:lineRule="exact"/>
        <w:ind w:firstLine="480" w:firstLineChars="200"/>
        <w:rPr>
          <w:rFonts w:hint="eastAsia" w:ascii="宋体" w:hAnsi="宋体" w:cs="宋体"/>
          <w:kern w:val="0"/>
          <w:sz w:val="24"/>
        </w:rPr>
      </w:pPr>
      <w:r>
        <w:rPr>
          <w:rFonts w:hint="eastAsia" w:ascii="宋体" w:hAnsi="宋体" w:cs="宋体"/>
          <w:kern w:val="0"/>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kern w:val="0"/>
          <w:sz w:val="24"/>
          <w:u w:val="single"/>
        </w:rPr>
        <w:t xml:space="preserve"> </w:t>
      </w:r>
      <w:r>
        <w:rPr>
          <w:rFonts w:ascii="宋体" w:hAnsi="宋体" w:cs="宋体"/>
          <w:bCs/>
          <w:kern w:val="0"/>
          <w:sz w:val="24"/>
          <w:u w:val="single"/>
        </w:rPr>
        <w:t xml:space="preserve">           </w:t>
      </w:r>
      <w:r>
        <w:rPr>
          <w:rFonts w:hint="eastAsia" w:ascii="宋体" w:hAnsi="宋体" w:cs="宋体"/>
          <w:kern w:val="0"/>
          <w:sz w:val="24"/>
        </w:rPr>
        <w:t>单位的采购文件编号为</w:t>
      </w:r>
      <w:r>
        <w:rPr>
          <w:rFonts w:hint="eastAsia" w:ascii="宋体" w:hAnsi="宋体" w:cs="宋体"/>
          <w:kern w:val="0"/>
          <w:sz w:val="24"/>
          <w:u w:val="single"/>
        </w:rPr>
        <w:t xml:space="preserve">    </w:t>
      </w:r>
      <w:r>
        <w:rPr>
          <w:rFonts w:ascii="宋体" w:hAnsi="宋体" w:cs="宋体"/>
          <w:kern w:val="0"/>
          <w:sz w:val="24"/>
          <w:u w:val="single"/>
        </w:rPr>
        <w:t xml:space="preserve">   </w:t>
      </w:r>
      <w:r>
        <w:rPr>
          <w:rFonts w:hint="eastAsia" w:ascii="宋体" w:hAnsi="宋体" w:cs="宋体"/>
          <w:kern w:val="0"/>
          <w:sz w:val="24"/>
          <w:u w:val="single"/>
        </w:rPr>
        <w:t xml:space="preserve">       </w:t>
      </w:r>
      <w:r>
        <w:rPr>
          <w:rFonts w:hint="eastAsia" w:ascii="宋体" w:hAnsi="宋体" w:cs="宋体"/>
          <w:kern w:val="0"/>
          <w:sz w:val="24"/>
        </w:rPr>
        <w:t>采购活动由本单位提供服务。</w:t>
      </w:r>
    </w:p>
    <w:p w14:paraId="7F7C9573">
      <w:pPr>
        <w:widowControl/>
        <w:spacing w:before="100" w:after="100" w:line="500" w:lineRule="exact"/>
        <w:ind w:firstLine="480" w:firstLineChars="200"/>
        <w:rPr>
          <w:rFonts w:hint="eastAsia" w:ascii="宋体" w:hAnsi="宋体" w:cs="宋体"/>
          <w:kern w:val="0"/>
          <w:sz w:val="24"/>
        </w:rPr>
      </w:pPr>
      <w:r>
        <w:rPr>
          <w:rFonts w:hint="eastAsia" w:ascii="宋体" w:hAnsi="宋体" w:cs="宋体"/>
          <w:kern w:val="0"/>
          <w:sz w:val="24"/>
        </w:rPr>
        <w:t>本单位对上述声明的真实性负责。如有虚假，将依法承担相应责任。</w:t>
      </w:r>
    </w:p>
    <w:p w14:paraId="697E4886">
      <w:pPr>
        <w:widowControl/>
        <w:spacing w:before="100" w:after="100" w:line="360" w:lineRule="auto"/>
        <w:ind w:firstLine="480"/>
        <w:rPr>
          <w:rFonts w:hint="eastAsia" w:ascii="宋体" w:hAnsi="宋体" w:cs="宋体"/>
          <w:kern w:val="0"/>
          <w:sz w:val="24"/>
        </w:rPr>
      </w:pPr>
      <w:r>
        <w:rPr>
          <w:rFonts w:hint="eastAsia" w:ascii="宋体" w:hAnsi="宋体" w:cs="宋体"/>
          <w:kern w:val="0"/>
          <w:sz w:val="24"/>
        </w:rPr>
        <w:t> </w:t>
      </w:r>
    </w:p>
    <w:p w14:paraId="2CB11E50">
      <w:pPr>
        <w:ind w:firstLine="480"/>
        <w:rPr>
          <w:rFonts w:hint="eastAsia" w:eastAsia="宋体"/>
          <w:sz w:val="24"/>
          <w:lang w:eastAsia="zh-CN"/>
        </w:rPr>
      </w:pPr>
      <w:r>
        <w:rPr>
          <w:rFonts w:hint="eastAsia"/>
          <w:sz w:val="24"/>
        </w:rPr>
        <w:t>备注：1、供应商如不提供此声明函，价格将不做相应扣除</w:t>
      </w:r>
      <w:r>
        <w:rPr>
          <w:rFonts w:hint="eastAsia"/>
          <w:sz w:val="24"/>
          <w:szCs w:val="21"/>
        </w:rPr>
        <w:t>（如项目全面面向中小企业，则资格审查不通过）</w:t>
      </w:r>
      <w:r>
        <w:rPr>
          <w:rFonts w:hint="eastAsia"/>
          <w:sz w:val="24"/>
        </w:rPr>
        <w:t>。2、</w:t>
      </w:r>
      <w:r>
        <w:rPr>
          <w:rFonts w:hint="eastAsia"/>
          <w:sz w:val="24"/>
          <w:lang w:val="en-US" w:eastAsia="zh-CN"/>
        </w:rPr>
        <w:t>成交供应商</w:t>
      </w:r>
      <w:r>
        <w:rPr>
          <w:rFonts w:hint="eastAsia"/>
          <w:sz w:val="24"/>
        </w:rPr>
        <w:t>为残疾人福利单位的，此声明函将随</w:t>
      </w:r>
      <w:r>
        <w:rPr>
          <w:rFonts w:hint="eastAsia"/>
          <w:sz w:val="24"/>
          <w:lang w:val="en-US" w:eastAsia="zh-CN"/>
        </w:rPr>
        <w:t>成交</w:t>
      </w:r>
      <w:r>
        <w:rPr>
          <w:rFonts w:hint="eastAsia"/>
          <w:sz w:val="24"/>
        </w:rPr>
        <w:t>结果同时公告，接受社会监督</w:t>
      </w:r>
      <w:r>
        <w:rPr>
          <w:rFonts w:hint="eastAsia"/>
          <w:sz w:val="24"/>
          <w:lang w:eastAsia="zh-CN"/>
        </w:rPr>
        <w:t>。</w:t>
      </w:r>
    </w:p>
    <w:p w14:paraId="21E4B08A">
      <w:pPr>
        <w:ind w:firstLine="480"/>
        <w:rPr>
          <w:sz w:val="24"/>
        </w:rPr>
      </w:pPr>
      <w:r>
        <w:rPr>
          <w:rFonts w:hint="eastAsia"/>
          <w:sz w:val="24"/>
        </w:rPr>
        <w:t> </w:t>
      </w:r>
    </w:p>
    <w:p w14:paraId="5D5570ED">
      <w:pPr>
        <w:widowControl/>
        <w:spacing w:before="100" w:after="100" w:line="360" w:lineRule="auto"/>
        <w:ind w:firstLine="624"/>
        <w:rPr>
          <w:rFonts w:hint="eastAsia" w:ascii="宋体" w:hAnsi="宋体" w:cs="宋体"/>
          <w:kern w:val="0"/>
          <w:sz w:val="24"/>
        </w:rPr>
      </w:pPr>
      <w:r>
        <w:rPr>
          <w:rFonts w:hint="eastAsia" w:ascii="宋体" w:hAnsi="宋体" w:cs="宋体"/>
          <w:kern w:val="0"/>
          <w:sz w:val="24"/>
        </w:rPr>
        <w:t> </w:t>
      </w:r>
    </w:p>
    <w:p w14:paraId="31DA2949">
      <w:pPr>
        <w:widowControl/>
        <w:tabs>
          <w:tab w:val="left" w:pos="4864"/>
        </w:tabs>
        <w:spacing w:before="100" w:after="100" w:line="500" w:lineRule="exact"/>
        <w:ind w:right="1559" w:firstLine="482"/>
        <w:jc w:val="center"/>
        <w:rPr>
          <w:rFonts w:hint="eastAsia" w:ascii="宋体" w:hAnsi="宋体" w:cs="宋体"/>
          <w:kern w:val="0"/>
          <w:sz w:val="24"/>
        </w:rPr>
      </w:pPr>
      <w:r>
        <w:rPr>
          <w:rFonts w:ascii="仿宋_GB2312" w:hAnsi="宋体" w:eastAsia="仿宋_GB2312" w:cs="仿宋_GB2312"/>
          <w:kern w:val="0"/>
          <w:sz w:val="30"/>
          <w:szCs w:val="30"/>
        </w:rPr>
        <w:t xml:space="preserve">             </w:t>
      </w:r>
      <w:r>
        <w:rPr>
          <w:rFonts w:hint="eastAsia" w:ascii="宋体" w:hAnsi="宋体" w:cs="宋体"/>
          <w:kern w:val="0"/>
          <w:sz w:val="24"/>
        </w:rPr>
        <w:t>         供应商全称（公章）：</w:t>
      </w:r>
    </w:p>
    <w:p w14:paraId="196EB2A8">
      <w:pPr>
        <w:widowControl/>
        <w:tabs>
          <w:tab w:val="left" w:pos="4864"/>
        </w:tabs>
        <w:spacing w:before="100" w:after="100" w:line="500" w:lineRule="exact"/>
        <w:ind w:right="1559" w:firstLine="482"/>
        <w:jc w:val="right"/>
        <w:rPr>
          <w:rFonts w:hint="eastAsia" w:ascii="宋体" w:hAnsi="宋体" w:cs="宋体"/>
          <w:kern w:val="0"/>
          <w:sz w:val="24"/>
        </w:rPr>
      </w:pPr>
      <w:r>
        <w:rPr>
          <w:rFonts w:hint="eastAsia" w:ascii="宋体" w:hAnsi="宋体" w:cs="宋体"/>
          <w:kern w:val="0"/>
          <w:sz w:val="24"/>
        </w:rPr>
        <w:t xml:space="preserve"> 日  期：</w:t>
      </w:r>
    </w:p>
    <w:p w14:paraId="46C8A867">
      <w:pPr>
        <w:rPr>
          <w:szCs w:val="21"/>
        </w:rPr>
      </w:pPr>
    </w:p>
    <w:p w14:paraId="1AF15B4D">
      <w:pPr>
        <w:spacing w:line="500" w:lineRule="exact"/>
        <w:jc w:val="center"/>
        <w:rPr>
          <w:rFonts w:hint="eastAsia" w:ascii="方正小标宋_GBK" w:hAnsi="方正小标宋_GBK" w:eastAsia="方正小标宋_GBK" w:cs="方正小标宋_GBK"/>
          <w:sz w:val="32"/>
          <w:szCs w:val="32"/>
        </w:rPr>
      </w:pPr>
    </w:p>
    <w:p w14:paraId="38485152">
      <w:pPr>
        <w:spacing w:line="500" w:lineRule="exact"/>
        <w:jc w:val="center"/>
        <w:rPr>
          <w:rFonts w:hint="eastAsia" w:ascii="方正小标宋_GBK" w:hAnsi="方正小标宋_GBK" w:eastAsia="方正小标宋_GBK" w:cs="方正小标宋_GBK"/>
          <w:sz w:val="32"/>
          <w:szCs w:val="32"/>
        </w:rPr>
      </w:pPr>
    </w:p>
    <w:p w14:paraId="4964810B">
      <w:pPr>
        <w:spacing w:line="500" w:lineRule="exact"/>
        <w:jc w:val="center"/>
        <w:rPr>
          <w:rFonts w:hint="eastAsia" w:ascii="方正小标宋_GBK" w:hAnsi="方正小标宋_GBK" w:eastAsia="方正小标宋_GBK" w:cs="方正小标宋_GBK"/>
          <w:sz w:val="32"/>
          <w:szCs w:val="32"/>
        </w:rPr>
      </w:pPr>
    </w:p>
    <w:p w14:paraId="2FB75D10">
      <w:pPr>
        <w:spacing w:line="500" w:lineRule="exact"/>
        <w:jc w:val="center"/>
        <w:rPr>
          <w:rFonts w:hint="eastAsia" w:ascii="方正小标宋_GBK" w:hAnsi="方正小标宋_GBK" w:eastAsia="方正小标宋_GBK" w:cs="方正小标宋_GBK"/>
          <w:sz w:val="32"/>
          <w:szCs w:val="32"/>
        </w:rPr>
      </w:pPr>
    </w:p>
    <w:p w14:paraId="2879EF07">
      <w:pPr>
        <w:spacing w:line="500" w:lineRule="exact"/>
        <w:jc w:val="center"/>
        <w:rPr>
          <w:rFonts w:hint="eastAsia" w:ascii="方正小标宋_GBK" w:hAnsi="方正小标宋_GBK" w:eastAsia="方正小标宋_GBK" w:cs="方正小标宋_GBK"/>
          <w:sz w:val="32"/>
          <w:szCs w:val="32"/>
        </w:rPr>
      </w:pPr>
    </w:p>
    <w:p w14:paraId="68D3AC91">
      <w:pPr>
        <w:spacing w:line="500" w:lineRule="exact"/>
        <w:jc w:val="center"/>
        <w:rPr>
          <w:rFonts w:hint="eastAsia" w:ascii="方正小标宋_GBK" w:hAnsi="方正小标宋_GBK" w:eastAsia="方正小标宋_GBK" w:cs="方正小标宋_GBK"/>
          <w:sz w:val="32"/>
          <w:szCs w:val="32"/>
        </w:rPr>
      </w:pPr>
    </w:p>
    <w:p w14:paraId="1B902C64">
      <w:pPr>
        <w:spacing w:line="500" w:lineRule="exact"/>
        <w:jc w:val="center"/>
        <w:rPr>
          <w:rFonts w:hint="eastAsia" w:ascii="方正小标宋_GBK" w:hAnsi="方正小标宋_GBK" w:eastAsia="方正小标宋_GBK" w:cs="方正小标宋_GBK"/>
          <w:sz w:val="32"/>
          <w:szCs w:val="32"/>
        </w:rPr>
      </w:pPr>
    </w:p>
    <w:p w14:paraId="0503B985">
      <w:pPr>
        <w:spacing w:line="500" w:lineRule="exact"/>
        <w:jc w:val="center"/>
        <w:rPr>
          <w:rFonts w:hint="eastAsia" w:ascii="方正小标宋_GBK" w:hAnsi="方正小标宋_GBK" w:eastAsia="方正小标宋_GBK" w:cs="方正小标宋_GBK"/>
          <w:sz w:val="32"/>
          <w:szCs w:val="32"/>
        </w:rPr>
      </w:pPr>
    </w:p>
    <w:p w14:paraId="7AF0D7D6">
      <w:pPr>
        <w:spacing w:line="500" w:lineRule="exact"/>
        <w:jc w:val="center"/>
        <w:rPr>
          <w:rFonts w:hint="eastAsia" w:ascii="方正小标宋_GBK" w:hAnsi="方正小标宋_GBK" w:eastAsia="方正小标宋_GBK" w:cs="方正小标宋_GBK"/>
          <w:sz w:val="32"/>
          <w:szCs w:val="32"/>
        </w:rPr>
      </w:pPr>
    </w:p>
    <w:p w14:paraId="0495399C">
      <w:pPr>
        <w:spacing w:line="500" w:lineRule="exact"/>
        <w:jc w:val="center"/>
        <w:rPr>
          <w:rFonts w:hint="eastAsia" w:ascii="方正小标宋_GBK" w:hAnsi="方正小标宋_GBK" w:eastAsia="方正小标宋_GBK" w:cs="方正小标宋_GBK"/>
          <w:sz w:val="32"/>
          <w:szCs w:val="32"/>
        </w:rPr>
      </w:pPr>
    </w:p>
    <w:p w14:paraId="6BCFDBBA">
      <w:pPr>
        <w:spacing w:line="500" w:lineRule="exact"/>
        <w:jc w:val="center"/>
        <w:rPr>
          <w:rFonts w:hint="eastAsia" w:ascii="方正小标宋_GBK" w:hAnsi="方正小标宋_GBK" w:eastAsia="方正小标宋_GBK" w:cs="方正小标宋_GBK"/>
          <w:sz w:val="32"/>
          <w:szCs w:val="32"/>
        </w:rPr>
      </w:pPr>
    </w:p>
    <w:p w14:paraId="202D6868">
      <w:pPr>
        <w:spacing w:line="500" w:lineRule="exact"/>
        <w:jc w:val="center"/>
        <w:rPr>
          <w:rFonts w:hint="eastAsia" w:ascii="方正小标宋_GBK" w:hAnsi="方正小标宋_GBK" w:eastAsia="方正小标宋_GBK" w:cs="方正小标宋_GBK"/>
          <w:sz w:val="32"/>
          <w:szCs w:val="32"/>
        </w:rPr>
      </w:pPr>
    </w:p>
    <w:p w14:paraId="090B1EBF">
      <w:pPr>
        <w:spacing w:line="500" w:lineRule="exact"/>
        <w:jc w:val="center"/>
        <w:rPr>
          <w:rFonts w:hint="eastAsia" w:ascii="方正小标宋_GBK" w:hAnsi="方正小标宋_GBK" w:eastAsia="方正小标宋_GBK" w:cs="方正小标宋_GBK"/>
          <w:sz w:val="32"/>
          <w:szCs w:val="32"/>
        </w:rPr>
      </w:pPr>
    </w:p>
    <w:p w14:paraId="0AA74B60">
      <w:pPr>
        <w:jc w:val="center"/>
        <w:outlineLvl w:val="1"/>
        <w:rPr>
          <w:rFonts w:hint="eastAsia" w:ascii="黑体" w:hAnsi="宋体" w:eastAsia="黑体" w:cs="黑体"/>
          <w:b/>
          <w:kern w:val="0"/>
          <w:sz w:val="32"/>
          <w:szCs w:val="32"/>
        </w:rPr>
      </w:pPr>
    </w:p>
    <w:p w14:paraId="17073369">
      <w:pPr>
        <w:jc w:val="center"/>
        <w:outlineLvl w:val="1"/>
        <w:rPr>
          <w:rFonts w:hint="eastAsia" w:ascii="黑体" w:hAnsi="宋体" w:eastAsia="黑体" w:cs="黑体"/>
          <w:b/>
          <w:kern w:val="0"/>
          <w:sz w:val="32"/>
          <w:szCs w:val="32"/>
        </w:rPr>
        <w:sectPr>
          <w:footerReference r:id="rId3" w:type="default"/>
          <w:pgSz w:w="11906" w:h="16838"/>
          <w:pgMar w:top="1417" w:right="1417" w:bottom="1417" w:left="1417" w:header="510" w:footer="907" w:gutter="0"/>
          <w:cols w:space="0" w:num="1"/>
          <w:rtlGutter w:val="0"/>
          <w:docGrid w:linePitch="360" w:charSpace="0"/>
        </w:sectPr>
      </w:pPr>
    </w:p>
    <w:p w14:paraId="18A66201">
      <w:pPr>
        <w:jc w:val="center"/>
        <w:outlineLvl w:val="1"/>
        <w:rPr>
          <w:rFonts w:hint="eastAsia" w:hAnsi="宋体"/>
          <w:b/>
          <w:bCs/>
          <w:kern w:val="0"/>
          <w:sz w:val="32"/>
          <w:szCs w:val="32"/>
        </w:rPr>
      </w:pPr>
      <w:r>
        <w:rPr>
          <w:rFonts w:hint="eastAsia" w:ascii="黑体" w:hAnsi="宋体" w:eastAsia="黑体" w:cs="黑体"/>
          <w:b/>
          <w:kern w:val="0"/>
          <w:sz w:val="32"/>
          <w:szCs w:val="32"/>
        </w:rPr>
        <w:t>十一、分项报价表（具体格式自拟）</w:t>
      </w:r>
    </w:p>
    <w:p w14:paraId="420A7244">
      <w:pPr>
        <w:spacing w:line="480" w:lineRule="exact"/>
        <w:rPr>
          <w:rFonts w:hint="eastAsia" w:hAnsi="宋体"/>
          <w:iCs/>
          <w:kern w:val="0"/>
          <w:szCs w:val="21"/>
          <w:lang w:val="zh-CN"/>
        </w:rPr>
      </w:pPr>
    </w:p>
    <w:p w14:paraId="25CE737F">
      <w:pPr>
        <w:spacing w:line="500" w:lineRule="exact"/>
        <w:rPr>
          <w:rFonts w:hint="eastAsia" w:ascii="宋体" w:hAnsi="宋体"/>
          <w:sz w:val="24"/>
        </w:rPr>
      </w:pPr>
      <w:r>
        <w:rPr>
          <w:rFonts w:hint="eastAsia" w:ascii="宋体" w:hAnsi="宋体"/>
          <w:sz w:val="24"/>
        </w:rPr>
        <w:t xml:space="preserve">项目名称： </w:t>
      </w:r>
    </w:p>
    <w:p w14:paraId="7C318BFA">
      <w:pPr>
        <w:spacing w:line="500" w:lineRule="exact"/>
        <w:rPr>
          <w:rFonts w:hint="eastAsia" w:ascii="宋体" w:hAnsi="宋体"/>
          <w:sz w:val="24"/>
        </w:rPr>
      </w:pPr>
      <w:r>
        <w:rPr>
          <w:rFonts w:hint="eastAsia" w:ascii="宋体" w:hAnsi="宋体"/>
          <w:sz w:val="24"/>
        </w:rPr>
        <w:t>项目编号：</w:t>
      </w:r>
    </w:p>
    <w:p w14:paraId="78465DF2">
      <w:pPr>
        <w:pStyle w:val="3"/>
        <w:rPr>
          <w:rFonts w:hint="eastAsia"/>
        </w:rPr>
      </w:pP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583"/>
        <w:gridCol w:w="2971"/>
        <w:gridCol w:w="1522"/>
      </w:tblGrid>
      <w:tr w14:paraId="1E1C0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021" w:type="dxa"/>
            <w:vAlign w:val="center"/>
          </w:tcPr>
          <w:p w14:paraId="42A6B78D">
            <w:pPr>
              <w:spacing w:line="500" w:lineRule="exact"/>
              <w:rPr>
                <w:rFonts w:hint="eastAsia" w:asciiTheme="minorEastAsia" w:hAnsiTheme="minorEastAsia" w:eastAsiaTheme="minorEastAsia"/>
                <w:color w:val="0000CC"/>
                <w:sz w:val="24"/>
              </w:rPr>
            </w:pPr>
            <w:r>
              <w:rPr>
                <w:rFonts w:hint="eastAsia" w:ascii="宋体" w:hAnsi="宋体"/>
                <w:sz w:val="24"/>
              </w:rPr>
              <w:t xml:space="preserve"> </w:t>
            </w:r>
            <w:r>
              <w:rPr>
                <w:rFonts w:hint="eastAsia" w:asciiTheme="minorEastAsia" w:hAnsiTheme="minorEastAsia" w:eastAsiaTheme="minorEastAsia"/>
                <w:color w:val="0000CC"/>
                <w:sz w:val="24"/>
              </w:rPr>
              <w:t>序号</w:t>
            </w:r>
          </w:p>
        </w:tc>
        <w:tc>
          <w:tcPr>
            <w:tcW w:w="3583" w:type="dxa"/>
            <w:vAlign w:val="center"/>
          </w:tcPr>
          <w:p w14:paraId="10DC79E3">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人员类别</w:t>
            </w:r>
          </w:p>
        </w:tc>
        <w:tc>
          <w:tcPr>
            <w:tcW w:w="2971" w:type="dxa"/>
            <w:vAlign w:val="center"/>
          </w:tcPr>
          <w:p w14:paraId="4C5891B7">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保费</w:t>
            </w:r>
            <w:r>
              <w:rPr>
                <w:rFonts w:hint="eastAsia" w:asciiTheme="minorEastAsia" w:hAnsiTheme="minorEastAsia" w:eastAsiaTheme="minorEastAsia"/>
                <w:color w:val="0000CC"/>
                <w:sz w:val="24"/>
                <w:lang w:val="en-US" w:eastAsia="zh-CN"/>
              </w:rPr>
              <w:t>响应</w:t>
            </w:r>
            <w:r>
              <w:rPr>
                <w:rFonts w:hint="eastAsia" w:asciiTheme="minorEastAsia" w:hAnsiTheme="minorEastAsia" w:eastAsiaTheme="minorEastAsia"/>
                <w:color w:val="0000CC"/>
                <w:sz w:val="24"/>
              </w:rPr>
              <w:t>单价</w:t>
            </w:r>
          </w:p>
          <w:p w14:paraId="753CAEE3">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（元/人/年）</w:t>
            </w:r>
          </w:p>
        </w:tc>
        <w:tc>
          <w:tcPr>
            <w:tcW w:w="1522" w:type="dxa"/>
            <w:vAlign w:val="center"/>
          </w:tcPr>
          <w:p w14:paraId="340E27DC">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合价（元）</w:t>
            </w:r>
          </w:p>
        </w:tc>
      </w:tr>
      <w:tr w14:paraId="6260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21" w:type="dxa"/>
            <w:vMerge w:val="restart"/>
            <w:vAlign w:val="center"/>
          </w:tcPr>
          <w:p w14:paraId="33DC0995">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1</w:t>
            </w:r>
          </w:p>
        </w:tc>
        <w:tc>
          <w:tcPr>
            <w:tcW w:w="3583" w:type="dxa"/>
            <w:vMerge w:val="restart"/>
            <w:vAlign w:val="center"/>
          </w:tcPr>
          <w:p w14:paraId="1B68560C">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消防文员</w:t>
            </w:r>
          </w:p>
        </w:tc>
        <w:tc>
          <w:tcPr>
            <w:tcW w:w="2971" w:type="dxa"/>
            <w:vMerge w:val="restart"/>
            <w:vAlign w:val="center"/>
          </w:tcPr>
          <w:p w14:paraId="0CB9D7B0">
            <w:pPr>
              <w:ind w:firstLine="480" w:firstLineChars="200"/>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 xml:space="preserve"> </w:t>
            </w:r>
          </w:p>
        </w:tc>
        <w:tc>
          <w:tcPr>
            <w:tcW w:w="1522" w:type="dxa"/>
            <w:vMerge w:val="restart"/>
            <w:vAlign w:val="center"/>
          </w:tcPr>
          <w:p w14:paraId="50943FCC">
            <w:pPr>
              <w:jc w:val="center"/>
              <w:rPr>
                <w:rFonts w:hint="eastAsia" w:asciiTheme="minorEastAsia" w:hAnsiTheme="minorEastAsia" w:eastAsiaTheme="minorEastAsia"/>
                <w:color w:val="0000CC"/>
                <w:sz w:val="24"/>
              </w:rPr>
            </w:pPr>
          </w:p>
        </w:tc>
      </w:tr>
      <w:tr w14:paraId="0FE1D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21" w:type="dxa"/>
            <w:vMerge w:val="continue"/>
            <w:vAlign w:val="center"/>
          </w:tcPr>
          <w:p w14:paraId="235736BC">
            <w:pPr>
              <w:jc w:val="center"/>
              <w:rPr>
                <w:rFonts w:hint="eastAsia" w:asciiTheme="minorEastAsia" w:hAnsiTheme="minorEastAsia" w:eastAsiaTheme="minorEastAsia"/>
                <w:color w:val="0000CC"/>
                <w:sz w:val="24"/>
              </w:rPr>
            </w:pPr>
          </w:p>
        </w:tc>
        <w:tc>
          <w:tcPr>
            <w:tcW w:w="3583" w:type="dxa"/>
            <w:vMerge w:val="continue"/>
            <w:vAlign w:val="center"/>
          </w:tcPr>
          <w:p w14:paraId="63DBA2B6">
            <w:pPr>
              <w:jc w:val="center"/>
              <w:rPr>
                <w:rFonts w:hint="eastAsia" w:asciiTheme="minorEastAsia" w:hAnsiTheme="minorEastAsia" w:eastAsiaTheme="minorEastAsia"/>
                <w:color w:val="0000CC"/>
                <w:sz w:val="24"/>
              </w:rPr>
            </w:pPr>
          </w:p>
        </w:tc>
        <w:tc>
          <w:tcPr>
            <w:tcW w:w="2971" w:type="dxa"/>
            <w:vMerge w:val="continue"/>
            <w:vAlign w:val="center"/>
          </w:tcPr>
          <w:p w14:paraId="7BFE06D7">
            <w:pPr>
              <w:jc w:val="center"/>
              <w:rPr>
                <w:rFonts w:hint="eastAsia" w:asciiTheme="minorEastAsia" w:hAnsiTheme="minorEastAsia" w:eastAsiaTheme="minorEastAsia"/>
                <w:color w:val="0000CC"/>
                <w:sz w:val="24"/>
              </w:rPr>
            </w:pPr>
          </w:p>
        </w:tc>
        <w:tc>
          <w:tcPr>
            <w:tcW w:w="1522" w:type="dxa"/>
            <w:vMerge w:val="continue"/>
            <w:vAlign w:val="center"/>
          </w:tcPr>
          <w:p w14:paraId="5B59676E">
            <w:pPr>
              <w:jc w:val="center"/>
              <w:rPr>
                <w:rFonts w:hint="eastAsia" w:asciiTheme="minorEastAsia" w:hAnsiTheme="minorEastAsia" w:eastAsiaTheme="minorEastAsia"/>
                <w:color w:val="0000CC"/>
                <w:sz w:val="24"/>
              </w:rPr>
            </w:pPr>
          </w:p>
        </w:tc>
      </w:tr>
      <w:tr w14:paraId="1CBCF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21" w:type="dxa"/>
            <w:vMerge w:val="restart"/>
            <w:vAlign w:val="center"/>
          </w:tcPr>
          <w:p w14:paraId="65A52800">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2</w:t>
            </w:r>
          </w:p>
        </w:tc>
        <w:tc>
          <w:tcPr>
            <w:tcW w:w="3583" w:type="dxa"/>
            <w:vMerge w:val="restart"/>
            <w:vAlign w:val="center"/>
          </w:tcPr>
          <w:p w14:paraId="0BFC79F8">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大队专职消防员</w:t>
            </w:r>
          </w:p>
        </w:tc>
        <w:tc>
          <w:tcPr>
            <w:tcW w:w="2971" w:type="dxa"/>
            <w:vMerge w:val="restart"/>
            <w:vAlign w:val="center"/>
          </w:tcPr>
          <w:p w14:paraId="6FDFDD22">
            <w:pPr>
              <w:ind w:firstLine="480" w:firstLineChars="200"/>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 xml:space="preserve"> </w:t>
            </w:r>
          </w:p>
        </w:tc>
        <w:tc>
          <w:tcPr>
            <w:tcW w:w="1522" w:type="dxa"/>
            <w:vMerge w:val="restart"/>
            <w:vAlign w:val="center"/>
          </w:tcPr>
          <w:p w14:paraId="7A334A79">
            <w:pPr>
              <w:jc w:val="center"/>
              <w:rPr>
                <w:rFonts w:hint="eastAsia" w:asciiTheme="minorEastAsia" w:hAnsiTheme="minorEastAsia" w:eastAsiaTheme="minorEastAsia"/>
                <w:color w:val="0000CC"/>
                <w:sz w:val="24"/>
              </w:rPr>
            </w:pPr>
          </w:p>
        </w:tc>
      </w:tr>
      <w:tr w14:paraId="6AF0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021" w:type="dxa"/>
            <w:vMerge w:val="continue"/>
          </w:tcPr>
          <w:p w14:paraId="196F74FD">
            <w:pPr>
              <w:rPr>
                <w:rFonts w:hint="eastAsia" w:asciiTheme="minorEastAsia" w:hAnsiTheme="minorEastAsia" w:eastAsiaTheme="minorEastAsia"/>
                <w:color w:val="0000CC"/>
                <w:sz w:val="24"/>
              </w:rPr>
            </w:pPr>
          </w:p>
        </w:tc>
        <w:tc>
          <w:tcPr>
            <w:tcW w:w="3583" w:type="dxa"/>
            <w:vMerge w:val="continue"/>
            <w:vAlign w:val="center"/>
          </w:tcPr>
          <w:p w14:paraId="63E7DEAE">
            <w:pPr>
              <w:rPr>
                <w:rFonts w:hint="eastAsia" w:asciiTheme="minorEastAsia" w:hAnsiTheme="minorEastAsia" w:eastAsiaTheme="minorEastAsia"/>
                <w:color w:val="0000CC"/>
                <w:sz w:val="24"/>
              </w:rPr>
            </w:pPr>
          </w:p>
        </w:tc>
        <w:tc>
          <w:tcPr>
            <w:tcW w:w="2971" w:type="dxa"/>
            <w:vMerge w:val="continue"/>
            <w:vAlign w:val="center"/>
          </w:tcPr>
          <w:p w14:paraId="5156B212">
            <w:pPr>
              <w:rPr>
                <w:rFonts w:hint="eastAsia" w:asciiTheme="minorEastAsia" w:hAnsiTheme="minorEastAsia" w:eastAsiaTheme="minorEastAsia"/>
                <w:color w:val="0000CC"/>
                <w:sz w:val="24"/>
              </w:rPr>
            </w:pPr>
          </w:p>
        </w:tc>
        <w:tc>
          <w:tcPr>
            <w:tcW w:w="1522" w:type="dxa"/>
            <w:vMerge w:val="continue"/>
            <w:vAlign w:val="center"/>
          </w:tcPr>
          <w:p w14:paraId="05FA35DC">
            <w:pPr>
              <w:rPr>
                <w:rFonts w:hint="eastAsia" w:asciiTheme="minorEastAsia" w:hAnsiTheme="minorEastAsia" w:eastAsiaTheme="minorEastAsia"/>
                <w:color w:val="0000CC"/>
                <w:sz w:val="24"/>
              </w:rPr>
            </w:pPr>
          </w:p>
        </w:tc>
      </w:tr>
      <w:tr w14:paraId="13BB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575" w:type="dxa"/>
            <w:gridSpan w:val="3"/>
            <w:vAlign w:val="center"/>
          </w:tcPr>
          <w:p w14:paraId="34E0F6CD">
            <w:pPr>
              <w:jc w:val="center"/>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合计（元）</w:t>
            </w:r>
          </w:p>
        </w:tc>
        <w:tc>
          <w:tcPr>
            <w:tcW w:w="1522" w:type="dxa"/>
            <w:vAlign w:val="center"/>
          </w:tcPr>
          <w:p w14:paraId="3568E23A">
            <w:pPr>
              <w:rPr>
                <w:rFonts w:hint="eastAsia" w:asciiTheme="minorEastAsia" w:hAnsiTheme="minorEastAsia" w:eastAsiaTheme="minorEastAsia"/>
                <w:color w:val="0000CC"/>
                <w:sz w:val="24"/>
              </w:rPr>
            </w:pPr>
          </w:p>
        </w:tc>
      </w:tr>
    </w:tbl>
    <w:p w14:paraId="1E9E883E">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t>保险保障内容：意外身故及伤残保险金额为每人100万元；意外伤害医疗保险金额为10万元，伤残等级给付比例一级100%；二级90%；三级80%；四级70%；五级60%；六级50%；七级40%；八级30%；九级20%；十级10%。门诊赔付无限额，给付比例 100%；意外伤害住院津贴为100元/人/天，上限180天，住院延长津贴给付日数30天，前3天无补偿金额，无门槛。</w:t>
      </w:r>
    </w:p>
    <w:p w14:paraId="42DD870B">
      <w:pPr>
        <w:spacing w:line="500" w:lineRule="exact"/>
        <w:rPr>
          <w:rFonts w:eastAsia="黑体"/>
          <w:sz w:val="32"/>
          <w:szCs w:val="32"/>
        </w:rPr>
      </w:pPr>
    </w:p>
    <w:p w14:paraId="479286A4">
      <w:pPr>
        <w:spacing w:line="500" w:lineRule="exact"/>
        <w:rPr>
          <w:rFonts w:eastAsia="黑体"/>
          <w:sz w:val="32"/>
          <w:szCs w:val="32"/>
        </w:rPr>
      </w:pPr>
    </w:p>
    <w:p w14:paraId="5B440CA8">
      <w:pPr>
        <w:widowControl/>
        <w:tabs>
          <w:tab w:val="left" w:pos="4864"/>
        </w:tabs>
        <w:spacing w:before="100" w:after="100" w:line="500" w:lineRule="exact"/>
        <w:ind w:right="1559" w:firstLine="482"/>
        <w:jc w:val="center"/>
        <w:rPr>
          <w:rFonts w:hint="eastAsia" w:ascii="宋体" w:hAnsi="宋体" w:cs="宋体"/>
          <w:kern w:val="0"/>
          <w:sz w:val="24"/>
        </w:rPr>
      </w:pPr>
      <w:r>
        <w:rPr>
          <w:rFonts w:hint="eastAsia" w:ascii="宋体" w:hAnsi="宋体" w:cs="宋体"/>
          <w:kern w:val="0"/>
          <w:sz w:val="24"/>
        </w:rPr>
        <w:t xml:space="preserve">  </w:t>
      </w:r>
      <w:r>
        <w:rPr>
          <w:rFonts w:hint="eastAsia" w:ascii="宋体" w:hAnsi="宋体" w:cs="宋体"/>
          <w:kern w:val="0"/>
          <w:sz w:val="24"/>
          <w:lang w:val="en-US" w:eastAsia="zh-CN"/>
        </w:rPr>
        <w:t xml:space="preserve">                                        </w:t>
      </w:r>
      <w:r>
        <w:rPr>
          <w:rFonts w:hint="eastAsia" w:ascii="宋体" w:hAnsi="宋体" w:cs="宋体"/>
          <w:kern w:val="0"/>
          <w:sz w:val="24"/>
        </w:rPr>
        <w:t>供应商全称（公章）：</w:t>
      </w:r>
    </w:p>
    <w:p w14:paraId="5CA66305">
      <w:pPr>
        <w:widowControl/>
        <w:tabs>
          <w:tab w:val="left" w:pos="4864"/>
        </w:tabs>
        <w:spacing w:before="100" w:after="100" w:line="500" w:lineRule="exact"/>
        <w:ind w:right="1559" w:firstLine="482"/>
        <w:jc w:val="center"/>
        <w:rPr>
          <w:rFonts w:hint="eastAsia" w:ascii="宋体" w:hAnsi="宋体" w:cs="宋体"/>
          <w:kern w:val="0"/>
          <w:sz w:val="24"/>
        </w:rPr>
      </w:pPr>
      <w:r>
        <w:rPr>
          <w:rFonts w:hint="eastAsia" w:ascii="宋体" w:hAnsi="宋体" w:cs="宋体"/>
          <w:kern w:val="0"/>
          <w:sz w:val="24"/>
          <w:lang w:val="en-US" w:eastAsia="zh-CN"/>
        </w:rPr>
        <w:t xml:space="preserve">                                            </w:t>
      </w:r>
      <w:r>
        <w:rPr>
          <w:rFonts w:hint="eastAsia" w:ascii="宋体" w:hAnsi="宋体" w:cs="宋体"/>
          <w:kern w:val="0"/>
          <w:sz w:val="24"/>
        </w:rPr>
        <w:t xml:space="preserve"> 日  期：</w:t>
      </w:r>
    </w:p>
    <w:p w14:paraId="7631966C">
      <w:pPr>
        <w:spacing w:line="500" w:lineRule="exact"/>
        <w:rPr>
          <w:rFonts w:eastAsia="黑体"/>
          <w:sz w:val="32"/>
          <w:szCs w:val="32"/>
        </w:rPr>
      </w:pPr>
    </w:p>
    <w:p w14:paraId="25538B85">
      <w:pPr>
        <w:pStyle w:val="3"/>
        <w:tabs>
          <w:tab w:val="left" w:pos="1792"/>
          <w:tab w:val="left" w:pos="2512"/>
          <w:tab w:val="left" w:pos="3232"/>
        </w:tabs>
        <w:spacing w:before="158" w:line="480" w:lineRule="auto"/>
        <w:ind w:right="78"/>
        <w:rPr>
          <w:color w:val="000000" w:themeColor="text1"/>
          <w:sz w:val="24"/>
          <w:szCs w:val="18"/>
          <w14:textFill>
            <w14:solidFill>
              <w14:schemeClr w14:val="tx1"/>
            </w14:solidFill>
          </w14:textFill>
        </w:rPr>
        <w:sectPr>
          <w:type w:val="continuous"/>
          <w:pgSz w:w="11910" w:h="16840"/>
          <w:pgMar w:top="1417" w:right="1417" w:bottom="1417" w:left="1417" w:header="0" w:footer="1412" w:gutter="0"/>
          <w:cols w:space="0" w:num="1"/>
          <w:rtlGutter w:val="0"/>
          <w:docGrid w:linePitch="0" w:charSpace="0"/>
        </w:sectPr>
      </w:pPr>
      <w:r>
        <w:rPr>
          <w:rFonts w:hint="eastAsia" w:ascii="宋体" w:hAnsi="宋体" w:eastAsia="宋体" w:cs="宋体"/>
          <w:b/>
          <w:color w:val="000000" w:themeColor="text1"/>
          <w:sz w:val="24"/>
          <w:szCs w:val="18"/>
          <w14:textFill>
            <w14:solidFill>
              <w14:schemeClr w14:val="tx1"/>
            </w14:solidFill>
          </w14:textFill>
        </w:rPr>
        <w:t>注：此表在响应文件中的报价为第一轮</w:t>
      </w:r>
      <w:r>
        <w:rPr>
          <w:rFonts w:hint="eastAsia" w:ascii="宋体" w:hAnsi="宋体" w:eastAsia="宋体" w:cs="宋体"/>
          <w:b/>
          <w:color w:val="000000" w:themeColor="text1"/>
          <w:sz w:val="24"/>
          <w:szCs w:val="18"/>
          <w:lang w:val="en-US" w:eastAsia="zh-CN"/>
          <w14:textFill>
            <w14:solidFill>
              <w14:schemeClr w14:val="tx1"/>
            </w14:solidFill>
          </w14:textFill>
        </w:rPr>
        <w:t>报价</w:t>
      </w:r>
      <w:r>
        <w:rPr>
          <w:rFonts w:hint="eastAsia" w:ascii="宋体" w:hAnsi="宋体" w:eastAsia="宋体" w:cs="宋体"/>
          <w:b/>
          <w:color w:val="000000" w:themeColor="text1"/>
          <w:sz w:val="24"/>
          <w:szCs w:val="18"/>
          <w14:textFill>
            <w14:solidFill>
              <w14:schemeClr w14:val="tx1"/>
            </w14:solidFill>
          </w14:textFill>
        </w:rPr>
        <w:t>，请各投标人将此表空白件（最好不少于3份）盖章带至现场参与磋商报价，经磋商后的最终报价为评审价。</w:t>
      </w:r>
    </w:p>
    <w:p w14:paraId="1D964B60">
      <w:pPr>
        <w:widowControl/>
        <w:spacing w:before="100" w:after="100"/>
        <w:jc w:val="center"/>
        <w:rPr>
          <w:rFonts w:hint="eastAsia" w:ascii="宋体" w:hAnsi="宋体" w:cs="宋体"/>
          <w:kern w:val="0"/>
          <w:sz w:val="24"/>
        </w:rPr>
      </w:pPr>
      <w:r>
        <w:rPr>
          <w:rFonts w:hint="eastAsia" w:ascii="宋体" w:hAnsi="宋体" w:cs="宋体"/>
          <w:b/>
          <w:bCs/>
          <w:kern w:val="0"/>
          <w:sz w:val="32"/>
          <w:szCs w:val="32"/>
        </w:rPr>
        <w:t>十二、</w:t>
      </w:r>
      <w:r>
        <w:rPr>
          <w:rFonts w:hint="eastAsia" w:ascii="黑体" w:hAnsi="宋体" w:eastAsia="黑体" w:cs="黑体"/>
          <w:b/>
          <w:kern w:val="0"/>
          <w:sz w:val="32"/>
          <w:szCs w:val="32"/>
        </w:rPr>
        <w:t>技术要求响应及偏离表</w:t>
      </w:r>
    </w:p>
    <w:tbl>
      <w:tblPr>
        <w:tblStyle w:val="42"/>
        <w:tblW w:w="9322"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3026"/>
        <w:gridCol w:w="2608"/>
        <w:gridCol w:w="1247"/>
        <w:gridCol w:w="1903"/>
      </w:tblGrid>
      <w:tr w14:paraId="39398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blCellSpacing w:w="0" w:type="dxa"/>
          <w:jc w:val="center"/>
        </w:trPr>
        <w:tc>
          <w:tcPr>
            <w:tcW w:w="538" w:type="dxa"/>
            <w:vAlign w:val="center"/>
          </w:tcPr>
          <w:p w14:paraId="29D672B9">
            <w:pPr>
              <w:widowControl/>
              <w:spacing w:before="100" w:after="100"/>
              <w:jc w:val="center"/>
              <w:rPr>
                <w:rFonts w:hint="eastAsia" w:ascii="宋体" w:hAnsi="宋体" w:cs="宋体"/>
                <w:kern w:val="0"/>
                <w:sz w:val="24"/>
              </w:rPr>
            </w:pPr>
            <w:r>
              <w:rPr>
                <w:rFonts w:hint="eastAsia" w:ascii="宋体" w:hAnsi="宋体" w:cs="宋体"/>
                <w:kern w:val="0"/>
                <w:sz w:val="24"/>
              </w:rPr>
              <w:t>序号</w:t>
            </w:r>
          </w:p>
        </w:tc>
        <w:tc>
          <w:tcPr>
            <w:tcW w:w="3026" w:type="dxa"/>
            <w:vAlign w:val="center"/>
          </w:tcPr>
          <w:p w14:paraId="22FBFCAC">
            <w:pPr>
              <w:widowControl/>
              <w:spacing w:before="100" w:after="100"/>
              <w:jc w:val="center"/>
              <w:rPr>
                <w:rFonts w:hint="eastAsia" w:ascii="宋体" w:hAnsi="宋体" w:cs="宋体"/>
                <w:kern w:val="0"/>
                <w:sz w:val="24"/>
              </w:rPr>
            </w:pPr>
            <w:r>
              <w:rPr>
                <w:rFonts w:hint="eastAsia" w:ascii="宋体" w:hAnsi="宋体" w:cs="宋体"/>
                <w:kern w:val="0"/>
                <w:sz w:val="24"/>
              </w:rPr>
              <w:t>磋商文件要求</w:t>
            </w:r>
          </w:p>
        </w:tc>
        <w:tc>
          <w:tcPr>
            <w:tcW w:w="2608" w:type="dxa"/>
            <w:vAlign w:val="center"/>
          </w:tcPr>
          <w:p w14:paraId="381927AE">
            <w:pPr>
              <w:widowControl/>
              <w:spacing w:before="100" w:after="100"/>
              <w:jc w:val="center"/>
              <w:rPr>
                <w:rFonts w:hint="eastAsia" w:ascii="宋体" w:hAnsi="宋体" w:cs="宋体"/>
                <w:kern w:val="0"/>
                <w:sz w:val="24"/>
              </w:rPr>
            </w:pPr>
            <w:r>
              <w:rPr>
                <w:rFonts w:hint="eastAsia" w:ascii="宋体" w:hAnsi="宋体" w:cs="宋体"/>
                <w:kern w:val="0"/>
                <w:sz w:val="24"/>
              </w:rPr>
              <w:t>响应情况</w:t>
            </w:r>
          </w:p>
        </w:tc>
        <w:tc>
          <w:tcPr>
            <w:tcW w:w="1247" w:type="dxa"/>
            <w:vAlign w:val="center"/>
          </w:tcPr>
          <w:p w14:paraId="381405D8">
            <w:pPr>
              <w:widowControl/>
              <w:spacing w:before="100" w:after="100"/>
              <w:jc w:val="center"/>
              <w:rPr>
                <w:rFonts w:hint="eastAsia" w:ascii="宋体" w:hAnsi="宋体" w:cs="宋体"/>
                <w:kern w:val="0"/>
                <w:sz w:val="24"/>
              </w:rPr>
            </w:pPr>
            <w:r>
              <w:rPr>
                <w:rFonts w:hint="eastAsia" w:ascii="宋体" w:hAnsi="宋体" w:cs="宋体"/>
                <w:kern w:val="0"/>
                <w:sz w:val="24"/>
              </w:rPr>
              <w:t>超出、符合或偏离</w:t>
            </w:r>
          </w:p>
        </w:tc>
        <w:tc>
          <w:tcPr>
            <w:tcW w:w="1903" w:type="dxa"/>
            <w:vAlign w:val="center"/>
          </w:tcPr>
          <w:p w14:paraId="7330FBD1">
            <w:pPr>
              <w:widowControl/>
              <w:spacing w:before="100" w:after="100"/>
              <w:jc w:val="center"/>
              <w:rPr>
                <w:rFonts w:hint="eastAsia" w:ascii="宋体" w:hAnsi="宋体" w:cs="宋体"/>
                <w:kern w:val="0"/>
                <w:sz w:val="24"/>
              </w:rPr>
            </w:pPr>
            <w:r>
              <w:rPr>
                <w:rFonts w:hint="eastAsia" w:ascii="宋体" w:hAnsi="宋体" w:cs="宋体"/>
                <w:kern w:val="0"/>
                <w:sz w:val="24"/>
              </w:rPr>
              <w:t>备注</w:t>
            </w:r>
          </w:p>
        </w:tc>
      </w:tr>
      <w:tr w14:paraId="7A3F9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jc w:val="center"/>
        </w:trPr>
        <w:tc>
          <w:tcPr>
            <w:tcW w:w="538" w:type="dxa"/>
            <w:vAlign w:val="center"/>
          </w:tcPr>
          <w:p w14:paraId="6EA2BABB">
            <w:pPr>
              <w:widowControl/>
              <w:spacing w:before="100" w:after="100"/>
              <w:jc w:val="center"/>
              <w:rPr>
                <w:rFonts w:hint="eastAsia" w:ascii="宋体" w:hAnsi="宋体" w:cs="宋体"/>
                <w:kern w:val="0"/>
                <w:sz w:val="24"/>
              </w:rPr>
            </w:pPr>
            <w:r>
              <w:rPr>
                <w:rFonts w:hint="eastAsia" w:ascii="宋体" w:hAnsi="宋体" w:cs="宋体"/>
                <w:kern w:val="0"/>
                <w:sz w:val="24"/>
              </w:rPr>
              <w:t>1</w:t>
            </w:r>
          </w:p>
        </w:tc>
        <w:tc>
          <w:tcPr>
            <w:tcW w:w="3026" w:type="dxa"/>
            <w:vAlign w:val="center"/>
          </w:tcPr>
          <w:p w14:paraId="73E27D62">
            <w:pPr>
              <w:widowControl/>
              <w:spacing w:before="100" w:after="100"/>
              <w:jc w:val="left"/>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消防文员：</w:t>
            </w:r>
          </w:p>
          <w:p w14:paraId="52F116B4">
            <w:pPr>
              <w:widowControl/>
              <w:spacing w:before="100" w:after="100"/>
              <w:jc w:val="left"/>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1、死亡/伤残赔偿限额：100万元</w:t>
            </w:r>
          </w:p>
          <w:p w14:paraId="0600EC35">
            <w:pPr>
              <w:widowControl/>
              <w:spacing w:before="100" w:after="100"/>
              <w:jc w:val="left"/>
              <w:rPr>
                <w:rFonts w:hint="eastAsia" w:asciiTheme="minorEastAsia" w:hAnsiTheme="minorEastAsia" w:eastAsiaTheme="minorEastAsia"/>
                <w:color w:val="0000CC"/>
                <w:sz w:val="24"/>
              </w:rPr>
            </w:pPr>
            <w:r>
              <w:rPr>
                <w:rFonts w:hint="eastAsia" w:ascii="宋体" w:hAnsi="宋体" w:cs="宋体"/>
                <w:kern w:val="0"/>
                <w:sz w:val="24"/>
              </w:rPr>
              <w:t>2、</w:t>
            </w:r>
            <w:r>
              <w:rPr>
                <w:rFonts w:hint="eastAsia" w:asciiTheme="minorEastAsia" w:hAnsiTheme="minorEastAsia" w:eastAsiaTheme="minorEastAsia"/>
                <w:color w:val="0000CC"/>
                <w:sz w:val="24"/>
              </w:rPr>
              <w:t>医疗费用：赔偿限额：10万元</w:t>
            </w:r>
          </w:p>
        </w:tc>
        <w:tc>
          <w:tcPr>
            <w:tcW w:w="2608" w:type="dxa"/>
            <w:vAlign w:val="center"/>
          </w:tcPr>
          <w:p w14:paraId="6C72678C">
            <w:pPr>
              <w:widowControl/>
              <w:spacing w:before="100" w:after="100"/>
              <w:jc w:val="center"/>
              <w:rPr>
                <w:rFonts w:hint="eastAsia" w:ascii="宋体" w:hAnsi="宋体" w:cs="宋体"/>
                <w:kern w:val="0"/>
                <w:sz w:val="24"/>
              </w:rPr>
            </w:pPr>
            <w:r>
              <w:rPr>
                <w:rFonts w:ascii="宋体" w:hAnsi="宋体" w:cs="宋体"/>
                <w:kern w:val="0"/>
                <w:sz w:val="24"/>
              </w:rPr>
              <w:t> </w:t>
            </w:r>
          </w:p>
        </w:tc>
        <w:tc>
          <w:tcPr>
            <w:tcW w:w="1247" w:type="dxa"/>
            <w:vAlign w:val="center"/>
          </w:tcPr>
          <w:p w14:paraId="7BFB4BD5">
            <w:pPr>
              <w:widowControl/>
              <w:spacing w:before="100" w:after="100"/>
              <w:jc w:val="center"/>
              <w:rPr>
                <w:rFonts w:hint="eastAsia" w:ascii="宋体" w:hAnsi="宋体" w:cs="宋体"/>
                <w:kern w:val="0"/>
                <w:sz w:val="24"/>
              </w:rPr>
            </w:pPr>
            <w:r>
              <w:rPr>
                <w:rFonts w:ascii="宋体" w:hAnsi="宋体" w:cs="宋体"/>
                <w:kern w:val="0"/>
                <w:sz w:val="24"/>
              </w:rPr>
              <w:t> </w:t>
            </w:r>
          </w:p>
        </w:tc>
        <w:tc>
          <w:tcPr>
            <w:tcW w:w="1903" w:type="dxa"/>
            <w:vAlign w:val="center"/>
          </w:tcPr>
          <w:p w14:paraId="729932D2">
            <w:pPr>
              <w:widowControl/>
              <w:spacing w:before="100" w:after="100"/>
              <w:jc w:val="center"/>
              <w:rPr>
                <w:rFonts w:hint="eastAsia" w:ascii="宋体" w:hAnsi="宋体" w:cs="宋体"/>
                <w:kern w:val="0"/>
                <w:sz w:val="24"/>
              </w:rPr>
            </w:pPr>
            <w:r>
              <w:rPr>
                <w:rFonts w:ascii="宋体" w:hAnsi="宋体" w:cs="宋体"/>
                <w:kern w:val="0"/>
                <w:sz w:val="24"/>
              </w:rPr>
              <w:t> </w:t>
            </w:r>
          </w:p>
        </w:tc>
      </w:tr>
      <w:tr w14:paraId="14B10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jc w:val="center"/>
        </w:trPr>
        <w:tc>
          <w:tcPr>
            <w:tcW w:w="538" w:type="dxa"/>
            <w:vAlign w:val="center"/>
          </w:tcPr>
          <w:p w14:paraId="74F65CC7">
            <w:pPr>
              <w:widowControl/>
              <w:spacing w:before="100" w:after="100"/>
              <w:jc w:val="center"/>
              <w:rPr>
                <w:rFonts w:hint="eastAsia" w:ascii="宋体" w:hAnsi="宋体" w:cs="宋体"/>
                <w:kern w:val="0"/>
                <w:sz w:val="24"/>
              </w:rPr>
            </w:pPr>
            <w:r>
              <w:rPr>
                <w:rFonts w:hint="eastAsia" w:ascii="宋体" w:hAnsi="宋体" w:cs="宋体"/>
                <w:kern w:val="0"/>
                <w:sz w:val="24"/>
              </w:rPr>
              <w:t>2</w:t>
            </w:r>
          </w:p>
        </w:tc>
        <w:tc>
          <w:tcPr>
            <w:tcW w:w="3026" w:type="dxa"/>
            <w:vAlign w:val="center"/>
          </w:tcPr>
          <w:p w14:paraId="2A5238A7">
            <w:pPr>
              <w:widowControl/>
              <w:spacing w:before="100" w:after="100"/>
              <w:jc w:val="left"/>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大队专职消防员：</w:t>
            </w:r>
          </w:p>
          <w:p w14:paraId="2F5429F9">
            <w:pPr>
              <w:widowControl/>
              <w:spacing w:before="100" w:after="100"/>
              <w:jc w:val="left"/>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1、死亡/伤残赔偿限额：100万元</w:t>
            </w:r>
          </w:p>
          <w:p w14:paraId="4ADAFDFD">
            <w:pPr>
              <w:widowControl/>
              <w:spacing w:before="100" w:after="100"/>
              <w:jc w:val="left"/>
              <w:rPr>
                <w:rFonts w:hint="eastAsia" w:ascii="宋体" w:hAnsi="宋体" w:cs="宋体"/>
                <w:kern w:val="0"/>
                <w:sz w:val="24"/>
              </w:rPr>
            </w:pPr>
            <w:r>
              <w:rPr>
                <w:rFonts w:hint="eastAsia" w:ascii="宋体" w:hAnsi="宋体" w:cs="宋体"/>
                <w:kern w:val="0"/>
                <w:sz w:val="24"/>
              </w:rPr>
              <w:t>2、</w:t>
            </w:r>
            <w:r>
              <w:rPr>
                <w:rFonts w:hint="eastAsia" w:asciiTheme="minorEastAsia" w:hAnsiTheme="minorEastAsia" w:eastAsiaTheme="minorEastAsia"/>
                <w:color w:val="0000CC"/>
                <w:sz w:val="24"/>
              </w:rPr>
              <w:t>医疗费用：赔偿限额：10万元</w:t>
            </w:r>
            <w:r>
              <w:rPr>
                <w:rFonts w:ascii="宋体" w:hAnsi="宋体" w:cs="宋体"/>
                <w:kern w:val="0"/>
                <w:sz w:val="24"/>
              </w:rPr>
              <w:t> </w:t>
            </w:r>
          </w:p>
        </w:tc>
        <w:tc>
          <w:tcPr>
            <w:tcW w:w="2608" w:type="dxa"/>
            <w:vAlign w:val="center"/>
          </w:tcPr>
          <w:p w14:paraId="4E4EA628">
            <w:pPr>
              <w:widowControl/>
              <w:spacing w:before="100" w:after="100"/>
              <w:jc w:val="center"/>
              <w:rPr>
                <w:rFonts w:hint="eastAsia" w:ascii="宋体" w:hAnsi="宋体" w:cs="宋体"/>
                <w:kern w:val="0"/>
                <w:sz w:val="24"/>
              </w:rPr>
            </w:pPr>
            <w:r>
              <w:rPr>
                <w:rFonts w:ascii="宋体" w:hAnsi="宋体" w:cs="宋体"/>
                <w:kern w:val="0"/>
                <w:sz w:val="24"/>
              </w:rPr>
              <w:t> </w:t>
            </w:r>
          </w:p>
        </w:tc>
        <w:tc>
          <w:tcPr>
            <w:tcW w:w="1247" w:type="dxa"/>
            <w:vAlign w:val="center"/>
          </w:tcPr>
          <w:p w14:paraId="3A491ECE">
            <w:pPr>
              <w:widowControl/>
              <w:spacing w:before="100" w:after="100"/>
              <w:jc w:val="center"/>
              <w:rPr>
                <w:rFonts w:hint="eastAsia" w:ascii="宋体" w:hAnsi="宋体" w:cs="宋体"/>
                <w:kern w:val="0"/>
                <w:sz w:val="24"/>
              </w:rPr>
            </w:pPr>
            <w:r>
              <w:rPr>
                <w:rFonts w:ascii="宋体" w:hAnsi="宋体" w:cs="宋体"/>
                <w:kern w:val="0"/>
                <w:sz w:val="24"/>
              </w:rPr>
              <w:t> </w:t>
            </w:r>
          </w:p>
        </w:tc>
        <w:tc>
          <w:tcPr>
            <w:tcW w:w="1903" w:type="dxa"/>
            <w:vAlign w:val="center"/>
          </w:tcPr>
          <w:p w14:paraId="222F893F">
            <w:pPr>
              <w:widowControl/>
              <w:spacing w:before="100" w:after="100"/>
              <w:jc w:val="center"/>
              <w:rPr>
                <w:rFonts w:hint="eastAsia" w:ascii="宋体" w:hAnsi="宋体" w:cs="宋体"/>
                <w:kern w:val="0"/>
                <w:sz w:val="24"/>
              </w:rPr>
            </w:pPr>
            <w:r>
              <w:rPr>
                <w:rFonts w:ascii="宋体" w:hAnsi="宋体" w:cs="宋体"/>
                <w:kern w:val="0"/>
                <w:sz w:val="24"/>
              </w:rPr>
              <w:t> </w:t>
            </w:r>
          </w:p>
        </w:tc>
      </w:tr>
      <w:tr w14:paraId="09CC6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jc w:val="center"/>
        </w:trPr>
        <w:tc>
          <w:tcPr>
            <w:tcW w:w="538" w:type="dxa"/>
            <w:vAlign w:val="center"/>
          </w:tcPr>
          <w:p w14:paraId="66C68EF9">
            <w:pPr>
              <w:widowControl/>
              <w:spacing w:before="100" w:after="100"/>
              <w:jc w:val="center"/>
              <w:rPr>
                <w:rFonts w:hint="eastAsia" w:ascii="宋体" w:hAnsi="宋体" w:cs="宋体"/>
                <w:kern w:val="0"/>
                <w:sz w:val="24"/>
              </w:rPr>
            </w:pPr>
            <w:r>
              <w:rPr>
                <w:rFonts w:hint="eastAsia" w:ascii="宋体" w:hAnsi="宋体" w:cs="宋体"/>
                <w:kern w:val="0"/>
                <w:sz w:val="24"/>
                <w:lang w:val="en-US" w:eastAsia="zh-CN"/>
              </w:rPr>
              <w:t>3</w:t>
            </w:r>
            <w:r>
              <w:rPr>
                <w:rFonts w:ascii="宋体" w:hAnsi="宋体" w:cs="宋体"/>
                <w:kern w:val="0"/>
                <w:sz w:val="24"/>
              </w:rPr>
              <w:t> </w:t>
            </w:r>
          </w:p>
        </w:tc>
        <w:tc>
          <w:tcPr>
            <w:tcW w:w="3026" w:type="dxa"/>
            <w:vAlign w:val="center"/>
          </w:tcPr>
          <w:p w14:paraId="6C52084D">
            <w:pPr>
              <w:widowControl/>
              <w:spacing w:before="100" w:after="100"/>
              <w:jc w:val="left"/>
              <w:rPr>
                <w:rFonts w:hint="eastAsia" w:asciiTheme="minorEastAsia" w:hAnsiTheme="minorEastAsia" w:eastAsiaTheme="minorEastAsia"/>
                <w:color w:val="0000CC"/>
                <w:sz w:val="24"/>
              </w:rPr>
            </w:pPr>
            <w:r>
              <w:rPr>
                <w:rFonts w:hint="eastAsia" w:asciiTheme="minorEastAsia" w:hAnsiTheme="minorEastAsia" w:eastAsiaTheme="minorEastAsia"/>
                <w:color w:val="0000CC"/>
                <w:sz w:val="24"/>
              </w:rPr>
              <w:t>保险保障内容：</w:t>
            </w:r>
          </w:p>
          <w:p w14:paraId="6A67E2FC">
            <w:pPr>
              <w:widowControl/>
              <w:spacing w:before="100" w:after="100"/>
              <w:jc w:val="left"/>
              <w:rPr>
                <w:rFonts w:hint="eastAsia" w:ascii="宋体" w:hAnsi="宋体" w:cs="宋体"/>
                <w:kern w:val="0"/>
                <w:sz w:val="24"/>
              </w:rPr>
            </w:pPr>
            <w:r>
              <w:rPr>
                <w:rFonts w:hint="eastAsia" w:asciiTheme="minorEastAsia" w:hAnsiTheme="minorEastAsia" w:eastAsiaTheme="minorEastAsia"/>
                <w:color w:val="0000CC"/>
                <w:sz w:val="24"/>
              </w:rPr>
              <w:t>意外身故及伤残保险金额为每人100万元；意外伤害医疗保险金额为10万元，伤残等级给付比例一级100%；二级90%；三级80%；四级70%；五级60%；六级50%；七级40%；八级30%；九级20%；十级10%。门诊赔付无限额，给付比例 100%；意外伤害住院津贴为100元/人/天，上限180天，住院延长津贴给付日数30天，前3天无补偿金额，无门槛。</w:t>
            </w:r>
          </w:p>
        </w:tc>
        <w:tc>
          <w:tcPr>
            <w:tcW w:w="2608" w:type="dxa"/>
            <w:vAlign w:val="center"/>
          </w:tcPr>
          <w:p w14:paraId="2E7BD968">
            <w:pPr>
              <w:widowControl/>
              <w:spacing w:before="100" w:after="100"/>
              <w:jc w:val="center"/>
              <w:rPr>
                <w:rFonts w:hint="eastAsia" w:ascii="宋体" w:hAnsi="宋体" w:cs="宋体"/>
                <w:kern w:val="0"/>
                <w:sz w:val="24"/>
              </w:rPr>
            </w:pPr>
            <w:r>
              <w:rPr>
                <w:rFonts w:ascii="宋体" w:hAnsi="宋体" w:cs="宋体"/>
                <w:kern w:val="0"/>
                <w:sz w:val="24"/>
              </w:rPr>
              <w:t> </w:t>
            </w:r>
          </w:p>
        </w:tc>
        <w:tc>
          <w:tcPr>
            <w:tcW w:w="1247" w:type="dxa"/>
            <w:vAlign w:val="center"/>
          </w:tcPr>
          <w:p w14:paraId="605027EC">
            <w:pPr>
              <w:widowControl/>
              <w:spacing w:before="100" w:after="100"/>
              <w:jc w:val="center"/>
              <w:rPr>
                <w:rFonts w:hint="eastAsia" w:ascii="宋体" w:hAnsi="宋体" w:cs="宋体"/>
                <w:kern w:val="0"/>
                <w:sz w:val="24"/>
              </w:rPr>
            </w:pPr>
            <w:r>
              <w:rPr>
                <w:rFonts w:ascii="宋体" w:hAnsi="宋体" w:cs="宋体"/>
                <w:kern w:val="0"/>
                <w:sz w:val="24"/>
              </w:rPr>
              <w:t> </w:t>
            </w:r>
          </w:p>
        </w:tc>
        <w:tc>
          <w:tcPr>
            <w:tcW w:w="1903" w:type="dxa"/>
            <w:vAlign w:val="center"/>
          </w:tcPr>
          <w:p w14:paraId="7E186AF6">
            <w:pPr>
              <w:widowControl/>
              <w:spacing w:before="100" w:after="100"/>
              <w:jc w:val="center"/>
              <w:rPr>
                <w:rFonts w:hint="eastAsia" w:ascii="宋体" w:hAnsi="宋体" w:cs="宋体"/>
                <w:kern w:val="0"/>
                <w:sz w:val="24"/>
              </w:rPr>
            </w:pPr>
            <w:r>
              <w:rPr>
                <w:rFonts w:ascii="宋体" w:hAnsi="宋体" w:cs="宋体"/>
                <w:kern w:val="0"/>
                <w:sz w:val="24"/>
              </w:rPr>
              <w:t> </w:t>
            </w:r>
          </w:p>
        </w:tc>
      </w:tr>
      <w:tr w14:paraId="22AD0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jc w:val="center"/>
        </w:trPr>
        <w:tc>
          <w:tcPr>
            <w:tcW w:w="538" w:type="dxa"/>
            <w:vAlign w:val="center"/>
          </w:tcPr>
          <w:p w14:paraId="2FE7BF71">
            <w:pPr>
              <w:widowControl/>
              <w:spacing w:before="100" w:after="100"/>
              <w:jc w:val="center"/>
              <w:rPr>
                <w:rFonts w:hint="eastAsia" w:ascii="宋体" w:hAnsi="宋体" w:cs="宋体"/>
                <w:kern w:val="0"/>
                <w:sz w:val="24"/>
              </w:rPr>
            </w:pPr>
            <w:r>
              <w:rPr>
                <w:rFonts w:hint="eastAsia" w:ascii="宋体" w:hAnsi="宋体" w:cs="宋体"/>
                <w:kern w:val="0"/>
                <w:sz w:val="24"/>
                <w:lang w:val="en-US" w:eastAsia="zh-CN"/>
              </w:rPr>
              <w:t>4</w:t>
            </w:r>
            <w:r>
              <w:rPr>
                <w:rFonts w:ascii="宋体" w:hAnsi="宋体" w:cs="宋体"/>
                <w:kern w:val="0"/>
                <w:sz w:val="24"/>
              </w:rPr>
              <w:t> </w:t>
            </w:r>
          </w:p>
        </w:tc>
        <w:tc>
          <w:tcPr>
            <w:tcW w:w="3026" w:type="dxa"/>
            <w:vAlign w:val="center"/>
          </w:tcPr>
          <w:p w14:paraId="68A831F5">
            <w:pPr>
              <w:widowControl/>
              <w:spacing w:before="100" w:after="100"/>
              <w:jc w:val="left"/>
              <w:rPr>
                <w:rFonts w:hint="eastAsia" w:ascii="宋体" w:hAnsi="宋体" w:cs="宋体"/>
                <w:kern w:val="0"/>
                <w:sz w:val="24"/>
              </w:rPr>
            </w:pPr>
            <w:r>
              <w:rPr>
                <w:rFonts w:hint="eastAsia" w:ascii="宋体" w:hAnsi="宋体" w:cs="宋体"/>
                <w:kern w:val="0"/>
                <w:sz w:val="24"/>
                <w:lang w:val="en-US" w:eastAsia="zh-CN"/>
              </w:rPr>
              <w:t>磋商文件要求的其他内容</w:t>
            </w:r>
            <w:r>
              <w:rPr>
                <w:rFonts w:ascii="宋体" w:hAnsi="宋体" w:cs="宋体"/>
                <w:kern w:val="0"/>
                <w:sz w:val="24"/>
              </w:rPr>
              <w:t> </w:t>
            </w:r>
          </w:p>
        </w:tc>
        <w:tc>
          <w:tcPr>
            <w:tcW w:w="2608" w:type="dxa"/>
            <w:vAlign w:val="center"/>
          </w:tcPr>
          <w:p w14:paraId="17917107">
            <w:pPr>
              <w:widowControl/>
              <w:spacing w:before="100" w:after="100"/>
              <w:jc w:val="center"/>
              <w:rPr>
                <w:rFonts w:hint="eastAsia" w:ascii="宋体" w:hAnsi="宋体" w:cs="宋体"/>
                <w:kern w:val="0"/>
                <w:sz w:val="24"/>
              </w:rPr>
            </w:pPr>
            <w:r>
              <w:rPr>
                <w:rFonts w:ascii="宋体" w:hAnsi="宋体" w:cs="宋体"/>
                <w:kern w:val="0"/>
                <w:sz w:val="24"/>
              </w:rPr>
              <w:t> </w:t>
            </w:r>
          </w:p>
        </w:tc>
        <w:tc>
          <w:tcPr>
            <w:tcW w:w="1247" w:type="dxa"/>
            <w:vAlign w:val="center"/>
          </w:tcPr>
          <w:p w14:paraId="41A9D809">
            <w:pPr>
              <w:widowControl/>
              <w:spacing w:before="100" w:after="100"/>
              <w:jc w:val="center"/>
              <w:rPr>
                <w:rFonts w:hint="eastAsia" w:ascii="宋体" w:hAnsi="宋体" w:cs="宋体"/>
                <w:kern w:val="0"/>
                <w:sz w:val="24"/>
              </w:rPr>
            </w:pPr>
            <w:r>
              <w:rPr>
                <w:rFonts w:ascii="宋体" w:hAnsi="宋体" w:cs="宋体"/>
                <w:kern w:val="0"/>
                <w:sz w:val="24"/>
              </w:rPr>
              <w:t> </w:t>
            </w:r>
          </w:p>
        </w:tc>
        <w:tc>
          <w:tcPr>
            <w:tcW w:w="1903" w:type="dxa"/>
            <w:vAlign w:val="center"/>
          </w:tcPr>
          <w:p w14:paraId="2BD1977B">
            <w:pPr>
              <w:widowControl/>
              <w:spacing w:before="100" w:after="100"/>
              <w:jc w:val="center"/>
              <w:rPr>
                <w:rFonts w:hint="eastAsia" w:ascii="宋体" w:hAnsi="宋体" w:cs="宋体"/>
                <w:kern w:val="0"/>
                <w:sz w:val="24"/>
              </w:rPr>
            </w:pPr>
            <w:r>
              <w:rPr>
                <w:rFonts w:ascii="宋体" w:hAnsi="宋体" w:cs="宋体"/>
                <w:kern w:val="0"/>
                <w:sz w:val="24"/>
              </w:rPr>
              <w:t> </w:t>
            </w:r>
          </w:p>
        </w:tc>
      </w:tr>
      <w:tr w14:paraId="4C2C4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blCellSpacing w:w="0" w:type="dxa"/>
          <w:jc w:val="center"/>
        </w:trPr>
        <w:tc>
          <w:tcPr>
            <w:tcW w:w="538" w:type="dxa"/>
            <w:vAlign w:val="center"/>
          </w:tcPr>
          <w:p w14:paraId="629B3281">
            <w:pPr>
              <w:widowControl/>
              <w:spacing w:before="100" w:after="100"/>
              <w:jc w:val="center"/>
              <w:rPr>
                <w:rFonts w:hint="eastAsia" w:ascii="宋体" w:hAnsi="宋体" w:cs="宋体"/>
                <w:kern w:val="0"/>
                <w:sz w:val="24"/>
              </w:rPr>
            </w:pPr>
            <w:r>
              <w:rPr>
                <w:rFonts w:ascii="宋体" w:hAnsi="宋体" w:cs="宋体"/>
                <w:kern w:val="0"/>
                <w:sz w:val="24"/>
              </w:rPr>
              <w:t> </w:t>
            </w:r>
          </w:p>
        </w:tc>
        <w:tc>
          <w:tcPr>
            <w:tcW w:w="3026" w:type="dxa"/>
            <w:vAlign w:val="center"/>
          </w:tcPr>
          <w:p w14:paraId="76ED5E05">
            <w:pPr>
              <w:widowControl/>
              <w:spacing w:before="100" w:after="100"/>
              <w:jc w:val="center"/>
              <w:rPr>
                <w:rFonts w:hint="eastAsia" w:ascii="宋体" w:hAnsi="宋体" w:cs="宋体"/>
                <w:kern w:val="0"/>
                <w:sz w:val="24"/>
              </w:rPr>
            </w:pPr>
            <w:r>
              <w:rPr>
                <w:rFonts w:hint="eastAsia" w:ascii="宋体" w:hAnsi="宋体" w:cs="宋体"/>
                <w:kern w:val="0"/>
                <w:sz w:val="24"/>
              </w:rPr>
              <w:t>……</w:t>
            </w:r>
          </w:p>
        </w:tc>
        <w:tc>
          <w:tcPr>
            <w:tcW w:w="2608" w:type="dxa"/>
            <w:vAlign w:val="center"/>
          </w:tcPr>
          <w:p w14:paraId="0B3CD9E2">
            <w:pPr>
              <w:widowControl/>
              <w:spacing w:before="100" w:after="100"/>
              <w:jc w:val="center"/>
              <w:rPr>
                <w:rFonts w:hint="eastAsia" w:ascii="宋体" w:hAnsi="宋体" w:cs="宋体"/>
                <w:kern w:val="0"/>
                <w:sz w:val="24"/>
              </w:rPr>
            </w:pPr>
            <w:r>
              <w:rPr>
                <w:rFonts w:ascii="宋体" w:hAnsi="宋体" w:cs="宋体"/>
                <w:kern w:val="0"/>
                <w:sz w:val="24"/>
              </w:rPr>
              <w:t> </w:t>
            </w:r>
          </w:p>
        </w:tc>
        <w:tc>
          <w:tcPr>
            <w:tcW w:w="1247" w:type="dxa"/>
            <w:vAlign w:val="center"/>
          </w:tcPr>
          <w:p w14:paraId="387F7484">
            <w:pPr>
              <w:widowControl/>
              <w:spacing w:before="100" w:after="100"/>
              <w:jc w:val="center"/>
              <w:rPr>
                <w:rFonts w:hint="eastAsia" w:ascii="宋体" w:hAnsi="宋体" w:cs="宋体"/>
                <w:kern w:val="0"/>
                <w:sz w:val="24"/>
              </w:rPr>
            </w:pPr>
            <w:r>
              <w:rPr>
                <w:rFonts w:ascii="宋体" w:hAnsi="宋体" w:cs="宋体"/>
                <w:kern w:val="0"/>
                <w:sz w:val="24"/>
              </w:rPr>
              <w:t> </w:t>
            </w:r>
          </w:p>
        </w:tc>
        <w:tc>
          <w:tcPr>
            <w:tcW w:w="1903" w:type="dxa"/>
            <w:vAlign w:val="center"/>
          </w:tcPr>
          <w:p w14:paraId="0CA5B563">
            <w:pPr>
              <w:widowControl/>
              <w:spacing w:before="100" w:after="100"/>
              <w:jc w:val="center"/>
              <w:rPr>
                <w:rFonts w:hint="eastAsia" w:ascii="宋体" w:hAnsi="宋体" w:cs="宋体"/>
                <w:kern w:val="0"/>
                <w:sz w:val="24"/>
              </w:rPr>
            </w:pPr>
            <w:r>
              <w:rPr>
                <w:rFonts w:ascii="宋体" w:hAnsi="宋体" w:cs="宋体"/>
                <w:kern w:val="0"/>
                <w:sz w:val="24"/>
              </w:rPr>
              <w:t> </w:t>
            </w:r>
          </w:p>
        </w:tc>
      </w:tr>
    </w:tbl>
    <w:p w14:paraId="5A3C2234">
      <w:pPr>
        <w:widowControl/>
        <w:spacing w:before="100" w:after="100"/>
        <w:rPr>
          <w:rFonts w:hint="eastAsia" w:ascii="宋体" w:hAnsi="宋体" w:cs="宋体"/>
          <w:kern w:val="0"/>
          <w:sz w:val="24"/>
        </w:rPr>
      </w:pPr>
      <w:r>
        <w:rPr>
          <w:rFonts w:hint="eastAsia" w:ascii="宋体" w:hAnsi="宋体" w:cs="宋体"/>
          <w:kern w:val="0"/>
          <w:sz w:val="24"/>
        </w:rPr>
        <w:t>注：行数不够，可自行添加。</w:t>
      </w:r>
    </w:p>
    <w:p w14:paraId="2187389F">
      <w:pPr>
        <w:widowControl/>
        <w:tabs>
          <w:tab w:val="left" w:pos="4864"/>
        </w:tabs>
        <w:spacing w:before="100" w:after="100" w:line="500" w:lineRule="exact"/>
        <w:ind w:right="1559" w:firstLine="482"/>
        <w:jc w:val="center"/>
        <w:rPr>
          <w:rFonts w:hint="eastAsia" w:ascii="宋体" w:hAnsi="宋体" w:cs="宋体"/>
          <w:kern w:val="0"/>
          <w:sz w:val="24"/>
        </w:rPr>
      </w:pPr>
      <w:r>
        <w:rPr>
          <w:rFonts w:hint="eastAsia" w:ascii="宋体" w:hAnsi="宋体" w:cs="宋体"/>
          <w:kern w:val="0"/>
          <w:sz w:val="24"/>
        </w:rPr>
        <w:t xml:space="preserve"> </w:t>
      </w:r>
      <w:r>
        <w:rPr>
          <w:rFonts w:hint="eastAsia" w:ascii="宋体" w:hAnsi="宋体" w:cs="宋体"/>
          <w:kern w:val="0"/>
          <w:sz w:val="24"/>
          <w:lang w:val="en-US" w:eastAsia="zh-CN"/>
        </w:rPr>
        <w:t xml:space="preserve">                                        </w:t>
      </w:r>
      <w:r>
        <w:rPr>
          <w:rFonts w:hint="eastAsia" w:ascii="宋体" w:hAnsi="宋体" w:cs="宋体"/>
          <w:kern w:val="0"/>
          <w:sz w:val="24"/>
        </w:rPr>
        <w:t xml:space="preserve"> 供应商全称（公章）：</w:t>
      </w:r>
    </w:p>
    <w:p w14:paraId="5B93E96D">
      <w:pPr>
        <w:widowControl/>
        <w:tabs>
          <w:tab w:val="left" w:pos="4864"/>
        </w:tabs>
        <w:spacing w:before="100" w:after="100" w:line="500" w:lineRule="exact"/>
        <w:ind w:right="1559" w:firstLine="482"/>
        <w:jc w:val="center"/>
        <w:rPr>
          <w:rFonts w:hint="eastAsia" w:ascii="宋体" w:hAnsi="宋体" w:cs="宋体"/>
          <w:kern w:val="0"/>
          <w:sz w:val="24"/>
        </w:rPr>
      </w:pPr>
      <w:r>
        <w:rPr>
          <w:rFonts w:hint="eastAsia" w:ascii="宋体" w:hAnsi="宋体" w:cs="宋体"/>
          <w:kern w:val="0"/>
          <w:sz w:val="24"/>
          <w:lang w:val="en-US" w:eastAsia="zh-CN"/>
        </w:rPr>
        <w:t xml:space="preserve">                                            </w:t>
      </w:r>
      <w:r>
        <w:rPr>
          <w:rFonts w:hint="eastAsia" w:ascii="宋体" w:hAnsi="宋体" w:cs="宋体"/>
          <w:kern w:val="0"/>
          <w:sz w:val="24"/>
        </w:rPr>
        <w:t xml:space="preserve"> 日  期：</w:t>
      </w:r>
    </w:p>
    <w:p w14:paraId="6BFBF7C0">
      <w:pPr>
        <w:widowControl/>
        <w:spacing w:before="100" w:after="100"/>
        <w:jc w:val="center"/>
        <w:rPr>
          <w:rFonts w:hint="eastAsia" w:ascii="宋体" w:hAnsi="宋体" w:cs="宋体"/>
          <w:kern w:val="0"/>
          <w:sz w:val="24"/>
        </w:rPr>
      </w:pPr>
      <w:r>
        <w:rPr>
          <w:rFonts w:hint="eastAsia" w:ascii="黑体" w:hAnsi="宋体" w:eastAsia="黑体" w:cs="黑体"/>
          <w:b/>
          <w:kern w:val="0"/>
          <w:sz w:val="32"/>
          <w:szCs w:val="32"/>
        </w:rPr>
        <w:t>十三、商务要求响应及偏离表</w:t>
      </w:r>
    </w:p>
    <w:tbl>
      <w:tblPr>
        <w:tblStyle w:val="42"/>
        <w:tblW w:w="931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8"/>
        <w:gridCol w:w="3310"/>
        <w:gridCol w:w="2852"/>
        <w:gridCol w:w="1363"/>
        <w:gridCol w:w="1204"/>
      </w:tblGrid>
      <w:tr w14:paraId="5A37D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blCellSpacing w:w="0" w:type="dxa"/>
          <w:jc w:val="center"/>
        </w:trPr>
        <w:tc>
          <w:tcPr>
            <w:tcW w:w="588" w:type="dxa"/>
            <w:vAlign w:val="center"/>
          </w:tcPr>
          <w:p w14:paraId="3C5C7A36">
            <w:pPr>
              <w:widowControl/>
              <w:spacing w:before="100" w:after="100"/>
              <w:jc w:val="center"/>
              <w:rPr>
                <w:rFonts w:hint="eastAsia" w:ascii="宋体" w:hAnsi="宋体" w:cs="宋体"/>
                <w:kern w:val="0"/>
                <w:sz w:val="24"/>
              </w:rPr>
            </w:pPr>
            <w:bookmarkStart w:id="116" w:name="_Hlt24879081"/>
            <w:bookmarkStart w:id="117" w:name="_Hlt26955064"/>
            <w:bookmarkStart w:id="118" w:name="_Hlt26671343"/>
            <w:bookmarkStart w:id="119" w:name="_Hlt26955056"/>
            <w:bookmarkStart w:id="120" w:name="_Hlt26782999"/>
            <w:bookmarkStart w:id="121" w:name="_Hlt26671372"/>
            <w:bookmarkStart w:id="122" w:name="_Hlt26609391"/>
            <w:bookmarkStart w:id="123" w:name="_Hlt26580838"/>
            <w:r>
              <w:rPr>
                <w:rFonts w:hint="eastAsia" w:ascii="宋体" w:hAnsi="宋体" w:cs="宋体"/>
                <w:kern w:val="0"/>
                <w:sz w:val="24"/>
              </w:rPr>
              <w:t>序号</w:t>
            </w:r>
            <w:bookmarkEnd w:id="116"/>
            <w:bookmarkEnd w:id="117"/>
            <w:bookmarkEnd w:id="118"/>
            <w:bookmarkEnd w:id="119"/>
            <w:bookmarkEnd w:id="120"/>
            <w:bookmarkEnd w:id="121"/>
            <w:bookmarkEnd w:id="122"/>
            <w:bookmarkEnd w:id="123"/>
          </w:p>
        </w:tc>
        <w:tc>
          <w:tcPr>
            <w:tcW w:w="3310" w:type="dxa"/>
            <w:vAlign w:val="center"/>
          </w:tcPr>
          <w:p w14:paraId="42C92E07">
            <w:pPr>
              <w:widowControl/>
              <w:spacing w:before="100" w:after="100"/>
              <w:jc w:val="center"/>
              <w:rPr>
                <w:rFonts w:hint="eastAsia" w:ascii="宋体" w:hAnsi="宋体" w:cs="宋体"/>
                <w:kern w:val="0"/>
                <w:sz w:val="24"/>
              </w:rPr>
            </w:pPr>
            <w:r>
              <w:rPr>
                <w:rFonts w:hint="eastAsia" w:ascii="宋体" w:hAnsi="宋体" w:cs="宋体"/>
                <w:kern w:val="0"/>
                <w:sz w:val="24"/>
              </w:rPr>
              <w:t>磋商文件要求</w:t>
            </w:r>
          </w:p>
        </w:tc>
        <w:tc>
          <w:tcPr>
            <w:tcW w:w="2852" w:type="dxa"/>
            <w:vAlign w:val="center"/>
          </w:tcPr>
          <w:p w14:paraId="3AF7962A">
            <w:pPr>
              <w:widowControl/>
              <w:spacing w:before="100" w:after="100"/>
              <w:jc w:val="center"/>
              <w:rPr>
                <w:rFonts w:hint="eastAsia" w:ascii="宋体" w:hAnsi="宋体" w:cs="宋体"/>
                <w:kern w:val="0"/>
                <w:sz w:val="24"/>
              </w:rPr>
            </w:pPr>
            <w:r>
              <w:rPr>
                <w:rFonts w:hint="eastAsia" w:ascii="宋体" w:hAnsi="宋体" w:cs="宋体"/>
                <w:kern w:val="0"/>
                <w:sz w:val="24"/>
              </w:rPr>
              <w:t>响应情况</w:t>
            </w:r>
          </w:p>
        </w:tc>
        <w:tc>
          <w:tcPr>
            <w:tcW w:w="1363" w:type="dxa"/>
            <w:vAlign w:val="center"/>
          </w:tcPr>
          <w:p w14:paraId="47489802">
            <w:pPr>
              <w:widowControl/>
              <w:spacing w:before="100" w:after="100"/>
              <w:jc w:val="center"/>
              <w:rPr>
                <w:rFonts w:hint="eastAsia" w:ascii="宋体" w:hAnsi="宋体" w:cs="宋体"/>
                <w:kern w:val="0"/>
                <w:sz w:val="24"/>
              </w:rPr>
            </w:pPr>
            <w:r>
              <w:rPr>
                <w:rFonts w:hint="eastAsia" w:ascii="宋体" w:hAnsi="宋体" w:cs="宋体"/>
                <w:kern w:val="0"/>
                <w:sz w:val="24"/>
              </w:rPr>
              <w:t>超出、符合或偏离</w:t>
            </w:r>
          </w:p>
        </w:tc>
        <w:tc>
          <w:tcPr>
            <w:tcW w:w="1204" w:type="dxa"/>
            <w:vAlign w:val="center"/>
          </w:tcPr>
          <w:p w14:paraId="46FC5AE5">
            <w:pPr>
              <w:widowControl/>
              <w:spacing w:before="100" w:after="100"/>
              <w:jc w:val="center"/>
              <w:rPr>
                <w:rFonts w:hint="eastAsia" w:ascii="宋体" w:hAnsi="宋体" w:cs="宋体"/>
                <w:kern w:val="0"/>
                <w:sz w:val="24"/>
              </w:rPr>
            </w:pPr>
            <w:r>
              <w:rPr>
                <w:rFonts w:hint="eastAsia" w:ascii="宋体" w:hAnsi="宋体" w:cs="宋体"/>
                <w:kern w:val="0"/>
                <w:sz w:val="24"/>
              </w:rPr>
              <w:t>备注</w:t>
            </w:r>
          </w:p>
        </w:tc>
      </w:tr>
      <w:tr w14:paraId="0DDF6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4" w:hRule="atLeast"/>
          <w:tblCellSpacing w:w="0" w:type="dxa"/>
          <w:jc w:val="center"/>
        </w:trPr>
        <w:tc>
          <w:tcPr>
            <w:tcW w:w="588" w:type="dxa"/>
            <w:vAlign w:val="center"/>
          </w:tcPr>
          <w:p w14:paraId="2B809515">
            <w:pPr>
              <w:widowControl/>
              <w:spacing w:before="100" w:after="100"/>
              <w:jc w:val="center"/>
              <w:rPr>
                <w:rFonts w:hint="eastAsia" w:ascii="宋体" w:hAnsi="宋体" w:cs="宋体"/>
                <w:kern w:val="0"/>
                <w:sz w:val="24"/>
              </w:rPr>
            </w:pPr>
            <w:r>
              <w:rPr>
                <w:rFonts w:ascii="宋体" w:hAnsi="宋体" w:cs="宋体"/>
                <w:kern w:val="0"/>
                <w:sz w:val="24"/>
              </w:rPr>
              <w:t> </w:t>
            </w:r>
            <w:r>
              <w:rPr>
                <w:rFonts w:hint="eastAsia" w:ascii="宋体" w:hAnsi="宋体" w:cs="宋体"/>
                <w:kern w:val="0"/>
                <w:sz w:val="24"/>
              </w:rPr>
              <w:t>1</w:t>
            </w:r>
          </w:p>
        </w:tc>
        <w:tc>
          <w:tcPr>
            <w:tcW w:w="3310" w:type="dxa"/>
            <w:vAlign w:val="center"/>
          </w:tcPr>
          <w:p w14:paraId="7EE4027E">
            <w:pPr>
              <w:widowControl/>
              <w:spacing w:before="100" w:after="100"/>
              <w:jc w:val="center"/>
              <w:rPr>
                <w:rFonts w:hint="eastAsia" w:ascii="宋体" w:hAnsi="宋体" w:cs="宋体"/>
                <w:kern w:val="0"/>
                <w:sz w:val="24"/>
              </w:rPr>
            </w:pPr>
          </w:p>
        </w:tc>
        <w:tc>
          <w:tcPr>
            <w:tcW w:w="2852" w:type="dxa"/>
            <w:vAlign w:val="center"/>
          </w:tcPr>
          <w:p w14:paraId="0C40A100">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266D2EFB">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45B00C94">
            <w:pPr>
              <w:widowControl/>
              <w:spacing w:before="100" w:after="100"/>
              <w:jc w:val="center"/>
              <w:rPr>
                <w:rFonts w:hint="eastAsia" w:ascii="宋体" w:hAnsi="宋体" w:cs="宋体"/>
                <w:kern w:val="0"/>
                <w:sz w:val="24"/>
              </w:rPr>
            </w:pPr>
            <w:r>
              <w:rPr>
                <w:rFonts w:ascii="宋体" w:hAnsi="宋体" w:cs="宋体"/>
                <w:kern w:val="0"/>
                <w:sz w:val="24"/>
              </w:rPr>
              <w:t> </w:t>
            </w:r>
          </w:p>
        </w:tc>
      </w:tr>
      <w:tr w14:paraId="72C53D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4" w:hRule="atLeast"/>
          <w:tblCellSpacing w:w="0" w:type="dxa"/>
          <w:jc w:val="center"/>
        </w:trPr>
        <w:tc>
          <w:tcPr>
            <w:tcW w:w="588" w:type="dxa"/>
            <w:vAlign w:val="center"/>
          </w:tcPr>
          <w:p w14:paraId="4EC639ED">
            <w:pPr>
              <w:widowControl/>
              <w:spacing w:before="100" w:after="100"/>
              <w:jc w:val="center"/>
              <w:rPr>
                <w:rFonts w:hint="eastAsia" w:ascii="宋体" w:hAnsi="宋体" w:cs="宋体"/>
                <w:kern w:val="0"/>
                <w:sz w:val="24"/>
              </w:rPr>
            </w:pPr>
            <w:r>
              <w:rPr>
                <w:rFonts w:ascii="宋体" w:hAnsi="宋体" w:cs="宋体"/>
                <w:kern w:val="0"/>
                <w:sz w:val="24"/>
              </w:rPr>
              <w:t> </w:t>
            </w:r>
            <w:r>
              <w:rPr>
                <w:rFonts w:hint="eastAsia" w:ascii="宋体" w:hAnsi="宋体" w:cs="宋体"/>
                <w:kern w:val="0"/>
                <w:sz w:val="24"/>
              </w:rPr>
              <w:t>2</w:t>
            </w:r>
          </w:p>
        </w:tc>
        <w:tc>
          <w:tcPr>
            <w:tcW w:w="3310" w:type="dxa"/>
            <w:vAlign w:val="center"/>
          </w:tcPr>
          <w:p w14:paraId="25A924EC">
            <w:pPr>
              <w:widowControl/>
              <w:spacing w:before="100" w:after="100"/>
              <w:jc w:val="center"/>
              <w:rPr>
                <w:rFonts w:hint="eastAsia" w:ascii="宋体" w:hAnsi="宋体" w:cs="宋体"/>
                <w:kern w:val="0"/>
                <w:sz w:val="24"/>
              </w:rPr>
            </w:pPr>
          </w:p>
        </w:tc>
        <w:tc>
          <w:tcPr>
            <w:tcW w:w="2852" w:type="dxa"/>
            <w:vAlign w:val="center"/>
          </w:tcPr>
          <w:p w14:paraId="64FA33D2">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6DA2E111">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1CA14AF4">
            <w:pPr>
              <w:widowControl/>
              <w:spacing w:before="100" w:after="100"/>
              <w:jc w:val="center"/>
              <w:rPr>
                <w:rFonts w:hint="eastAsia" w:ascii="宋体" w:hAnsi="宋体" w:cs="宋体"/>
                <w:kern w:val="0"/>
                <w:sz w:val="24"/>
              </w:rPr>
            </w:pPr>
            <w:r>
              <w:rPr>
                <w:rFonts w:ascii="宋体" w:hAnsi="宋体" w:cs="宋体"/>
                <w:kern w:val="0"/>
                <w:sz w:val="24"/>
              </w:rPr>
              <w:t> </w:t>
            </w:r>
          </w:p>
        </w:tc>
      </w:tr>
      <w:tr w14:paraId="67DAF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blCellSpacing w:w="0" w:type="dxa"/>
          <w:jc w:val="center"/>
        </w:trPr>
        <w:tc>
          <w:tcPr>
            <w:tcW w:w="588" w:type="dxa"/>
            <w:vAlign w:val="center"/>
          </w:tcPr>
          <w:p w14:paraId="13C976BE">
            <w:pPr>
              <w:widowControl/>
              <w:spacing w:before="100" w:after="100"/>
              <w:jc w:val="center"/>
              <w:rPr>
                <w:rFonts w:hint="eastAsia" w:ascii="宋体" w:hAnsi="宋体" w:cs="宋体"/>
                <w:kern w:val="0"/>
                <w:sz w:val="24"/>
              </w:rPr>
            </w:pPr>
            <w:r>
              <w:rPr>
                <w:rFonts w:hint="eastAsia" w:ascii="宋体" w:hAnsi="宋体" w:cs="宋体"/>
                <w:kern w:val="0"/>
                <w:sz w:val="24"/>
              </w:rPr>
              <w:t>3</w:t>
            </w:r>
          </w:p>
        </w:tc>
        <w:tc>
          <w:tcPr>
            <w:tcW w:w="3310" w:type="dxa"/>
            <w:vAlign w:val="center"/>
          </w:tcPr>
          <w:p w14:paraId="32DD06E7">
            <w:pPr>
              <w:widowControl/>
              <w:spacing w:before="100" w:after="100"/>
              <w:jc w:val="center"/>
              <w:rPr>
                <w:rFonts w:hint="eastAsia" w:ascii="宋体" w:hAnsi="宋体" w:cs="宋体"/>
                <w:kern w:val="0"/>
                <w:sz w:val="24"/>
              </w:rPr>
            </w:pPr>
          </w:p>
        </w:tc>
        <w:tc>
          <w:tcPr>
            <w:tcW w:w="2852" w:type="dxa"/>
            <w:vAlign w:val="center"/>
          </w:tcPr>
          <w:p w14:paraId="645EA861">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1E6E70A0">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0DE3665F">
            <w:pPr>
              <w:widowControl/>
              <w:spacing w:before="100" w:after="100"/>
              <w:jc w:val="center"/>
              <w:rPr>
                <w:rFonts w:hint="eastAsia" w:ascii="宋体" w:hAnsi="宋体" w:cs="宋体"/>
                <w:kern w:val="0"/>
                <w:sz w:val="24"/>
              </w:rPr>
            </w:pPr>
            <w:r>
              <w:rPr>
                <w:rFonts w:ascii="宋体" w:hAnsi="宋体" w:cs="宋体"/>
                <w:kern w:val="0"/>
                <w:sz w:val="24"/>
              </w:rPr>
              <w:t> </w:t>
            </w:r>
          </w:p>
        </w:tc>
      </w:tr>
      <w:tr w14:paraId="6CA36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blCellSpacing w:w="0" w:type="dxa"/>
          <w:jc w:val="center"/>
        </w:trPr>
        <w:tc>
          <w:tcPr>
            <w:tcW w:w="588" w:type="dxa"/>
            <w:vAlign w:val="center"/>
          </w:tcPr>
          <w:p w14:paraId="578821FF">
            <w:pPr>
              <w:widowControl/>
              <w:spacing w:before="100" w:after="100"/>
              <w:jc w:val="center"/>
              <w:rPr>
                <w:rFonts w:hint="eastAsia" w:ascii="宋体" w:hAnsi="宋体" w:cs="宋体"/>
                <w:kern w:val="0"/>
                <w:sz w:val="24"/>
              </w:rPr>
            </w:pPr>
            <w:r>
              <w:rPr>
                <w:rFonts w:ascii="宋体" w:hAnsi="宋体" w:cs="宋体"/>
                <w:kern w:val="0"/>
                <w:sz w:val="24"/>
              </w:rPr>
              <w:t> </w:t>
            </w:r>
          </w:p>
        </w:tc>
        <w:tc>
          <w:tcPr>
            <w:tcW w:w="3310" w:type="dxa"/>
            <w:vAlign w:val="center"/>
          </w:tcPr>
          <w:p w14:paraId="1C8D0756">
            <w:pPr>
              <w:widowControl/>
              <w:spacing w:before="100" w:after="100"/>
              <w:jc w:val="center"/>
              <w:rPr>
                <w:rFonts w:hint="eastAsia" w:ascii="宋体" w:hAnsi="宋体" w:cs="宋体"/>
                <w:kern w:val="0"/>
                <w:sz w:val="24"/>
              </w:rPr>
            </w:pPr>
            <w:r>
              <w:rPr>
                <w:rFonts w:ascii="宋体" w:hAnsi="宋体" w:cs="宋体"/>
                <w:kern w:val="0"/>
                <w:sz w:val="24"/>
              </w:rPr>
              <w:t> </w:t>
            </w:r>
          </w:p>
        </w:tc>
        <w:tc>
          <w:tcPr>
            <w:tcW w:w="2852" w:type="dxa"/>
            <w:vAlign w:val="center"/>
          </w:tcPr>
          <w:p w14:paraId="695F1D98">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00FF48A2">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5C921E5B">
            <w:pPr>
              <w:widowControl/>
              <w:spacing w:before="100" w:after="100"/>
              <w:jc w:val="center"/>
              <w:rPr>
                <w:rFonts w:hint="eastAsia" w:ascii="宋体" w:hAnsi="宋体" w:cs="宋体"/>
                <w:kern w:val="0"/>
                <w:sz w:val="24"/>
              </w:rPr>
            </w:pPr>
            <w:r>
              <w:rPr>
                <w:rFonts w:ascii="宋体" w:hAnsi="宋体" w:cs="宋体"/>
                <w:kern w:val="0"/>
                <w:sz w:val="24"/>
              </w:rPr>
              <w:t> </w:t>
            </w:r>
          </w:p>
        </w:tc>
      </w:tr>
      <w:tr w14:paraId="6A04F1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blCellSpacing w:w="0" w:type="dxa"/>
          <w:jc w:val="center"/>
        </w:trPr>
        <w:tc>
          <w:tcPr>
            <w:tcW w:w="588" w:type="dxa"/>
            <w:vAlign w:val="center"/>
          </w:tcPr>
          <w:p w14:paraId="5401A416">
            <w:pPr>
              <w:widowControl/>
              <w:spacing w:before="100" w:after="100"/>
              <w:jc w:val="center"/>
              <w:rPr>
                <w:rFonts w:hint="eastAsia" w:ascii="宋体" w:hAnsi="宋体" w:cs="宋体"/>
                <w:kern w:val="0"/>
                <w:sz w:val="24"/>
              </w:rPr>
            </w:pPr>
            <w:r>
              <w:rPr>
                <w:rFonts w:ascii="宋体" w:hAnsi="宋体" w:cs="宋体"/>
                <w:kern w:val="0"/>
                <w:sz w:val="24"/>
              </w:rPr>
              <w:t> </w:t>
            </w:r>
          </w:p>
        </w:tc>
        <w:tc>
          <w:tcPr>
            <w:tcW w:w="3310" w:type="dxa"/>
            <w:vAlign w:val="center"/>
          </w:tcPr>
          <w:p w14:paraId="5E00B8C8">
            <w:pPr>
              <w:widowControl/>
              <w:spacing w:before="100" w:after="100"/>
              <w:jc w:val="center"/>
              <w:rPr>
                <w:rFonts w:hint="eastAsia" w:ascii="宋体" w:hAnsi="宋体" w:cs="宋体"/>
                <w:kern w:val="0"/>
                <w:sz w:val="24"/>
              </w:rPr>
            </w:pPr>
            <w:r>
              <w:rPr>
                <w:rFonts w:ascii="宋体" w:hAnsi="宋体" w:cs="宋体"/>
                <w:kern w:val="0"/>
                <w:sz w:val="24"/>
              </w:rPr>
              <w:t> </w:t>
            </w:r>
          </w:p>
        </w:tc>
        <w:tc>
          <w:tcPr>
            <w:tcW w:w="2852" w:type="dxa"/>
            <w:vAlign w:val="center"/>
          </w:tcPr>
          <w:p w14:paraId="5CBDB3DC">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74A9EBA4">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35C1E1EC">
            <w:pPr>
              <w:widowControl/>
              <w:spacing w:before="100" w:after="100"/>
              <w:jc w:val="center"/>
              <w:rPr>
                <w:rFonts w:hint="eastAsia" w:ascii="宋体" w:hAnsi="宋体" w:cs="宋体"/>
                <w:kern w:val="0"/>
                <w:sz w:val="24"/>
              </w:rPr>
            </w:pPr>
            <w:r>
              <w:rPr>
                <w:rFonts w:ascii="宋体" w:hAnsi="宋体" w:cs="宋体"/>
                <w:kern w:val="0"/>
                <w:sz w:val="24"/>
              </w:rPr>
              <w:t> </w:t>
            </w:r>
          </w:p>
        </w:tc>
      </w:tr>
      <w:tr w14:paraId="06275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blCellSpacing w:w="0" w:type="dxa"/>
          <w:jc w:val="center"/>
        </w:trPr>
        <w:tc>
          <w:tcPr>
            <w:tcW w:w="588" w:type="dxa"/>
            <w:vAlign w:val="center"/>
          </w:tcPr>
          <w:p w14:paraId="5AB4823F">
            <w:pPr>
              <w:widowControl/>
              <w:spacing w:before="100" w:after="100"/>
              <w:jc w:val="center"/>
              <w:rPr>
                <w:rFonts w:hint="eastAsia" w:ascii="宋体" w:hAnsi="宋体" w:cs="宋体"/>
                <w:kern w:val="0"/>
                <w:sz w:val="24"/>
              </w:rPr>
            </w:pPr>
            <w:r>
              <w:rPr>
                <w:rFonts w:ascii="宋体" w:hAnsi="宋体" w:cs="宋体"/>
                <w:kern w:val="0"/>
                <w:sz w:val="24"/>
              </w:rPr>
              <w:t> </w:t>
            </w:r>
          </w:p>
        </w:tc>
        <w:tc>
          <w:tcPr>
            <w:tcW w:w="3310" w:type="dxa"/>
            <w:vAlign w:val="center"/>
          </w:tcPr>
          <w:p w14:paraId="59F58FAA">
            <w:pPr>
              <w:widowControl/>
              <w:spacing w:before="100" w:after="100"/>
              <w:jc w:val="center"/>
              <w:rPr>
                <w:rFonts w:hint="eastAsia" w:ascii="宋体" w:hAnsi="宋体" w:cs="宋体"/>
                <w:kern w:val="0"/>
                <w:sz w:val="24"/>
              </w:rPr>
            </w:pPr>
            <w:r>
              <w:rPr>
                <w:rFonts w:ascii="宋体" w:hAnsi="宋体" w:cs="宋体"/>
                <w:kern w:val="0"/>
                <w:sz w:val="24"/>
              </w:rPr>
              <w:t> </w:t>
            </w:r>
          </w:p>
        </w:tc>
        <w:tc>
          <w:tcPr>
            <w:tcW w:w="2852" w:type="dxa"/>
            <w:vAlign w:val="center"/>
          </w:tcPr>
          <w:p w14:paraId="3C95525C">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478578F3">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667DE0D6">
            <w:pPr>
              <w:widowControl/>
              <w:spacing w:before="100" w:after="100"/>
              <w:jc w:val="center"/>
              <w:rPr>
                <w:rFonts w:hint="eastAsia" w:ascii="宋体" w:hAnsi="宋体" w:cs="宋体"/>
                <w:kern w:val="0"/>
                <w:sz w:val="24"/>
              </w:rPr>
            </w:pPr>
            <w:r>
              <w:rPr>
                <w:rFonts w:ascii="宋体" w:hAnsi="宋体" w:cs="宋体"/>
                <w:kern w:val="0"/>
                <w:sz w:val="24"/>
              </w:rPr>
              <w:t> </w:t>
            </w:r>
          </w:p>
        </w:tc>
      </w:tr>
      <w:tr w14:paraId="6F0EEB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1" w:hRule="atLeast"/>
          <w:tblCellSpacing w:w="0" w:type="dxa"/>
          <w:jc w:val="center"/>
        </w:trPr>
        <w:tc>
          <w:tcPr>
            <w:tcW w:w="588" w:type="dxa"/>
            <w:vAlign w:val="center"/>
          </w:tcPr>
          <w:p w14:paraId="2DDE958B">
            <w:pPr>
              <w:widowControl/>
              <w:spacing w:before="100" w:after="100"/>
              <w:jc w:val="center"/>
              <w:rPr>
                <w:rFonts w:hint="eastAsia" w:ascii="宋体" w:hAnsi="宋体" w:cs="宋体"/>
                <w:kern w:val="0"/>
                <w:sz w:val="24"/>
              </w:rPr>
            </w:pPr>
            <w:r>
              <w:rPr>
                <w:rFonts w:ascii="宋体" w:hAnsi="宋体" w:cs="宋体"/>
                <w:kern w:val="0"/>
                <w:sz w:val="24"/>
              </w:rPr>
              <w:t> </w:t>
            </w:r>
          </w:p>
        </w:tc>
        <w:tc>
          <w:tcPr>
            <w:tcW w:w="3310" w:type="dxa"/>
            <w:vAlign w:val="center"/>
          </w:tcPr>
          <w:p w14:paraId="4F1BB4F6">
            <w:pPr>
              <w:widowControl/>
              <w:spacing w:before="100" w:after="100"/>
              <w:jc w:val="center"/>
              <w:rPr>
                <w:rFonts w:hint="eastAsia" w:ascii="宋体" w:hAnsi="宋体" w:cs="宋体"/>
                <w:kern w:val="0"/>
                <w:sz w:val="24"/>
              </w:rPr>
            </w:pPr>
            <w:r>
              <w:rPr>
                <w:rFonts w:ascii="宋体" w:hAnsi="宋体" w:cs="宋体"/>
                <w:kern w:val="0"/>
                <w:sz w:val="24"/>
              </w:rPr>
              <w:t> </w:t>
            </w:r>
          </w:p>
        </w:tc>
        <w:tc>
          <w:tcPr>
            <w:tcW w:w="2852" w:type="dxa"/>
            <w:vAlign w:val="center"/>
          </w:tcPr>
          <w:p w14:paraId="74FA156F">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39153BE2">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7EA730FA">
            <w:pPr>
              <w:widowControl/>
              <w:spacing w:before="100" w:after="100"/>
              <w:jc w:val="center"/>
              <w:rPr>
                <w:rFonts w:hint="eastAsia" w:ascii="宋体" w:hAnsi="宋体" w:cs="宋体"/>
                <w:kern w:val="0"/>
                <w:sz w:val="24"/>
              </w:rPr>
            </w:pPr>
            <w:r>
              <w:rPr>
                <w:rFonts w:ascii="宋体" w:hAnsi="宋体" w:cs="宋体"/>
                <w:kern w:val="0"/>
                <w:sz w:val="24"/>
              </w:rPr>
              <w:t> </w:t>
            </w:r>
          </w:p>
        </w:tc>
      </w:tr>
      <w:tr w14:paraId="350019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1" w:hRule="atLeast"/>
          <w:tblCellSpacing w:w="0" w:type="dxa"/>
          <w:jc w:val="center"/>
        </w:trPr>
        <w:tc>
          <w:tcPr>
            <w:tcW w:w="588" w:type="dxa"/>
            <w:vAlign w:val="center"/>
          </w:tcPr>
          <w:p w14:paraId="2A7C7A72">
            <w:pPr>
              <w:widowControl/>
              <w:spacing w:before="100" w:after="100"/>
              <w:jc w:val="center"/>
              <w:rPr>
                <w:rFonts w:hint="eastAsia" w:ascii="宋体" w:hAnsi="宋体" w:cs="宋体"/>
                <w:kern w:val="0"/>
                <w:sz w:val="24"/>
              </w:rPr>
            </w:pPr>
            <w:r>
              <w:rPr>
                <w:rFonts w:ascii="宋体" w:hAnsi="宋体" w:cs="宋体"/>
                <w:kern w:val="0"/>
                <w:sz w:val="24"/>
              </w:rPr>
              <w:t> </w:t>
            </w:r>
          </w:p>
        </w:tc>
        <w:tc>
          <w:tcPr>
            <w:tcW w:w="3310" w:type="dxa"/>
            <w:vAlign w:val="center"/>
          </w:tcPr>
          <w:p w14:paraId="0472418F">
            <w:pPr>
              <w:widowControl/>
              <w:spacing w:before="100" w:after="100"/>
              <w:jc w:val="center"/>
              <w:rPr>
                <w:rFonts w:hint="eastAsia" w:ascii="宋体" w:hAnsi="宋体" w:cs="宋体"/>
                <w:kern w:val="0"/>
                <w:sz w:val="24"/>
              </w:rPr>
            </w:pPr>
            <w:r>
              <w:rPr>
                <w:rFonts w:hint="eastAsia" w:ascii="宋体" w:hAnsi="宋体" w:cs="宋体"/>
                <w:kern w:val="0"/>
                <w:sz w:val="24"/>
              </w:rPr>
              <w:t>……</w:t>
            </w:r>
          </w:p>
        </w:tc>
        <w:tc>
          <w:tcPr>
            <w:tcW w:w="2852" w:type="dxa"/>
            <w:vAlign w:val="center"/>
          </w:tcPr>
          <w:p w14:paraId="2E49ABC5">
            <w:pPr>
              <w:widowControl/>
              <w:spacing w:before="100" w:after="100"/>
              <w:jc w:val="center"/>
              <w:rPr>
                <w:rFonts w:hint="eastAsia" w:ascii="宋体" w:hAnsi="宋体" w:cs="宋体"/>
                <w:kern w:val="0"/>
                <w:sz w:val="24"/>
              </w:rPr>
            </w:pPr>
            <w:r>
              <w:rPr>
                <w:rFonts w:ascii="宋体" w:hAnsi="宋体" w:cs="宋体"/>
                <w:kern w:val="0"/>
                <w:sz w:val="24"/>
              </w:rPr>
              <w:t> </w:t>
            </w:r>
          </w:p>
        </w:tc>
        <w:tc>
          <w:tcPr>
            <w:tcW w:w="1363" w:type="dxa"/>
            <w:vAlign w:val="center"/>
          </w:tcPr>
          <w:p w14:paraId="5B4F6D78">
            <w:pPr>
              <w:widowControl/>
              <w:spacing w:before="100" w:after="100"/>
              <w:jc w:val="center"/>
              <w:rPr>
                <w:rFonts w:hint="eastAsia" w:ascii="宋体" w:hAnsi="宋体" w:cs="宋体"/>
                <w:kern w:val="0"/>
                <w:sz w:val="24"/>
              </w:rPr>
            </w:pPr>
            <w:r>
              <w:rPr>
                <w:rFonts w:ascii="宋体" w:hAnsi="宋体" w:cs="宋体"/>
                <w:kern w:val="0"/>
                <w:sz w:val="24"/>
              </w:rPr>
              <w:t> </w:t>
            </w:r>
          </w:p>
        </w:tc>
        <w:tc>
          <w:tcPr>
            <w:tcW w:w="1204" w:type="dxa"/>
            <w:vAlign w:val="center"/>
          </w:tcPr>
          <w:p w14:paraId="11278AAF">
            <w:pPr>
              <w:widowControl/>
              <w:spacing w:before="100" w:after="100"/>
              <w:jc w:val="center"/>
              <w:rPr>
                <w:rFonts w:hint="eastAsia" w:ascii="宋体" w:hAnsi="宋体" w:cs="宋体"/>
                <w:kern w:val="0"/>
                <w:sz w:val="24"/>
              </w:rPr>
            </w:pPr>
            <w:r>
              <w:rPr>
                <w:rFonts w:ascii="宋体" w:hAnsi="宋体" w:cs="宋体"/>
                <w:kern w:val="0"/>
                <w:sz w:val="24"/>
              </w:rPr>
              <w:t> </w:t>
            </w:r>
          </w:p>
        </w:tc>
      </w:tr>
    </w:tbl>
    <w:p w14:paraId="5FD525CE">
      <w:pPr>
        <w:widowControl/>
        <w:spacing w:before="100" w:after="100"/>
        <w:rPr>
          <w:rFonts w:hint="eastAsia" w:ascii="宋体" w:hAnsi="宋体" w:cs="宋体"/>
          <w:kern w:val="0"/>
          <w:sz w:val="24"/>
        </w:rPr>
      </w:pPr>
      <w:r>
        <w:rPr>
          <w:rFonts w:hint="eastAsia" w:ascii="宋体" w:hAnsi="宋体" w:cs="宋体"/>
          <w:kern w:val="0"/>
          <w:sz w:val="24"/>
        </w:rPr>
        <w:t>注： 行数不够，可自行添加。</w:t>
      </w:r>
    </w:p>
    <w:p w14:paraId="0F183837">
      <w:pPr>
        <w:widowControl/>
        <w:spacing w:before="100" w:after="100" w:line="480" w:lineRule="auto"/>
        <w:rPr>
          <w:rFonts w:hint="eastAsia" w:ascii="宋体" w:hAnsi="宋体" w:cs="宋体"/>
          <w:kern w:val="0"/>
          <w:sz w:val="24"/>
        </w:rPr>
      </w:pPr>
      <w:r>
        <w:rPr>
          <w:rFonts w:ascii="宋体" w:hAnsi="宋体" w:cs="宋体"/>
          <w:kern w:val="0"/>
          <w:sz w:val="24"/>
        </w:rPr>
        <w:t> </w:t>
      </w:r>
    </w:p>
    <w:p w14:paraId="2F314A6E">
      <w:pPr>
        <w:widowControl/>
        <w:spacing w:before="100" w:after="100" w:line="480" w:lineRule="auto"/>
        <w:rPr>
          <w:rFonts w:hint="eastAsia" w:ascii="宋体" w:hAnsi="宋体" w:cs="宋体"/>
          <w:kern w:val="0"/>
          <w:sz w:val="24"/>
        </w:rPr>
      </w:pPr>
      <w:r>
        <w:rPr>
          <w:rFonts w:ascii="宋体" w:hAnsi="宋体" w:cs="宋体"/>
          <w:kern w:val="0"/>
          <w:sz w:val="24"/>
        </w:rPr>
        <w:t> </w:t>
      </w:r>
    </w:p>
    <w:p w14:paraId="11013D7F">
      <w:pPr>
        <w:spacing w:before="50" w:after="50"/>
        <w:jc w:val="center"/>
        <w:rPr>
          <w:rFonts w:hint="eastAsia" w:ascii="宋体" w:hAnsi="宋体" w:cs="宋体"/>
          <w:kern w:val="0"/>
          <w:sz w:val="22"/>
          <w:szCs w:val="22"/>
        </w:rPr>
      </w:pPr>
    </w:p>
    <w:p w14:paraId="77A0FB50">
      <w:pPr>
        <w:spacing w:before="50" w:after="50"/>
        <w:jc w:val="center"/>
        <w:rPr>
          <w:rFonts w:hint="eastAsia" w:ascii="宋体" w:hAnsi="宋体" w:cs="宋体"/>
          <w:kern w:val="0"/>
          <w:sz w:val="22"/>
          <w:szCs w:val="22"/>
        </w:rPr>
      </w:pPr>
    </w:p>
    <w:p w14:paraId="75D62585">
      <w:pPr>
        <w:spacing w:before="50" w:after="50"/>
        <w:jc w:val="center"/>
        <w:rPr>
          <w:rFonts w:hint="eastAsia" w:ascii="宋体" w:hAnsi="宋体" w:cs="宋体"/>
          <w:kern w:val="0"/>
          <w:sz w:val="22"/>
          <w:szCs w:val="22"/>
        </w:rPr>
      </w:pPr>
    </w:p>
    <w:p w14:paraId="336A4A17">
      <w:pPr>
        <w:spacing w:before="50" w:after="50"/>
        <w:jc w:val="center"/>
        <w:rPr>
          <w:rFonts w:hint="eastAsia" w:ascii="宋体" w:hAnsi="宋体" w:cs="宋体"/>
          <w:kern w:val="0"/>
          <w:sz w:val="22"/>
          <w:szCs w:val="22"/>
        </w:rPr>
      </w:pPr>
    </w:p>
    <w:p w14:paraId="0FA9280E">
      <w:pPr>
        <w:spacing w:before="50" w:after="50"/>
        <w:jc w:val="center"/>
        <w:rPr>
          <w:rFonts w:hint="eastAsia" w:ascii="宋体" w:hAnsi="宋体" w:cs="宋体"/>
          <w:kern w:val="0"/>
          <w:sz w:val="22"/>
          <w:szCs w:val="22"/>
        </w:rPr>
      </w:pPr>
    </w:p>
    <w:p w14:paraId="67725070">
      <w:pPr>
        <w:spacing w:before="50" w:after="50"/>
        <w:jc w:val="center"/>
        <w:rPr>
          <w:rFonts w:hint="eastAsia" w:ascii="宋体" w:hAnsi="宋体" w:cs="宋体"/>
          <w:kern w:val="0"/>
          <w:sz w:val="22"/>
          <w:szCs w:val="22"/>
        </w:rPr>
      </w:pPr>
    </w:p>
    <w:p w14:paraId="2784D119">
      <w:pPr>
        <w:spacing w:before="50" w:after="50"/>
        <w:jc w:val="center"/>
        <w:rPr>
          <w:rFonts w:hint="eastAsia" w:ascii="宋体" w:hAnsi="宋体" w:cs="宋体"/>
          <w:kern w:val="0"/>
          <w:sz w:val="22"/>
          <w:szCs w:val="22"/>
        </w:rPr>
      </w:pPr>
    </w:p>
    <w:p w14:paraId="2D5681F4">
      <w:pPr>
        <w:spacing w:before="50" w:after="50"/>
        <w:jc w:val="center"/>
        <w:rPr>
          <w:rFonts w:hint="eastAsia" w:ascii="宋体" w:hAnsi="宋体" w:cs="宋体"/>
          <w:kern w:val="0"/>
          <w:sz w:val="22"/>
          <w:szCs w:val="22"/>
        </w:rPr>
      </w:pPr>
    </w:p>
    <w:p w14:paraId="6AC42742">
      <w:pPr>
        <w:spacing w:before="50" w:after="50"/>
        <w:jc w:val="center"/>
        <w:rPr>
          <w:rFonts w:hint="eastAsia" w:ascii="宋体" w:hAnsi="宋体" w:cs="宋体"/>
          <w:kern w:val="0"/>
          <w:sz w:val="22"/>
          <w:szCs w:val="22"/>
        </w:rPr>
      </w:pPr>
    </w:p>
    <w:p w14:paraId="022302F8">
      <w:pPr>
        <w:spacing w:before="50" w:after="50"/>
        <w:jc w:val="center"/>
        <w:rPr>
          <w:rFonts w:hint="eastAsia" w:ascii="宋体" w:hAnsi="宋体" w:cs="宋体"/>
          <w:kern w:val="0"/>
          <w:sz w:val="22"/>
          <w:szCs w:val="22"/>
        </w:rPr>
      </w:pPr>
    </w:p>
    <w:p w14:paraId="14359E77">
      <w:pPr>
        <w:spacing w:before="50" w:after="50"/>
        <w:jc w:val="center"/>
        <w:rPr>
          <w:rFonts w:hint="eastAsia" w:ascii="宋体" w:hAnsi="宋体" w:cs="宋体"/>
          <w:kern w:val="0"/>
          <w:sz w:val="22"/>
          <w:szCs w:val="22"/>
        </w:rPr>
      </w:pPr>
    </w:p>
    <w:p w14:paraId="680D01D0">
      <w:pPr>
        <w:spacing w:before="50" w:after="50"/>
        <w:jc w:val="center"/>
        <w:rPr>
          <w:rFonts w:hint="eastAsia" w:ascii="宋体" w:hAnsi="宋体" w:cs="宋体"/>
          <w:kern w:val="0"/>
          <w:sz w:val="22"/>
          <w:szCs w:val="22"/>
        </w:rPr>
      </w:pPr>
    </w:p>
    <w:p w14:paraId="4402461D">
      <w:pPr>
        <w:rPr>
          <w:rFonts w:hint="eastAsia" w:ascii="黑体" w:hAnsi="宋体" w:eastAsia="黑体" w:cs="黑体"/>
          <w:b/>
          <w:kern w:val="0"/>
          <w:sz w:val="32"/>
          <w:szCs w:val="32"/>
        </w:rPr>
      </w:pPr>
      <w:r>
        <w:rPr>
          <w:rFonts w:hint="eastAsia" w:ascii="黑体" w:hAnsi="宋体" w:eastAsia="黑体" w:cs="黑体"/>
          <w:b/>
          <w:kern w:val="0"/>
          <w:sz w:val="32"/>
          <w:szCs w:val="32"/>
        </w:rPr>
        <w:br w:type="page"/>
      </w:r>
    </w:p>
    <w:p w14:paraId="7566C9FE">
      <w:pPr>
        <w:spacing w:line="500" w:lineRule="exact"/>
        <w:ind w:firstLine="482"/>
        <w:jc w:val="center"/>
        <w:rPr>
          <w:rFonts w:hint="eastAsia" w:ascii="黑体" w:hAnsi="宋体" w:eastAsia="黑体" w:cs="黑体"/>
          <w:b/>
          <w:kern w:val="0"/>
          <w:sz w:val="32"/>
          <w:szCs w:val="32"/>
        </w:rPr>
      </w:pPr>
      <w:r>
        <w:rPr>
          <w:rFonts w:hint="eastAsia" w:ascii="黑体" w:hAnsi="宋体" w:eastAsia="黑体" w:cs="黑体"/>
          <w:b/>
          <w:kern w:val="0"/>
          <w:sz w:val="32"/>
          <w:szCs w:val="32"/>
        </w:rPr>
        <w:t>十四、技术方案</w:t>
      </w:r>
    </w:p>
    <w:p w14:paraId="03600B97">
      <w:pPr>
        <w:spacing w:line="480" w:lineRule="exact"/>
        <w:jc w:val="center"/>
        <w:rPr>
          <w:rFonts w:hint="eastAsia" w:ascii="宋体" w:hAnsi="宋体" w:cs="宋体"/>
          <w:kern w:val="0"/>
        </w:rPr>
      </w:pPr>
      <w:r>
        <w:rPr>
          <w:rFonts w:hint="eastAsia" w:ascii="宋体" w:hAnsi="宋体" w:cs="宋体"/>
          <w:kern w:val="0"/>
        </w:rPr>
        <w:t>（内容主要为评分要素的相关技术资料等）</w:t>
      </w:r>
    </w:p>
    <w:p w14:paraId="16A94C24">
      <w:pPr>
        <w:keepNext/>
        <w:outlineLvl w:val="0"/>
        <w:rPr>
          <w:rFonts w:hint="eastAsia" w:ascii="宋体" w:hAnsi="宋体" w:eastAsia="楷体_GB2312" w:cs="宋体"/>
          <w:kern w:val="0"/>
          <w:sz w:val="28"/>
          <w:szCs w:val="20"/>
        </w:rPr>
      </w:pPr>
    </w:p>
    <w:p w14:paraId="77DAC1F7">
      <w:pPr>
        <w:rPr>
          <w:rFonts w:hint="eastAsia" w:ascii="宋体" w:hAnsi="宋体" w:cs="宋体"/>
          <w:kern w:val="0"/>
        </w:rPr>
      </w:pPr>
    </w:p>
    <w:p w14:paraId="1E50061C">
      <w:pPr>
        <w:keepNext/>
        <w:outlineLvl w:val="0"/>
        <w:rPr>
          <w:rFonts w:ascii="楷体_GB2312" w:eastAsia="楷体_GB2312"/>
          <w:kern w:val="0"/>
          <w:sz w:val="28"/>
          <w:szCs w:val="20"/>
        </w:rPr>
      </w:pPr>
    </w:p>
    <w:p w14:paraId="7F0730DE">
      <w:pPr>
        <w:tabs>
          <w:tab w:val="left" w:pos="4225"/>
          <w:tab w:val="center" w:pos="5024"/>
        </w:tabs>
        <w:spacing w:line="500" w:lineRule="exact"/>
        <w:ind w:firstLine="482"/>
        <w:jc w:val="left"/>
        <w:rPr>
          <w:rFonts w:hint="eastAsia" w:ascii="宋体" w:hAnsi="宋体" w:cs="宋体"/>
          <w:b/>
          <w:kern w:val="0"/>
          <w:sz w:val="24"/>
        </w:rPr>
      </w:pPr>
    </w:p>
    <w:p w14:paraId="51EAA68A">
      <w:pPr>
        <w:tabs>
          <w:tab w:val="left" w:pos="4225"/>
          <w:tab w:val="center" w:pos="5024"/>
        </w:tabs>
        <w:spacing w:line="500" w:lineRule="exact"/>
        <w:jc w:val="left"/>
        <w:rPr>
          <w:rFonts w:hint="eastAsia" w:ascii="宋体" w:hAnsi="宋体" w:cs="宋体"/>
          <w:b/>
          <w:kern w:val="0"/>
          <w:sz w:val="24"/>
        </w:rPr>
      </w:pPr>
    </w:p>
    <w:p w14:paraId="3203D992">
      <w:pPr>
        <w:tabs>
          <w:tab w:val="left" w:pos="4225"/>
          <w:tab w:val="center" w:pos="5024"/>
        </w:tabs>
        <w:spacing w:line="500" w:lineRule="exact"/>
        <w:ind w:firstLine="482"/>
        <w:jc w:val="left"/>
        <w:rPr>
          <w:rFonts w:hint="eastAsia" w:ascii="宋体" w:hAnsi="宋体" w:cs="宋体"/>
          <w:b/>
          <w:kern w:val="0"/>
          <w:sz w:val="24"/>
        </w:rPr>
      </w:pPr>
    </w:p>
    <w:p w14:paraId="58BE7CEC">
      <w:pPr>
        <w:spacing w:line="500" w:lineRule="exact"/>
        <w:ind w:firstLine="482"/>
        <w:jc w:val="center"/>
        <w:rPr>
          <w:rFonts w:hint="eastAsia" w:ascii="宋体" w:hAnsi="宋体" w:cs="宋体"/>
          <w:b/>
          <w:kern w:val="0"/>
          <w:sz w:val="24"/>
        </w:rPr>
      </w:pPr>
      <w:r>
        <w:rPr>
          <w:rFonts w:hint="eastAsia" w:ascii="宋体" w:hAnsi="宋体" w:cs="宋体"/>
          <w:b/>
          <w:kern w:val="0"/>
          <w:sz w:val="24"/>
        </w:rPr>
        <w:br w:type="page" w:clear="all"/>
      </w:r>
    </w:p>
    <w:p w14:paraId="75F4FB31">
      <w:pPr>
        <w:widowControl/>
        <w:spacing w:before="100" w:after="100"/>
        <w:jc w:val="center"/>
        <w:rPr>
          <w:rFonts w:hint="eastAsia" w:ascii="宋体" w:hAnsi="宋体" w:cs="宋体"/>
          <w:b/>
          <w:kern w:val="0"/>
          <w:sz w:val="32"/>
          <w:szCs w:val="32"/>
        </w:rPr>
      </w:pPr>
      <w:r>
        <w:rPr>
          <w:rFonts w:hint="eastAsia" w:ascii="宋体" w:hAnsi="宋体" w:cs="宋体"/>
          <w:b/>
          <w:kern w:val="0"/>
          <w:sz w:val="32"/>
          <w:szCs w:val="32"/>
        </w:rPr>
        <w:t>质疑函范本</w:t>
      </w:r>
    </w:p>
    <w:p w14:paraId="52558FB2">
      <w:pPr>
        <w:widowControl/>
        <w:spacing w:before="290" w:after="100" w:line="360" w:lineRule="auto"/>
        <w:rPr>
          <w:rFonts w:hint="eastAsia" w:ascii="宋体" w:hAnsi="宋体" w:cs="宋体"/>
          <w:kern w:val="0"/>
          <w:sz w:val="24"/>
        </w:rPr>
      </w:pPr>
      <w:r>
        <w:rPr>
          <w:rFonts w:hint="eastAsia" w:ascii="宋体" w:hAnsi="宋体" w:cs="宋体"/>
          <w:kern w:val="0"/>
          <w:sz w:val="24"/>
        </w:rPr>
        <w:t>一、质疑供应商基本信息</w:t>
      </w:r>
    </w:p>
    <w:p w14:paraId="3776741C">
      <w:pPr>
        <w:widowControl/>
        <w:spacing w:before="100" w:after="100" w:line="360" w:lineRule="auto"/>
        <w:rPr>
          <w:rFonts w:hint="eastAsia" w:ascii="宋体" w:hAnsi="宋体" w:cs="宋体"/>
          <w:kern w:val="0"/>
          <w:sz w:val="24"/>
        </w:rPr>
      </w:pPr>
      <w:r>
        <w:rPr>
          <w:rFonts w:hint="eastAsia" w:ascii="宋体" w:hAnsi="宋体" w:cs="宋体"/>
          <w:kern w:val="0"/>
          <w:sz w:val="24"/>
        </w:rPr>
        <w:t>质疑供应商：</w:t>
      </w:r>
      <w:r>
        <w:rPr>
          <w:rFonts w:hint="eastAsia" w:ascii="宋体" w:hAnsi="宋体" w:cs="宋体"/>
          <w:kern w:val="0"/>
          <w:sz w:val="24"/>
          <w:u w:val="single"/>
        </w:rPr>
        <w:t>                    </w:t>
      </w:r>
      <w:r>
        <w:rPr>
          <w:rFonts w:hint="eastAsia" w:ascii="宋体" w:hAnsi="宋体" w:cs="宋体"/>
          <w:kern w:val="0"/>
          <w:sz w:val="24"/>
          <w:u w:val="single"/>
        </w:rPr>
        <w:tab/>
      </w:r>
      <w:r>
        <w:rPr>
          <w:rFonts w:hint="eastAsia" w:ascii="宋体" w:hAnsi="宋体" w:cs="宋体"/>
          <w:kern w:val="0"/>
          <w:sz w:val="24"/>
          <w:u w:val="single"/>
        </w:rPr>
        <w:t> </w:t>
      </w:r>
      <w:r>
        <w:rPr>
          <w:rFonts w:hint="eastAsia" w:ascii="宋体" w:hAnsi="宋体" w:cs="宋体"/>
          <w:kern w:val="0"/>
          <w:sz w:val="24"/>
          <w:u w:val="single"/>
        </w:rPr>
        <w:tab/>
      </w:r>
      <w:r>
        <w:rPr>
          <w:rFonts w:hint="eastAsia" w:ascii="宋体" w:hAnsi="宋体" w:cs="宋体"/>
          <w:kern w:val="0"/>
          <w:sz w:val="24"/>
          <w:u w:val="single"/>
        </w:rPr>
        <w:t xml:space="preserve">       </w:t>
      </w:r>
    </w:p>
    <w:p w14:paraId="565124D8">
      <w:pPr>
        <w:widowControl/>
        <w:spacing w:before="100" w:after="100" w:line="360" w:lineRule="auto"/>
        <w:rPr>
          <w:rFonts w:hint="eastAsia" w:ascii="宋体" w:hAnsi="宋体" w:cs="宋体"/>
          <w:kern w:val="0"/>
          <w:sz w:val="24"/>
          <w:u w:val="single"/>
        </w:rPr>
      </w:pPr>
      <w:r>
        <w:rPr>
          <w:rFonts w:hint="eastAsia" w:ascii="宋体" w:hAnsi="宋体" w:cs="宋体"/>
          <w:kern w:val="0"/>
          <w:sz w:val="24"/>
        </w:rPr>
        <w:t>地址：</w:t>
      </w:r>
      <w:r>
        <w:rPr>
          <w:rFonts w:hint="eastAsia" w:ascii="宋体" w:hAnsi="宋体" w:cs="宋体"/>
          <w:kern w:val="0"/>
          <w:sz w:val="24"/>
          <w:u w:val="single"/>
        </w:rPr>
        <w:t xml:space="preserve">                      </w:t>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      </w:t>
      </w:r>
    </w:p>
    <w:p w14:paraId="01FF6809">
      <w:pPr>
        <w:widowControl/>
        <w:spacing w:before="100" w:after="100" w:line="360" w:lineRule="auto"/>
        <w:rPr>
          <w:rFonts w:hint="eastAsia" w:ascii="宋体" w:hAnsi="宋体" w:cs="宋体"/>
          <w:kern w:val="0"/>
          <w:sz w:val="24"/>
        </w:rPr>
      </w:pPr>
      <w:r>
        <w:rPr>
          <w:rFonts w:hint="eastAsia" w:ascii="宋体" w:hAnsi="宋体" w:cs="宋体"/>
          <w:kern w:val="0"/>
          <w:sz w:val="24"/>
        </w:rPr>
        <w:t>邮编：</w:t>
      </w:r>
      <w:r>
        <w:rPr>
          <w:rFonts w:hint="eastAsia" w:ascii="宋体" w:hAnsi="宋体" w:cs="宋体"/>
          <w:kern w:val="0"/>
          <w:sz w:val="24"/>
          <w:u w:val="single"/>
        </w:rPr>
        <w:t>                       </w:t>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 xml:space="preserve">        </w:t>
      </w:r>
    </w:p>
    <w:p w14:paraId="3E46D485">
      <w:pPr>
        <w:widowControl/>
        <w:spacing w:before="100" w:after="100" w:line="360" w:lineRule="auto"/>
        <w:rPr>
          <w:rFonts w:hint="eastAsia" w:ascii="宋体" w:hAnsi="宋体" w:cs="宋体"/>
          <w:kern w:val="0"/>
          <w:sz w:val="24"/>
          <w:u w:val="single"/>
        </w:rPr>
      </w:pPr>
      <w:r>
        <w:rPr>
          <w:rFonts w:hint="eastAsia" w:ascii="宋体" w:hAnsi="宋体" w:cs="宋体"/>
          <w:kern w:val="0"/>
          <w:sz w:val="24"/>
        </w:rPr>
        <w:t>联系人：</w:t>
      </w:r>
      <w:r>
        <w:rPr>
          <w:rFonts w:hint="eastAsia" w:ascii="宋体" w:hAnsi="宋体" w:cs="宋体"/>
          <w:kern w:val="0"/>
          <w:sz w:val="24"/>
          <w:u w:val="single"/>
        </w:rPr>
        <w:t>               </w:t>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 xml:space="preserve">       </w:t>
      </w:r>
    </w:p>
    <w:p w14:paraId="3E53D573">
      <w:pPr>
        <w:widowControl/>
        <w:spacing w:before="100" w:after="100" w:line="360" w:lineRule="auto"/>
        <w:rPr>
          <w:rFonts w:hint="eastAsia" w:ascii="宋体" w:hAnsi="宋体" w:cs="宋体"/>
          <w:kern w:val="0"/>
          <w:sz w:val="24"/>
        </w:rPr>
      </w:pPr>
      <w:r>
        <w:rPr>
          <w:rFonts w:hint="eastAsia" w:ascii="宋体" w:hAnsi="宋体" w:cs="宋体"/>
          <w:kern w:val="0"/>
          <w:sz w:val="24"/>
        </w:rPr>
        <w:t>联系电话：</w:t>
      </w:r>
      <w:r>
        <w:rPr>
          <w:rFonts w:hint="eastAsia" w:ascii="宋体" w:hAnsi="宋体" w:cs="宋体"/>
          <w:kern w:val="0"/>
          <w:sz w:val="24"/>
          <w:u w:val="single"/>
        </w:rPr>
        <w:t xml:space="preserve">                                           </w:t>
      </w:r>
    </w:p>
    <w:p w14:paraId="3130732C">
      <w:pPr>
        <w:widowControl/>
        <w:spacing w:before="100" w:after="100" w:line="360" w:lineRule="auto"/>
        <w:rPr>
          <w:rFonts w:hint="eastAsia" w:ascii="宋体" w:hAnsi="宋体" w:cs="宋体"/>
          <w:kern w:val="0"/>
          <w:sz w:val="24"/>
        </w:rPr>
      </w:pPr>
      <w:r>
        <w:rPr>
          <w:rFonts w:hint="eastAsia" w:ascii="宋体" w:hAnsi="宋体" w:cs="宋体"/>
          <w:kern w:val="0"/>
          <w:sz w:val="24"/>
        </w:rPr>
        <w:t>授权代表：</w:t>
      </w:r>
      <w:r>
        <w:rPr>
          <w:rFonts w:hint="eastAsia" w:ascii="宋体" w:hAnsi="宋体" w:cs="宋体"/>
          <w:kern w:val="0"/>
          <w:sz w:val="24"/>
          <w:u w:val="single"/>
        </w:rPr>
        <w:t>                 </w:t>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 xml:space="preserve">        </w:t>
      </w:r>
    </w:p>
    <w:p w14:paraId="2ABF2305">
      <w:pPr>
        <w:widowControl/>
        <w:spacing w:before="100" w:after="100" w:line="360" w:lineRule="auto"/>
        <w:rPr>
          <w:rFonts w:hint="eastAsia" w:ascii="宋体" w:hAnsi="宋体" w:cs="宋体"/>
          <w:kern w:val="0"/>
          <w:sz w:val="24"/>
        </w:rPr>
      </w:pPr>
      <w:r>
        <w:rPr>
          <w:rFonts w:hint="eastAsia" w:ascii="宋体" w:hAnsi="宋体" w:cs="宋体"/>
          <w:kern w:val="0"/>
          <w:sz w:val="24"/>
        </w:rPr>
        <w:t>联系电话：</w:t>
      </w:r>
      <w:r>
        <w:rPr>
          <w:rFonts w:hint="eastAsia" w:ascii="宋体" w:hAnsi="宋体" w:cs="宋体"/>
          <w:kern w:val="0"/>
          <w:sz w:val="24"/>
          <w:u w:val="single"/>
        </w:rPr>
        <w:t>                  </w:t>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 xml:space="preserve">     </w:t>
      </w:r>
    </w:p>
    <w:p w14:paraId="01AF4DF6">
      <w:pPr>
        <w:widowControl/>
        <w:spacing w:before="100" w:after="100" w:line="360" w:lineRule="auto"/>
        <w:rPr>
          <w:rFonts w:hint="eastAsia" w:ascii="宋体" w:hAnsi="宋体" w:cs="宋体"/>
          <w:kern w:val="0"/>
          <w:sz w:val="24"/>
          <w:u w:val="single"/>
        </w:rPr>
      </w:pPr>
      <w:r>
        <w:rPr>
          <w:rFonts w:hint="eastAsia" w:ascii="宋体" w:hAnsi="宋体" w:cs="宋体"/>
          <w:kern w:val="0"/>
          <w:sz w:val="24"/>
        </w:rPr>
        <w:t>地址： </w:t>
      </w:r>
      <w:r>
        <w:rPr>
          <w:rFonts w:hint="eastAsia" w:ascii="宋体" w:hAnsi="宋体" w:cs="宋体"/>
          <w:kern w:val="0"/>
          <w:sz w:val="24"/>
          <w:u w:val="single"/>
        </w:rPr>
        <w:t>                  </w:t>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 xml:space="preserve">        </w:t>
      </w:r>
    </w:p>
    <w:p w14:paraId="3D4E935C">
      <w:pPr>
        <w:widowControl/>
        <w:spacing w:before="100" w:after="100" w:line="360" w:lineRule="auto"/>
        <w:rPr>
          <w:rFonts w:hint="eastAsia" w:ascii="宋体" w:hAnsi="宋体" w:cs="宋体"/>
          <w:kern w:val="0"/>
          <w:sz w:val="24"/>
        </w:rPr>
      </w:pPr>
      <w:r>
        <w:rPr>
          <w:rFonts w:hint="eastAsia" w:ascii="宋体" w:hAnsi="宋体" w:cs="宋体"/>
          <w:kern w:val="0"/>
          <w:sz w:val="24"/>
        </w:rPr>
        <w:t>邮编：</w:t>
      </w:r>
      <w:r>
        <w:rPr>
          <w:rFonts w:hint="eastAsia" w:ascii="宋体" w:hAnsi="宋体" w:cs="宋体"/>
          <w:kern w:val="0"/>
          <w:sz w:val="24"/>
          <w:u w:val="single"/>
        </w:rPr>
        <w:t xml:space="preserve">                                </w:t>
      </w:r>
    </w:p>
    <w:p w14:paraId="0A7804B9">
      <w:pPr>
        <w:widowControl/>
        <w:spacing w:before="100" w:after="100" w:line="360" w:lineRule="auto"/>
        <w:rPr>
          <w:rFonts w:hint="eastAsia" w:ascii="宋体" w:hAnsi="宋体" w:cs="宋体"/>
          <w:kern w:val="0"/>
          <w:sz w:val="24"/>
        </w:rPr>
      </w:pPr>
      <w:r>
        <w:rPr>
          <w:rFonts w:hint="eastAsia" w:ascii="宋体" w:hAnsi="宋体" w:cs="宋体"/>
          <w:kern w:val="0"/>
          <w:sz w:val="24"/>
        </w:rPr>
        <w:t>二、质疑项目基本情况</w:t>
      </w:r>
    </w:p>
    <w:p w14:paraId="3959DE96">
      <w:pPr>
        <w:widowControl/>
        <w:spacing w:before="100" w:after="100" w:line="360" w:lineRule="auto"/>
        <w:rPr>
          <w:rFonts w:hint="eastAsia" w:ascii="宋体" w:hAnsi="宋体" w:cs="宋体"/>
          <w:kern w:val="0"/>
          <w:sz w:val="24"/>
        </w:rPr>
      </w:pPr>
      <w:r>
        <w:rPr>
          <w:rFonts w:hint="eastAsia" w:ascii="宋体" w:hAnsi="宋体" w:cs="宋体"/>
          <w:kern w:val="0"/>
          <w:sz w:val="24"/>
        </w:rPr>
        <w:t>质疑项目的名称：</w:t>
      </w:r>
      <w:r>
        <w:rPr>
          <w:rFonts w:hint="eastAsia" w:ascii="宋体" w:hAnsi="宋体" w:cs="宋体"/>
          <w:kern w:val="0"/>
          <w:sz w:val="24"/>
          <w:u w:val="single"/>
        </w:rPr>
        <w:t xml:space="preserve">                            </w:t>
      </w:r>
    </w:p>
    <w:p w14:paraId="47BCEEDE">
      <w:pPr>
        <w:widowControl/>
        <w:spacing w:before="100" w:after="100" w:line="360" w:lineRule="auto"/>
        <w:rPr>
          <w:rFonts w:hint="eastAsia" w:ascii="宋体" w:hAnsi="宋体" w:cs="宋体"/>
          <w:kern w:val="0"/>
          <w:sz w:val="24"/>
          <w:u w:val="single"/>
        </w:rPr>
      </w:pPr>
      <w:r>
        <w:rPr>
          <w:rFonts w:hint="eastAsia" w:ascii="宋体" w:hAnsi="宋体" w:cs="宋体"/>
          <w:kern w:val="0"/>
          <w:sz w:val="24"/>
        </w:rPr>
        <w:t>质疑项目的编号：</w:t>
      </w:r>
      <w:r>
        <w:rPr>
          <w:rFonts w:hint="eastAsia" w:ascii="宋体" w:hAnsi="宋体" w:cs="宋体"/>
          <w:kern w:val="0"/>
          <w:sz w:val="24"/>
          <w:u w:val="single"/>
        </w:rPr>
        <w:t xml:space="preserve">                          </w:t>
      </w:r>
    </w:p>
    <w:p w14:paraId="36249457">
      <w:pPr>
        <w:widowControl/>
        <w:spacing w:before="100" w:after="100" w:line="360" w:lineRule="auto"/>
        <w:rPr>
          <w:rFonts w:hint="eastAsia" w:ascii="宋体" w:hAnsi="宋体" w:cs="宋体"/>
          <w:kern w:val="0"/>
          <w:sz w:val="24"/>
        </w:rPr>
      </w:pPr>
      <w:r>
        <w:rPr>
          <w:rFonts w:hint="eastAsia" w:ascii="宋体" w:hAnsi="宋体" w:cs="宋体"/>
          <w:kern w:val="0"/>
          <w:sz w:val="24"/>
        </w:rPr>
        <w:t>包号：</w:t>
      </w:r>
      <w:r>
        <w:rPr>
          <w:rFonts w:hint="eastAsia" w:ascii="宋体" w:hAnsi="宋体" w:cs="宋体"/>
          <w:kern w:val="0"/>
          <w:sz w:val="24"/>
          <w:u w:val="single"/>
        </w:rPr>
        <w:t xml:space="preserve">                       </w:t>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ab/>
      </w:r>
      <w:r>
        <w:rPr>
          <w:rFonts w:hint="eastAsia" w:ascii="宋体" w:hAnsi="宋体" w:cs="宋体"/>
          <w:kern w:val="0"/>
          <w:sz w:val="24"/>
          <w:u w:val="single"/>
        </w:rPr>
        <w:t xml:space="preserve">    </w:t>
      </w:r>
    </w:p>
    <w:p w14:paraId="345B9157">
      <w:pPr>
        <w:widowControl/>
        <w:spacing w:before="100" w:after="100" w:line="360" w:lineRule="auto"/>
        <w:rPr>
          <w:rFonts w:hint="eastAsia" w:ascii="宋体" w:hAnsi="宋体" w:cs="宋体"/>
          <w:kern w:val="0"/>
          <w:sz w:val="24"/>
        </w:rPr>
      </w:pPr>
      <w:r>
        <w:rPr>
          <w:rFonts w:hint="eastAsia" w:ascii="宋体" w:hAnsi="宋体" w:cs="宋体"/>
          <w:kern w:val="0"/>
          <w:sz w:val="24"/>
        </w:rPr>
        <w:t>采购人名称：</w:t>
      </w:r>
      <w:r>
        <w:rPr>
          <w:rFonts w:hint="eastAsia" w:ascii="宋体" w:hAnsi="宋体" w:cs="宋体"/>
          <w:kern w:val="0"/>
          <w:sz w:val="24"/>
          <w:u w:val="single"/>
        </w:rPr>
        <w:t xml:space="preserve">                            </w:t>
      </w:r>
    </w:p>
    <w:p w14:paraId="37E3983D">
      <w:pPr>
        <w:widowControl/>
        <w:spacing w:before="100" w:after="100" w:line="360" w:lineRule="auto"/>
        <w:rPr>
          <w:rFonts w:hint="eastAsia" w:ascii="宋体" w:hAnsi="宋体" w:cs="宋体"/>
          <w:kern w:val="0"/>
          <w:sz w:val="24"/>
        </w:rPr>
      </w:pPr>
      <w:r>
        <w:rPr>
          <w:rFonts w:hint="eastAsia" w:ascii="宋体" w:hAnsi="宋体" w:cs="宋体"/>
          <w:kern w:val="0"/>
          <w:sz w:val="24"/>
        </w:rPr>
        <w:t>采购文件获取日期：</w:t>
      </w:r>
      <w:r>
        <w:rPr>
          <w:rFonts w:hint="eastAsia" w:ascii="宋体" w:hAnsi="宋体" w:cs="宋体"/>
          <w:kern w:val="0"/>
          <w:sz w:val="24"/>
          <w:u w:val="single"/>
        </w:rPr>
        <w:t xml:space="preserve">                             </w:t>
      </w:r>
    </w:p>
    <w:p w14:paraId="315429A3">
      <w:pPr>
        <w:widowControl/>
        <w:spacing w:before="100" w:after="100" w:line="360" w:lineRule="auto"/>
        <w:rPr>
          <w:rFonts w:hint="eastAsia" w:ascii="宋体" w:hAnsi="宋体" w:cs="宋体"/>
          <w:kern w:val="0"/>
          <w:sz w:val="24"/>
        </w:rPr>
      </w:pPr>
      <w:r>
        <w:rPr>
          <w:rFonts w:hint="eastAsia" w:ascii="宋体" w:hAnsi="宋体" w:cs="宋体"/>
          <w:kern w:val="0"/>
          <w:sz w:val="24"/>
        </w:rPr>
        <w:t>三、质疑事项具体内容</w:t>
      </w:r>
    </w:p>
    <w:p w14:paraId="04CE2504">
      <w:pPr>
        <w:widowControl/>
        <w:spacing w:before="100" w:after="100" w:line="360" w:lineRule="auto"/>
        <w:rPr>
          <w:rFonts w:hint="eastAsia" w:ascii="宋体" w:hAnsi="宋体" w:cs="宋体"/>
          <w:kern w:val="0"/>
          <w:sz w:val="24"/>
        </w:rPr>
      </w:pPr>
      <w:r>
        <w:rPr>
          <w:rFonts w:hint="eastAsia" w:ascii="宋体" w:hAnsi="宋体" w:cs="宋体"/>
          <w:kern w:val="0"/>
          <w:sz w:val="24"/>
        </w:rPr>
        <w:t>质疑事项1：</w:t>
      </w:r>
      <w:r>
        <w:rPr>
          <w:rFonts w:hint="eastAsia" w:ascii="宋体" w:hAnsi="宋体" w:cs="宋体"/>
          <w:kern w:val="0"/>
          <w:sz w:val="24"/>
          <w:u w:val="single"/>
        </w:rPr>
        <w:t xml:space="preserve">                             </w:t>
      </w:r>
    </w:p>
    <w:p w14:paraId="736EB2E9">
      <w:pPr>
        <w:widowControl/>
        <w:spacing w:before="100" w:after="100" w:line="360" w:lineRule="auto"/>
        <w:jc w:val="left"/>
        <w:rPr>
          <w:rFonts w:hint="eastAsia" w:ascii="宋体" w:hAnsi="宋体" w:cs="宋体"/>
          <w:kern w:val="0"/>
          <w:sz w:val="24"/>
        </w:rPr>
      </w:pPr>
      <w:r>
        <w:rPr>
          <w:rFonts w:hint="eastAsia" w:ascii="宋体" w:hAnsi="宋体" w:cs="宋体"/>
          <w:kern w:val="0"/>
          <w:sz w:val="24"/>
        </w:rPr>
        <w:t>事实依据：</w:t>
      </w:r>
      <w:r>
        <w:rPr>
          <w:rFonts w:hint="eastAsia" w:ascii="宋体" w:hAnsi="宋体" w:cs="宋体"/>
          <w:kern w:val="0"/>
          <w:sz w:val="24"/>
          <w:u w:val="single"/>
        </w:rPr>
        <w:t xml:space="preserve">                                                   </w:t>
      </w:r>
    </w:p>
    <w:p w14:paraId="78D29824">
      <w:pPr>
        <w:widowControl/>
        <w:spacing w:before="100" w:after="100" w:line="360" w:lineRule="auto"/>
        <w:rPr>
          <w:rFonts w:hint="eastAsia" w:ascii="宋体" w:hAnsi="宋体" w:cs="宋体"/>
          <w:kern w:val="0"/>
          <w:sz w:val="24"/>
        </w:rPr>
      </w:pPr>
      <w:r>
        <w:rPr>
          <w:rFonts w:hint="eastAsia" w:ascii="宋体" w:hAnsi="宋体" w:cs="宋体"/>
          <w:kern w:val="0"/>
          <w:sz w:val="24"/>
        </w:rPr>
        <w:t>法律依据：</w:t>
      </w:r>
      <w:r>
        <w:rPr>
          <w:rFonts w:hint="eastAsia" w:ascii="宋体" w:hAnsi="宋体" w:cs="宋体"/>
          <w:kern w:val="0"/>
          <w:sz w:val="24"/>
          <w:u w:val="single"/>
        </w:rPr>
        <w:t xml:space="preserve">                                                    </w:t>
      </w:r>
    </w:p>
    <w:p w14:paraId="422394E3">
      <w:pPr>
        <w:widowControl/>
        <w:spacing w:before="100" w:after="100" w:line="360" w:lineRule="auto"/>
        <w:rPr>
          <w:rFonts w:hint="eastAsia" w:ascii="宋体" w:hAnsi="宋体" w:cs="宋体"/>
          <w:kern w:val="0"/>
          <w:sz w:val="24"/>
        </w:rPr>
      </w:pPr>
      <w:r>
        <w:rPr>
          <w:rFonts w:hint="eastAsia" w:ascii="宋体" w:hAnsi="宋体" w:cs="宋体"/>
          <w:kern w:val="0"/>
          <w:sz w:val="24"/>
        </w:rPr>
        <w:t>质疑事项2</w:t>
      </w:r>
    </w:p>
    <w:p w14:paraId="6A13B363">
      <w:pPr>
        <w:widowControl/>
        <w:spacing w:before="100" w:after="100" w:line="360" w:lineRule="auto"/>
        <w:rPr>
          <w:rFonts w:hint="eastAsia" w:ascii="宋体" w:hAnsi="宋体" w:cs="宋体"/>
          <w:kern w:val="0"/>
          <w:sz w:val="24"/>
        </w:rPr>
      </w:pPr>
      <w:r>
        <w:rPr>
          <w:rFonts w:hint="eastAsia" w:ascii="宋体" w:hAnsi="宋体" w:cs="宋体"/>
          <w:kern w:val="0"/>
          <w:sz w:val="24"/>
        </w:rPr>
        <w:t>……</w:t>
      </w:r>
    </w:p>
    <w:p w14:paraId="10D5BE86">
      <w:pPr>
        <w:widowControl/>
        <w:spacing w:before="100" w:after="100" w:line="360" w:lineRule="auto"/>
        <w:rPr>
          <w:rFonts w:hint="eastAsia" w:ascii="宋体" w:hAnsi="宋体" w:cs="宋体"/>
          <w:kern w:val="0"/>
          <w:sz w:val="24"/>
        </w:rPr>
      </w:pPr>
      <w:r>
        <w:rPr>
          <w:rFonts w:hint="eastAsia" w:ascii="宋体" w:hAnsi="宋体" w:cs="宋体"/>
          <w:kern w:val="0"/>
          <w:sz w:val="24"/>
        </w:rPr>
        <w:t>四、与质疑事项相关的质疑请求</w:t>
      </w:r>
    </w:p>
    <w:p w14:paraId="72FAE12F">
      <w:pPr>
        <w:widowControl/>
        <w:spacing w:before="100" w:after="100" w:line="360" w:lineRule="auto"/>
        <w:rPr>
          <w:rFonts w:hint="eastAsia" w:ascii="宋体" w:hAnsi="宋体" w:cs="宋体"/>
          <w:kern w:val="0"/>
          <w:sz w:val="24"/>
        </w:rPr>
      </w:pPr>
      <w:r>
        <w:rPr>
          <w:rFonts w:hint="eastAsia" w:ascii="宋体" w:hAnsi="宋体" w:cs="宋体"/>
          <w:kern w:val="0"/>
          <w:sz w:val="24"/>
        </w:rPr>
        <w:t>请求：</w:t>
      </w:r>
      <w:r>
        <w:rPr>
          <w:rFonts w:hint="eastAsia" w:ascii="宋体" w:hAnsi="宋体" w:cs="宋体"/>
          <w:kern w:val="0"/>
          <w:sz w:val="24"/>
          <w:u w:val="single"/>
        </w:rPr>
        <w:t xml:space="preserve">                                                          </w:t>
      </w:r>
    </w:p>
    <w:p w14:paraId="1D9DC55B">
      <w:pPr>
        <w:widowControl/>
        <w:spacing w:before="100" w:after="100"/>
        <w:rPr>
          <w:rFonts w:hint="eastAsia" w:ascii="宋体" w:hAnsi="宋体" w:cs="宋体"/>
          <w:kern w:val="0"/>
          <w:sz w:val="24"/>
        </w:rPr>
      </w:pPr>
      <w:r>
        <w:rPr>
          <w:rFonts w:hint="eastAsia" w:ascii="宋体" w:hAnsi="宋体" w:cs="宋体"/>
          <w:kern w:val="0"/>
          <w:sz w:val="24"/>
        </w:rPr>
        <w:t xml:space="preserve">签字(签章)：                 公章：               日期：    </w:t>
      </w:r>
    </w:p>
    <w:p w14:paraId="48A90282">
      <w:pPr>
        <w:widowControl/>
        <w:spacing w:before="100" w:after="100" w:line="0" w:lineRule="atLeast"/>
        <w:rPr>
          <w:rFonts w:hint="eastAsia" w:ascii="宋体" w:hAnsi="宋体" w:cs="宋体"/>
          <w:kern w:val="0"/>
          <w:sz w:val="24"/>
        </w:rPr>
      </w:pPr>
      <w:r>
        <w:rPr>
          <w:rFonts w:hint="eastAsia" w:ascii="宋体" w:hAnsi="宋体" w:cs="宋体"/>
          <w:b/>
          <w:kern w:val="0"/>
          <w:sz w:val="24"/>
        </w:rPr>
        <w:t>质疑函制作说明：</w:t>
      </w:r>
    </w:p>
    <w:p w14:paraId="16D215E3">
      <w:pPr>
        <w:widowControl/>
        <w:spacing w:before="100" w:after="100" w:line="0" w:lineRule="atLeast"/>
        <w:ind w:firstLine="480"/>
        <w:jc w:val="left"/>
        <w:rPr>
          <w:rFonts w:hint="eastAsia" w:ascii="宋体" w:hAnsi="宋体" w:cs="宋体"/>
          <w:kern w:val="0"/>
          <w:sz w:val="24"/>
        </w:rPr>
      </w:pPr>
      <w:r>
        <w:rPr>
          <w:rFonts w:hint="eastAsia" w:ascii="宋体" w:hAnsi="宋体" w:cs="宋体"/>
          <w:kern w:val="0"/>
          <w:sz w:val="24"/>
        </w:rPr>
        <w:t>1.供应商提出质疑时，应提交质疑函和必要的证明材料。</w:t>
      </w:r>
    </w:p>
    <w:p w14:paraId="149E6515">
      <w:pPr>
        <w:widowControl/>
        <w:spacing w:before="100" w:after="100" w:line="0" w:lineRule="atLeast"/>
        <w:ind w:firstLine="480"/>
        <w:jc w:val="left"/>
        <w:rPr>
          <w:rFonts w:hint="eastAsia" w:ascii="宋体" w:hAnsi="宋体" w:cs="宋体"/>
          <w:kern w:val="0"/>
          <w:sz w:val="24"/>
        </w:rPr>
      </w:pPr>
      <w:r>
        <w:rPr>
          <w:rFonts w:hint="eastAsia" w:ascii="宋体" w:hAnsi="宋体" w:cs="宋体"/>
          <w:kern w:val="0"/>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B989246">
      <w:pPr>
        <w:widowControl/>
        <w:spacing w:before="100" w:after="100" w:line="0" w:lineRule="atLeast"/>
        <w:ind w:firstLine="480"/>
        <w:jc w:val="left"/>
        <w:rPr>
          <w:rFonts w:hint="eastAsia" w:ascii="宋体" w:hAnsi="宋体" w:cs="宋体"/>
          <w:kern w:val="0"/>
          <w:sz w:val="24"/>
        </w:rPr>
      </w:pPr>
      <w:r>
        <w:rPr>
          <w:rFonts w:hint="eastAsia" w:ascii="宋体" w:hAnsi="宋体" w:cs="宋体"/>
          <w:kern w:val="0"/>
          <w:sz w:val="24"/>
        </w:rPr>
        <w:t>3.质疑供应商若对项目的某一分包进行质疑，质疑函中应列明具体分包号。</w:t>
      </w:r>
    </w:p>
    <w:p w14:paraId="47305162">
      <w:pPr>
        <w:widowControl/>
        <w:spacing w:before="100" w:after="100" w:line="0" w:lineRule="atLeast"/>
        <w:ind w:firstLine="480"/>
        <w:jc w:val="left"/>
        <w:rPr>
          <w:rFonts w:hint="eastAsia" w:ascii="宋体" w:hAnsi="宋体" w:cs="宋体"/>
          <w:kern w:val="0"/>
          <w:sz w:val="24"/>
        </w:rPr>
      </w:pPr>
      <w:r>
        <w:rPr>
          <w:rFonts w:hint="eastAsia" w:ascii="宋体" w:hAnsi="宋体" w:cs="宋体"/>
          <w:kern w:val="0"/>
          <w:sz w:val="24"/>
        </w:rPr>
        <w:t>4.质疑函的质疑事项应具体、明确，并有必要的事实依据和法律依据。</w:t>
      </w:r>
    </w:p>
    <w:p w14:paraId="23AF0128">
      <w:pPr>
        <w:widowControl/>
        <w:spacing w:before="100" w:after="100" w:line="0" w:lineRule="atLeast"/>
        <w:ind w:firstLine="480"/>
        <w:jc w:val="left"/>
        <w:rPr>
          <w:rFonts w:hint="eastAsia" w:ascii="宋体" w:hAnsi="宋体" w:cs="宋体"/>
          <w:kern w:val="0"/>
          <w:sz w:val="24"/>
        </w:rPr>
      </w:pPr>
      <w:r>
        <w:rPr>
          <w:rFonts w:hint="eastAsia" w:ascii="宋体" w:hAnsi="宋体" w:cs="宋体"/>
          <w:kern w:val="0"/>
          <w:sz w:val="24"/>
        </w:rPr>
        <w:t>5.质疑函的质疑请求应与质疑事项相关。</w:t>
      </w:r>
    </w:p>
    <w:p w14:paraId="0BCC2C3C">
      <w:pPr>
        <w:widowControl/>
        <w:spacing w:before="100" w:after="100" w:line="0" w:lineRule="atLeast"/>
        <w:ind w:firstLine="480"/>
        <w:jc w:val="left"/>
        <w:rPr>
          <w:rFonts w:hint="eastAsia" w:ascii="宋体" w:hAnsi="宋体" w:cs="宋体"/>
          <w:kern w:val="0"/>
          <w:sz w:val="24"/>
        </w:rPr>
      </w:pPr>
      <w:r>
        <w:rPr>
          <w:rFonts w:hint="eastAsia" w:ascii="宋体" w:hAnsi="宋体" w:cs="宋体"/>
          <w:kern w:val="0"/>
          <w:sz w:val="24"/>
        </w:rPr>
        <w:t>6.质疑供应商为自然人的，质疑函应由本人签字；质疑供应商为法人或者其他组织的，质疑函应由法定代表人、主要负责人，或者其授权代表签字或者盖章，并加盖公章。</w:t>
      </w:r>
    </w:p>
    <w:p w14:paraId="32C99EF6">
      <w:pPr>
        <w:widowControl/>
        <w:spacing w:before="100" w:after="100"/>
        <w:ind w:firstLine="420"/>
        <w:rPr>
          <w:rFonts w:hint="eastAsia" w:ascii="宋体" w:hAnsi="宋体" w:cs="宋体"/>
          <w:kern w:val="0"/>
          <w:sz w:val="24"/>
        </w:rPr>
      </w:pPr>
      <w:r>
        <w:rPr>
          <w:rFonts w:hint="eastAsia" w:ascii="宋体" w:hAnsi="宋体" w:cs="宋体"/>
          <w:kern w:val="0"/>
          <w:sz w:val="24"/>
        </w:rPr>
        <w:t> </w:t>
      </w:r>
    </w:p>
    <w:p w14:paraId="7BE420CD">
      <w:pPr>
        <w:rPr>
          <w:kern w:val="0"/>
        </w:rPr>
      </w:pPr>
    </w:p>
    <w:p w14:paraId="79CB45B7">
      <w:pPr>
        <w:widowControl/>
        <w:spacing w:before="100" w:after="100"/>
        <w:ind w:firstLine="420"/>
        <w:rPr>
          <w:rFonts w:hint="eastAsia" w:ascii="宋体" w:hAnsi="宋体" w:cs="宋体"/>
          <w:kern w:val="0"/>
          <w:sz w:val="24"/>
        </w:rPr>
      </w:pPr>
      <w:r>
        <w:rPr>
          <w:rFonts w:ascii="宋体" w:hAnsi="宋体" w:cs="宋体"/>
          <w:kern w:val="0"/>
          <w:sz w:val="24"/>
        </w:rPr>
        <w:t> </w:t>
      </w:r>
    </w:p>
    <w:p w14:paraId="063E7765">
      <w:pPr>
        <w:rPr>
          <w:kern w:val="0"/>
        </w:rPr>
      </w:pPr>
    </w:p>
    <w:p w14:paraId="2576FF30">
      <w:pPr>
        <w:spacing w:before="312" w:after="312"/>
        <w:ind w:left="420"/>
        <w:jc w:val="center"/>
        <w:rPr>
          <w:rFonts w:hint="eastAsia" w:ascii="宋体" w:hAnsi="宋体" w:cs="宋体"/>
          <w:b/>
          <w:bCs/>
          <w:kern w:val="0"/>
          <w:sz w:val="32"/>
          <w:szCs w:val="32"/>
        </w:rPr>
      </w:pPr>
    </w:p>
    <w:bookmarkEnd w:id="100"/>
    <w:bookmarkEnd w:id="101"/>
    <w:bookmarkEnd w:id="102"/>
    <w:bookmarkEnd w:id="103"/>
    <w:bookmarkEnd w:id="104"/>
    <w:bookmarkEnd w:id="105"/>
    <w:p w14:paraId="61288F54"/>
    <w:sectPr>
      <w:footerReference r:id="rId5" w:type="first"/>
      <w:footerReference r:id="rId4" w:type="default"/>
      <w:type w:val="continuous"/>
      <w:pgSz w:w="11906" w:h="16838"/>
      <w:pgMar w:top="1417" w:right="1417" w:bottom="1417" w:left="1417" w:header="510" w:footer="907" w:gutter="0"/>
      <w:cols w:space="0" w:num="1"/>
      <w:rtlGutter w:val="0"/>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AD4CECC1-9968-41F0-8295-6CF5536D4AD9}"/>
  </w:font>
  <w:font w:name="黑体">
    <w:panose1 w:val="02010609060101010101"/>
    <w:charset w:val="86"/>
    <w:family w:val="auto"/>
    <w:pitch w:val="default"/>
    <w:sig w:usb0="800002BF" w:usb1="38CF7CFA" w:usb2="00000016" w:usb3="00000000" w:csb0="00040001" w:csb1="00000000"/>
    <w:embedRegular r:id="rId2" w:fontKey="{26FCED45-8416-45D7-90FE-1E2B07EE6ED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embedRegular r:id="rId3" w:fontKey="{55E468D1-2274-4B57-8C7A-E36BADDC48A4}"/>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0000000000000000000"/>
    <w:charset w:val="86"/>
    <w:family w:val="modern"/>
    <w:pitch w:val="default"/>
    <w:sig w:usb0="00000000" w:usb1="00000000" w:usb2="00000000" w:usb3="00000000" w:csb0="00040000" w:csb1="00000000"/>
    <w:embedRegular r:id="rId4" w:fontKey="{29F6D9B3-E8AF-49F9-9FD1-992C6A3A4FD1}"/>
  </w:font>
  <w:font w:name="仿宋">
    <w:panose1 w:val="02010609060101010101"/>
    <w:charset w:val="86"/>
    <w:family w:val="modern"/>
    <w:pitch w:val="default"/>
    <w:sig w:usb0="800002BF" w:usb1="38CF7CFA" w:usb2="00000016" w:usb3="00000000" w:csb0="00040001" w:csb1="00000000"/>
    <w:embedRegular r:id="rId5" w:fontKey="{8F349FC2-CAB8-4B7F-B856-BBBB4776D483}"/>
  </w:font>
  <w:font w:name="Cambria">
    <w:panose1 w:val="02040503050406030204"/>
    <w:charset w:val="00"/>
    <w:family w:val="roman"/>
    <w:pitch w:val="default"/>
    <w:sig w:usb0="E00006FF" w:usb1="420024FF" w:usb2="02000000" w:usb3="00000000" w:csb0="2000019F" w:csb1="00000000"/>
    <w:embedRegular r:id="rId6" w:fontKey="{C9B7A422-FCD6-47ED-A39D-60906B981EB3}"/>
  </w:font>
  <w:font w:name="Tahoma">
    <w:panose1 w:val="020B0604030504040204"/>
    <w:charset w:val="00"/>
    <w:family w:val="swiss"/>
    <w:pitch w:val="default"/>
    <w:sig w:usb0="E1002EFF" w:usb1="C000605B" w:usb2="00000029" w:usb3="00000000" w:csb0="200101FF" w:csb1="20280000"/>
  </w:font>
  <w:font w:name="方正黑体_GBK">
    <w:altName w:val="微软雅黑"/>
    <w:panose1 w:val="02010600010101010101"/>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embedRegular r:id="rId7" w:fontKey="{AB678429-41AE-4219-A1BD-641E903B1B8B}"/>
  </w:font>
  <w:font w:name="方正楷体_GBK">
    <w:panose1 w:val="02000000000000000000"/>
    <w:charset w:val="86"/>
    <w:family w:val="script"/>
    <w:pitch w:val="default"/>
    <w:sig w:usb0="800002BF" w:usb1="38CF7CFA" w:usb2="00000016" w:usb3="00000000" w:csb0="00040000" w:csb1="00000000"/>
  </w:font>
  <w:font w:name="方正姚体">
    <w:altName w:val="宋体"/>
    <w:panose1 w:val="02010601030101010101"/>
    <w:charset w:val="86"/>
    <w:family w:val="auto"/>
    <w:pitch w:val="default"/>
    <w:sig w:usb0="00000000" w:usb1="00000000" w:usb2="00000000" w:usb3="00000000" w:csb0="00040000" w:csb1="00000000"/>
  </w:font>
  <w:font w:name="方正小标宋_GBK">
    <w:panose1 w:val="02000000000000000000"/>
    <w:charset w:val="86"/>
    <w:family w:val="script"/>
    <w:pitch w:val="default"/>
    <w:sig w:usb0="A00002BF" w:usb1="38CF7CFA" w:usb2="00082016" w:usb3="00000000" w:csb0="00040001" w:csb1="00000000"/>
    <w:embedRegular r:id="rId8" w:fontKey="{933CD4A0-72BA-457C-971E-30CC9B5771D9}"/>
  </w:font>
  <w:font w:name="Book Antiqua">
    <w:altName w:val="Segoe Print"/>
    <w:panose1 w:val="02040602050305030304"/>
    <w:charset w:val="00"/>
    <w:family w:val="roman"/>
    <w:pitch w:val="default"/>
    <w:sig w:usb0="00000000" w:usb1="00000000" w:usb2="00000000" w:usb3="00000000" w:csb0="2000009F" w:csb1="DFD7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003F01FF" w:csb1="00000000"/>
    <w:embedRegular r:id="rId9" w:fontKey="{C90593F5-45CC-43CF-AC86-E84AB81B1005}"/>
  </w:font>
  <w:font w:name="Segoe UI">
    <w:panose1 w:val="020B0502040204020203"/>
    <w:charset w:val="00"/>
    <w:family w:val="auto"/>
    <w:pitch w:val="default"/>
    <w:sig w:usb0="E4002EFF" w:usb1="C000E47F" w:usb2="00000009" w:usb3="00000000" w:csb0="200001FF" w:csb1="00000000"/>
    <w:embedRegular r:id="rId10" w:fontKey="{BD8735CD-BB9C-4701-AFD2-92B90D127F70}"/>
  </w:font>
  <w:font w:name="WPSEMBED1">
    <w:panose1 w:val="02000000000000000000"/>
    <w:charset w:val="86"/>
    <w:family w:val="auto"/>
    <w:pitch w:val="default"/>
    <w:sig w:usb0="A00002BF" w:usb1="38CF7CFA" w:usb2="00082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6938922"/>
    </w:sdtPr>
    <w:sdtContent>
      <w:p w14:paraId="4F4F98A9">
        <w:pPr>
          <w:pStyle w:val="27"/>
          <w:jc w:val="center"/>
        </w:pPr>
        <w:r>
          <w:fldChar w:fldCharType="begin"/>
        </w:r>
        <w:r>
          <w:instrText xml:space="preserve">PAGE   \* MERGEFORMAT</w:instrText>
        </w:r>
        <w:r>
          <w:fldChar w:fldCharType="separate"/>
        </w:r>
        <w:r>
          <w:rPr>
            <w:lang w:val="zh-CN"/>
          </w:rPr>
          <w:t>2</w:t>
        </w:r>
        <w:r>
          <w:fldChar w:fldCharType="end"/>
        </w:r>
      </w:p>
    </w:sdtContent>
  </w:sdt>
  <w:p w14:paraId="3BA062C3">
    <w:pPr>
      <w:pStyle w:val="10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65581">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D11F7">
                          <w:pPr>
                            <w:pStyle w:val="2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EED11F7">
                    <w:pPr>
                      <w:pStyle w:val="2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CE602">
    <w:pPr>
      <w:pStyle w:val="27"/>
      <w:tabs>
        <w:tab w:val="center" w:pos="4725"/>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90A451">
                          <w:pPr>
                            <w:pStyle w:val="2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590A451">
                    <w:pPr>
                      <w:pStyle w:val="2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784D56"/>
    <w:multiLevelType w:val="singleLevel"/>
    <w:tmpl w:val="06784D56"/>
    <w:lvl w:ilvl="0" w:tentative="0">
      <w:start w:val="1"/>
      <w:numFmt w:val="upperLetter"/>
      <w:pStyle w:val="75"/>
      <w:lvlText w:val="附录%1."/>
      <w:lvlJc w:val="left"/>
      <w:pPr>
        <w:tabs>
          <w:tab w:val="left" w:pos="907"/>
        </w:tabs>
        <w:ind w:left="907" w:hanging="907"/>
      </w:pPr>
      <w:rPr>
        <w:rFonts w:hint="eastAsia"/>
      </w:rPr>
    </w:lvl>
  </w:abstractNum>
  <w:abstractNum w:abstractNumId="1">
    <w:nsid w:val="237E4D61"/>
    <w:multiLevelType w:val="multilevel"/>
    <w:tmpl w:val="237E4D61"/>
    <w:lvl w:ilvl="0" w:tentative="0">
      <w:start w:val="1"/>
      <w:numFmt w:val="japaneseCounting"/>
      <w:lvlText w:val="第%1章"/>
      <w:lvlJc w:val="left"/>
      <w:pPr>
        <w:ind w:left="9351" w:hanging="420"/>
      </w:pPr>
      <w:rPr>
        <w:rFonts w:hint="eastAsia" w:ascii="黑体" w:eastAsia="黑体"/>
        <w:b w:val="0"/>
        <w:sz w:val="36"/>
        <w:lang w:val="en-US"/>
      </w:rPr>
    </w:lvl>
    <w:lvl w:ilvl="1" w:tentative="0">
      <w:start w:val="1"/>
      <w:numFmt w:val="decimal"/>
      <w:pStyle w:val="73"/>
      <w:isLgl/>
      <w:lvlText w:val="%1.%2"/>
      <w:lvlJc w:val="left"/>
      <w:pPr>
        <w:tabs>
          <w:tab w:val="left" w:pos="851"/>
        </w:tabs>
        <w:ind w:left="0" w:firstLine="0"/>
      </w:pPr>
      <w:rPr>
        <w:rFonts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2" w:tentative="0">
      <w:start w:val="1"/>
      <w:numFmt w:val="decimal"/>
      <w:pStyle w:val="74"/>
      <w:isLgl/>
      <w:lvlText w:val="%1.%2.%3"/>
      <w:lvlJc w:val="left"/>
      <w:pPr>
        <w:tabs>
          <w:tab w:val="left" w:pos="851"/>
        </w:tabs>
        <w:ind w:left="0" w:firstLine="0"/>
      </w:pPr>
      <w:rPr>
        <w:rFonts w:cs="Times New Roman"/>
        <w:b w:val="0"/>
        <w:bCs w:val="0"/>
        <w:i w:val="0"/>
        <w:iCs w:val="0"/>
        <w:caps w:val="0"/>
        <w:smallCaps w:val="0"/>
        <w:strike w:val="0"/>
        <w:dstrike w:val="0"/>
        <w:outline w:val="0"/>
        <w:shadow w:val="0"/>
        <w:emboss w:val="0"/>
        <w:imprint w:val="0"/>
        <w:vanish w:val="0"/>
        <w:color w:val="000000"/>
        <w:spacing w:val="0"/>
        <w:kern w:val="0"/>
        <w:position w:val="0"/>
        <w:u w:val="none"/>
        <w:vertAlign w:val="baseline"/>
      </w:rPr>
    </w:lvl>
    <w:lvl w:ilvl="3" w:tentative="0">
      <w:start w:val="1"/>
      <w:numFmt w:val="decimal"/>
      <w:pStyle w:val="65"/>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2">
    <w:nsid w:val="57B32370"/>
    <w:multiLevelType w:val="multilevel"/>
    <w:tmpl w:val="57B32370"/>
    <w:lvl w:ilvl="0" w:tentative="0">
      <w:start w:val="1"/>
      <w:numFmt w:val="decimal"/>
      <w:lvlText w:val="%1"/>
      <w:lvlJc w:val="left"/>
      <w:pPr>
        <w:tabs>
          <w:tab w:val="left" w:pos="425"/>
        </w:tabs>
        <w:ind w:left="425" w:hanging="425"/>
      </w:pPr>
      <w:rPr>
        <w:rFonts w:hint="default" w:ascii="Arial" w:hAnsi="Arial" w:cs="Arial"/>
      </w:rPr>
    </w:lvl>
    <w:lvl w:ilvl="1" w:tentative="0">
      <w:start w:val="1"/>
      <w:numFmt w:val="decimal"/>
      <w:lvlText w:val="%1.%2"/>
      <w:lvlJc w:val="left"/>
      <w:pPr>
        <w:tabs>
          <w:tab w:val="left" w:pos="992"/>
        </w:tabs>
        <w:ind w:left="992" w:hanging="567"/>
      </w:pPr>
      <w:rPr>
        <w:rFonts w:hint="default" w:ascii="Arial" w:hAnsi="Arial" w:cs="Arial"/>
      </w:rPr>
    </w:lvl>
    <w:lvl w:ilvl="2" w:tentative="0">
      <w:start w:val="1"/>
      <w:numFmt w:val="decimal"/>
      <w:pStyle w:val="70"/>
      <w:lvlText w:val="%1.%2.%3"/>
      <w:lvlJc w:val="left"/>
      <w:pPr>
        <w:tabs>
          <w:tab w:val="left" w:pos="1418"/>
        </w:tabs>
        <w:ind w:left="1418" w:hanging="567"/>
      </w:pPr>
      <w:rPr>
        <w:rFonts w:hint="default" w:ascii="Arial" w:hAnsi="Arial" w:cs="Arial"/>
      </w:rPr>
    </w:lvl>
    <w:lvl w:ilvl="3" w:tentative="0">
      <w:start w:val="1"/>
      <w:numFmt w:val="decimal"/>
      <w:pStyle w:val="95"/>
      <w:lvlText w:val="%1.%2.%3.%4"/>
      <w:lvlJc w:val="left"/>
      <w:pPr>
        <w:tabs>
          <w:tab w:val="left" w:pos="2356"/>
        </w:tabs>
        <w:ind w:left="1984" w:hanging="1984"/>
      </w:pPr>
      <w:rPr>
        <w:rFonts w:hint="default" w:ascii="Arial" w:hAnsi="Arial" w:cs="Arial"/>
      </w:rPr>
    </w:lvl>
    <w:lvl w:ilvl="4" w:tentative="0">
      <w:start w:val="1"/>
      <w:numFmt w:val="decimal"/>
      <w:lvlText w:val="%1.%2.%3.%4.%5"/>
      <w:lvlJc w:val="left"/>
      <w:pPr>
        <w:tabs>
          <w:tab w:val="left" w:pos="2781"/>
        </w:tabs>
        <w:ind w:left="2551" w:hanging="2551"/>
      </w:pPr>
      <w:rPr>
        <w:rFonts w:hint="default" w:ascii="Arial" w:hAnsi="Arial" w:cs="Arial"/>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attachedTemplate r:id="rId1"/>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RjMTQ0OGFjZmE2NTI1MDgxODFmMzhhNGQ0MWIyZDMifQ=="/>
    <w:docVar w:name="KGWebUrl" w:val="http://jszfcg.jscz.gov.cn/jszc/gateWay/joffice/office?access_token=1a6c257f-9414-4c84-a495-e35be217b8a3"/>
    <w:docVar w:name="KSO_WPS_MARK_KEY" w:val="f564c618-06c9-4edc-9980-188009117c84"/>
  </w:docVars>
  <w:rsids>
    <w:rsidRoot w:val="4E1B3DA7"/>
    <w:rsid w:val="00002209"/>
    <w:rsid w:val="00002995"/>
    <w:rsid w:val="00003B42"/>
    <w:rsid w:val="00004021"/>
    <w:rsid w:val="000043E1"/>
    <w:rsid w:val="000046F8"/>
    <w:rsid w:val="00005A19"/>
    <w:rsid w:val="00006652"/>
    <w:rsid w:val="00006DD7"/>
    <w:rsid w:val="00010AD8"/>
    <w:rsid w:val="00012ECD"/>
    <w:rsid w:val="000136F0"/>
    <w:rsid w:val="0001467D"/>
    <w:rsid w:val="00014A96"/>
    <w:rsid w:val="00015EBD"/>
    <w:rsid w:val="00017387"/>
    <w:rsid w:val="00020761"/>
    <w:rsid w:val="000217AF"/>
    <w:rsid w:val="0002218E"/>
    <w:rsid w:val="0002258C"/>
    <w:rsid w:val="00022AE2"/>
    <w:rsid w:val="000243F3"/>
    <w:rsid w:val="00024698"/>
    <w:rsid w:val="000247C1"/>
    <w:rsid w:val="000255EF"/>
    <w:rsid w:val="000301F8"/>
    <w:rsid w:val="00030231"/>
    <w:rsid w:val="00030A86"/>
    <w:rsid w:val="00031D3F"/>
    <w:rsid w:val="00031E66"/>
    <w:rsid w:val="00031F03"/>
    <w:rsid w:val="000336E2"/>
    <w:rsid w:val="00035E23"/>
    <w:rsid w:val="00036B10"/>
    <w:rsid w:val="00037092"/>
    <w:rsid w:val="00040D8B"/>
    <w:rsid w:val="000411E3"/>
    <w:rsid w:val="000415C8"/>
    <w:rsid w:val="00041F0A"/>
    <w:rsid w:val="00042A43"/>
    <w:rsid w:val="00042D59"/>
    <w:rsid w:val="00044140"/>
    <w:rsid w:val="00044484"/>
    <w:rsid w:val="0004532E"/>
    <w:rsid w:val="000455D7"/>
    <w:rsid w:val="00045E11"/>
    <w:rsid w:val="0005035B"/>
    <w:rsid w:val="00050A6E"/>
    <w:rsid w:val="0005265C"/>
    <w:rsid w:val="00052ABC"/>
    <w:rsid w:val="00053C3A"/>
    <w:rsid w:val="00053FCF"/>
    <w:rsid w:val="000549F6"/>
    <w:rsid w:val="00054CF4"/>
    <w:rsid w:val="00054DE8"/>
    <w:rsid w:val="00054F4F"/>
    <w:rsid w:val="00055173"/>
    <w:rsid w:val="000562C0"/>
    <w:rsid w:val="00056AC9"/>
    <w:rsid w:val="000600DE"/>
    <w:rsid w:val="0006058F"/>
    <w:rsid w:val="00061053"/>
    <w:rsid w:val="000621DD"/>
    <w:rsid w:val="0006240C"/>
    <w:rsid w:val="00062CD4"/>
    <w:rsid w:val="00063644"/>
    <w:rsid w:val="00063EEB"/>
    <w:rsid w:val="00063F82"/>
    <w:rsid w:val="0006479E"/>
    <w:rsid w:val="00065787"/>
    <w:rsid w:val="00065B66"/>
    <w:rsid w:val="000673B6"/>
    <w:rsid w:val="00067530"/>
    <w:rsid w:val="000719A1"/>
    <w:rsid w:val="00072F55"/>
    <w:rsid w:val="0007539D"/>
    <w:rsid w:val="00075883"/>
    <w:rsid w:val="00076439"/>
    <w:rsid w:val="000775B1"/>
    <w:rsid w:val="00080BF6"/>
    <w:rsid w:val="00080E3B"/>
    <w:rsid w:val="00082802"/>
    <w:rsid w:val="0008297B"/>
    <w:rsid w:val="00083537"/>
    <w:rsid w:val="000842C8"/>
    <w:rsid w:val="0008448D"/>
    <w:rsid w:val="00084C1B"/>
    <w:rsid w:val="00084C20"/>
    <w:rsid w:val="000853EF"/>
    <w:rsid w:val="00085E44"/>
    <w:rsid w:val="0008661A"/>
    <w:rsid w:val="00087456"/>
    <w:rsid w:val="000874DF"/>
    <w:rsid w:val="00087E39"/>
    <w:rsid w:val="00091797"/>
    <w:rsid w:val="000917FE"/>
    <w:rsid w:val="0009200E"/>
    <w:rsid w:val="00092321"/>
    <w:rsid w:val="00092AC7"/>
    <w:rsid w:val="00093560"/>
    <w:rsid w:val="00093CAC"/>
    <w:rsid w:val="00094791"/>
    <w:rsid w:val="0009545E"/>
    <w:rsid w:val="0009779B"/>
    <w:rsid w:val="00097AFA"/>
    <w:rsid w:val="00097F19"/>
    <w:rsid w:val="000A0C03"/>
    <w:rsid w:val="000A2E6E"/>
    <w:rsid w:val="000A3D83"/>
    <w:rsid w:val="000A4069"/>
    <w:rsid w:val="000A4860"/>
    <w:rsid w:val="000B172D"/>
    <w:rsid w:val="000B1B67"/>
    <w:rsid w:val="000B28F5"/>
    <w:rsid w:val="000B40D4"/>
    <w:rsid w:val="000B40EA"/>
    <w:rsid w:val="000B53D5"/>
    <w:rsid w:val="000B57ED"/>
    <w:rsid w:val="000B5FD6"/>
    <w:rsid w:val="000B6817"/>
    <w:rsid w:val="000B6B84"/>
    <w:rsid w:val="000B6EB4"/>
    <w:rsid w:val="000B7353"/>
    <w:rsid w:val="000B7DBA"/>
    <w:rsid w:val="000C0811"/>
    <w:rsid w:val="000C1048"/>
    <w:rsid w:val="000C165D"/>
    <w:rsid w:val="000C1E90"/>
    <w:rsid w:val="000C22A9"/>
    <w:rsid w:val="000C2F4F"/>
    <w:rsid w:val="000C2F64"/>
    <w:rsid w:val="000C399B"/>
    <w:rsid w:val="000C480A"/>
    <w:rsid w:val="000C4AF9"/>
    <w:rsid w:val="000C52A6"/>
    <w:rsid w:val="000C59ED"/>
    <w:rsid w:val="000C61E3"/>
    <w:rsid w:val="000C6A2B"/>
    <w:rsid w:val="000C766A"/>
    <w:rsid w:val="000D0069"/>
    <w:rsid w:val="000D106E"/>
    <w:rsid w:val="000D1919"/>
    <w:rsid w:val="000D3086"/>
    <w:rsid w:val="000D3F30"/>
    <w:rsid w:val="000D53FF"/>
    <w:rsid w:val="000D58C3"/>
    <w:rsid w:val="000D5D52"/>
    <w:rsid w:val="000D5EA8"/>
    <w:rsid w:val="000D60FB"/>
    <w:rsid w:val="000D62DE"/>
    <w:rsid w:val="000D6A72"/>
    <w:rsid w:val="000D6AA5"/>
    <w:rsid w:val="000D7524"/>
    <w:rsid w:val="000D7D56"/>
    <w:rsid w:val="000D7F34"/>
    <w:rsid w:val="000D7F45"/>
    <w:rsid w:val="000E1371"/>
    <w:rsid w:val="000E150C"/>
    <w:rsid w:val="000E20A6"/>
    <w:rsid w:val="000E296C"/>
    <w:rsid w:val="000E2B3A"/>
    <w:rsid w:val="000E2C12"/>
    <w:rsid w:val="000E3510"/>
    <w:rsid w:val="000E4533"/>
    <w:rsid w:val="000E5E96"/>
    <w:rsid w:val="000E7BF1"/>
    <w:rsid w:val="000F10CA"/>
    <w:rsid w:val="000F1672"/>
    <w:rsid w:val="000F2B45"/>
    <w:rsid w:val="000F5062"/>
    <w:rsid w:val="000F51AA"/>
    <w:rsid w:val="001000CA"/>
    <w:rsid w:val="00100B0C"/>
    <w:rsid w:val="00101102"/>
    <w:rsid w:val="0010183D"/>
    <w:rsid w:val="001018D0"/>
    <w:rsid w:val="00101D75"/>
    <w:rsid w:val="001023D0"/>
    <w:rsid w:val="0010281D"/>
    <w:rsid w:val="00103B24"/>
    <w:rsid w:val="00103DAD"/>
    <w:rsid w:val="0010419E"/>
    <w:rsid w:val="00105F91"/>
    <w:rsid w:val="001065D9"/>
    <w:rsid w:val="00106AFE"/>
    <w:rsid w:val="00106C25"/>
    <w:rsid w:val="00106C7F"/>
    <w:rsid w:val="00107350"/>
    <w:rsid w:val="00107676"/>
    <w:rsid w:val="0011098B"/>
    <w:rsid w:val="00110F97"/>
    <w:rsid w:val="001129DD"/>
    <w:rsid w:val="001139D0"/>
    <w:rsid w:val="00113EC0"/>
    <w:rsid w:val="001159B7"/>
    <w:rsid w:val="00115F64"/>
    <w:rsid w:val="00116800"/>
    <w:rsid w:val="00116855"/>
    <w:rsid w:val="001168FD"/>
    <w:rsid w:val="001179D1"/>
    <w:rsid w:val="00117A85"/>
    <w:rsid w:val="00117FE8"/>
    <w:rsid w:val="001224B9"/>
    <w:rsid w:val="00123645"/>
    <w:rsid w:val="0012411B"/>
    <w:rsid w:val="00124E53"/>
    <w:rsid w:val="00124EDB"/>
    <w:rsid w:val="001276F2"/>
    <w:rsid w:val="00130006"/>
    <w:rsid w:val="00130023"/>
    <w:rsid w:val="00130A91"/>
    <w:rsid w:val="00130CA4"/>
    <w:rsid w:val="00130E18"/>
    <w:rsid w:val="00131DF8"/>
    <w:rsid w:val="00131FC6"/>
    <w:rsid w:val="00132253"/>
    <w:rsid w:val="00133AD0"/>
    <w:rsid w:val="00133E40"/>
    <w:rsid w:val="00133FF0"/>
    <w:rsid w:val="001341E9"/>
    <w:rsid w:val="001342F9"/>
    <w:rsid w:val="00136388"/>
    <w:rsid w:val="00136534"/>
    <w:rsid w:val="00136C63"/>
    <w:rsid w:val="0013758C"/>
    <w:rsid w:val="00140183"/>
    <w:rsid w:val="00140C88"/>
    <w:rsid w:val="001413E8"/>
    <w:rsid w:val="00141ED2"/>
    <w:rsid w:val="001423BE"/>
    <w:rsid w:val="001441D9"/>
    <w:rsid w:val="001453C1"/>
    <w:rsid w:val="00147FFE"/>
    <w:rsid w:val="001500FD"/>
    <w:rsid w:val="0015352F"/>
    <w:rsid w:val="0015365B"/>
    <w:rsid w:val="0015380C"/>
    <w:rsid w:val="00153BD4"/>
    <w:rsid w:val="00153D4F"/>
    <w:rsid w:val="00154766"/>
    <w:rsid w:val="001552E3"/>
    <w:rsid w:val="00157F58"/>
    <w:rsid w:val="001603BA"/>
    <w:rsid w:val="00160EC0"/>
    <w:rsid w:val="001619DB"/>
    <w:rsid w:val="00161A22"/>
    <w:rsid w:val="00161E54"/>
    <w:rsid w:val="00162B8F"/>
    <w:rsid w:val="001652AF"/>
    <w:rsid w:val="00165DEA"/>
    <w:rsid w:val="001661CD"/>
    <w:rsid w:val="00166290"/>
    <w:rsid w:val="001666A1"/>
    <w:rsid w:val="00166C1A"/>
    <w:rsid w:val="00166D37"/>
    <w:rsid w:val="00166D53"/>
    <w:rsid w:val="00167437"/>
    <w:rsid w:val="001704C1"/>
    <w:rsid w:val="00172B68"/>
    <w:rsid w:val="001738E5"/>
    <w:rsid w:val="00173B21"/>
    <w:rsid w:val="0017441D"/>
    <w:rsid w:val="0017456D"/>
    <w:rsid w:val="001752B9"/>
    <w:rsid w:val="00175616"/>
    <w:rsid w:val="001766B1"/>
    <w:rsid w:val="00176CE3"/>
    <w:rsid w:val="001772C5"/>
    <w:rsid w:val="00177459"/>
    <w:rsid w:val="001809CA"/>
    <w:rsid w:val="00180F36"/>
    <w:rsid w:val="001811A2"/>
    <w:rsid w:val="001814E8"/>
    <w:rsid w:val="00181C74"/>
    <w:rsid w:val="00182612"/>
    <w:rsid w:val="001852E0"/>
    <w:rsid w:val="001857FA"/>
    <w:rsid w:val="00185E93"/>
    <w:rsid w:val="00185EBC"/>
    <w:rsid w:val="0018783C"/>
    <w:rsid w:val="00190AC6"/>
    <w:rsid w:val="00190DC9"/>
    <w:rsid w:val="0019133D"/>
    <w:rsid w:val="001927E4"/>
    <w:rsid w:val="001928D2"/>
    <w:rsid w:val="00192C00"/>
    <w:rsid w:val="001944F2"/>
    <w:rsid w:val="001945E2"/>
    <w:rsid w:val="001969F0"/>
    <w:rsid w:val="00196A9A"/>
    <w:rsid w:val="00196AC7"/>
    <w:rsid w:val="001971F9"/>
    <w:rsid w:val="001A271D"/>
    <w:rsid w:val="001A2A85"/>
    <w:rsid w:val="001A2E80"/>
    <w:rsid w:val="001A3F34"/>
    <w:rsid w:val="001A47D4"/>
    <w:rsid w:val="001A63E0"/>
    <w:rsid w:val="001A65E7"/>
    <w:rsid w:val="001A7923"/>
    <w:rsid w:val="001A7E8C"/>
    <w:rsid w:val="001B0007"/>
    <w:rsid w:val="001B01DD"/>
    <w:rsid w:val="001B0963"/>
    <w:rsid w:val="001B0DA4"/>
    <w:rsid w:val="001B0E12"/>
    <w:rsid w:val="001B2341"/>
    <w:rsid w:val="001B2D0A"/>
    <w:rsid w:val="001B2DD2"/>
    <w:rsid w:val="001B4656"/>
    <w:rsid w:val="001B5888"/>
    <w:rsid w:val="001B66DD"/>
    <w:rsid w:val="001B68A6"/>
    <w:rsid w:val="001B72D1"/>
    <w:rsid w:val="001B7F6B"/>
    <w:rsid w:val="001C0759"/>
    <w:rsid w:val="001C0E6D"/>
    <w:rsid w:val="001C19F1"/>
    <w:rsid w:val="001C28C7"/>
    <w:rsid w:val="001C2902"/>
    <w:rsid w:val="001C3582"/>
    <w:rsid w:val="001C367B"/>
    <w:rsid w:val="001C42CC"/>
    <w:rsid w:val="001C6640"/>
    <w:rsid w:val="001D0226"/>
    <w:rsid w:val="001D0775"/>
    <w:rsid w:val="001D0A13"/>
    <w:rsid w:val="001D26F9"/>
    <w:rsid w:val="001D3F1B"/>
    <w:rsid w:val="001D4376"/>
    <w:rsid w:val="001D4DAD"/>
    <w:rsid w:val="001D5B9A"/>
    <w:rsid w:val="001D72DF"/>
    <w:rsid w:val="001E0215"/>
    <w:rsid w:val="001E0272"/>
    <w:rsid w:val="001E02FF"/>
    <w:rsid w:val="001E0B1C"/>
    <w:rsid w:val="001E0E19"/>
    <w:rsid w:val="001E2C89"/>
    <w:rsid w:val="001E4A69"/>
    <w:rsid w:val="001E5368"/>
    <w:rsid w:val="001E6EAE"/>
    <w:rsid w:val="001E6F6B"/>
    <w:rsid w:val="001E7558"/>
    <w:rsid w:val="001F03F9"/>
    <w:rsid w:val="001F076C"/>
    <w:rsid w:val="001F2FC3"/>
    <w:rsid w:val="001F38FF"/>
    <w:rsid w:val="001F49DC"/>
    <w:rsid w:val="001F4BE0"/>
    <w:rsid w:val="001F5386"/>
    <w:rsid w:val="00201353"/>
    <w:rsid w:val="0020135C"/>
    <w:rsid w:val="00202634"/>
    <w:rsid w:val="00203C51"/>
    <w:rsid w:val="002043FB"/>
    <w:rsid w:val="0020498C"/>
    <w:rsid w:val="00205770"/>
    <w:rsid w:val="00207423"/>
    <w:rsid w:val="00210843"/>
    <w:rsid w:val="00210DB7"/>
    <w:rsid w:val="0021163B"/>
    <w:rsid w:val="00212174"/>
    <w:rsid w:val="002136E3"/>
    <w:rsid w:val="00214AA2"/>
    <w:rsid w:val="00215604"/>
    <w:rsid w:val="00216BC0"/>
    <w:rsid w:val="0021730E"/>
    <w:rsid w:val="002173A3"/>
    <w:rsid w:val="002200CD"/>
    <w:rsid w:val="00222A1C"/>
    <w:rsid w:val="00222B72"/>
    <w:rsid w:val="0022451B"/>
    <w:rsid w:val="00224F03"/>
    <w:rsid w:val="002260D7"/>
    <w:rsid w:val="00226599"/>
    <w:rsid w:val="00226EA1"/>
    <w:rsid w:val="0022700E"/>
    <w:rsid w:val="00227367"/>
    <w:rsid w:val="0022736B"/>
    <w:rsid w:val="00230732"/>
    <w:rsid w:val="00231CC4"/>
    <w:rsid w:val="002334FB"/>
    <w:rsid w:val="00233E73"/>
    <w:rsid w:val="00235204"/>
    <w:rsid w:val="002358C3"/>
    <w:rsid w:val="00237EDB"/>
    <w:rsid w:val="0024089C"/>
    <w:rsid w:val="002408B3"/>
    <w:rsid w:val="002452F7"/>
    <w:rsid w:val="00246231"/>
    <w:rsid w:val="00246334"/>
    <w:rsid w:val="00246D0D"/>
    <w:rsid w:val="002500BE"/>
    <w:rsid w:val="00250C6F"/>
    <w:rsid w:val="00250E9F"/>
    <w:rsid w:val="0025186C"/>
    <w:rsid w:val="002525E2"/>
    <w:rsid w:val="00253AB8"/>
    <w:rsid w:val="00253E8A"/>
    <w:rsid w:val="00254113"/>
    <w:rsid w:val="00255236"/>
    <w:rsid w:val="00255279"/>
    <w:rsid w:val="00255FD0"/>
    <w:rsid w:val="00256074"/>
    <w:rsid w:val="0025720B"/>
    <w:rsid w:val="002575BE"/>
    <w:rsid w:val="00257F66"/>
    <w:rsid w:val="0026021F"/>
    <w:rsid w:val="00261DAA"/>
    <w:rsid w:val="00264FE0"/>
    <w:rsid w:val="0026504C"/>
    <w:rsid w:val="00265D26"/>
    <w:rsid w:val="00266291"/>
    <w:rsid w:val="0026630F"/>
    <w:rsid w:val="002678B4"/>
    <w:rsid w:val="002679E8"/>
    <w:rsid w:val="00267BA7"/>
    <w:rsid w:val="00267FA8"/>
    <w:rsid w:val="00271284"/>
    <w:rsid w:val="00272DB9"/>
    <w:rsid w:val="00273958"/>
    <w:rsid w:val="00273C77"/>
    <w:rsid w:val="00273D94"/>
    <w:rsid w:val="0027478D"/>
    <w:rsid w:val="00274CC3"/>
    <w:rsid w:val="00274DB6"/>
    <w:rsid w:val="00274EFA"/>
    <w:rsid w:val="00275275"/>
    <w:rsid w:val="00275AC8"/>
    <w:rsid w:val="00275F57"/>
    <w:rsid w:val="002766DF"/>
    <w:rsid w:val="00276826"/>
    <w:rsid w:val="0027796F"/>
    <w:rsid w:val="00280002"/>
    <w:rsid w:val="00281C1C"/>
    <w:rsid w:val="002843CC"/>
    <w:rsid w:val="00284779"/>
    <w:rsid w:val="0028541C"/>
    <w:rsid w:val="00287194"/>
    <w:rsid w:val="00291D24"/>
    <w:rsid w:val="00292891"/>
    <w:rsid w:val="002941D6"/>
    <w:rsid w:val="002962EF"/>
    <w:rsid w:val="002970DC"/>
    <w:rsid w:val="002973EE"/>
    <w:rsid w:val="002978B9"/>
    <w:rsid w:val="002A2334"/>
    <w:rsid w:val="002A26D0"/>
    <w:rsid w:val="002A30A1"/>
    <w:rsid w:val="002A48CE"/>
    <w:rsid w:val="002A5190"/>
    <w:rsid w:val="002A53E9"/>
    <w:rsid w:val="002A557E"/>
    <w:rsid w:val="002A5D51"/>
    <w:rsid w:val="002A5F13"/>
    <w:rsid w:val="002A77D2"/>
    <w:rsid w:val="002B015B"/>
    <w:rsid w:val="002B0FCA"/>
    <w:rsid w:val="002B1A08"/>
    <w:rsid w:val="002B2CB3"/>
    <w:rsid w:val="002B3275"/>
    <w:rsid w:val="002B3AE2"/>
    <w:rsid w:val="002B3B57"/>
    <w:rsid w:val="002B452D"/>
    <w:rsid w:val="002B557E"/>
    <w:rsid w:val="002B635B"/>
    <w:rsid w:val="002B67A8"/>
    <w:rsid w:val="002C0BA5"/>
    <w:rsid w:val="002C103E"/>
    <w:rsid w:val="002C1653"/>
    <w:rsid w:val="002C1DA2"/>
    <w:rsid w:val="002C2DDF"/>
    <w:rsid w:val="002C2F2D"/>
    <w:rsid w:val="002C3301"/>
    <w:rsid w:val="002C384A"/>
    <w:rsid w:val="002C481F"/>
    <w:rsid w:val="002C5C81"/>
    <w:rsid w:val="002C5DF1"/>
    <w:rsid w:val="002C7E15"/>
    <w:rsid w:val="002D04E0"/>
    <w:rsid w:val="002D0FDC"/>
    <w:rsid w:val="002D1DAC"/>
    <w:rsid w:val="002D31AC"/>
    <w:rsid w:val="002D31C3"/>
    <w:rsid w:val="002D381C"/>
    <w:rsid w:val="002D3D78"/>
    <w:rsid w:val="002D3E86"/>
    <w:rsid w:val="002D4E37"/>
    <w:rsid w:val="002D5068"/>
    <w:rsid w:val="002D5241"/>
    <w:rsid w:val="002D6117"/>
    <w:rsid w:val="002D63F4"/>
    <w:rsid w:val="002D6990"/>
    <w:rsid w:val="002D69A8"/>
    <w:rsid w:val="002D7108"/>
    <w:rsid w:val="002D73E3"/>
    <w:rsid w:val="002D74A9"/>
    <w:rsid w:val="002E0A82"/>
    <w:rsid w:val="002E1036"/>
    <w:rsid w:val="002E22EA"/>
    <w:rsid w:val="002E29E8"/>
    <w:rsid w:val="002E3255"/>
    <w:rsid w:val="002E40EA"/>
    <w:rsid w:val="002E50A3"/>
    <w:rsid w:val="002E545C"/>
    <w:rsid w:val="002E5BA0"/>
    <w:rsid w:val="002E686F"/>
    <w:rsid w:val="002E6CB7"/>
    <w:rsid w:val="002E7866"/>
    <w:rsid w:val="002F0048"/>
    <w:rsid w:val="002F0BAB"/>
    <w:rsid w:val="002F392A"/>
    <w:rsid w:val="002F5DD5"/>
    <w:rsid w:val="002F6156"/>
    <w:rsid w:val="002F6336"/>
    <w:rsid w:val="002F6648"/>
    <w:rsid w:val="002F736E"/>
    <w:rsid w:val="00301989"/>
    <w:rsid w:val="00301D65"/>
    <w:rsid w:val="003023A0"/>
    <w:rsid w:val="003031A4"/>
    <w:rsid w:val="003043F6"/>
    <w:rsid w:val="00305121"/>
    <w:rsid w:val="0030582E"/>
    <w:rsid w:val="00305DA2"/>
    <w:rsid w:val="00306A99"/>
    <w:rsid w:val="00307466"/>
    <w:rsid w:val="00310118"/>
    <w:rsid w:val="00310266"/>
    <w:rsid w:val="003103FB"/>
    <w:rsid w:val="00311D5B"/>
    <w:rsid w:val="00312F22"/>
    <w:rsid w:val="00313530"/>
    <w:rsid w:val="0031499C"/>
    <w:rsid w:val="00315F55"/>
    <w:rsid w:val="003178B9"/>
    <w:rsid w:val="00317AAC"/>
    <w:rsid w:val="00317EFA"/>
    <w:rsid w:val="00320F1A"/>
    <w:rsid w:val="00321423"/>
    <w:rsid w:val="00321E8E"/>
    <w:rsid w:val="00323614"/>
    <w:rsid w:val="00330A98"/>
    <w:rsid w:val="00330BD2"/>
    <w:rsid w:val="00331F87"/>
    <w:rsid w:val="003322B6"/>
    <w:rsid w:val="00334194"/>
    <w:rsid w:val="003344E4"/>
    <w:rsid w:val="003347B8"/>
    <w:rsid w:val="00334C5D"/>
    <w:rsid w:val="00336E84"/>
    <w:rsid w:val="003372C1"/>
    <w:rsid w:val="00337491"/>
    <w:rsid w:val="00340007"/>
    <w:rsid w:val="0034091A"/>
    <w:rsid w:val="00341884"/>
    <w:rsid w:val="00341988"/>
    <w:rsid w:val="00342AA7"/>
    <w:rsid w:val="00342F43"/>
    <w:rsid w:val="003446E4"/>
    <w:rsid w:val="003447F1"/>
    <w:rsid w:val="00344EB6"/>
    <w:rsid w:val="003454DE"/>
    <w:rsid w:val="003457A0"/>
    <w:rsid w:val="00345CA1"/>
    <w:rsid w:val="0034654D"/>
    <w:rsid w:val="00346CA9"/>
    <w:rsid w:val="0034743B"/>
    <w:rsid w:val="00347A82"/>
    <w:rsid w:val="0035029B"/>
    <w:rsid w:val="00351415"/>
    <w:rsid w:val="00351D59"/>
    <w:rsid w:val="003539A2"/>
    <w:rsid w:val="00353DBE"/>
    <w:rsid w:val="00353EC3"/>
    <w:rsid w:val="00356C1F"/>
    <w:rsid w:val="00356EF6"/>
    <w:rsid w:val="0035723A"/>
    <w:rsid w:val="0035740F"/>
    <w:rsid w:val="00357D8B"/>
    <w:rsid w:val="00360189"/>
    <w:rsid w:val="003607AE"/>
    <w:rsid w:val="00361B27"/>
    <w:rsid w:val="00361C51"/>
    <w:rsid w:val="00361EB0"/>
    <w:rsid w:val="00363078"/>
    <w:rsid w:val="00363667"/>
    <w:rsid w:val="003639F2"/>
    <w:rsid w:val="00364241"/>
    <w:rsid w:val="003643AB"/>
    <w:rsid w:val="00364D0C"/>
    <w:rsid w:val="003672EA"/>
    <w:rsid w:val="0036745C"/>
    <w:rsid w:val="00370FCD"/>
    <w:rsid w:val="00371D58"/>
    <w:rsid w:val="003724FB"/>
    <w:rsid w:val="00373092"/>
    <w:rsid w:val="003731E5"/>
    <w:rsid w:val="003734BA"/>
    <w:rsid w:val="003739DD"/>
    <w:rsid w:val="003747AF"/>
    <w:rsid w:val="003753D4"/>
    <w:rsid w:val="003754BB"/>
    <w:rsid w:val="0037582C"/>
    <w:rsid w:val="00375A16"/>
    <w:rsid w:val="003769ED"/>
    <w:rsid w:val="00377815"/>
    <w:rsid w:val="00380C17"/>
    <w:rsid w:val="003810E6"/>
    <w:rsid w:val="00381624"/>
    <w:rsid w:val="00382D24"/>
    <w:rsid w:val="00383D81"/>
    <w:rsid w:val="003853E7"/>
    <w:rsid w:val="00386DAB"/>
    <w:rsid w:val="00386F1E"/>
    <w:rsid w:val="00387155"/>
    <w:rsid w:val="00387560"/>
    <w:rsid w:val="003906FF"/>
    <w:rsid w:val="00391A4D"/>
    <w:rsid w:val="00393010"/>
    <w:rsid w:val="00393043"/>
    <w:rsid w:val="003939A5"/>
    <w:rsid w:val="00393FCC"/>
    <w:rsid w:val="003941B3"/>
    <w:rsid w:val="003950ED"/>
    <w:rsid w:val="003958F9"/>
    <w:rsid w:val="0039595F"/>
    <w:rsid w:val="00397E2C"/>
    <w:rsid w:val="00397E68"/>
    <w:rsid w:val="003A14D3"/>
    <w:rsid w:val="003A1D61"/>
    <w:rsid w:val="003A289B"/>
    <w:rsid w:val="003A3356"/>
    <w:rsid w:val="003A4589"/>
    <w:rsid w:val="003A535F"/>
    <w:rsid w:val="003A7C2A"/>
    <w:rsid w:val="003B04BE"/>
    <w:rsid w:val="003B17D9"/>
    <w:rsid w:val="003B1E62"/>
    <w:rsid w:val="003B2DE4"/>
    <w:rsid w:val="003B3A2D"/>
    <w:rsid w:val="003B4940"/>
    <w:rsid w:val="003B6367"/>
    <w:rsid w:val="003B688A"/>
    <w:rsid w:val="003C18B0"/>
    <w:rsid w:val="003C486C"/>
    <w:rsid w:val="003C4A2D"/>
    <w:rsid w:val="003C4F2F"/>
    <w:rsid w:val="003C5DB9"/>
    <w:rsid w:val="003C6E00"/>
    <w:rsid w:val="003C79A5"/>
    <w:rsid w:val="003D0AFD"/>
    <w:rsid w:val="003D1264"/>
    <w:rsid w:val="003D15B1"/>
    <w:rsid w:val="003D281D"/>
    <w:rsid w:val="003D3EE4"/>
    <w:rsid w:val="003D5538"/>
    <w:rsid w:val="003D5F26"/>
    <w:rsid w:val="003D5F5A"/>
    <w:rsid w:val="003D631F"/>
    <w:rsid w:val="003D6504"/>
    <w:rsid w:val="003D6B8D"/>
    <w:rsid w:val="003D743C"/>
    <w:rsid w:val="003D7B7E"/>
    <w:rsid w:val="003D7D80"/>
    <w:rsid w:val="003E1C5E"/>
    <w:rsid w:val="003E2035"/>
    <w:rsid w:val="003E2128"/>
    <w:rsid w:val="003E33CB"/>
    <w:rsid w:val="003E3460"/>
    <w:rsid w:val="003E3804"/>
    <w:rsid w:val="003E4184"/>
    <w:rsid w:val="003E6CAE"/>
    <w:rsid w:val="003E7474"/>
    <w:rsid w:val="003E770F"/>
    <w:rsid w:val="003E7CC9"/>
    <w:rsid w:val="003F0A82"/>
    <w:rsid w:val="003F140F"/>
    <w:rsid w:val="003F15F8"/>
    <w:rsid w:val="003F2303"/>
    <w:rsid w:val="003F27C9"/>
    <w:rsid w:val="003F2FAB"/>
    <w:rsid w:val="003F3990"/>
    <w:rsid w:val="003F56E6"/>
    <w:rsid w:val="003F6603"/>
    <w:rsid w:val="003F7A76"/>
    <w:rsid w:val="00400345"/>
    <w:rsid w:val="00400398"/>
    <w:rsid w:val="0040049D"/>
    <w:rsid w:val="004023E0"/>
    <w:rsid w:val="004029C5"/>
    <w:rsid w:val="00403B1A"/>
    <w:rsid w:val="004058C3"/>
    <w:rsid w:val="004061FB"/>
    <w:rsid w:val="00406267"/>
    <w:rsid w:val="0040650C"/>
    <w:rsid w:val="004115C8"/>
    <w:rsid w:val="0041160A"/>
    <w:rsid w:val="004117E7"/>
    <w:rsid w:val="004128D2"/>
    <w:rsid w:val="0041358B"/>
    <w:rsid w:val="004139F0"/>
    <w:rsid w:val="00413CAC"/>
    <w:rsid w:val="00413DD2"/>
    <w:rsid w:val="00414B9F"/>
    <w:rsid w:val="00414E69"/>
    <w:rsid w:val="00414E71"/>
    <w:rsid w:val="004161BE"/>
    <w:rsid w:val="00417779"/>
    <w:rsid w:val="00417A62"/>
    <w:rsid w:val="004207B8"/>
    <w:rsid w:val="00420A94"/>
    <w:rsid w:val="0042104C"/>
    <w:rsid w:val="00421524"/>
    <w:rsid w:val="00421C2A"/>
    <w:rsid w:val="00422E4F"/>
    <w:rsid w:val="004235A3"/>
    <w:rsid w:val="00423858"/>
    <w:rsid w:val="00424463"/>
    <w:rsid w:val="00424C84"/>
    <w:rsid w:val="00424EEA"/>
    <w:rsid w:val="00424F99"/>
    <w:rsid w:val="00425881"/>
    <w:rsid w:val="00426323"/>
    <w:rsid w:val="0042641A"/>
    <w:rsid w:val="00427B03"/>
    <w:rsid w:val="0043253A"/>
    <w:rsid w:val="00432E03"/>
    <w:rsid w:val="00433D03"/>
    <w:rsid w:val="00434C21"/>
    <w:rsid w:val="00435A5D"/>
    <w:rsid w:val="00435CE6"/>
    <w:rsid w:val="00436727"/>
    <w:rsid w:val="0043683F"/>
    <w:rsid w:val="00436D24"/>
    <w:rsid w:val="004374D6"/>
    <w:rsid w:val="00440787"/>
    <w:rsid w:val="00440801"/>
    <w:rsid w:val="004424E9"/>
    <w:rsid w:val="0044315C"/>
    <w:rsid w:val="00443690"/>
    <w:rsid w:val="004438D5"/>
    <w:rsid w:val="00443F9E"/>
    <w:rsid w:val="00452340"/>
    <w:rsid w:val="00452409"/>
    <w:rsid w:val="004526CC"/>
    <w:rsid w:val="00452FC0"/>
    <w:rsid w:val="00452FC2"/>
    <w:rsid w:val="00453710"/>
    <w:rsid w:val="00454283"/>
    <w:rsid w:val="00454915"/>
    <w:rsid w:val="00455E29"/>
    <w:rsid w:val="00456937"/>
    <w:rsid w:val="00456D07"/>
    <w:rsid w:val="0045713F"/>
    <w:rsid w:val="0045728F"/>
    <w:rsid w:val="00462678"/>
    <w:rsid w:val="00462E5E"/>
    <w:rsid w:val="00462FEC"/>
    <w:rsid w:val="0046455A"/>
    <w:rsid w:val="00464631"/>
    <w:rsid w:val="00464CF7"/>
    <w:rsid w:val="00464EAB"/>
    <w:rsid w:val="0046501F"/>
    <w:rsid w:val="00465ADE"/>
    <w:rsid w:val="00472F69"/>
    <w:rsid w:val="004742C1"/>
    <w:rsid w:val="004755B8"/>
    <w:rsid w:val="00475DCB"/>
    <w:rsid w:val="00476E90"/>
    <w:rsid w:val="004775DA"/>
    <w:rsid w:val="00477E48"/>
    <w:rsid w:val="00480306"/>
    <w:rsid w:val="0048075D"/>
    <w:rsid w:val="004807F2"/>
    <w:rsid w:val="00480D11"/>
    <w:rsid w:val="004841F9"/>
    <w:rsid w:val="00484265"/>
    <w:rsid w:val="004850F8"/>
    <w:rsid w:val="00486E8B"/>
    <w:rsid w:val="00487461"/>
    <w:rsid w:val="00487571"/>
    <w:rsid w:val="00487834"/>
    <w:rsid w:val="00490B64"/>
    <w:rsid w:val="00491F4D"/>
    <w:rsid w:val="00492D0F"/>
    <w:rsid w:val="00492F90"/>
    <w:rsid w:val="004940FA"/>
    <w:rsid w:val="004946A2"/>
    <w:rsid w:val="00495B68"/>
    <w:rsid w:val="00496FB5"/>
    <w:rsid w:val="00497A22"/>
    <w:rsid w:val="004A11F7"/>
    <w:rsid w:val="004A1986"/>
    <w:rsid w:val="004A2522"/>
    <w:rsid w:val="004A2ABD"/>
    <w:rsid w:val="004A447F"/>
    <w:rsid w:val="004A522C"/>
    <w:rsid w:val="004A5891"/>
    <w:rsid w:val="004A6544"/>
    <w:rsid w:val="004A66A0"/>
    <w:rsid w:val="004A7B06"/>
    <w:rsid w:val="004B055B"/>
    <w:rsid w:val="004B110F"/>
    <w:rsid w:val="004B1BB3"/>
    <w:rsid w:val="004B1FC6"/>
    <w:rsid w:val="004B2EB1"/>
    <w:rsid w:val="004B328A"/>
    <w:rsid w:val="004B4104"/>
    <w:rsid w:val="004B42E3"/>
    <w:rsid w:val="004B6FC9"/>
    <w:rsid w:val="004C0FA6"/>
    <w:rsid w:val="004C1DBA"/>
    <w:rsid w:val="004C1F70"/>
    <w:rsid w:val="004C36D8"/>
    <w:rsid w:val="004C4B86"/>
    <w:rsid w:val="004C4C82"/>
    <w:rsid w:val="004C4F86"/>
    <w:rsid w:val="004C5121"/>
    <w:rsid w:val="004C6721"/>
    <w:rsid w:val="004C6857"/>
    <w:rsid w:val="004C7513"/>
    <w:rsid w:val="004D0CB4"/>
    <w:rsid w:val="004D11D1"/>
    <w:rsid w:val="004D15E0"/>
    <w:rsid w:val="004D2433"/>
    <w:rsid w:val="004D4F43"/>
    <w:rsid w:val="004D52E8"/>
    <w:rsid w:val="004D53E6"/>
    <w:rsid w:val="004D55D1"/>
    <w:rsid w:val="004D61BC"/>
    <w:rsid w:val="004D6C82"/>
    <w:rsid w:val="004D7426"/>
    <w:rsid w:val="004E02C5"/>
    <w:rsid w:val="004E07D8"/>
    <w:rsid w:val="004E0BA6"/>
    <w:rsid w:val="004E1AFB"/>
    <w:rsid w:val="004E2B59"/>
    <w:rsid w:val="004E2F24"/>
    <w:rsid w:val="004E3099"/>
    <w:rsid w:val="004E32FF"/>
    <w:rsid w:val="004E4AD0"/>
    <w:rsid w:val="004E4B79"/>
    <w:rsid w:val="004E5C0A"/>
    <w:rsid w:val="004E6500"/>
    <w:rsid w:val="004E68DE"/>
    <w:rsid w:val="004E6C32"/>
    <w:rsid w:val="004E755E"/>
    <w:rsid w:val="004F0A89"/>
    <w:rsid w:val="004F0FDE"/>
    <w:rsid w:val="004F165A"/>
    <w:rsid w:val="004F1872"/>
    <w:rsid w:val="004F578D"/>
    <w:rsid w:val="004F5DBA"/>
    <w:rsid w:val="004F7488"/>
    <w:rsid w:val="00500594"/>
    <w:rsid w:val="00500973"/>
    <w:rsid w:val="00500B91"/>
    <w:rsid w:val="0050116E"/>
    <w:rsid w:val="00503A69"/>
    <w:rsid w:val="005044EC"/>
    <w:rsid w:val="0050648E"/>
    <w:rsid w:val="005077E8"/>
    <w:rsid w:val="00507A54"/>
    <w:rsid w:val="005118B6"/>
    <w:rsid w:val="00511E3A"/>
    <w:rsid w:val="00512823"/>
    <w:rsid w:val="005131C0"/>
    <w:rsid w:val="005153B8"/>
    <w:rsid w:val="00520234"/>
    <w:rsid w:val="00520A23"/>
    <w:rsid w:val="00521689"/>
    <w:rsid w:val="0052203A"/>
    <w:rsid w:val="00522AB6"/>
    <w:rsid w:val="00523165"/>
    <w:rsid w:val="00524118"/>
    <w:rsid w:val="005243E3"/>
    <w:rsid w:val="0052481B"/>
    <w:rsid w:val="00527ABD"/>
    <w:rsid w:val="00530403"/>
    <w:rsid w:val="00530849"/>
    <w:rsid w:val="00530EA1"/>
    <w:rsid w:val="00531C0B"/>
    <w:rsid w:val="00531D06"/>
    <w:rsid w:val="00532668"/>
    <w:rsid w:val="005327FF"/>
    <w:rsid w:val="00536B38"/>
    <w:rsid w:val="00536CD6"/>
    <w:rsid w:val="00536E9F"/>
    <w:rsid w:val="00537364"/>
    <w:rsid w:val="00537C06"/>
    <w:rsid w:val="00537CBD"/>
    <w:rsid w:val="005429B5"/>
    <w:rsid w:val="00542E3F"/>
    <w:rsid w:val="00543E54"/>
    <w:rsid w:val="005465D7"/>
    <w:rsid w:val="005475FF"/>
    <w:rsid w:val="0054760C"/>
    <w:rsid w:val="00547AE1"/>
    <w:rsid w:val="00547EF8"/>
    <w:rsid w:val="005503EC"/>
    <w:rsid w:val="00551AE2"/>
    <w:rsid w:val="00551B11"/>
    <w:rsid w:val="00551DB9"/>
    <w:rsid w:val="00552167"/>
    <w:rsid w:val="0055248C"/>
    <w:rsid w:val="00552F42"/>
    <w:rsid w:val="0055409B"/>
    <w:rsid w:val="005546B8"/>
    <w:rsid w:val="00554B99"/>
    <w:rsid w:val="00557959"/>
    <w:rsid w:val="00560D88"/>
    <w:rsid w:val="00561878"/>
    <w:rsid w:val="00563445"/>
    <w:rsid w:val="00564A3D"/>
    <w:rsid w:val="005654F6"/>
    <w:rsid w:val="00565E48"/>
    <w:rsid w:val="005663BE"/>
    <w:rsid w:val="005671FA"/>
    <w:rsid w:val="005718B4"/>
    <w:rsid w:val="00572214"/>
    <w:rsid w:val="00572CEA"/>
    <w:rsid w:val="00572E4A"/>
    <w:rsid w:val="005730E1"/>
    <w:rsid w:val="005739F0"/>
    <w:rsid w:val="005753D7"/>
    <w:rsid w:val="00575929"/>
    <w:rsid w:val="0057691F"/>
    <w:rsid w:val="00577848"/>
    <w:rsid w:val="00580AE5"/>
    <w:rsid w:val="00580F02"/>
    <w:rsid w:val="00581B3E"/>
    <w:rsid w:val="00582E3A"/>
    <w:rsid w:val="0058641E"/>
    <w:rsid w:val="00586E27"/>
    <w:rsid w:val="0058761E"/>
    <w:rsid w:val="00587BA7"/>
    <w:rsid w:val="00587EDC"/>
    <w:rsid w:val="005901BA"/>
    <w:rsid w:val="005908A3"/>
    <w:rsid w:val="00590ACD"/>
    <w:rsid w:val="00591C38"/>
    <w:rsid w:val="00592088"/>
    <w:rsid w:val="00592EFC"/>
    <w:rsid w:val="00594062"/>
    <w:rsid w:val="00594B30"/>
    <w:rsid w:val="00595080"/>
    <w:rsid w:val="0059576F"/>
    <w:rsid w:val="0059579B"/>
    <w:rsid w:val="00595A9E"/>
    <w:rsid w:val="00596379"/>
    <w:rsid w:val="005973BC"/>
    <w:rsid w:val="005A0910"/>
    <w:rsid w:val="005A187F"/>
    <w:rsid w:val="005A1F91"/>
    <w:rsid w:val="005A283A"/>
    <w:rsid w:val="005A2BC0"/>
    <w:rsid w:val="005A3EBC"/>
    <w:rsid w:val="005A4860"/>
    <w:rsid w:val="005A4892"/>
    <w:rsid w:val="005A5682"/>
    <w:rsid w:val="005A58A0"/>
    <w:rsid w:val="005A686E"/>
    <w:rsid w:val="005A7068"/>
    <w:rsid w:val="005A7180"/>
    <w:rsid w:val="005A78AC"/>
    <w:rsid w:val="005B0DD9"/>
    <w:rsid w:val="005B18C2"/>
    <w:rsid w:val="005B1D19"/>
    <w:rsid w:val="005B2800"/>
    <w:rsid w:val="005B3B40"/>
    <w:rsid w:val="005B3B8A"/>
    <w:rsid w:val="005B3F2E"/>
    <w:rsid w:val="005B4035"/>
    <w:rsid w:val="005B4F1D"/>
    <w:rsid w:val="005B5EF2"/>
    <w:rsid w:val="005B73C6"/>
    <w:rsid w:val="005C09B7"/>
    <w:rsid w:val="005C1A3F"/>
    <w:rsid w:val="005C1CDE"/>
    <w:rsid w:val="005C1E07"/>
    <w:rsid w:val="005C3AF5"/>
    <w:rsid w:val="005C573A"/>
    <w:rsid w:val="005C58D5"/>
    <w:rsid w:val="005C5F19"/>
    <w:rsid w:val="005C7307"/>
    <w:rsid w:val="005D0522"/>
    <w:rsid w:val="005D07E7"/>
    <w:rsid w:val="005D0EF6"/>
    <w:rsid w:val="005D1493"/>
    <w:rsid w:val="005D1787"/>
    <w:rsid w:val="005D1EAE"/>
    <w:rsid w:val="005D3416"/>
    <w:rsid w:val="005D3F09"/>
    <w:rsid w:val="005D40FC"/>
    <w:rsid w:val="005D5846"/>
    <w:rsid w:val="005D5882"/>
    <w:rsid w:val="005D5EE3"/>
    <w:rsid w:val="005D60CC"/>
    <w:rsid w:val="005D631C"/>
    <w:rsid w:val="005D6806"/>
    <w:rsid w:val="005D6E94"/>
    <w:rsid w:val="005D7066"/>
    <w:rsid w:val="005D7294"/>
    <w:rsid w:val="005D77B4"/>
    <w:rsid w:val="005D7BAA"/>
    <w:rsid w:val="005E1D74"/>
    <w:rsid w:val="005E1DE7"/>
    <w:rsid w:val="005E2889"/>
    <w:rsid w:val="005E2C1E"/>
    <w:rsid w:val="005E2CF0"/>
    <w:rsid w:val="005E32AE"/>
    <w:rsid w:val="005E5272"/>
    <w:rsid w:val="005E5697"/>
    <w:rsid w:val="005E61E4"/>
    <w:rsid w:val="005E6802"/>
    <w:rsid w:val="005E74AE"/>
    <w:rsid w:val="005F013A"/>
    <w:rsid w:val="005F02A3"/>
    <w:rsid w:val="005F0EFA"/>
    <w:rsid w:val="005F21B5"/>
    <w:rsid w:val="005F2C79"/>
    <w:rsid w:val="005F3403"/>
    <w:rsid w:val="005F376A"/>
    <w:rsid w:val="005F380B"/>
    <w:rsid w:val="005F423E"/>
    <w:rsid w:val="005F4E68"/>
    <w:rsid w:val="005F5701"/>
    <w:rsid w:val="005F632F"/>
    <w:rsid w:val="005F6BF5"/>
    <w:rsid w:val="005F6DFE"/>
    <w:rsid w:val="005F7875"/>
    <w:rsid w:val="0060059F"/>
    <w:rsid w:val="00600662"/>
    <w:rsid w:val="00600678"/>
    <w:rsid w:val="006017CC"/>
    <w:rsid w:val="006018BE"/>
    <w:rsid w:val="00603519"/>
    <w:rsid w:val="006038E7"/>
    <w:rsid w:val="00603DD9"/>
    <w:rsid w:val="006047D8"/>
    <w:rsid w:val="006049D2"/>
    <w:rsid w:val="00604B73"/>
    <w:rsid w:val="00605C49"/>
    <w:rsid w:val="00605D7D"/>
    <w:rsid w:val="006064D6"/>
    <w:rsid w:val="00606773"/>
    <w:rsid w:val="00607240"/>
    <w:rsid w:val="00607321"/>
    <w:rsid w:val="00607A07"/>
    <w:rsid w:val="0061003A"/>
    <w:rsid w:val="00611801"/>
    <w:rsid w:val="0061181D"/>
    <w:rsid w:val="00612C69"/>
    <w:rsid w:val="006130EA"/>
    <w:rsid w:val="0061310A"/>
    <w:rsid w:val="0061322A"/>
    <w:rsid w:val="006151B9"/>
    <w:rsid w:val="00615688"/>
    <w:rsid w:val="00615E46"/>
    <w:rsid w:val="00616121"/>
    <w:rsid w:val="00616C9A"/>
    <w:rsid w:val="00617E6A"/>
    <w:rsid w:val="00621698"/>
    <w:rsid w:val="00621782"/>
    <w:rsid w:val="00621A9E"/>
    <w:rsid w:val="00622816"/>
    <w:rsid w:val="00624643"/>
    <w:rsid w:val="00626983"/>
    <w:rsid w:val="006276C8"/>
    <w:rsid w:val="006278B1"/>
    <w:rsid w:val="00627C83"/>
    <w:rsid w:val="006304B1"/>
    <w:rsid w:val="006304FA"/>
    <w:rsid w:val="00631B00"/>
    <w:rsid w:val="00632032"/>
    <w:rsid w:val="0063353D"/>
    <w:rsid w:val="00634669"/>
    <w:rsid w:val="0063557B"/>
    <w:rsid w:val="00635CA1"/>
    <w:rsid w:val="00637A1A"/>
    <w:rsid w:val="00640744"/>
    <w:rsid w:val="00640A64"/>
    <w:rsid w:val="00641FAE"/>
    <w:rsid w:val="00642254"/>
    <w:rsid w:val="00643C6F"/>
    <w:rsid w:val="00644499"/>
    <w:rsid w:val="00645C14"/>
    <w:rsid w:val="0064652C"/>
    <w:rsid w:val="00646564"/>
    <w:rsid w:val="0064679A"/>
    <w:rsid w:val="00651592"/>
    <w:rsid w:val="00651B49"/>
    <w:rsid w:val="00652A30"/>
    <w:rsid w:val="0065540C"/>
    <w:rsid w:val="006578D0"/>
    <w:rsid w:val="00657B66"/>
    <w:rsid w:val="00657FBE"/>
    <w:rsid w:val="00660D81"/>
    <w:rsid w:val="00660FD7"/>
    <w:rsid w:val="0066133D"/>
    <w:rsid w:val="00661637"/>
    <w:rsid w:val="00662D5B"/>
    <w:rsid w:val="00662E27"/>
    <w:rsid w:val="00663279"/>
    <w:rsid w:val="0066449B"/>
    <w:rsid w:val="006659F6"/>
    <w:rsid w:val="00666410"/>
    <w:rsid w:val="006701AE"/>
    <w:rsid w:val="00670EE6"/>
    <w:rsid w:val="006719B8"/>
    <w:rsid w:val="0067257C"/>
    <w:rsid w:val="00673327"/>
    <w:rsid w:val="00673497"/>
    <w:rsid w:val="0067449D"/>
    <w:rsid w:val="00675AC8"/>
    <w:rsid w:val="00675FCD"/>
    <w:rsid w:val="0067651C"/>
    <w:rsid w:val="006772F2"/>
    <w:rsid w:val="006811BF"/>
    <w:rsid w:val="006816FA"/>
    <w:rsid w:val="006842B7"/>
    <w:rsid w:val="00684431"/>
    <w:rsid w:val="00685DE1"/>
    <w:rsid w:val="00690308"/>
    <w:rsid w:val="00690494"/>
    <w:rsid w:val="00691304"/>
    <w:rsid w:val="0069132A"/>
    <w:rsid w:val="00691F34"/>
    <w:rsid w:val="0069271A"/>
    <w:rsid w:val="00692774"/>
    <w:rsid w:val="00692F7E"/>
    <w:rsid w:val="006943A7"/>
    <w:rsid w:val="00695541"/>
    <w:rsid w:val="006955C6"/>
    <w:rsid w:val="0069623B"/>
    <w:rsid w:val="00697479"/>
    <w:rsid w:val="00697C15"/>
    <w:rsid w:val="006A0D6B"/>
    <w:rsid w:val="006A2DCE"/>
    <w:rsid w:val="006A4309"/>
    <w:rsid w:val="006A62F9"/>
    <w:rsid w:val="006A639D"/>
    <w:rsid w:val="006A6C5E"/>
    <w:rsid w:val="006A6D23"/>
    <w:rsid w:val="006B25A6"/>
    <w:rsid w:val="006B25A8"/>
    <w:rsid w:val="006B2E2C"/>
    <w:rsid w:val="006B32F5"/>
    <w:rsid w:val="006B376C"/>
    <w:rsid w:val="006B3D0D"/>
    <w:rsid w:val="006B3F34"/>
    <w:rsid w:val="006B415C"/>
    <w:rsid w:val="006B6AFE"/>
    <w:rsid w:val="006B7F2D"/>
    <w:rsid w:val="006C0214"/>
    <w:rsid w:val="006C14E1"/>
    <w:rsid w:val="006C198C"/>
    <w:rsid w:val="006C227F"/>
    <w:rsid w:val="006C3412"/>
    <w:rsid w:val="006C36B3"/>
    <w:rsid w:val="006C3C1A"/>
    <w:rsid w:val="006C3F7C"/>
    <w:rsid w:val="006C432F"/>
    <w:rsid w:val="006C4A0E"/>
    <w:rsid w:val="006C511D"/>
    <w:rsid w:val="006C5B0D"/>
    <w:rsid w:val="006C690E"/>
    <w:rsid w:val="006C7255"/>
    <w:rsid w:val="006C77EC"/>
    <w:rsid w:val="006D0B35"/>
    <w:rsid w:val="006D1619"/>
    <w:rsid w:val="006D2C9E"/>
    <w:rsid w:val="006D306D"/>
    <w:rsid w:val="006D450A"/>
    <w:rsid w:val="006D56F2"/>
    <w:rsid w:val="006D5F00"/>
    <w:rsid w:val="006D72B9"/>
    <w:rsid w:val="006D7E2E"/>
    <w:rsid w:val="006E02CE"/>
    <w:rsid w:val="006E03D2"/>
    <w:rsid w:val="006E0638"/>
    <w:rsid w:val="006E0BA3"/>
    <w:rsid w:val="006E0C81"/>
    <w:rsid w:val="006E0D0C"/>
    <w:rsid w:val="006E1684"/>
    <w:rsid w:val="006E201C"/>
    <w:rsid w:val="006E359E"/>
    <w:rsid w:val="006E60F1"/>
    <w:rsid w:val="006E7097"/>
    <w:rsid w:val="006E75B6"/>
    <w:rsid w:val="006F043A"/>
    <w:rsid w:val="006F092D"/>
    <w:rsid w:val="006F0A33"/>
    <w:rsid w:val="006F1CAC"/>
    <w:rsid w:val="006F3E36"/>
    <w:rsid w:val="006F435B"/>
    <w:rsid w:val="006F67AA"/>
    <w:rsid w:val="006F72E8"/>
    <w:rsid w:val="006F7402"/>
    <w:rsid w:val="006F7C67"/>
    <w:rsid w:val="00700731"/>
    <w:rsid w:val="00700E71"/>
    <w:rsid w:val="00702720"/>
    <w:rsid w:val="007029FA"/>
    <w:rsid w:val="00703D7E"/>
    <w:rsid w:val="0070528A"/>
    <w:rsid w:val="0070536B"/>
    <w:rsid w:val="00705449"/>
    <w:rsid w:val="00705662"/>
    <w:rsid w:val="00707621"/>
    <w:rsid w:val="00707A8C"/>
    <w:rsid w:val="00707CDF"/>
    <w:rsid w:val="00710730"/>
    <w:rsid w:val="00710C0C"/>
    <w:rsid w:val="007111CF"/>
    <w:rsid w:val="00712109"/>
    <w:rsid w:val="007130D6"/>
    <w:rsid w:val="00713205"/>
    <w:rsid w:val="0071502D"/>
    <w:rsid w:val="00715549"/>
    <w:rsid w:val="00715F4A"/>
    <w:rsid w:val="007161D9"/>
    <w:rsid w:val="00716661"/>
    <w:rsid w:val="007166A2"/>
    <w:rsid w:val="00716F21"/>
    <w:rsid w:val="007204ED"/>
    <w:rsid w:val="00720E76"/>
    <w:rsid w:val="00721264"/>
    <w:rsid w:val="007212DA"/>
    <w:rsid w:val="00721974"/>
    <w:rsid w:val="00723086"/>
    <w:rsid w:val="00723489"/>
    <w:rsid w:val="00723912"/>
    <w:rsid w:val="00723D15"/>
    <w:rsid w:val="00723F16"/>
    <w:rsid w:val="00725473"/>
    <w:rsid w:val="00726332"/>
    <w:rsid w:val="00726721"/>
    <w:rsid w:val="007318A5"/>
    <w:rsid w:val="00733340"/>
    <w:rsid w:val="00733F3B"/>
    <w:rsid w:val="0073470B"/>
    <w:rsid w:val="00734A79"/>
    <w:rsid w:val="00735DA0"/>
    <w:rsid w:val="00735E53"/>
    <w:rsid w:val="007360BE"/>
    <w:rsid w:val="007377D5"/>
    <w:rsid w:val="007403B2"/>
    <w:rsid w:val="00740FC5"/>
    <w:rsid w:val="007410F2"/>
    <w:rsid w:val="00741498"/>
    <w:rsid w:val="007423F3"/>
    <w:rsid w:val="00743402"/>
    <w:rsid w:val="007439D1"/>
    <w:rsid w:val="00743C72"/>
    <w:rsid w:val="007441C0"/>
    <w:rsid w:val="007442CA"/>
    <w:rsid w:val="00744BDA"/>
    <w:rsid w:val="00744F0F"/>
    <w:rsid w:val="00745106"/>
    <w:rsid w:val="007463D8"/>
    <w:rsid w:val="007467D3"/>
    <w:rsid w:val="00747688"/>
    <w:rsid w:val="00750E14"/>
    <w:rsid w:val="007514A8"/>
    <w:rsid w:val="007519DD"/>
    <w:rsid w:val="007521AE"/>
    <w:rsid w:val="00752C93"/>
    <w:rsid w:val="007536F7"/>
    <w:rsid w:val="0075425A"/>
    <w:rsid w:val="00754529"/>
    <w:rsid w:val="00754DE7"/>
    <w:rsid w:val="00760A21"/>
    <w:rsid w:val="00760D30"/>
    <w:rsid w:val="007620BE"/>
    <w:rsid w:val="00762878"/>
    <w:rsid w:val="00762BA6"/>
    <w:rsid w:val="00763729"/>
    <w:rsid w:val="00763E8C"/>
    <w:rsid w:val="007640AE"/>
    <w:rsid w:val="00764340"/>
    <w:rsid w:val="00765FB9"/>
    <w:rsid w:val="00767CB4"/>
    <w:rsid w:val="00771807"/>
    <w:rsid w:val="00773E86"/>
    <w:rsid w:val="00774E80"/>
    <w:rsid w:val="007751D9"/>
    <w:rsid w:val="0077554C"/>
    <w:rsid w:val="00775588"/>
    <w:rsid w:val="007763E2"/>
    <w:rsid w:val="00776442"/>
    <w:rsid w:val="00776D93"/>
    <w:rsid w:val="00780510"/>
    <w:rsid w:val="0078081C"/>
    <w:rsid w:val="007809E3"/>
    <w:rsid w:val="00780C2D"/>
    <w:rsid w:val="007816DE"/>
    <w:rsid w:val="0078288E"/>
    <w:rsid w:val="007828F1"/>
    <w:rsid w:val="00782D1A"/>
    <w:rsid w:val="0078344A"/>
    <w:rsid w:val="00784602"/>
    <w:rsid w:val="00784BB8"/>
    <w:rsid w:val="00784E36"/>
    <w:rsid w:val="00787A2B"/>
    <w:rsid w:val="00791533"/>
    <w:rsid w:val="00791A8A"/>
    <w:rsid w:val="00791AFA"/>
    <w:rsid w:val="0079216E"/>
    <w:rsid w:val="00792C56"/>
    <w:rsid w:val="00793BFA"/>
    <w:rsid w:val="0079412E"/>
    <w:rsid w:val="007941D7"/>
    <w:rsid w:val="00795624"/>
    <w:rsid w:val="007957C8"/>
    <w:rsid w:val="007965C9"/>
    <w:rsid w:val="00796A8E"/>
    <w:rsid w:val="00796E74"/>
    <w:rsid w:val="0079755C"/>
    <w:rsid w:val="00797A0A"/>
    <w:rsid w:val="007A040A"/>
    <w:rsid w:val="007A06E3"/>
    <w:rsid w:val="007A0A8B"/>
    <w:rsid w:val="007A0C44"/>
    <w:rsid w:val="007A1D59"/>
    <w:rsid w:val="007A246F"/>
    <w:rsid w:val="007A3227"/>
    <w:rsid w:val="007A4D1A"/>
    <w:rsid w:val="007A57E3"/>
    <w:rsid w:val="007A58E4"/>
    <w:rsid w:val="007A5B09"/>
    <w:rsid w:val="007A5B14"/>
    <w:rsid w:val="007A6E00"/>
    <w:rsid w:val="007A7FF4"/>
    <w:rsid w:val="007B1DE2"/>
    <w:rsid w:val="007B27EE"/>
    <w:rsid w:val="007B2B89"/>
    <w:rsid w:val="007B39DD"/>
    <w:rsid w:val="007B46FB"/>
    <w:rsid w:val="007B5DBB"/>
    <w:rsid w:val="007B5E8D"/>
    <w:rsid w:val="007B79BB"/>
    <w:rsid w:val="007C0543"/>
    <w:rsid w:val="007C102B"/>
    <w:rsid w:val="007C1061"/>
    <w:rsid w:val="007C1DF8"/>
    <w:rsid w:val="007C3A19"/>
    <w:rsid w:val="007C4592"/>
    <w:rsid w:val="007C47EF"/>
    <w:rsid w:val="007C5FBC"/>
    <w:rsid w:val="007C6543"/>
    <w:rsid w:val="007C7950"/>
    <w:rsid w:val="007D059E"/>
    <w:rsid w:val="007D2F78"/>
    <w:rsid w:val="007D36A7"/>
    <w:rsid w:val="007D5061"/>
    <w:rsid w:val="007D5F6E"/>
    <w:rsid w:val="007D7C64"/>
    <w:rsid w:val="007E099C"/>
    <w:rsid w:val="007E1412"/>
    <w:rsid w:val="007E1661"/>
    <w:rsid w:val="007E1B40"/>
    <w:rsid w:val="007E2EC9"/>
    <w:rsid w:val="007E58D2"/>
    <w:rsid w:val="007E7411"/>
    <w:rsid w:val="007F38C9"/>
    <w:rsid w:val="007F4A9E"/>
    <w:rsid w:val="007F4AF1"/>
    <w:rsid w:val="007F4D11"/>
    <w:rsid w:val="007F4FE9"/>
    <w:rsid w:val="00800ADD"/>
    <w:rsid w:val="00800B4B"/>
    <w:rsid w:val="00800F97"/>
    <w:rsid w:val="0080412C"/>
    <w:rsid w:val="0080481D"/>
    <w:rsid w:val="00804969"/>
    <w:rsid w:val="00805E23"/>
    <w:rsid w:val="008069CF"/>
    <w:rsid w:val="00807E5F"/>
    <w:rsid w:val="008103C9"/>
    <w:rsid w:val="008106E5"/>
    <w:rsid w:val="00811F92"/>
    <w:rsid w:val="008125B2"/>
    <w:rsid w:val="0081283A"/>
    <w:rsid w:val="008128E0"/>
    <w:rsid w:val="008134B2"/>
    <w:rsid w:val="00814635"/>
    <w:rsid w:val="008146C7"/>
    <w:rsid w:val="008147E2"/>
    <w:rsid w:val="00815747"/>
    <w:rsid w:val="00815EF7"/>
    <w:rsid w:val="0081639F"/>
    <w:rsid w:val="00820270"/>
    <w:rsid w:val="008202BD"/>
    <w:rsid w:val="00821F2B"/>
    <w:rsid w:val="00822155"/>
    <w:rsid w:val="008230FF"/>
    <w:rsid w:val="00824C50"/>
    <w:rsid w:val="008253D7"/>
    <w:rsid w:val="00825D36"/>
    <w:rsid w:val="00827477"/>
    <w:rsid w:val="00831A91"/>
    <w:rsid w:val="008329F0"/>
    <w:rsid w:val="0083385D"/>
    <w:rsid w:val="00833A69"/>
    <w:rsid w:val="00834AC1"/>
    <w:rsid w:val="00835A29"/>
    <w:rsid w:val="008361D3"/>
    <w:rsid w:val="00836F40"/>
    <w:rsid w:val="00837022"/>
    <w:rsid w:val="00840DC8"/>
    <w:rsid w:val="008413A2"/>
    <w:rsid w:val="008415CD"/>
    <w:rsid w:val="0084342E"/>
    <w:rsid w:val="00845546"/>
    <w:rsid w:val="00845E8B"/>
    <w:rsid w:val="00846669"/>
    <w:rsid w:val="00846874"/>
    <w:rsid w:val="00847467"/>
    <w:rsid w:val="00847F67"/>
    <w:rsid w:val="008518CD"/>
    <w:rsid w:val="008520B1"/>
    <w:rsid w:val="0085311A"/>
    <w:rsid w:val="00853FBA"/>
    <w:rsid w:val="00854BB7"/>
    <w:rsid w:val="00855A96"/>
    <w:rsid w:val="00855C65"/>
    <w:rsid w:val="008564A7"/>
    <w:rsid w:val="0085690F"/>
    <w:rsid w:val="00856FE5"/>
    <w:rsid w:val="0085710A"/>
    <w:rsid w:val="008577AA"/>
    <w:rsid w:val="00857E22"/>
    <w:rsid w:val="00860D20"/>
    <w:rsid w:val="008636AF"/>
    <w:rsid w:val="00863747"/>
    <w:rsid w:val="0086393A"/>
    <w:rsid w:val="0086446C"/>
    <w:rsid w:val="00866077"/>
    <w:rsid w:val="00866583"/>
    <w:rsid w:val="00866C27"/>
    <w:rsid w:val="00867DE6"/>
    <w:rsid w:val="00870021"/>
    <w:rsid w:val="0087083F"/>
    <w:rsid w:val="00871331"/>
    <w:rsid w:val="008729FC"/>
    <w:rsid w:val="00873257"/>
    <w:rsid w:val="0087335D"/>
    <w:rsid w:val="00874388"/>
    <w:rsid w:val="008750D9"/>
    <w:rsid w:val="00875B6C"/>
    <w:rsid w:val="00875CCC"/>
    <w:rsid w:val="00875DD1"/>
    <w:rsid w:val="0087639C"/>
    <w:rsid w:val="008763C7"/>
    <w:rsid w:val="00877816"/>
    <w:rsid w:val="00877B2B"/>
    <w:rsid w:val="008801EC"/>
    <w:rsid w:val="00882C3A"/>
    <w:rsid w:val="00883B89"/>
    <w:rsid w:val="008847C0"/>
    <w:rsid w:val="00885B13"/>
    <w:rsid w:val="0088666B"/>
    <w:rsid w:val="00886767"/>
    <w:rsid w:val="00886877"/>
    <w:rsid w:val="00887C83"/>
    <w:rsid w:val="00887DB9"/>
    <w:rsid w:val="00890E76"/>
    <w:rsid w:val="0089172A"/>
    <w:rsid w:val="00894680"/>
    <w:rsid w:val="00894B8C"/>
    <w:rsid w:val="00895C1F"/>
    <w:rsid w:val="00896816"/>
    <w:rsid w:val="00896959"/>
    <w:rsid w:val="008A2157"/>
    <w:rsid w:val="008A35B2"/>
    <w:rsid w:val="008A375D"/>
    <w:rsid w:val="008A3CE2"/>
    <w:rsid w:val="008A3ECD"/>
    <w:rsid w:val="008A4B7A"/>
    <w:rsid w:val="008A5C89"/>
    <w:rsid w:val="008A635A"/>
    <w:rsid w:val="008A6761"/>
    <w:rsid w:val="008A6BAC"/>
    <w:rsid w:val="008A6C97"/>
    <w:rsid w:val="008A712F"/>
    <w:rsid w:val="008A74EF"/>
    <w:rsid w:val="008B03D0"/>
    <w:rsid w:val="008B29D9"/>
    <w:rsid w:val="008B2E6E"/>
    <w:rsid w:val="008B61B4"/>
    <w:rsid w:val="008B64C7"/>
    <w:rsid w:val="008B68A8"/>
    <w:rsid w:val="008B6A7C"/>
    <w:rsid w:val="008B731C"/>
    <w:rsid w:val="008B79E8"/>
    <w:rsid w:val="008B7C17"/>
    <w:rsid w:val="008C063F"/>
    <w:rsid w:val="008C10B9"/>
    <w:rsid w:val="008C12B5"/>
    <w:rsid w:val="008C1FDB"/>
    <w:rsid w:val="008C253B"/>
    <w:rsid w:val="008C2C62"/>
    <w:rsid w:val="008C3196"/>
    <w:rsid w:val="008C4B7C"/>
    <w:rsid w:val="008C7161"/>
    <w:rsid w:val="008C738E"/>
    <w:rsid w:val="008C7752"/>
    <w:rsid w:val="008D0162"/>
    <w:rsid w:val="008D0FD3"/>
    <w:rsid w:val="008D12C0"/>
    <w:rsid w:val="008D1ABD"/>
    <w:rsid w:val="008D2B74"/>
    <w:rsid w:val="008D30DD"/>
    <w:rsid w:val="008D40A7"/>
    <w:rsid w:val="008D4433"/>
    <w:rsid w:val="008D4AC9"/>
    <w:rsid w:val="008D4E82"/>
    <w:rsid w:val="008D5718"/>
    <w:rsid w:val="008D60B6"/>
    <w:rsid w:val="008E00AA"/>
    <w:rsid w:val="008E0175"/>
    <w:rsid w:val="008E05C9"/>
    <w:rsid w:val="008E2815"/>
    <w:rsid w:val="008E38B1"/>
    <w:rsid w:val="008E4D38"/>
    <w:rsid w:val="008E5C59"/>
    <w:rsid w:val="008E5E10"/>
    <w:rsid w:val="008E674E"/>
    <w:rsid w:val="008E698E"/>
    <w:rsid w:val="008E73E9"/>
    <w:rsid w:val="008E7BC5"/>
    <w:rsid w:val="008E7D85"/>
    <w:rsid w:val="008F0A20"/>
    <w:rsid w:val="008F0D12"/>
    <w:rsid w:val="008F1182"/>
    <w:rsid w:val="008F11D7"/>
    <w:rsid w:val="008F143A"/>
    <w:rsid w:val="008F32E1"/>
    <w:rsid w:val="008F3443"/>
    <w:rsid w:val="008F3874"/>
    <w:rsid w:val="008F4F2B"/>
    <w:rsid w:val="008F5837"/>
    <w:rsid w:val="008F584A"/>
    <w:rsid w:val="008F5F7F"/>
    <w:rsid w:val="008F6AFF"/>
    <w:rsid w:val="008F70CB"/>
    <w:rsid w:val="00900F64"/>
    <w:rsid w:val="00901312"/>
    <w:rsid w:val="00903B9F"/>
    <w:rsid w:val="00904537"/>
    <w:rsid w:val="0090496F"/>
    <w:rsid w:val="009053C4"/>
    <w:rsid w:val="00905D2A"/>
    <w:rsid w:val="009060B0"/>
    <w:rsid w:val="00906F4F"/>
    <w:rsid w:val="009074BE"/>
    <w:rsid w:val="00907865"/>
    <w:rsid w:val="00907866"/>
    <w:rsid w:val="00910404"/>
    <w:rsid w:val="0091157A"/>
    <w:rsid w:val="00911609"/>
    <w:rsid w:val="00911ACC"/>
    <w:rsid w:val="00912B57"/>
    <w:rsid w:val="00913AEC"/>
    <w:rsid w:val="00914037"/>
    <w:rsid w:val="0091454B"/>
    <w:rsid w:val="009171B3"/>
    <w:rsid w:val="009178AD"/>
    <w:rsid w:val="00920908"/>
    <w:rsid w:val="009217BE"/>
    <w:rsid w:val="009226D0"/>
    <w:rsid w:val="009239BA"/>
    <w:rsid w:val="00924044"/>
    <w:rsid w:val="00925940"/>
    <w:rsid w:val="00926350"/>
    <w:rsid w:val="00926E55"/>
    <w:rsid w:val="009270BF"/>
    <w:rsid w:val="0093118A"/>
    <w:rsid w:val="00931DAB"/>
    <w:rsid w:val="00931FC4"/>
    <w:rsid w:val="00932C8F"/>
    <w:rsid w:val="0093371D"/>
    <w:rsid w:val="0093375A"/>
    <w:rsid w:val="009357D8"/>
    <w:rsid w:val="009366D6"/>
    <w:rsid w:val="00936953"/>
    <w:rsid w:val="00937F5B"/>
    <w:rsid w:val="00940E72"/>
    <w:rsid w:val="00942662"/>
    <w:rsid w:val="0094336E"/>
    <w:rsid w:val="00943C36"/>
    <w:rsid w:val="00943F31"/>
    <w:rsid w:val="00944BCF"/>
    <w:rsid w:val="00944CC7"/>
    <w:rsid w:val="0094501A"/>
    <w:rsid w:val="00945396"/>
    <w:rsid w:val="00945997"/>
    <w:rsid w:val="00947613"/>
    <w:rsid w:val="00950313"/>
    <w:rsid w:val="00950A1B"/>
    <w:rsid w:val="00950F35"/>
    <w:rsid w:val="0095178F"/>
    <w:rsid w:val="009524F8"/>
    <w:rsid w:val="00954A6D"/>
    <w:rsid w:val="00954C41"/>
    <w:rsid w:val="00955C8A"/>
    <w:rsid w:val="00955E00"/>
    <w:rsid w:val="00955FE1"/>
    <w:rsid w:val="00956043"/>
    <w:rsid w:val="009564D1"/>
    <w:rsid w:val="00956886"/>
    <w:rsid w:val="009571FD"/>
    <w:rsid w:val="00960496"/>
    <w:rsid w:val="00961003"/>
    <w:rsid w:val="0096110C"/>
    <w:rsid w:val="00963615"/>
    <w:rsid w:val="00964AF7"/>
    <w:rsid w:val="00964CE8"/>
    <w:rsid w:val="00965270"/>
    <w:rsid w:val="009653D5"/>
    <w:rsid w:val="0096553B"/>
    <w:rsid w:val="0096680C"/>
    <w:rsid w:val="00967E56"/>
    <w:rsid w:val="00967EDA"/>
    <w:rsid w:val="00970DC7"/>
    <w:rsid w:val="00971356"/>
    <w:rsid w:val="0097137A"/>
    <w:rsid w:val="0097157B"/>
    <w:rsid w:val="0097184E"/>
    <w:rsid w:val="00972C35"/>
    <w:rsid w:val="00972F7D"/>
    <w:rsid w:val="00973E5E"/>
    <w:rsid w:val="009746DA"/>
    <w:rsid w:val="00974844"/>
    <w:rsid w:val="00974CCC"/>
    <w:rsid w:val="00974FE8"/>
    <w:rsid w:val="00975087"/>
    <w:rsid w:val="00976A82"/>
    <w:rsid w:val="00976C10"/>
    <w:rsid w:val="00977A1C"/>
    <w:rsid w:val="00981AB9"/>
    <w:rsid w:val="00981F25"/>
    <w:rsid w:val="00983309"/>
    <w:rsid w:val="009836FD"/>
    <w:rsid w:val="00983D4F"/>
    <w:rsid w:val="009866AA"/>
    <w:rsid w:val="009866F4"/>
    <w:rsid w:val="009879A8"/>
    <w:rsid w:val="00991E29"/>
    <w:rsid w:val="00991EA0"/>
    <w:rsid w:val="00992445"/>
    <w:rsid w:val="009929DD"/>
    <w:rsid w:val="009954BA"/>
    <w:rsid w:val="00995CA5"/>
    <w:rsid w:val="00997DDD"/>
    <w:rsid w:val="009A01C1"/>
    <w:rsid w:val="009A0A84"/>
    <w:rsid w:val="009A1BF2"/>
    <w:rsid w:val="009A2098"/>
    <w:rsid w:val="009A2419"/>
    <w:rsid w:val="009A2FAC"/>
    <w:rsid w:val="009A3639"/>
    <w:rsid w:val="009A3A8A"/>
    <w:rsid w:val="009A4146"/>
    <w:rsid w:val="009A68F0"/>
    <w:rsid w:val="009A6F52"/>
    <w:rsid w:val="009A7522"/>
    <w:rsid w:val="009A76D0"/>
    <w:rsid w:val="009B005B"/>
    <w:rsid w:val="009B0752"/>
    <w:rsid w:val="009B0D42"/>
    <w:rsid w:val="009B1153"/>
    <w:rsid w:val="009B1EA0"/>
    <w:rsid w:val="009B241F"/>
    <w:rsid w:val="009B28E3"/>
    <w:rsid w:val="009B29C2"/>
    <w:rsid w:val="009B6B0B"/>
    <w:rsid w:val="009B6BEA"/>
    <w:rsid w:val="009B6C7C"/>
    <w:rsid w:val="009B79B6"/>
    <w:rsid w:val="009B7C04"/>
    <w:rsid w:val="009B7D7C"/>
    <w:rsid w:val="009C0B69"/>
    <w:rsid w:val="009C0C40"/>
    <w:rsid w:val="009C1E6B"/>
    <w:rsid w:val="009C20F6"/>
    <w:rsid w:val="009C2BCF"/>
    <w:rsid w:val="009C39EF"/>
    <w:rsid w:val="009C482E"/>
    <w:rsid w:val="009C5A6B"/>
    <w:rsid w:val="009C5C91"/>
    <w:rsid w:val="009C62EA"/>
    <w:rsid w:val="009C704F"/>
    <w:rsid w:val="009C7C79"/>
    <w:rsid w:val="009C7CE9"/>
    <w:rsid w:val="009D045B"/>
    <w:rsid w:val="009D0DFB"/>
    <w:rsid w:val="009D2B21"/>
    <w:rsid w:val="009D3078"/>
    <w:rsid w:val="009D3E98"/>
    <w:rsid w:val="009D4031"/>
    <w:rsid w:val="009D776D"/>
    <w:rsid w:val="009E070D"/>
    <w:rsid w:val="009E0D01"/>
    <w:rsid w:val="009E14FB"/>
    <w:rsid w:val="009E1777"/>
    <w:rsid w:val="009E2247"/>
    <w:rsid w:val="009E28D5"/>
    <w:rsid w:val="009E5457"/>
    <w:rsid w:val="009F227C"/>
    <w:rsid w:val="009F28A3"/>
    <w:rsid w:val="009F2958"/>
    <w:rsid w:val="009F2A9E"/>
    <w:rsid w:val="009F386B"/>
    <w:rsid w:val="009F46A8"/>
    <w:rsid w:val="009F497A"/>
    <w:rsid w:val="009F4F83"/>
    <w:rsid w:val="009F51AC"/>
    <w:rsid w:val="009F56DD"/>
    <w:rsid w:val="009F5A18"/>
    <w:rsid w:val="009F5E08"/>
    <w:rsid w:val="009F693B"/>
    <w:rsid w:val="009F79A5"/>
    <w:rsid w:val="00A001C4"/>
    <w:rsid w:val="00A05E25"/>
    <w:rsid w:val="00A05E55"/>
    <w:rsid w:val="00A07863"/>
    <w:rsid w:val="00A10320"/>
    <w:rsid w:val="00A11426"/>
    <w:rsid w:val="00A11554"/>
    <w:rsid w:val="00A138AE"/>
    <w:rsid w:val="00A1407A"/>
    <w:rsid w:val="00A14351"/>
    <w:rsid w:val="00A14C2C"/>
    <w:rsid w:val="00A15177"/>
    <w:rsid w:val="00A16B7C"/>
    <w:rsid w:val="00A17153"/>
    <w:rsid w:val="00A17D06"/>
    <w:rsid w:val="00A17FFE"/>
    <w:rsid w:val="00A20A9E"/>
    <w:rsid w:val="00A210B4"/>
    <w:rsid w:val="00A215F6"/>
    <w:rsid w:val="00A21934"/>
    <w:rsid w:val="00A24F0B"/>
    <w:rsid w:val="00A254DB"/>
    <w:rsid w:val="00A255E6"/>
    <w:rsid w:val="00A25F92"/>
    <w:rsid w:val="00A302A4"/>
    <w:rsid w:val="00A30620"/>
    <w:rsid w:val="00A31489"/>
    <w:rsid w:val="00A3248E"/>
    <w:rsid w:val="00A33394"/>
    <w:rsid w:val="00A33F62"/>
    <w:rsid w:val="00A34805"/>
    <w:rsid w:val="00A3624E"/>
    <w:rsid w:val="00A369FF"/>
    <w:rsid w:val="00A36BED"/>
    <w:rsid w:val="00A36CD1"/>
    <w:rsid w:val="00A40828"/>
    <w:rsid w:val="00A41045"/>
    <w:rsid w:val="00A41EAA"/>
    <w:rsid w:val="00A43078"/>
    <w:rsid w:val="00A434C6"/>
    <w:rsid w:val="00A438B3"/>
    <w:rsid w:val="00A439E2"/>
    <w:rsid w:val="00A43F55"/>
    <w:rsid w:val="00A44256"/>
    <w:rsid w:val="00A443B5"/>
    <w:rsid w:val="00A44D2C"/>
    <w:rsid w:val="00A45C01"/>
    <w:rsid w:val="00A465D7"/>
    <w:rsid w:val="00A46EFE"/>
    <w:rsid w:val="00A479A8"/>
    <w:rsid w:val="00A530A7"/>
    <w:rsid w:val="00A5426B"/>
    <w:rsid w:val="00A5467A"/>
    <w:rsid w:val="00A54F6D"/>
    <w:rsid w:val="00A5564D"/>
    <w:rsid w:val="00A557D2"/>
    <w:rsid w:val="00A56524"/>
    <w:rsid w:val="00A56A90"/>
    <w:rsid w:val="00A57360"/>
    <w:rsid w:val="00A608BE"/>
    <w:rsid w:val="00A60E9B"/>
    <w:rsid w:val="00A612AB"/>
    <w:rsid w:val="00A61902"/>
    <w:rsid w:val="00A62DB9"/>
    <w:rsid w:val="00A63D70"/>
    <w:rsid w:val="00A646DB"/>
    <w:rsid w:val="00A64BC8"/>
    <w:rsid w:val="00A65B48"/>
    <w:rsid w:val="00A6638D"/>
    <w:rsid w:val="00A66825"/>
    <w:rsid w:val="00A669B8"/>
    <w:rsid w:val="00A67390"/>
    <w:rsid w:val="00A704DA"/>
    <w:rsid w:val="00A70B75"/>
    <w:rsid w:val="00A726D3"/>
    <w:rsid w:val="00A72903"/>
    <w:rsid w:val="00A74521"/>
    <w:rsid w:val="00A74A43"/>
    <w:rsid w:val="00A757F6"/>
    <w:rsid w:val="00A762EC"/>
    <w:rsid w:val="00A779C0"/>
    <w:rsid w:val="00A810B8"/>
    <w:rsid w:val="00A819D0"/>
    <w:rsid w:val="00A819F3"/>
    <w:rsid w:val="00A83520"/>
    <w:rsid w:val="00A85BFA"/>
    <w:rsid w:val="00A86303"/>
    <w:rsid w:val="00A863A8"/>
    <w:rsid w:val="00A867EB"/>
    <w:rsid w:val="00A874F5"/>
    <w:rsid w:val="00A90884"/>
    <w:rsid w:val="00A92638"/>
    <w:rsid w:val="00A9308D"/>
    <w:rsid w:val="00A9365D"/>
    <w:rsid w:val="00A93E6D"/>
    <w:rsid w:val="00A9431F"/>
    <w:rsid w:val="00A94AF5"/>
    <w:rsid w:val="00A95371"/>
    <w:rsid w:val="00A96C33"/>
    <w:rsid w:val="00AA5446"/>
    <w:rsid w:val="00AA654B"/>
    <w:rsid w:val="00AA6944"/>
    <w:rsid w:val="00AB0107"/>
    <w:rsid w:val="00AB015B"/>
    <w:rsid w:val="00AB1CDD"/>
    <w:rsid w:val="00AB2026"/>
    <w:rsid w:val="00AB2E74"/>
    <w:rsid w:val="00AB350E"/>
    <w:rsid w:val="00AB4432"/>
    <w:rsid w:val="00AB5163"/>
    <w:rsid w:val="00AB5604"/>
    <w:rsid w:val="00AB5AA9"/>
    <w:rsid w:val="00AB5DAA"/>
    <w:rsid w:val="00AB6A6A"/>
    <w:rsid w:val="00AB7684"/>
    <w:rsid w:val="00AC0192"/>
    <w:rsid w:val="00AC0B83"/>
    <w:rsid w:val="00AC3CB6"/>
    <w:rsid w:val="00AC4D96"/>
    <w:rsid w:val="00AC5D4F"/>
    <w:rsid w:val="00AC5E5D"/>
    <w:rsid w:val="00AC7EE1"/>
    <w:rsid w:val="00AD0EF9"/>
    <w:rsid w:val="00AD1211"/>
    <w:rsid w:val="00AD2CD1"/>
    <w:rsid w:val="00AD2E28"/>
    <w:rsid w:val="00AD30F4"/>
    <w:rsid w:val="00AD3158"/>
    <w:rsid w:val="00AD3A72"/>
    <w:rsid w:val="00AD4763"/>
    <w:rsid w:val="00AD58F7"/>
    <w:rsid w:val="00AD5A81"/>
    <w:rsid w:val="00AD5B6E"/>
    <w:rsid w:val="00AD6544"/>
    <w:rsid w:val="00AD6A27"/>
    <w:rsid w:val="00AD7066"/>
    <w:rsid w:val="00AE03BE"/>
    <w:rsid w:val="00AE0DC6"/>
    <w:rsid w:val="00AE1913"/>
    <w:rsid w:val="00AE2B98"/>
    <w:rsid w:val="00AE37A2"/>
    <w:rsid w:val="00AE3D40"/>
    <w:rsid w:val="00AE457E"/>
    <w:rsid w:val="00AE4CB1"/>
    <w:rsid w:val="00AE5820"/>
    <w:rsid w:val="00AE639A"/>
    <w:rsid w:val="00AF0BED"/>
    <w:rsid w:val="00AF121D"/>
    <w:rsid w:val="00AF14DC"/>
    <w:rsid w:val="00AF1754"/>
    <w:rsid w:val="00AF1C0F"/>
    <w:rsid w:val="00AF1C84"/>
    <w:rsid w:val="00AF2AB3"/>
    <w:rsid w:val="00AF5C9D"/>
    <w:rsid w:val="00AF7A25"/>
    <w:rsid w:val="00AF7BD1"/>
    <w:rsid w:val="00B002F0"/>
    <w:rsid w:val="00B00565"/>
    <w:rsid w:val="00B006D6"/>
    <w:rsid w:val="00B02C68"/>
    <w:rsid w:val="00B03096"/>
    <w:rsid w:val="00B03241"/>
    <w:rsid w:val="00B03769"/>
    <w:rsid w:val="00B03AA8"/>
    <w:rsid w:val="00B03B82"/>
    <w:rsid w:val="00B04539"/>
    <w:rsid w:val="00B048FA"/>
    <w:rsid w:val="00B04BC6"/>
    <w:rsid w:val="00B067AA"/>
    <w:rsid w:val="00B06B41"/>
    <w:rsid w:val="00B0762C"/>
    <w:rsid w:val="00B10570"/>
    <w:rsid w:val="00B10765"/>
    <w:rsid w:val="00B108A9"/>
    <w:rsid w:val="00B10FCA"/>
    <w:rsid w:val="00B112BC"/>
    <w:rsid w:val="00B1147E"/>
    <w:rsid w:val="00B121C4"/>
    <w:rsid w:val="00B1358A"/>
    <w:rsid w:val="00B1392C"/>
    <w:rsid w:val="00B14FBA"/>
    <w:rsid w:val="00B17E77"/>
    <w:rsid w:val="00B17EB9"/>
    <w:rsid w:val="00B20661"/>
    <w:rsid w:val="00B21603"/>
    <w:rsid w:val="00B217FF"/>
    <w:rsid w:val="00B21F5B"/>
    <w:rsid w:val="00B22FF4"/>
    <w:rsid w:val="00B23047"/>
    <w:rsid w:val="00B2305B"/>
    <w:rsid w:val="00B23F07"/>
    <w:rsid w:val="00B24977"/>
    <w:rsid w:val="00B24CCF"/>
    <w:rsid w:val="00B24FBC"/>
    <w:rsid w:val="00B251F9"/>
    <w:rsid w:val="00B25CA8"/>
    <w:rsid w:val="00B26229"/>
    <w:rsid w:val="00B3018E"/>
    <w:rsid w:val="00B307B5"/>
    <w:rsid w:val="00B30BDF"/>
    <w:rsid w:val="00B310B9"/>
    <w:rsid w:val="00B311C1"/>
    <w:rsid w:val="00B3152B"/>
    <w:rsid w:val="00B31916"/>
    <w:rsid w:val="00B31E51"/>
    <w:rsid w:val="00B32472"/>
    <w:rsid w:val="00B33736"/>
    <w:rsid w:val="00B33C06"/>
    <w:rsid w:val="00B362C9"/>
    <w:rsid w:val="00B424E0"/>
    <w:rsid w:val="00B426FB"/>
    <w:rsid w:val="00B432AB"/>
    <w:rsid w:val="00B4346C"/>
    <w:rsid w:val="00B439F1"/>
    <w:rsid w:val="00B445C1"/>
    <w:rsid w:val="00B44EFA"/>
    <w:rsid w:val="00B45DC0"/>
    <w:rsid w:val="00B478C5"/>
    <w:rsid w:val="00B504B8"/>
    <w:rsid w:val="00B50744"/>
    <w:rsid w:val="00B50C32"/>
    <w:rsid w:val="00B53B25"/>
    <w:rsid w:val="00B53DD0"/>
    <w:rsid w:val="00B54043"/>
    <w:rsid w:val="00B54395"/>
    <w:rsid w:val="00B5453B"/>
    <w:rsid w:val="00B54BC2"/>
    <w:rsid w:val="00B5558E"/>
    <w:rsid w:val="00B560A2"/>
    <w:rsid w:val="00B572D0"/>
    <w:rsid w:val="00B579B1"/>
    <w:rsid w:val="00B579C0"/>
    <w:rsid w:val="00B601CB"/>
    <w:rsid w:val="00B60359"/>
    <w:rsid w:val="00B60D8D"/>
    <w:rsid w:val="00B612BC"/>
    <w:rsid w:val="00B617D1"/>
    <w:rsid w:val="00B618D2"/>
    <w:rsid w:val="00B62369"/>
    <w:rsid w:val="00B62AA3"/>
    <w:rsid w:val="00B63545"/>
    <w:rsid w:val="00B6559D"/>
    <w:rsid w:val="00B65D2D"/>
    <w:rsid w:val="00B675CC"/>
    <w:rsid w:val="00B678F1"/>
    <w:rsid w:val="00B67F75"/>
    <w:rsid w:val="00B71FE2"/>
    <w:rsid w:val="00B72E08"/>
    <w:rsid w:val="00B731AD"/>
    <w:rsid w:val="00B7326C"/>
    <w:rsid w:val="00B738B7"/>
    <w:rsid w:val="00B74F13"/>
    <w:rsid w:val="00B74F1D"/>
    <w:rsid w:val="00B75865"/>
    <w:rsid w:val="00B767EF"/>
    <w:rsid w:val="00B7763E"/>
    <w:rsid w:val="00B77BCB"/>
    <w:rsid w:val="00B8001F"/>
    <w:rsid w:val="00B805A0"/>
    <w:rsid w:val="00B812E6"/>
    <w:rsid w:val="00B83F5B"/>
    <w:rsid w:val="00B844D6"/>
    <w:rsid w:val="00B84A2C"/>
    <w:rsid w:val="00B87A49"/>
    <w:rsid w:val="00B90A1A"/>
    <w:rsid w:val="00B90FDD"/>
    <w:rsid w:val="00B91185"/>
    <w:rsid w:val="00B925BD"/>
    <w:rsid w:val="00B92BF9"/>
    <w:rsid w:val="00B9380C"/>
    <w:rsid w:val="00B93A25"/>
    <w:rsid w:val="00B941B9"/>
    <w:rsid w:val="00B957C4"/>
    <w:rsid w:val="00B95AC4"/>
    <w:rsid w:val="00B95BD0"/>
    <w:rsid w:val="00B95F8A"/>
    <w:rsid w:val="00B96755"/>
    <w:rsid w:val="00B970F7"/>
    <w:rsid w:val="00BA0363"/>
    <w:rsid w:val="00BA1B06"/>
    <w:rsid w:val="00BA2C11"/>
    <w:rsid w:val="00BA2D3A"/>
    <w:rsid w:val="00BA324F"/>
    <w:rsid w:val="00BA32A7"/>
    <w:rsid w:val="00BA34C5"/>
    <w:rsid w:val="00BA394B"/>
    <w:rsid w:val="00BA4142"/>
    <w:rsid w:val="00BA4507"/>
    <w:rsid w:val="00BA4701"/>
    <w:rsid w:val="00BA48B7"/>
    <w:rsid w:val="00BA63F3"/>
    <w:rsid w:val="00BA7261"/>
    <w:rsid w:val="00BA73A9"/>
    <w:rsid w:val="00BB06A5"/>
    <w:rsid w:val="00BB0788"/>
    <w:rsid w:val="00BB0D9C"/>
    <w:rsid w:val="00BB146C"/>
    <w:rsid w:val="00BB2417"/>
    <w:rsid w:val="00BB38F1"/>
    <w:rsid w:val="00BB3B46"/>
    <w:rsid w:val="00BB5CEF"/>
    <w:rsid w:val="00BB6BFB"/>
    <w:rsid w:val="00BB6D61"/>
    <w:rsid w:val="00BB7A2A"/>
    <w:rsid w:val="00BB7C27"/>
    <w:rsid w:val="00BC1627"/>
    <w:rsid w:val="00BC17B1"/>
    <w:rsid w:val="00BC2282"/>
    <w:rsid w:val="00BC54A5"/>
    <w:rsid w:val="00BC5A71"/>
    <w:rsid w:val="00BC606F"/>
    <w:rsid w:val="00BC60DE"/>
    <w:rsid w:val="00BD0F18"/>
    <w:rsid w:val="00BD1B88"/>
    <w:rsid w:val="00BD2B14"/>
    <w:rsid w:val="00BD2EBB"/>
    <w:rsid w:val="00BD2F1A"/>
    <w:rsid w:val="00BD3D81"/>
    <w:rsid w:val="00BD4E6F"/>
    <w:rsid w:val="00BD636A"/>
    <w:rsid w:val="00BD6CCC"/>
    <w:rsid w:val="00BD7569"/>
    <w:rsid w:val="00BD7829"/>
    <w:rsid w:val="00BD7AC3"/>
    <w:rsid w:val="00BE05A3"/>
    <w:rsid w:val="00BE0D72"/>
    <w:rsid w:val="00BE166C"/>
    <w:rsid w:val="00BE1B02"/>
    <w:rsid w:val="00BE2B34"/>
    <w:rsid w:val="00BE2FFC"/>
    <w:rsid w:val="00BE3142"/>
    <w:rsid w:val="00BE35EC"/>
    <w:rsid w:val="00BE3E76"/>
    <w:rsid w:val="00BE417D"/>
    <w:rsid w:val="00BE4CA4"/>
    <w:rsid w:val="00BE671D"/>
    <w:rsid w:val="00BE73F8"/>
    <w:rsid w:val="00BE76A7"/>
    <w:rsid w:val="00BE7D8D"/>
    <w:rsid w:val="00BF02D5"/>
    <w:rsid w:val="00BF0643"/>
    <w:rsid w:val="00BF1D38"/>
    <w:rsid w:val="00BF3242"/>
    <w:rsid w:val="00BF38A4"/>
    <w:rsid w:val="00BF3B60"/>
    <w:rsid w:val="00BF483D"/>
    <w:rsid w:val="00BF48C2"/>
    <w:rsid w:val="00BF51A0"/>
    <w:rsid w:val="00BF6361"/>
    <w:rsid w:val="00BF775B"/>
    <w:rsid w:val="00BF792B"/>
    <w:rsid w:val="00C00C49"/>
    <w:rsid w:val="00C01AEB"/>
    <w:rsid w:val="00C01E3F"/>
    <w:rsid w:val="00C02B1E"/>
    <w:rsid w:val="00C03249"/>
    <w:rsid w:val="00C03A8F"/>
    <w:rsid w:val="00C04B05"/>
    <w:rsid w:val="00C04EE7"/>
    <w:rsid w:val="00C058BB"/>
    <w:rsid w:val="00C05934"/>
    <w:rsid w:val="00C068A7"/>
    <w:rsid w:val="00C075D8"/>
    <w:rsid w:val="00C07850"/>
    <w:rsid w:val="00C10208"/>
    <w:rsid w:val="00C11231"/>
    <w:rsid w:val="00C124BC"/>
    <w:rsid w:val="00C12893"/>
    <w:rsid w:val="00C12E86"/>
    <w:rsid w:val="00C13B2D"/>
    <w:rsid w:val="00C14D38"/>
    <w:rsid w:val="00C1589C"/>
    <w:rsid w:val="00C164CE"/>
    <w:rsid w:val="00C16861"/>
    <w:rsid w:val="00C173C7"/>
    <w:rsid w:val="00C2029B"/>
    <w:rsid w:val="00C20DD6"/>
    <w:rsid w:val="00C21DBE"/>
    <w:rsid w:val="00C21F68"/>
    <w:rsid w:val="00C2210E"/>
    <w:rsid w:val="00C2223D"/>
    <w:rsid w:val="00C23603"/>
    <w:rsid w:val="00C2470B"/>
    <w:rsid w:val="00C25EA5"/>
    <w:rsid w:val="00C25EA8"/>
    <w:rsid w:val="00C26419"/>
    <w:rsid w:val="00C26579"/>
    <w:rsid w:val="00C26726"/>
    <w:rsid w:val="00C30422"/>
    <w:rsid w:val="00C30A7F"/>
    <w:rsid w:val="00C3211D"/>
    <w:rsid w:val="00C3257D"/>
    <w:rsid w:val="00C327CB"/>
    <w:rsid w:val="00C34C53"/>
    <w:rsid w:val="00C35156"/>
    <w:rsid w:val="00C3527C"/>
    <w:rsid w:val="00C35890"/>
    <w:rsid w:val="00C3589E"/>
    <w:rsid w:val="00C36494"/>
    <w:rsid w:val="00C41535"/>
    <w:rsid w:val="00C43284"/>
    <w:rsid w:val="00C433D1"/>
    <w:rsid w:val="00C44102"/>
    <w:rsid w:val="00C442A2"/>
    <w:rsid w:val="00C4454D"/>
    <w:rsid w:val="00C4533A"/>
    <w:rsid w:val="00C45ABC"/>
    <w:rsid w:val="00C45B02"/>
    <w:rsid w:val="00C45E5E"/>
    <w:rsid w:val="00C463C2"/>
    <w:rsid w:val="00C47518"/>
    <w:rsid w:val="00C510A9"/>
    <w:rsid w:val="00C515B6"/>
    <w:rsid w:val="00C521F7"/>
    <w:rsid w:val="00C523C4"/>
    <w:rsid w:val="00C526F6"/>
    <w:rsid w:val="00C52741"/>
    <w:rsid w:val="00C534BA"/>
    <w:rsid w:val="00C540B2"/>
    <w:rsid w:val="00C54C91"/>
    <w:rsid w:val="00C55017"/>
    <w:rsid w:val="00C5523A"/>
    <w:rsid w:val="00C557AD"/>
    <w:rsid w:val="00C566B0"/>
    <w:rsid w:val="00C56BBD"/>
    <w:rsid w:val="00C57572"/>
    <w:rsid w:val="00C6133E"/>
    <w:rsid w:val="00C62877"/>
    <w:rsid w:val="00C639C9"/>
    <w:rsid w:val="00C63B48"/>
    <w:rsid w:val="00C63CEB"/>
    <w:rsid w:val="00C656FA"/>
    <w:rsid w:val="00C65A25"/>
    <w:rsid w:val="00C66086"/>
    <w:rsid w:val="00C66149"/>
    <w:rsid w:val="00C661F8"/>
    <w:rsid w:val="00C663BE"/>
    <w:rsid w:val="00C665AF"/>
    <w:rsid w:val="00C67522"/>
    <w:rsid w:val="00C712D4"/>
    <w:rsid w:val="00C73FC4"/>
    <w:rsid w:val="00C74905"/>
    <w:rsid w:val="00C756C8"/>
    <w:rsid w:val="00C7585F"/>
    <w:rsid w:val="00C75BFD"/>
    <w:rsid w:val="00C760A8"/>
    <w:rsid w:val="00C7614D"/>
    <w:rsid w:val="00C76F30"/>
    <w:rsid w:val="00C80246"/>
    <w:rsid w:val="00C80259"/>
    <w:rsid w:val="00C81432"/>
    <w:rsid w:val="00C81B89"/>
    <w:rsid w:val="00C83299"/>
    <w:rsid w:val="00C83C63"/>
    <w:rsid w:val="00C84357"/>
    <w:rsid w:val="00C84AE4"/>
    <w:rsid w:val="00C84B4F"/>
    <w:rsid w:val="00C84EF6"/>
    <w:rsid w:val="00C85384"/>
    <w:rsid w:val="00C8690F"/>
    <w:rsid w:val="00C871ED"/>
    <w:rsid w:val="00C879B3"/>
    <w:rsid w:val="00C87A86"/>
    <w:rsid w:val="00C9016E"/>
    <w:rsid w:val="00C91B7E"/>
    <w:rsid w:val="00C91FAA"/>
    <w:rsid w:val="00C931DF"/>
    <w:rsid w:val="00C94053"/>
    <w:rsid w:val="00C9589E"/>
    <w:rsid w:val="00CA0ACC"/>
    <w:rsid w:val="00CA0F49"/>
    <w:rsid w:val="00CA47C4"/>
    <w:rsid w:val="00CA504C"/>
    <w:rsid w:val="00CA54DD"/>
    <w:rsid w:val="00CA5904"/>
    <w:rsid w:val="00CA6397"/>
    <w:rsid w:val="00CA6F68"/>
    <w:rsid w:val="00CB078E"/>
    <w:rsid w:val="00CB158F"/>
    <w:rsid w:val="00CB1987"/>
    <w:rsid w:val="00CB1A55"/>
    <w:rsid w:val="00CB1CA8"/>
    <w:rsid w:val="00CB28AF"/>
    <w:rsid w:val="00CB29F1"/>
    <w:rsid w:val="00CB363B"/>
    <w:rsid w:val="00CB3B77"/>
    <w:rsid w:val="00CB57CC"/>
    <w:rsid w:val="00CB5B02"/>
    <w:rsid w:val="00CB5F7F"/>
    <w:rsid w:val="00CB64E4"/>
    <w:rsid w:val="00CB6630"/>
    <w:rsid w:val="00CB6945"/>
    <w:rsid w:val="00CB71EA"/>
    <w:rsid w:val="00CB72A1"/>
    <w:rsid w:val="00CB7610"/>
    <w:rsid w:val="00CB7C99"/>
    <w:rsid w:val="00CB7D3B"/>
    <w:rsid w:val="00CC077A"/>
    <w:rsid w:val="00CC1AE2"/>
    <w:rsid w:val="00CC2154"/>
    <w:rsid w:val="00CC34EA"/>
    <w:rsid w:val="00CC4FCB"/>
    <w:rsid w:val="00CC51BE"/>
    <w:rsid w:val="00CC627C"/>
    <w:rsid w:val="00CC6D4E"/>
    <w:rsid w:val="00CC75A6"/>
    <w:rsid w:val="00CC7D20"/>
    <w:rsid w:val="00CD18A1"/>
    <w:rsid w:val="00CD1B90"/>
    <w:rsid w:val="00CD2726"/>
    <w:rsid w:val="00CD27BE"/>
    <w:rsid w:val="00CD30C7"/>
    <w:rsid w:val="00CD3978"/>
    <w:rsid w:val="00CD3EC6"/>
    <w:rsid w:val="00CD3ED1"/>
    <w:rsid w:val="00CD4AB0"/>
    <w:rsid w:val="00CD4BFE"/>
    <w:rsid w:val="00CD6832"/>
    <w:rsid w:val="00CD6BEA"/>
    <w:rsid w:val="00CD7211"/>
    <w:rsid w:val="00CE020F"/>
    <w:rsid w:val="00CE0D22"/>
    <w:rsid w:val="00CE2607"/>
    <w:rsid w:val="00CE3A18"/>
    <w:rsid w:val="00CE3DA3"/>
    <w:rsid w:val="00CE3F59"/>
    <w:rsid w:val="00CE444A"/>
    <w:rsid w:val="00CE47F4"/>
    <w:rsid w:val="00CE523D"/>
    <w:rsid w:val="00CE59AE"/>
    <w:rsid w:val="00CE63DA"/>
    <w:rsid w:val="00CE6844"/>
    <w:rsid w:val="00CE6B23"/>
    <w:rsid w:val="00CE6E62"/>
    <w:rsid w:val="00CF00FF"/>
    <w:rsid w:val="00CF0171"/>
    <w:rsid w:val="00CF167C"/>
    <w:rsid w:val="00CF2483"/>
    <w:rsid w:val="00CF2A88"/>
    <w:rsid w:val="00CF31B5"/>
    <w:rsid w:val="00CF3367"/>
    <w:rsid w:val="00CF392E"/>
    <w:rsid w:val="00CF4F68"/>
    <w:rsid w:val="00CF5353"/>
    <w:rsid w:val="00CF53BC"/>
    <w:rsid w:val="00CF5E10"/>
    <w:rsid w:val="00CF6C38"/>
    <w:rsid w:val="00CF7728"/>
    <w:rsid w:val="00D00591"/>
    <w:rsid w:val="00D00E4D"/>
    <w:rsid w:val="00D022D6"/>
    <w:rsid w:val="00D02613"/>
    <w:rsid w:val="00D02A57"/>
    <w:rsid w:val="00D03128"/>
    <w:rsid w:val="00D037F4"/>
    <w:rsid w:val="00D038CA"/>
    <w:rsid w:val="00D03996"/>
    <w:rsid w:val="00D0474A"/>
    <w:rsid w:val="00D04BF0"/>
    <w:rsid w:val="00D052E3"/>
    <w:rsid w:val="00D069E5"/>
    <w:rsid w:val="00D07305"/>
    <w:rsid w:val="00D07818"/>
    <w:rsid w:val="00D07D75"/>
    <w:rsid w:val="00D11EFC"/>
    <w:rsid w:val="00D1235C"/>
    <w:rsid w:val="00D1273B"/>
    <w:rsid w:val="00D12F9C"/>
    <w:rsid w:val="00D1341A"/>
    <w:rsid w:val="00D1415C"/>
    <w:rsid w:val="00D14E2E"/>
    <w:rsid w:val="00D1599C"/>
    <w:rsid w:val="00D16C3F"/>
    <w:rsid w:val="00D20D10"/>
    <w:rsid w:val="00D218D7"/>
    <w:rsid w:val="00D2193E"/>
    <w:rsid w:val="00D21CB9"/>
    <w:rsid w:val="00D21D21"/>
    <w:rsid w:val="00D22B58"/>
    <w:rsid w:val="00D2322E"/>
    <w:rsid w:val="00D24B15"/>
    <w:rsid w:val="00D24DBB"/>
    <w:rsid w:val="00D25CCD"/>
    <w:rsid w:val="00D264CF"/>
    <w:rsid w:val="00D278AB"/>
    <w:rsid w:val="00D27D8A"/>
    <w:rsid w:val="00D27DE1"/>
    <w:rsid w:val="00D30D9E"/>
    <w:rsid w:val="00D3176D"/>
    <w:rsid w:val="00D3445B"/>
    <w:rsid w:val="00D34C41"/>
    <w:rsid w:val="00D34D8F"/>
    <w:rsid w:val="00D35B88"/>
    <w:rsid w:val="00D36244"/>
    <w:rsid w:val="00D365BB"/>
    <w:rsid w:val="00D41375"/>
    <w:rsid w:val="00D42E7B"/>
    <w:rsid w:val="00D44E12"/>
    <w:rsid w:val="00D46EDD"/>
    <w:rsid w:val="00D474EF"/>
    <w:rsid w:val="00D47730"/>
    <w:rsid w:val="00D50BB3"/>
    <w:rsid w:val="00D50CC7"/>
    <w:rsid w:val="00D51342"/>
    <w:rsid w:val="00D51AFC"/>
    <w:rsid w:val="00D51B8D"/>
    <w:rsid w:val="00D5290C"/>
    <w:rsid w:val="00D529C5"/>
    <w:rsid w:val="00D53832"/>
    <w:rsid w:val="00D53AF1"/>
    <w:rsid w:val="00D54DF3"/>
    <w:rsid w:val="00D554D1"/>
    <w:rsid w:val="00D55759"/>
    <w:rsid w:val="00D55A5A"/>
    <w:rsid w:val="00D563AA"/>
    <w:rsid w:val="00D60327"/>
    <w:rsid w:val="00D61023"/>
    <w:rsid w:val="00D61581"/>
    <w:rsid w:val="00D61BB0"/>
    <w:rsid w:val="00D6212C"/>
    <w:rsid w:val="00D62657"/>
    <w:rsid w:val="00D639C2"/>
    <w:rsid w:val="00D63DC2"/>
    <w:rsid w:val="00D64083"/>
    <w:rsid w:val="00D64F48"/>
    <w:rsid w:val="00D66AFD"/>
    <w:rsid w:val="00D66E25"/>
    <w:rsid w:val="00D66E74"/>
    <w:rsid w:val="00D67EAE"/>
    <w:rsid w:val="00D70B85"/>
    <w:rsid w:val="00D716BE"/>
    <w:rsid w:val="00D72A80"/>
    <w:rsid w:val="00D72F64"/>
    <w:rsid w:val="00D734CE"/>
    <w:rsid w:val="00D73D67"/>
    <w:rsid w:val="00D744C3"/>
    <w:rsid w:val="00D74B56"/>
    <w:rsid w:val="00D752E4"/>
    <w:rsid w:val="00D7541D"/>
    <w:rsid w:val="00D76669"/>
    <w:rsid w:val="00D76815"/>
    <w:rsid w:val="00D779D4"/>
    <w:rsid w:val="00D77B47"/>
    <w:rsid w:val="00D77E02"/>
    <w:rsid w:val="00D808AA"/>
    <w:rsid w:val="00D82C98"/>
    <w:rsid w:val="00D8357C"/>
    <w:rsid w:val="00D8392C"/>
    <w:rsid w:val="00D83958"/>
    <w:rsid w:val="00D84F70"/>
    <w:rsid w:val="00D8548E"/>
    <w:rsid w:val="00D859E4"/>
    <w:rsid w:val="00D85B3B"/>
    <w:rsid w:val="00D85C19"/>
    <w:rsid w:val="00D85C65"/>
    <w:rsid w:val="00D85D6B"/>
    <w:rsid w:val="00D86A64"/>
    <w:rsid w:val="00D900F3"/>
    <w:rsid w:val="00D93656"/>
    <w:rsid w:val="00D94099"/>
    <w:rsid w:val="00D9470D"/>
    <w:rsid w:val="00D9482F"/>
    <w:rsid w:val="00D94E24"/>
    <w:rsid w:val="00D960A9"/>
    <w:rsid w:val="00D96B15"/>
    <w:rsid w:val="00D97604"/>
    <w:rsid w:val="00D97B76"/>
    <w:rsid w:val="00DA07BA"/>
    <w:rsid w:val="00DA0BD5"/>
    <w:rsid w:val="00DA0EDC"/>
    <w:rsid w:val="00DA1DE5"/>
    <w:rsid w:val="00DA25A5"/>
    <w:rsid w:val="00DA338F"/>
    <w:rsid w:val="00DA36EA"/>
    <w:rsid w:val="00DA3C3A"/>
    <w:rsid w:val="00DA3E73"/>
    <w:rsid w:val="00DA46EE"/>
    <w:rsid w:val="00DA50E9"/>
    <w:rsid w:val="00DA61F4"/>
    <w:rsid w:val="00DA65E3"/>
    <w:rsid w:val="00DA686F"/>
    <w:rsid w:val="00DA6FA6"/>
    <w:rsid w:val="00DA7398"/>
    <w:rsid w:val="00DA7C99"/>
    <w:rsid w:val="00DB1199"/>
    <w:rsid w:val="00DB1912"/>
    <w:rsid w:val="00DB20DE"/>
    <w:rsid w:val="00DB3B3B"/>
    <w:rsid w:val="00DB5E8F"/>
    <w:rsid w:val="00DB69B6"/>
    <w:rsid w:val="00DB6BEF"/>
    <w:rsid w:val="00DB773B"/>
    <w:rsid w:val="00DC0F04"/>
    <w:rsid w:val="00DC1704"/>
    <w:rsid w:val="00DC2BF0"/>
    <w:rsid w:val="00DC33B1"/>
    <w:rsid w:val="00DC42EB"/>
    <w:rsid w:val="00DC458B"/>
    <w:rsid w:val="00DC4CA6"/>
    <w:rsid w:val="00DC6F70"/>
    <w:rsid w:val="00DD00E7"/>
    <w:rsid w:val="00DD0529"/>
    <w:rsid w:val="00DD22EC"/>
    <w:rsid w:val="00DD25DA"/>
    <w:rsid w:val="00DD3211"/>
    <w:rsid w:val="00DD38FC"/>
    <w:rsid w:val="00DD3E64"/>
    <w:rsid w:val="00DD3E73"/>
    <w:rsid w:val="00DD3EEF"/>
    <w:rsid w:val="00DD5126"/>
    <w:rsid w:val="00DD562E"/>
    <w:rsid w:val="00DD69C8"/>
    <w:rsid w:val="00DD7926"/>
    <w:rsid w:val="00DD7F78"/>
    <w:rsid w:val="00DE0750"/>
    <w:rsid w:val="00DE24B6"/>
    <w:rsid w:val="00DE2F70"/>
    <w:rsid w:val="00DE4D0F"/>
    <w:rsid w:val="00DE65E5"/>
    <w:rsid w:val="00DF0AEC"/>
    <w:rsid w:val="00DF12EA"/>
    <w:rsid w:val="00DF148C"/>
    <w:rsid w:val="00DF1ABF"/>
    <w:rsid w:val="00DF1E05"/>
    <w:rsid w:val="00DF392D"/>
    <w:rsid w:val="00DF3B9A"/>
    <w:rsid w:val="00DF4593"/>
    <w:rsid w:val="00DF4A85"/>
    <w:rsid w:val="00DF4C75"/>
    <w:rsid w:val="00DF549A"/>
    <w:rsid w:val="00DF5783"/>
    <w:rsid w:val="00DF7128"/>
    <w:rsid w:val="00E01595"/>
    <w:rsid w:val="00E02FD1"/>
    <w:rsid w:val="00E048EB"/>
    <w:rsid w:val="00E052AE"/>
    <w:rsid w:val="00E05492"/>
    <w:rsid w:val="00E05DEB"/>
    <w:rsid w:val="00E05E83"/>
    <w:rsid w:val="00E0695F"/>
    <w:rsid w:val="00E06A29"/>
    <w:rsid w:val="00E10501"/>
    <w:rsid w:val="00E10A09"/>
    <w:rsid w:val="00E11E13"/>
    <w:rsid w:val="00E12531"/>
    <w:rsid w:val="00E13649"/>
    <w:rsid w:val="00E14D35"/>
    <w:rsid w:val="00E154B6"/>
    <w:rsid w:val="00E17BAB"/>
    <w:rsid w:val="00E217C2"/>
    <w:rsid w:val="00E21EAD"/>
    <w:rsid w:val="00E222FE"/>
    <w:rsid w:val="00E228B7"/>
    <w:rsid w:val="00E23CF4"/>
    <w:rsid w:val="00E24062"/>
    <w:rsid w:val="00E24C05"/>
    <w:rsid w:val="00E25754"/>
    <w:rsid w:val="00E2578A"/>
    <w:rsid w:val="00E25AC3"/>
    <w:rsid w:val="00E26EEE"/>
    <w:rsid w:val="00E26F69"/>
    <w:rsid w:val="00E273F6"/>
    <w:rsid w:val="00E27578"/>
    <w:rsid w:val="00E31878"/>
    <w:rsid w:val="00E3263D"/>
    <w:rsid w:val="00E32BD1"/>
    <w:rsid w:val="00E32F70"/>
    <w:rsid w:val="00E34295"/>
    <w:rsid w:val="00E343D9"/>
    <w:rsid w:val="00E34BB7"/>
    <w:rsid w:val="00E35F27"/>
    <w:rsid w:val="00E3647F"/>
    <w:rsid w:val="00E37F17"/>
    <w:rsid w:val="00E40BEC"/>
    <w:rsid w:val="00E419AD"/>
    <w:rsid w:val="00E41DF1"/>
    <w:rsid w:val="00E42DF7"/>
    <w:rsid w:val="00E43162"/>
    <w:rsid w:val="00E435E9"/>
    <w:rsid w:val="00E43DC4"/>
    <w:rsid w:val="00E4409E"/>
    <w:rsid w:val="00E44C16"/>
    <w:rsid w:val="00E45721"/>
    <w:rsid w:val="00E46E4E"/>
    <w:rsid w:val="00E47249"/>
    <w:rsid w:val="00E47948"/>
    <w:rsid w:val="00E51492"/>
    <w:rsid w:val="00E521E4"/>
    <w:rsid w:val="00E535EE"/>
    <w:rsid w:val="00E543BF"/>
    <w:rsid w:val="00E5443E"/>
    <w:rsid w:val="00E54760"/>
    <w:rsid w:val="00E54D85"/>
    <w:rsid w:val="00E5530D"/>
    <w:rsid w:val="00E559A9"/>
    <w:rsid w:val="00E579CD"/>
    <w:rsid w:val="00E60AB4"/>
    <w:rsid w:val="00E60BC2"/>
    <w:rsid w:val="00E60F5E"/>
    <w:rsid w:val="00E653B0"/>
    <w:rsid w:val="00E655C7"/>
    <w:rsid w:val="00E65DE7"/>
    <w:rsid w:val="00E65EBA"/>
    <w:rsid w:val="00E67DD5"/>
    <w:rsid w:val="00E70E49"/>
    <w:rsid w:val="00E718CE"/>
    <w:rsid w:val="00E72605"/>
    <w:rsid w:val="00E72BA6"/>
    <w:rsid w:val="00E739CE"/>
    <w:rsid w:val="00E77FC8"/>
    <w:rsid w:val="00E8074B"/>
    <w:rsid w:val="00E82CC2"/>
    <w:rsid w:val="00E832C2"/>
    <w:rsid w:val="00E84A1C"/>
    <w:rsid w:val="00E850D1"/>
    <w:rsid w:val="00E8534E"/>
    <w:rsid w:val="00E85CB4"/>
    <w:rsid w:val="00E872C9"/>
    <w:rsid w:val="00E90359"/>
    <w:rsid w:val="00E90825"/>
    <w:rsid w:val="00E90B85"/>
    <w:rsid w:val="00E90E37"/>
    <w:rsid w:val="00E92B37"/>
    <w:rsid w:val="00E9475C"/>
    <w:rsid w:val="00E94CB8"/>
    <w:rsid w:val="00EA10AB"/>
    <w:rsid w:val="00EA1516"/>
    <w:rsid w:val="00EA1E66"/>
    <w:rsid w:val="00EA1EA1"/>
    <w:rsid w:val="00EA26B4"/>
    <w:rsid w:val="00EA2B7D"/>
    <w:rsid w:val="00EA2E63"/>
    <w:rsid w:val="00EA2FF2"/>
    <w:rsid w:val="00EA30E4"/>
    <w:rsid w:val="00EA34AC"/>
    <w:rsid w:val="00EA4571"/>
    <w:rsid w:val="00EA54BF"/>
    <w:rsid w:val="00EA6038"/>
    <w:rsid w:val="00EA7AA8"/>
    <w:rsid w:val="00EB084E"/>
    <w:rsid w:val="00EB102A"/>
    <w:rsid w:val="00EB129F"/>
    <w:rsid w:val="00EB19C6"/>
    <w:rsid w:val="00EB226A"/>
    <w:rsid w:val="00EB2705"/>
    <w:rsid w:val="00EB2A46"/>
    <w:rsid w:val="00EB441A"/>
    <w:rsid w:val="00EB4CAE"/>
    <w:rsid w:val="00EB56AA"/>
    <w:rsid w:val="00EB60E8"/>
    <w:rsid w:val="00EB68A3"/>
    <w:rsid w:val="00EB7CD1"/>
    <w:rsid w:val="00EC00F3"/>
    <w:rsid w:val="00EC0B91"/>
    <w:rsid w:val="00EC1AE5"/>
    <w:rsid w:val="00EC289A"/>
    <w:rsid w:val="00EC2E66"/>
    <w:rsid w:val="00EC4C32"/>
    <w:rsid w:val="00EC5CCD"/>
    <w:rsid w:val="00EC6871"/>
    <w:rsid w:val="00EC7E96"/>
    <w:rsid w:val="00ED125E"/>
    <w:rsid w:val="00ED16F4"/>
    <w:rsid w:val="00ED3A98"/>
    <w:rsid w:val="00ED4AF0"/>
    <w:rsid w:val="00ED63AC"/>
    <w:rsid w:val="00ED6F0C"/>
    <w:rsid w:val="00ED7EAB"/>
    <w:rsid w:val="00EE1624"/>
    <w:rsid w:val="00EE1DE8"/>
    <w:rsid w:val="00EE25A1"/>
    <w:rsid w:val="00EE296B"/>
    <w:rsid w:val="00EE2D05"/>
    <w:rsid w:val="00EE347A"/>
    <w:rsid w:val="00EE368A"/>
    <w:rsid w:val="00EE3A04"/>
    <w:rsid w:val="00EE41D3"/>
    <w:rsid w:val="00EE5D2B"/>
    <w:rsid w:val="00EF0EB4"/>
    <w:rsid w:val="00EF11F5"/>
    <w:rsid w:val="00EF1A4A"/>
    <w:rsid w:val="00EF1B52"/>
    <w:rsid w:val="00EF20DF"/>
    <w:rsid w:val="00EF30BB"/>
    <w:rsid w:val="00EF3192"/>
    <w:rsid w:val="00EF385C"/>
    <w:rsid w:val="00EF3B54"/>
    <w:rsid w:val="00EF4111"/>
    <w:rsid w:val="00EF41A2"/>
    <w:rsid w:val="00EF4CA2"/>
    <w:rsid w:val="00EF4EE7"/>
    <w:rsid w:val="00EF518B"/>
    <w:rsid w:val="00EF54CF"/>
    <w:rsid w:val="00EF576F"/>
    <w:rsid w:val="00EF6548"/>
    <w:rsid w:val="00EF6A43"/>
    <w:rsid w:val="00EF6B45"/>
    <w:rsid w:val="00EF6F13"/>
    <w:rsid w:val="00EF7C12"/>
    <w:rsid w:val="00F00663"/>
    <w:rsid w:val="00F00CC4"/>
    <w:rsid w:val="00F01179"/>
    <w:rsid w:val="00F012EE"/>
    <w:rsid w:val="00F0203E"/>
    <w:rsid w:val="00F029CF"/>
    <w:rsid w:val="00F03823"/>
    <w:rsid w:val="00F03BA2"/>
    <w:rsid w:val="00F04749"/>
    <w:rsid w:val="00F04905"/>
    <w:rsid w:val="00F0503C"/>
    <w:rsid w:val="00F05189"/>
    <w:rsid w:val="00F054F2"/>
    <w:rsid w:val="00F067BE"/>
    <w:rsid w:val="00F07E38"/>
    <w:rsid w:val="00F10B73"/>
    <w:rsid w:val="00F10F88"/>
    <w:rsid w:val="00F110CE"/>
    <w:rsid w:val="00F11EE0"/>
    <w:rsid w:val="00F122C7"/>
    <w:rsid w:val="00F126DC"/>
    <w:rsid w:val="00F13CB2"/>
    <w:rsid w:val="00F1446D"/>
    <w:rsid w:val="00F14C54"/>
    <w:rsid w:val="00F1532B"/>
    <w:rsid w:val="00F15706"/>
    <w:rsid w:val="00F17F03"/>
    <w:rsid w:val="00F20160"/>
    <w:rsid w:val="00F22955"/>
    <w:rsid w:val="00F22B2C"/>
    <w:rsid w:val="00F22C2C"/>
    <w:rsid w:val="00F22C7D"/>
    <w:rsid w:val="00F232ED"/>
    <w:rsid w:val="00F235E2"/>
    <w:rsid w:val="00F24DE7"/>
    <w:rsid w:val="00F25CEB"/>
    <w:rsid w:val="00F26658"/>
    <w:rsid w:val="00F27F65"/>
    <w:rsid w:val="00F30849"/>
    <w:rsid w:val="00F30E8A"/>
    <w:rsid w:val="00F322A2"/>
    <w:rsid w:val="00F335AE"/>
    <w:rsid w:val="00F33A14"/>
    <w:rsid w:val="00F3417D"/>
    <w:rsid w:val="00F349DF"/>
    <w:rsid w:val="00F3597A"/>
    <w:rsid w:val="00F35B3C"/>
    <w:rsid w:val="00F40968"/>
    <w:rsid w:val="00F40A71"/>
    <w:rsid w:val="00F42115"/>
    <w:rsid w:val="00F42851"/>
    <w:rsid w:val="00F43705"/>
    <w:rsid w:val="00F454B7"/>
    <w:rsid w:val="00F45F14"/>
    <w:rsid w:val="00F462AC"/>
    <w:rsid w:val="00F46B27"/>
    <w:rsid w:val="00F46DB1"/>
    <w:rsid w:val="00F500AC"/>
    <w:rsid w:val="00F50658"/>
    <w:rsid w:val="00F50C66"/>
    <w:rsid w:val="00F50D6F"/>
    <w:rsid w:val="00F5118F"/>
    <w:rsid w:val="00F51437"/>
    <w:rsid w:val="00F51D42"/>
    <w:rsid w:val="00F53A58"/>
    <w:rsid w:val="00F53BF0"/>
    <w:rsid w:val="00F53F6E"/>
    <w:rsid w:val="00F54D2B"/>
    <w:rsid w:val="00F55CC3"/>
    <w:rsid w:val="00F560FC"/>
    <w:rsid w:val="00F57269"/>
    <w:rsid w:val="00F57750"/>
    <w:rsid w:val="00F57B99"/>
    <w:rsid w:val="00F60FD4"/>
    <w:rsid w:val="00F61095"/>
    <w:rsid w:val="00F611FE"/>
    <w:rsid w:val="00F61780"/>
    <w:rsid w:val="00F62A39"/>
    <w:rsid w:val="00F633A5"/>
    <w:rsid w:val="00F64409"/>
    <w:rsid w:val="00F64FE9"/>
    <w:rsid w:val="00F659BD"/>
    <w:rsid w:val="00F65ADB"/>
    <w:rsid w:val="00F66C03"/>
    <w:rsid w:val="00F66F8F"/>
    <w:rsid w:val="00F67714"/>
    <w:rsid w:val="00F67B33"/>
    <w:rsid w:val="00F70E56"/>
    <w:rsid w:val="00F71E49"/>
    <w:rsid w:val="00F71FD8"/>
    <w:rsid w:val="00F7287D"/>
    <w:rsid w:val="00F74482"/>
    <w:rsid w:val="00F74827"/>
    <w:rsid w:val="00F74CD9"/>
    <w:rsid w:val="00F76700"/>
    <w:rsid w:val="00F76CCA"/>
    <w:rsid w:val="00F80268"/>
    <w:rsid w:val="00F80470"/>
    <w:rsid w:val="00F810BF"/>
    <w:rsid w:val="00F84333"/>
    <w:rsid w:val="00F84AE3"/>
    <w:rsid w:val="00F84F73"/>
    <w:rsid w:val="00F85207"/>
    <w:rsid w:val="00F85309"/>
    <w:rsid w:val="00F8612C"/>
    <w:rsid w:val="00F864F8"/>
    <w:rsid w:val="00F86CEB"/>
    <w:rsid w:val="00F87269"/>
    <w:rsid w:val="00F917A6"/>
    <w:rsid w:val="00F9220F"/>
    <w:rsid w:val="00F941E0"/>
    <w:rsid w:val="00F94CA1"/>
    <w:rsid w:val="00F96EDC"/>
    <w:rsid w:val="00F975FD"/>
    <w:rsid w:val="00FA0234"/>
    <w:rsid w:val="00FA2D75"/>
    <w:rsid w:val="00FA395E"/>
    <w:rsid w:val="00FA530A"/>
    <w:rsid w:val="00FA5CB0"/>
    <w:rsid w:val="00FA6E59"/>
    <w:rsid w:val="00FB1CB1"/>
    <w:rsid w:val="00FB2F93"/>
    <w:rsid w:val="00FB4317"/>
    <w:rsid w:val="00FB73ED"/>
    <w:rsid w:val="00FC0396"/>
    <w:rsid w:val="00FC0459"/>
    <w:rsid w:val="00FC0EC1"/>
    <w:rsid w:val="00FC148D"/>
    <w:rsid w:val="00FC2FCC"/>
    <w:rsid w:val="00FC3716"/>
    <w:rsid w:val="00FC39DF"/>
    <w:rsid w:val="00FC5106"/>
    <w:rsid w:val="00FC536D"/>
    <w:rsid w:val="00FC6717"/>
    <w:rsid w:val="00FC75BD"/>
    <w:rsid w:val="00FC75CE"/>
    <w:rsid w:val="00FD04DB"/>
    <w:rsid w:val="00FD1E18"/>
    <w:rsid w:val="00FD310B"/>
    <w:rsid w:val="00FD3118"/>
    <w:rsid w:val="00FD3643"/>
    <w:rsid w:val="00FD3C2F"/>
    <w:rsid w:val="00FD53E7"/>
    <w:rsid w:val="00FD609E"/>
    <w:rsid w:val="00FD6486"/>
    <w:rsid w:val="00FD70A6"/>
    <w:rsid w:val="00FE07B0"/>
    <w:rsid w:val="00FE1709"/>
    <w:rsid w:val="00FE1DC8"/>
    <w:rsid w:val="00FE329B"/>
    <w:rsid w:val="00FE3417"/>
    <w:rsid w:val="00FE34EA"/>
    <w:rsid w:val="00FE3696"/>
    <w:rsid w:val="00FE401B"/>
    <w:rsid w:val="00FE6727"/>
    <w:rsid w:val="00FE6959"/>
    <w:rsid w:val="00FE6F0C"/>
    <w:rsid w:val="00FE7784"/>
    <w:rsid w:val="00FF0002"/>
    <w:rsid w:val="00FF0294"/>
    <w:rsid w:val="00FF0F3C"/>
    <w:rsid w:val="00FF2E2B"/>
    <w:rsid w:val="00FF3B77"/>
    <w:rsid w:val="00FF5ADC"/>
    <w:rsid w:val="00FF6E45"/>
    <w:rsid w:val="012F5F9F"/>
    <w:rsid w:val="013A2793"/>
    <w:rsid w:val="01D07BCE"/>
    <w:rsid w:val="02522506"/>
    <w:rsid w:val="0258009C"/>
    <w:rsid w:val="026855A8"/>
    <w:rsid w:val="02710B10"/>
    <w:rsid w:val="028977A9"/>
    <w:rsid w:val="02D8515D"/>
    <w:rsid w:val="039147BE"/>
    <w:rsid w:val="03B15AAC"/>
    <w:rsid w:val="03BD5AE4"/>
    <w:rsid w:val="03D0778A"/>
    <w:rsid w:val="04642374"/>
    <w:rsid w:val="04871096"/>
    <w:rsid w:val="04982E80"/>
    <w:rsid w:val="054F4619"/>
    <w:rsid w:val="05A54A82"/>
    <w:rsid w:val="060D254D"/>
    <w:rsid w:val="06116FBF"/>
    <w:rsid w:val="065A6A52"/>
    <w:rsid w:val="06DF252C"/>
    <w:rsid w:val="070B3574"/>
    <w:rsid w:val="07660241"/>
    <w:rsid w:val="077D3BB2"/>
    <w:rsid w:val="07D127EB"/>
    <w:rsid w:val="07D2130B"/>
    <w:rsid w:val="07F01A92"/>
    <w:rsid w:val="0842793B"/>
    <w:rsid w:val="0900654C"/>
    <w:rsid w:val="09273A00"/>
    <w:rsid w:val="093C325B"/>
    <w:rsid w:val="099D186F"/>
    <w:rsid w:val="09EC0332"/>
    <w:rsid w:val="0A2C4392"/>
    <w:rsid w:val="0A726C45"/>
    <w:rsid w:val="0A7E037E"/>
    <w:rsid w:val="0AA3053D"/>
    <w:rsid w:val="0B1A7D9F"/>
    <w:rsid w:val="0B4D059A"/>
    <w:rsid w:val="0B921E55"/>
    <w:rsid w:val="0BAB503D"/>
    <w:rsid w:val="0BCD0F48"/>
    <w:rsid w:val="0BCF2D59"/>
    <w:rsid w:val="0BFC6504"/>
    <w:rsid w:val="0C4D783E"/>
    <w:rsid w:val="0C662A91"/>
    <w:rsid w:val="0C925184"/>
    <w:rsid w:val="0CA13776"/>
    <w:rsid w:val="0CD45946"/>
    <w:rsid w:val="0CD55848"/>
    <w:rsid w:val="0CDA7428"/>
    <w:rsid w:val="0CDC2ACA"/>
    <w:rsid w:val="0D512D50"/>
    <w:rsid w:val="0D776148"/>
    <w:rsid w:val="0DD26844"/>
    <w:rsid w:val="0DDF724E"/>
    <w:rsid w:val="0DEA1640"/>
    <w:rsid w:val="0E0F0093"/>
    <w:rsid w:val="0E341099"/>
    <w:rsid w:val="0E3C562A"/>
    <w:rsid w:val="0E3D736F"/>
    <w:rsid w:val="0E7166ED"/>
    <w:rsid w:val="0F0231C8"/>
    <w:rsid w:val="0F670FFA"/>
    <w:rsid w:val="0F682DE1"/>
    <w:rsid w:val="100B344B"/>
    <w:rsid w:val="10292584"/>
    <w:rsid w:val="106F0CF1"/>
    <w:rsid w:val="10A716A6"/>
    <w:rsid w:val="10A73ACB"/>
    <w:rsid w:val="10B721A4"/>
    <w:rsid w:val="10D53390"/>
    <w:rsid w:val="10F40A46"/>
    <w:rsid w:val="113A4C18"/>
    <w:rsid w:val="113D2012"/>
    <w:rsid w:val="117B2B3A"/>
    <w:rsid w:val="117E231A"/>
    <w:rsid w:val="11BC3BF1"/>
    <w:rsid w:val="11CF2E3C"/>
    <w:rsid w:val="11CF4E54"/>
    <w:rsid w:val="11D620C6"/>
    <w:rsid w:val="12542731"/>
    <w:rsid w:val="126E2D94"/>
    <w:rsid w:val="12917B56"/>
    <w:rsid w:val="1330287F"/>
    <w:rsid w:val="139C04FA"/>
    <w:rsid w:val="13CB3C21"/>
    <w:rsid w:val="13CD7D80"/>
    <w:rsid w:val="13D848BE"/>
    <w:rsid w:val="14055641"/>
    <w:rsid w:val="14061F8F"/>
    <w:rsid w:val="145E59C7"/>
    <w:rsid w:val="14AA7D1B"/>
    <w:rsid w:val="14B26303"/>
    <w:rsid w:val="14D31C63"/>
    <w:rsid w:val="14DC482B"/>
    <w:rsid w:val="14DD4974"/>
    <w:rsid w:val="15232816"/>
    <w:rsid w:val="154A5619"/>
    <w:rsid w:val="15C75223"/>
    <w:rsid w:val="15E72E94"/>
    <w:rsid w:val="1606130C"/>
    <w:rsid w:val="160B255A"/>
    <w:rsid w:val="161672D6"/>
    <w:rsid w:val="16275D1F"/>
    <w:rsid w:val="1649384E"/>
    <w:rsid w:val="1670161A"/>
    <w:rsid w:val="16842F58"/>
    <w:rsid w:val="168F004A"/>
    <w:rsid w:val="169C00D2"/>
    <w:rsid w:val="16BE3BF5"/>
    <w:rsid w:val="16BE7F69"/>
    <w:rsid w:val="17280647"/>
    <w:rsid w:val="17327C34"/>
    <w:rsid w:val="173D275A"/>
    <w:rsid w:val="17AE7B22"/>
    <w:rsid w:val="17E0712B"/>
    <w:rsid w:val="17EA3ADA"/>
    <w:rsid w:val="18433A9B"/>
    <w:rsid w:val="184764B0"/>
    <w:rsid w:val="185E26F3"/>
    <w:rsid w:val="186A174A"/>
    <w:rsid w:val="18774E71"/>
    <w:rsid w:val="18B93051"/>
    <w:rsid w:val="18C52D7E"/>
    <w:rsid w:val="18DC1486"/>
    <w:rsid w:val="18ED7253"/>
    <w:rsid w:val="19454C18"/>
    <w:rsid w:val="19B85808"/>
    <w:rsid w:val="19EF2A79"/>
    <w:rsid w:val="1A145DD3"/>
    <w:rsid w:val="1A1F35EA"/>
    <w:rsid w:val="1A6745A4"/>
    <w:rsid w:val="1A813FFA"/>
    <w:rsid w:val="1ABF39A0"/>
    <w:rsid w:val="1B210508"/>
    <w:rsid w:val="1B3C3BBD"/>
    <w:rsid w:val="1B461806"/>
    <w:rsid w:val="1B7802A0"/>
    <w:rsid w:val="1B797F1F"/>
    <w:rsid w:val="1BFE5A94"/>
    <w:rsid w:val="1C2779D7"/>
    <w:rsid w:val="1C5B6E5B"/>
    <w:rsid w:val="1C67754D"/>
    <w:rsid w:val="1C6C5D37"/>
    <w:rsid w:val="1C82170E"/>
    <w:rsid w:val="1C8A7FA3"/>
    <w:rsid w:val="1CBA6107"/>
    <w:rsid w:val="1CCA054B"/>
    <w:rsid w:val="1CDE6BB7"/>
    <w:rsid w:val="1D047E88"/>
    <w:rsid w:val="1D2F423F"/>
    <w:rsid w:val="1D3C4F19"/>
    <w:rsid w:val="1D5E5751"/>
    <w:rsid w:val="1D7C2064"/>
    <w:rsid w:val="1DBB0448"/>
    <w:rsid w:val="1E110AAE"/>
    <w:rsid w:val="1E9E545E"/>
    <w:rsid w:val="1EB17CCB"/>
    <w:rsid w:val="1F1B4903"/>
    <w:rsid w:val="1F41617E"/>
    <w:rsid w:val="1F6824C3"/>
    <w:rsid w:val="1F7F01C8"/>
    <w:rsid w:val="1FCC2FFD"/>
    <w:rsid w:val="202328B2"/>
    <w:rsid w:val="202A5E57"/>
    <w:rsid w:val="20781371"/>
    <w:rsid w:val="207912D3"/>
    <w:rsid w:val="208B6177"/>
    <w:rsid w:val="209E7B24"/>
    <w:rsid w:val="20A70EA1"/>
    <w:rsid w:val="20C66E7C"/>
    <w:rsid w:val="20DD5011"/>
    <w:rsid w:val="2119316D"/>
    <w:rsid w:val="212C7A68"/>
    <w:rsid w:val="21490DB2"/>
    <w:rsid w:val="21614F67"/>
    <w:rsid w:val="21633439"/>
    <w:rsid w:val="21850E52"/>
    <w:rsid w:val="21D82EC1"/>
    <w:rsid w:val="21E139EF"/>
    <w:rsid w:val="221446EA"/>
    <w:rsid w:val="22665141"/>
    <w:rsid w:val="22CD714C"/>
    <w:rsid w:val="22E538AB"/>
    <w:rsid w:val="240A59EC"/>
    <w:rsid w:val="240E04C8"/>
    <w:rsid w:val="24232BC7"/>
    <w:rsid w:val="244B45EE"/>
    <w:rsid w:val="2453376B"/>
    <w:rsid w:val="24622DD1"/>
    <w:rsid w:val="24CD3E14"/>
    <w:rsid w:val="2557526F"/>
    <w:rsid w:val="25A76A7B"/>
    <w:rsid w:val="26943574"/>
    <w:rsid w:val="271052E3"/>
    <w:rsid w:val="274C5DB5"/>
    <w:rsid w:val="27F117DF"/>
    <w:rsid w:val="28323B73"/>
    <w:rsid w:val="284E3C18"/>
    <w:rsid w:val="287C7F39"/>
    <w:rsid w:val="2883516D"/>
    <w:rsid w:val="289323B8"/>
    <w:rsid w:val="28B7466A"/>
    <w:rsid w:val="28BB5359"/>
    <w:rsid w:val="28EF3761"/>
    <w:rsid w:val="28FD1811"/>
    <w:rsid w:val="29952539"/>
    <w:rsid w:val="29A01E2B"/>
    <w:rsid w:val="2A174F9B"/>
    <w:rsid w:val="2A18567A"/>
    <w:rsid w:val="2A55299B"/>
    <w:rsid w:val="2A612B22"/>
    <w:rsid w:val="2AAD75B6"/>
    <w:rsid w:val="2B1767D3"/>
    <w:rsid w:val="2B2A508D"/>
    <w:rsid w:val="2B5670D5"/>
    <w:rsid w:val="2B650FAA"/>
    <w:rsid w:val="2BA109FD"/>
    <w:rsid w:val="2BA5558F"/>
    <w:rsid w:val="2BCD373A"/>
    <w:rsid w:val="2BE315B0"/>
    <w:rsid w:val="2C165923"/>
    <w:rsid w:val="2C1A1DC0"/>
    <w:rsid w:val="2C5A3A76"/>
    <w:rsid w:val="2C75163F"/>
    <w:rsid w:val="2CA44921"/>
    <w:rsid w:val="2CB03B88"/>
    <w:rsid w:val="2CB419B1"/>
    <w:rsid w:val="2D097BF9"/>
    <w:rsid w:val="2D0A3227"/>
    <w:rsid w:val="2D2C2AE4"/>
    <w:rsid w:val="2D4D059E"/>
    <w:rsid w:val="2DD5231D"/>
    <w:rsid w:val="2E2D0A21"/>
    <w:rsid w:val="2E536571"/>
    <w:rsid w:val="2E6B2788"/>
    <w:rsid w:val="2E786DC8"/>
    <w:rsid w:val="2EBF74FE"/>
    <w:rsid w:val="2EFF4953"/>
    <w:rsid w:val="2F757586"/>
    <w:rsid w:val="2FA34038"/>
    <w:rsid w:val="2FE101AB"/>
    <w:rsid w:val="303A6E9F"/>
    <w:rsid w:val="3050338E"/>
    <w:rsid w:val="305D1EAE"/>
    <w:rsid w:val="30D06376"/>
    <w:rsid w:val="310F7C16"/>
    <w:rsid w:val="31302581"/>
    <w:rsid w:val="315B7806"/>
    <w:rsid w:val="31A0349B"/>
    <w:rsid w:val="31A72C62"/>
    <w:rsid w:val="31B565C8"/>
    <w:rsid w:val="31EA024A"/>
    <w:rsid w:val="320E1533"/>
    <w:rsid w:val="32445AE5"/>
    <w:rsid w:val="3265353C"/>
    <w:rsid w:val="328C3E2B"/>
    <w:rsid w:val="32CB50DA"/>
    <w:rsid w:val="32ED34BE"/>
    <w:rsid w:val="33111AE3"/>
    <w:rsid w:val="333A0179"/>
    <w:rsid w:val="33432205"/>
    <w:rsid w:val="33783283"/>
    <w:rsid w:val="338F0CB3"/>
    <w:rsid w:val="33E0428C"/>
    <w:rsid w:val="343F6A3D"/>
    <w:rsid w:val="347A2200"/>
    <w:rsid w:val="348541FC"/>
    <w:rsid w:val="34A03E1D"/>
    <w:rsid w:val="34A43FD3"/>
    <w:rsid w:val="34AD1745"/>
    <w:rsid w:val="34E53550"/>
    <w:rsid w:val="34E6551F"/>
    <w:rsid w:val="354D460B"/>
    <w:rsid w:val="374E338A"/>
    <w:rsid w:val="376400EB"/>
    <w:rsid w:val="37BA2390"/>
    <w:rsid w:val="37BA526C"/>
    <w:rsid w:val="37C94A82"/>
    <w:rsid w:val="37ED062C"/>
    <w:rsid w:val="38193CAD"/>
    <w:rsid w:val="38451629"/>
    <w:rsid w:val="38594DFC"/>
    <w:rsid w:val="38DE382B"/>
    <w:rsid w:val="38E444D7"/>
    <w:rsid w:val="38E84005"/>
    <w:rsid w:val="38FF2661"/>
    <w:rsid w:val="391F7B49"/>
    <w:rsid w:val="396545BB"/>
    <w:rsid w:val="39787440"/>
    <w:rsid w:val="398048E2"/>
    <w:rsid w:val="399753CB"/>
    <w:rsid w:val="3A4439BA"/>
    <w:rsid w:val="3A8D375B"/>
    <w:rsid w:val="3AE53DCB"/>
    <w:rsid w:val="3BB56AC5"/>
    <w:rsid w:val="3BD722C6"/>
    <w:rsid w:val="3C021D75"/>
    <w:rsid w:val="3C072E50"/>
    <w:rsid w:val="3C791003"/>
    <w:rsid w:val="3CCF197E"/>
    <w:rsid w:val="3CE05DB2"/>
    <w:rsid w:val="3CEA279F"/>
    <w:rsid w:val="3D037BDA"/>
    <w:rsid w:val="3D250074"/>
    <w:rsid w:val="3DB62551"/>
    <w:rsid w:val="3DD52786"/>
    <w:rsid w:val="3DE93A8E"/>
    <w:rsid w:val="3DF54ADF"/>
    <w:rsid w:val="3E1B1792"/>
    <w:rsid w:val="3E2823B9"/>
    <w:rsid w:val="3E6C7133"/>
    <w:rsid w:val="3E7964D0"/>
    <w:rsid w:val="3EB454F2"/>
    <w:rsid w:val="3EF40857"/>
    <w:rsid w:val="3F34609D"/>
    <w:rsid w:val="3F5950D7"/>
    <w:rsid w:val="3F8A07DE"/>
    <w:rsid w:val="3FAF13AE"/>
    <w:rsid w:val="3FD63D7F"/>
    <w:rsid w:val="3FEB4C3A"/>
    <w:rsid w:val="3FEE07C4"/>
    <w:rsid w:val="3FF73FC6"/>
    <w:rsid w:val="4003610E"/>
    <w:rsid w:val="40823A23"/>
    <w:rsid w:val="40A733AE"/>
    <w:rsid w:val="40CC0682"/>
    <w:rsid w:val="40EE76ED"/>
    <w:rsid w:val="412938BE"/>
    <w:rsid w:val="414443AE"/>
    <w:rsid w:val="41642B5A"/>
    <w:rsid w:val="41CE08E1"/>
    <w:rsid w:val="425274CC"/>
    <w:rsid w:val="43144A19"/>
    <w:rsid w:val="432339F6"/>
    <w:rsid w:val="432E51EE"/>
    <w:rsid w:val="43456C3D"/>
    <w:rsid w:val="438D3426"/>
    <w:rsid w:val="43EE4C06"/>
    <w:rsid w:val="44013C3C"/>
    <w:rsid w:val="441F7768"/>
    <w:rsid w:val="446261A0"/>
    <w:rsid w:val="446925B2"/>
    <w:rsid w:val="44B17CB3"/>
    <w:rsid w:val="44B518E4"/>
    <w:rsid w:val="44CC750D"/>
    <w:rsid w:val="44D435A5"/>
    <w:rsid w:val="453F5437"/>
    <w:rsid w:val="45BE2AA5"/>
    <w:rsid w:val="45D47E57"/>
    <w:rsid w:val="46061707"/>
    <w:rsid w:val="464928DD"/>
    <w:rsid w:val="466435C2"/>
    <w:rsid w:val="468F2415"/>
    <w:rsid w:val="470A0494"/>
    <w:rsid w:val="47177FE7"/>
    <w:rsid w:val="47562215"/>
    <w:rsid w:val="475C79A2"/>
    <w:rsid w:val="4797762C"/>
    <w:rsid w:val="47A93190"/>
    <w:rsid w:val="47E833CD"/>
    <w:rsid w:val="485D1CC6"/>
    <w:rsid w:val="485E3F5F"/>
    <w:rsid w:val="48926C6E"/>
    <w:rsid w:val="48CD324B"/>
    <w:rsid w:val="48D8761E"/>
    <w:rsid w:val="48EC5782"/>
    <w:rsid w:val="496722D9"/>
    <w:rsid w:val="496762CC"/>
    <w:rsid w:val="499D7E0E"/>
    <w:rsid w:val="49B744FA"/>
    <w:rsid w:val="49C15BE1"/>
    <w:rsid w:val="4A001853"/>
    <w:rsid w:val="4A096CB8"/>
    <w:rsid w:val="4A894229"/>
    <w:rsid w:val="4AE0588B"/>
    <w:rsid w:val="4B393E56"/>
    <w:rsid w:val="4B9A3570"/>
    <w:rsid w:val="4BA50A40"/>
    <w:rsid w:val="4C083A01"/>
    <w:rsid w:val="4C0875E3"/>
    <w:rsid w:val="4C0A214F"/>
    <w:rsid w:val="4C4A4FDE"/>
    <w:rsid w:val="4CCE2CFE"/>
    <w:rsid w:val="4D032880"/>
    <w:rsid w:val="4D412861"/>
    <w:rsid w:val="4D82166B"/>
    <w:rsid w:val="4D8668BF"/>
    <w:rsid w:val="4DA76EB0"/>
    <w:rsid w:val="4DD322B7"/>
    <w:rsid w:val="4DF97C66"/>
    <w:rsid w:val="4E135281"/>
    <w:rsid w:val="4E1B260A"/>
    <w:rsid w:val="4E1B3DA7"/>
    <w:rsid w:val="4E1B7D06"/>
    <w:rsid w:val="4E1D0B43"/>
    <w:rsid w:val="4E1D1C34"/>
    <w:rsid w:val="4E1F126F"/>
    <w:rsid w:val="4E604EFE"/>
    <w:rsid w:val="4EC118B2"/>
    <w:rsid w:val="4EC56FBD"/>
    <w:rsid w:val="4EE22213"/>
    <w:rsid w:val="4EE64645"/>
    <w:rsid w:val="4EE86317"/>
    <w:rsid w:val="4F90721A"/>
    <w:rsid w:val="4FA95805"/>
    <w:rsid w:val="4FC92111"/>
    <w:rsid w:val="500579DA"/>
    <w:rsid w:val="50083DA2"/>
    <w:rsid w:val="50157E6F"/>
    <w:rsid w:val="501A1A7A"/>
    <w:rsid w:val="50216E5A"/>
    <w:rsid w:val="50344337"/>
    <w:rsid w:val="50492686"/>
    <w:rsid w:val="507A7629"/>
    <w:rsid w:val="509F4E6C"/>
    <w:rsid w:val="50D00057"/>
    <w:rsid w:val="50FA0121"/>
    <w:rsid w:val="5110166D"/>
    <w:rsid w:val="51563DC6"/>
    <w:rsid w:val="516A2689"/>
    <w:rsid w:val="516A2A2E"/>
    <w:rsid w:val="518E282D"/>
    <w:rsid w:val="51C512CB"/>
    <w:rsid w:val="523302EC"/>
    <w:rsid w:val="52524F78"/>
    <w:rsid w:val="527903F5"/>
    <w:rsid w:val="52B92EE7"/>
    <w:rsid w:val="52BA0305"/>
    <w:rsid w:val="52BA44C9"/>
    <w:rsid w:val="52C55328"/>
    <w:rsid w:val="532156E9"/>
    <w:rsid w:val="53430A03"/>
    <w:rsid w:val="53663CF1"/>
    <w:rsid w:val="53BF41C9"/>
    <w:rsid w:val="54085ED4"/>
    <w:rsid w:val="54667637"/>
    <w:rsid w:val="54B62639"/>
    <w:rsid w:val="54CD125A"/>
    <w:rsid w:val="54E7469E"/>
    <w:rsid w:val="55134D09"/>
    <w:rsid w:val="55242AA9"/>
    <w:rsid w:val="55266A87"/>
    <w:rsid w:val="554A5B0E"/>
    <w:rsid w:val="558D3656"/>
    <w:rsid w:val="55EA5E3B"/>
    <w:rsid w:val="56646938"/>
    <w:rsid w:val="56D36A52"/>
    <w:rsid w:val="57087982"/>
    <w:rsid w:val="57517B92"/>
    <w:rsid w:val="57B15B24"/>
    <w:rsid w:val="57EC6A93"/>
    <w:rsid w:val="57F64296"/>
    <w:rsid w:val="58096689"/>
    <w:rsid w:val="580F3A8E"/>
    <w:rsid w:val="5814471C"/>
    <w:rsid w:val="58623AE7"/>
    <w:rsid w:val="589D2963"/>
    <w:rsid w:val="58A70853"/>
    <w:rsid w:val="58AE4BFA"/>
    <w:rsid w:val="58C74EBD"/>
    <w:rsid w:val="58D52A21"/>
    <w:rsid w:val="59010401"/>
    <w:rsid w:val="59151BD2"/>
    <w:rsid w:val="593C7FF3"/>
    <w:rsid w:val="5959522C"/>
    <w:rsid w:val="597D32EF"/>
    <w:rsid w:val="5993342B"/>
    <w:rsid w:val="59DF5DD6"/>
    <w:rsid w:val="5A02233A"/>
    <w:rsid w:val="5A1B2DFA"/>
    <w:rsid w:val="5A6769BE"/>
    <w:rsid w:val="5A7F5187"/>
    <w:rsid w:val="5AA918F2"/>
    <w:rsid w:val="5AB02EB8"/>
    <w:rsid w:val="5B172FA0"/>
    <w:rsid w:val="5B477CCB"/>
    <w:rsid w:val="5B663C42"/>
    <w:rsid w:val="5B694E0D"/>
    <w:rsid w:val="5B8758D9"/>
    <w:rsid w:val="5BE03321"/>
    <w:rsid w:val="5C0D4645"/>
    <w:rsid w:val="5C16248E"/>
    <w:rsid w:val="5C1F4A60"/>
    <w:rsid w:val="5C3D5A44"/>
    <w:rsid w:val="5C810864"/>
    <w:rsid w:val="5CA90FED"/>
    <w:rsid w:val="5CA97C7F"/>
    <w:rsid w:val="5CB6488A"/>
    <w:rsid w:val="5CC91F88"/>
    <w:rsid w:val="5CDD2694"/>
    <w:rsid w:val="5CE370BB"/>
    <w:rsid w:val="5D311666"/>
    <w:rsid w:val="5E8843CC"/>
    <w:rsid w:val="5F0948D3"/>
    <w:rsid w:val="5F1D40E4"/>
    <w:rsid w:val="5F351B37"/>
    <w:rsid w:val="5F3A0F0C"/>
    <w:rsid w:val="5F6F0260"/>
    <w:rsid w:val="5FA26CFE"/>
    <w:rsid w:val="5FDF157B"/>
    <w:rsid w:val="5FFF5444"/>
    <w:rsid w:val="600904DE"/>
    <w:rsid w:val="607E1689"/>
    <w:rsid w:val="609D56D7"/>
    <w:rsid w:val="60CF0762"/>
    <w:rsid w:val="60E173FF"/>
    <w:rsid w:val="612F0022"/>
    <w:rsid w:val="617C6C27"/>
    <w:rsid w:val="61A86601"/>
    <w:rsid w:val="61BA258E"/>
    <w:rsid w:val="61C35311"/>
    <w:rsid w:val="626B7CE6"/>
    <w:rsid w:val="62971D5A"/>
    <w:rsid w:val="629D1EDE"/>
    <w:rsid w:val="62AB318B"/>
    <w:rsid w:val="634424A4"/>
    <w:rsid w:val="635A6209"/>
    <w:rsid w:val="6360648D"/>
    <w:rsid w:val="636950A9"/>
    <w:rsid w:val="63930882"/>
    <w:rsid w:val="63945991"/>
    <w:rsid w:val="639D6B0E"/>
    <w:rsid w:val="63A63014"/>
    <w:rsid w:val="63BA7199"/>
    <w:rsid w:val="63C67212"/>
    <w:rsid w:val="63FA33E9"/>
    <w:rsid w:val="648B4B84"/>
    <w:rsid w:val="650E7FC7"/>
    <w:rsid w:val="654800CC"/>
    <w:rsid w:val="65FF44E4"/>
    <w:rsid w:val="66044905"/>
    <w:rsid w:val="66313E15"/>
    <w:rsid w:val="66383AC8"/>
    <w:rsid w:val="666F69DB"/>
    <w:rsid w:val="6734385A"/>
    <w:rsid w:val="67421678"/>
    <w:rsid w:val="678E4473"/>
    <w:rsid w:val="682D2242"/>
    <w:rsid w:val="68673696"/>
    <w:rsid w:val="68944A8A"/>
    <w:rsid w:val="68CC395D"/>
    <w:rsid w:val="691A14E9"/>
    <w:rsid w:val="69446257"/>
    <w:rsid w:val="69551247"/>
    <w:rsid w:val="6965171C"/>
    <w:rsid w:val="69677E1F"/>
    <w:rsid w:val="69797614"/>
    <w:rsid w:val="69CF4947"/>
    <w:rsid w:val="69F00A94"/>
    <w:rsid w:val="6A463DB7"/>
    <w:rsid w:val="6A5A5924"/>
    <w:rsid w:val="6AA520B4"/>
    <w:rsid w:val="6AC772C6"/>
    <w:rsid w:val="6AEE4D63"/>
    <w:rsid w:val="6AF527BA"/>
    <w:rsid w:val="6B08220F"/>
    <w:rsid w:val="6B127E7A"/>
    <w:rsid w:val="6B2B7AB1"/>
    <w:rsid w:val="6B4F4E6E"/>
    <w:rsid w:val="6B7908B6"/>
    <w:rsid w:val="6B9D54E6"/>
    <w:rsid w:val="6BD253B6"/>
    <w:rsid w:val="6C0576C7"/>
    <w:rsid w:val="6C091333"/>
    <w:rsid w:val="6C39206D"/>
    <w:rsid w:val="6C475E0F"/>
    <w:rsid w:val="6CE66A4C"/>
    <w:rsid w:val="6CFE5C6F"/>
    <w:rsid w:val="6D332FF2"/>
    <w:rsid w:val="6D361D10"/>
    <w:rsid w:val="6D400DA0"/>
    <w:rsid w:val="6D5A0F7B"/>
    <w:rsid w:val="6D82064E"/>
    <w:rsid w:val="6DBC2251"/>
    <w:rsid w:val="6DD55652"/>
    <w:rsid w:val="6DE64208"/>
    <w:rsid w:val="6DF8287B"/>
    <w:rsid w:val="6ED27643"/>
    <w:rsid w:val="6EEE586F"/>
    <w:rsid w:val="6F0D03EB"/>
    <w:rsid w:val="6F403FD0"/>
    <w:rsid w:val="6F5E0C47"/>
    <w:rsid w:val="6F9C5783"/>
    <w:rsid w:val="6FCB25CC"/>
    <w:rsid w:val="6FD71FB9"/>
    <w:rsid w:val="6FE777B5"/>
    <w:rsid w:val="705A2C25"/>
    <w:rsid w:val="711C570B"/>
    <w:rsid w:val="715211B5"/>
    <w:rsid w:val="716E27B6"/>
    <w:rsid w:val="71E63B42"/>
    <w:rsid w:val="71F679DD"/>
    <w:rsid w:val="72080D02"/>
    <w:rsid w:val="726E2F4F"/>
    <w:rsid w:val="72A7538E"/>
    <w:rsid w:val="72B807AF"/>
    <w:rsid w:val="72BB3CBA"/>
    <w:rsid w:val="72D807F4"/>
    <w:rsid w:val="73542F86"/>
    <w:rsid w:val="7399049F"/>
    <w:rsid w:val="745244D1"/>
    <w:rsid w:val="74832397"/>
    <w:rsid w:val="75107E41"/>
    <w:rsid w:val="755D4C3F"/>
    <w:rsid w:val="75B50E95"/>
    <w:rsid w:val="75F94AD0"/>
    <w:rsid w:val="760439AF"/>
    <w:rsid w:val="761638DC"/>
    <w:rsid w:val="765054CB"/>
    <w:rsid w:val="76A2457E"/>
    <w:rsid w:val="76D47D5E"/>
    <w:rsid w:val="77171868"/>
    <w:rsid w:val="77857E18"/>
    <w:rsid w:val="77CD70D8"/>
    <w:rsid w:val="78175C48"/>
    <w:rsid w:val="78E01BE8"/>
    <w:rsid w:val="78E74BD6"/>
    <w:rsid w:val="79233234"/>
    <w:rsid w:val="793A0AF8"/>
    <w:rsid w:val="797530B9"/>
    <w:rsid w:val="797B3FF7"/>
    <w:rsid w:val="79D50C82"/>
    <w:rsid w:val="79E17636"/>
    <w:rsid w:val="7A07772F"/>
    <w:rsid w:val="7A560268"/>
    <w:rsid w:val="7B0C1557"/>
    <w:rsid w:val="7B282443"/>
    <w:rsid w:val="7B745C6C"/>
    <w:rsid w:val="7B8E00CE"/>
    <w:rsid w:val="7B9A3319"/>
    <w:rsid w:val="7BE35E80"/>
    <w:rsid w:val="7C813A9D"/>
    <w:rsid w:val="7C9831AE"/>
    <w:rsid w:val="7D1D3EEF"/>
    <w:rsid w:val="7D830277"/>
    <w:rsid w:val="7DA43E59"/>
    <w:rsid w:val="7E016808"/>
    <w:rsid w:val="7E143EB6"/>
    <w:rsid w:val="7E244CEF"/>
    <w:rsid w:val="7E3F5C1C"/>
    <w:rsid w:val="7E4B05E8"/>
    <w:rsid w:val="7F1A36D6"/>
    <w:rsid w:val="7F4559FA"/>
    <w:rsid w:val="7F5C6794"/>
    <w:rsid w:val="7F8C4574"/>
    <w:rsid w:val="7F930322"/>
    <w:rsid w:val="7FAE5E29"/>
    <w:rsid w:val="7FB13657"/>
    <w:rsid w:val="7FD503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1"/>
    <w:qFormat/>
    <w:uiPriority w:val="0"/>
    <w:pPr>
      <w:keepNext/>
      <w:outlineLvl w:val="0"/>
    </w:pPr>
    <w:rPr>
      <w:rFonts w:ascii="楷体_GB2312" w:eastAsia="楷体_GB2312"/>
      <w:sz w:val="28"/>
      <w:szCs w:val="20"/>
    </w:rPr>
  </w:style>
  <w:style w:type="paragraph" w:styleId="5">
    <w:name w:val="heading 2"/>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styleId="6">
    <w:name w:val="heading 3"/>
    <w:basedOn w:val="1"/>
    <w:next w:val="1"/>
    <w:qFormat/>
    <w:uiPriority w:val="0"/>
    <w:pPr>
      <w:keepNext/>
      <w:keepLines/>
      <w:spacing w:before="260" w:after="260" w:line="416" w:lineRule="auto"/>
      <w:outlineLvl w:val="2"/>
    </w:pPr>
    <w:rPr>
      <w:b/>
      <w:sz w:val="32"/>
      <w:szCs w:val="20"/>
    </w:rPr>
  </w:style>
  <w:style w:type="paragraph" w:styleId="7">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8">
    <w:name w:val="heading 5"/>
    <w:basedOn w:val="1"/>
    <w:next w:val="1"/>
    <w:qFormat/>
    <w:uiPriority w:val="0"/>
    <w:pPr>
      <w:keepNext/>
      <w:outlineLvl w:val="4"/>
    </w:pPr>
    <w:rPr>
      <w:rFonts w:ascii="宋体" w:hAnsi="宋体"/>
      <w:b/>
      <w:bCs/>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spacing w:line="360" w:lineRule="auto"/>
      <w:ind w:firstLine="200" w:firstLineChars="200"/>
    </w:pPr>
    <w:rPr>
      <w:rFonts w:ascii="仿宋_GB2312" w:eastAsia="仿宋_GB2312"/>
      <w:kern w:val="0"/>
      <w:sz w:val="30"/>
      <w:szCs w:val="30"/>
    </w:rPr>
  </w:style>
  <w:style w:type="paragraph" w:styleId="3">
    <w:name w:val="Body Text"/>
    <w:basedOn w:val="1"/>
    <w:link w:val="54"/>
    <w:qFormat/>
    <w:uiPriority w:val="0"/>
    <w:rPr>
      <w:rFonts w:ascii="楷体_GB2312" w:hAnsi="Arial" w:eastAsia="楷体_GB2312"/>
      <w:sz w:val="28"/>
      <w:szCs w:val="20"/>
    </w:rPr>
  </w:style>
  <w:style w:type="paragraph" w:styleId="9">
    <w:name w:val="toc 7"/>
    <w:basedOn w:val="1"/>
    <w:next w:val="1"/>
    <w:semiHidden/>
    <w:qFormat/>
    <w:uiPriority w:val="0"/>
    <w:pPr>
      <w:ind w:left="2520" w:leftChars="1200"/>
    </w:pPr>
  </w:style>
  <w:style w:type="paragraph" w:styleId="10">
    <w:name w:val="Normal Indent"/>
    <w:basedOn w:val="1"/>
    <w:link w:val="52"/>
    <w:qFormat/>
    <w:uiPriority w:val="0"/>
    <w:pPr>
      <w:ind w:firstLine="420"/>
    </w:pPr>
    <w:rPr>
      <w:szCs w:val="20"/>
    </w:rPr>
  </w:style>
  <w:style w:type="paragraph" w:styleId="11">
    <w:name w:val="caption"/>
    <w:basedOn w:val="1"/>
    <w:next w:val="1"/>
    <w:qFormat/>
    <w:uiPriority w:val="0"/>
    <w:rPr>
      <w:rFonts w:ascii="Cambria" w:hAnsi="Cambria" w:eastAsia="黑体"/>
      <w:sz w:val="20"/>
      <w:szCs w:val="20"/>
    </w:rPr>
  </w:style>
  <w:style w:type="paragraph" w:styleId="12">
    <w:name w:val="Document Map"/>
    <w:basedOn w:val="1"/>
    <w:semiHidden/>
    <w:qFormat/>
    <w:uiPriority w:val="0"/>
    <w:pPr>
      <w:shd w:val="clear" w:color="auto" w:fill="000080"/>
    </w:pPr>
  </w:style>
  <w:style w:type="paragraph" w:styleId="13">
    <w:name w:val="toa heading"/>
    <w:basedOn w:val="1"/>
    <w:next w:val="1"/>
    <w:qFormat/>
    <w:uiPriority w:val="0"/>
    <w:pPr>
      <w:spacing w:before="120"/>
    </w:pPr>
    <w:rPr>
      <w:rFonts w:ascii="Arial" w:hAnsi="Arial" w:cs="Arial"/>
      <w:sz w:val="24"/>
    </w:rPr>
  </w:style>
  <w:style w:type="paragraph" w:styleId="14">
    <w:name w:val="annotation text"/>
    <w:basedOn w:val="1"/>
    <w:link w:val="53"/>
    <w:qFormat/>
    <w:uiPriority w:val="99"/>
    <w:pPr>
      <w:jc w:val="left"/>
    </w:pPr>
  </w:style>
  <w:style w:type="paragraph" w:styleId="15">
    <w:name w:val="Body Text 3"/>
    <w:basedOn w:val="1"/>
    <w:qFormat/>
    <w:uiPriority w:val="0"/>
    <w:rPr>
      <w:rFonts w:ascii="仿宋_GB2312" w:hAnsi="Arial" w:eastAsia="仿宋_GB2312"/>
      <w:sz w:val="32"/>
      <w:szCs w:val="20"/>
    </w:rPr>
  </w:style>
  <w:style w:type="paragraph" w:styleId="16">
    <w:name w:val="Body Text Indent"/>
    <w:basedOn w:val="1"/>
    <w:next w:val="17"/>
    <w:qFormat/>
    <w:uiPriority w:val="0"/>
    <w:pPr>
      <w:ind w:firstLine="645"/>
    </w:pPr>
    <w:rPr>
      <w:rFonts w:ascii="楷体_GB2312" w:eastAsia="楷体_GB2312"/>
      <w:sz w:val="32"/>
      <w:szCs w:val="20"/>
    </w:rPr>
  </w:style>
  <w:style w:type="paragraph" w:styleId="17">
    <w:name w:val="envelope return"/>
    <w:basedOn w:val="1"/>
    <w:unhideWhenUsed/>
    <w:qFormat/>
    <w:uiPriority w:val="99"/>
    <w:pPr>
      <w:snapToGrid w:val="0"/>
    </w:pPr>
    <w:rPr>
      <w:rFonts w:ascii="Arial" w:hAnsi="Arial" w:cs="Arial"/>
    </w:rPr>
  </w:style>
  <w:style w:type="paragraph" w:styleId="18">
    <w:name w:val="Block Text"/>
    <w:basedOn w:val="1"/>
    <w:qFormat/>
    <w:uiPriority w:val="0"/>
    <w:pPr>
      <w:ind w:left="-716" w:leftChars="-342" w:right="-874" w:rightChars="-416" w:hanging="2"/>
    </w:pPr>
    <w:rPr>
      <w:sz w:val="28"/>
    </w:rPr>
  </w:style>
  <w:style w:type="paragraph" w:styleId="19">
    <w:name w:val="index 4"/>
    <w:basedOn w:val="1"/>
    <w:next w:val="1"/>
    <w:unhideWhenUsed/>
    <w:qFormat/>
    <w:uiPriority w:val="99"/>
    <w:pPr>
      <w:ind w:left="600" w:leftChars="600"/>
    </w:pPr>
    <w:rPr>
      <w:szCs w:val="20"/>
    </w:rPr>
  </w:style>
  <w:style w:type="paragraph" w:styleId="20">
    <w:name w:val="toc 5"/>
    <w:basedOn w:val="1"/>
    <w:next w:val="1"/>
    <w:semiHidden/>
    <w:qFormat/>
    <w:uiPriority w:val="0"/>
    <w:pPr>
      <w:ind w:left="1680" w:leftChars="800"/>
    </w:pPr>
  </w:style>
  <w:style w:type="paragraph" w:styleId="21">
    <w:name w:val="toc 3"/>
    <w:basedOn w:val="1"/>
    <w:next w:val="1"/>
    <w:semiHidden/>
    <w:qFormat/>
    <w:uiPriority w:val="0"/>
    <w:pPr>
      <w:tabs>
        <w:tab w:val="right" w:leader="dot" w:pos="9440"/>
      </w:tabs>
      <w:spacing w:line="240" w:lineRule="exact"/>
      <w:ind w:left="539"/>
      <w:jc w:val="left"/>
    </w:pPr>
    <w:rPr>
      <w:rFonts w:ascii="黑体" w:hAnsi="宋体" w:eastAsia="黑体"/>
      <w:bCs/>
      <w:iCs/>
      <w:sz w:val="18"/>
      <w:szCs w:val="32"/>
    </w:rPr>
  </w:style>
  <w:style w:type="paragraph" w:styleId="22">
    <w:name w:val="Plain Text"/>
    <w:basedOn w:val="1"/>
    <w:link w:val="55"/>
    <w:qFormat/>
    <w:uiPriority w:val="0"/>
    <w:rPr>
      <w:rFonts w:hint="eastAsia" w:ascii="宋体" w:hAnsi="Courier New"/>
      <w:szCs w:val="20"/>
    </w:rPr>
  </w:style>
  <w:style w:type="paragraph" w:styleId="23">
    <w:name w:val="toc 8"/>
    <w:basedOn w:val="1"/>
    <w:next w:val="1"/>
    <w:semiHidden/>
    <w:qFormat/>
    <w:uiPriority w:val="0"/>
    <w:pPr>
      <w:ind w:left="2940" w:leftChars="1400"/>
    </w:pPr>
  </w:style>
  <w:style w:type="paragraph" w:styleId="24">
    <w:name w:val="Date"/>
    <w:basedOn w:val="1"/>
    <w:next w:val="1"/>
    <w:qFormat/>
    <w:uiPriority w:val="0"/>
    <w:rPr>
      <w:sz w:val="24"/>
      <w:szCs w:val="20"/>
    </w:rPr>
  </w:style>
  <w:style w:type="paragraph" w:styleId="25">
    <w:name w:val="Body Text Indent 2"/>
    <w:basedOn w:val="1"/>
    <w:qFormat/>
    <w:uiPriority w:val="0"/>
    <w:pPr>
      <w:ind w:firstLine="560" w:firstLineChars="200"/>
    </w:pPr>
    <w:rPr>
      <w:rFonts w:ascii="宋体" w:hAnsi="宋体"/>
      <w:sz w:val="28"/>
    </w:rPr>
  </w:style>
  <w:style w:type="paragraph" w:styleId="26">
    <w:name w:val="Balloon Text"/>
    <w:basedOn w:val="1"/>
    <w:semiHidden/>
    <w:qFormat/>
    <w:uiPriority w:val="0"/>
    <w:rPr>
      <w:sz w:val="18"/>
      <w:szCs w:val="18"/>
    </w:rPr>
  </w:style>
  <w:style w:type="paragraph" w:styleId="27">
    <w:name w:val="footer"/>
    <w:basedOn w:val="1"/>
    <w:link w:val="111"/>
    <w:qFormat/>
    <w:uiPriority w:val="99"/>
    <w:pPr>
      <w:tabs>
        <w:tab w:val="center" w:pos="4153"/>
        <w:tab w:val="right" w:pos="8306"/>
      </w:tabs>
      <w:snapToGrid w:val="0"/>
      <w:jc w:val="left"/>
    </w:pPr>
    <w:rPr>
      <w:sz w:val="18"/>
      <w:szCs w:val="20"/>
    </w:rPr>
  </w:style>
  <w:style w:type="paragraph" w:styleId="2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9">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30">
    <w:name w:val="toc 4"/>
    <w:basedOn w:val="1"/>
    <w:next w:val="1"/>
    <w:semiHidden/>
    <w:qFormat/>
    <w:uiPriority w:val="0"/>
    <w:pPr>
      <w:ind w:left="1260" w:leftChars="600"/>
    </w:pPr>
  </w:style>
  <w:style w:type="paragraph" w:styleId="31">
    <w:name w:val="toc 6"/>
    <w:basedOn w:val="1"/>
    <w:next w:val="1"/>
    <w:semiHidden/>
    <w:qFormat/>
    <w:uiPriority w:val="0"/>
    <w:pPr>
      <w:ind w:left="2100" w:leftChars="1000"/>
    </w:pPr>
  </w:style>
  <w:style w:type="paragraph" w:styleId="32">
    <w:name w:val="Body Text Indent 3"/>
    <w:basedOn w:val="1"/>
    <w:qFormat/>
    <w:uiPriority w:val="0"/>
    <w:pPr>
      <w:ind w:firstLine="523"/>
    </w:pPr>
    <w:rPr>
      <w:rFonts w:ascii="仿宋_GB2312" w:hAnsi="宋体" w:eastAsia="仿宋_GB2312"/>
      <w:sz w:val="24"/>
    </w:rPr>
  </w:style>
  <w:style w:type="paragraph" w:styleId="33">
    <w:name w:val="index 9"/>
    <w:basedOn w:val="1"/>
    <w:next w:val="1"/>
    <w:qFormat/>
    <w:uiPriority w:val="0"/>
    <w:pPr>
      <w:ind w:left="1600" w:leftChars="1600"/>
    </w:pPr>
  </w:style>
  <w:style w:type="paragraph" w:styleId="34">
    <w:name w:val="toc 2"/>
    <w:basedOn w:val="1"/>
    <w:next w:val="1"/>
    <w:semiHidden/>
    <w:qFormat/>
    <w:uiPriority w:val="0"/>
    <w:pPr>
      <w:tabs>
        <w:tab w:val="right" w:leader="dot" w:pos="9440"/>
      </w:tabs>
      <w:spacing w:line="260" w:lineRule="exact"/>
      <w:jc w:val="left"/>
    </w:pPr>
    <w:rPr>
      <w:rFonts w:ascii="黑体" w:eastAsia="黑体"/>
      <w:b/>
      <w:bCs/>
      <w:smallCaps/>
      <w:sz w:val="18"/>
      <w:szCs w:val="44"/>
    </w:rPr>
  </w:style>
  <w:style w:type="paragraph" w:styleId="35">
    <w:name w:val="toc 9"/>
    <w:basedOn w:val="1"/>
    <w:next w:val="1"/>
    <w:semiHidden/>
    <w:qFormat/>
    <w:uiPriority w:val="0"/>
    <w:pPr>
      <w:ind w:left="3360" w:leftChars="1600"/>
    </w:pPr>
  </w:style>
  <w:style w:type="paragraph" w:styleId="36">
    <w:name w:val="Body Text 2"/>
    <w:basedOn w:val="1"/>
    <w:qFormat/>
    <w:uiPriority w:val="0"/>
    <w:pPr>
      <w:jc w:val="center"/>
    </w:pPr>
    <w:rPr>
      <w:rFonts w:ascii="仿宋_GB2312" w:eastAsia="仿宋_GB2312"/>
      <w:sz w:val="44"/>
    </w:rPr>
  </w:style>
  <w:style w:type="paragraph" w:styleId="37">
    <w:name w:val="HTML Preformatted"/>
    <w:basedOn w:val="1"/>
    <w:link w:val="5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38">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39">
    <w:name w:val="index 1"/>
    <w:basedOn w:val="1"/>
    <w:next w:val="1"/>
    <w:semiHidden/>
    <w:qFormat/>
    <w:uiPriority w:val="0"/>
    <w:rPr>
      <w:rFonts w:ascii="宋体" w:hAnsi="宋体"/>
      <w:szCs w:val="18"/>
    </w:rPr>
  </w:style>
  <w:style w:type="paragraph" w:styleId="40">
    <w:name w:val="annotation subject"/>
    <w:basedOn w:val="14"/>
    <w:next w:val="14"/>
    <w:link w:val="57"/>
    <w:qFormat/>
    <w:uiPriority w:val="0"/>
    <w:rPr>
      <w:b/>
      <w:bCs/>
    </w:rPr>
  </w:style>
  <w:style w:type="paragraph" w:styleId="41">
    <w:name w:val="Body Text First Indent 2"/>
    <w:basedOn w:val="16"/>
    <w:next w:val="3"/>
    <w:unhideWhenUsed/>
    <w:qFormat/>
    <w:uiPriority w:val="99"/>
    <w:pPr>
      <w:spacing w:line="360" w:lineRule="auto"/>
      <w:ind w:firstLine="420" w:firstLineChars="200"/>
    </w:pPr>
    <w:rPr>
      <w:rFonts w:ascii="Calibri" w:hAnsi="Calibri" w:eastAsia="宋体"/>
      <w:sz w:val="21"/>
    </w:rPr>
  </w:style>
  <w:style w:type="table" w:styleId="43">
    <w:name w:val="Table Grid"/>
    <w:basedOn w:val="4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qFormat/>
    <w:uiPriority w:val="22"/>
    <w:rPr>
      <w:b/>
      <w:bCs/>
    </w:rPr>
  </w:style>
  <w:style w:type="character" w:styleId="46">
    <w:name w:val="page number"/>
    <w:qFormat/>
    <w:uiPriority w:val="0"/>
  </w:style>
  <w:style w:type="character" w:styleId="47">
    <w:name w:val="FollowedHyperlink"/>
    <w:qFormat/>
    <w:uiPriority w:val="99"/>
    <w:rPr>
      <w:color w:val="800080"/>
      <w:u w:val="single"/>
    </w:rPr>
  </w:style>
  <w:style w:type="character" w:styleId="48">
    <w:name w:val="Hyperlink"/>
    <w:qFormat/>
    <w:uiPriority w:val="99"/>
    <w:rPr>
      <w:color w:val="0000FF"/>
      <w:u w:val="single"/>
    </w:rPr>
  </w:style>
  <w:style w:type="character" w:styleId="49">
    <w:name w:val="annotation reference"/>
    <w:qFormat/>
    <w:uiPriority w:val="99"/>
    <w:rPr>
      <w:sz w:val="21"/>
      <w:szCs w:val="21"/>
    </w:rPr>
  </w:style>
  <w:style w:type="paragraph" w:customStyle="1" w:styleId="5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51">
    <w:name w:val="标题 1 字符1"/>
    <w:link w:val="4"/>
    <w:qFormat/>
    <w:uiPriority w:val="0"/>
    <w:rPr>
      <w:rFonts w:ascii="楷体_GB2312" w:eastAsia="楷体_GB2312"/>
      <w:kern w:val="2"/>
      <w:sz w:val="28"/>
      <w:lang w:val="en-US" w:eastAsia="zh-CN" w:bidi="ar-SA"/>
    </w:rPr>
  </w:style>
  <w:style w:type="character" w:customStyle="1" w:styleId="52">
    <w:name w:val="正文缩进 字符"/>
    <w:link w:val="10"/>
    <w:qFormat/>
    <w:uiPriority w:val="0"/>
    <w:rPr>
      <w:rFonts w:eastAsia="宋体"/>
      <w:kern w:val="2"/>
      <w:sz w:val="21"/>
      <w:lang w:val="en-US" w:eastAsia="zh-CN" w:bidi="ar-SA"/>
    </w:rPr>
  </w:style>
  <w:style w:type="character" w:customStyle="1" w:styleId="53">
    <w:name w:val="批注文字 字符"/>
    <w:link w:val="14"/>
    <w:qFormat/>
    <w:uiPriority w:val="99"/>
    <w:rPr>
      <w:kern w:val="2"/>
      <w:sz w:val="21"/>
      <w:szCs w:val="24"/>
    </w:rPr>
  </w:style>
  <w:style w:type="character" w:customStyle="1" w:styleId="54">
    <w:name w:val="正文文本 字符"/>
    <w:link w:val="3"/>
    <w:qFormat/>
    <w:uiPriority w:val="0"/>
    <w:rPr>
      <w:rFonts w:ascii="楷体_GB2312" w:hAnsi="Arial" w:eastAsia="楷体_GB2312"/>
      <w:kern w:val="2"/>
      <w:sz w:val="28"/>
    </w:rPr>
  </w:style>
  <w:style w:type="character" w:customStyle="1" w:styleId="55">
    <w:name w:val="纯文本 字符"/>
    <w:link w:val="22"/>
    <w:qFormat/>
    <w:uiPriority w:val="0"/>
    <w:rPr>
      <w:rFonts w:ascii="宋体" w:hAnsi="Courier New"/>
      <w:kern w:val="2"/>
      <w:sz w:val="21"/>
    </w:rPr>
  </w:style>
  <w:style w:type="character" w:customStyle="1" w:styleId="56">
    <w:name w:val="HTML 预设格式 字符"/>
    <w:link w:val="37"/>
    <w:qFormat/>
    <w:uiPriority w:val="0"/>
    <w:rPr>
      <w:rFonts w:ascii="黑体" w:hAnsi="Courier New" w:eastAsia="黑体" w:cs="Courier New"/>
    </w:rPr>
  </w:style>
  <w:style w:type="character" w:customStyle="1" w:styleId="57">
    <w:name w:val="批注主题 字符"/>
    <w:link w:val="40"/>
    <w:qFormat/>
    <w:uiPriority w:val="0"/>
    <w:rPr>
      <w:b/>
      <w:bCs/>
      <w:kern w:val="2"/>
      <w:sz w:val="21"/>
      <w:szCs w:val="24"/>
    </w:rPr>
  </w:style>
  <w:style w:type="paragraph" w:customStyle="1" w:styleId="58">
    <w:name w:val="正文1"/>
    <w:qFormat/>
    <w:uiPriority w:val="99"/>
    <w:pPr>
      <w:adjustRightInd w:val="0"/>
      <w:spacing w:before="120" w:after="120" w:line="180" w:lineRule="auto"/>
      <w:ind w:firstLine="200" w:firstLineChars="200"/>
    </w:pPr>
    <w:rPr>
      <w:rFonts w:ascii="Times New Roman" w:hAnsi="Times New Roman" w:eastAsia="宋体" w:cs="Calibri"/>
      <w:kern w:val="2"/>
      <w:sz w:val="21"/>
      <w:szCs w:val="21"/>
      <w:lang w:val="en-US" w:eastAsia="zh-CN" w:bidi="ar-SA"/>
    </w:rPr>
  </w:style>
  <w:style w:type="paragraph" w:customStyle="1" w:styleId="59">
    <w:name w:val="一级条标题"/>
    <w:basedOn w:val="60"/>
    <w:next w:val="61"/>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60">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customStyle="1" w:styleId="61">
    <w:name w:val="段"/>
    <w:next w:val="1"/>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62">
    <w:name w:val="BodyText1I"/>
    <w:basedOn w:val="63"/>
    <w:qFormat/>
    <w:uiPriority w:val="0"/>
    <w:pPr>
      <w:ind w:firstLine="420" w:firstLineChars="100"/>
    </w:pPr>
  </w:style>
  <w:style w:type="paragraph" w:customStyle="1" w:styleId="63">
    <w:name w:val="BodyText"/>
    <w:basedOn w:val="1"/>
    <w:qFormat/>
    <w:uiPriority w:val="0"/>
    <w:pPr>
      <w:spacing w:after="120"/>
      <w:textAlignment w:val="baseline"/>
    </w:pPr>
    <w:rPr>
      <w:kern w:val="0"/>
      <w:sz w:val="20"/>
    </w:rPr>
  </w:style>
  <w:style w:type="paragraph" w:customStyle="1" w:styleId="64">
    <w:name w:val="BioQuote Tekst"/>
    <w:basedOn w:val="1"/>
    <w:qFormat/>
    <w:uiPriority w:val="0"/>
    <w:pPr>
      <w:ind w:right="-1"/>
    </w:pPr>
    <w:rPr>
      <w:rFonts w:ascii="Arial" w:hAnsi="Arial"/>
      <w:snapToGrid w:val="0"/>
      <w:kern w:val="0"/>
      <w:sz w:val="22"/>
      <w:szCs w:val="20"/>
      <w:lang w:eastAsia="en-US"/>
    </w:rPr>
  </w:style>
  <w:style w:type="paragraph" w:customStyle="1" w:styleId="65">
    <w:name w:val="第四级"/>
    <w:basedOn w:val="1"/>
    <w:next w:val="1"/>
    <w:qFormat/>
    <w:uiPriority w:val="0"/>
    <w:pPr>
      <w:numPr>
        <w:ilvl w:val="3"/>
        <w:numId w:val="1"/>
      </w:numPr>
      <w:adjustRightInd w:val="0"/>
      <w:spacing w:line="360" w:lineRule="auto"/>
      <w:textAlignment w:val="baseline"/>
    </w:pPr>
    <w:rPr>
      <w:rFonts w:ascii="宋体" w:hAnsi="宋体" w:eastAsia="仿宋"/>
      <w:kern w:val="0"/>
      <w:sz w:val="28"/>
      <w:szCs w:val="21"/>
    </w:rPr>
  </w:style>
  <w:style w:type="paragraph" w:customStyle="1" w:styleId="66">
    <w:name w:val="Char"/>
    <w:basedOn w:val="1"/>
    <w:qFormat/>
    <w:uiPriority w:val="0"/>
    <w:pPr>
      <w:tabs>
        <w:tab w:val="left" w:pos="360"/>
      </w:tabs>
    </w:pPr>
    <w:rPr>
      <w:sz w:val="24"/>
    </w:rPr>
  </w:style>
  <w:style w:type="paragraph" w:customStyle="1" w:styleId="67">
    <w:name w:val="_Style 50"/>
    <w:semiHidden/>
    <w:qFormat/>
    <w:uiPriority w:val="99"/>
    <w:rPr>
      <w:rFonts w:ascii="Times New Roman" w:hAnsi="Times New Roman" w:eastAsia="宋体" w:cs="Times New Roman"/>
      <w:kern w:val="2"/>
      <w:sz w:val="21"/>
      <w:szCs w:val="24"/>
      <w:lang w:val="en-US" w:eastAsia="zh-CN" w:bidi="ar-SA"/>
    </w:rPr>
  </w:style>
  <w:style w:type="paragraph" w:customStyle="1" w:styleId="68">
    <w:name w:val="Char Char Char Char"/>
    <w:basedOn w:val="12"/>
    <w:qFormat/>
    <w:uiPriority w:val="0"/>
    <w:pPr>
      <w:adjustRightInd w:val="0"/>
      <w:snapToGrid w:val="0"/>
      <w:spacing w:line="360" w:lineRule="auto"/>
    </w:pPr>
    <w:rPr>
      <w:rFonts w:ascii="Tahoma" w:hAnsi="Tahoma"/>
      <w:sz w:val="24"/>
    </w:rPr>
  </w:style>
  <w:style w:type="paragraph" w:customStyle="1" w:styleId="69">
    <w:name w:val="正文-首行缩进2字符"/>
    <w:basedOn w:val="1"/>
    <w:qFormat/>
    <w:uiPriority w:val="0"/>
    <w:pPr>
      <w:ind w:firstLine="200" w:firstLineChars="200"/>
    </w:pPr>
    <w:rPr>
      <w:rFonts w:ascii="仿宋_GB2312" w:hAnsi="仿宋_GB2312" w:eastAsia="仿宋_GB2312" w:cs="仿宋_GB2312"/>
    </w:rPr>
  </w:style>
  <w:style w:type="paragraph" w:customStyle="1" w:styleId="70">
    <w:name w:val="国图标题3"/>
    <w:basedOn w:val="6"/>
    <w:qFormat/>
    <w:uiPriority w:val="0"/>
    <w:pPr>
      <w:numPr>
        <w:ilvl w:val="2"/>
        <w:numId w:val="2"/>
      </w:numPr>
      <w:spacing w:before="120" w:after="120" w:line="360" w:lineRule="auto"/>
    </w:pPr>
    <w:rPr>
      <w:szCs w:val="28"/>
    </w:rPr>
  </w:style>
  <w:style w:type="paragraph" w:customStyle="1" w:styleId="71">
    <w:name w:val="国图正文小四"/>
    <w:qFormat/>
    <w:uiPriority w:val="99"/>
    <w:pPr>
      <w:widowControl w:val="0"/>
      <w:spacing w:line="360" w:lineRule="auto"/>
      <w:ind w:firstLine="420"/>
      <w:jc w:val="both"/>
    </w:pPr>
    <w:rPr>
      <w:rFonts w:ascii="Times New Roman" w:hAnsi="Times New Roman" w:eastAsia="宋体" w:cs="Times New Roman"/>
      <w:kern w:val="2"/>
      <w:sz w:val="24"/>
      <w:szCs w:val="24"/>
      <w:lang w:val="en-US" w:eastAsia="zh-CN" w:bidi="ar-SA"/>
    </w:rPr>
  </w:style>
  <w:style w:type="paragraph" w:customStyle="1" w:styleId="72">
    <w:name w:val="正文 第一章"/>
    <w:basedOn w:val="1"/>
    <w:next w:val="73"/>
    <w:qFormat/>
    <w:uiPriority w:val="0"/>
    <w:pPr>
      <w:pageBreakBefore/>
      <w:adjustRightInd w:val="0"/>
      <w:spacing w:before="240" w:after="240" w:line="480" w:lineRule="auto"/>
      <w:ind w:left="9351" w:hanging="420"/>
      <w:jc w:val="center"/>
      <w:textAlignment w:val="baseline"/>
      <w:outlineLvl w:val="0"/>
    </w:pPr>
    <w:rPr>
      <w:rFonts w:ascii="黑体" w:hAnsi="宋体" w:eastAsia="黑体"/>
      <w:kern w:val="0"/>
      <w:sz w:val="36"/>
      <w:szCs w:val="21"/>
    </w:rPr>
  </w:style>
  <w:style w:type="paragraph" w:customStyle="1" w:styleId="73">
    <w:name w:val="正文 1.1"/>
    <w:basedOn w:val="1"/>
    <w:next w:val="74"/>
    <w:qFormat/>
    <w:uiPriority w:val="0"/>
    <w:pPr>
      <w:numPr>
        <w:ilvl w:val="1"/>
        <w:numId w:val="1"/>
      </w:numPr>
      <w:tabs>
        <w:tab w:val="clear" w:pos="851"/>
      </w:tabs>
      <w:adjustRightInd w:val="0"/>
      <w:spacing w:line="360" w:lineRule="auto"/>
      <w:ind w:left="980" w:hanging="980" w:hangingChars="350"/>
      <w:textAlignment w:val="baseline"/>
      <w:outlineLvl w:val="1"/>
    </w:pPr>
    <w:rPr>
      <w:rFonts w:ascii="仿宋" w:hAnsi="仿宋" w:eastAsia="仿宋"/>
      <w:b/>
      <w:kern w:val="0"/>
      <w:sz w:val="28"/>
      <w:szCs w:val="21"/>
    </w:rPr>
  </w:style>
  <w:style w:type="paragraph" w:customStyle="1" w:styleId="74">
    <w:name w:val="正文 1.1.1"/>
    <w:basedOn w:val="1"/>
    <w:next w:val="1"/>
    <w:qFormat/>
    <w:uiPriority w:val="0"/>
    <w:pPr>
      <w:numPr>
        <w:ilvl w:val="2"/>
        <w:numId w:val="1"/>
      </w:numPr>
      <w:adjustRightInd w:val="0"/>
      <w:spacing w:line="360" w:lineRule="auto"/>
      <w:textAlignment w:val="baseline"/>
      <w:outlineLvl w:val="2"/>
    </w:pPr>
    <w:rPr>
      <w:rFonts w:ascii="宋体" w:hAnsi="宋体"/>
      <w:color w:val="000000"/>
      <w:kern w:val="0"/>
      <w:sz w:val="28"/>
      <w:szCs w:val="21"/>
    </w:rPr>
  </w:style>
  <w:style w:type="paragraph" w:customStyle="1" w:styleId="75">
    <w:name w:val="附录1"/>
    <w:qFormat/>
    <w:uiPriority w:val="0"/>
    <w:pPr>
      <w:numPr>
        <w:ilvl w:val="0"/>
        <w:numId w:val="3"/>
      </w:numPr>
      <w:snapToGrid w:val="0"/>
      <w:spacing w:before="240" w:line="600" w:lineRule="atLeast"/>
    </w:pPr>
    <w:rPr>
      <w:rFonts w:ascii="Times New Roman" w:hAnsi="Times New Roman" w:eastAsia="宋体" w:cs="Times New Roman"/>
      <w:b/>
      <w:i/>
      <w:sz w:val="28"/>
      <w:lang w:val="en-US" w:eastAsia="zh-CN" w:bidi="ar-SA"/>
    </w:rPr>
  </w:style>
  <w:style w:type="paragraph" w:customStyle="1" w:styleId="76">
    <w:name w:val="正文空2格  1."/>
    <w:basedOn w:val="1"/>
    <w:qFormat/>
    <w:uiPriority w:val="0"/>
    <w:pPr>
      <w:adjustRightInd w:val="0"/>
      <w:spacing w:line="360" w:lineRule="auto"/>
      <w:ind w:firstLine="480" w:firstLineChars="200"/>
      <w:textAlignment w:val="baseline"/>
    </w:pPr>
    <w:rPr>
      <w:rFonts w:ascii="宋体" w:eastAsia="仿宋" w:cs="宋体"/>
      <w:kern w:val="0"/>
      <w:sz w:val="28"/>
      <w:szCs w:val="20"/>
    </w:rPr>
  </w:style>
  <w:style w:type="paragraph" w:customStyle="1" w:styleId="77">
    <w:name w:val="Char Char Char Char1 Char Char Char"/>
    <w:basedOn w:val="12"/>
    <w:qFormat/>
    <w:uiPriority w:val="0"/>
    <w:pPr>
      <w:adjustRightInd w:val="0"/>
      <w:snapToGrid w:val="0"/>
      <w:spacing w:line="360" w:lineRule="auto"/>
    </w:pPr>
    <w:rPr>
      <w:rFonts w:ascii="Tahoma" w:hAnsi="Tahoma"/>
      <w:sz w:val="24"/>
    </w:rPr>
  </w:style>
  <w:style w:type="paragraph" w:customStyle="1" w:styleId="78">
    <w:name w:val="Char Char Char Char1 Char Char"/>
    <w:basedOn w:val="1"/>
    <w:qFormat/>
    <w:uiPriority w:val="0"/>
    <w:pPr>
      <w:tabs>
        <w:tab w:val="left" w:pos="360"/>
      </w:tabs>
    </w:pPr>
    <w:rPr>
      <w:sz w:val="24"/>
    </w:rPr>
  </w:style>
  <w:style w:type="paragraph" w:customStyle="1" w:styleId="79">
    <w:name w:val="Char1"/>
    <w:basedOn w:val="1"/>
    <w:qFormat/>
    <w:uiPriority w:val="0"/>
    <w:pPr>
      <w:tabs>
        <w:tab w:val="left" w:pos="360"/>
      </w:tabs>
    </w:pPr>
    <w:rPr>
      <w:sz w:val="24"/>
    </w:rPr>
  </w:style>
  <w:style w:type="paragraph" w:customStyle="1" w:styleId="8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81">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customStyle="1" w:styleId="82">
    <w:name w:val="列出段落1"/>
    <w:basedOn w:val="1"/>
    <w:link w:val="83"/>
    <w:qFormat/>
    <w:uiPriority w:val="0"/>
    <w:pPr>
      <w:widowControl/>
      <w:ind w:left="720"/>
      <w:contextualSpacing/>
      <w:jc w:val="left"/>
    </w:pPr>
    <w:rPr>
      <w:kern w:val="0"/>
      <w:sz w:val="24"/>
      <w:lang w:eastAsia="en-US" w:bidi="en-US"/>
    </w:rPr>
  </w:style>
  <w:style w:type="character" w:customStyle="1" w:styleId="83">
    <w:name w:val="列出段落 Char"/>
    <w:link w:val="82"/>
    <w:qFormat/>
    <w:locked/>
    <w:uiPriority w:val="0"/>
    <w:rPr>
      <w:rFonts w:ascii="Calibri" w:hAnsi="Calibri"/>
      <w:sz w:val="24"/>
      <w:szCs w:val="24"/>
      <w:lang w:eastAsia="en-US" w:bidi="en-US"/>
    </w:rPr>
  </w:style>
  <w:style w:type="paragraph" w:customStyle="1" w:styleId="84">
    <w:name w:val="Coms Alinea"/>
    <w:qFormat/>
    <w:uiPriority w:val="0"/>
    <w:pPr>
      <w:widowControl w:val="0"/>
    </w:pPr>
    <w:rPr>
      <w:rFonts w:ascii="Arial" w:hAnsi="Arial" w:eastAsia="宋体" w:cs="Arial"/>
      <w:lang w:val="en-US" w:eastAsia="zh-CN" w:bidi="ar-SA"/>
    </w:rPr>
  </w:style>
  <w:style w:type="paragraph" w:customStyle="1" w:styleId="85">
    <w:name w:val="标题3"/>
    <w:basedOn w:val="1"/>
    <w:next w:val="1"/>
    <w:qFormat/>
    <w:uiPriority w:val="0"/>
    <w:rPr>
      <w:rFonts w:eastAsia="方正黑体_GBK"/>
    </w:rPr>
  </w:style>
  <w:style w:type="paragraph" w:customStyle="1" w:styleId="86">
    <w:name w:val="标题2"/>
    <w:basedOn w:val="1"/>
    <w:next w:val="1"/>
    <w:qFormat/>
    <w:uiPriority w:val="0"/>
    <w:pPr>
      <w:jc w:val="center"/>
    </w:pPr>
    <w:rPr>
      <w:rFonts w:eastAsia="方正楷体_GBK"/>
    </w:rPr>
  </w:style>
  <w:style w:type="paragraph" w:customStyle="1" w:styleId="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88">
    <w:name w:val="Char2"/>
    <w:basedOn w:val="1"/>
    <w:qFormat/>
    <w:uiPriority w:val="0"/>
    <w:rPr>
      <w:rFonts w:ascii="Tahoma" w:hAnsi="Tahoma"/>
      <w:snapToGrid w:val="0"/>
      <w:sz w:val="24"/>
      <w:szCs w:val="20"/>
    </w:rPr>
  </w:style>
  <w:style w:type="paragraph" w:customStyle="1" w:styleId="89">
    <w:name w:val="xl47"/>
    <w:basedOn w:val="1"/>
    <w:qFormat/>
    <w:uiPriority w:val="0"/>
    <w:pPr>
      <w:widowControl/>
      <w:spacing w:before="100" w:beforeAutospacing="1" w:after="100" w:afterAutospacing="1"/>
      <w:jc w:val="center"/>
    </w:pPr>
    <w:rPr>
      <w:rFonts w:hint="eastAsia" w:ascii="方正姚体" w:hAnsi="宋体" w:eastAsia="方正姚体"/>
      <w:b/>
      <w:bCs/>
      <w:kern w:val="0"/>
      <w:sz w:val="36"/>
      <w:szCs w:val="36"/>
    </w:rPr>
  </w:style>
  <w:style w:type="paragraph" w:customStyle="1" w:styleId="90">
    <w:name w:val="Table Text"/>
    <w:qFormat/>
    <w:uiPriority w:val="0"/>
    <w:pPr>
      <w:snapToGrid w:val="0"/>
      <w:spacing w:beforeLines="50" w:after="80"/>
      <w:jc w:val="center"/>
    </w:pPr>
    <w:rPr>
      <w:rFonts w:ascii="仿宋_GB2312" w:hAnsi="宋体" w:eastAsia="仿宋_GB2312" w:cs="Times New Roman"/>
      <w:sz w:val="24"/>
      <w:lang w:val="en-US" w:eastAsia="zh-CN" w:bidi="ar-SA"/>
    </w:rPr>
  </w:style>
  <w:style w:type="paragraph" w:customStyle="1" w:styleId="91">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92">
    <w:name w:val="正文缩进2"/>
    <w:basedOn w:val="1"/>
    <w:qFormat/>
    <w:uiPriority w:val="0"/>
    <w:pPr>
      <w:ind w:firstLine="540"/>
    </w:pPr>
    <w:rPr>
      <w:rFonts w:ascii="仿宋_GB2312" w:eastAsia="仿宋_GB2312"/>
      <w:kern w:val="0"/>
      <w:sz w:val="28"/>
      <w:lang w:val="zh-CN"/>
    </w:rPr>
  </w:style>
  <w:style w:type="paragraph" w:styleId="93">
    <w:name w:val="List Paragraph"/>
    <w:basedOn w:val="1"/>
    <w:qFormat/>
    <w:uiPriority w:val="0"/>
    <w:pPr>
      <w:ind w:firstLine="420" w:firstLineChars="200"/>
    </w:pPr>
    <w:rPr>
      <w:rFonts w:ascii="Calibri" w:hAnsi="Calibri"/>
      <w:szCs w:val="22"/>
    </w:rPr>
  </w:style>
  <w:style w:type="paragraph" w:customStyle="1" w:styleId="94">
    <w:name w:val="默认段落字体 Para Char Char Char Char Char Char Char Char Char1 Char Char Char Char Char Char Char"/>
    <w:basedOn w:val="12"/>
    <w:qFormat/>
    <w:uiPriority w:val="0"/>
    <w:rPr>
      <w:rFonts w:ascii="Tahoma" w:hAnsi="Tahoma"/>
      <w:sz w:val="24"/>
    </w:rPr>
  </w:style>
  <w:style w:type="paragraph" w:customStyle="1" w:styleId="95">
    <w:name w:val="国图标题4"/>
    <w:basedOn w:val="7"/>
    <w:qFormat/>
    <w:uiPriority w:val="0"/>
    <w:pPr>
      <w:numPr>
        <w:ilvl w:val="3"/>
        <w:numId w:val="2"/>
      </w:numPr>
      <w:tabs>
        <w:tab w:val="left" w:pos="900"/>
      </w:tabs>
      <w:spacing w:beforeLines="50" w:afterLines="50" w:line="360" w:lineRule="auto"/>
    </w:pPr>
    <w:rPr>
      <w:rFonts w:ascii="宋体" w:hAnsi="宋体"/>
      <w:sz w:val="24"/>
    </w:rPr>
  </w:style>
  <w:style w:type="paragraph" w:customStyle="1" w:styleId="96">
    <w:name w:val="正文2"/>
    <w:basedOn w:val="1"/>
    <w:qFormat/>
    <w:uiPriority w:val="0"/>
    <w:pPr>
      <w:ind w:firstLine="420" w:firstLineChars="200"/>
    </w:pPr>
    <w:rPr>
      <w:sz w:val="28"/>
    </w:rPr>
  </w:style>
  <w:style w:type="character" w:customStyle="1" w:styleId="97">
    <w:name w:val="jj1"/>
    <w:qFormat/>
    <w:uiPriority w:val="0"/>
    <w:rPr>
      <w:sz w:val="20"/>
      <w:szCs w:val="20"/>
      <w:u w:val="none"/>
    </w:rPr>
  </w:style>
  <w:style w:type="character" w:customStyle="1" w:styleId="98">
    <w:name w:val="标题2 Char"/>
    <w:qFormat/>
    <w:uiPriority w:val="0"/>
    <w:rPr>
      <w:rFonts w:ascii="方正楷体_GBK" w:hAnsi="Book Antiqua" w:eastAsia="方正楷体_GBK"/>
      <w:snapToGrid w:val="0"/>
      <w:sz w:val="32"/>
      <w:lang w:val="en-US" w:eastAsia="zh-CN" w:bidi="ar-SA"/>
    </w:rPr>
  </w:style>
  <w:style w:type="character" w:customStyle="1" w:styleId="99">
    <w:name w:val="NormalCharacter"/>
    <w:qFormat/>
    <w:uiPriority w:val="0"/>
    <w:rPr>
      <w:kern w:val="2"/>
      <w:sz w:val="21"/>
      <w:szCs w:val="22"/>
      <w:lang w:val="en-US" w:eastAsia="zh-CN" w:bidi="ar-SA"/>
    </w:rPr>
  </w:style>
  <w:style w:type="paragraph" w:customStyle="1" w:styleId="100">
    <w:name w:val="二级标题2"/>
    <w:basedOn w:val="5"/>
    <w:next w:val="3"/>
    <w:qFormat/>
    <w:uiPriority w:val="0"/>
    <w:pPr>
      <w:adjustRightInd w:val="0"/>
      <w:snapToGrid w:val="0"/>
      <w:spacing w:before="0" w:after="0" w:line="360" w:lineRule="auto"/>
      <w:jc w:val="both"/>
    </w:pPr>
    <w:rPr>
      <w:rFonts w:ascii="华文中宋" w:hAnsi="华文中宋" w:eastAsia="华文中宋"/>
      <w:bCs/>
      <w:sz w:val="24"/>
      <w:szCs w:val="24"/>
    </w:rPr>
  </w:style>
  <w:style w:type="paragraph" w:customStyle="1" w:styleId="101">
    <w:name w:val="表格"/>
    <w:basedOn w:val="1"/>
    <w:qFormat/>
    <w:uiPriority w:val="0"/>
    <w:pPr>
      <w:spacing w:line="360" w:lineRule="exact"/>
      <w:jc w:val="center"/>
    </w:pPr>
    <w:rPr>
      <w:rFonts w:ascii="Calibri" w:hAnsi="Calibri"/>
      <w:sz w:val="28"/>
      <w:szCs w:val="21"/>
    </w:rPr>
  </w:style>
  <w:style w:type="paragraph" w:customStyle="1" w:styleId="102">
    <w:name w:val="WPSOffice手动目录 1"/>
    <w:qFormat/>
    <w:uiPriority w:val="0"/>
    <w:rPr>
      <w:rFonts w:ascii="Times New Roman" w:hAnsi="Times New Roman" w:eastAsia="宋体" w:cs="Times New Roman"/>
      <w:lang w:val="en-US" w:eastAsia="zh-CN" w:bidi="ar-SA"/>
    </w:rPr>
  </w:style>
  <w:style w:type="paragraph" w:customStyle="1" w:styleId="103">
    <w:name w:val="NormalIndent"/>
    <w:basedOn w:val="1"/>
    <w:qFormat/>
    <w:uiPriority w:val="0"/>
    <w:pPr>
      <w:ind w:firstLine="420"/>
    </w:pPr>
  </w:style>
  <w:style w:type="paragraph" w:customStyle="1" w:styleId="104">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105">
    <w:name w:val="首行缩进"/>
    <w:basedOn w:val="1"/>
    <w:qFormat/>
    <w:uiPriority w:val="0"/>
    <w:pPr>
      <w:spacing w:line="360" w:lineRule="auto"/>
      <w:ind w:firstLine="480" w:firstLineChars="200"/>
    </w:pPr>
    <w:rPr>
      <w:rFonts w:ascii="宋体" w:hAnsi="宋体" w:cs="宋体"/>
      <w:kern w:val="0"/>
      <w:sz w:val="24"/>
    </w:rPr>
  </w:style>
  <w:style w:type="paragraph" w:customStyle="1" w:styleId="106">
    <w:name w:val="页脚1"/>
    <w:basedOn w:val="1"/>
    <w:link w:val="107"/>
    <w:unhideWhenUsed/>
    <w:qFormat/>
    <w:uiPriority w:val="99"/>
    <w:pPr>
      <w:tabs>
        <w:tab w:val="center" w:pos="7143"/>
        <w:tab w:val="right" w:pos="14287"/>
      </w:tabs>
    </w:pPr>
    <w:rPr>
      <w:kern w:val="0"/>
    </w:rPr>
  </w:style>
  <w:style w:type="character" w:customStyle="1" w:styleId="107">
    <w:name w:val="Footer Char"/>
    <w:link w:val="106"/>
    <w:qFormat/>
    <w:uiPriority w:val="99"/>
    <w:rPr>
      <w:sz w:val="21"/>
      <w:szCs w:val="24"/>
    </w:rPr>
  </w:style>
  <w:style w:type="character" w:customStyle="1" w:styleId="108">
    <w:name w:val="标题 1 字符"/>
    <w:qFormat/>
    <w:uiPriority w:val="0"/>
    <w:rPr>
      <w:rFonts w:ascii="楷体_GB2312" w:eastAsia="楷体_GB2312"/>
      <w:kern w:val="2"/>
      <w:sz w:val="28"/>
      <w:lang w:val="en-US" w:eastAsia="zh-CN" w:bidi="ar-SA"/>
    </w:rPr>
  </w:style>
  <w:style w:type="paragraph" w:customStyle="1" w:styleId="109">
    <w:name w:val="_Style 114"/>
    <w:basedOn w:val="16"/>
    <w:next w:val="41"/>
    <w:unhideWhenUsed/>
    <w:qFormat/>
    <w:uiPriority w:val="99"/>
    <w:pPr>
      <w:spacing w:line="360" w:lineRule="auto"/>
      <w:ind w:firstLine="420" w:firstLineChars="200"/>
    </w:pPr>
    <w:rPr>
      <w:rFonts w:ascii="Calibri" w:hAnsi="Calibri" w:eastAsia="宋体"/>
      <w:sz w:val="21"/>
    </w:rPr>
  </w:style>
  <w:style w:type="paragraph" w:customStyle="1" w:styleId="110">
    <w:name w:val="列出段落3"/>
    <w:basedOn w:val="1"/>
    <w:qFormat/>
    <w:uiPriority w:val="0"/>
    <w:pPr>
      <w:ind w:firstLine="420"/>
    </w:pPr>
    <w:rPr>
      <w:szCs w:val="20"/>
    </w:rPr>
  </w:style>
  <w:style w:type="character" w:customStyle="1" w:styleId="111">
    <w:name w:val="页脚 字符"/>
    <w:basedOn w:val="44"/>
    <w:link w:val="27"/>
    <w:qFormat/>
    <w:uiPriority w:val="99"/>
    <w:rPr>
      <w:kern w:val="2"/>
      <w:sz w:val="18"/>
    </w:rPr>
  </w:style>
  <w:style w:type="character" w:customStyle="1" w:styleId="112">
    <w:name w:val="纯文本 字符1"/>
    <w:qFormat/>
    <w:uiPriority w:val="0"/>
    <w:rPr>
      <w:rFonts w:ascii="宋体" w:hAnsi="Courier New"/>
      <w:kern w:val="2"/>
      <w:sz w:val="28"/>
    </w:rPr>
  </w:style>
  <w:style w:type="paragraph" w:customStyle="1" w:styleId="113">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5">
    <w:name w:val="font6"/>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116">
    <w:name w:val="font7"/>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17">
    <w:name w:val="font8"/>
    <w:basedOn w:val="1"/>
    <w:qFormat/>
    <w:uiPriority w:val="0"/>
    <w:pPr>
      <w:widowControl/>
      <w:spacing w:before="100" w:beforeAutospacing="1" w:after="100" w:afterAutospacing="1"/>
      <w:jc w:val="left"/>
    </w:pPr>
    <w:rPr>
      <w:rFonts w:ascii="Arial" w:hAnsi="Arial" w:cs="Arial"/>
      <w:color w:val="000000"/>
      <w:kern w:val="0"/>
      <w:sz w:val="20"/>
      <w:szCs w:val="20"/>
    </w:rPr>
  </w:style>
  <w:style w:type="paragraph" w:customStyle="1" w:styleId="118">
    <w:name w:val="font9"/>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120">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121">
    <w:name w:val="xl6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2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2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125">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26">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2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2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9">
    <w:name w:val="xl7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30">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13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3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3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3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s="宋体"/>
      <w:kern w:val="0"/>
      <w:sz w:val="20"/>
      <w:szCs w:val="20"/>
    </w:rPr>
  </w:style>
  <w:style w:type="paragraph" w:customStyle="1" w:styleId="135">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0"/>
      <w:szCs w:val="20"/>
    </w:rPr>
  </w:style>
  <w:style w:type="paragraph" w:customStyle="1" w:styleId="136">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137">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138">
    <w:name w:val="xl82"/>
    <w:basedOn w:val="1"/>
    <w:qFormat/>
    <w:uiPriority w:val="0"/>
    <w:pPr>
      <w:widowControl/>
      <w:spacing w:before="100" w:beforeAutospacing="1" w:after="100" w:afterAutospacing="1"/>
      <w:jc w:val="center"/>
    </w:pPr>
    <w:rPr>
      <w:rFonts w:ascii="宋体" w:hAnsi="宋体" w:cs="宋体"/>
      <w:kern w:val="0"/>
      <w:sz w:val="20"/>
      <w:szCs w:val="20"/>
    </w:rPr>
  </w:style>
  <w:style w:type="paragraph" w:customStyle="1" w:styleId="139">
    <w:name w:val="xl83"/>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140">
    <w:name w:val="xl84"/>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2">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3">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144">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Desktop\&#24742;&#28330;angela\&#20241;&#38386;&#26102;&#21051;\&#26631;&#20934;&#21270;&#30923;&#21830;&#25991;&#20214;.doc"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标准化磋商文件</Template>
  <Pages>44</Pages>
  <Words>8662</Words>
  <Characters>9334</Characters>
  <Lines>141</Lines>
  <Paragraphs>39</Paragraphs>
  <TotalTime>7</TotalTime>
  <ScaleCrop>false</ScaleCrop>
  <LinksUpToDate>false</LinksUpToDate>
  <CharactersWithSpaces>9488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2024-05-06T08:35:00Z</dcterms:created>
  <dc:creator>顾伟伟</dc:creator>
  <cp:lastModifiedBy>好人一生平安</cp:lastModifiedBy>
  <cp:lastPrinted>2025-12-15T07:26:00Z</cp:lastPrinted>
  <dcterms:modified xsi:type="dcterms:W3CDTF">2026-08-27T08:04:40Z</dcterms:modified>
  <cp:revision>150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DCA28C31107A48F29468708D77E4368C_13</vt:lpwstr>
  </property>
  <property fmtid="{D5CDD505-2E9C-101B-9397-08002B2CF9AE}" pid="3" name="KSOProductBuildVer">
    <vt:lpwstr>2052-12.1.0.28043</vt:lpwstr>
  </property>
  <property fmtid="{D5CDD505-2E9C-101B-9397-08002B2CF9AE}" pid="4" name="KSOTemplateDocerSaveRecord">
    <vt:lpwstr>eyJoZGlkIjoiZTYzMjg4NzNlNTIzNmVkMWM1YTJhMWNjNjc2Yzk5YzQiLCJ1c2VySWQiOiI5Nzg2NzAzODcifQ==</vt:lpwstr>
  </property>
</Properties>
</file>