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440001-2025-47274</w:t>
      </w:r>
    </w:p>
    <w:p>
      <w:pPr>
        <w:pStyle w:val="null3"/>
        <w:jc w:val="center"/>
        <w:outlineLvl w:val="3"/>
      </w:pPr>
      <w:r>
        <w:rPr>
          <w:sz w:val="24"/>
          <w:b/>
        </w:rPr>
        <w:t>采购项目编号：</w:t>
      </w:r>
      <w:r>
        <w:rPr>
          <w:sz w:val="24"/>
          <w:b/>
        </w:rPr>
        <w:t>440001-2025-47274</w:t>
      </w:r>
    </w:p>
    <w:p>
      <w:pPr>
        <w:pStyle w:val="null3"/>
        <w:jc w:val="center"/>
        <w:outlineLvl w:val="3"/>
      </w:pPr>
      <w:r>
        <w:rPr>
          <w:sz w:val="24"/>
          <w:b/>
        </w:rPr>
        <w:t>项目名称：</w:t>
      </w:r>
      <w:r>
        <w:rPr>
          <w:sz w:val="24"/>
          <w:b/>
        </w:rPr>
        <w:t>信息化软硬件综合维护服务项目</w:t>
      </w:r>
    </w:p>
    <w:p>
      <w:pPr>
        <w:pStyle w:val="null3"/>
        <w:jc w:val="center"/>
        <w:outlineLvl w:val="3"/>
      </w:pPr>
      <w:r>
        <w:rPr>
          <w:sz w:val="24"/>
          <w:b/>
        </w:rPr>
        <w:t>采购人：</w:t>
      </w:r>
      <w:r>
        <w:rPr>
          <w:sz w:val="24"/>
          <w:b/>
        </w:rPr>
        <w:t>东莞市第二人民法院</w:t>
      </w:r>
    </w:p>
    <w:p>
      <w:pPr>
        <w:pStyle w:val="null3"/>
        <w:jc w:val="center"/>
        <w:outlineLvl w:val="3"/>
      </w:pPr>
      <w:r>
        <w:rPr>
          <w:sz w:val="24"/>
          <w:b/>
        </w:rPr>
        <w:t>采购代理机构：</w:t>
      </w:r>
      <w:r>
        <w:rPr>
          <w:sz w:val="24"/>
          <w:b/>
        </w:rPr>
        <w:t>中新工程咨询（广东）有限公司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中新工程咨询（广东）有限公司</w:t>
      </w:r>
      <w:r>
        <w:rPr/>
        <w:t>受</w:t>
      </w:r>
      <w:r>
        <w:rPr/>
        <w:t>东莞市第二人民法院</w:t>
      </w:r>
      <w:r>
        <w:rPr/>
        <w:t>的委托，采用</w:t>
      </w:r>
      <w:r>
        <w:rPr/>
        <w:t>公开招标</w:t>
      </w:r>
      <w:r>
        <w:rPr/>
        <w:t>方式组织采购</w:t>
      </w:r>
      <w:r>
        <w:rPr/>
        <w:t>信息化软硬件综合维护服务项目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信息化软硬件综合维护服务项目</w:t>
      </w:r>
    </w:p>
    <w:p>
      <w:pPr>
        <w:pStyle w:val="null3"/>
        <w:ind w:firstLine="480"/>
      </w:pPr>
      <w:r>
        <w:rPr/>
        <w:t>采购计划编号：</w:t>
      </w:r>
      <w:r>
        <w:rPr/>
        <w:t>440001-2025-47274</w:t>
      </w:r>
    </w:p>
    <w:p>
      <w:pPr>
        <w:pStyle w:val="null3"/>
        <w:ind w:firstLine="480"/>
      </w:pPr>
      <w:r>
        <w:rPr/>
        <w:t>采购项目编号：</w:t>
      </w:r>
      <w:r>
        <w:rPr/>
        <w:t>440001-2025-47274</w:t>
      </w:r>
    </w:p>
    <w:p>
      <w:pPr>
        <w:pStyle w:val="null3"/>
        <w:ind w:firstLine="480"/>
      </w:pPr>
      <w:r>
        <w:rPr/>
        <w:t>采购方式：</w:t>
      </w:r>
      <w:r>
        <w:rPr/>
        <w:t>公开招标</w:t>
      </w:r>
    </w:p>
    <w:p>
      <w:pPr>
        <w:pStyle w:val="null3"/>
        <w:ind w:firstLine="480"/>
      </w:pPr>
      <w:r>
        <w:rPr/>
        <w:t>预算金额：</w:t>
      </w:r>
      <w:r>
        <w:rPr/>
        <w:t>1,640,000.00</w:t>
      </w:r>
      <w:r>
        <w:rPr/>
        <w:t>元</w:t>
      </w:r>
    </w:p>
    <w:p>
      <w:pPr>
        <w:pStyle w:val="null3"/>
        <w:outlineLvl w:val="3"/>
      </w:pPr>
      <w:r>
        <w:rPr>
          <w:sz w:val="24"/>
          <w:b/>
        </w:rPr>
        <w:t>2.项目内容及需求情况（采购项目技术规格、参数及要求）</w:t>
      </w:r>
    </w:p>
    <w:p>
      <w:pPr>
        <w:pStyle w:val="null3"/>
      </w:pPr>
      <w:r>
        <w:rPr/>
        <w:t>采购包1(信息化软硬件综合维护服务项目):</w:t>
      </w:r>
    </w:p>
    <w:p>
      <w:pPr>
        <w:pStyle w:val="null3"/>
      </w:pPr>
      <w:r>
        <w:rPr/>
        <w:t>采购包预算金额：1,640,000.00元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硬件运维服务</w:t>
            </w:r>
          </w:p>
        </w:tc>
        <w:tc>
          <w:tcPr>
            <w:tcW w:type="dxa" w:w="2136"/>
          </w:tcPr>
          <w:p>
            <w:pPr>
              <w:pStyle w:val="null3"/>
            </w:pPr>
            <w:r>
              <w:rPr/>
              <w:t>信息化软硬件综合运维服务项目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提供投标截止日前6个月内任意1个月依法缴纳税收和社会保障资金的相关材料。或提供《资格条件承诺函》。如依法免税或不需要缴纳社会保障资金的，须提供相应证明材料。</w:t>
      </w:r>
    </w:p>
    <w:p>
      <w:pPr>
        <w:pStyle w:val="null3"/>
      </w:pPr>
      <w:r>
        <w:rPr/>
        <w:t>3）具有良好的商业信誉和健全的财务会计制度：提供投标截止日前3年内任意1年的财务状况报告或提供基本开户行出具的资信证明。或提供《资格条件承诺函》。</w:t>
      </w:r>
    </w:p>
    <w:p>
      <w:pPr>
        <w:pStyle w:val="null3"/>
      </w:pPr>
      <w:r>
        <w:rPr/>
        <w:t>4）履行合同所必需的设备和专业技术能力：按投标文件格式填报设备及专业技术能力情况。或提供《资格条件承诺函》。</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采购包1（信息化软硬件综合维护服务项目）：</w:t>
      </w:r>
      <w:r>
        <w:rPr/>
        <w:t>本项目不专门面向中小企业采购。本项目中小企业划型标准所属行业为：软件和信息技术服务业。</w:t>
      </w:r>
    </w:p>
    <w:p>
      <w:pPr>
        <w:pStyle w:val="null3"/>
        <w:outlineLvl w:val="3"/>
      </w:pPr>
      <w:r>
        <w:rPr>
          <w:sz w:val="24"/>
          <w:b/>
        </w:rPr>
        <w:t>3.本项目特定的资格要求：</w:t>
      </w:r>
    </w:p>
    <w:p>
      <w:pPr>
        <w:pStyle w:val="null3"/>
      </w:pPr>
      <w:r>
        <w:rPr/>
        <w:t>采购包1（信息化软硬件综合维护服务项目）：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东莞市第二人民法院</w:t>
      </w:r>
    </w:p>
    <w:p>
      <w:pPr>
        <w:pStyle w:val="null3"/>
        <w:ind w:firstLine="480"/>
      </w:pPr>
      <w:r>
        <w:rPr/>
        <w:t xml:space="preserve"> 地址：</w:t>
      </w:r>
      <w:r>
        <w:rPr/>
        <w:t>东莞市长安镇涌头村107国道旁</w:t>
      </w:r>
    </w:p>
    <w:p>
      <w:pPr>
        <w:pStyle w:val="null3"/>
        <w:ind w:firstLine="480"/>
      </w:pPr>
      <w:r>
        <w:rPr/>
        <w:t xml:space="preserve"> 联系方式：</w:t>
      </w:r>
      <w:r>
        <w:rPr/>
        <w:t>0769-89889200</w:t>
      </w:r>
    </w:p>
    <w:p>
      <w:pPr>
        <w:pStyle w:val="null3"/>
        <w:outlineLvl w:val="3"/>
      </w:pPr>
      <w:r>
        <w:rPr>
          <w:sz w:val="24"/>
          <w:b/>
        </w:rPr>
        <w:t xml:space="preserve"> 2.采购代理机构信息</w:t>
      </w:r>
    </w:p>
    <w:p>
      <w:pPr>
        <w:pStyle w:val="null3"/>
        <w:ind w:firstLine="480"/>
      </w:pPr>
      <w:r>
        <w:rPr/>
        <w:t xml:space="preserve"> 名称：</w:t>
      </w:r>
      <w:r>
        <w:rPr/>
        <w:t>中新工程咨询（广东）有限公司</w:t>
      </w:r>
    </w:p>
    <w:p>
      <w:pPr>
        <w:pStyle w:val="null3"/>
        <w:ind w:firstLine="480"/>
      </w:pPr>
      <w:r>
        <w:rPr/>
        <w:t xml:space="preserve"> 地址：</w:t>
      </w:r>
      <w:r>
        <w:rPr/>
        <w:t>广东省东莞市南城街道元美东路6号306室</w:t>
      </w:r>
    </w:p>
    <w:p>
      <w:pPr>
        <w:pStyle w:val="null3"/>
        <w:ind w:firstLine="480"/>
      </w:pPr>
      <w:r>
        <w:rPr/>
        <w:t xml:space="preserve"> 联系方式：</w:t>
      </w:r>
      <w:r>
        <w:rPr/>
        <w:t>0769-22331910</w:t>
      </w:r>
    </w:p>
    <w:p>
      <w:pPr>
        <w:pStyle w:val="null3"/>
        <w:outlineLvl w:val="3"/>
      </w:pPr>
      <w:r>
        <w:rPr>
          <w:sz w:val="24"/>
          <w:b/>
        </w:rPr>
        <w:t xml:space="preserve"> 3.项目联系方式</w:t>
      </w:r>
    </w:p>
    <w:p>
      <w:pPr>
        <w:pStyle w:val="null3"/>
        <w:ind w:firstLine="480"/>
      </w:pPr>
      <w:r>
        <w:rPr/>
        <w:t xml:space="preserve"> 项目联系人：</w:t>
      </w:r>
      <w:r>
        <w:rPr/>
        <w:t>王先生</w:t>
      </w:r>
    </w:p>
    <w:p>
      <w:pPr>
        <w:pStyle w:val="null3"/>
        <w:ind w:firstLine="480"/>
      </w:pPr>
      <w:r>
        <w:rPr/>
        <w:t xml:space="preserve"> 电话：</w:t>
      </w:r>
      <w:r>
        <w:rPr/>
        <w:t>0769-22331910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中新工程咨询（广东）有限公司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1.1</w:t>
      </w:r>
      <w:r>
        <w:rPr>
          <w:sz w:val="22"/>
          <w:b/>
        </w:rPr>
        <w:t>项目运维目标</w:t>
      </w:r>
    </w:p>
    <w:p>
      <w:pPr>
        <w:pStyle w:val="null3"/>
        <w:ind w:firstLine="440"/>
        <w:jc w:val="left"/>
      </w:pPr>
      <w:r>
        <w:rPr>
          <w:sz w:val="22"/>
        </w:rPr>
        <w:t>本项目采取整体运维服务外包的方式委托第三方的专业运维公司承担东莞市第二人民法院的全部信息化设备和软件系统（详见需求书内的各个系统设备清单，清单仅供参考，以实际设备数量为准），如数据中心机房内设备（含供电系统、气体消防、后备电源、环境动力系统等）、辖区内各人民法庭机房内设备（含供电系统、气体消防、后备电源、环境动力系统等）、整体网络、网络安全服务运维、科技法庭、执行指挥系统、视频监控、门禁系统、车辆出入系统、会议室会议设备、视频会议设备等及在用的软件系统（包含但不限于财务管理系统、资产管理系统、消费系统、虚拟软件等），以及全院范围内全部办公终端设备的运行维护任务，利用专业运维公司的技术、智力、人力等资源，通过科学规范的项目管理，为东莞第二法院提供各类可应用、可量化、可管理、可评估的运行维护服务；为外包各系统提供硬件、软件全方位的良好维护、保养、系统技术保障和全面响应，保证各系统设备、管路、线缆等正常工作；全面保障东莞市第二人民法院智能化系统安全运行和信息有效应用，同时为东莞市第二人民法院信息化工程建设和其他工作需求提供技术咨询。</w:t>
      </w:r>
    </w:p>
    <w:p>
      <w:pPr>
        <w:pStyle w:val="null3"/>
        <w:ind w:firstLine="440"/>
        <w:jc w:val="left"/>
      </w:pPr>
      <w:r>
        <w:rPr>
          <w:sz w:val="22"/>
        </w:rPr>
        <w:t>本项目目标为采购人提供各类可应用、可量化、可管理、可评估的运行维护服务；为外包各系统提供硬件、软件全方位的良好维护、保养、系统技术保障和全面响应，保证各系统设备、管路、线缆等正常工作；全面保障采购人智能化系统安全运行和信息有效应用，同时为采购人信息化工程建设和其他工作需求提供技术咨询。</w:t>
      </w:r>
    </w:p>
    <w:p>
      <w:pPr>
        <w:pStyle w:val="null3"/>
        <w:ind w:firstLine="440"/>
        <w:jc w:val="left"/>
      </w:pPr>
      <w:r>
        <w:rPr>
          <w:sz w:val="22"/>
        </w:rPr>
        <w:t>通过加强运维工作，使智能化为法院审判工作和法院管理工作提供重要的技术支撑。</w:t>
      </w:r>
    </w:p>
    <w:p>
      <w:pPr>
        <w:pStyle w:val="null3"/>
        <w:jc w:val="left"/>
      </w:pPr>
      <w:r>
        <w:rPr>
          <w:sz w:val="24"/>
          <w:b/>
        </w:rPr>
        <w:t>1.2</w:t>
      </w:r>
      <w:r>
        <w:rPr>
          <w:sz w:val="22"/>
          <w:b/>
        </w:rPr>
        <w:t>服务覆盖范围</w:t>
      </w:r>
    </w:p>
    <w:p>
      <w:pPr>
        <w:pStyle w:val="null3"/>
        <w:ind w:left="420"/>
        <w:jc w:val="left"/>
      </w:pPr>
      <w:r>
        <w:rPr>
          <w:sz w:val="22"/>
          <w:b/>
        </w:rPr>
        <w:t>（</w:t>
      </w:r>
      <w:r>
        <w:rPr>
          <w:sz w:val="22"/>
          <w:b/>
        </w:rPr>
        <w:t>1</w:t>
      </w:r>
      <w:r>
        <w:rPr>
          <w:sz w:val="22"/>
          <w:b/>
        </w:rPr>
        <w:t>）</w:t>
      </w:r>
      <w:r>
        <w:rPr>
          <w:sz w:val="22"/>
          <w:b/>
        </w:rPr>
        <w:t>地理范围</w:t>
      </w:r>
    </w:p>
    <w:p>
      <w:pPr>
        <w:pStyle w:val="null3"/>
        <w:ind w:firstLine="440"/>
        <w:jc w:val="left"/>
      </w:pPr>
      <w:r>
        <w:rPr>
          <w:sz w:val="22"/>
        </w:rPr>
        <w:t>本方案适用于以下</w:t>
      </w:r>
      <w:r>
        <w:rPr>
          <w:sz w:val="22"/>
        </w:rPr>
        <w:t>1个院本部及8个其他审判办公地点：长安法庭、沙田法庭、大岭山法庭、厚街法庭、虎门法庭、大朗法庭、滨海湾巡回法庭；院外刑事审判场所（牛山审判庭、看守所远程提审室）。</w:t>
      </w:r>
    </w:p>
    <w:p>
      <w:pPr>
        <w:pStyle w:val="null3"/>
        <w:ind w:left="420"/>
        <w:jc w:val="left"/>
      </w:pPr>
      <w:r>
        <w:rPr>
          <w:sz w:val="22"/>
          <w:b/>
        </w:rPr>
        <w:t>（</w:t>
      </w:r>
      <w:r>
        <w:rPr>
          <w:sz w:val="22"/>
          <w:b/>
        </w:rPr>
        <w:t>2</w:t>
      </w:r>
      <w:r>
        <w:rPr>
          <w:sz w:val="22"/>
          <w:b/>
        </w:rPr>
        <w:t>）</w:t>
      </w:r>
      <w:r>
        <w:rPr>
          <w:sz w:val="22"/>
          <w:b/>
        </w:rPr>
        <w:t>网络类型</w:t>
      </w:r>
    </w:p>
    <w:p>
      <w:pPr>
        <w:pStyle w:val="null3"/>
        <w:ind w:firstLine="440"/>
        <w:jc w:val="left"/>
      </w:pPr>
      <w:r>
        <w:rPr>
          <w:sz w:val="22"/>
        </w:rPr>
        <w:t>涉及以下五类网络环境：法院专网、财政专网、互联网、政务外网、安防物联网、电话通信网（含无线同播系统）。</w:t>
      </w:r>
    </w:p>
    <w:p>
      <w:pPr>
        <w:pStyle w:val="null3"/>
        <w:jc w:val="left"/>
        <w:outlineLvl w:val="2"/>
      </w:pPr>
      <w:r>
        <w:rPr>
          <w:sz w:val="28"/>
          <w:b/>
        </w:rPr>
        <w:t>二、项目运维规模</w:t>
      </w:r>
    </w:p>
    <w:p>
      <w:pPr>
        <w:pStyle w:val="null3"/>
        <w:ind w:firstLine="440"/>
        <w:jc w:val="left"/>
      </w:pPr>
      <w:r>
        <w:rPr>
          <w:sz w:val="22"/>
        </w:rPr>
        <w:t>2.1本次信息化维护项目，主要维护内容共分为以下十四项：</w:t>
      </w:r>
    </w:p>
    <w:p>
      <w:pPr>
        <w:pStyle w:val="null3"/>
        <w:ind w:firstLine="440"/>
        <w:jc w:val="left"/>
      </w:pPr>
      <w:r>
        <w:rPr>
          <w:sz w:val="22"/>
        </w:rPr>
        <w:t>（</w:t>
      </w:r>
      <w:r>
        <w:rPr>
          <w:sz w:val="22"/>
        </w:rPr>
        <w:t>1）办公电脑：包括电脑主机、显示器、办公电脑周边设备。</w:t>
      </w:r>
    </w:p>
    <w:p>
      <w:pPr>
        <w:pStyle w:val="null3"/>
        <w:ind w:firstLine="440"/>
        <w:jc w:val="left"/>
      </w:pPr>
      <w:r>
        <w:rPr>
          <w:sz w:val="22"/>
        </w:rPr>
        <w:t>（</w:t>
      </w:r>
      <w:r>
        <w:rPr>
          <w:sz w:val="22"/>
        </w:rPr>
        <w:t>2）办公设备：包括打印机、复印机等。</w:t>
      </w:r>
    </w:p>
    <w:p>
      <w:pPr>
        <w:pStyle w:val="null3"/>
        <w:ind w:firstLine="440"/>
        <w:jc w:val="left"/>
      </w:pPr>
      <w:r>
        <w:rPr>
          <w:sz w:val="22"/>
        </w:rPr>
        <w:t>（</w:t>
      </w:r>
      <w:r>
        <w:rPr>
          <w:sz w:val="22"/>
        </w:rPr>
        <w:t>3）数字法庭系统：包括高清摄像头、云台、拾音器、高清数字庭审主机、显示一体机、电视机、电源时序器、手机信号屏蔽器、功放、庭审发言话筒、音箱、法庭庭审公告终端等。</w:t>
      </w:r>
    </w:p>
    <w:p>
      <w:pPr>
        <w:pStyle w:val="null3"/>
        <w:ind w:firstLine="440"/>
        <w:jc w:val="left"/>
      </w:pPr>
      <w:r>
        <w:rPr>
          <w:sz w:val="22"/>
        </w:rPr>
        <w:t>（</w:t>
      </w:r>
      <w:r>
        <w:rPr>
          <w:sz w:val="22"/>
        </w:rPr>
        <w:t>4）电话系统：程控交换机、电话配线架、电话跳线、电话信息面板模块等。</w:t>
      </w:r>
    </w:p>
    <w:p>
      <w:pPr>
        <w:pStyle w:val="null3"/>
        <w:ind w:firstLine="440"/>
        <w:jc w:val="left"/>
      </w:pPr>
      <w:r>
        <w:rPr>
          <w:sz w:val="22"/>
        </w:rPr>
        <w:t>（</w:t>
      </w:r>
      <w:r>
        <w:rPr>
          <w:sz w:val="22"/>
        </w:rPr>
        <w:t>5）会议系统：包括显示系统（LED大屏、投影机、投影幕、电子白板一体机等）、视频会议系统（视频会议终端、会议摄像头、录播主机等）扩声系统（会议主机、调音台、功放、音箱、有线无线麦克风、音频处理器、混音器、抑制反馈器等）、控制系统（中央控制系统、电源控制器、红外接收器、时序器等）。</w:t>
      </w:r>
    </w:p>
    <w:p>
      <w:pPr>
        <w:pStyle w:val="null3"/>
        <w:ind w:firstLine="440"/>
        <w:jc w:val="left"/>
      </w:pPr>
      <w:r>
        <w:rPr>
          <w:sz w:val="22"/>
        </w:rPr>
        <w:t>（</w:t>
      </w:r>
      <w:r>
        <w:rPr>
          <w:sz w:val="22"/>
        </w:rPr>
        <w:t>6）智慧执行指挥系统：包括磁盘阵列、服务器、B20主机、音箱、功放、无线咪、调音台、音频处理器、反馈抑制器、电源时序器、数字会议系统主机、数字会议麦克风、网络中控主机、触摸屏、视频网闸、工作站等。</w:t>
      </w:r>
    </w:p>
    <w:p>
      <w:pPr>
        <w:pStyle w:val="null3"/>
        <w:ind w:firstLine="440"/>
        <w:jc w:val="left"/>
      </w:pPr>
      <w:r>
        <w:rPr>
          <w:sz w:val="22"/>
        </w:rPr>
        <w:t>（</w:t>
      </w:r>
      <w:r>
        <w:rPr>
          <w:sz w:val="22"/>
        </w:rPr>
        <w:t>7）机房设备：包括机房空调、不间断电源、不间断电源电池、强电柜、气体消防、防雷、动环监控等设备。</w:t>
      </w:r>
    </w:p>
    <w:p>
      <w:pPr>
        <w:pStyle w:val="null3"/>
        <w:ind w:firstLine="440"/>
        <w:jc w:val="left"/>
      </w:pPr>
      <w:r>
        <w:rPr>
          <w:sz w:val="22"/>
        </w:rPr>
        <w:t>（</w:t>
      </w:r>
      <w:r>
        <w:rPr>
          <w:sz w:val="22"/>
        </w:rPr>
        <w:t>8）安防监控：监控录像机、视频监控存储、监控大屏、监控摄像机、拾音器、POE供电交换机、光端机、解码器、防雷器等设备。</w:t>
      </w:r>
    </w:p>
    <w:p>
      <w:pPr>
        <w:pStyle w:val="null3"/>
        <w:ind w:firstLine="440"/>
        <w:jc w:val="left"/>
      </w:pPr>
      <w:r>
        <w:rPr>
          <w:sz w:val="22"/>
        </w:rPr>
        <w:t>（</w:t>
      </w:r>
      <w:r>
        <w:rPr>
          <w:sz w:val="22"/>
        </w:rPr>
        <w:t>9）广播、排队系统：包括IP网络广播工控主机、数字化IP网络广播系统、IP网络寻呼(对讲)话筒、IP网络分控软件、IP网络寻呼(对讲)话筒、机柜式IP网络解码终端、天花喇叭室内壁挂音箱等。</w:t>
      </w:r>
    </w:p>
    <w:p>
      <w:pPr>
        <w:pStyle w:val="null3"/>
        <w:ind w:firstLine="440"/>
        <w:jc w:val="left"/>
      </w:pPr>
      <w:r>
        <w:rPr>
          <w:sz w:val="22"/>
        </w:rPr>
        <w:t>（</w:t>
      </w:r>
      <w:r>
        <w:rPr>
          <w:sz w:val="22"/>
        </w:rPr>
        <w:t>10）停车场、门禁、一卡通、访客管理系统：访客机、门禁控制器、读头、人脸识别一体机、杆道闸、数字式车辆检测器、入口控制机、出口控制机、网络高清摄像机、LED补光灯等。</w:t>
      </w:r>
    </w:p>
    <w:p>
      <w:pPr>
        <w:pStyle w:val="null3"/>
        <w:ind w:firstLine="440"/>
        <w:jc w:val="left"/>
      </w:pPr>
      <w:r>
        <w:rPr>
          <w:sz w:val="22"/>
        </w:rPr>
        <w:t>（</w:t>
      </w:r>
      <w:r>
        <w:rPr>
          <w:sz w:val="22"/>
        </w:rPr>
        <w:t>11）服务器、存储设备：包括服务器、磁盘阵列、存储交换机等设备。</w:t>
      </w:r>
    </w:p>
    <w:p>
      <w:pPr>
        <w:pStyle w:val="null3"/>
        <w:ind w:firstLine="440"/>
        <w:jc w:val="left"/>
      </w:pPr>
      <w:r>
        <w:rPr>
          <w:sz w:val="22"/>
        </w:rPr>
        <w:t>（</w:t>
      </w:r>
      <w:r>
        <w:rPr>
          <w:sz w:val="22"/>
        </w:rPr>
        <w:t>12）网络设备：包括核心交换机、汇聚交换机、接入交换机、路由器、光纤收发器等设备。</w:t>
      </w:r>
    </w:p>
    <w:p>
      <w:pPr>
        <w:pStyle w:val="null3"/>
        <w:ind w:firstLine="440"/>
        <w:jc w:val="left"/>
      </w:pPr>
      <w:r>
        <w:rPr>
          <w:sz w:val="22"/>
        </w:rPr>
        <w:t>（</w:t>
      </w:r>
      <w:r>
        <w:rPr>
          <w:sz w:val="22"/>
        </w:rPr>
        <w:t>13）网络安全设备：包括运维管控系统、应用负载系统、内网态势感知平台、准入控制系统、防火墙、入侵防御系统、日志审计系统、入侵检测系统、漏洞扫描、安全配置核查系统、备份一体机、上网行为管理等。</w:t>
      </w:r>
    </w:p>
    <w:p>
      <w:pPr>
        <w:pStyle w:val="null3"/>
        <w:ind w:firstLine="440"/>
        <w:jc w:val="left"/>
      </w:pPr>
      <w:r>
        <w:rPr>
          <w:sz w:val="22"/>
        </w:rPr>
        <w:t>（</w:t>
      </w:r>
      <w:r>
        <w:rPr>
          <w:sz w:val="22"/>
        </w:rPr>
        <w:t>14）应用系统：包括通达海ecourt法院信息管理系统、数字法庭系统、执行指挥系统、中信档案管理系统、内外网数据交换、视频会议系统、外网门户网站系统、微信公众号、监控管理平台系统、访客系统、门禁系统、办公室智能门锁、金山杀毒软件、世安内网终端安全管理系统等。</w:t>
      </w:r>
    </w:p>
    <w:p>
      <w:pPr>
        <w:pStyle w:val="null3"/>
        <w:ind w:firstLine="440"/>
        <w:jc w:val="left"/>
      </w:pPr>
      <w:r>
        <w:rPr>
          <w:sz w:val="22"/>
        </w:rPr>
        <w:t>2.2供应商管理体系要求</w:t>
      </w:r>
    </w:p>
    <w:p>
      <w:pPr>
        <w:pStyle w:val="null3"/>
        <w:ind w:firstLine="440"/>
        <w:jc w:val="left"/>
      </w:pPr>
      <w:r>
        <w:rPr>
          <w:sz w:val="22"/>
        </w:rPr>
        <w:t>本项目运维的范围广、系统复杂度高、涉及大量敏感信息与关键业务，为确保服务交付的规范化、流程化与可持续性，投标人应具备并维持有效的综合管理体系，其质量管理体系、信息安全管理体系、信息技术服务管理体系及商品售后服务评价体系的认证情况，将作为评估其服务保障能力的重要参考。</w:t>
      </w:r>
    </w:p>
    <w:p>
      <w:pPr>
        <w:pStyle w:val="null3"/>
        <w:jc w:val="both"/>
      </w:pPr>
      <w:r>
        <w:rPr>
          <w:sz w:val="22"/>
          <w:b/>
        </w:rPr>
        <w:t>附：资格条件承诺函模板</w:t>
      </w:r>
    </w:p>
    <w:p>
      <w:pPr>
        <w:pStyle w:val="null3"/>
        <w:jc w:val="center"/>
      </w:pPr>
      <w:r>
        <w:rPr>
          <w:sz w:val="22"/>
          <w:b/>
        </w:rPr>
        <w:t>资格条件承诺函</w:t>
      </w:r>
    </w:p>
    <w:p>
      <w:pPr>
        <w:pStyle w:val="null3"/>
        <w:ind w:firstLine="480"/>
        <w:jc w:val="both"/>
      </w:pPr>
      <w:r>
        <w:rPr>
          <w:sz w:val="22"/>
        </w:rPr>
        <w:t>我方</w:t>
      </w:r>
      <w:r>
        <w:rPr>
          <w:sz w:val="22"/>
          <w:u w:val="single"/>
        </w:rPr>
        <w:t>（供应商名称）</w:t>
      </w:r>
      <w:r>
        <w:rPr>
          <w:sz w:val="22"/>
        </w:rPr>
        <w:t>符合《中华人民共和国政府采购法》第二十二条第一款第（二）项、第（三）项、第（四）项、第（五）项规定条件，具体包括：</w:t>
      </w:r>
    </w:p>
    <w:p>
      <w:pPr>
        <w:pStyle w:val="null3"/>
        <w:ind w:firstLine="480"/>
        <w:jc w:val="both"/>
      </w:pPr>
      <w:r>
        <w:rPr>
          <w:sz w:val="22"/>
        </w:rPr>
        <w:t>1.具有良好的商业信誉和健全的财务会计制度；</w:t>
      </w:r>
    </w:p>
    <w:p>
      <w:pPr>
        <w:pStyle w:val="null3"/>
        <w:ind w:firstLine="480"/>
        <w:jc w:val="both"/>
      </w:pPr>
      <w:r>
        <w:rPr>
          <w:sz w:val="22"/>
        </w:rPr>
        <w:t>2.具有履行合同所必需的设备和专业技术能力；</w:t>
      </w:r>
    </w:p>
    <w:p>
      <w:pPr>
        <w:pStyle w:val="null3"/>
        <w:ind w:firstLine="480"/>
        <w:jc w:val="both"/>
      </w:pPr>
      <w:r>
        <w:rPr>
          <w:sz w:val="22"/>
        </w:rPr>
        <w:t>3.具有依法缴纳税收和社会保障资金的良好记录；</w:t>
      </w:r>
    </w:p>
    <w:p>
      <w:pPr>
        <w:pStyle w:val="null3"/>
        <w:ind w:firstLine="480"/>
        <w:jc w:val="both"/>
      </w:pPr>
      <w:r>
        <w:rPr>
          <w:sz w:val="22"/>
        </w:rPr>
        <w:t>4.参加政府采购活动前三年内，在经营活动中没有重大违法记录。</w:t>
      </w:r>
    </w:p>
    <w:p>
      <w:pPr>
        <w:pStyle w:val="null3"/>
        <w:ind w:firstLine="480"/>
        <w:jc w:val="both"/>
      </w:pPr>
      <w:r>
        <w:rPr>
          <w:sz w:val="22"/>
        </w:rPr>
        <w:t>我方对上述承诺的真实性负责，在评审环节结束后，自愿接受采购单位（中新工程咨询（广东）有限公司）的检查核验，配合提供相关证明材料，证明符合《中华人民共和国政府采购法》规定的供应商基本资格条件。如有虚假，将依法承担相应法律责任。</w:t>
      </w:r>
    </w:p>
    <w:p>
      <w:pPr>
        <w:pStyle w:val="null3"/>
        <w:ind w:firstLine="480"/>
        <w:jc w:val="both"/>
      </w:pPr>
      <w:r>
        <w:rPr>
          <w:sz w:val="22"/>
        </w:rPr>
        <w:t>特此承诺。</w:t>
      </w:r>
    </w:p>
    <w:p>
      <w:pPr>
        <w:pStyle w:val="null3"/>
        <w:ind w:firstLine="480"/>
        <w:jc w:val="both"/>
      </w:pPr>
      <w:r>
        <w:rPr>
          <w:sz w:val="22"/>
        </w:rPr>
        <w:t>供应商名称（公章）：</w:t>
      </w:r>
    </w:p>
    <w:p>
      <w:pPr>
        <w:pStyle w:val="null3"/>
        <w:ind w:firstLine="440"/>
        <w:jc w:val="both"/>
      </w:pPr>
      <w:r>
        <w:rPr>
          <w:sz w:val="22"/>
        </w:rPr>
        <w:t>日期：</w:t>
      </w:r>
    </w:p>
    <w:p>
      <w:pPr>
        <w:pStyle w:val="null3"/>
        <w:ind w:firstLine="440"/>
        <w:jc w:val="both"/>
      </w:pPr>
      <w:r>
        <w:rPr/>
        <w:t xml:space="preserve"> </w:t>
      </w:r>
    </w:p>
    <w:p>
      <w:pPr>
        <w:pStyle w:val="null3"/>
        <w:ind w:firstLine="440"/>
        <w:jc w:val="both"/>
      </w:pPr>
      <w:r>
        <w:rPr/>
        <w:t xml:space="preserve"> </w:t>
      </w:r>
    </w:p>
    <w:p>
      <w:pPr>
        <w:pStyle w:val="null3"/>
        <w:ind w:firstLine="440"/>
        <w:jc w:val="both"/>
      </w:pPr>
      <w:r>
        <w:rPr/>
        <w:t xml:space="preserve"> </w:t>
      </w:r>
    </w:p>
    <w:p>
      <w:pPr>
        <w:pStyle w:val="null3"/>
      </w:pPr>
      <w:r>
        <w:rPr/>
        <w:t>采购包1（信息化软硬件综合维护服务项目）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本项目采用整体外包服务方式，项目运维周期为12个月，派驻不少于7名工程师到法院进行驻点服务（食宿自理），坐班工作时间与法院工作时间一致，并提供7*24小时不间断服务。</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1期：支付比例40%,签订合同后十个工作日内采购人向中标供应商支付合同金额的40%；</w:t>
            </w:r>
          </w:p>
          <w:p>
            <w:pPr>
              <w:pStyle w:val="null3"/>
            </w:pPr>
            <w:r>
              <w:rPr/>
              <w:t>2期：支付比例45%,合同执行第二个月后每季度采购人向中标供应商支付合同金额的15%，共支付至合同总额的85%；</w:t>
            </w:r>
          </w:p>
          <w:p>
            <w:pPr>
              <w:pStyle w:val="null3"/>
            </w:pPr>
            <w:r>
              <w:rPr/>
              <w:t>3期：支付比例15%,待运维项目完成后验收合格，采购人向中标供应商支付最后一个季度项目款。（如已履行合同期内根据综合维护工作月度考核表得分扣减金额的，则应先扣减后再支付实际结算金额）</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1期：（一）验收工作由采购人（或采购人指定的单位）和中标供应商共同进行。 （二）在验收时，中标供应商应向采购人提供服务的相关资料，按采购人提出的方式验收。 （三）由采购人对服务的质量和数量及其他进行检验。如发现质量和数量等任何一项与采购要求规定不符，采购人有权拒绝接受。 （四）对验收不合格的部分，中标供应商应在采购人规定时间内及时整改完善直至合格。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报价应包含完成本次招标所有服务内容的费用，包含各种税务费及合同实施过程中的应预见和不可预见费用等完成合同规定责任和义务、达到合同目的的一切费用。</w:t>
            </w:r>
          </w:p>
        </w:tc>
      </w:tr>
      <w:tr>
        <w:tc>
          <w:tcPr>
            <w:tcW w:type="dxa" w:w="2076"/>
          </w:tcPr>
          <w:p/>
        </w:tc>
        <w:tc>
          <w:tcPr>
            <w:tcW w:type="dxa" w:w="2076"/>
          </w:tcPr>
          <w:p>
            <w:pPr>
              <w:pStyle w:val="null3"/>
              <w:jc w:val="center"/>
            </w:pPr>
            <w:r>
              <w:rPr/>
              <w:t>2</w:t>
            </w:r>
          </w:p>
        </w:tc>
        <w:tc>
          <w:tcPr>
            <w:tcW w:type="dxa" w:w="2076"/>
          </w:tcPr>
          <w:p>
            <w:pPr>
              <w:pStyle w:val="null3"/>
              <w:jc w:val="left"/>
            </w:pPr>
            <w:r>
              <w:rPr/>
              <w:t>合同条款</w:t>
            </w:r>
          </w:p>
        </w:tc>
        <w:tc>
          <w:tcPr>
            <w:tcW w:type="dxa" w:w="2076"/>
          </w:tcPr>
          <w:p>
            <w:pPr>
              <w:pStyle w:val="null3"/>
              <w:jc w:val="left"/>
            </w:pPr>
            <w:r>
              <w:rPr/>
              <w:t>投标人实质性响应合同各条款。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硬件运维服务</w:t>
            </w:r>
          </w:p>
        </w:tc>
        <w:tc>
          <w:tcPr>
            <w:tcW w:type="dxa" w:w="933"/>
          </w:tcPr>
          <w:p>
            <w:pPr>
              <w:pStyle w:val="null3"/>
              <w:jc w:val="left"/>
            </w:pPr>
            <w:r>
              <w:rPr/>
              <w:t>信息化软硬件综合运维服务项目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1,640,000.00</w:t>
            </w:r>
          </w:p>
        </w:tc>
        <w:tc>
          <w:tcPr>
            <w:tcW w:type="dxa" w:w="933"/>
          </w:tcPr>
          <w:p>
            <w:pPr>
              <w:pStyle w:val="null3"/>
              <w:jc w:val="right"/>
            </w:pPr>
            <w:r>
              <w:rPr/>
              <w:t>1,640,000.00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信息化软硬件综合运维服务项目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outlineLvl w:val="2"/>
            </w:pPr>
            <w:r>
              <w:rPr>
                <w:sz w:val="20"/>
                <w:b/>
              </w:rPr>
              <w:t>一</w:t>
            </w:r>
            <w:r>
              <w:rPr>
                <w:sz w:val="20"/>
                <w:b/>
              </w:rPr>
              <w:t>、项目维护清单（附表一）</w:t>
            </w:r>
          </w:p>
          <w:p>
            <w:pPr>
              <w:pStyle w:val="null3"/>
              <w:jc w:val="left"/>
            </w:pPr>
            <w:r>
              <w:rPr>
                <w:sz w:val="20"/>
                <w:b/>
              </w:rPr>
              <w:t>1.1</w:t>
            </w:r>
            <w:r>
              <w:rPr>
                <w:sz w:val="20"/>
                <w:b/>
              </w:rPr>
              <w:t>办公电脑</w:t>
            </w:r>
          </w:p>
          <w:p>
            <w:pPr>
              <w:pStyle w:val="null3"/>
              <w:jc w:val="both"/>
            </w:pPr>
            <w:r>
              <w:rPr>
                <w:sz w:val="20"/>
              </w:rPr>
              <w:t>(1)设备清单（包含但不限于）如下：</w:t>
            </w:r>
          </w:p>
          <w:tbl>
            <w:tblPr>
              <w:tblBorders>
                <w:top w:val="none" w:color="000000" w:sz="4"/>
                <w:left w:val="none" w:color="000000" w:sz="4"/>
                <w:bottom w:val="none" w:color="000000" w:sz="4"/>
                <w:right w:val="none" w:color="000000" w:sz="4"/>
                <w:insideH w:val="none"/>
                <w:insideV w:val="none"/>
              </w:tblBorders>
            </w:tblPr>
            <w:tblGrid>
              <w:gridCol w:w="721"/>
              <w:gridCol w:w="1121"/>
              <w:gridCol w:w="1985"/>
              <w:gridCol w:w="1041"/>
              <w:gridCol w:w="730"/>
            </w:tblGrid>
            <w:tr>
              <w:tc>
                <w:tcPr>
                  <w:tcW w:type="dxa" w:w="5598"/>
                  <w:gridSpan w:val="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pPr>
                  <w:r>
                    <w:rPr>
                      <w:sz w:val="20"/>
                      <w:color w:val="000000"/>
                    </w:rPr>
                    <w:t>分布区域：东莞市第二人民法院本部、长安法庭、沙田法庭、大岭山法庭、厚街法庭、虎门法庭、大朗法庭、滨海湾巡回法庭、院外刑事审判场所</w:t>
                  </w:r>
                </w:p>
              </w:tc>
            </w:tr>
            <w:tr>
              <w:tc>
                <w:tcPr>
                  <w:tcW w:type="dxa" w:w="721"/>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序号</w:t>
                  </w:r>
                </w:p>
              </w:tc>
              <w:tc>
                <w:tcPr>
                  <w:tcW w:type="dxa" w:w="1121"/>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color w:val="000000"/>
                    </w:rPr>
                    <w:t>资产名称</w:t>
                  </w:r>
                </w:p>
              </w:tc>
              <w:tc>
                <w:tcPr>
                  <w:tcW w:type="dxa" w:w="1985"/>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color w:val="000000"/>
                    </w:rPr>
                    <w:t>品牌</w:t>
                  </w:r>
                </w:p>
              </w:tc>
              <w:tc>
                <w:tcPr>
                  <w:tcW w:type="dxa" w:w="1041"/>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数量</w:t>
                  </w:r>
                </w:p>
              </w:tc>
              <w:tc>
                <w:tcPr>
                  <w:tcW w:type="dxa" w:w="730"/>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单位</w:t>
                  </w:r>
                </w:p>
              </w:tc>
            </w:tr>
            <w:tr>
              <w:tc>
                <w:tcPr>
                  <w:tcW w:type="dxa" w:w="721"/>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1</w:t>
                  </w:r>
                </w:p>
              </w:tc>
              <w:tc>
                <w:tcPr>
                  <w:tcW w:type="dxa" w:w="1121"/>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pPr>
                  <w:r>
                    <w:rPr>
                      <w:sz w:val="20"/>
                    </w:rPr>
                    <w:t>办公电脑</w:t>
                  </w:r>
                </w:p>
              </w:tc>
              <w:tc>
                <w:tcPr>
                  <w:tcW w:type="dxa" w:w="1985"/>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pPr>
                  <w:r>
                    <w:rPr>
                      <w:sz w:val="20"/>
                    </w:rPr>
                    <w:t>联想、华为等</w:t>
                  </w:r>
                </w:p>
              </w:tc>
              <w:tc>
                <w:tcPr>
                  <w:tcW w:type="dxa" w:w="1041"/>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约</w:t>
                  </w:r>
                  <w:r>
                    <w:rPr>
                      <w:sz w:val="20"/>
                    </w:rPr>
                    <w:t>1000</w:t>
                  </w:r>
                </w:p>
              </w:tc>
              <w:tc>
                <w:tcPr>
                  <w:tcW w:type="dxa" w:w="730"/>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台</w:t>
                  </w:r>
                </w:p>
              </w:tc>
            </w:tr>
            <w:tr>
              <w:tc>
                <w:tcPr>
                  <w:tcW w:type="dxa" w:w="721"/>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2</w:t>
                  </w:r>
                </w:p>
              </w:tc>
              <w:tc>
                <w:tcPr>
                  <w:tcW w:type="dxa" w:w="1121"/>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pPr>
                  <w:r>
                    <w:rPr>
                      <w:sz w:val="20"/>
                    </w:rPr>
                    <w:t>显示器</w:t>
                  </w:r>
                </w:p>
              </w:tc>
              <w:tc>
                <w:tcPr>
                  <w:tcW w:type="dxa" w:w="1985"/>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pPr>
                  <w:r>
                    <w:rPr>
                      <w:sz w:val="20"/>
                    </w:rPr>
                    <w:t>联想、</w:t>
                  </w:r>
                  <w:r>
                    <w:rPr>
                      <w:sz w:val="20"/>
                    </w:rPr>
                    <w:t>AOC等</w:t>
                  </w:r>
                </w:p>
              </w:tc>
              <w:tc>
                <w:tcPr>
                  <w:tcW w:type="dxa" w:w="1041"/>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约</w:t>
                  </w:r>
                  <w:r>
                    <w:rPr>
                      <w:sz w:val="20"/>
                    </w:rPr>
                    <w:t>1000</w:t>
                  </w:r>
                </w:p>
              </w:tc>
              <w:tc>
                <w:tcPr>
                  <w:tcW w:type="dxa" w:w="730"/>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台</w:t>
                  </w:r>
                </w:p>
              </w:tc>
            </w:tr>
            <w:tr>
              <w:tc>
                <w:tcPr>
                  <w:tcW w:type="dxa" w:w="721"/>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3</w:t>
                  </w:r>
                </w:p>
              </w:tc>
              <w:tc>
                <w:tcPr>
                  <w:tcW w:type="dxa" w:w="1121"/>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pPr>
                  <w:r>
                    <w:rPr>
                      <w:sz w:val="20"/>
                    </w:rPr>
                    <w:t>其他配件</w:t>
                  </w:r>
                </w:p>
              </w:tc>
              <w:tc>
                <w:tcPr>
                  <w:tcW w:type="dxa" w:w="1985"/>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pPr>
                  <w:r>
                    <w:rPr>
                      <w:sz w:val="20"/>
                    </w:rPr>
                    <w:t>扫描笔、高拍仪等</w:t>
                  </w:r>
                </w:p>
              </w:tc>
              <w:tc>
                <w:tcPr>
                  <w:tcW w:type="dxa" w:w="1041"/>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约</w:t>
                  </w:r>
                  <w:r>
                    <w:rPr>
                      <w:sz w:val="20"/>
                    </w:rPr>
                    <w:t>30</w:t>
                  </w:r>
                </w:p>
              </w:tc>
              <w:tc>
                <w:tcPr>
                  <w:tcW w:type="dxa" w:w="730"/>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套</w:t>
                  </w:r>
                </w:p>
              </w:tc>
            </w:tr>
          </w:tbl>
          <w:p>
            <w:pPr>
              <w:pStyle w:val="null3"/>
              <w:jc w:val="left"/>
            </w:pPr>
            <w:r>
              <w:rPr>
                <w:sz w:val="20"/>
                <w:b/>
              </w:rPr>
              <w:t>1.2</w:t>
            </w:r>
            <w:r>
              <w:rPr>
                <w:sz w:val="20"/>
                <w:b/>
              </w:rPr>
              <w:t>办公设备</w:t>
            </w:r>
          </w:p>
          <w:tbl>
            <w:tblPr>
              <w:tblBorders>
                <w:top w:val="none" w:color="000000" w:sz="4"/>
                <w:left w:val="none" w:color="000000" w:sz="4"/>
                <w:bottom w:val="none" w:color="000000" w:sz="4"/>
                <w:right w:val="none" w:color="000000" w:sz="4"/>
                <w:insideH w:val="none"/>
                <w:insideV w:val="none"/>
              </w:tblBorders>
            </w:tblPr>
            <w:tblGrid>
              <w:gridCol w:w="569"/>
              <w:gridCol w:w="862"/>
              <w:gridCol w:w="2994"/>
              <w:gridCol w:w="604"/>
              <w:gridCol w:w="569"/>
            </w:tblGrid>
            <w:tr>
              <w:tc>
                <w:tcPr>
                  <w:tcW w:type="dxa" w:w="5598"/>
                  <w:gridSpan w:val="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pPr>
                  <w:r>
                    <w:rPr>
                      <w:sz w:val="20"/>
                      <w:color w:val="000000"/>
                    </w:rPr>
                    <w:t>分布区域：东莞市第二人民法院本部、长安法庭、沙田法庭、大岭山法庭、厚街法庭、虎门法庭、大朗法庭、滨海湾巡回法庭、院外刑事审判场所</w:t>
                  </w:r>
                </w:p>
              </w:tc>
            </w:tr>
            <w:tr>
              <w:tc>
                <w:tcPr>
                  <w:tcW w:type="dxa" w:w="569"/>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序号</w:t>
                  </w:r>
                </w:p>
              </w:tc>
              <w:tc>
                <w:tcPr>
                  <w:tcW w:type="dxa" w:w="862"/>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color w:val="000000"/>
                    </w:rPr>
                    <w:t>资产名称</w:t>
                  </w:r>
                </w:p>
              </w:tc>
              <w:tc>
                <w:tcPr>
                  <w:tcW w:type="dxa" w:w="2994"/>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color w:val="000000"/>
                    </w:rPr>
                    <w:t>品牌</w:t>
                  </w:r>
                </w:p>
              </w:tc>
              <w:tc>
                <w:tcPr>
                  <w:tcW w:type="dxa" w:w="604"/>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数量</w:t>
                  </w:r>
                </w:p>
              </w:tc>
              <w:tc>
                <w:tcPr>
                  <w:tcW w:type="dxa" w:w="569"/>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单位</w:t>
                  </w:r>
                </w:p>
              </w:tc>
            </w:tr>
            <w:tr>
              <w:tc>
                <w:tcPr>
                  <w:tcW w:type="dxa" w:w="569"/>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1</w:t>
                  </w:r>
                </w:p>
              </w:tc>
              <w:tc>
                <w:tcPr>
                  <w:tcW w:type="dxa" w:w="862"/>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打印机</w:t>
                  </w:r>
                </w:p>
              </w:tc>
              <w:tc>
                <w:tcPr>
                  <w:tcW w:type="dxa" w:w="299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佳能、惠普、施乐、奔图、京瓷、松下等</w:t>
                  </w:r>
                </w:p>
              </w:tc>
              <w:tc>
                <w:tcPr>
                  <w:tcW w:type="dxa" w:w="60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522</w:t>
                  </w:r>
                </w:p>
              </w:tc>
              <w:tc>
                <w:tcPr>
                  <w:tcW w:type="dxa" w:w="569"/>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台</w:t>
                  </w:r>
                </w:p>
              </w:tc>
            </w:tr>
            <w:tr>
              <w:tc>
                <w:tcPr>
                  <w:tcW w:type="dxa" w:w="569"/>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2</w:t>
                  </w:r>
                </w:p>
              </w:tc>
              <w:tc>
                <w:tcPr>
                  <w:tcW w:type="dxa" w:w="862"/>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复印机</w:t>
                  </w:r>
                </w:p>
              </w:tc>
              <w:tc>
                <w:tcPr>
                  <w:tcW w:type="dxa" w:w="299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佳能、惠普、施乐、奔图、京瓷、理光等</w:t>
                  </w:r>
                </w:p>
              </w:tc>
              <w:tc>
                <w:tcPr>
                  <w:tcW w:type="dxa" w:w="60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54</w:t>
                  </w:r>
                </w:p>
              </w:tc>
              <w:tc>
                <w:tcPr>
                  <w:tcW w:type="dxa" w:w="569"/>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台</w:t>
                  </w:r>
                </w:p>
              </w:tc>
            </w:tr>
          </w:tbl>
          <w:p>
            <w:pPr>
              <w:pStyle w:val="null3"/>
              <w:jc w:val="left"/>
            </w:pPr>
            <w:r>
              <w:rPr>
                <w:sz w:val="20"/>
                <w:b/>
              </w:rPr>
              <w:t>1.3</w:t>
            </w:r>
            <w:r>
              <w:rPr>
                <w:sz w:val="20"/>
                <w:b/>
              </w:rPr>
              <w:t>数字法庭系统</w:t>
            </w:r>
          </w:p>
          <w:p>
            <w:pPr>
              <w:pStyle w:val="null3"/>
              <w:jc w:val="both"/>
            </w:pPr>
            <w:r>
              <w:rPr>
                <w:sz w:val="20"/>
              </w:rPr>
              <w:t>(1)设备清单（包含但不限于）如下：</w:t>
            </w:r>
          </w:p>
          <w:tbl>
            <w:tblPr>
              <w:tblBorders>
                <w:top w:val="none" w:color="000000" w:sz="4"/>
                <w:left w:val="none" w:color="000000" w:sz="4"/>
                <w:bottom w:val="none" w:color="000000" w:sz="4"/>
                <w:right w:val="none" w:color="000000" w:sz="4"/>
                <w:insideH w:val="none"/>
                <w:insideV w:val="none"/>
              </w:tblBorders>
            </w:tblPr>
            <w:tblGrid>
              <w:gridCol w:w="328"/>
              <w:gridCol w:w="3558"/>
              <w:gridCol w:w="1047"/>
              <w:gridCol w:w="328"/>
              <w:gridCol w:w="337"/>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分布区域：东莞市第二人民法院本部、长安法庭、沙田法庭、大岭山法庭、厚街法庭、虎门法庭、大朗法庭、滨海湾巡回法庭、院外刑事审判场所</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3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资产名称</w:t>
                  </w:r>
                </w:p>
              </w:tc>
              <w:tc>
                <w:tcPr>
                  <w:tcW w:type="dxa" w:w="1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品牌</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高清摄像头、云台、拾音器、高清数字庭审主机、显示一体机、电视机、电源时序器、手机信号屏蔽器、功放、庭审发言话筒、音箱、法庭庭审公告终端等</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华夏、大华、海康、明日、驰睿等</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bl>
          <w:p>
            <w:pPr>
              <w:pStyle w:val="null3"/>
              <w:jc w:val="left"/>
            </w:pPr>
            <w:r>
              <w:rPr>
                <w:sz w:val="20"/>
                <w:b/>
              </w:rPr>
              <w:t>1.4</w:t>
            </w:r>
            <w:r>
              <w:rPr>
                <w:sz w:val="20"/>
                <w:b/>
              </w:rPr>
              <w:t>电话系统</w:t>
            </w:r>
          </w:p>
          <w:p>
            <w:pPr>
              <w:pStyle w:val="null3"/>
              <w:jc w:val="both"/>
            </w:pPr>
            <w:r>
              <w:rPr>
                <w:sz w:val="20"/>
              </w:rPr>
              <w:t>(1)设备清单（包含但不限于）如下：</w:t>
            </w:r>
          </w:p>
          <w:tbl>
            <w:tblPr>
              <w:tblBorders>
                <w:top w:val="none" w:color="000000" w:sz="4"/>
                <w:left w:val="none" w:color="000000" w:sz="4"/>
                <w:bottom w:val="none" w:color="000000" w:sz="4"/>
                <w:right w:val="none" w:color="000000" w:sz="4"/>
                <w:insideH w:val="none"/>
                <w:insideV w:val="none"/>
              </w:tblBorders>
            </w:tblPr>
            <w:tblGrid>
              <w:gridCol w:w="940"/>
              <w:gridCol w:w="1828"/>
              <w:gridCol w:w="940"/>
              <w:gridCol w:w="940"/>
              <w:gridCol w:w="949"/>
            </w:tblGrid>
            <w:tr>
              <w:tc>
                <w:tcPr>
                  <w:tcW w:type="dxa" w:w="5597"/>
                  <w:gridSpan w:val="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pPr>
                  <w:r>
                    <w:rPr>
                      <w:sz w:val="20"/>
                      <w:color w:val="000000"/>
                    </w:rPr>
                    <w:t>分布区域：东莞市第二人民法院本部、长安法庭、沙田法庭、大岭山法庭、厚街法庭、虎门法庭、大朗法庭</w:t>
                  </w:r>
                </w:p>
              </w:tc>
            </w:tr>
            <w:tr>
              <w:tc>
                <w:tcPr>
                  <w:tcW w:type="dxa" w:w="94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序号</w:t>
                  </w:r>
                </w:p>
              </w:tc>
              <w:tc>
                <w:tcPr>
                  <w:tcW w:type="dxa" w:w="1828"/>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color w:val="000000"/>
                    </w:rPr>
                    <w:t>资产名称</w:t>
                  </w:r>
                </w:p>
              </w:tc>
              <w:tc>
                <w:tcPr>
                  <w:tcW w:type="dxa" w:w="940"/>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color w:val="000000"/>
                    </w:rPr>
                    <w:t>品牌</w:t>
                  </w:r>
                </w:p>
              </w:tc>
              <w:tc>
                <w:tcPr>
                  <w:tcW w:type="dxa" w:w="940"/>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数量</w:t>
                  </w:r>
                </w:p>
              </w:tc>
              <w:tc>
                <w:tcPr>
                  <w:tcW w:type="dxa" w:w="949"/>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单位</w:t>
                  </w:r>
                </w:p>
              </w:tc>
            </w:tr>
            <w:tr>
              <w:tc>
                <w:tcPr>
                  <w:tcW w:type="dxa" w:w="94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1</w:t>
                  </w:r>
                </w:p>
              </w:tc>
              <w:tc>
                <w:tcPr>
                  <w:tcW w:type="dxa" w:w="18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程控交换机</w:t>
                  </w:r>
                </w:p>
              </w:tc>
              <w:tc>
                <w:tcPr>
                  <w:tcW w:type="dxa" w:w="940"/>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敏迪</w:t>
                  </w:r>
                </w:p>
              </w:tc>
              <w:tc>
                <w:tcPr>
                  <w:tcW w:type="dxa" w:w="940"/>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8</w:t>
                  </w:r>
                </w:p>
              </w:tc>
              <w:tc>
                <w:tcPr>
                  <w:tcW w:type="dxa" w:w="949"/>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0"/>
                    </w:rPr>
                    <w:t>套</w:t>
                  </w:r>
                </w:p>
              </w:tc>
            </w:tr>
          </w:tbl>
          <w:p>
            <w:pPr>
              <w:pStyle w:val="null3"/>
              <w:jc w:val="left"/>
            </w:pPr>
            <w:r>
              <w:rPr>
                <w:sz w:val="20"/>
                <w:b/>
              </w:rPr>
              <w:t>1.5</w:t>
            </w:r>
            <w:r>
              <w:rPr>
                <w:sz w:val="20"/>
                <w:b/>
              </w:rPr>
              <w:t>会议系统</w:t>
            </w:r>
          </w:p>
          <w:p>
            <w:pPr>
              <w:pStyle w:val="null3"/>
              <w:jc w:val="both"/>
            </w:pPr>
            <w:r>
              <w:rPr>
                <w:sz w:val="20"/>
              </w:rPr>
              <w:t>(1)设备清单（包含但不限于）如下：</w:t>
            </w:r>
          </w:p>
          <w:tbl>
            <w:tblPr>
              <w:tblBorders>
                <w:top w:val="none" w:color="000000" w:sz="4"/>
                <w:left w:val="none" w:color="000000" w:sz="4"/>
                <w:bottom w:val="none" w:color="000000" w:sz="4"/>
                <w:right w:val="none" w:color="000000" w:sz="4"/>
                <w:insideH w:val="none"/>
                <w:insideV w:val="none"/>
              </w:tblBorders>
            </w:tblPr>
            <w:tblGrid>
              <w:gridCol w:w="302"/>
              <w:gridCol w:w="3679"/>
              <w:gridCol w:w="986"/>
              <w:gridCol w:w="311"/>
              <w:gridCol w:w="320"/>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分布区域：东莞市第二人民法院本部、长安法庭、沙田法庭、大岭山法庭、厚街法庭、虎门法庭、大朗法庭、滨海湾巡回法庭</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3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资产名称</w:t>
                  </w:r>
                </w:p>
              </w:tc>
              <w:tc>
                <w:tcPr>
                  <w:tcW w:type="dxa" w:w="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品牌</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显示系统（</w:t>
                  </w:r>
                  <w:r>
                    <w:rPr>
                      <w:sz w:val="20"/>
                      <w:color w:val="000000"/>
                    </w:rPr>
                    <w:t>LED大屏、投影机、投影幕、电子白板一体机等）、视频会议系统（视频会议终端、会议摄像头、录播主机等）扩声系统（会议主机、调音台、功放、音箱、有线无线麦克风、音频处理器、混音器、抑制反馈器等）、控制系统（中央控制系统、电源控制器、红外接收器、时序器等）</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ITC、华为、DSP、MAXHUB、创维等</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bl>
          <w:p>
            <w:pPr>
              <w:pStyle w:val="null3"/>
              <w:jc w:val="left"/>
            </w:pPr>
            <w:r>
              <w:rPr>
                <w:sz w:val="20"/>
                <w:b/>
              </w:rPr>
              <w:t>1.6</w:t>
            </w:r>
            <w:r>
              <w:rPr>
                <w:sz w:val="20"/>
                <w:b/>
              </w:rPr>
              <w:t>执行指挥系统</w:t>
            </w:r>
          </w:p>
          <w:p>
            <w:pPr>
              <w:pStyle w:val="null3"/>
              <w:jc w:val="both"/>
            </w:pPr>
            <w:r>
              <w:rPr>
                <w:sz w:val="20"/>
              </w:rPr>
              <w:t>(1)设备清单（包含但不限于）如下：</w:t>
            </w:r>
          </w:p>
          <w:tbl>
            <w:tblPr>
              <w:tblBorders>
                <w:top w:val="none" w:color="000000" w:sz="4"/>
                <w:left w:val="none" w:color="000000" w:sz="4"/>
                <w:bottom w:val="none" w:color="000000" w:sz="4"/>
                <w:right w:val="none" w:color="000000" w:sz="4"/>
                <w:insideH w:val="none"/>
                <w:insideV w:val="none"/>
              </w:tblBorders>
            </w:tblPr>
            <w:tblGrid>
              <w:gridCol w:w="471"/>
              <w:gridCol w:w="2070"/>
              <w:gridCol w:w="2106"/>
              <w:gridCol w:w="471"/>
              <w:gridCol w:w="480"/>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东莞市第二人民法院本部</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资产名称</w:t>
                  </w:r>
                </w:p>
              </w:tc>
              <w:tc>
                <w:tcPr>
                  <w:tcW w:type="dxa" w:w="2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w:t>
                  </w:r>
                  <w:r>
                    <w:rPr>
                      <w:sz w:val="20"/>
                      <w:color w:val="000000"/>
                    </w:rPr>
                    <w:t>牌</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磁盘阵列</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海康威视</w:t>
                  </w:r>
                  <w:r>
                    <w:rPr>
                      <w:sz w:val="20"/>
                      <w:color w:val="000000"/>
                    </w:rPr>
                    <w:t>DS-A71024R</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企业级硬盘</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海康威视</w:t>
                  </w:r>
                  <w:r>
                    <w:rPr>
                      <w:sz w:val="20"/>
                      <w:color w:val="000000"/>
                    </w:rPr>
                    <w:t>WD4002FYYZ-31</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网络监控键盘</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海康威视</w:t>
                  </w:r>
                  <w:r>
                    <w:rPr>
                      <w:sz w:val="20"/>
                      <w:color w:val="000000"/>
                    </w:rPr>
                    <w:t>DS-1100K</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双路服务器</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海康威视</w:t>
                  </w:r>
                  <w:r>
                    <w:rPr>
                      <w:sz w:val="20"/>
                      <w:color w:val="000000"/>
                    </w:rPr>
                    <w:t>DS-VE2208E-RBD</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B20主控板</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海康威视</w:t>
                  </w:r>
                  <w:r>
                    <w:rPr>
                      <w:sz w:val="20"/>
                      <w:color w:val="000000"/>
                    </w:rPr>
                    <w:t>DS-B20-MCU-NP</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B20输入解码板</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海康威视</w:t>
                  </w:r>
                  <w:r>
                    <w:rPr>
                      <w:sz w:val="20"/>
                      <w:color w:val="000000"/>
                    </w:rPr>
                    <w:t>DS-6408HFH-B20H</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B20输入解码板</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海康威视</w:t>
                  </w:r>
                  <w:r>
                    <w:rPr>
                      <w:sz w:val="20"/>
                      <w:color w:val="000000"/>
                    </w:rPr>
                    <w:t>DS-6408HFH-B20VD</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B20输出解码板</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海康威视</w:t>
                  </w:r>
                  <w:r>
                    <w:rPr>
                      <w:sz w:val="20"/>
                      <w:color w:val="000000"/>
                    </w:rPr>
                    <w:t>DS-6916UD-B20DL</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B20机箱系统</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海康威视</w:t>
                  </w:r>
                  <w:r>
                    <w:rPr>
                      <w:sz w:val="20"/>
                      <w:color w:val="000000"/>
                    </w:rPr>
                    <w:t>DS-B20</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专业音箱</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ITCTS-608A</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专业功放</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ITCTS-350PI</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无线咪</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ITCT-521UH</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调音台</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ITCTS-12P-2S</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音频处理器</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ITCTS-P1212</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2通道反馈抑制器</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ITCTS-224</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电源时序器</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ITCTS-820</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全数字会议系统主机</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ITCTS-0200M</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全数字会议纯发言主席单元</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ITCTS-0202</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全数字会议纯发言代表单元</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ITCTS-0202A</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网络中控主机</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ITCTS-9100N</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无线触摸屏</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APPLEIPAD4</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无线路由器</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TP-LINKTL-WR841N</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视频网闸</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360G1500-E026P</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工作站</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DELLT3620</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bl>
          <w:p>
            <w:pPr>
              <w:pStyle w:val="null3"/>
              <w:jc w:val="left"/>
            </w:pPr>
            <w:r>
              <w:rPr>
                <w:sz w:val="20"/>
                <w:b/>
              </w:rPr>
              <w:t>1.7</w:t>
            </w:r>
            <w:r>
              <w:rPr>
                <w:sz w:val="20"/>
                <w:b/>
              </w:rPr>
              <w:t>机房设备</w:t>
            </w:r>
          </w:p>
          <w:p>
            <w:pPr>
              <w:pStyle w:val="null3"/>
              <w:jc w:val="both"/>
            </w:pPr>
            <w:r>
              <w:rPr>
                <w:sz w:val="20"/>
              </w:rPr>
              <w:t>(1)设备清单（包含但不限于）如下：</w:t>
            </w:r>
          </w:p>
          <w:tbl>
            <w:tblPr>
              <w:tblBorders>
                <w:top w:val="none" w:color="000000" w:sz="4"/>
                <w:left w:val="none" w:color="000000" w:sz="4"/>
                <w:bottom w:val="none" w:color="000000" w:sz="4"/>
                <w:right w:val="none" w:color="000000" w:sz="4"/>
                <w:insideH w:val="none"/>
                <w:insideV w:val="none"/>
              </w:tblBorders>
            </w:tblPr>
            <w:tblGrid>
              <w:gridCol w:w="595"/>
              <w:gridCol w:w="1644"/>
              <w:gridCol w:w="2159"/>
              <w:gridCol w:w="595"/>
              <w:gridCol w:w="604"/>
            </w:tblGrid>
            <w:tr>
              <w:tc>
                <w:tcPr>
                  <w:tcW w:type="dxa" w:w="559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东莞市第二人民法院本部</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型号规格</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机柜通道系统</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NetHos-MFR42612-S</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模块化</w:t>
                  </w:r>
                  <w:r>
                    <w:rPr>
                      <w:sz w:val="20"/>
                      <w:color w:val="000000"/>
                    </w:rPr>
                    <w:t>UPS</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EA66-100KVA</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蓄电池</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12V</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模块一体化配电柜</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PDU8000-0630</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格力</w:t>
                  </w:r>
                  <w:r>
                    <w:rPr>
                      <w:sz w:val="20"/>
                      <w:color w:val="000000"/>
                    </w:rPr>
                    <w:t>3P柜式空调</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KF-72LW/（72391）NhAd-2</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格力</w:t>
                  </w:r>
                  <w:r>
                    <w:rPr>
                      <w:sz w:val="20"/>
                      <w:color w:val="000000"/>
                    </w:rPr>
                    <w:t>2P分体式空调</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KF-50GW/(50356)NhAd-2</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柜式七氟丙烷自动灭火装置</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永业（</w:t>
                  </w:r>
                  <w:r>
                    <w:rPr>
                      <w:sz w:val="20"/>
                      <w:color w:val="000000"/>
                    </w:rPr>
                    <w:t>HFC-227ea)GQQ120</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机房柜式七氟丙烷自动灭火装置</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HFC-227ea</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管理平台软件</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海康威视门禁管理</w:t>
                  </w:r>
                  <w:r>
                    <w:rPr>
                      <w:sz w:val="20"/>
                      <w:color w:val="000000"/>
                    </w:rPr>
                    <w:t>-iSecureCenter（DS）ACS&amp;SM</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长安法庭</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资产名称</w:t>
                  </w:r>
                </w:p>
              </w:tc>
              <w:tc>
                <w:tcPr>
                  <w:tcW w:type="dxa" w:w="2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环境监控系统</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佛山柏克</w:t>
                  </w:r>
                  <w:r>
                    <w:rPr>
                      <w:sz w:val="20"/>
                      <w:color w:val="000000"/>
                    </w:rPr>
                    <w:t>IMDS-XB01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新风换气机</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XHBQ-D6THA</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机架式不间断电源</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佛山柏克</w:t>
                  </w:r>
                  <w:r>
                    <w:rPr>
                      <w:sz w:val="20"/>
                      <w:color w:val="000000"/>
                    </w:rPr>
                    <w:t>HS-20KRH</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蓄电池</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GMJ100-12</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易事特电源主机</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EA9930HRT</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柜式七氟丙烷灭火装置</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永业</w:t>
                  </w:r>
                  <w:r>
                    <w:rPr>
                      <w:sz w:val="20"/>
                      <w:color w:val="000000"/>
                    </w:rPr>
                    <w:t>GQQ70</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气体灭火控制器</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三江</w:t>
                  </w:r>
                  <w:r>
                    <w:rPr>
                      <w:sz w:val="20"/>
                      <w:color w:val="000000"/>
                    </w:rPr>
                    <w:t>JB-QBL-QM200</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120L柜式贮存装置</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GQQ120/2.5-QY1-100</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气体灭火控制器</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启易</w:t>
                  </w:r>
                  <w:r>
                    <w:rPr>
                      <w:sz w:val="20"/>
                      <w:color w:val="000000"/>
                    </w:rPr>
                    <w:t>JB-QBL-QM210</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沙田法庭</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型号规格</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空调室内机单元</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EC12-DAA</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空调室外机</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EC12-SW</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SR机柜产品包</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EA6242B-DB1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SR空调封闭框</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EA6242B-DB1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监控管理包</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EA1046-D</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纯在线智能</w:t>
                  </w:r>
                  <w:r>
                    <w:rPr>
                      <w:sz w:val="20"/>
                      <w:color w:val="000000"/>
                    </w:rPr>
                    <w:t>UPS</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EA9020-20KVA</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输入输出配电</w:t>
                  </w:r>
                  <w:r>
                    <w:rPr>
                      <w:sz w:val="20"/>
                      <w:color w:val="000000"/>
                    </w:rPr>
                    <w:t>POD</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100A</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智能型</w:t>
                  </w:r>
                  <w:r>
                    <w:rPr>
                      <w:sz w:val="20"/>
                      <w:color w:val="000000"/>
                    </w:rPr>
                    <w:t>PDU插排</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EA-31A</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70L柜式七氟丙烷灭火装置</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兴进</w:t>
                  </w:r>
                  <w:r>
                    <w:rPr>
                      <w:sz w:val="20"/>
                      <w:color w:val="000000"/>
                    </w:rPr>
                    <w:t>GQQ70/2.5C</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七氟丙烷药剂</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兴进</w:t>
                  </w:r>
                  <w:r>
                    <w:rPr>
                      <w:sz w:val="20"/>
                      <w:color w:val="000000"/>
                    </w:rPr>
                    <w:t>HFC-227ea</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声光报警器</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三江</w:t>
                  </w:r>
                  <w:r>
                    <w:rPr>
                      <w:sz w:val="20"/>
                      <w:color w:val="000000"/>
                    </w:rPr>
                    <w:t>SG-03K</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气体释放灯</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三江</w:t>
                  </w:r>
                  <w:r>
                    <w:rPr>
                      <w:sz w:val="20"/>
                      <w:color w:val="000000"/>
                    </w:rPr>
                    <w:t>QM-ZSD-01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光电烟感探测器</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三江</w:t>
                  </w:r>
                  <w:r>
                    <w:rPr>
                      <w:sz w:val="20"/>
                      <w:color w:val="000000"/>
                    </w:rPr>
                    <w:t>JTY-GD-F321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定温温感探测器</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三江</w:t>
                  </w:r>
                  <w:r>
                    <w:rPr>
                      <w:sz w:val="20"/>
                      <w:color w:val="000000"/>
                    </w:rPr>
                    <w:t>JTY-GD-F261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消防警铃</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三江</w:t>
                  </w:r>
                  <w:r>
                    <w:rPr>
                      <w:sz w:val="20"/>
                      <w:color w:val="000000"/>
                    </w:rPr>
                    <w:t>JL-150A</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紧急启动按钮</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三江</w:t>
                  </w:r>
                  <w:r>
                    <w:rPr>
                      <w:sz w:val="20"/>
                      <w:color w:val="000000"/>
                    </w:rPr>
                    <w:t>QM-MA-01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单区控制器</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三江</w:t>
                  </w:r>
                  <w:r>
                    <w:rPr>
                      <w:sz w:val="20"/>
                      <w:color w:val="000000"/>
                    </w:rPr>
                    <w:t>JB-QB-QM200/1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5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虎门法庭</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型号规格</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冷通道式主机柜</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EAT-MC2-CA</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监控管理系统</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EAJK-MC2000</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微模块专用列间空调</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ER012</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机架式</w:t>
                  </w:r>
                  <w:r>
                    <w:rPr>
                      <w:sz w:val="20"/>
                      <w:color w:val="000000"/>
                    </w:rPr>
                    <w:t>UPS</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EA9010RT</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阀控蓄电池</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NP65-12</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美的</w:t>
                  </w:r>
                  <w:r>
                    <w:rPr>
                      <w:sz w:val="20"/>
                      <w:color w:val="000000"/>
                    </w:rPr>
                    <w:t>3P柜式空调</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KFR-72LW/BP3DN8Y-YA104(1)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柜式七氟丙烷自动灭火装置</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GQQ40L</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厚街法庭</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型号规格</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微模块专用机架式空调</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EK4</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40L柜式七氟丙烷灭火装置</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GQQ40/2.5C</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配电柜</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精密空调</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艾默生</w:t>
                  </w:r>
                  <w:r>
                    <w:rPr>
                      <w:sz w:val="20"/>
                      <w:color w:val="000000"/>
                    </w:rPr>
                    <w:t>DME12MCP1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大岭山法庭</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型号规格</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精密空调</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EC26</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后备电源</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UE-0400TAL</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大朗法庭</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型号规格</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美的</w:t>
                  </w:r>
                  <w:r>
                    <w:rPr>
                      <w:sz w:val="20"/>
                      <w:color w:val="000000"/>
                    </w:rPr>
                    <w:t>3P柜式空调</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KF-72LW/Y-PA400(D2)</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冷通道主机柜</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EAT-MC2-CA</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机架式配电插框</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EA-MC2-PD160</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监控管理系统</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EAJK-MC2000</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微模块专用列间空调</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ER012</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阀控蓄电池</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r>
                    <w:rPr>
                      <w:sz w:val="20"/>
                      <w:color w:val="000000"/>
                    </w:rPr>
                    <w:t>NP65-12</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柜式七氟丙烷自动灭火装置</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GQQ40L</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滨海湾巡回法庭</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型号规格</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机房配电系统</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易事特</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r>
          </w:tbl>
          <w:p>
            <w:pPr>
              <w:pStyle w:val="null3"/>
              <w:jc w:val="left"/>
            </w:pPr>
            <w:r>
              <w:rPr>
                <w:sz w:val="20"/>
                <w:b/>
              </w:rPr>
              <w:t>1.8</w:t>
            </w:r>
            <w:r>
              <w:rPr>
                <w:sz w:val="20"/>
                <w:b/>
              </w:rPr>
              <w:t>安防监控</w:t>
            </w:r>
          </w:p>
          <w:p>
            <w:pPr>
              <w:pStyle w:val="null3"/>
              <w:jc w:val="both"/>
            </w:pPr>
            <w:r>
              <w:rPr>
                <w:sz w:val="20"/>
              </w:rPr>
              <w:t>(1)设备清单（包含但不限于）如下：</w:t>
            </w:r>
          </w:p>
          <w:tbl>
            <w:tblPr>
              <w:tblBorders>
                <w:top w:val="none" w:color="000000" w:sz="4"/>
                <w:left w:val="none" w:color="000000" w:sz="4"/>
                <w:bottom w:val="none" w:color="000000" w:sz="4"/>
                <w:right w:val="none" w:color="000000" w:sz="4"/>
                <w:insideH w:val="none"/>
                <w:insideV w:val="none"/>
              </w:tblBorders>
            </w:tblPr>
            <w:tblGrid>
              <w:gridCol w:w="408"/>
              <w:gridCol w:w="2271"/>
              <w:gridCol w:w="2058"/>
              <w:gridCol w:w="426"/>
              <w:gridCol w:w="435"/>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东莞市第二人民法院本部</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品牌</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前端摄像机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大华网络高清摄像机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综合监控管理平台一体机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DH-DSS7016-D</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大华监控云储存</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CSS7136E-MR</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16路嵌入式解码器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DH-NVS1604DH</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9路嵌入式解码器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DH-NVS0904DH</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1路嵌入式解码器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DH-NVS0104DH</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16路嵌入式硬盘录像机（备用）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DH-DVR1604HG-S/N-E</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高性能拾音器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国产吸顶式</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配电柜</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国产</w:t>
                  </w:r>
                  <w:r>
                    <w:rPr>
                      <w:sz w:val="20"/>
                      <w:color w:val="000000"/>
                    </w:rPr>
                    <w:t>800*800*200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UPS后备电源</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UHA3R-0160L</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单路网络防雷器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海德</w:t>
                  </w:r>
                  <w:r>
                    <w:rPr>
                      <w:sz w:val="20"/>
                      <w:color w:val="000000"/>
                    </w:rPr>
                    <w:t>HD-XNET-RJ45/8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二合一视频防雷器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海德</w:t>
                  </w:r>
                  <w:r>
                    <w:rPr>
                      <w:sz w:val="20"/>
                      <w:color w:val="000000"/>
                    </w:rPr>
                    <w:t>HD-CCTV-PV/A</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三合一视频防雷器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海德</w:t>
                  </w:r>
                  <w:r>
                    <w:rPr>
                      <w:sz w:val="20"/>
                      <w:color w:val="000000"/>
                    </w:rPr>
                    <w:t>HD-CCTV-PVC/A</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电源一级防雷器</w:t>
                  </w:r>
                  <w:r>
                    <w:rPr>
                      <w:sz w:val="20"/>
                      <w:color w:val="000000"/>
                    </w:rPr>
                    <w:t>(三相)</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海德</w:t>
                  </w:r>
                  <w:r>
                    <w:rPr>
                      <w:sz w:val="20"/>
                      <w:color w:val="000000"/>
                    </w:rPr>
                    <w:t>HD-D380B-XL100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电源二级防雷器</w:t>
                  </w:r>
                  <w:r>
                    <w:rPr>
                      <w:sz w:val="20"/>
                      <w:color w:val="000000"/>
                    </w:rPr>
                    <w:t>(三相)</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海德</w:t>
                  </w:r>
                  <w:r>
                    <w:rPr>
                      <w:sz w:val="20"/>
                      <w:color w:val="000000"/>
                    </w:rPr>
                    <w:t>HD-D380X-XS40/20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机架式防雷插座</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海德</w:t>
                  </w:r>
                  <w:r>
                    <w:rPr>
                      <w:sz w:val="20"/>
                      <w:color w:val="000000"/>
                    </w:rPr>
                    <w:t>HD-D220CZA</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服务器（备用）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IBMX3650M3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大屏拼接控制器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ST4BP-06065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H3CS5500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POE交换机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DH-S3000C-8GT2GT-DPWR</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POE交换机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华三</w:t>
                  </w:r>
                  <w:r>
                    <w:rPr>
                      <w:sz w:val="20"/>
                      <w:color w:val="000000"/>
                    </w:rPr>
                    <w:t>MiniS18G-PWR</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24口POE千兆网络交换机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锐捷</w:t>
                  </w:r>
                  <w:r>
                    <w:rPr>
                      <w:sz w:val="20"/>
                      <w:color w:val="000000"/>
                    </w:rPr>
                    <w:t>RG-NBS5710-24GT4SFP-E-P</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24口POE交换机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S1730S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POE交换机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POE网络交换机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L24P4S-A2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POE交换机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DH-S3000C-8GT2GT-DPWR</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H3CS3100V2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虎门法庭</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品牌</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高清枪机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DH-IPC-HFW3233M-AS-I1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200万高清防暴半球</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DH-IPC-HDBW3233DR-AS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400万高清防暴半球</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DH-IPC-HDBW5438R-AS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高清球机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DH-SD-6C3223UE-HN</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高性能拾音器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烽火吸顶式</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32路录像主机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DH-NVR4832-4KS2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监控汇聚交换机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S5720S-28P-PWR-LI-AC</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POE交换机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S1720-52GWR-PWR-4P</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32路录像主机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DH-NVR4832-4KS2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高清摄像头半球</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DH-IPC-HDBW4443R-AS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32路录像主机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DH-NVR4832-4KS2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厚街法庭</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品牌</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前端摄像机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大华网络高清摄像机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高性能拾音器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国产吸顶式</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摄像机接入交换机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LS-3100V2-16TP-EI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200万红外定焦防暴半球网络摄像机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DH-IPC-HDBW52XYZR-ABCDE</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大岭山法庭</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品牌</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前端摄像机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大华网络高清摄像机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网络高清主机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美电贝尔</w:t>
                  </w:r>
                  <w:r>
                    <w:rPr>
                      <w:sz w:val="20"/>
                      <w:color w:val="000000"/>
                    </w:rPr>
                    <w:t>IVVR200-24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监控</w:t>
                  </w:r>
                  <w:r>
                    <w:rPr>
                      <w:sz w:val="20"/>
                      <w:color w:val="000000"/>
                    </w:rPr>
                    <w:t>NVR</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AJHUA</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高性能拾音器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国产吸顶式</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院外刑事审判场所</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品牌</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前端摄像机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大华网络高清摄像机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网络高清主机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美电贝尔</w:t>
                  </w:r>
                  <w:r>
                    <w:rPr>
                      <w:sz w:val="20"/>
                      <w:color w:val="000000"/>
                    </w:rPr>
                    <w:t>12块硬盘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高性能拾音器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国产吸顶式</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大朗法庭</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品牌</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前端摄像机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大华网络高清摄像机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网络高清主机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DH-NVR5832-4KS2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高性能拾音器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DH-HS22S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长安法庭</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品牌</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前端摄像机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大华网络高清摄像机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网络高清主机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DH-EVS5036S-R</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网络存储服务器扩展柜</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DH-ESS3124S-JR</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高性能拾音器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快鱼</w:t>
                  </w:r>
                  <w:r>
                    <w:rPr>
                      <w:sz w:val="20"/>
                      <w:color w:val="000000"/>
                    </w:rPr>
                    <w:t>SZPE505.TRADIO</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室内小间距</w:t>
                  </w:r>
                  <w:r>
                    <w:rPr>
                      <w:sz w:val="20"/>
                      <w:color w:val="000000"/>
                    </w:rPr>
                    <w:t>LED显示屏</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DH-PHSA1.5-SH</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显示屏独立主控</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DH-LCS-M600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综合监控管理平台一体机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DH-DSS7016-D</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控制键盘</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DH-NKB3000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大屏控制器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DSCON3000-4U</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多屏控制软件</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沙田法庭</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品牌</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高清网络红外半球摄像机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DH-IPC-HDBW5233R-AS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高清网络红外枪式摄像机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DH-IPC-HFW5233M-I2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高保真声音监听器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DH-HS22S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摄像机专用电源</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DC12V2A</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报警按钮</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欧普</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高清网络监控主机</w:t>
                  </w:r>
                  <w:r>
                    <w:rPr>
                      <w:sz w:val="20"/>
                      <w:color w:val="000000"/>
                    </w:rPr>
                    <w:t>(NVR)</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DH-NVR5832-4KS2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液晶监视器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DHL22-F600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监控管理</w:t>
                  </w:r>
                  <w:r>
                    <w:rPr>
                      <w:sz w:val="20"/>
                      <w:color w:val="000000"/>
                    </w:rPr>
                    <w:t>PC</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联想启天</w:t>
                  </w:r>
                  <w:r>
                    <w:rPr>
                      <w:sz w:val="20"/>
                      <w:color w:val="000000"/>
                    </w:rPr>
                    <w:t>M410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监控核心交换机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S5700-28C-EI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监控接入交换机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S2720-28TP-EI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监控接入交换机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S2700-9TP-EI-AC</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bl>
          <w:p>
            <w:pPr>
              <w:pStyle w:val="null3"/>
              <w:jc w:val="left"/>
            </w:pPr>
            <w:r>
              <w:rPr>
                <w:sz w:val="20"/>
                <w:b/>
              </w:rPr>
              <w:t>1.9</w:t>
            </w:r>
            <w:r>
              <w:rPr>
                <w:sz w:val="20"/>
                <w:b/>
              </w:rPr>
              <w:t>停车场、门禁、一卡通系统</w:t>
            </w:r>
          </w:p>
          <w:p>
            <w:pPr>
              <w:pStyle w:val="null3"/>
              <w:jc w:val="both"/>
            </w:pPr>
            <w:r>
              <w:rPr>
                <w:sz w:val="20"/>
              </w:rPr>
              <w:t>(1)设备清单（包含但不限于）如下：</w:t>
            </w:r>
          </w:p>
          <w:tbl>
            <w:tblPr>
              <w:tblBorders>
                <w:top w:val="none" w:color="000000" w:sz="4"/>
                <w:left w:val="none" w:color="000000" w:sz="4"/>
                <w:bottom w:val="none" w:color="000000" w:sz="4"/>
                <w:right w:val="none" w:color="000000" w:sz="4"/>
                <w:insideH w:val="none"/>
                <w:insideV w:val="none"/>
              </w:tblBorders>
            </w:tblPr>
            <w:tblGrid>
              <w:gridCol w:w="345"/>
              <w:gridCol w:w="3942"/>
              <w:gridCol w:w="611"/>
              <w:gridCol w:w="345"/>
              <w:gridCol w:w="354"/>
            </w:tblGrid>
            <w:tr>
              <w:tc>
                <w:tcPr>
                  <w:tcW w:type="dxa" w:w="559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分布区域：东莞市第二人民法院本部、长安法庭、沙田法庭、大岭山法庭、厚街法庭、虎门法庭、大朗法庭、滨海湾巡回法庭、院外刑事审判场所</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3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资产名称</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品牌</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访客机、门禁控制器、读头、人脸识别一体机、杆道闸、数字式车辆检测器、入口控制机、出口控制机、网络高清摄像机、</w:t>
                  </w:r>
                  <w:r>
                    <w:rPr>
                      <w:sz w:val="20"/>
                      <w:color w:val="000000"/>
                    </w:rPr>
                    <w:t>LED补光灯等</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捷顺、德生</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bl>
          <w:p>
            <w:pPr>
              <w:pStyle w:val="null3"/>
              <w:jc w:val="left"/>
            </w:pPr>
            <w:r>
              <w:rPr>
                <w:sz w:val="20"/>
                <w:b/>
              </w:rPr>
              <w:t>1.10</w:t>
            </w:r>
            <w:r>
              <w:rPr>
                <w:sz w:val="20"/>
                <w:b/>
              </w:rPr>
              <w:t>广播、排队系统</w:t>
            </w:r>
          </w:p>
          <w:p>
            <w:pPr>
              <w:pStyle w:val="null3"/>
              <w:jc w:val="both"/>
            </w:pPr>
            <w:r>
              <w:rPr>
                <w:sz w:val="20"/>
              </w:rPr>
              <w:t>(1)设备清单（包含但不限于）如下：</w:t>
            </w:r>
          </w:p>
          <w:tbl>
            <w:tblPr>
              <w:tblBorders>
                <w:top w:val="none" w:color="000000" w:sz="4"/>
                <w:left w:val="none" w:color="000000" w:sz="4"/>
                <w:bottom w:val="none" w:color="000000" w:sz="4"/>
                <w:right w:val="none" w:color="000000" w:sz="4"/>
                <w:insideH w:val="none"/>
                <w:insideV w:val="none"/>
              </w:tblBorders>
            </w:tblPr>
            <w:tblGrid>
              <w:gridCol w:w="329"/>
              <w:gridCol w:w="4221"/>
              <w:gridCol w:w="382"/>
              <w:gridCol w:w="329"/>
              <w:gridCol w:w="338"/>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分布区域：东莞市第二人民法院本部、长安法庭、沙田法庭、大岭山法庭、厚街法庭、虎门法庭、大朗法庭、滨海湾巡回法庭、院外刑事审判场所</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4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资产名称</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品牌</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包括</w:t>
                  </w:r>
                  <w:r>
                    <w:rPr>
                      <w:sz w:val="20"/>
                      <w:color w:val="000000"/>
                    </w:rPr>
                    <w:t>IP网络广播工控主机、数字化IP网络广播系统、IP网络寻呼(对讲)话筒、IP网络分控软件、IP网络寻呼(对讲)话筒、机柜1式IP网络解码终端、天花喇叭室内壁挂音箱、等</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ITC</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诉讼服务一体机、信息可视化展示系统、自助查询一体机</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昊达</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bl>
          <w:p>
            <w:pPr>
              <w:pStyle w:val="null3"/>
              <w:jc w:val="left"/>
            </w:pPr>
            <w:r>
              <w:rPr>
                <w:sz w:val="20"/>
                <w:b/>
              </w:rPr>
              <w:t>1.11</w:t>
            </w:r>
            <w:r>
              <w:rPr>
                <w:sz w:val="20"/>
                <w:b/>
              </w:rPr>
              <w:t>服务器、存储设备</w:t>
            </w:r>
          </w:p>
          <w:p>
            <w:pPr>
              <w:pStyle w:val="null3"/>
              <w:jc w:val="both"/>
            </w:pPr>
            <w:r>
              <w:rPr>
                <w:sz w:val="20"/>
              </w:rPr>
              <w:t>(1)设备清单（包含但不限于）如下：</w:t>
            </w:r>
          </w:p>
          <w:tbl>
            <w:tblPr>
              <w:tblInd w:type="dxa" w:w="120"/>
              <w:tblBorders>
                <w:top w:val="none" w:color="000000" w:sz="4"/>
                <w:left w:val="none" w:color="000000" w:sz="4"/>
                <w:bottom w:val="none" w:color="000000" w:sz="4"/>
                <w:right w:val="none" w:color="000000" w:sz="4"/>
                <w:insideH w:val="none"/>
                <w:insideV w:val="none"/>
              </w:tblBorders>
            </w:tblPr>
            <w:tblGrid>
              <w:gridCol w:w="711"/>
              <w:gridCol w:w="1679"/>
              <w:gridCol w:w="2195"/>
              <w:gridCol w:w="480"/>
              <w:gridCol w:w="533"/>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东莞市第二人民法院本部</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型号规格</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平台存储设备</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/DH-DSS7016-D</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IBM服务器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X3650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IBMX3650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IPSAN扩展柜</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柏科</w:t>
                  </w:r>
                  <w:r>
                    <w:rPr>
                      <w:sz w:val="20"/>
                      <w:color w:val="000000"/>
                    </w:rPr>
                    <w:t>RorkeRD550J</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IPSAN主机</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柏科</w:t>
                  </w:r>
                  <w:r>
                    <w:rPr>
                      <w:sz w:val="20"/>
                      <w:color w:val="000000"/>
                    </w:rPr>
                    <w:t>RorkeRD550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磁盘阵列存储系统</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S2600F-12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磁盘扩展柜</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ES2600-4U24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24盘位存储服务器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大华</w:t>
                  </w:r>
                  <w:r>
                    <w:rPr>
                      <w:sz w:val="20"/>
                      <w:color w:val="000000"/>
                    </w:rPr>
                    <w:t>DH-EVS5024S-R</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联想</w:t>
                  </w:r>
                  <w:r>
                    <w:rPr>
                      <w:sz w:val="20"/>
                      <w:color w:val="000000"/>
                    </w:rPr>
                    <w:t>X3850X6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X3850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磁盘阵列存储系统</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S2600F-12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磁盘扩展柜</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ES2600-4U24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IBM服务器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X3750M4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PC服务器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联想</w:t>
                  </w:r>
                  <w:r>
                    <w:rPr>
                      <w:sz w:val="20"/>
                      <w:color w:val="000000"/>
                    </w:rPr>
                    <w:t>X3650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IBMX3650M4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管理服务器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IBM3650M37945001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存储器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联想</w:t>
                  </w:r>
                  <w:r>
                    <w:rPr>
                      <w:sz w:val="20"/>
                      <w:color w:val="000000"/>
                    </w:rPr>
                    <w:t>V3700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IBM服务器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X3850X6（E7-4850V4*2*8G)</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多点控制单元</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VP9630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IP录播服务器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锐取</w:t>
                  </w:r>
                  <w:r>
                    <w:rPr>
                      <w:sz w:val="20"/>
                      <w:color w:val="000000"/>
                    </w:rPr>
                    <w:t>REXCH500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主数据服务器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IBM560Q16C</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电子签章服务器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IBMX3650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存储服务器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IBMDS4700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备份数据库服务器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IBM560Q4C</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磁带库服务器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IBMTS3100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浪潮</w:t>
                  </w:r>
                  <w:r>
                    <w:rPr>
                      <w:sz w:val="20"/>
                      <w:color w:val="000000"/>
                    </w:rPr>
                    <w:t>NF5170M4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联想服务器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联想</w:t>
                  </w:r>
                  <w:r>
                    <w:rPr>
                      <w:sz w:val="20"/>
                      <w:color w:val="000000"/>
                    </w:rPr>
                    <w:t>SR650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机架式服务器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联想</w:t>
                  </w:r>
                  <w:r>
                    <w:rPr>
                      <w:sz w:val="20"/>
                      <w:color w:val="000000"/>
                    </w:rPr>
                    <w:t>SR868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PC服务器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联想</w:t>
                  </w:r>
                  <w:r>
                    <w:rPr>
                      <w:sz w:val="20"/>
                      <w:color w:val="000000"/>
                    </w:rPr>
                    <w:t>X3650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机架式服务器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联想</w:t>
                  </w:r>
                  <w:r>
                    <w:rPr>
                      <w:sz w:val="20"/>
                      <w:color w:val="000000"/>
                    </w:rPr>
                    <w:t>SR868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机架式服务器</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2288HV5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超融合组网交换机</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S6300G-34Q-EI-16T8X</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国产化超融合计算存储融合终端</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aServer-GH-605P</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数据中心汇聚交换机</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S5720-28X-SI-AC</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光纤通道交换机</w:t>
                  </w:r>
                </w:p>
              </w:tc>
              <w:tc>
                <w:tcPr>
                  <w:tcW w:type="dxa" w:w="2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IBMB16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bl>
          <w:p>
            <w:pPr>
              <w:pStyle w:val="null3"/>
              <w:jc w:val="left"/>
            </w:pPr>
            <w:r>
              <w:rPr>
                <w:sz w:val="20"/>
                <w:b/>
              </w:rPr>
              <w:t>1.12</w:t>
            </w:r>
            <w:r>
              <w:rPr>
                <w:sz w:val="20"/>
                <w:b/>
              </w:rPr>
              <w:t>网络设备</w:t>
            </w:r>
          </w:p>
          <w:p>
            <w:pPr>
              <w:pStyle w:val="null3"/>
              <w:jc w:val="both"/>
            </w:pPr>
            <w:r>
              <w:rPr>
                <w:sz w:val="20"/>
              </w:rPr>
              <w:t>(1)设备清单（包含但不限于）如下：</w:t>
            </w:r>
          </w:p>
          <w:tbl>
            <w:tblPr>
              <w:tblBorders>
                <w:top w:val="none" w:color="000000" w:sz="4"/>
                <w:left w:val="none" w:color="000000" w:sz="4"/>
                <w:bottom w:val="none" w:color="000000" w:sz="4"/>
                <w:right w:val="none" w:color="000000" w:sz="4"/>
                <w:insideH w:val="none"/>
                <w:insideV w:val="none"/>
              </w:tblBorders>
            </w:tblPr>
            <w:tblGrid>
              <w:gridCol w:w="481"/>
              <w:gridCol w:w="1842"/>
              <w:gridCol w:w="2314"/>
              <w:gridCol w:w="498"/>
              <w:gridCol w:w="463"/>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东莞市第二人民法院本部</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型号规格</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S1720-28GWR-PWR-4TP</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华三</w:t>
                  </w:r>
                  <w:r>
                    <w:rPr>
                      <w:sz w:val="20"/>
                      <w:color w:val="000000"/>
                    </w:rPr>
                    <w:t>H3CLS-E528-H3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华三</w:t>
                  </w:r>
                  <w:r>
                    <w:rPr>
                      <w:sz w:val="20"/>
                      <w:color w:val="000000"/>
                    </w:rPr>
                    <w:t>H3CLS-E152B</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24口汇聚交换机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锐捷</w:t>
                  </w:r>
                  <w:r>
                    <w:rPr>
                      <w:sz w:val="20"/>
                      <w:color w:val="000000"/>
                    </w:rPr>
                    <w:t>RG-NBS5750-28GT4XS-E/RG-PA70I</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华为千兆交换机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LS-S5324TP-SI-AC</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中心交换机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L24T4S-QA2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24口交换机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S1720</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S1720-10GW-2P</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48口交换机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S5735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安全运维区交换机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S5720-28X-SI-AC</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千兆电口交换机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S5731-H24T4XC</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S12700E-8</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S2410-52P-S1-AC</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楼层交换机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核心交换机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S12700E-8</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长安法庭</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资产名称</w:t>
                  </w:r>
                </w:p>
              </w:tc>
              <w:tc>
                <w:tcPr>
                  <w:tcW w:type="dxa" w:w="2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S5735S-L24T4S-QA2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沙田法庭</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型号规格</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核心交换机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S7703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千兆接入交换机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S5720-28P-LI-AC</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虎门法庭</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资产名称</w:t>
                  </w:r>
                </w:p>
              </w:tc>
              <w:tc>
                <w:tcPr>
                  <w:tcW w:type="dxa" w:w="2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5720S-52P-L1-AC</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三层交换机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S5720S-28P-SI-AC</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TPLINKPOE交换机1台</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TL-SL2226P</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H3C24口交换机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厚街法庭</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资产名称</w:t>
                  </w:r>
                </w:p>
              </w:tc>
              <w:tc>
                <w:tcPr>
                  <w:tcW w:type="dxa" w:w="2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华三</w:t>
                  </w:r>
                  <w:r>
                    <w:rPr>
                      <w:sz w:val="20"/>
                      <w:color w:val="000000"/>
                    </w:rPr>
                    <w:t>H3CLS-E152B</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48口接入交换机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S2700-52TP-EI-AC</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华三</w:t>
                  </w:r>
                  <w:r>
                    <w:rPr>
                      <w:sz w:val="20"/>
                      <w:color w:val="000000"/>
                    </w:rPr>
                    <w:t>H3CLS-E528-H3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24口网络交换机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S3700-28TP-EI-AC</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华三</w:t>
                  </w:r>
                  <w:r>
                    <w:rPr>
                      <w:sz w:val="20"/>
                      <w:color w:val="000000"/>
                    </w:rPr>
                    <w:t>H3CLS-E152B</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w:t>
                  </w:r>
                  <w:r>
                    <w:rPr>
                      <w:sz w:val="20"/>
                      <w:color w:val="000000"/>
                    </w:rPr>
                    <w:t>24口交换机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S5735S-L24T4S-A</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大岭山法庭</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资产名称</w:t>
                  </w:r>
                </w:p>
              </w:tc>
              <w:tc>
                <w:tcPr>
                  <w:tcW w:type="dxa" w:w="2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H3C/S1200-18F</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S1730S</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S1730</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千兆网络交换机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S5735S-L48T4S-A1</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大朗法庭</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资产名称</w:t>
                  </w:r>
                </w:p>
              </w:tc>
              <w:tc>
                <w:tcPr>
                  <w:tcW w:type="dxa" w:w="2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三层交换机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S5720S-28P-SI-AC</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5720S-52P-L1-AC</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滨海湾巡回法庭</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资产名称</w:t>
                  </w:r>
                </w:p>
              </w:tc>
              <w:tc>
                <w:tcPr>
                  <w:tcW w:type="dxa" w:w="2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S5735S-L24T4S-QA2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院外刑事审判场所</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资产名称</w:t>
                  </w:r>
                </w:p>
              </w:tc>
              <w:tc>
                <w:tcPr>
                  <w:tcW w:type="dxa" w:w="2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网络交换机</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华为</w:t>
                  </w:r>
                  <w:r>
                    <w:rPr>
                      <w:sz w:val="20"/>
                      <w:color w:val="000000"/>
                    </w:rPr>
                    <w:t>S5735S-L24T4S-QA2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bl>
          <w:p>
            <w:pPr>
              <w:pStyle w:val="null3"/>
              <w:jc w:val="left"/>
            </w:pPr>
            <w:r>
              <w:rPr>
                <w:sz w:val="20"/>
                <w:b/>
              </w:rPr>
              <w:t>1.13</w:t>
            </w:r>
            <w:r>
              <w:rPr>
                <w:sz w:val="20"/>
                <w:b/>
              </w:rPr>
              <w:t>网络安全设备</w:t>
            </w:r>
          </w:p>
          <w:p>
            <w:pPr>
              <w:pStyle w:val="null3"/>
              <w:jc w:val="both"/>
            </w:pPr>
            <w:r>
              <w:rPr>
                <w:sz w:val="20"/>
              </w:rPr>
              <w:t>(1)设备清单（包含但不限于）如下：</w:t>
            </w:r>
          </w:p>
          <w:tbl>
            <w:tblPr>
              <w:tblInd w:type="dxa" w:w="120"/>
              <w:tblBorders>
                <w:top w:val="none" w:color="000000" w:sz="4"/>
                <w:left w:val="none" w:color="000000" w:sz="4"/>
                <w:bottom w:val="none" w:color="000000" w:sz="4"/>
                <w:right w:val="none" w:color="000000" w:sz="4"/>
                <w:insideH w:val="none"/>
                <w:insideV w:val="none"/>
              </w:tblBorders>
            </w:tblPr>
            <w:tblGrid>
              <w:gridCol w:w="577"/>
              <w:gridCol w:w="1535"/>
              <w:gridCol w:w="2342"/>
              <w:gridCol w:w="559"/>
              <w:gridCol w:w="586"/>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东莞市第二人民法院本部</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资产名称</w:t>
                  </w:r>
                </w:p>
              </w:tc>
              <w:tc>
                <w:tcPr>
                  <w:tcW w:type="dxa" w:w="2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网御运维管控系统</w:t>
                  </w:r>
                </w:p>
              </w:tc>
              <w:tc>
                <w:tcPr>
                  <w:tcW w:type="dxa" w:w="2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网御</w:t>
                  </w:r>
                  <w:r>
                    <w:rPr>
                      <w:sz w:val="20"/>
                      <w:color w:val="000000"/>
                    </w:rPr>
                    <w:t>LA-OS-5660-D</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应用负载系统</w:t>
                  </w:r>
                </w:p>
              </w:tc>
              <w:tc>
                <w:tcPr>
                  <w:tcW w:type="dxa" w:w="2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CAIWEBMUX481S</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内网态势感知平台</w:t>
                  </w:r>
                </w:p>
              </w:tc>
              <w:tc>
                <w:tcPr>
                  <w:tcW w:type="dxa" w:w="2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SIP-1000-B400\STA-100-B2100</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准入控制系统</w:t>
                  </w:r>
                </w:p>
              </w:tc>
              <w:tc>
                <w:tcPr>
                  <w:tcW w:type="dxa" w:w="2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盈高</w:t>
                  </w:r>
                  <w:r>
                    <w:rPr>
                      <w:sz w:val="20"/>
                      <w:color w:val="000000"/>
                    </w:rPr>
                    <w:t>ASM6303</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内网防火墙</w:t>
                  </w:r>
                </w:p>
              </w:tc>
              <w:tc>
                <w:tcPr>
                  <w:tcW w:type="dxa" w:w="2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深信服</w:t>
                  </w:r>
                  <w:r>
                    <w:rPr>
                      <w:sz w:val="20"/>
                      <w:color w:val="000000"/>
                    </w:rPr>
                    <w:t>FA40-AF</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入侵防御系统</w:t>
                  </w:r>
                </w:p>
              </w:tc>
              <w:tc>
                <w:tcPr>
                  <w:tcW w:type="dxa" w:w="2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Leadsec-5200FM-IPS</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日志审计系统</w:t>
                  </w:r>
                </w:p>
              </w:tc>
              <w:tc>
                <w:tcPr>
                  <w:tcW w:type="dxa" w:w="2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WAS-1000A</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网御网络审计系统</w:t>
                  </w:r>
                </w:p>
              </w:tc>
              <w:tc>
                <w:tcPr>
                  <w:tcW w:type="dxa" w:w="2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网御</w:t>
                  </w:r>
                  <w:r>
                    <w:rPr>
                      <w:sz w:val="20"/>
                      <w:color w:val="000000"/>
                    </w:rPr>
                    <w:t>LA-BT-168-OBR-D</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入侵检测系统</w:t>
                  </w:r>
                </w:p>
              </w:tc>
              <w:tc>
                <w:tcPr>
                  <w:tcW w:type="dxa" w:w="2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绿盟</w:t>
                  </w:r>
                  <w:r>
                    <w:rPr>
                      <w:sz w:val="20"/>
                      <w:color w:val="000000"/>
                    </w:rPr>
                    <w:t>NIDSNX3-N3000</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漏洞扫描、安全配置核查系统</w:t>
                  </w:r>
                </w:p>
              </w:tc>
              <w:tc>
                <w:tcPr>
                  <w:tcW w:type="dxa" w:w="2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深信服</w:t>
                  </w:r>
                  <w:r>
                    <w:rPr>
                      <w:sz w:val="20"/>
                      <w:color w:val="000000"/>
                    </w:rPr>
                    <w:t>BVT-A620</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备份一体机</w:t>
                  </w:r>
                </w:p>
              </w:tc>
              <w:tc>
                <w:tcPr>
                  <w:tcW w:type="dxa" w:w="2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火星舱</w:t>
                  </w:r>
                  <w:r>
                    <w:rPr>
                      <w:sz w:val="20"/>
                      <w:color w:val="000000"/>
                    </w:rPr>
                    <w:t>MSA-EBA-E32G</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上网行为管理</w:t>
                  </w:r>
                </w:p>
              </w:tc>
              <w:tc>
                <w:tcPr>
                  <w:tcW w:type="dxa" w:w="2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深信服</w:t>
                  </w:r>
                  <w:r>
                    <w:rPr>
                      <w:sz w:val="20"/>
                      <w:color w:val="000000"/>
                    </w:rPr>
                    <w:t>AC-1000-D420</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沙田法庭</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型号规格</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网络防火墙</w:t>
                  </w:r>
                </w:p>
              </w:tc>
              <w:tc>
                <w:tcPr>
                  <w:tcW w:type="dxa" w:w="2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深信服</w:t>
                  </w:r>
                  <w:r>
                    <w:rPr>
                      <w:sz w:val="20"/>
                      <w:color w:val="000000"/>
                    </w:rPr>
                    <w:t>NGAF-1000-D420</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bl>
          <w:p>
            <w:pPr>
              <w:pStyle w:val="null3"/>
              <w:jc w:val="left"/>
            </w:pPr>
            <w:r>
              <w:rPr>
                <w:sz w:val="20"/>
                <w:b/>
              </w:rPr>
              <w:t>1.14</w:t>
            </w:r>
            <w:r>
              <w:rPr>
                <w:sz w:val="20"/>
                <w:b/>
              </w:rPr>
              <w:t>应用系统</w:t>
            </w:r>
          </w:p>
          <w:p>
            <w:pPr>
              <w:pStyle w:val="null3"/>
              <w:jc w:val="both"/>
            </w:pPr>
            <w:r>
              <w:rPr>
                <w:sz w:val="20"/>
              </w:rPr>
              <w:t>(1)设备清单（包含但不限于）如下：</w:t>
            </w:r>
          </w:p>
          <w:tbl>
            <w:tblPr>
              <w:tblBorders>
                <w:top w:val="none" w:color="000000" w:sz="4"/>
                <w:left w:val="none" w:color="000000" w:sz="4"/>
                <w:bottom w:val="none" w:color="000000" w:sz="4"/>
                <w:right w:val="none" w:color="000000" w:sz="4"/>
                <w:insideH w:val="none"/>
                <w:insideV w:val="none"/>
              </w:tblBorders>
            </w:tblPr>
            <w:tblGrid>
              <w:gridCol w:w="523"/>
              <w:gridCol w:w="1508"/>
              <w:gridCol w:w="1046"/>
              <w:gridCol w:w="2519"/>
            </w:tblGrid>
            <w:tr>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分类</w:t>
                  </w:r>
                </w:p>
              </w:tc>
              <w:tc>
                <w:tcPr>
                  <w:tcW w:type="dxa" w:w="1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应用系统名称</w:t>
                  </w:r>
                </w:p>
              </w:tc>
              <w:tc>
                <w:tcPr>
                  <w:tcW w:type="dxa" w:w="2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应用功能</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办案应用系统</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通达海</w:t>
                  </w:r>
                  <w:r>
                    <w:rPr>
                      <w:sz w:val="20"/>
                      <w:color w:val="000000"/>
                    </w:rPr>
                    <w:t>ecourt法院信息管理系统</w:t>
                  </w:r>
                </w:p>
              </w:tc>
              <w:tc>
                <w:tcPr>
                  <w:tcW w:type="dxa" w:w="2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案件管理、司法统计辅助管理等</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辅助办案应用系统</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数字法庭系统</w:t>
                  </w:r>
                </w:p>
              </w:tc>
              <w:tc>
                <w:tcPr>
                  <w:tcW w:type="dxa" w:w="2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建设</w:t>
                  </w:r>
                  <w:r>
                    <w:rPr>
                      <w:sz w:val="20"/>
                      <w:color w:val="000000"/>
                    </w:rPr>
                    <w:t>59个科技法庭和3个看守所远程庭审室，并建设数字法庭60T存储系统。</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508"/>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执行指挥系统</w:t>
                  </w:r>
                </w:p>
              </w:tc>
              <w:tc>
                <w:tcPr>
                  <w:tcW w:type="dxa" w:w="2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含单兵作战系统</w:t>
                  </w:r>
                  <w:r>
                    <w:rPr>
                      <w:sz w:val="20"/>
                      <w:color w:val="000000"/>
                    </w:rPr>
                    <w:t>5套、显示大屏、控制工作站5套、音响系统、会议系统等</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508"/>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中信档案管理系统</w:t>
                  </w:r>
                </w:p>
              </w:tc>
              <w:tc>
                <w:tcPr>
                  <w:tcW w:type="dxa" w:w="2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档案管理系统</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508"/>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内外网数据交换</w:t>
                  </w:r>
                </w:p>
              </w:tc>
              <w:tc>
                <w:tcPr>
                  <w:tcW w:type="dxa" w:w="2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内外网数据转接交换</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508"/>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视频会议系统</w:t>
                  </w:r>
                </w:p>
              </w:tc>
              <w:tc>
                <w:tcPr>
                  <w:tcW w:type="dxa" w:w="2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包含</w:t>
                  </w:r>
                  <w:r>
                    <w:rPr>
                      <w:sz w:val="20"/>
                      <w:color w:val="000000"/>
                    </w:rPr>
                    <w:t>MUC一套，视频会议终端12台</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司法公开</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外网门户网站系统</w:t>
                  </w:r>
                </w:p>
              </w:tc>
              <w:tc>
                <w:tcPr>
                  <w:tcW w:type="dxa" w:w="2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外网网站系统一套，用于新闻发布、公告发布、曝光信息发布等</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508"/>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微信公众号</w:t>
                  </w:r>
                </w:p>
              </w:tc>
              <w:tc>
                <w:tcPr>
                  <w:tcW w:type="dxa" w:w="2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WEB网站，微信小程序、信息发布等</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安防建设</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监控管理平台系统</w:t>
                  </w:r>
                </w:p>
              </w:tc>
              <w:tc>
                <w:tcPr>
                  <w:tcW w:type="dxa" w:w="2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在审判庭、调解室、走廊及外围安装监控摄像头</w:t>
                  </w:r>
                  <w:r>
                    <w:rPr>
                      <w:sz w:val="20"/>
                      <w:color w:val="000000"/>
                    </w:rPr>
                    <w:t>630个，配合统一的监控管理平台，实现监控音视频集中存储，存储空间达到275T，使得重点位置监控录像可以保存2个月以上。</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508"/>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门禁系统</w:t>
                  </w:r>
                </w:p>
              </w:tc>
              <w:tc>
                <w:tcPr>
                  <w:tcW w:type="dxa" w:w="2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门禁管理（国密加密技术）</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508"/>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办公室智能门锁</w:t>
                  </w:r>
                </w:p>
              </w:tc>
              <w:tc>
                <w:tcPr>
                  <w:tcW w:type="dxa" w:w="2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加强门锁安全。</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网络安全</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金山杀毒软件</w:t>
                  </w:r>
                </w:p>
              </w:tc>
              <w:tc>
                <w:tcPr>
                  <w:tcW w:type="dxa" w:w="2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500个客户端病毒防护</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508"/>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世安内网终端安全管理系统</w:t>
                  </w:r>
                </w:p>
              </w:tc>
              <w:tc>
                <w:tcPr>
                  <w:tcW w:type="dxa" w:w="2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U盘数据转接交换</w:t>
                  </w:r>
                </w:p>
              </w:tc>
            </w:tr>
          </w:tbl>
          <w:p>
            <w:pPr>
              <w:pStyle w:val="null3"/>
              <w:jc w:val="left"/>
            </w:pPr>
            <w:r>
              <w:rPr>
                <w:sz w:val="20"/>
                <w:b/>
              </w:rPr>
              <w:t>二</w:t>
            </w:r>
            <w:r>
              <w:rPr>
                <w:sz w:val="20"/>
                <w:b/>
              </w:rPr>
              <w:t>、服务模式与响应机制</w:t>
            </w:r>
          </w:p>
          <w:tbl>
            <w:tblPr>
              <w:tblBorders>
                <w:top w:val="none" w:color="000000" w:sz="4"/>
                <w:left w:val="none" w:color="000000" w:sz="4"/>
                <w:bottom w:val="none" w:color="000000" w:sz="4"/>
                <w:right w:val="none" w:color="000000" w:sz="4"/>
                <w:insideH w:val="none"/>
                <w:insideV w:val="none"/>
              </w:tblBorders>
            </w:tblPr>
            <w:tblGrid>
              <w:gridCol w:w="498"/>
              <w:gridCol w:w="1200"/>
              <w:gridCol w:w="3901"/>
            </w:tblGrid>
            <w:tr>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w:t>
                  </w:r>
                </w:p>
              </w:tc>
              <w:tc>
                <w:tcPr>
                  <w:tcW w:type="dxa" w:w="3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内容说明</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驻场服务</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w:t>
                  </w:r>
                  <w:r>
                    <w:rPr>
                      <w:sz w:val="20"/>
                    </w:rPr>
                    <w:t>5天，每日8小时现场值守。</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应急响应</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7×24小时电话值班+现场快速响应。</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故障响应时效</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报障后</w:t>
                  </w:r>
                  <w:r>
                    <w:rPr>
                      <w:sz w:val="20"/>
                    </w:rPr>
                    <w:t>5分钟内响应，30分钟内到场处理。</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常规备件支持</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关键设备提供</w:t>
                  </w:r>
                  <w:r>
                    <w:rPr>
                      <w:sz w:val="20"/>
                    </w:rPr>
                    <w:t>48小时内备件更换服务。</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★单件更换费用</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对于某次系统设备维修或更换，单件更换配件</w:t>
                  </w:r>
                  <w:r>
                    <w:rPr>
                      <w:sz w:val="20"/>
                    </w:rPr>
                    <w:t>10000元以内的，由投标人承担；单件更换配件超出10000元的，报采购人审核确认后，费用由采购人承担，投标人进行采购、维修或更换。（须提供相应承诺函，并加盖投标人公章）</w:t>
                  </w:r>
                </w:p>
              </w:tc>
            </w:tr>
          </w:tbl>
          <w:p>
            <w:pPr>
              <w:pStyle w:val="null3"/>
              <w:jc w:val="both"/>
            </w:pPr>
            <w:r>
              <w:rPr>
                <w:sz w:val="20"/>
                <w:b/>
              </w:rPr>
              <w:t>三</w:t>
            </w:r>
            <w:r>
              <w:rPr>
                <w:sz w:val="20"/>
                <w:b/>
              </w:rPr>
              <w:t>、</w:t>
            </w:r>
            <w:r>
              <w:rPr>
                <w:sz w:val="20"/>
                <w:b/>
              </w:rPr>
              <w:t>项目服务内容</w:t>
            </w:r>
          </w:p>
          <w:p>
            <w:pPr>
              <w:pStyle w:val="null3"/>
              <w:jc w:val="left"/>
            </w:pPr>
            <w:r>
              <w:rPr>
                <w:sz w:val="20"/>
                <w:b/>
              </w:rPr>
              <w:t>3</w:t>
            </w:r>
            <w:r>
              <w:rPr>
                <w:sz w:val="20"/>
                <w:b/>
              </w:rPr>
              <w:t>.1服务能力基础要求</w:t>
            </w:r>
          </w:p>
          <w:p>
            <w:pPr>
              <w:pStyle w:val="null3"/>
              <w:ind w:firstLine="400"/>
              <w:jc w:val="both"/>
            </w:pPr>
            <w:r>
              <w:rPr>
                <w:sz w:val="20"/>
              </w:rPr>
              <w:t>投标人应具备履行本合同所必需的管理能力、技术积累和服务经验，以确保本项目运维服务的质量、安全与可持续性。具体要求体现在以下方面：</w:t>
            </w:r>
          </w:p>
          <w:p>
            <w:pPr>
              <w:pStyle w:val="null3"/>
              <w:ind w:firstLine="400"/>
              <w:jc w:val="both"/>
            </w:pPr>
            <w:r>
              <w:rPr>
                <w:sz w:val="20"/>
              </w:rPr>
              <w:t>1.管理体系认证：投标人应具备完善的管理体系，以确保持续、稳定、可靠的服务交付。本项目重点鼓励投标人建立并保持以下管理体系：</w:t>
            </w:r>
          </w:p>
          <w:p>
            <w:pPr>
              <w:pStyle w:val="null3"/>
              <w:ind w:firstLine="400"/>
              <w:jc w:val="both"/>
            </w:pPr>
            <w:r>
              <w:rPr>
                <w:sz w:val="20"/>
              </w:rPr>
              <w:t>1）质量管理体系认证证书：确保服务过程规范、可控，持续提升服务质量。</w:t>
            </w:r>
          </w:p>
          <w:p>
            <w:pPr>
              <w:pStyle w:val="null3"/>
              <w:ind w:firstLine="400"/>
              <w:jc w:val="both"/>
            </w:pPr>
            <w:r>
              <w:rPr>
                <w:sz w:val="20"/>
              </w:rPr>
              <w:t>2）信息安全管理体系认证证书：证明其具备系统的信息安全保障能力，能够有效保护采购人的敏感数据和业务系统。</w:t>
            </w:r>
          </w:p>
          <w:p>
            <w:pPr>
              <w:pStyle w:val="null3"/>
              <w:ind w:firstLine="400"/>
              <w:jc w:val="both"/>
            </w:pPr>
            <w:r>
              <w:rPr>
                <w:sz w:val="20"/>
              </w:rPr>
              <w:t>3）信息技术服务管理体系认证证书：证明其具备标准化、流程化的IT服务管理能力，保障IT服务的连续性与稳定性。</w:t>
            </w:r>
          </w:p>
          <w:p>
            <w:pPr>
              <w:pStyle w:val="null3"/>
              <w:ind w:firstLine="400"/>
              <w:jc w:val="both"/>
            </w:pPr>
            <w:r>
              <w:rPr>
                <w:sz w:val="20"/>
              </w:rPr>
              <w:t>4）商品售后服务评价体系认证证书：证明其具备高水平、规范化的售后服务和持续保障能力，满足本项目长期运维的响应与支持需求。</w:t>
            </w:r>
          </w:p>
          <w:p>
            <w:pPr>
              <w:pStyle w:val="null3"/>
              <w:ind w:firstLine="400"/>
              <w:jc w:val="both"/>
            </w:pPr>
            <w:r>
              <w:rPr>
                <w:sz w:val="20"/>
              </w:rPr>
              <w:t>2.项目业绩：投标人应具备类似规模及复杂度的信息化软硬件综合运维服务经验，以证明其具备有相关能力履行本合同。</w:t>
            </w:r>
          </w:p>
          <w:p>
            <w:pPr>
              <w:pStyle w:val="null3"/>
              <w:ind w:firstLine="400"/>
              <w:jc w:val="both"/>
            </w:pPr>
            <w:r>
              <w:rPr>
                <w:sz w:val="20"/>
              </w:rPr>
              <w:t>3.技术资质：投标人应确保其服务团队具备履行各分项服务所要求的专业技术能力，其拟投入人员的资质与经验是保障项目成功的关键。</w:t>
            </w:r>
          </w:p>
          <w:p>
            <w:pPr>
              <w:pStyle w:val="null3"/>
              <w:jc w:val="left"/>
            </w:pPr>
            <w:r>
              <w:rPr>
                <w:sz w:val="20"/>
                <w:b/>
              </w:rPr>
              <w:t>3</w:t>
            </w:r>
            <w:r>
              <w:rPr>
                <w:sz w:val="20"/>
                <w:b/>
              </w:rPr>
              <w:t>.</w:t>
            </w:r>
            <w:r>
              <w:rPr>
                <w:sz w:val="20"/>
                <w:b/>
              </w:rPr>
              <w:t>2</w:t>
            </w:r>
            <w:r>
              <w:rPr>
                <w:sz w:val="20"/>
                <w:b/>
              </w:rPr>
              <w:t>信息化软硬件维护</w:t>
            </w:r>
          </w:p>
          <w:tbl>
            <w:tblPr>
              <w:tblBorders>
                <w:top w:val="none" w:color="000000" w:sz="4"/>
                <w:left w:val="none" w:color="000000" w:sz="4"/>
                <w:bottom w:val="none" w:color="000000" w:sz="4"/>
                <w:right w:val="none" w:color="000000" w:sz="4"/>
                <w:insideH w:val="none"/>
                <w:insideV w:val="none"/>
              </w:tblBorders>
            </w:tblPr>
            <w:tblGrid>
              <w:gridCol w:w="303"/>
              <w:gridCol w:w="509"/>
              <w:gridCol w:w="1241"/>
              <w:gridCol w:w="527"/>
              <w:gridCol w:w="527"/>
              <w:gridCol w:w="598"/>
              <w:gridCol w:w="518"/>
              <w:gridCol w:w="634"/>
              <w:gridCol w:w="741"/>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服务项目</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服务内容</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服务对象</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服务方式</w:t>
                  </w:r>
                </w:p>
              </w:tc>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服务范围</w:t>
                  </w:r>
                </w:p>
              </w:tc>
              <w:tc>
                <w:tcPr>
                  <w:tcW w:type="dxa" w:w="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涉及网络</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服务频率</w:t>
                  </w:r>
                </w:p>
              </w:tc>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项目交付</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信息化资产梳理服务</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维护：梳理优化单位信息资产，杜绝信息不详、责任不清资产，梳理单位网络拓扑图，统计服务器、安全设备、网络设备资产，互联网资产（网络出口映射关系、外部各级访问域名），并明确相关责任人、维护人、使用人；通过资产梳理工作得到详细、准确的资产清单，梳理网络中存在的停用、老旧服务器，明确单位互联网风险暴露面。根据网络拓扑分析了解关键业务流量走向，如发生安全事件能够快速、准确定位风险点并联系相关责任人协同处置。</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4.1至4.14</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5*8小时驻场；7*24电话值班和现场响应</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法院本部、长安法庭、沙田法庭、大岭山法庭、厚街法庭、虎门法庭、大朗法庭、牛山审判庭、滨海湾巡回法庭、院外刑事审判场所。</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法院专网、互联网、政务网、安防物联网</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1次/年度</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《服务器资产清单》、《安全设备资产清单》、《网络设备资产清单》、《互联网出口台账》、《网络拓扑图》</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桌面终端设备维护</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常规维护：桌面</w:t>
                  </w:r>
                  <w:r>
                    <w:rPr>
                      <w:sz w:val="20"/>
                      <w:color w:val="000000"/>
                    </w:rPr>
                    <w:t>PC（其中包含法院专网、政务网及电话网络）终端设备；供应商对现有及新增的日常办公PC终端设备进行服务响应，对故障进行诊断、分析及故障处理；协助用户开展对电脑终端的统计检查与保密检查；对现有桌面PC安装的防病毒软件进行病毒库更新升级及定时查杀服务（不含授权）。故障处理：桌面PC终端系统软硬件发生故障时，维护人员及时响应并针对故障现象进行分析处理，及时恢复终端系统及硬件的正常作业。5分钟报障响应，30分钟内对故障确认和排除。维修更换：硬件故障的维修及坏件更换。</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5*8小时驻场；7*24电话值班和现场响应</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法院本部、长安法庭、沙田法庭、大岭山法庭、厚街法庭、虎门法庭、大朗法庭、牛山审判庭、滨海湾巡回法庭、院外刑事审判场所。</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法院专网、电话网、政务网</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巡检：</w:t>
                  </w:r>
                  <w:r>
                    <w:rPr>
                      <w:sz w:val="20"/>
                      <w:color w:val="000000"/>
                    </w:rPr>
                    <w:t>1次/月</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《事件单》、《终端资产台账》、《终端运维月报》</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办公打印设备维护</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维护：包括更换耗材、联网、安装调试、软件诊断和修复等服务。故障处理：打印机软硬件发生故障时，调试、维修设备，解决设备故障。维护人员及时响应并针对故障现象进行分析处理，及时恢复打印机系统及硬件的正常作业。</w:t>
                  </w:r>
                  <w:r>
                    <w:rPr>
                      <w:sz w:val="20"/>
                      <w:color w:val="000000"/>
                    </w:rPr>
                    <w:t>5分钟报障响应，30分钟内对故障确认和排除。维修更换：硬件故障的维修及坏件更换。</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4.2</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5*8小时驻场；7*24电话值班和现场响应</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法院本部、长安法庭、沙田法庭、大岭山法庭、厚街法庭、虎门法庭、大朗法庭、牛山审判庭、滨海湾巡回法庭、院外刑事审判场所。</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法院专网、政务网</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《事件单》、《办公设备资产台账》、《办公设备运维月报》</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▲数字法庭系统维护</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维护：根据法院的开庭日程安排，提前开启数字法庭设备，如投影的安放及调试，显示屏的安放及调试等，保障各次开庭的顺利进行。每天数字法庭开庭任务的保障工作。根据法院要求开展数字法庭设备定期维护等工作。故障处理：负责解决数字法庭系统视频、音频、码流、带宽等因素引起的相关故障。性能优化：负责系统版本升级及外接设备运行参数配置，保证升级修改后系统能正常使用，同时业务能正常进行。维修更换：硬件故障的维修及材料更换。</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4.3</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5*8小时驻场；7*24电话值班和现场响应</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法院本部、长安法庭、沙田法庭、大岭山法庭、厚街法庭、虎门法庭、大朗法庭、牛山审判庭、滨海湾巡回法庭、院外刑事审判场所。</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法院专网</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按需</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《事件单》、《巡检报告》</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电话系统维护</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常规维护：</w:t>
                  </w:r>
                  <w:r>
                    <w:br/>
                  </w:r>
                  <w:r>
                    <w:rPr>
                      <w:sz w:val="20"/>
                      <w:color w:val="000000"/>
                    </w:rPr>
                    <w:t>1.有线(电话)通信系统:</w:t>
                  </w:r>
                </w:p>
                <w:p>
                  <w:pPr>
                    <w:pStyle w:val="null3"/>
                    <w:jc w:val="left"/>
                  </w:pPr>
                  <w:r>
                    <w:rPr>
                      <w:sz w:val="20"/>
                      <w:color w:val="000000"/>
                    </w:rPr>
                    <w:t>(1)电话机管理，对电话进行基本的维修与检测。包括：统计电话新机数量，旧机数量，坏机数量。对所有更换、修理电话机进行登记处理。</w:t>
                  </w:r>
                </w:p>
                <w:p>
                  <w:pPr>
                    <w:pStyle w:val="null3"/>
                    <w:jc w:val="left"/>
                  </w:pPr>
                  <w:r>
                    <w:rPr>
                      <w:sz w:val="20"/>
                      <w:color w:val="000000"/>
                    </w:rPr>
                    <w:t>(2)电信机房、配线间，建立完善配线资料，并要定期进行核查；定期对机房、配线间设备、配线架维护，卫生清洁等。完成电话标签的查看，检查其是否缺失，是否整洁，是否正确。</w:t>
                  </w:r>
                </w:p>
                <w:p>
                  <w:pPr>
                    <w:pStyle w:val="null3"/>
                    <w:jc w:val="left"/>
                  </w:pPr>
                  <w:r>
                    <w:rPr>
                      <w:sz w:val="20"/>
                      <w:color w:val="000000"/>
                    </w:rPr>
                    <w:t>(3)法院内部人员电话号码的更改，建立健全的配号资料。</w:t>
                  </w:r>
                </w:p>
                <w:p>
                  <w:pPr>
                    <w:pStyle w:val="null3"/>
                    <w:jc w:val="left"/>
                  </w:pPr>
                  <w:r>
                    <w:rPr>
                      <w:sz w:val="20"/>
                      <w:color w:val="000000"/>
                    </w:rPr>
                    <w:t>(4)对故障电话线路进行维修。</w:t>
                  </w:r>
                </w:p>
                <w:p>
                  <w:pPr>
                    <w:pStyle w:val="null3"/>
                    <w:jc w:val="left"/>
                  </w:pPr>
                  <w:r>
                    <w:rPr>
                      <w:sz w:val="20"/>
                      <w:color w:val="000000"/>
                    </w:rPr>
                    <w:t>(5)建立详细设备使用情况记录。包括：机身号码、所属部门、配置、维护记录等。</w:t>
                  </w:r>
                  <w:r>
                    <w:br/>
                  </w:r>
                  <w:r>
                    <w:rPr>
                      <w:sz w:val="20"/>
                      <w:color w:val="000000"/>
                    </w:rPr>
                    <w:t>故障处理：</w:t>
                  </w:r>
                </w:p>
                <w:p>
                  <w:pPr>
                    <w:pStyle w:val="null3"/>
                    <w:jc w:val="left"/>
                  </w:pPr>
                  <w:r>
                    <w:rPr>
                      <w:sz w:val="20"/>
                      <w:color w:val="000000"/>
                    </w:rPr>
                    <w:t>(1)协助采购人与通讯运营商业务开展，配合其在采购人的一些日常工作，比如检修、调试设备，线路测试等。维修更换：硬件故障的维修及材料更换。</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4.4</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5*8小时驻场；7*24电话值班和现场响应</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法院本部、长安法庭、沙田法庭、大岭山法庭、厚街法庭、虎门法庭、大朗法庭、牛山审判庭、滨海湾巡回法庭、院外刑事审判场所。</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有线电话系统</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《事件单》、《巡检报告》</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会议保障维护</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维护：会议前检查设备是否能正常使用，模拟客户日常真实会议情景，测试各个设备的性能状况。会议前麦克风发言是否能正常拾音。音箱声音是否清晰，是否会有噪音。投影显示是否会出现缺色，电动幕布是否能正常升降。会议前检查视频会议是否能远程连通，数据双流是否能发送。桌面</w:t>
                  </w:r>
                  <w:r>
                    <w:rPr>
                      <w:sz w:val="20"/>
                      <w:color w:val="000000"/>
                    </w:rPr>
                    <w:t>VGA,HDMI桌插是否能正常使用。检查线缆连接是否牢固，是否有松动的地方。重新插拔插头，看音视频是否会有异常。如有异常，需要重新做新的插接头。响应支持：专人全程现场保障会议，如遇突发事件或操作不当，维保人员现场即时解决。故障处理：负责会议设备相关故障的处理。维修更换：硬件故障的维修及材料更换。</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4.5、4.6</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5*8小时驻场；7*24电话值班和现场响应</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法院专网</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会议保障：按需</w:t>
                  </w:r>
                  <w:r>
                    <w:rPr>
                      <w:sz w:val="20"/>
                      <w:color w:val="000000"/>
                    </w:rPr>
                    <w:t>;视频会议功能测试：1次/15天;视频会议检查和清洁保养：1次/月</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《会议保障记录》、《事件单》、《巡检报告》</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▲机房环境设备维护</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常规维护：</w:t>
                  </w:r>
                  <w:r>
                    <w:br/>
                  </w:r>
                  <w:r>
                    <w:rPr>
                      <w:sz w:val="20"/>
                      <w:color w:val="000000"/>
                    </w:rPr>
                    <w:t>1、基础环境日常巡检与保养、故障检测处理；</w:t>
                  </w:r>
                </w:p>
                <w:p>
                  <w:pPr>
                    <w:pStyle w:val="null3"/>
                    <w:jc w:val="left"/>
                  </w:pPr>
                  <w:r>
                    <w:rPr>
                      <w:sz w:val="20"/>
                      <w:color w:val="000000"/>
                    </w:rPr>
                    <w:t>2、设备及线路标签、标识巡检更新及信息记录等服务；</w:t>
                  </w:r>
                </w:p>
                <w:p>
                  <w:pPr>
                    <w:pStyle w:val="null3"/>
                    <w:jc w:val="left"/>
                  </w:pPr>
                  <w:r>
                    <w:rPr>
                      <w:sz w:val="20"/>
                      <w:color w:val="000000"/>
                    </w:rPr>
                    <w:t>3、机房环境巡检与故障处理服务，包括且不限于卫生状况、气味、温度、湿度及通风状况、机房物品整齐摆放、墙体及棚面有无漏水、渗水和裂缝灯光、门及锁具等；</w:t>
                  </w:r>
                </w:p>
                <w:p>
                  <w:pPr>
                    <w:pStyle w:val="null3"/>
                    <w:jc w:val="left"/>
                  </w:pPr>
                  <w:r>
                    <w:rPr>
                      <w:sz w:val="20"/>
                      <w:color w:val="000000"/>
                    </w:rPr>
                    <w:t>4、机房内各类安全设施巡检与故障处理服务，包括且不限于火灾报警、消防器材(灭火器、防毒面具等)安防监控、门禁、照明等；</w:t>
                  </w:r>
                </w:p>
                <w:p>
                  <w:pPr>
                    <w:pStyle w:val="null3"/>
                    <w:jc w:val="left"/>
                  </w:pPr>
                  <w:r>
                    <w:rPr>
                      <w:sz w:val="20"/>
                      <w:color w:val="000000"/>
                    </w:rPr>
                    <w:t>5、机房空调系统巡检与故障处理服务，包括且不限于电压、电流、告警信息、分组状态、运行时长、过滤网、压缩机、吸气/排气压力、冷凝水泵运行状态、室外机等；</w:t>
                  </w:r>
                </w:p>
                <w:p>
                  <w:pPr>
                    <w:pStyle w:val="null3"/>
                    <w:jc w:val="left"/>
                  </w:pPr>
                  <w:r>
                    <w:rPr>
                      <w:sz w:val="20"/>
                      <w:color w:val="000000"/>
                    </w:rPr>
                    <w:t>6、配电系统巡检与故障处理服务，包括且不限于温度、UPS(电池充放电测试等)、市电、负载率、标签标识、接头压制(相线、零线、地线)、防雷、接地、电缆外观等；</w:t>
                  </w:r>
                </w:p>
                <w:p>
                  <w:pPr>
                    <w:pStyle w:val="null3"/>
                    <w:jc w:val="left"/>
                  </w:pPr>
                  <w:r>
                    <w:rPr>
                      <w:sz w:val="20"/>
                      <w:color w:val="000000"/>
                    </w:rPr>
                    <w:t>7、监控系统巡检与故障处理服务，包括且不限于实时图像、录像查询、重要录像文件备份、保存等；</w:t>
                  </w:r>
                </w:p>
                <w:p>
                  <w:pPr>
                    <w:pStyle w:val="null3"/>
                    <w:jc w:val="left"/>
                  </w:pPr>
                  <w:r>
                    <w:rPr>
                      <w:sz w:val="20"/>
                      <w:color w:val="000000"/>
                    </w:rPr>
                    <w:t>8、门禁系统巡检与故障处理服务，包括且不限于刷卡器、出门按钮、电磁锁是否正常、刷卡记录有无异常等；</w:t>
                  </w:r>
                </w:p>
                <w:p>
                  <w:pPr>
                    <w:pStyle w:val="null3"/>
                    <w:jc w:val="left"/>
                  </w:pPr>
                  <w:r>
                    <w:rPr>
                      <w:sz w:val="20"/>
                      <w:color w:val="000000"/>
                    </w:rPr>
                    <w:t>9、水报警系统巡检与故障处理服务，包括且不限于报警模块状态、漏水检测绳固定是否牢靠、定期漏水测试等；</w:t>
                  </w:r>
                </w:p>
                <w:p>
                  <w:pPr>
                    <w:pStyle w:val="null3"/>
                    <w:jc w:val="left"/>
                  </w:pPr>
                  <w:r>
                    <w:rPr>
                      <w:sz w:val="20"/>
                      <w:color w:val="000000"/>
                    </w:rPr>
                    <w:t>10、资料汇总、更新与管理服务，包括且不限于接口对应关系、接口使用规划、ODF配线架管理对光及跳线管理、网络跳线管理等。故障处理：硬件故障的维修及材料更换。</w:t>
                  </w:r>
                  <w:r>
                    <w:br/>
                  </w:r>
                  <w:r>
                    <w:rPr>
                      <w:sz w:val="20"/>
                      <w:color w:val="000000"/>
                    </w:rPr>
                    <w:t>定期保养：</w:t>
                  </w:r>
                  <w:r>
                    <w:br/>
                  </w:r>
                  <w:r>
                    <w:rPr>
                      <w:sz w:val="20"/>
                      <w:color w:val="000000"/>
                    </w:rPr>
                    <w:t>1）每半年对机房进行一次专业的全面清洁工作；</w:t>
                  </w:r>
                </w:p>
                <w:p>
                  <w:pPr>
                    <w:pStyle w:val="null3"/>
                    <w:jc w:val="left"/>
                  </w:pPr>
                  <w:r>
                    <w:rPr>
                      <w:sz w:val="20"/>
                      <w:color w:val="000000"/>
                    </w:rPr>
                    <w:t>2)提供机房空调系统年度保养检修服务（每年定期更换过滤网和加湿器，并加雪种，于每年的春季和秋季对机房空调系统进行全面检测）；</w:t>
                  </w:r>
                </w:p>
                <w:p>
                  <w:pPr>
                    <w:pStyle w:val="null3"/>
                    <w:jc w:val="left"/>
                  </w:pPr>
                  <w:r>
                    <w:rPr>
                      <w:sz w:val="20"/>
                      <w:color w:val="000000"/>
                    </w:rPr>
                    <w:t>3)对机房消防系统进行检查，当探测器、手动报警按钮盒、报警控制器、灭火剂及控制装置出现故障时及时进行检查、维修并更换故障部件，确保机房消防系统处于正常工作状态。</w:t>
                  </w:r>
                </w:p>
                <w:p>
                  <w:pPr>
                    <w:pStyle w:val="null3"/>
                    <w:jc w:val="left"/>
                  </w:pPr>
                  <w:r>
                    <w:rPr>
                      <w:sz w:val="20"/>
                      <w:color w:val="000000"/>
                    </w:rPr>
                    <w:t>4）定期对机房配电系统进行全面检测，对UPS设备进行性能检测和现场放电测试工作，巡检提交相关测试报告，根据报告情况对发现的问题进行维修并提出改进建议。故障处理：负责机房环境设备相关故障的处理。维修更换：硬件故障的维修及材料更换。</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4.7</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5*8小时驻场；7*24电话值班和现场响应</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法院本部、长安法庭、沙田法庭、大岭山法庭、厚街法庭、虎门法庭、大朗法庭、牛山审判庭、滨海湾巡回法庭、院外刑事审判场所。</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法院专网、互联网、政务网</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常规维护（含</w:t>
                  </w:r>
                  <w:r>
                    <w:rPr>
                      <w:sz w:val="20"/>
                      <w:color w:val="000000"/>
                    </w:rPr>
                    <w:t>UPS电池放电测试）：1次/月</w:t>
                  </w:r>
                  <w:r>
                    <w:br/>
                  </w:r>
                  <w:r>
                    <w:rPr>
                      <w:sz w:val="20"/>
                      <w:color w:val="000000"/>
                    </w:rPr>
                    <w:t>故障处理：按需</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《检查记录》、《事件单》、《机房环境保养报告》、《巡检报告》</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▲安全防范系统维护</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常规维护：</w:t>
                  </w:r>
                  <w:r>
                    <w:br/>
                  </w:r>
                  <w:r>
                    <w:rPr>
                      <w:sz w:val="20"/>
                      <w:color w:val="000000"/>
                    </w:rPr>
                    <w:t>1、视频监控：摄像机信号及显示检查；摄像机外罩、镜头卫生检查；视频服务器检查；硬盘录像机存储空间检查；硬盘录像机视频源信息检查；硬盘录像机工作状态检查；</w:t>
                  </w:r>
                  <w:r>
                    <w:br/>
                  </w:r>
                  <w:r>
                    <w:rPr>
                      <w:sz w:val="20"/>
                      <w:color w:val="000000"/>
                    </w:rPr>
                    <w:t>2、停车场系统：智能道闸、车辆检测器、出入口摄像机、停车场管理平台、停车场系统平台服务器工作状态进行常规维护；</w:t>
                  </w:r>
                  <w:r>
                    <w:br/>
                  </w:r>
                  <w:r>
                    <w:rPr>
                      <w:sz w:val="20"/>
                      <w:color w:val="000000"/>
                    </w:rPr>
                    <w:t>3、人脸识别、一卡通及门禁：硬件基本维护；软件的检查及维护；程序及数据库的备份；检测设备与服务器的通讯情况，并对IC消费机的历史记录信息进行分析及校正；检查相应软件有无损坏、缺项，各数据存放路径是否正确；</w:t>
                  </w:r>
                  <w:r>
                    <w:br/>
                  </w:r>
                  <w:r>
                    <w:rPr>
                      <w:sz w:val="20"/>
                      <w:color w:val="000000"/>
                    </w:rPr>
                    <w:t>4、电子LED屏：检查拼接墙系统设备状态和运行情况；对投影单元、图形拼接控制器等专用设备进行清洁除尘处理；对图形拼接控制器进行系统备份，大屏控制软件的调试和数据备份；调整全屏的机械位置、亮度和颜色；</w:t>
                  </w:r>
                  <w:r>
                    <w:br/>
                  </w:r>
                  <w:r>
                    <w:rPr>
                      <w:sz w:val="20"/>
                      <w:color w:val="000000"/>
                    </w:rPr>
                    <w:t>故障处理：智能化故障的排除与恢复；设备故障检测；设备故障分析；故障硬件设备更换；</w:t>
                  </w:r>
                  <w:r>
                    <w:br/>
                  </w:r>
                  <w:r>
                    <w:rPr>
                      <w:sz w:val="20"/>
                      <w:color w:val="000000"/>
                    </w:rPr>
                    <w:t>维修更换：硬件故障的维修及材料更换。</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4.8、4.9</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5*8小时驻场；7*24电话值班和现场响应</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法院本部、长安法庭、沙田法庭、大岭山法庭、厚街法庭、虎门法庭、大朗法庭、牛山审判庭、滨海湾巡回法庭、院外刑事审判场所。</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互联网、安防物联网</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常规维护：</w:t>
                  </w:r>
                  <w:r>
                    <w:rPr>
                      <w:sz w:val="20"/>
                      <w:color w:val="000000"/>
                    </w:rPr>
                    <w:t>1次/周、故障处理：按需、巡检：1次/季度</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《检查记录》、《事件单》、《巡检报告》</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广播、排队系统维护</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常规维护：</w:t>
                  </w:r>
                  <w:r>
                    <w:br/>
                  </w:r>
                  <w:r>
                    <w:rPr>
                      <w:sz w:val="20"/>
                      <w:color w:val="000000"/>
                    </w:rPr>
                    <w:t>1）定期检查：对广播、会议、排队系统定期对系统功能进行维护，以保持系统的性能。包括扬声器回路维护、背景音乐功能维护、业务呼叫功能维护、消防联动测试和记录等。</w:t>
                  </w:r>
                </w:p>
                <w:p>
                  <w:pPr>
                    <w:pStyle w:val="null3"/>
                    <w:jc w:val="left"/>
                  </w:pPr>
                  <w:r>
                    <w:rPr>
                      <w:sz w:val="20"/>
                      <w:color w:val="000000"/>
                    </w:rPr>
                    <w:t>2)设备检测：应对设备进行检测，检查设备是否正常运行，功能是否正常，所有的信号源间的信号线是否正确连接。如有保险丝等可更换性器件的设备，应定期查看其器件的完整性。</w:t>
                  </w:r>
                </w:p>
                <w:p>
                  <w:pPr>
                    <w:pStyle w:val="null3"/>
                    <w:jc w:val="left"/>
                  </w:pPr>
                  <w:r>
                    <w:rPr>
                      <w:sz w:val="20"/>
                      <w:color w:val="000000"/>
                    </w:rPr>
                    <w:t>3)线路检测：应对扬声器线路进行检测，不同系统具有不同的检测方式，数字系统具有软件记录功能，可以通过历史记录对其外部回路进行分析，常规系统可使用检测工具对线路进行检测。</w:t>
                  </w:r>
                </w:p>
                <w:p>
                  <w:pPr>
                    <w:pStyle w:val="null3"/>
                    <w:jc w:val="left"/>
                  </w:pPr>
                  <w:r>
                    <w:rPr>
                      <w:sz w:val="20"/>
                      <w:color w:val="000000"/>
                    </w:rPr>
                    <w:t>4)检查系统设备的面板或指示灯的显示情况是否正常，针对故障设备进行设备电源、音频信号输入/输出、控制信号输入/输出、接插件、同类设备替换等检查，找出系统故障的部位。</w:t>
                  </w:r>
                </w:p>
                <w:p>
                  <w:pPr>
                    <w:pStyle w:val="null3"/>
                    <w:jc w:val="left"/>
                  </w:pPr>
                  <w:r>
                    <w:rPr>
                      <w:sz w:val="20"/>
                      <w:color w:val="000000"/>
                    </w:rPr>
                    <w:t>5)拥有自检程序的系统，可启动系统自检程序检测出本系统的故障部位，根据系统操作手册按顺序逐一检查，排除故障。</w:t>
                  </w:r>
                </w:p>
                <w:p>
                  <w:pPr>
                    <w:pStyle w:val="null3"/>
                    <w:jc w:val="left"/>
                  </w:pPr>
                  <w:r>
                    <w:rPr>
                      <w:sz w:val="20"/>
                      <w:color w:val="000000"/>
                    </w:rPr>
                    <w:t>6)如果广播、会议、排队系统仍然不能正常工作，尝试分段功能检查、设备互换等确定系统故障部位。故障处理：软硬件故障的排除与恢复；设备故障检测；设备故障分析；故障硬件设备更换；维修更换：硬件故障的维修及材料更换。</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4.10</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安防物联网</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▲服务器及相关设备维护</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1.日常维护：标签制作、粘贴；线路整理；磁盘检查；逻辑卷空间调整；设备日志检查；周期性日志清理，提交日常维护报告；</w:t>
                  </w:r>
                </w:p>
                <w:p>
                  <w:pPr>
                    <w:pStyle w:val="null3"/>
                    <w:jc w:val="left"/>
                  </w:pPr>
                  <w:r>
                    <w:rPr>
                      <w:sz w:val="20"/>
                      <w:color w:val="000000"/>
                    </w:rPr>
                    <w:t>2.常规维护：设备性能分析；完善、改善性建议，提交巡检报告；</w:t>
                  </w:r>
                </w:p>
                <w:p>
                  <w:pPr>
                    <w:pStyle w:val="null3"/>
                    <w:jc w:val="left"/>
                  </w:pPr>
                  <w:r>
                    <w:rPr>
                      <w:sz w:val="20"/>
                      <w:color w:val="000000"/>
                    </w:rPr>
                    <w:t>3.故障处理：故障的排查、分析；故障的排除、恢复；确认排除、恢复的结果；设备硬件报修及跟踪处理；故障处理报告；</w:t>
                  </w:r>
                </w:p>
                <w:p>
                  <w:pPr>
                    <w:pStyle w:val="null3"/>
                    <w:jc w:val="left"/>
                  </w:pPr>
                  <w:r>
                    <w:rPr>
                      <w:sz w:val="20"/>
                      <w:color w:val="000000"/>
                    </w:rPr>
                    <w:t>4.实时监控：设备状态灯检查；设备连接线检查；设备电源状态检查；设备风扇状态检查；备机设备可用性检测；设备硬件检测；服务器CPU使用率；服务器内存使用率；文件系统使用率；交换区使用率；服务器连通性状况监控；监控报告；</w:t>
                  </w:r>
                </w:p>
                <w:p>
                  <w:pPr>
                    <w:pStyle w:val="null3"/>
                    <w:jc w:val="left"/>
                  </w:pPr>
                  <w:r>
                    <w:rPr>
                      <w:sz w:val="20"/>
                      <w:color w:val="000000"/>
                    </w:rPr>
                    <w:t>5.维修更换：硬件故障的维修及材料更换。</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4.11</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5*8小时驻场；7*24电话值班和现场响应</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法院本部、长安法庭、沙田法庭、大岭山法庭、厚街法庭、虎门法庭、大朗法庭、牛山审判庭、滨海湾巡回法庭、院外刑事审判场所。</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法院专网</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常规维护：</w:t>
                  </w:r>
                  <w:r>
                    <w:rPr>
                      <w:sz w:val="20"/>
                      <w:color w:val="000000"/>
                    </w:rPr>
                    <w:t>1次/周、故障处理：按需、巡检：1次/季度</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《检查记录》、《事件单》、《巡检报告》</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网络设备维护</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常规维护：网络设备运行状态巡查；线路连接状态巡查；设备标签制作、粘贴检查；线路整理；设备日志记录检查；配置文件备份检查；端口、</w:t>
                  </w:r>
                  <w:r>
                    <w:rPr>
                      <w:sz w:val="20"/>
                      <w:color w:val="000000"/>
                    </w:rPr>
                    <w:t>IP地址分配；端口、IP地址调整；权限分配（账号、密码、权限）；权限维护（账号、密码、权限）；日常维护报告生成并提交。故障处理：故障的排除、恢复；确认排除、恢复的结果；提交故障处理报告维修更换：硬件故障的维修及材料更换。</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4.12</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5*8小时驻场；7*24电话值班和现场响应</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法院本部、长安法庭、沙田法庭、大岭山法庭、厚街法庭、虎门法庭、大朗法庭、牛山审判庭、滨海湾巡回法庭、院外刑事审判场所。</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法院专网、互联网、政务网</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常规维护：</w:t>
                  </w:r>
                  <w:r>
                    <w:rPr>
                      <w:sz w:val="20"/>
                      <w:color w:val="000000"/>
                    </w:rPr>
                    <w:t>1次/周、故障处理：按需、巡检：1次/季度</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《检查记录》、《事件单》、《巡检报告》</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▲网络安全设备维护</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常规维护：网络及安全设备运行状态巡查；线路连接状态巡查；设备标签制作、粘贴检查；线路整理；设备日志记录检查；配置文件备份检查；端口、</w:t>
                  </w:r>
                  <w:r>
                    <w:rPr>
                      <w:sz w:val="20"/>
                      <w:color w:val="000000"/>
                    </w:rPr>
                    <w:t>IP地址分配；端口、IP地址调整；权限分配（账号、密码、权限）；权限维护（账号、密码、权限）；日常维护报告生成并提交。每月对安全设备运行状态进行检查和分析，完成巡检报告；对申报的安全设备故障提供现场支持，尽快修复故障，提供报告;针对当前安全设备运行情况，给出优化建议并实施，提升性能;根据业务发展趋势，评估网络及安全设备当前及应有性能，提出建议。故障处理：故障的排除、恢复；确认排除、恢复的结果；提交故障处理报告维修更换：硬件故障的维修及材料更换。</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4.13</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5*8小时驻场；7*24电话值班和现场响应</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法院本部、长安法庭、沙田法庭、大岭山法庭、厚街法庭、虎门法庭、大朗法庭、牛山审判庭、滨海湾巡回法庭、院外刑事审判场所。</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法院专网、互联网、政务网</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常规维护：</w:t>
                  </w:r>
                  <w:r>
                    <w:rPr>
                      <w:sz w:val="20"/>
                      <w:color w:val="000000"/>
                    </w:rPr>
                    <w:t>1次/周、故障处理：按需、巡检：1次/季度</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《检查记录》、《事件单》、《巡检报告》</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信息化设备维修和备件服务</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机房、智能化、服务器、存储、网络等设备维修和备件服务，对关键设备组件提供备品备件。零部件费用、维修费单件更换配件</w:t>
                  </w:r>
                  <w:r>
                    <w:rPr>
                      <w:sz w:val="20"/>
                      <w:color w:val="000000"/>
                    </w:rPr>
                    <w:t>10000元以内的，由中标供应商承担。</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4.1至4.13</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48小时备件</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法院本部、长安法庭、沙田法庭、大岭山法庭、厚街法庭、虎门法庭、大朗法庭、牛山审判庭、滨海湾巡回法庭、院外刑事审判场所。</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法院专网、互联网、政务网、安防物联网</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按需</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《设备维保备件清单》</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其他维护服务</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1.根据法院的会议日程安排，提前布置会场，如投影的安放及调试，显示屏的安放及调试等，保障各个会议的顺利进行；</w:t>
                  </w:r>
                </w:p>
                <w:p>
                  <w:pPr>
                    <w:pStyle w:val="null3"/>
                    <w:jc w:val="left"/>
                  </w:pPr>
                  <w:r>
                    <w:rPr>
                      <w:sz w:val="20"/>
                      <w:color w:val="000000"/>
                    </w:rPr>
                    <w:t>2.每天庭审直播任务的保障工作；</w:t>
                  </w:r>
                </w:p>
                <w:p>
                  <w:pPr>
                    <w:pStyle w:val="null3"/>
                    <w:jc w:val="left"/>
                  </w:pPr>
                  <w:r>
                    <w:rPr>
                      <w:sz w:val="20"/>
                      <w:color w:val="000000"/>
                    </w:rPr>
                    <w:t>3.根据法院要求开展闭路监控视频图像后期刻录及归档等工作；4.根据法院的要求对单个网络点或单个电话点的线路增加进行铺设和调试工作；</w:t>
                  </w:r>
                </w:p>
                <w:p>
                  <w:pPr>
                    <w:pStyle w:val="null3"/>
                    <w:jc w:val="left"/>
                  </w:pPr>
                  <w:r>
                    <w:rPr>
                      <w:sz w:val="20"/>
                      <w:color w:val="000000"/>
                    </w:rPr>
                    <w:t>5.根据法院的要求定做相应设备的支架或吊架；</w:t>
                  </w:r>
                </w:p>
                <w:p>
                  <w:pPr>
                    <w:pStyle w:val="null3"/>
                    <w:jc w:val="left"/>
                  </w:pPr>
                  <w:r>
                    <w:rPr>
                      <w:sz w:val="20"/>
                      <w:color w:val="000000"/>
                    </w:rPr>
                    <w:t>6.根据法院要求完成全院法庭的庭审语音识别保障任务；</w:t>
                  </w:r>
                </w:p>
                <w:p>
                  <w:pPr>
                    <w:pStyle w:val="null3"/>
                    <w:jc w:val="left"/>
                  </w:pPr>
                  <w:r>
                    <w:rPr>
                      <w:sz w:val="20"/>
                      <w:color w:val="000000"/>
                    </w:rPr>
                    <w:t>7.根据法院要求对语音识别档案进行存档与刻录；</w:t>
                  </w:r>
                </w:p>
                <w:p>
                  <w:pPr>
                    <w:pStyle w:val="null3"/>
                    <w:jc w:val="left"/>
                  </w:pPr>
                  <w:r>
                    <w:rPr>
                      <w:sz w:val="20"/>
                      <w:color w:val="000000"/>
                    </w:rPr>
                    <w:t>8.对所有维护项目均须做好维护记录档案；</w:t>
                  </w:r>
                </w:p>
                <w:p>
                  <w:pPr>
                    <w:pStyle w:val="null3"/>
                    <w:jc w:val="left"/>
                  </w:pPr>
                  <w:r>
                    <w:rPr>
                      <w:sz w:val="20"/>
                      <w:color w:val="000000"/>
                    </w:rPr>
                    <w:t>9.法院安排的其他任务。</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4.1至4.14</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5*8小时驻场；7*24电话值班和现场响应</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法院本部、长安法庭、沙田法庭、大岭山法庭、厚街法庭、虎门法庭、大朗法庭、牛山审判庭、滨海湾巡回法庭、院外刑事审判场所。</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法院专网、互联网、政务网、安防物联网</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按需</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《事件单》</w:t>
                  </w:r>
                </w:p>
              </w:tc>
            </w:tr>
          </w:tbl>
          <w:p>
            <w:pPr>
              <w:pStyle w:val="null3"/>
              <w:jc w:val="left"/>
            </w:pPr>
            <w:r>
              <w:rPr>
                <w:sz w:val="20"/>
                <w:b/>
              </w:rPr>
              <w:t>3</w:t>
            </w:r>
            <w:r>
              <w:rPr>
                <w:sz w:val="20"/>
                <w:b/>
              </w:rPr>
              <w:t>.</w:t>
            </w:r>
            <w:r>
              <w:rPr>
                <w:sz w:val="20"/>
                <w:b/>
              </w:rPr>
              <w:t>3</w:t>
            </w:r>
            <w:r>
              <w:rPr>
                <w:sz w:val="20"/>
                <w:b/>
              </w:rPr>
              <w:t>网络安全服务</w:t>
            </w:r>
          </w:p>
          <w:tbl>
            <w:tblPr>
              <w:tblBorders>
                <w:top w:val="none" w:color="000000" w:sz="4"/>
                <w:left w:val="none" w:color="000000" w:sz="4"/>
                <w:bottom w:val="none" w:color="000000" w:sz="4"/>
                <w:right w:val="none" w:color="000000" w:sz="4"/>
                <w:insideH w:val="none"/>
                <w:insideV w:val="none"/>
              </w:tblBorders>
            </w:tblPr>
            <w:tblGrid>
              <w:gridCol w:w="294"/>
              <w:gridCol w:w="865"/>
              <w:gridCol w:w="1016"/>
              <w:gridCol w:w="508"/>
              <w:gridCol w:w="446"/>
              <w:gridCol w:w="793"/>
              <w:gridCol w:w="472"/>
              <w:gridCol w:w="464"/>
              <w:gridCol w:w="740"/>
            </w:tblGrid>
            <w:tr>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服务项目</w:t>
                  </w:r>
                </w:p>
              </w:tc>
              <w:tc>
                <w:tcPr>
                  <w:tcW w:type="dxa" w:w="1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服务内容</w:t>
                  </w:r>
                </w:p>
              </w:tc>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服务对象</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服务方式</w:t>
                  </w:r>
                </w:p>
              </w:tc>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服务对象</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涉及网络</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服务频率</w:t>
                  </w:r>
                </w:p>
              </w:tc>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服务成果</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▲安全加固服务</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服务描述：对单位现有网络中的服务器及网络设备、信息安全设备等按二级等保要求提出整改建议。并对网络设备、操作系统进行加固。</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4.10、4.11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5*8小时响应</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法院专网、互联网、政务网</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2次/年</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《基线加固报告》</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▲信息安全巡检服务</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描述：对服务器的操作系统、数据库、中间件、网络设备、安全设备、存储统开展安全巡检工作，识别其中的脆弱点。对服务器的运行状态和防病毒状态进行安全分析，识别其中的安全事件。最终对巡检过程中发现有脆弱点和安全事件，提出整改建议，协助进行加固，验证加固结果，以提高服务器的安全防护能力。</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4.11、4.12、4.13</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5*8小时响应</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法院专网、互联网、政务网</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4次/年</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《安全巡检月报》《协助加固报告》</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▲渗透测试服务</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描述：对单位现有网络重要信息系统（等保二级以上系统及系统）进行渗透测试，包括信息系统收集、网络层渗透测试、应用层渗透测试、系统权限提升等各种黑客常用方法及手段，服务内容包括院内现有对外业务系统和后续新增的重要业务系统；协助单位对渗透测试过程中发现的问题进行整改。</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7*24小时响应</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法院专网、互联网、政务网</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1次/年</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《渗透测试报告》《漏洞修复方案》</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▲漏洞扫描服务</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服务描述：使用漏洞扫描工具对信息网所有服务器系统进行全面的系统脆弱性检测，并对扫描结果进行人工分析；检查内容包括操作系统、应用服务平台、后台数据库和应用程序等。</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4.1、4.2、4.11、4.12、4.13、4.14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5*8小时响应</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法院本部、长安法庭、沙田法庭、大岭山法庭、厚街法庭、虎门法庭、大朗法庭、牛山审判庭、滨海湾巡回法庭、院外刑事审判场所。</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法院专网、互联网、政务网</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4次/年</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《漏洞扫描报告》</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▲弱口令检查服务</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服务描述：使用专业安全工具扫描对主机进行弱口令检查服务，若系统账户使用纯数字或者有规律的弱口令，如</w:t>
                  </w:r>
                  <w:r>
                    <w:rPr>
                      <w:sz w:val="20"/>
                      <w:color w:val="000000"/>
                    </w:rPr>
                    <w:t>admin，Abc123等，易被黑客猜解出账户密码，进而直接登录服务器或终端等实施恶意操作。因此该项检查内容为采用主机系统弱口令扫描技术检测主机存在的弱口令情况，及时发现主机弱口令安全威胁隐患。</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4.1、4.2、4.11、4.14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5*8小时响应</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法院本部、长安法庭、沙田法庭、大岭山法庭、厚街法庭、虎门法庭、大朗法庭、牛山审判庭、滨海湾巡回法庭、院外刑事审判场所。</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法院专网、互联网、政务网</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4次/年</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《弱口令扫描报告》</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应急响应服务及事件处置服务</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服务描述：协助完成上级主管单位、监管单位等发安全漏洞预警、安全事件通告的排查和处置工作。当信息系统发生安全事件时，确定安全事件的故障源及问题的原因，并提供解决方案。</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7*24小时响应</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法院专网、互联网、政务网</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按需</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《安全通告服务报告》《安全事件处置服务报告》</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重要时期保障值守服务</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描述：在重要节日、重大活动、护网行动等重保时期，加强驻场和人力保障，做好网络与网络安全隐患排查、安全防护、预警监测等安全保障技术支撑服务，确保业务系统安全运行，避免敏感事件或影响业务的安全事件发生。</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7*24小时响应</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法院专网、互联网、政务网</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不少于</w:t>
                  </w:r>
                  <w:r>
                    <w:rPr>
                      <w:sz w:val="20"/>
                      <w:color w:val="000000"/>
                    </w:rPr>
                    <w:t>20人天</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《值守人员计划安排》《重保期网络安全值守日报》《攻防演练防守总结报告》</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安全培训</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描述：网络安全意识培训：从安全办公、个人信息安全、帐户安全等方面普及安全常识，对常见的信息安全隐患进行分析，讲解，使员工提高信息安全意识，告诉员工哪些网络行为不可为，如果实施了违法行为就要承担法律责任，构成犯罪的还承担刑事责任，并开展不少于</w:t>
                  </w:r>
                  <w:r>
                    <w:rPr>
                      <w:sz w:val="20"/>
                      <w:color w:val="000000"/>
                    </w:rPr>
                    <w:t>4个课时的《中华人民共和国网络安全法》、《等级保护系列标准》、《数据安全管理办法》、《密码法》等国家法律法规和标准培训。网络安全技术培训：从信息技术部门出发，对网络安全管理、网络安全防御技术等主题，告知信息技术人员如何对网络安全的技术类型培训</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法院及法庭职工人员</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5*8小时响应</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法院本部、长安法庭、沙田法庭、大岭山法庭、厚街法庭、虎门法庭、大朗法庭、滨海湾巡回法庭。</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1次/年</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《培训教程</w:t>
                  </w:r>
                  <w:r>
                    <w:rPr>
                      <w:sz w:val="20"/>
                      <w:color w:val="000000"/>
                    </w:rPr>
                    <w:t>PPT》</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安全应急演练</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服务描述：</w:t>
                  </w:r>
                  <w:r>
                    <w:rPr>
                      <w:sz w:val="20"/>
                      <w:color w:val="000000"/>
                    </w:rPr>
                    <w:t>1、根据《网络安全法》及其他法规要求，结合单位实际情况，定制网络安全应急体系，预案内容包括总则、组织指挥体系及职责、预警和预防机制、应急响应处理程序、保障措施等。2、根据《信息安全事件分类分级指南》定制专项预案。3、协助开展针对演练库某一场景示范应急演练。通过示范演练提示风险，切实提升单位各机构领导层对网络安全事件应急演练的重视程度；</w:t>
                  </w:r>
                  <w:r>
                    <w:br/>
                  </w:r>
                  <w:r>
                    <w:rPr>
                      <w:sz w:val="20"/>
                      <w:color w:val="000000"/>
                    </w:rPr>
                    <w:t>4、提供一次应急演练意识、管理知识和演练动员三个维度培训。</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项目运维清单</w:t>
                  </w:r>
                  <w:r>
                    <w:rPr>
                      <w:sz w:val="20"/>
                      <w:color w:val="000000"/>
                    </w:rPr>
                    <w:t>4.14抽取1个系统</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5*8小时响应</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法院本部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法院专网、互联网、政务网</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1次/年</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《网络安全事件应急预案》《应急演练方案》《应急演练总结报告》</w:t>
                  </w:r>
                </w:p>
              </w:tc>
            </w:tr>
          </w:tbl>
          <w:p>
            <w:pPr>
              <w:pStyle w:val="null3"/>
              <w:jc w:val="left"/>
              <w:outlineLvl w:val="2"/>
            </w:pPr>
            <w:r>
              <w:rPr>
                <w:sz w:val="20"/>
                <w:b/>
              </w:rPr>
              <w:t>四</w:t>
            </w:r>
            <w:r>
              <w:rPr>
                <w:sz w:val="20"/>
                <w:b/>
              </w:rPr>
              <w:t>、人员管理及保密要求</w:t>
            </w:r>
          </w:p>
          <w:p>
            <w:pPr>
              <w:pStyle w:val="null3"/>
              <w:jc w:val="left"/>
            </w:pPr>
            <w:r>
              <w:rPr>
                <w:sz w:val="20"/>
                <w:b/>
              </w:rPr>
              <w:t>4</w:t>
            </w:r>
            <w:r>
              <w:rPr>
                <w:sz w:val="20"/>
                <w:b/>
              </w:rPr>
              <w:t>.1人员管理</w:t>
            </w:r>
          </w:p>
          <w:p>
            <w:pPr>
              <w:pStyle w:val="null3"/>
              <w:ind w:firstLine="400"/>
              <w:jc w:val="left"/>
            </w:pPr>
            <w:r>
              <w:rPr>
                <w:sz w:val="20"/>
              </w:rPr>
              <w:t>中标供应商应根据各系统运维任务安排相应技术管理人员，具体要求：各系统直接进行维护的技术人员需按</w:t>
            </w:r>
            <w:r>
              <w:rPr>
                <w:sz w:val="20"/>
              </w:rPr>
              <w:t>5*8小时驻场和7*24电话值班和现场响应，维护技术人员不少于7名。</w:t>
            </w:r>
          </w:p>
          <w:p>
            <w:pPr>
              <w:pStyle w:val="null3"/>
              <w:ind w:firstLine="400"/>
              <w:jc w:val="left"/>
            </w:pPr>
            <w:r>
              <w:rPr>
                <w:sz w:val="20"/>
              </w:rPr>
              <w:t>要求包括但不限于此表：</w:t>
            </w:r>
          </w:p>
          <w:tbl>
            <w:tblPr>
              <w:tblBorders>
                <w:top w:val="none" w:color="000000" w:sz="4"/>
                <w:left w:val="none" w:color="000000" w:sz="4"/>
                <w:bottom w:val="none" w:color="000000" w:sz="4"/>
                <w:right w:val="none" w:color="000000" w:sz="4"/>
                <w:insideH w:val="none"/>
                <w:insideV w:val="none"/>
              </w:tblBorders>
            </w:tblPr>
            <w:tblGrid>
              <w:gridCol w:w="568"/>
              <w:gridCol w:w="4459"/>
              <w:gridCol w:w="568"/>
            </w:tblGrid>
            <w:tr>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4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人数</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具有中级职称或以上，由人社部和工信部颁发的网络工程师</w:t>
                  </w:r>
                  <w:r>
                    <w:rPr>
                      <w:sz w:val="20"/>
                    </w:rPr>
                    <w:t>2名，负责网络、网络安全维护和日常管理等，必须熟悉主流交换机配置方法和管理，熟悉TCP/IP协议，掌握以太网组网方法，熟悉DNS、FTP的配置和管理，对网络安全有基本认识，掌握主流网络安全设备使用方法、配置和管理。</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具有中级职称或以上，由人社部和工信部颁发信息系统集成项目管理工程师</w:t>
                  </w:r>
                  <w:r>
                    <w:rPr>
                      <w:sz w:val="20"/>
                    </w:rPr>
                    <w:t>2名以上，负责UPS、精密空调、小型机、服务器、存储、网络系统管理、及其他软件及其他维护和备份；</w:t>
                  </w:r>
                </w:p>
                <w:p>
                  <w:pPr>
                    <w:pStyle w:val="null3"/>
                  </w:pPr>
                  <w:r>
                    <w:rPr>
                      <w:sz w:val="20"/>
                    </w:rPr>
                    <w:t>庭审直播、视频会议系统、会议（音响）系统等管理维护及其他维护。</w:t>
                  </w:r>
                </w:p>
                <w:p>
                  <w:pPr>
                    <w:pStyle w:val="null3"/>
                  </w:pPr>
                  <w:r>
                    <w:rPr>
                      <w:sz w:val="20"/>
                    </w:rPr>
                    <w:t>安全防范系统（监控、门禁、巡更、安检）、一卡通、停车场、系统线路及其他维护。</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具有中级职称或以上，由人社部和工信部颁发的信息安全工程师</w:t>
                  </w:r>
                  <w:r>
                    <w:rPr>
                      <w:sz w:val="20"/>
                    </w:rPr>
                    <w:t>1名，负责日常网络安全运维管理工作，掌握主流网络安全设备使用和配置方法，熟悉linux系统操作。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具有硬件维修员</w:t>
                  </w:r>
                  <w:r>
                    <w:rPr>
                      <w:sz w:val="20"/>
                    </w:rPr>
                    <w:t>1名，负责办公终端维护,熟悉主流操作系统的安装、设置和管理方法</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bl>
          <w:p>
            <w:pPr>
              <w:pStyle w:val="null3"/>
              <w:jc w:val="both"/>
            </w:pPr>
            <w:r>
              <w:rPr>
                <w:sz w:val="20"/>
              </w:rPr>
              <w:t>4.2运维保障</w:t>
            </w:r>
          </w:p>
          <w:p>
            <w:pPr>
              <w:pStyle w:val="null3"/>
              <w:ind w:firstLine="400"/>
              <w:jc w:val="left"/>
            </w:pPr>
            <w:r>
              <w:rPr>
                <w:sz w:val="20"/>
              </w:rPr>
              <w:t>为保障本项目运维服务的专业性、响应及时性及与法院场景的适配性，鼓励投标人配置持有相关权威资质的人员，包括但不限于：人社部或工信部颁发的工程师职称，信息系统项目管理师、网络规划设计师、软件设计师、数据库系统工程师等专业技术资格，</w:t>
            </w:r>
            <w:r>
              <w:rPr>
                <w:sz w:val="20"/>
              </w:rPr>
              <w:t>CISP及CISAW等信息安全类认证（用于保障项目统筹与技术决策能力），以及ITSS服务工程师证书（用于全面支持网络、终端、数据安全等日常运维任务），以确保人员能力与项目需求相匹配。</w:t>
            </w:r>
          </w:p>
          <w:p>
            <w:pPr>
              <w:pStyle w:val="null3"/>
              <w:jc w:val="both"/>
            </w:pPr>
            <w:r>
              <w:rPr>
                <w:sz w:val="20"/>
              </w:rPr>
              <w:t>4</w:t>
            </w:r>
            <w:r>
              <w:rPr>
                <w:sz w:val="20"/>
              </w:rPr>
              <w:t>.</w:t>
            </w:r>
            <w:r>
              <w:rPr>
                <w:sz w:val="20"/>
              </w:rPr>
              <w:t>3</w:t>
            </w:r>
            <w:r>
              <w:rPr>
                <w:sz w:val="20"/>
              </w:rPr>
              <w:t>保密要求</w:t>
            </w:r>
          </w:p>
          <w:p>
            <w:pPr>
              <w:pStyle w:val="null3"/>
              <w:ind w:firstLine="400"/>
              <w:jc w:val="left"/>
            </w:pPr>
            <w:r>
              <w:rPr>
                <w:sz w:val="20"/>
              </w:rPr>
              <w:t>1.中标供应商严格遵守国家相关的保密法律规定，遵守《保密协议》和法院的有关规定。运维工作须在法院指定的场所内进行，确保场所正常秩序和安全。如有违法行为或违反相关规定，将依法或依据约定追究相应的责任。</w:t>
            </w:r>
          </w:p>
          <w:p>
            <w:pPr>
              <w:pStyle w:val="null3"/>
              <w:ind w:firstLine="400"/>
              <w:jc w:val="left"/>
            </w:pPr>
            <w:r>
              <w:rPr>
                <w:sz w:val="20"/>
              </w:rPr>
              <w:t>2.按照法院相关规定和管理人员要求使用计算机、自动化办公设备、存储介质等。</w:t>
            </w:r>
          </w:p>
          <w:p>
            <w:pPr>
              <w:pStyle w:val="null3"/>
              <w:ind w:firstLine="400"/>
              <w:jc w:val="left"/>
            </w:pPr>
            <w:r>
              <w:rPr>
                <w:sz w:val="20"/>
              </w:rPr>
              <w:t>3.不得打探不属于运维工作范畴内的法院业务及办公等各类信息；不得将在运维工作过程中了解、掌握的法院业务及办公等各类信息透露给与运维工作无关的第三方；不得擅自以任何形式删除、修改、复制、拷贝、备份法院各类信息；不得将法院各类信息带离法院。</w:t>
            </w:r>
          </w:p>
          <w:p>
            <w:pPr>
              <w:pStyle w:val="null3"/>
              <w:ind w:firstLine="400"/>
              <w:jc w:val="left"/>
            </w:pPr>
            <w:r>
              <w:rPr>
                <w:sz w:val="20"/>
              </w:rPr>
              <w:t>4.参与本项目的所有工作人员通过法院的审核，并登记备案。中标供应商向采购人提供以下资料：《工作人员登记表》（每人一式一份），工作人员身份证复印件及无犯罪记录的证明书（每人一式一份）。</w:t>
            </w:r>
          </w:p>
          <w:p>
            <w:pPr>
              <w:pStyle w:val="null3"/>
              <w:ind w:firstLine="400"/>
              <w:jc w:val="left"/>
            </w:pPr>
            <w:r>
              <w:rPr>
                <w:sz w:val="20"/>
              </w:rPr>
              <w:t>5.项目实施过程中，如需更换、增加工作人员，须提前一个月向采购人提供拟加入人员的资料，取得对方签字同意后方可更换或者增加人手。对离开本项目实施岗位的人员，中标供应商需在人员离岗后一周内，在采购人保存的相关工作人员的备案表格中标注离岗日期。</w:t>
            </w:r>
          </w:p>
          <w:p>
            <w:pPr>
              <w:pStyle w:val="null3"/>
              <w:ind w:firstLine="400"/>
              <w:jc w:val="left"/>
            </w:pPr>
            <w:r>
              <w:rPr>
                <w:sz w:val="20"/>
              </w:rPr>
              <w:t>6.中标供应商参与本项目的工作人员须接受采购人组织的保密安全教育，并自觉学习保密知识，严格遵守《保密法》及其他有关法规，严防泄密现象发生。</w:t>
            </w:r>
          </w:p>
          <w:p>
            <w:pPr>
              <w:pStyle w:val="null3"/>
              <w:ind w:firstLine="400"/>
              <w:jc w:val="left"/>
            </w:pPr>
            <w:r>
              <w:rPr>
                <w:sz w:val="20"/>
              </w:rPr>
              <w:t>7.中标供应商及其所有工作人员不得以任何方式非法向外人泄露档案所涉及的国家秘密及诉讼相关内容，否则按国家有关规定处理，情节严重的要承担相应的刑事责任。</w:t>
            </w:r>
          </w:p>
          <w:p>
            <w:pPr>
              <w:pStyle w:val="null3"/>
              <w:ind w:firstLine="400"/>
              <w:jc w:val="left"/>
            </w:pPr>
            <w:r>
              <w:rPr>
                <w:sz w:val="20"/>
              </w:rPr>
              <w:t>8.中标供应商及其所有工作人员须向采购人提供书面保密承诺。</w:t>
            </w:r>
          </w:p>
          <w:p>
            <w:pPr>
              <w:pStyle w:val="null3"/>
              <w:jc w:val="left"/>
              <w:outlineLvl w:val="2"/>
            </w:pPr>
            <w:r>
              <w:rPr>
                <w:sz w:val="20"/>
                <w:b/>
              </w:rPr>
              <w:t>五</w:t>
            </w:r>
            <w:r>
              <w:rPr>
                <w:sz w:val="20"/>
                <w:b/>
              </w:rPr>
              <w:t>、项目运维服务的规范</w:t>
            </w:r>
            <w:r>
              <w:rPr>
                <w:sz w:val="20"/>
                <w:b/>
              </w:rPr>
              <w:t>要求</w:t>
            </w:r>
          </w:p>
          <w:p>
            <w:pPr>
              <w:pStyle w:val="null3"/>
              <w:ind w:firstLine="400"/>
              <w:jc w:val="left"/>
            </w:pPr>
            <w:r>
              <w:rPr>
                <w:sz w:val="20"/>
              </w:rPr>
              <w:t>1.根据采购人实际情况对中标供应商所担负的运维工作，明确指定责任人和各项工作的工作人员，要求人员要保持相对稳定，并提供固定的联系方法(电话、手机、住址等)。</w:t>
            </w:r>
          </w:p>
          <w:p>
            <w:pPr>
              <w:pStyle w:val="null3"/>
              <w:ind w:firstLine="400"/>
              <w:jc w:val="left"/>
            </w:pPr>
            <w:r>
              <w:rPr>
                <w:sz w:val="20"/>
              </w:rPr>
              <w:t>2.中标供应商在本制度基础上制定符合自身实际情况的运维服务的管理制度，明晰各项工作的任务和具体要求，建立相关登记统计制度，督促各项工作按时保质地完成。</w:t>
            </w:r>
          </w:p>
          <w:p>
            <w:pPr>
              <w:pStyle w:val="null3"/>
              <w:ind w:firstLine="400"/>
              <w:jc w:val="left"/>
            </w:pPr>
            <w:r>
              <w:rPr>
                <w:sz w:val="20"/>
              </w:rPr>
              <w:t>3.中标供应商对本项目所列的各系统运行情况进行有效监控，提供必要的软件升级与维护，及时修复系统漏洞和错误，保障各系统及相关的软件系统（操作系统、数据库等）的正常运行，对运行过程中遇到的问题进行及时处理和详细的记录备案，并定期提交运维的报告和改进建议。</w:t>
            </w:r>
          </w:p>
          <w:p>
            <w:pPr>
              <w:pStyle w:val="null3"/>
              <w:ind w:firstLine="400"/>
              <w:jc w:val="left"/>
            </w:pPr>
            <w:r>
              <w:rPr>
                <w:sz w:val="20"/>
              </w:rPr>
              <w:t>4.中标供应商对自身的平台提供服务器级别及其他设备的硬件运行环境和及时周全的软硬件技术保障(包括日常维护、定期维护和应急保障等)，除自然灾害和其它不可抗力外，应按照安全保障要求级别提供维修服务，确保系统及时恢复运行。</w:t>
            </w:r>
          </w:p>
          <w:p>
            <w:pPr>
              <w:pStyle w:val="null3"/>
              <w:ind w:firstLine="400"/>
              <w:jc w:val="left"/>
            </w:pPr>
            <w:r>
              <w:rPr>
                <w:sz w:val="20"/>
              </w:rPr>
              <w:t>5.中标供应商制定完善的备份制度，要求本项目各系统的数据库至少每月进行一次异机备份，备份方式根据实际情况选择。</w:t>
            </w:r>
          </w:p>
          <w:p>
            <w:pPr>
              <w:pStyle w:val="null3"/>
              <w:ind w:firstLine="400"/>
              <w:jc w:val="left"/>
            </w:pPr>
            <w:r>
              <w:rPr>
                <w:sz w:val="20"/>
              </w:rPr>
              <w:t>6.中标供应商提供与其他协助单位进行数据交换所需的技术条件，并且严密监控交换系统的运作情况，确保信息交换按照既定的业务模式正常开展。</w:t>
            </w:r>
          </w:p>
          <w:p>
            <w:pPr>
              <w:pStyle w:val="null3"/>
              <w:ind w:firstLine="400"/>
              <w:jc w:val="left"/>
            </w:pPr>
            <w:r>
              <w:rPr>
                <w:sz w:val="20"/>
              </w:rPr>
              <w:t>7.维保服务范围包含法院现有设备同时新增的信息化系统在维保期内的日常使用和管理由中标供应商负责，故障由系统承建单位负责解除；超过维保期的由中标供应商负责。</w:t>
            </w:r>
          </w:p>
          <w:p>
            <w:pPr>
              <w:pStyle w:val="null3"/>
              <w:ind w:firstLine="400"/>
              <w:jc w:val="left"/>
            </w:pPr>
            <w:r>
              <w:rPr>
                <w:sz w:val="20"/>
              </w:rPr>
              <w:t>8.▲所有系统需提供相当于原厂服务，重要设备（核心交换机、科技法庭、UPS、精密空调等）拆机检修须安排原厂认定工程师专人处理，并出具检修报告。</w:t>
            </w:r>
          </w:p>
          <w:p>
            <w:pPr>
              <w:pStyle w:val="null3"/>
              <w:ind w:firstLine="400"/>
              <w:jc w:val="left"/>
            </w:pPr>
            <w:r>
              <w:rPr>
                <w:sz w:val="20"/>
              </w:rPr>
              <w:t>9.▲提供必要备件，如网络交换机、监控摄像机、监控摄像机电源、服务器电源、服务器硬盘等但不限于，日常常用的必要备件，备件数量不少于每种类型2件，具体类型在签订维护合同前商定。</w:t>
            </w:r>
          </w:p>
          <w:p>
            <w:pPr>
              <w:pStyle w:val="null3"/>
              <w:ind w:firstLine="402"/>
              <w:jc w:val="left"/>
            </w:pPr>
            <w:r>
              <w:rPr>
                <w:sz w:val="20"/>
                <w:b/>
              </w:rPr>
              <w:t>六</w:t>
            </w:r>
            <w:r>
              <w:rPr>
                <w:sz w:val="20"/>
                <w:b/>
              </w:rPr>
              <w:t>、其他内容与服务要求</w:t>
            </w:r>
          </w:p>
          <w:p>
            <w:pPr>
              <w:pStyle w:val="null3"/>
              <w:ind w:firstLine="400"/>
              <w:jc w:val="left"/>
            </w:pPr>
            <w:r>
              <w:rPr>
                <w:sz w:val="20"/>
              </w:rPr>
              <w:t>1.为保障法院智能系统的正常运行，提出其他相关的运维内容及服务，包括配合其他公司开展业务、协助法院完成指派的临时任务等。</w:t>
            </w:r>
          </w:p>
          <w:p>
            <w:pPr>
              <w:pStyle w:val="null3"/>
              <w:ind w:firstLine="400"/>
              <w:jc w:val="left"/>
            </w:pPr>
            <w:r>
              <w:rPr>
                <w:sz w:val="20"/>
              </w:rPr>
              <w:t>2.其他内容与服务参照表如下（包括但不限此表）：</w:t>
            </w:r>
          </w:p>
          <w:tbl>
            <w:tblPr>
              <w:tblBorders>
                <w:top w:val="none" w:color="000000" w:sz="4"/>
                <w:left w:val="none" w:color="000000" w:sz="4"/>
                <w:bottom w:val="none" w:color="000000" w:sz="4"/>
                <w:right w:val="none" w:color="000000" w:sz="4"/>
                <w:insideH w:val="none"/>
                <w:insideV w:val="none"/>
              </w:tblBorders>
            </w:tblPr>
            <w:tblGrid>
              <w:gridCol w:w="1023"/>
              <w:gridCol w:w="516"/>
              <w:gridCol w:w="1290"/>
              <w:gridCol w:w="1326"/>
              <w:gridCol w:w="1441"/>
            </w:tblGrid>
            <w:tr>
              <w:tc>
                <w:tcPr>
                  <w:tcW w:type="dxa" w:w="10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相关内容</w:t>
                  </w:r>
                </w:p>
              </w:tc>
              <w:tc>
                <w:tcPr>
                  <w:tcW w:type="dxa" w:w="1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服务要求</w:t>
                  </w:r>
                </w:p>
              </w:tc>
              <w:tc>
                <w:tcPr>
                  <w:tcW w:type="dxa" w:w="1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备注说明</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配合其他公司开展业务</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业务配合</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按法院具体工作要求开展业务配合</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技术指导，现场协调</w:t>
                  </w:r>
                </w:p>
              </w:tc>
            </w:tr>
            <w:tr>
              <w:tc>
                <w:tcPr>
                  <w:tcW w:type="dxa" w:w="1023"/>
                  <w:vMerge/>
                  <w:tcBorders>
                    <w:top w:val="none" w:color="000000" w:sz="4"/>
                    <w:left w:val="single" w:color="000000" w:sz="4"/>
                    <w:bottom w:val="single" w:color="000000" w:sz="4"/>
                    <w:right w:val="single" w:color="000000" w:sz="4"/>
                  </w:tcBorders>
                </w:tcP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其他</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未纳入本表描述的其他维护内容</w:t>
                  </w:r>
                </w:p>
              </w:tc>
            </w:tr>
            <w:tr>
              <w:tc>
                <w:tcPr>
                  <w:tcW w:type="dxa" w:w="1023"/>
                  <w:vMerge/>
                  <w:tcBorders>
                    <w:top w:val="none" w:color="000000" w:sz="4"/>
                    <w:left w:val="single" w:color="000000" w:sz="4"/>
                    <w:bottom w:val="single" w:color="000000" w:sz="4"/>
                    <w:right w:val="single" w:color="000000" w:sz="4"/>
                  </w:tcBorders>
                </w:tcP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协助法院完成指派的临时任务</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完成法院指派的临时任务</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未纳入本表描述的其他维护内容</w:t>
                  </w:r>
                </w:p>
              </w:tc>
            </w:tr>
          </w:tbl>
          <w:p>
            <w:pPr>
              <w:pStyle w:val="null3"/>
              <w:ind w:left="435"/>
              <w:jc w:val="left"/>
            </w:pPr>
            <w:r>
              <w:rPr>
                <w:sz w:val="24"/>
                <w:b/>
              </w:rPr>
              <w:t>6.1</w:t>
            </w:r>
            <w:r>
              <w:rPr>
                <w:sz w:val="20"/>
                <w:b/>
              </w:rPr>
              <w:t>安全责任</w:t>
            </w:r>
          </w:p>
          <w:p>
            <w:pPr>
              <w:pStyle w:val="null3"/>
              <w:ind w:firstLine="400"/>
              <w:jc w:val="left"/>
            </w:pPr>
            <w:r>
              <w:rPr>
                <w:sz w:val="20"/>
              </w:rPr>
              <w:t>1.中标供应商人员遵守安全规程、技术规程和劳动纪律，提高安全生产的法制观念和自我安全保护意识，协助采购人做好本职各项工作，对本人负责和参加的工作及所操作的设备负安全责任。</w:t>
            </w:r>
          </w:p>
          <w:p>
            <w:pPr>
              <w:pStyle w:val="null3"/>
              <w:ind w:firstLine="400"/>
              <w:jc w:val="left"/>
            </w:pPr>
            <w:r>
              <w:rPr>
                <w:sz w:val="20"/>
              </w:rPr>
              <w:t>2.正确使用和保管好安全工器具和个人防护用品。</w:t>
            </w:r>
          </w:p>
          <w:p>
            <w:pPr>
              <w:pStyle w:val="null3"/>
              <w:ind w:firstLine="400"/>
              <w:jc w:val="left"/>
            </w:pPr>
            <w:r>
              <w:rPr>
                <w:sz w:val="20"/>
              </w:rPr>
              <w:t>3.不违章作业，并制止他人违章作业，对自己违章作业所造成的后果负直接责任。</w:t>
            </w:r>
          </w:p>
          <w:p>
            <w:pPr>
              <w:pStyle w:val="null3"/>
              <w:ind w:firstLine="400"/>
              <w:jc w:val="left"/>
            </w:pPr>
            <w:r>
              <w:rPr>
                <w:sz w:val="20"/>
              </w:rPr>
              <w:t>4.在接到维护任务时，要掌握维护目的和维护任务的具体内容，对有疑问或不清楚的维护要落实清楚后，才能进行维护操作，对所维护的设备、系统或数据等正确性负责。</w:t>
            </w:r>
          </w:p>
          <w:p>
            <w:pPr>
              <w:pStyle w:val="null3"/>
              <w:ind w:firstLine="400"/>
              <w:jc w:val="left"/>
            </w:pPr>
            <w:r>
              <w:rPr>
                <w:sz w:val="20"/>
              </w:rPr>
              <w:t>5.在机房或相关设备间工作时，注意用电的安全以及设备的使用安全，避免产生不必要的事情发生。</w:t>
            </w:r>
          </w:p>
          <w:p>
            <w:pPr>
              <w:pStyle w:val="null3"/>
              <w:ind w:firstLine="400"/>
              <w:jc w:val="left"/>
            </w:pPr>
            <w:r>
              <w:rPr>
                <w:sz w:val="20"/>
              </w:rPr>
              <w:t>6.承担工作疏忽导致设备损坏或丢失的赔偿责任。</w:t>
            </w:r>
          </w:p>
          <w:p>
            <w:pPr>
              <w:pStyle w:val="null3"/>
              <w:ind w:firstLine="400"/>
              <w:jc w:val="left"/>
            </w:pPr>
            <w:r>
              <w:rPr>
                <w:sz w:val="20"/>
              </w:rPr>
              <w:t>7.负责配合其他项目施工单位施工，设备检修、安装，弱电井线路施工保护，发生事故负连带责任（含节假日）。</w:t>
            </w:r>
          </w:p>
          <w:p>
            <w:pPr>
              <w:pStyle w:val="null3"/>
              <w:ind w:firstLine="400"/>
              <w:jc w:val="left"/>
            </w:pPr>
            <w:r>
              <w:rPr>
                <w:sz w:val="20"/>
              </w:rPr>
              <w:t>8.本项目涉及高空作业部分，中标供应商承担相应责任（包括使用设备的安全及相关项目人员的人身安全）。</w:t>
            </w:r>
          </w:p>
          <w:p>
            <w:pPr>
              <w:pStyle w:val="null3"/>
              <w:ind w:left="435"/>
              <w:jc w:val="left"/>
            </w:pPr>
            <w:r>
              <w:rPr>
                <w:sz w:val="24"/>
                <w:b/>
              </w:rPr>
              <w:t>6.2</w:t>
            </w:r>
            <w:r>
              <w:rPr>
                <w:sz w:val="20"/>
                <w:b/>
              </w:rPr>
              <w:t>综合维护工作月度考核</w:t>
            </w:r>
          </w:p>
          <w:tbl>
            <w:tblPr>
              <w:tblBorders>
                <w:top w:val="none" w:color="000000" w:sz="4"/>
                <w:left w:val="none" w:color="000000" w:sz="4"/>
                <w:bottom w:val="none" w:color="000000" w:sz="4"/>
                <w:right w:val="none" w:color="000000" w:sz="4"/>
                <w:insideH w:val="none"/>
                <w:insideV w:val="none"/>
              </w:tblBorders>
            </w:tblPr>
            <w:tblGrid>
              <w:gridCol w:w="811"/>
              <w:gridCol w:w="953"/>
              <w:gridCol w:w="1728"/>
              <w:gridCol w:w="1559"/>
              <w:gridCol w:w="285"/>
              <w:gridCol w:w="258"/>
            </w:tblGrid>
            <w:tr>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考核项目</w:t>
                  </w:r>
                </w:p>
              </w:tc>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考核内容</w:t>
                  </w:r>
                </w:p>
              </w:tc>
              <w:tc>
                <w:tcPr>
                  <w:tcW w:type="dxa" w:w="1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考核要求</w:t>
                  </w:r>
                </w:p>
              </w:tc>
              <w:tc>
                <w:tcPr>
                  <w:tcW w:type="dxa" w:w="1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评分标准</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完成情况</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得分</w:t>
                  </w:r>
                </w:p>
              </w:tc>
            </w:tr>
            <w:tr>
              <w:tc>
                <w:tcPr>
                  <w:tcW w:type="dxa" w:w="8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运维团队管理</w:t>
                  </w:r>
                </w:p>
                <w:p>
                  <w:pPr>
                    <w:pStyle w:val="null3"/>
                    <w:jc w:val="center"/>
                  </w:pPr>
                  <w:r>
                    <w:rPr>
                      <w:sz w:val="20"/>
                      <w:color w:val="000000"/>
                    </w:rPr>
                    <w:t>（权重：</w:t>
                  </w:r>
                  <w:r>
                    <w:rPr>
                      <w:sz w:val="20"/>
                      <w:color w:val="000000"/>
                    </w:rPr>
                    <w:t>30%，基准分100分，满分100分）</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人员配备</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维护人员要按照运维合同规定配置</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少配置一人或随意变更人员配备情况，</w:t>
                  </w:r>
                  <w:r>
                    <w:rPr>
                      <w:sz w:val="20"/>
                    </w:rPr>
                    <w:t>每人次</w:t>
                  </w:r>
                  <w:r>
                    <w:rPr>
                      <w:sz w:val="20"/>
                      <w:color w:val="000000"/>
                    </w:rPr>
                    <w:t>扣</w:t>
                  </w:r>
                  <w:r>
                    <w:rPr>
                      <w:sz w:val="20"/>
                      <w:color w:val="000000"/>
                    </w:rPr>
                    <w:t>5分,并补齐运维人员。</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人员资质</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维护人员资质要按照运维合同规定配置</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发现一名资质不符人员的，</w:t>
                  </w:r>
                  <w:r>
                    <w:rPr>
                      <w:sz w:val="20"/>
                    </w:rPr>
                    <w:t>每人次</w:t>
                  </w:r>
                  <w:r>
                    <w:rPr>
                      <w:sz w:val="20"/>
                      <w:color w:val="000000"/>
                    </w:rPr>
                    <w:t>扣</w:t>
                  </w:r>
                  <w:r>
                    <w:rPr>
                      <w:sz w:val="20"/>
                      <w:color w:val="000000"/>
                    </w:rPr>
                    <w:t>5分，并更换运维人员。</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管理经理服务水平</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任务按时按质完成，理解客户需求，沟通良好，主动改善意识强。</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服务态度、任务完成时间、质量情况、主动性等方面进行考核，视情节轻重扣</w:t>
                  </w:r>
                  <w:r>
                    <w:rPr>
                      <w:sz w:val="20"/>
                      <w:color w:val="000000"/>
                    </w:rPr>
                    <w:t>2-5分/件。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执行力</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运维人员服从指挥和调度</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运维人员不服从指挥、调度的，视情节轻重扣除</w:t>
                  </w:r>
                  <w:r>
                    <w:rPr>
                      <w:sz w:val="20"/>
                      <w:color w:val="000000"/>
                    </w:rPr>
                    <w:t>5-15分/件。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日常考勤</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正常工作日</w:t>
                  </w:r>
                  <w:r>
                    <w:rPr>
                      <w:sz w:val="20"/>
                      <w:color w:val="000000"/>
                    </w:rPr>
                    <w:t>5×8小时随叫随叫，在非工作时间设置有专人7×24小时接听的移动电话热线</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发现迟到、早退、旷工、移动热线无人接听情况，一次扣</w:t>
                  </w:r>
                  <w:r>
                    <w:rPr>
                      <w:sz w:val="20"/>
                      <w:color w:val="000000"/>
                    </w:rPr>
                    <w:t>1分。</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服务态度</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运维人员服务态度端正</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服务态度问题引起投诉的，扣</w:t>
                  </w:r>
                  <w:r>
                    <w:rPr>
                      <w:sz w:val="20"/>
                      <w:color w:val="000000"/>
                    </w:rPr>
                    <w:t>5/件。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维护质量效率管理</w:t>
                  </w:r>
                </w:p>
                <w:p>
                  <w:pPr>
                    <w:pStyle w:val="null3"/>
                    <w:jc w:val="center"/>
                  </w:pPr>
                  <w:r>
                    <w:rPr>
                      <w:sz w:val="20"/>
                      <w:color w:val="000000"/>
                    </w:rPr>
                    <w:t>（权重：</w:t>
                  </w:r>
                  <w:r>
                    <w:rPr>
                      <w:sz w:val="20"/>
                      <w:color w:val="000000"/>
                    </w:rPr>
                    <w:t>50%，基准分100分，满分100分）</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报修响应、处理</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所有的报修处理应当在规定的时间内响应、解决。</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对于超时的，</w:t>
                  </w:r>
                  <w:r>
                    <w:rPr>
                      <w:sz w:val="20"/>
                      <w:color w:val="000000"/>
                    </w:rPr>
                    <w:t>1小时以内的扣1分/件，1-2小时的扣2分/件，2-4小时的扣4分/件，4-8小时扣6分/件，8-24小时扣8分/件，24小时以外的扣10分。</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电话或现场回访</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报修人对处理质量不满意</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扣</w:t>
                  </w:r>
                  <w:r>
                    <w:rPr>
                      <w:sz w:val="20"/>
                      <w:color w:val="000000"/>
                    </w:rPr>
                    <w:t>2分/件。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用户满意度</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客户服务满意度调查应在满意以上。（求平均分）</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90至100分加15分，80至90分加10分，70至80分扣10分，60至70分扣15分，低于60分扣20分。</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用户投诉</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运维单位在运维过程中的用户投诉情况</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维护质量每被用户投诉一次，运维单位扣</w:t>
                  </w:r>
                  <w:r>
                    <w:rPr>
                      <w:sz w:val="20"/>
                      <w:color w:val="000000"/>
                    </w:rPr>
                    <w:t>5分。</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警告次数</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运维单位在维护中应该按照运维管理制度进行维护</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被业主单位警告一次的，扣除</w:t>
                  </w:r>
                  <w:r>
                    <w:rPr>
                      <w:sz w:val="20"/>
                      <w:color w:val="000000"/>
                    </w:rPr>
                    <w:t>5分；被业主单位警告两次的，扣除10分。</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应急保障</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重大活动、突发事件等关键活动保障工作。</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完成保障工作视情况加</w:t>
                  </w:r>
                  <w:r>
                    <w:rPr>
                      <w:sz w:val="20"/>
                      <w:color w:val="000000"/>
                    </w:rPr>
                    <w:t>5-20分，因维护不到位造成重大活动出现故障扣5-20分。</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发现重大隐患</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发现及解决重大故障隐患。</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每次加５分。</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合理化建议</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提出好的维护和优化建议或方案、经采纳并付诸实施取得显著效果。</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每次加５分。</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用户表扬</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态度积极、圆满完成额外任务、工作量，绩效突出得到客户表扬的。</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每次加</w:t>
                  </w:r>
                  <w:r>
                    <w:rPr>
                      <w:sz w:val="20"/>
                    </w:rPr>
                    <w:t>5分。</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作业计划和执行</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运维人员需按要求做好运维计划，并及时提交。在工作中按照计划进行日常巡检、系统和设备的维护工作。</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未按时完成运维计划或未及时登入运维管理系统提交运维计划，每次扣</w:t>
                  </w:r>
                  <w:r>
                    <w:rPr>
                      <w:sz w:val="20"/>
                      <w:color w:val="000000"/>
                    </w:rPr>
                    <w:t>4分。未按照计划进行维护的每次扣2分。</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管理成效性（权重：</w:t>
                  </w:r>
                  <w:r>
                    <w:rPr>
                      <w:sz w:val="20"/>
                      <w:color w:val="000000"/>
                    </w:rPr>
                    <w:t>20%，基准分100分，最高100分）</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安全保密纪律考核</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未遵守保密协议规定，擅自将敏感或涉密信息内容的文档外泄的，除按照保密协议及有关法律法规处置外。</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扣</w:t>
                  </w:r>
                  <w:r>
                    <w:rPr>
                      <w:sz w:val="20"/>
                      <w:color w:val="000000"/>
                    </w:rPr>
                    <w:t>10-15分/件。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故障跟踪处理</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运维人员遇到疑难故障时，及时向用户汇报，跟踪直至问题处理完毕。</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如果运维人员没有及时汇报、跟进处理问题的，发现一次扣</w:t>
                  </w:r>
                  <w:r>
                    <w:rPr>
                      <w:sz w:val="20"/>
                      <w:color w:val="000000"/>
                    </w:rPr>
                    <w:t>2分。</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811"/>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报告及计划</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运维人员应记载并提交相应运维文档，按时按质提交月</w:t>
                  </w:r>
                  <w:r>
                    <w:rPr>
                      <w:sz w:val="20"/>
                      <w:color w:val="000000"/>
                    </w:rPr>
                    <w:t>/季/年度报告和计划。</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发现没有及时提交，迟交</w:t>
                  </w:r>
                  <w:r>
                    <w:rPr>
                      <w:sz w:val="20"/>
                      <w:color w:val="000000"/>
                    </w:rPr>
                    <w:t>1天，每天扣1分。</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58"/>
                  <w:vMerge/>
                  <w:tcBorders>
                    <w:top w:val="none" w:color="000000" w:sz="4"/>
                    <w:left w:val="single" w:color="000000" w:sz="4"/>
                    <w:bottom w:val="single" w:color="000000" w:sz="4"/>
                    <w:right w:val="single" w:color="000000" w:sz="4"/>
                  </w:tcBorders>
                </w:tcPr>
                <w:p/>
              </w:tc>
            </w:tr>
            <w:tr>
              <w:tc>
                <w:tcPr>
                  <w:tcW w:type="dxa" w:w="559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备注：月度考核得分</w:t>
                  </w:r>
                  <w:r>
                    <w:rPr>
                      <w:sz w:val="20"/>
                      <w:color w:val="000000"/>
                    </w:rPr>
                    <w:t>=运维团队管理得分×30%+维护质量效率管理得分×50%+管理成效性得分×20%。</w:t>
                  </w:r>
                </w:p>
              </w:tc>
            </w:tr>
            <w:tr>
              <w:tc>
                <w:tcPr>
                  <w:tcW w:type="dxa" w:w="559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b/>
                      <w:color w:val="000000"/>
                    </w:rPr>
                    <w:t>总得分：</w:t>
                  </w:r>
                </w:p>
              </w:tc>
            </w:tr>
          </w:tbl>
          <w:p>
            <w:pPr>
              <w:pStyle w:val="null3"/>
              <w:ind w:left="435"/>
              <w:jc w:val="left"/>
            </w:pPr>
            <w:r>
              <w:rPr>
                <w:sz w:val="24"/>
                <w:b/>
              </w:rPr>
              <w:t>6.3</w:t>
            </w:r>
            <w:r>
              <w:rPr>
                <w:sz w:val="20"/>
                <w:b/>
              </w:rPr>
              <w:t>支付率计算方式：</w:t>
            </w:r>
          </w:p>
          <w:p>
            <w:pPr>
              <w:pStyle w:val="null3"/>
              <w:ind w:firstLine="440"/>
              <w:jc w:val="both"/>
            </w:pPr>
            <w:r>
              <w:rPr/>
              <w:t>（</w:t>
            </w:r>
            <w:r>
              <w:rPr/>
              <w:t>1</w:t>
            </w:r>
            <w:r>
              <w:rPr/>
              <w:t>）服务期内，季度绩效考核（月度考核得分</w:t>
            </w:r>
            <w:r>
              <w:rPr/>
              <w:t>/3</w:t>
            </w:r>
            <w:r>
              <w:rPr/>
              <w:t>），总分都在</w:t>
            </w:r>
            <w:r>
              <w:rPr/>
              <w:t>80</w:t>
            </w:r>
            <w:r>
              <w:rPr/>
              <w:t>分（含</w:t>
            </w:r>
            <w:r>
              <w:rPr/>
              <w:t>80</w:t>
            </w:r>
            <w:r>
              <w:rPr/>
              <w:t>分）以上时，视为该季度考核合格，全额支付季度服务款。</w:t>
            </w:r>
          </w:p>
          <w:p>
            <w:pPr>
              <w:pStyle w:val="null3"/>
              <w:ind w:firstLine="440"/>
              <w:jc w:val="both"/>
            </w:pPr>
            <w:r>
              <w:rPr/>
              <w:t>（</w:t>
            </w:r>
            <w:r>
              <w:rPr/>
              <w:t>2</w:t>
            </w:r>
            <w:r>
              <w:rPr/>
              <w:t>）服务期内，季度绩效考核总分低于</w:t>
            </w:r>
            <w:r>
              <w:rPr/>
              <w:t>80</w:t>
            </w:r>
            <w:r>
              <w:rPr/>
              <w:t>分时，视为该季度绩效考核不合格，扣除季度服务款的</w:t>
            </w:r>
            <w:r>
              <w:rPr/>
              <w:t>2%</w:t>
            </w:r>
            <w:r>
              <w:rPr/>
              <w:t>。</w:t>
            </w:r>
          </w:p>
          <w:p>
            <w:pPr>
              <w:pStyle w:val="null3"/>
            </w:pPr>
            <w:r>
              <w:rPr>
                <w:sz w:val="21"/>
              </w:rPr>
              <w:t xml:space="preserve">        （</w:t>
            </w:r>
            <w:r>
              <w:rPr>
                <w:sz w:val="21"/>
              </w:rPr>
              <w:t>3</w:t>
            </w:r>
            <w:r>
              <w:rPr>
                <w:sz w:val="21"/>
              </w:rPr>
              <w:t>）在运维服务期内，合计</w:t>
            </w:r>
            <w:r>
              <w:rPr>
                <w:sz w:val="21"/>
              </w:rPr>
              <w:t>2</w:t>
            </w:r>
            <w:r>
              <w:rPr>
                <w:sz w:val="21"/>
              </w:rPr>
              <w:t>次季度绩效考核不合格者，扣除项目余款的</w:t>
            </w:r>
            <w:r>
              <w:rPr>
                <w:sz w:val="21"/>
              </w:rPr>
              <w:t>10%</w:t>
            </w:r>
            <w:r>
              <w:rPr>
                <w:sz w:val="21"/>
              </w:rPr>
              <w:t>。</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1.采购代理机构：本项目是指中新工程咨询（广东）有限公司，负责整个采购活动的组织，依法负责编制和发布招标文件，对招标文件拥有最终的解释权，不以任何身份出任评标委员会成员。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东莞市第二人民法院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1、以《中标通知书》中规定的中标金额作为收费的计算基数。2、招标代理服务费收费标准根据国家发展和改革委员会文件“发改价格[2011]534号]”及“国家计委[计价格[2002]1980号]文”相关规定设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根据开标时现场代理机构工作人员设置为准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中新工程咨询（广东）有限公司</w:t>
      </w:r>
      <w:r>
        <w:rPr/>
        <w:t>代收。具体操作要求详见</w:t>
      </w:r>
      <w:r>
        <w:rPr/>
        <w:t>中新工程咨询（广东）有限公司</w:t>
      </w:r>
      <w:r>
        <w:rPr/>
        <w:t>有关指引，递交事宜请自行咨询</w:t>
      </w:r>
      <w:r>
        <w:rPr/>
        <w:t>中新工程咨询（广东）有限公司</w:t>
      </w:r>
      <w:r>
        <w:rPr/>
        <w:t>；请各投标人在投标文件递交截止时间前按须知前附表规定的金额递交至</w:t>
      </w:r>
      <w:r>
        <w:rPr/>
        <w:t>中新工程咨询（广东）有限公司</w:t>
      </w:r>
      <w:r>
        <w:rPr/>
        <w:t>，到账情况以开标时</w:t>
      </w:r>
      <w:r>
        <w:rPr/>
        <w:t>中新工程咨询（广东）有限公司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王先生</w:t>
      </w:r>
    </w:p>
    <w:p>
      <w:pPr>
        <w:pStyle w:val="null3"/>
        <w:ind w:firstLine="480"/>
      </w:pPr>
      <w:r>
        <w:rPr/>
        <w:t>电话：</w:t>
      </w:r>
      <w:r>
        <w:rPr/>
        <w:t>0769-22331990</w:t>
      </w:r>
    </w:p>
    <w:p>
      <w:pPr>
        <w:pStyle w:val="null3"/>
        <w:ind w:firstLine="480"/>
      </w:pPr>
      <w:r>
        <w:rPr/>
        <w:t>传真：</w:t>
      </w:r>
      <w:r>
        <w:rPr/>
        <w:t>/</w:t>
      </w:r>
    </w:p>
    <w:p>
      <w:pPr>
        <w:pStyle w:val="null3"/>
        <w:ind w:firstLine="480"/>
      </w:pPr>
      <w:r>
        <w:rPr/>
        <w:t>邮箱：</w:t>
      </w:r>
      <w:r>
        <w:rPr/>
        <w:t>gdzk66@163.com</w:t>
      </w:r>
    </w:p>
    <w:p>
      <w:pPr>
        <w:pStyle w:val="null3"/>
        <w:ind w:firstLine="480"/>
      </w:pPr>
      <w:r>
        <w:rPr/>
        <w:t>地址：</w:t>
      </w:r>
      <w:r>
        <w:rPr/>
        <w:t>广东省东莞市南城街道元美东路6号306室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信息化软硬件综合维护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中新工程咨询（广东）有限公司</w:t>
      </w:r>
      <w:r>
        <w:rPr/>
        <w:t>统一对外发布。</w:t>
      </w:r>
    </w:p>
    <w:p>
      <w:pPr>
        <w:pStyle w:val="null3"/>
        <w:ind w:firstLine="480"/>
      </w:pPr>
      <w:r>
        <w:rPr/>
        <w:t>（2）对</w:t>
      </w:r>
      <w:r>
        <w:rPr/>
        <w:t>中新工程咨询（广东）有限公司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采购包1（信息化软硬件综合维护服务项目）：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采购包1（信息化软硬件综合维护服务项目）：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提供投标截止日前6个月内任意1个月依法缴纳税收和社会保障资金的相关材料。或提供《资格条件承诺函》。如依法免税或不需要缴纳社会保障资金的，须提供相应证明材料。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提供投标截止日前3年内任意1年的财务状况报告或提供基本开户行出具的资信证明。或提供《资格条件承诺函》。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本项目不专门面向中小企业采购。本项目中小企业划型标准所属行业为：软件和信息技术服务业。</w:t>
            </w:r>
          </w:p>
        </w:tc>
      </w:tr>
    </w:tbl>
    <w:p>
      <w:pPr>
        <w:pStyle w:val="null3"/>
        <w:ind w:firstLine="480"/>
      </w:pPr>
      <w:r>
        <w:rPr/>
        <w:t>表二符合性审查表：</w:t>
      </w:r>
    </w:p>
    <w:p>
      <w:pPr>
        <w:pStyle w:val="null3"/>
      </w:pPr>
      <w:r>
        <w:rPr/>
        <w:t>采购包1（信息化软硬件综合维护服务项目）：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报价未按招标文件要求报价、超过项目预算或超过项目限价的，为投标无效情况</w:t>
            </w:r>
          </w:p>
        </w:tc>
      </w:tr>
      <w:tr>
        <w:tc>
          <w:tcPr>
            <w:tcW w:type="dxa" w:w="890"/>
          </w:tcPr>
          <w:p>
            <w:pPr>
              <w:pStyle w:val="null3"/>
            </w:pPr>
            <w:r>
              <w:rPr/>
              <w:t>2</w:t>
            </w:r>
          </w:p>
        </w:tc>
        <w:tc>
          <w:tcPr>
            <w:tcW w:type="dxa" w:w="3178"/>
          </w:tcPr>
          <w:p>
            <w:pPr>
              <w:pStyle w:val="null3"/>
            </w:pPr>
            <w:r>
              <w:rPr/>
              <w:t>制作、签署及盖章</w:t>
            </w:r>
          </w:p>
        </w:tc>
        <w:tc>
          <w:tcPr>
            <w:tcW w:type="dxa" w:w="4238"/>
          </w:tcPr>
          <w:p>
            <w:pPr>
              <w:pStyle w:val="null3"/>
            </w:pPr>
            <w:r>
              <w:rPr/>
              <w:t>未按照招标文件规定要求制作、签署、盖章的，为投标无效情况</w:t>
            </w:r>
          </w:p>
        </w:tc>
      </w:tr>
      <w:tr>
        <w:tc>
          <w:tcPr>
            <w:tcW w:type="dxa" w:w="890"/>
          </w:tcPr>
          <w:p>
            <w:pPr>
              <w:pStyle w:val="null3"/>
            </w:pPr>
            <w:r>
              <w:rPr/>
              <w:t>3</w:t>
            </w:r>
          </w:p>
        </w:tc>
        <w:tc>
          <w:tcPr>
            <w:tcW w:type="dxa" w:w="3178"/>
          </w:tcPr>
          <w:p>
            <w:pPr>
              <w:pStyle w:val="null3"/>
            </w:pPr>
            <w:r>
              <w:rPr/>
              <w:t>投标有效期及标的提供的时间</w:t>
            </w:r>
          </w:p>
        </w:tc>
        <w:tc>
          <w:tcPr>
            <w:tcW w:type="dxa" w:w="4238"/>
          </w:tcPr>
          <w:p>
            <w:pPr>
              <w:pStyle w:val="null3"/>
            </w:pPr>
            <w:r>
              <w:rPr/>
              <w:t>投标有效期及标的提供的时间不符合要求的，为投标无效情况</w:t>
            </w:r>
          </w:p>
        </w:tc>
      </w:tr>
      <w:tr>
        <w:tc>
          <w:tcPr>
            <w:tcW w:type="dxa" w:w="890"/>
          </w:tcPr>
          <w:p>
            <w:pPr>
              <w:pStyle w:val="null3"/>
            </w:pPr>
            <w:r>
              <w:rPr/>
              <w:t>4</w:t>
            </w:r>
          </w:p>
        </w:tc>
        <w:tc>
          <w:tcPr>
            <w:tcW w:type="dxa" w:w="3178"/>
          </w:tcPr>
          <w:p>
            <w:pPr>
              <w:pStyle w:val="null3"/>
            </w:pPr>
            <w:r>
              <w:rPr/>
              <w:t>实质性响应条款</w:t>
            </w:r>
          </w:p>
        </w:tc>
        <w:tc>
          <w:tcPr>
            <w:tcW w:type="dxa" w:w="4238"/>
          </w:tcPr>
          <w:p>
            <w:pPr>
              <w:pStyle w:val="null3"/>
            </w:pPr>
            <w:r>
              <w:rPr/>
              <w:t>不满足招标文件用户需求中带“★”要求的，为投标无效情况</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投标文件含有采购人不能接受的附加条件的，为投标无效情况</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属于法律、法规及招标文件规定的其他无效情形的，为投标无效情况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采购包1(信息化软硬件综合维护服务项目):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 (12.0分)</w:t>
            </w:r>
          </w:p>
        </w:tc>
        <w:tc>
          <w:tcPr>
            <w:tcW w:type="dxa" w:w="5076"/>
          </w:tcPr>
          <w:p>
            <w:pPr>
              <w:pStyle w:val="null3"/>
              <w:jc w:val="left"/>
            </w:pPr>
            <w:r>
              <w:rPr/>
              <w:t>根据投标人对招标文件中采购需求的重要技术条款（即标▲号技术参数）的响应程度进行评审： 完全符合或优于招标文件的得12分，“▲”号条款每一个负偏离扣1分，最低扣至0分止。 注：项目概况与技术标准与要求内的“▲”条款，投标人需提供相关承诺函（可将所有条款合并在一份承诺函中承诺），不提供或承诺的内容与招标文件要求不符不得分，本项最高得12分。</w:t>
            </w:r>
          </w:p>
        </w:tc>
      </w:tr>
      <w:tr>
        <w:tc>
          <w:tcPr>
            <w:tcW w:type="dxa" w:w="922"/>
            <w:gridSpan w:val="2"/>
            <w:vMerge/>
          </w:tcPr>
          <w:p/>
        </w:tc>
        <w:tc>
          <w:tcPr>
            <w:tcW w:type="dxa" w:w="2307"/>
          </w:tcPr>
          <w:p>
            <w:pPr>
              <w:pStyle w:val="null3"/>
              <w:jc w:val="left"/>
            </w:pPr>
            <w:r>
              <w:rPr/>
              <w:t>对本项目用户需求书理解程度 (8.0分)</w:t>
            </w:r>
          </w:p>
        </w:tc>
        <w:tc>
          <w:tcPr>
            <w:tcW w:type="dxa" w:w="5076"/>
          </w:tcPr>
          <w:p>
            <w:pPr>
              <w:pStyle w:val="null3"/>
              <w:jc w:val="left"/>
            </w:pPr>
            <w:r>
              <w:rPr/>
              <w:t>根据投标人对本项目用户需求的理解程度，重点难点的分析进行评审： 优：对用户需求理解非常透彻，对项目重点难点的理解十分到位，提出的重点难点有利于项目实施，完全满足并优于招标需求的，得8分； 良：对用户需求理解比较符合项目实际情况，对项目重点难点的理解分析基本到位，基本符合招标需求的，得6分； 中：对用户需求理解基本符合项目实际情况，对项目重点难点的理解分析一般，部分符合招标需求的，得3分； 差：对用户需求理解与项目实际情况差距较大，对项目重点难点的理解分析不够到位，不满足招标需求或未提供的，得0分。</w:t>
            </w:r>
          </w:p>
        </w:tc>
      </w:tr>
      <w:tr>
        <w:tc>
          <w:tcPr>
            <w:tcW w:type="dxa" w:w="922"/>
            <w:gridSpan w:val="2"/>
            <w:vMerge/>
          </w:tcPr>
          <w:p/>
        </w:tc>
        <w:tc>
          <w:tcPr>
            <w:tcW w:type="dxa" w:w="2307"/>
          </w:tcPr>
          <w:p>
            <w:pPr>
              <w:pStyle w:val="null3"/>
              <w:jc w:val="left"/>
            </w:pPr>
            <w:r>
              <w:rPr/>
              <w:t>实施方案 (10.0分)</w:t>
            </w:r>
          </w:p>
        </w:tc>
        <w:tc>
          <w:tcPr>
            <w:tcW w:type="dxa" w:w="5076"/>
          </w:tcPr>
          <w:p>
            <w:pPr>
              <w:pStyle w:val="null3"/>
              <w:jc w:val="left"/>
            </w:pPr>
            <w:r>
              <w:rPr/>
              <w:t>根据投标人提供的实施方案（包括但不限于：服务方案、维护和升级支持服务措施、技术支持方案等）进行评审： 优：实施方案非常完整合理，可行性非常强，技术支持非常强，完全满足并优于招标需求的，得10分； 良：实施方案较为完整合理，可行性较强，技术支持一般，基本满足招标需求的，得7分； 中：实施方案基本合理，可行性一般，技术支持一般，部分满足招标需求的，得3分； 差：实施方案不够完整合理，可行性差，技术支持较差，不满足招标需求或未提供的，得0分。</w:t>
            </w:r>
          </w:p>
        </w:tc>
      </w:tr>
      <w:tr>
        <w:tc>
          <w:tcPr>
            <w:tcW w:type="dxa" w:w="922"/>
            <w:gridSpan w:val="2"/>
            <w:vMerge/>
          </w:tcPr>
          <w:p/>
        </w:tc>
        <w:tc>
          <w:tcPr>
            <w:tcW w:type="dxa" w:w="2307"/>
          </w:tcPr>
          <w:p>
            <w:pPr>
              <w:pStyle w:val="null3"/>
              <w:jc w:val="left"/>
            </w:pPr>
            <w:r>
              <w:rPr/>
              <w:t>安全保障方案 (10.0分)</w:t>
            </w:r>
          </w:p>
        </w:tc>
        <w:tc>
          <w:tcPr>
            <w:tcW w:type="dxa" w:w="5076"/>
          </w:tcPr>
          <w:p>
            <w:pPr>
              <w:pStyle w:val="null3"/>
              <w:jc w:val="left"/>
            </w:pPr>
            <w:r>
              <w:rPr/>
              <w:t>根据投标人提供的安全保障方案（包括但不限于信息安全保护方案、网络安全保护方案、涉密服务方案）进行评审： 优：安全保障方案非常完整合理、可行性非常强，完全满足并优于招标需求的，得10分； 良：安全保障方案比较完整合理、可行性比较强，基本满足招标需求的，得7分； 中：安全保障方案基本合理、可行性一般，部分满足招标需求的，得3分； 差：安全保障方案不合理、可行性差，不满足采购需求或未提供的，不得分。</w:t>
            </w:r>
          </w:p>
        </w:tc>
      </w:tr>
      <w:tr>
        <w:tc>
          <w:tcPr>
            <w:tcW w:type="dxa" w:w="922"/>
            <w:gridSpan w:val="2"/>
            <w:vMerge/>
          </w:tcPr>
          <w:p/>
        </w:tc>
        <w:tc>
          <w:tcPr>
            <w:tcW w:type="dxa" w:w="2307"/>
          </w:tcPr>
          <w:p>
            <w:pPr>
              <w:pStyle w:val="null3"/>
              <w:jc w:val="left"/>
            </w:pPr>
            <w:r>
              <w:rPr/>
              <w:t>应急预案及保障方案 (8.0分)</w:t>
            </w:r>
          </w:p>
        </w:tc>
        <w:tc>
          <w:tcPr>
            <w:tcW w:type="dxa" w:w="5076"/>
          </w:tcPr>
          <w:p>
            <w:pPr>
              <w:pStyle w:val="null3"/>
              <w:jc w:val="left"/>
            </w:pPr>
            <w:r>
              <w:rPr/>
              <w:t>根据投标人提供的应急预案及保障方案（包括但不限于具体应急措施、运维服务保障方案、灾难应急方案、运行服务应急方案等）进行评审： 优：预案及方案非常完整合理、应急响应快、保障措施好、可行性非常强，完全满足并优于招标需求的，得8分； 良：预案及方案比较合理、应急响应较快、保障措施到位、可行性比较强，基本满足招标需求的，得6分； 中：预案及方案基本合理、响应和保障基本满足采购需求、可行性一般，部分满足招标需求的，得3分； 差：不满足招标需求或未提供的，不得分。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根据投标人提供的培训方案（包括但不限于：网络安全、服务器管理、各系统管理、IT服务管理等方面的培训）进行评审： 优：培训方案非常完整、可行性非常高，完全满足并优于招标需求的，得7分； 良：培训方案比较完整、可行性比较高，基本满足招标需求的，得4分； 中：培训方案基本完整、可行性一般，部分满足招标需求的，得1分； 差：不满足招标需求或未提供的，不得分。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投标人证书实力 (3.0分)</w:t>
            </w:r>
          </w:p>
        </w:tc>
        <w:tc>
          <w:tcPr>
            <w:tcW w:type="dxa" w:w="5076"/>
          </w:tcPr>
          <w:p>
            <w:pPr>
              <w:pStyle w:val="null3"/>
              <w:jc w:val="left"/>
            </w:pPr>
            <w:r>
              <w:rPr/>
              <w:t>投标人具有有效期内的以下认证证书，每提供一项得1分，满分3分： 1）质量管理体系认证证书； 2）信息安全管理体系认证证书； 3）信息技术服务管理体系认证证书。 注：ISO体系认证证书除了提供证书复印件外还须同时提供在认监委网站对体系证书的信息查询截图作为评审依据，已失效或撤销的不得分。</w:t>
            </w:r>
          </w:p>
        </w:tc>
      </w:tr>
      <w:tr>
        <w:tc>
          <w:tcPr>
            <w:tcW w:type="dxa" w:w="922"/>
            <w:gridSpan w:val="2"/>
            <w:vMerge/>
          </w:tcPr>
          <w:p/>
        </w:tc>
        <w:tc>
          <w:tcPr>
            <w:tcW w:type="dxa" w:w="2307"/>
          </w:tcPr>
          <w:p>
            <w:pPr>
              <w:pStyle w:val="null3"/>
              <w:jc w:val="left"/>
            </w:pPr>
            <w:r>
              <w:rPr/>
              <w:t>拟投入本项目的项目负责人 (7.0分)</w:t>
            </w:r>
          </w:p>
        </w:tc>
        <w:tc>
          <w:tcPr>
            <w:tcW w:type="dxa" w:w="5076"/>
          </w:tcPr>
          <w:p>
            <w:pPr>
              <w:pStyle w:val="null3"/>
              <w:jc w:val="left"/>
            </w:pPr>
            <w:r>
              <w:rPr/>
              <w:t>根据投标人拟投入本项目的项目负责人（仅一人）情况进行评审： 1）具有由人力资源和社会保障部门颁发的中级或以上工程师职称证书，得2分； 2）具备信息系统项目管理师证书，得2分； 3）具有信息安全类认证（如注册信息安全人员（CISP）或信息安全保障人员（CISAW）），得2分； 4）具有计算机类本科或以上学历，得1分。 注明： 须提供有效证书及投标人为其缴纳的距开标时间（不含当月）近半年内任意一个月社保证明或劳动合同复印件。</w:t>
            </w:r>
          </w:p>
        </w:tc>
      </w:tr>
      <w:tr>
        <w:tc>
          <w:tcPr>
            <w:tcW w:type="dxa" w:w="922"/>
            <w:gridSpan w:val="2"/>
            <w:vMerge/>
          </w:tcPr>
          <w:p/>
        </w:tc>
        <w:tc>
          <w:tcPr>
            <w:tcW w:type="dxa" w:w="2307"/>
          </w:tcPr>
          <w:p>
            <w:pPr>
              <w:pStyle w:val="null3"/>
              <w:jc w:val="left"/>
            </w:pPr>
            <w:r>
              <w:rPr/>
              <w:t>拟投入本项目的技术负责人 (5.0分)</w:t>
            </w:r>
          </w:p>
        </w:tc>
        <w:tc>
          <w:tcPr>
            <w:tcW w:type="dxa" w:w="5076"/>
          </w:tcPr>
          <w:p>
            <w:pPr>
              <w:pStyle w:val="null3"/>
              <w:jc w:val="left"/>
            </w:pPr>
            <w:r>
              <w:rPr/>
              <w:t>根据投标人拟投入本项目的技术负责人（仅一人，非项目负责人）情况进行评审： 1）具有由人力资源和社会保障部门颁发的网络规划设计师证书或网络工程师证书，得1.5分； 2）具有由人力资源和社会保障部门颁发的信息系统项目管理师证书，得1.5分； 3）具有注册信息安全人员（CISP）或ITSS认证IT服务工程师证书，得1分； 4）具有由人力资源和社会保障部门颁发的信息安全工程师证书或通信专业技术人员职业水平证书，得1分。 注明： 须提供有效证书及投标人为其缴纳的距开标时间（不含当月）近半年内任意一个月社保证明或劳动合同复印件。</w:t>
            </w:r>
          </w:p>
        </w:tc>
      </w:tr>
      <w:tr>
        <w:tc>
          <w:tcPr>
            <w:tcW w:type="dxa" w:w="922"/>
            <w:gridSpan w:val="2"/>
            <w:vMerge/>
          </w:tcPr>
          <w:p/>
        </w:tc>
        <w:tc>
          <w:tcPr>
            <w:tcW w:type="dxa" w:w="2307"/>
          </w:tcPr>
          <w:p>
            <w:pPr>
              <w:pStyle w:val="null3"/>
              <w:jc w:val="left"/>
            </w:pPr>
            <w:r>
              <w:rPr/>
              <w:t>团队技术人员 (12.0分)</w:t>
            </w:r>
          </w:p>
        </w:tc>
        <w:tc>
          <w:tcPr>
            <w:tcW w:type="dxa" w:w="5076"/>
          </w:tcPr>
          <w:p>
            <w:pPr>
              <w:pStyle w:val="null3"/>
              <w:jc w:val="left"/>
            </w:pPr>
            <w:r>
              <w:rPr/>
              <w:t>根据投标人拟投入本项目的团队技术人员（不含项目负责人及技术负责人）情况进行评审： 1) 具有由人力资源和社会保障部门颁发的信息安全工程师证书，每提供1个证书得1分，最高1分； 2) 具有信息安全类认证（如注册信息安全人员（CISP）或信息安全保障人员（CISAW）），每提供一个证书得1分，最高4分； 3) 具有由人力资源和社会保障部门颁发的网络工程师证书，每提供1个证书得1分，最高4分； 4) 具有由人力资源和社会保障部门颁发的软件设计师证书，每提供1个证书得1分，最高1分； 5) 具有由人力资源和社会保障部门颁发的数据库系统工程师证书，每提供1个证书得1分，最高2分。 注明： ①同一人员不同证书不重复得分，按得分最高项计算；②须提供有效证书及投标人为其缴纳的距开标时间（不含当月）近半年内任意一个月社保证明或劳动合同复印件。</w:t>
            </w:r>
          </w:p>
        </w:tc>
      </w:tr>
      <w:tr>
        <w:tc>
          <w:tcPr>
            <w:tcW w:type="dxa" w:w="922"/>
            <w:gridSpan w:val="2"/>
            <w:vMerge/>
          </w:tcPr>
          <w:p/>
        </w:tc>
        <w:tc>
          <w:tcPr>
            <w:tcW w:type="dxa" w:w="2307"/>
          </w:tcPr>
          <w:p>
            <w:pPr>
              <w:pStyle w:val="null3"/>
              <w:jc w:val="left"/>
            </w:pPr>
            <w:r>
              <w:rPr/>
              <w:t>同类业绩 (8.0分)</w:t>
            </w:r>
          </w:p>
        </w:tc>
        <w:tc>
          <w:tcPr>
            <w:tcW w:type="dxa" w:w="5076"/>
          </w:tcPr>
          <w:p>
            <w:pPr>
              <w:pStyle w:val="null3"/>
              <w:jc w:val="left"/>
            </w:pPr>
            <w:r>
              <w:rPr/>
              <w:t>根据投标人提供的同类信息化运维类业绩进行评审：每提供一个有效的业绩合同得2分，本项最高得8分。 注明： ①须提供合同关键页复印件（包含合同名称、标的、金额、签字盖章页）；②业绩按合同签订时间为准，资料不全或无法确认为同类项目业绩的，不予计分。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60"/>
          <w:b/>
          <w:color w:val="000000"/>
        </w:rPr>
        <w:t>广东省政府采购</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60"/>
          <w:b/>
          <w:color w:val="000000"/>
        </w:rPr>
        <w:t>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0"/>
          <w:b/>
          <w:color w:val="000000"/>
        </w:rPr>
        <w:t>项目编号：</w:t>
      </w:r>
    </w:p>
    <w:p>
      <w:pPr>
        <w:pStyle w:val="null3"/>
        <w:jc w:val="center"/>
      </w:pPr>
      <w:r>
        <w:rPr>
          <w:sz w:val="40"/>
          <w:b/>
          <w:color w:val="000000"/>
        </w:rPr>
        <w:t>项目名称：</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ind w:firstLine="442"/>
        <w:jc w:val="both"/>
      </w:pPr>
      <w:r>
        <w:rPr>
          <w:sz w:val="22"/>
          <w:b/>
          <w:shd w:fill="FFFFFF" w:val="clear"/>
        </w:rPr>
        <w:t>甲方：东莞市第二人民法院</w:t>
      </w:r>
    </w:p>
    <w:p>
      <w:pPr>
        <w:pStyle w:val="null3"/>
        <w:ind w:firstLine="440"/>
        <w:jc w:val="both"/>
      </w:pPr>
      <w:r>
        <w:rPr>
          <w:sz w:val="22"/>
          <w:shd w:fill="FFFFFF" w:val="clear"/>
        </w:rPr>
        <w:t>电话：</w:t>
      </w:r>
    </w:p>
    <w:p>
      <w:pPr>
        <w:pStyle w:val="null3"/>
        <w:ind w:firstLine="440"/>
        <w:jc w:val="both"/>
      </w:pPr>
      <w:r>
        <w:rPr>
          <w:sz w:val="22"/>
          <w:shd w:fill="FFFFFF" w:val="clear"/>
        </w:rPr>
        <w:t>传真：</w:t>
      </w:r>
    </w:p>
    <w:p>
      <w:pPr>
        <w:pStyle w:val="null3"/>
        <w:ind w:firstLine="440"/>
        <w:jc w:val="both"/>
      </w:pPr>
      <w:r>
        <w:rPr>
          <w:sz w:val="22"/>
          <w:shd w:fill="FFFFFF" w:val="clear"/>
        </w:rPr>
        <w:t>地址：东莞市长安镇涌头村</w:t>
      </w:r>
      <w:r>
        <w:rPr>
          <w:sz w:val="22"/>
          <w:shd w:fill="FFFFFF" w:val="clear"/>
        </w:rPr>
        <w:t>107国道旁</w:t>
      </w:r>
    </w:p>
    <w:p>
      <w:pPr>
        <w:pStyle w:val="null3"/>
        <w:ind w:firstLine="442"/>
        <w:jc w:val="both"/>
      </w:pPr>
      <w:r>
        <w:rPr>
          <w:sz w:val="22"/>
          <w:b/>
          <w:shd w:fill="FFFFFF" w:val="clear"/>
        </w:rPr>
        <w:t>乙方：</w:t>
      </w:r>
    </w:p>
    <w:p>
      <w:pPr>
        <w:pStyle w:val="null3"/>
        <w:ind w:firstLine="440"/>
        <w:jc w:val="both"/>
      </w:pPr>
      <w:r>
        <w:rPr>
          <w:sz w:val="22"/>
          <w:shd w:fill="FFFFFF" w:val="clear"/>
        </w:rPr>
        <w:t>电话：</w:t>
      </w:r>
    </w:p>
    <w:p>
      <w:pPr>
        <w:pStyle w:val="null3"/>
        <w:ind w:firstLine="440"/>
        <w:jc w:val="both"/>
      </w:pPr>
      <w:r>
        <w:rPr>
          <w:sz w:val="22"/>
          <w:shd w:fill="FFFFFF" w:val="clear"/>
        </w:rPr>
        <w:t>传真：</w:t>
      </w:r>
    </w:p>
    <w:p>
      <w:pPr>
        <w:pStyle w:val="null3"/>
        <w:ind w:firstLine="440"/>
        <w:jc w:val="both"/>
      </w:pPr>
      <w:r>
        <w:rPr>
          <w:sz w:val="22"/>
          <w:shd w:fill="FFFFFF" w:val="clear"/>
        </w:rPr>
        <w:t>地址：</w:t>
      </w:r>
    </w:p>
    <w:p>
      <w:pPr>
        <w:pStyle w:val="null3"/>
        <w:ind w:firstLine="440"/>
        <w:jc w:val="both"/>
      </w:pPr>
      <w:r>
        <w:rPr>
          <w:sz w:val="22"/>
        </w:rPr>
        <w:t>根据</w:t>
      </w:r>
      <w:r>
        <w:rPr>
          <w:sz w:val="22"/>
          <w:u w:val="single"/>
        </w:rPr>
        <w:t>信息化软硬件综合维护服务项目</w:t>
      </w:r>
      <w:r>
        <w:rPr>
          <w:sz w:val="22"/>
        </w:rPr>
        <w:t>的采购结果，按照《中华人民共和国政府采购法》，《中华人民共和国民法典</w:t>
      </w:r>
      <w:r>
        <w:rPr>
          <w:sz w:val="22"/>
        </w:rPr>
        <w:t>(合同编)》的规定，经双方协商，本着平等互利和诚实信用的原则，一致同意遵守本合同如下。</w:t>
      </w:r>
    </w:p>
    <w:p>
      <w:pPr>
        <w:pStyle w:val="null3"/>
        <w:ind w:firstLine="442"/>
        <w:jc w:val="both"/>
      </w:pPr>
      <w:r>
        <w:rPr>
          <w:sz w:val="22"/>
          <w:b/>
        </w:rPr>
        <w:t>一、合同金额</w:t>
      </w:r>
    </w:p>
    <w:p>
      <w:pPr>
        <w:pStyle w:val="null3"/>
        <w:ind w:firstLine="440"/>
        <w:jc w:val="both"/>
      </w:pPr>
      <w:r>
        <w:rPr>
          <w:sz w:val="22"/>
          <w:shd w:fill="FFFFFF" w:val="clear"/>
        </w:rPr>
        <w:t>合同金额（大写）：（小写：￥元）。</w:t>
      </w:r>
    </w:p>
    <w:p>
      <w:pPr>
        <w:pStyle w:val="null3"/>
        <w:ind w:firstLine="440"/>
        <w:jc w:val="both"/>
      </w:pPr>
      <w:r>
        <w:rPr>
          <w:sz w:val="22"/>
        </w:rPr>
        <w:t>甲方每月对乙方驻点人员工作情况进行考核，并统计得分，当月项目金额根据考核得分计算。乙方履约完全符合考核标准（考核满分）时，可获得合同总金额；如考核未完全得分，则应折算扣减相应金额。考核指标以合同附件二《综合维护工作考核表》为依据。</w:t>
      </w:r>
    </w:p>
    <w:p>
      <w:pPr>
        <w:pStyle w:val="null3"/>
        <w:ind w:firstLine="442"/>
        <w:jc w:val="both"/>
      </w:pPr>
      <w:r>
        <w:rPr>
          <w:sz w:val="22"/>
          <w:b/>
        </w:rPr>
        <w:t>二、服务范围</w:t>
      </w:r>
    </w:p>
    <w:p>
      <w:pPr>
        <w:pStyle w:val="null3"/>
        <w:ind w:firstLine="440"/>
        <w:jc w:val="both"/>
      </w:pPr>
      <w:r>
        <w:rPr>
          <w:sz w:val="22"/>
        </w:rPr>
        <w:t>甲方聘请乙方提供以下服务，具体维护的设备与系统清单详见附件一《维护项目详细清单》，该附件内容与本合同具有同等法律效力。服务期内，若甲方设备清单发生变更，双方应通过书面形式确认，该等书面文件将作为附件一的补充。</w:t>
      </w:r>
    </w:p>
    <w:p>
      <w:pPr>
        <w:pStyle w:val="null3"/>
        <w:ind w:firstLine="442"/>
        <w:jc w:val="both"/>
      </w:pPr>
      <w:r>
        <w:rPr>
          <w:sz w:val="22"/>
          <w:b/>
        </w:rPr>
        <w:t>三、维护项目详细清单</w:t>
      </w:r>
    </w:p>
    <w:p>
      <w:pPr>
        <w:pStyle w:val="null3"/>
        <w:ind w:firstLine="440"/>
        <w:jc w:val="both"/>
      </w:pPr>
      <w:r>
        <w:rPr>
          <w:sz w:val="22"/>
        </w:rPr>
        <w:t>详见附件一：维护项目详细清单</w:t>
      </w:r>
    </w:p>
    <w:p>
      <w:pPr>
        <w:pStyle w:val="null3"/>
        <w:ind w:firstLine="442"/>
        <w:jc w:val="both"/>
      </w:pPr>
      <w:r>
        <w:rPr>
          <w:sz w:val="22"/>
          <w:b/>
        </w:rPr>
        <w:t>四、维护整体要求</w:t>
      </w:r>
    </w:p>
    <w:p>
      <w:pPr>
        <w:pStyle w:val="null3"/>
        <w:ind w:firstLine="442"/>
        <w:jc w:val="both"/>
      </w:pPr>
      <w:r>
        <w:rPr>
          <w:sz w:val="22"/>
          <w:b/>
        </w:rPr>
        <w:t>1.</w:t>
      </w:r>
      <w:r>
        <w:rPr>
          <w:sz w:val="22"/>
        </w:rPr>
        <w:t>服务期及维护地点</w:t>
      </w:r>
    </w:p>
    <w:p>
      <w:pPr>
        <w:pStyle w:val="null3"/>
        <w:ind w:firstLine="440"/>
        <w:jc w:val="both"/>
      </w:pPr>
      <w:r>
        <w:rPr>
          <w:sz w:val="22"/>
        </w:rPr>
        <w:t>1</w:t>
      </w:r>
      <w:r>
        <w:rPr>
          <w:sz w:val="22"/>
        </w:rPr>
        <w:t>）</w:t>
      </w:r>
      <w:r>
        <w:rPr>
          <w:sz w:val="22"/>
        </w:rPr>
        <w:t>服务期：自年月日起至年月日止（共</w:t>
      </w:r>
      <w:r>
        <w:rPr>
          <w:sz w:val="22"/>
        </w:rPr>
        <w:t>12个月）。</w:t>
      </w:r>
    </w:p>
    <w:p>
      <w:pPr>
        <w:pStyle w:val="null3"/>
        <w:ind w:firstLine="440"/>
        <w:jc w:val="both"/>
      </w:pPr>
      <w:r>
        <w:rPr>
          <w:sz w:val="22"/>
        </w:rPr>
        <w:t>2</w:t>
      </w:r>
      <w:r>
        <w:rPr>
          <w:sz w:val="22"/>
        </w:rPr>
        <w:t>）</w:t>
      </w:r>
      <w:r>
        <w:rPr>
          <w:sz w:val="22"/>
        </w:rPr>
        <w:t>维护地点：长安法庭、沙田法庭、大岭山法庭、厚街法庭、虎门法庭、大朗法庭、滨海湾巡回法庭；院外刑事审判场所（牛山审判庭、看守所远程提审室）</w:t>
      </w:r>
    </w:p>
    <w:p>
      <w:pPr>
        <w:pStyle w:val="null3"/>
        <w:ind w:firstLine="442"/>
        <w:jc w:val="both"/>
      </w:pPr>
      <w:r>
        <w:rPr>
          <w:sz w:val="22"/>
          <w:b/>
        </w:rPr>
        <w:t>2.</w:t>
      </w:r>
      <w:r>
        <w:rPr>
          <w:sz w:val="22"/>
        </w:rPr>
        <w:t>服务要求一览表</w:t>
      </w:r>
    </w:p>
    <w:p>
      <w:pPr>
        <w:pStyle w:val="null3"/>
        <w:ind w:firstLine="440"/>
        <w:jc w:val="both"/>
      </w:pPr>
      <w:r>
        <w:rPr>
          <w:sz w:val="22"/>
        </w:rPr>
        <w:t>1</w:t>
      </w:r>
      <w:r>
        <w:rPr>
          <w:sz w:val="22"/>
        </w:rPr>
        <w:t>）</w:t>
      </w:r>
      <w:r>
        <w:rPr>
          <w:sz w:val="22"/>
        </w:rPr>
        <w:t>电话支持服务：维护期内</w:t>
      </w:r>
      <w:r>
        <w:rPr>
          <w:sz w:val="22"/>
        </w:rPr>
        <w:t>7×24小时电话支持。</w:t>
      </w:r>
    </w:p>
    <w:p>
      <w:pPr>
        <w:pStyle w:val="null3"/>
        <w:ind w:firstLine="440"/>
        <w:jc w:val="both"/>
      </w:pPr>
      <w:r>
        <w:rPr>
          <w:sz w:val="22"/>
        </w:rPr>
        <w:t>2</w:t>
      </w:r>
      <w:r>
        <w:rPr>
          <w:sz w:val="22"/>
        </w:rPr>
        <w:t>）</w:t>
      </w:r>
      <w:r>
        <w:rPr>
          <w:sz w:val="22"/>
        </w:rPr>
        <w:t>配件更换支持：维护期内免费更换损坏的配件</w:t>
      </w:r>
      <w:r>
        <w:rPr>
          <w:sz w:val="22"/>
        </w:rPr>
        <w:t>(自然灾害除外),该配件所有更换的备件实现的功能与设备或模块相同，各项性能规格不低于原有设备或模块，以保证甲方系统的正常运行。对于某次系统设备维修或更换，单件更换配件10000元以内的，由乙方承担；单件更换配件超出10000元的，报甲方审核确认后，费用由甲方承担，乙方进行采购、维修或更换。</w:t>
      </w:r>
    </w:p>
    <w:p>
      <w:pPr>
        <w:pStyle w:val="null3"/>
        <w:ind w:firstLine="440"/>
        <w:jc w:val="both"/>
      </w:pPr>
      <w:r>
        <w:rPr>
          <w:sz w:val="22"/>
        </w:rPr>
        <w:t>3</w:t>
      </w:r>
      <w:r>
        <w:rPr>
          <w:sz w:val="22"/>
        </w:rPr>
        <w:t>）</w:t>
      </w:r>
      <w:r>
        <w:rPr>
          <w:sz w:val="22"/>
        </w:rPr>
        <w:t>工程师驻点服务：本项目采用整体外包服务方式，项目运维周期为</w:t>
      </w:r>
      <w:r>
        <w:rPr>
          <w:sz w:val="22"/>
        </w:rPr>
        <w:t>12个月，派驻不少于7名工程师到法院进行驻点服务（食宿自理），坐班工作时间与法院工作时间一致，并提供7*24小时不间断服务。</w:t>
      </w:r>
    </w:p>
    <w:p>
      <w:pPr>
        <w:pStyle w:val="null3"/>
        <w:ind w:firstLine="440"/>
        <w:jc w:val="both"/>
      </w:pPr>
      <w:r>
        <w:rPr>
          <w:sz w:val="22"/>
        </w:rPr>
        <w:t>4</w:t>
      </w:r>
      <w:r>
        <w:rPr>
          <w:sz w:val="22"/>
        </w:rPr>
        <w:t>）</w:t>
      </w:r>
      <w:r>
        <w:rPr>
          <w:sz w:val="22"/>
        </w:rPr>
        <w:t>紧急响应次数：请求式工程师现场支持服务，不限次数紧急响应。</w:t>
      </w:r>
    </w:p>
    <w:p>
      <w:pPr>
        <w:pStyle w:val="null3"/>
        <w:ind w:firstLine="440"/>
        <w:jc w:val="both"/>
      </w:pPr>
      <w:r>
        <w:rPr>
          <w:sz w:val="22"/>
        </w:rPr>
        <w:t>5</w:t>
      </w:r>
      <w:r>
        <w:rPr>
          <w:sz w:val="22"/>
        </w:rPr>
        <w:t>）</w:t>
      </w:r>
      <w:r>
        <w:rPr>
          <w:sz w:val="22"/>
        </w:rPr>
        <w:t>现场培训次数：根据客户需求定制</w:t>
      </w:r>
      <w:r>
        <w:rPr>
          <w:sz w:val="22"/>
        </w:rPr>
        <w:t>(含在现场服务时间内)，每季度不超过次。</w:t>
      </w:r>
    </w:p>
    <w:p>
      <w:pPr>
        <w:pStyle w:val="null3"/>
        <w:ind w:firstLine="440"/>
        <w:jc w:val="both"/>
      </w:pPr>
      <w:r>
        <w:rPr>
          <w:sz w:val="22"/>
        </w:rPr>
        <w:t>6</w:t>
      </w:r>
      <w:r>
        <w:rPr>
          <w:sz w:val="22"/>
        </w:rPr>
        <w:t>）</w:t>
      </w:r>
      <w:r>
        <w:rPr>
          <w:sz w:val="22"/>
        </w:rPr>
        <w:t>健康检查周期：每月次。</w:t>
      </w:r>
    </w:p>
    <w:p>
      <w:pPr>
        <w:pStyle w:val="null3"/>
        <w:ind w:firstLine="440"/>
        <w:jc w:val="both"/>
      </w:pPr>
      <w:r>
        <w:rPr>
          <w:sz w:val="22"/>
        </w:rPr>
        <w:t>7</w:t>
      </w:r>
      <w:r>
        <w:rPr>
          <w:sz w:val="22"/>
        </w:rPr>
        <w:t>）</w:t>
      </w:r>
      <w:r>
        <w:rPr>
          <w:sz w:val="22"/>
        </w:rPr>
        <w:t>稳定性评估建议报告：每季度次。</w:t>
      </w:r>
    </w:p>
    <w:p>
      <w:pPr>
        <w:pStyle w:val="null3"/>
        <w:ind w:firstLine="440"/>
        <w:jc w:val="both"/>
      </w:pPr>
      <w:r>
        <w:rPr>
          <w:sz w:val="22"/>
        </w:rPr>
        <w:t>8</w:t>
      </w:r>
      <w:r>
        <w:rPr>
          <w:sz w:val="22"/>
        </w:rPr>
        <w:t>）</w:t>
      </w:r>
      <w:r>
        <w:rPr>
          <w:sz w:val="22"/>
        </w:rPr>
        <w:t>安全性评估建议报告：每半年次。</w:t>
      </w:r>
    </w:p>
    <w:p>
      <w:pPr>
        <w:pStyle w:val="null3"/>
        <w:ind w:firstLine="440"/>
        <w:jc w:val="both"/>
      </w:pPr>
      <w:r>
        <w:rPr>
          <w:sz w:val="22"/>
        </w:rPr>
        <w:t>9</w:t>
      </w:r>
      <w:r>
        <w:rPr>
          <w:sz w:val="22"/>
        </w:rPr>
        <w:t>）</w:t>
      </w:r>
      <w:r>
        <w:rPr>
          <w:sz w:val="22"/>
        </w:rPr>
        <w:t>备份与恢复方案：制订、协助信息系统备份与恢复方案。每个月一次对服务器、系统、数据库等进行备份且确保备份内容可用。</w:t>
      </w:r>
    </w:p>
    <w:p>
      <w:pPr>
        <w:pStyle w:val="null3"/>
        <w:ind w:firstLine="440"/>
        <w:jc w:val="both"/>
      </w:pPr>
      <w:r>
        <w:rPr>
          <w:sz w:val="22"/>
        </w:rPr>
        <w:t>10</w:t>
      </w:r>
      <w:r>
        <w:rPr>
          <w:sz w:val="22"/>
        </w:rPr>
        <w:t>）</w:t>
      </w:r>
      <w:r>
        <w:rPr>
          <w:sz w:val="22"/>
        </w:rPr>
        <w:t>文档及资料管理：对维护设备进行资产统计及硬件配置登记，设备用途、</w:t>
      </w:r>
      <w:r>
        <w:rPr>
          <w:sz w:val="22"/>
        </w:rPr>
        <w:t>IP、名称标签制作等。</w:t>
      </w:r>
    </w:p>
    <w:p>
      <w:pPr>
        <w:pStyle w:val="null3"/>
        <w:ind w:firstLine="440"/>
        <w:jc w:val="both"/>
      </w:pPr>
      <w:r>
        <w:rPr>
          <w:sz w:val="22"/>
        </w:rPr>
        <w:t>11</w:t>
      </w:r>
      <w:r>
        <w:rPr>
          <w:sz w:val="22"/>
        </w:rPr>
        <w:t>）</w:t>
      </w:r>
      <w:r>
        <w:rPr>
          <w:sz w:val="22"/>
        </w:rPr>
        <w:t>维护手册：提供定制的维护手册。</w:t>
      </w:r>
    </w:p>
    <w:p>
      <w:pPr>
        <w:pStyle w:val="null3"/>
        <w:ind w:firstLine="442"/>
        <w:jc w:val="both"/>
      </w:pPr>
      <w:r>
        <w:rPr>
          <w:sz w:val="22"/>
          <w:b/>
        </w:rPr>
        <w:t>五、服务内容说明</w:t>
      </w:r>
    </w:p>
    <w:p>
      <w:pPr>
        <w:pStyle w:val="null3"/>
        <w:ind w:firstLine="442"/>
        <w:jc w:val="both"/>
      </w:pPr>
      <w:r>
        <w:rPr>
          <w:sz w:val="22"/>
          <w:b/>
        </w:rPr>
        <w:t>1.</w:t>
      </w:r>
      <w:r>
        <w:rPr>
          <w:sz w:val="22"/>
          <w:b/>
        </w:rPr>
        <w:t>驻点维护服务</w:t>
      </w:r>
    </w:p>
    <w:p>
      <w:pPr>
        <w:pStyle w:val="null3"/>
        <w:ind w:firstLine="442"/>
        <w:jc w:val="both"/>
      </w:pPr>
      <w:r>
        <w:rPr>
          <w:sz w:val="22"/>
          <w:b/>
        </w:rPr>
        <w:t>1）人员配置与资质</w:t>
      </w:r>
    </w:p>
    <w:p>
      <w:pPr>
        <w:pStyle w:val="null3"/>
        <w:ind w:firstLine="440"/>
        <w:jc w:val="both"/>
      </w:pPr>
      <w:r>
        <w:rPr>
          <w:sz w:val="22"/>
        </w:rPr>
        <w:t>·</w:t>
      </w:r>
      <w:r>
        <w:rPr>
          <w:sz w:val="22"/>
        </w:rPr>
        <w:t>派驻不少于</w:t>
      </w:r>
      <w:r>
        <w:rPr>
          <w:sz w:val="22"/>
        </w:rPr>
        <w:t>7名工程师驻点服务（食宿自理），坐班时间与法院一致，同时提供7×24小时不间断服务。</w:t>
      </w:r>
    </w:p>
    <w:p>
      <w:pPr>
        <w:pStyle w:val="null3"/>
        <w:ind w:firstLine="440"/>
        <w:jc w:val="both"/>
      </w:pPr>
      <w:r>
        <w:rPr>
          <w:sz w:val="22"/>
        </w:rPr>
        <w:t>·人员分工及资质要求：至少2名持人社部/工信部颁发的中级及以上网络工程师证书，负责网络及网络安全维护；至少2名持中级及以上信息系统集成项目管理工程师证书，负责服务器、存储、会议系统等维护；至少1名持中级及以上信息安全工程师证书，负责网络安全运维；至少1名硬件维修员，负责办公终端维护。</w:t>
      </w:r>
    </w:p>
    <w:p>
      <w:pPr>
        <w:pStyle w:val="null3"/>
        <w:ind w:firstLine="440"/>
        <w:jc w:val="both"/>
      </w:pPr>
      <w:r>
        <w:rPr>
          <w:sz w:val="22"/>
        </w:rPr>
        <w:t>·驻点人员需通过法院审核并登记备案，提交《工作人员登记表》、身份证复印件及无</w:t>
      </w:r>
      <w:r>
        <w:rPr>
          <w:sz w:val="22"/>
        </w:rPr>
        <w:t>(</w:t>
      </w:r>
      <w:r>
        <w:rPr>
          <w:sz w:val="22"/>
        </w:rPr>
        <w:t>wú</w:t>
      </w:r>
      <w:r>
        <w:rPr>
          <w:sz w:val="22"/>
        </w:rPr>
        <w:t>)</w:t>
      </w:r>
      <w:r>
        <w:rPr>
          <w:sz w:val="22"/>
        </w:rPr>
        <w:t>犯罪记录证明书（每人一式一份）。</w:t>
      </w:r>
    </w:p>
    <w:p>
      <w:pPr>
        <w:pStyle w:val="null3"/>
        <w:ind w:firstLine="442"/>
        <w:jc w:val="both"/>
      </w:pPr>
      <w:r>
        <w:rPr>
          <w:sz w:val="22"/>
          <w:b/>
        </w:rPr>
        <w:t>2）人员管理要求</w:t>
      </w:r>
    </w:p>
    <w:p>
      <w:pPr>
        <w:pStyle w:val="null3"/>
        <w:ind w:firstLine="440"/>
        <w:jc w:val="both"/>
      </w:pPr>
      <w:r>
        <w:rPr>
          <w:sz w:val="22"/>
        </w:rPr>
        <w:t>·服务期内保证人员满员在岗，不得无故减员或调整名单；确需调整的，提前30天通知甲方，新人员需经甲方技能考核通过后方可上岗。</w:t>
      </w:r>
    </w:p>
    <w:p>
      <w:pPr>
        <w:pStyle w:val="null3"/>
        <w:ind w:firstLine="440"/>
        <w:jc w:val="both"/>
      </w:pPr>
      <w:r>
        <w:rPr>
          <w:sz w:val="22"/>
        </w:rPr>
        <w:t>·驻点人员需服从甲方管理，遵守考勤、防疫、外出报备等制度，违反制度经批评教育仍重犯的，甲方可要求更换人员。</w:t>
      </w:r>
    </w:p>
    <w:p>
      <w:pPr>
        <w:pStyle w:val="null3"/>
        <w:ind w:firstLine="440"/>
        <w:jc w:val="both"/>
      </w:pPr>
      <w:r>
        <w:rPr>
          <w:sz w:val="22"/>
        </w:rPr>
        <w:t>·甲方及下属单位统一加班时，至少2名驻点工程师陪同加班。</w:t>
      </w:r>
    </w:p>
    <w:p>
      <w:pPr>
        <w:pStyle w:val="null3"/>
        <w:ind w:firstLine="442"/>
        <w:jc w:val="both"/>
      </w:pPr>
      <w:r>
        <w:rPr>
          <w:sz w:val="22"/>
          <w:b/>
        </w:rPr>
        <w:t>2.电话支持服务</w:t>
      </w:r>
    </w:p>
    <w:p>
      <w:pPr>
        <w:pStyle w:val="null3"/>
        <w:ind w:firstLine="440"/>
        <w:jc w:val="both"/>
      </w:pPr>
      <w:r>
        <w:rPr>
          <w:sz w:val="22"/>
        </w:rPr>
        <w:t>·甲方通过电话、传真、网络提出服务请求，乙方提供7×24小时在线及电话支持，响应时间不超过15分钟。</w:t>
      </w:r>
    </w:p>
    <w:p>
      <w:pPr>
        <w:pStyle w:val="null3"/>
        <w:ind w:firstLine="440"/>
        <w:jc w:val="both"/>
      </w:pPr>
      <w:r>
        <w:rPr>
          <w:sz w:val="22"/>
        </w:rPr>
        <w:t>·对设备故障提供不限次电话支持，通过远程指导协助甲方解决问题，无法远程解决的及时启动现场支持流程。</w:t>
      </w:r>
    </w:p>
    <w:p>
      <w:pPr>
        <w:pStyle w:val="null3"/>
        <w:ind w:firstLine="442"/>
        <w:jc w:val="both"/>
      </w:pPr>
      <w:r>
        <w:rPr>
          <w:sz w:val="22"/>
          <w:b/>
        </w:rPr>
        <w:t>3.请求式工程师现场支持服务</w:t>
      </w:r>
    </w:p>
    <w:p>
      <w:pPr>
        <w:pStyle w:val="null3"/>
        <w:ind w:firstLine="440"/>
        <w:jc w:val="both"/>
      </w:pPr>
      <w:r>
        <w:rPr>
          <w:sz w:val="22"/>
        </w:rPr>
        <w:t>·提供7×24小时现场支持（含公众节假日），电话/远程支持无法解决的问题，工程师15分钟内响应、30分钟内抵达现场。</w:t>
      </w:r>
    </w:p>
    <w:p>
      <w:pPr>
        <w:pStyle w:val="null3"/>
        <w:ind w:firstLine="440"/>
        <w:jc w:val="both"/>
      </w:pPr>
      <w:r>
        <w:rPr>
          <w:sz w:val="22"/>
        </w:rPr>
        <w:t>·现场故障处理前，工程师需查阅客户档案，了解系统运行及历史故障处理情况；制定的故障解决技术方案需经甲方批准后方可实施，重大操作（如系统重装）需经甲方维护主管同意。</w:t>
      </w:r>
    </w:p>
    <w:p>
      <w:pPr>
        <w:pStyle w:val="null3"/>
        <w:ind w:firstLine="440"/>
        <w:jc w:val="both"/>
      </w:pPr>
      <w:r>
        <w:rPr>
          <w:sz w:val="22"/>
        </w:rPr>
        <w:t>·处理故障时需尽量不影响业务正常运行，且有甲方维护人员在场协同。</w:t>
      </w:r>
    </w:p>
    <w:p>
      <w:pPr>
        <w:pStyle w:val="null3"/>
        <w:ind w:firstLine="442"/>
        <w:jc w:val="both"/>
      </w:pPr>
      <w:r>
        <w:rPr>
          <w:sz w:val="22"/>
          <w:b/>
        </w:rPr>
        <w:t>4.系统维护巡检服务</w:t>
      </w:r>
    </w:p>
    <w:p>
      <w:pPr>
        <w:pStyle w:val="null3"/>
        <w:ind w:firstLine="442"/>
        <w:jc w:val="both"/>
      </w:pPr>
      <w:r>
        <w:rPr>
          <w:sz w:val="22"/>
          <w:b/>
        </w:rPr>
        <w:t>1）巡检范围与频率</w:t>
      </w:r>
    </w:p>
    <w:p>
      <w:pPr>
        <w:pStyle w:val="null3"/>
        <w:ind w:firstLine="440"/>
        <w:jc w:val="both"/>
      </w:pPr>
      <w:r>
        <w:rPr>
          <w:sz w:val="22"/>
        </w:rPr>
        <w:t>·巡检覆盖所有维护点，包括法院本部及各法庭、院外刑事审判场所的全部设备与系统。</w:t>
      </w:r>
    </w:p>
    <w:p>
      <w:pPr>
        <w:pStyle w:val="null3"/>
        <w:ind w:firstLine="440"/>
        <w:jc w:val="both"/>
      </w:pPr>
      <w:r>
        <w:rPr>
          <w:sz w:val="22"/>
        </w:rPr>
        <w:t>·每月至少开展1次全面巡检，每季度开展1次系统稳定性评估，每半年开展1次安全性评估。</w:t>
      </w:r>
    </w:p>
    <w:p>
      <w:pPr>
        <w:pStyle w:val="null3"/>
        <w:ind w:firstLine="442"/>
        <w:jc w:val="both"/>
      </w:pPr>
      <w:r>
        <w:rPr>
          <w:sz w:val="22"/>
          <w:b/>
        </w:rPr>
        <w:t>2）巡检报告要求</w:t>
      </w:r>
    </w:p>
    <w:p>
      <w:pPr>
        <w:pStyle w:val="null3"/>
        <w:ind w:firstLine="440"/>
        <w:jc w:val="both"/>
      </w:pPr>
      <w:r>
        <w:rPr>
          <w:sz w:val="22"/>
        </w:rPr>
        <w:t>·提交巡检报告、系统稳定性评估报告及安全性评估报告，内容需包含系统基本信息、性能评估、潜在问题成因、影响范围、解决方案及风险提示。</w:t>
      </w:r>
    </w:p>
    <w:p>
      <w:pPr>
        <w:pStyle w:val="null3"/>
        <w:ind w:firstLine="442"/>
        <w:jc w:val="both"/>
      </w:pPr>
      <w:r>
        <w:rPr>
          <w:sz w:val="22"/>
          <w:b/>
        </w:rPr>
        <w:t>5.备件更换维修服务</w:t>
      </w:r>
    </w:p>
    <w:p>
      <w:pPr>
        <w:pStyle w:val="null3"/>
        <w:ind w:firstLine="442"/>
        <w:jc w:val="both"/>
      </w:pPr>
      <w:r>
        <w:rPr>
          <w:sz w:val="22"/>
          <w:b/>
        </w:rPr>
        <w:t>1）备件责任与标准</w:t>
      </w:r>
    </w:p>
    <w:p>
      <w:pPr>
        <w:pStyle w:val="null3"/>
        <w:ind w:firstLine="440"/>
        <w:jc w:val="both"/>
      </w:pPr>
      <w:r>
        <w:rPr>
          <w:sz w:val="22"/>
        </w:rPr>
        <w:t>·维护期内，单件更换配件10000元以内的费用由乙方承担（自然灾害除外）；超出10000元的，报甲方审核确认后，费用由甲方承担，乙方负责采购、维修或更换。</w:t>
      </w:r>
    </w:p>
    <w:p>
      <w:pPr>
        <w:pStyle w:val="null3"/>
        <w:ind w:firstLine="440"/>
        <w:jc w:val="both"/>
      </w:pPr>
      <w:r>
        <w:rPr>
          <w:sz w:val="22"/>
        </w:rPr>
        <w:t>·更换备件的功能、性能规格不低于原有设备或模块，确保系统正常运行。</w:t>
      </w:r>
    </w:p>
    <w:p>
      <w:pPr>
        <w:pStyle w:val="null3"/>
        <w:ind w:firstLine="442"/>
        <w:jc w:val="both"/>
      </w:pPr>
      <w:r>
        <w:rPr>
          <w:sz w:val="22"/>
          <w:b/>
        </w:rPr>
        <w:t>2）备品备件储备</w:t>
      </w:r>
    </w:p>
    <w:p>
      <w:pPr>
        <w:pStyle w:val="null3"/>
        <w:ind w:firstLine="440"/>
        <w:jc w:val="both"/>
      </w:pPr>
      <w:r>
        <w:rPr>
          <w:sz w:val="22"/>
        </w:rPr>
        <w:t>·乙方需在甲方机房配备必要备品备件，每种类型不少于2件，包括光纤模块、服务器电源、硬盘、监控摄像机、摄像机电源、网络交换机等常用配件。</w:t>
      </w:r>
    </w:p>
    <w:p>
      <w:pPr>
        <w:pStyle w:val="null3"/>
        <w:ind w:firstLine="440"/>
        <w:jc w:val="both"/>
      </w:pPr>
      <w:r>
        <w:rPr>
          <w:sz w:val="22"/>
        </w:rPr>
        <w:t>·关键设备组件提供48小时内备件更换服务，保障故障快速恢复。</w:t>
      </w:r>
    </w:p>
    <w:p>
      <w:pPr>
        <w:pStyle w:val="null3"/>
        <w:ind w:firstLine="442"/>
        <w:jc w:val="both"/>
      </w:pPr>
      <w:r>
        <w:rPr>
          <w:sz w:val="22"/>
          <w:b/>
        </w:rPr>
        <w:t>6.系统性能调优服务</w:t>
      </w:r>
    </w:p>
    <w:p>
      <w:pPr>
        <w:pStyle w:val="null3"/>
        <w:ind w:firstLine="440"/>
        <w:jc w:val="both"/>
      </w:pPr>
      <w:r>
        <w:rPr>
          <w:sz w:val="22"/>
        </w:rPr>
        <w:t>·定期收集系统及设备信息，分析性能下降原因，结合业务特点制定调优方案。</w:t>
      </w:r>
    </w:p>
    <w:p>
      <w:pPr>
        <w:pStyle w:val="null3"/>
        <w:ind w:firstLine="440"/>
        <w:jc w:val="both"/>
      </w:pPr>
      <w:r>
        <w:rPr>
          <w:sz w:val="22"/>
        </w:rPr>
        <w:t>·调优前做好系统备份，协助测试应用软件，验证调优效果，确保调优后系统性能显著提升，不影响原有业务运行。</w:t>
      </w:r>
    </w:p>
    <w:p>
      <w:pPr>
        <w:pStyle w:val="null3"/>
        <w:ind w:firstLine="442"/>
        <w:jc w:val="both"/>
      </w:pPr>
      <w:r>
        <w:rPr>
          <w:sz w:val="22"/>
          <w:b/>
        </w:rPr>
        <w:t>7.机房系统维护要求</w:t>
      </w:r>
    </w:p>
    <w:p>
      <w:pPr>
        <w:pStyle w:val="null3"/>
        <w:ind w:firstLine="442"/>
        <w:jc w:val="both"/>
      </w:pPr>
      <w:r>
        <w:rPr>
          <w:sz w:val="22"/>
          <w:b/>
        </w:rPr>
        <w:t>1）基础环境维护</w:t>
      </w:r>
    </w:p>
    <w:p>
      <w:pPr>
        <w:pStyle w:val="null3"/>
        <w:ind w:firstLine="440"/>
        <w:jc w:val="both"/>
      </w:pPr>
      <w:r>
        <w:rPr>
          <w:sz w:val="22"/>
        </w:rPr>
        <w:t>·每年对机房环境开展不少于12次全面维保检查，包括卫生、温度、湿度、通风、照明、门锁紧闭等情况。</w:t>
      </w:r>
    </w:p>
    <w:p>
      <w:pPr>
        <w:pStyle w:val="null3"/>
        <w:ind w:firstLine="440"/>
        <w:jc w:val="both"/>
      </w:pPr>
      <w:r>
        <w:rPr>
          <w:sz w:val="22"/>
        </w:rPr>
        <w:t>·每半年对机房进行1次专业全面清洁；定期检查机房上墙制度、值班交接班制度、进出管理制度等是否健全，及时补充完善应急预案及紧急会商制度。</w:t>
      </w:r>
    </w:p>
    <w:p>
      <w:pPr>
        <w:pStyle w:val="null3"/>
        <w:ind w:firstLine="442"/>
        <w:jc w:val="both"/>
      </w:pPr>
      <w:r>
        <w:rPr>
          <w:sz w:val="22"/>
          <w:b/>
        </w:rPr>
        <w:t>2）专项设备维护</w:t>
      </w:r>
    </w:p>
    <w:p>
      <w:pPr>
        <w:pStyle w:val="null3"/>
        <w:ind w:firstLine="440"/>
        <w:jc w:val="both"/>
      </w:pPr>
      <w:r>
        <w:rPr>
          <w:sz w:val="22"/>
        </w:rPr>
        <w:t>·配电系统、UPS系统、精密空调、网络系统、服务器存储等设备，每年开展不少于12次全面维保检查；UPS设备需定期进行性能检测及放电测试，提交测试报告。</w:t>
      </w:r>
    </w:p>
    <w:p>
      <w:pPr>
        <w:pStyle w:val="null3"/>
        <w:ind w:firstLine="440"/>
        <w:jc w:val="both"/>
      </w:pPr>
      <w:r>
        <w:rPr>
          <w:sz w:val="22"/>
        </w:rPr>
        <w:t>·机房消防系统定期检查，探测器、报警控制器、灭火剂等故障时及时维修更换；空调系统每年春季和秋季全面检测，定期更换过滤网和加湿器、补充雪种。</w:t>
      </w:r>
    </w:p>
    <w:p>
      <w:pPr>
        <w:pStyle w:val="null3"/>
        <w:ind w:firstLine="442"/>
        <w:jc w:val="both"/>
      </w:pPr>
      <w:r>
        <w:rPr>
          <w:sz w:val="22"/>
          <w:b/>
        </w:rPr>
        <w:t>3）数据库维护</w:t>
      </w:r>
    </w:p>
    <w:p>
      <w:pPr>
        <w:pStyle w:val="null3"/>
        <w:ind w:firstLine="440"/>
        <w:jc w:val="both"/>
      </w:pPr>
      <w:r>
        <w:rPr>
          <w:sz w:val="22"/>
        </w:rPr>
        <w:t>·提供数据库性能调优、诊断及补丁包服务，定期开展健康检查，提交数据库稳定性评估报告。</w:t>
      </w:r>
    </w:p>
    <w:p>
      <w:pPr>
        <w:pStyle w:val="null3"/>
        <w:ind w:firstLine="440"/>
        <w:jc w:val="both"/>
      </w:pPr>
      <w:r>
        <w:rPr>
          <w:sz w:val="22"/>
        </w:rPr>
        <w:t>·制定数据库应急方案，提供数据搬迁服务（含跨硬件平台、跨厂商数据库迁移）；定制数据库维护手册，开展针对性培训。</w:t>
      </w:r>
    </w:p>
    <w:p>
      <w:pPr>
        <w:pStyle w:val="null3"/>
        <w:ind w:firstLine="440"/>
        <w:jc w:val="both"/>
      </w:pPr>
      <w:r>
        <w:rPr>
          <w:sz w:val="22"/>
        </w:rPr>
        <w:t>·每半年提交1次Oracle数据库稳定及安全性评估建议报告，排查安全隐患，提出改进方案。</w:t>
      </w:r>
    </w:p>
    <w:p>
      <w:pPr>
        <w:pStyle w:val="null3"/>
        <w:ind w:firstLine="442"/>
        <w:jc w:val="both"/>
      </w:pPr>
      <w:r>
        <w:rPr>
          <w:sz w:val="22"/>
          <w:b/>
        </w:rPr>
        <w:t>4）视频会议系统维护</w:t>
      </w:r>
    </w:p>
    <w:p>
      <w:pPr>
        <w:pStyle w:val="null3"/>
        <w:ind w:firstLine="440"/>
        <w:jc w:val="both"/>
      </w:pPr>
      <w:r>
        <w:rPr>
          <w:sz w:val="22"/>
        </w:rPr>
        <w:t>·整理各法庭视频会议系统组网方式、设备档案及线路连接信息，绘制拓扑图及连接示意图，清晰标注线路编号。</w:t>
      </w:r>
    </w:p>
    <w:p>
      <w:pPr>
        <w:pStyle w:val="null3"/>
        <w:ind w:firstLine="440"/>
        <w:jc w:val="both"/>
      </w:pPr>
      <w:r>
        <w:rPr>
          <w:sz w:val="22"/>
        </w:rPr>
        <w:t>·每年开展不少于4次全面维保检查，查看会议主机、摄像机、功放等设备状态，排查线路干扰源，进行物理链路测试；每15天测试1次视频会议功能，每月开展1次设备清洁保养。</w:t>
      </w:r>
    </w:p>
    <w:p>
      <w:pPr>
        <w:pStyle w:val="null3"/>
        <w:ind w:firstLine="442"/>
        <w:jc w:val="both"/>
      </w:pPr>
      <w:r>
        <w:rPr>
          <w:sz w:val="22"/>
          <w:b/>
        </w:rPr>
        <w:t>5）综合系统维护</w:t>
      </w:r>
    </w:p>
    <w:p>
      <w:pPr>
        <w:pStyle w:val="null3"/>
        <w:ind w:firstLine="440"/>
        <w:jc w:val="both"/>
      </w:pPr>
      <w:r>
        <w:rPr>
          <w:sz w:val="22"/>
        </w:rPr>
        <w:t>·整理各系统组网及设备信息，建档备案，清晰标注线路标识，绘制连接示意图和拓扑图。</w:t>
      </w:r>
    </w:p>
    <w:p>
      <w:pPr>
        <w:pStyle w:val="null3"/>
        <w:ind w:firstLine="440"/>
        <w:jc w:val="both"/>
      </w:pPr>
      <w:r>
        <w:rPr>
          <w:sz w:val="22"/>
        </w:rPr>
        <w:t>·定期审查设备、排查安全隐患，按甲方要求进行软件漏洞修补，提供完整检查报告；处理设备应用层面网络故障，开展日常维护。</w:t>
      </w:r>
    </w:p>
    <w:p>
      <w:pPr>
        <w:pStyle w:val="null3"/>
        <w:ind w:firstLine="442"/>
        <w:jc w:val="both"/>
      </w:pPr>
      <w:r>
        <w:rPr>
          <w:sz w:val="22"/>
          <w:b/>
        </w:rPr>
        <w:t>8.专项系统维护要求</w:t>
      </w:r>
    </w:p>
    <w:p>
      <w:pPr>
        <w:pStyle w:val="null3"/>
        <w:ind w:firstLine="442"/>
        <w:jc w:val="both"/>
      </w:pPr>
      <w:r>
        <w:rPr>
          <w:sz w:val="22"/>
          <w:b/>
        </w:rPr>
        <w:t>1）视频监控维护</w:t>
      </w:r>
    </w:p>
    <w:p>
      <w:pPr>
        <w:pStyle w:val="null3"/>
        <w:ind w:firstLine="440"/>
        <w:jc w:val="both"/>
      </w:pPr>
      <w:r>
        <w:rPr>
          <w:sz w:val="22"/>
        </w:rPr>
        <w:t>·维护前端摄像机、录像机、存储设备、解码器等，每周开展1次常规维护，每季度开展1次巡检。</w:t>
      </w:r>
    </w:p>
    <w:p>
      <w:pPr>
        <w:pStyle w:val="null3"/>
        <w:ind w:firstLine="440"/>
        <w:jc w:val="both"/>
      </w:pPr>
      <w:r>
        <w:rPr>
          <w:sz w:val="22"/>
        </w:rPr>
        <w:t>·检查摄像机信号、镜头卫生、存储容量等，及时处理设备故障，确保监控音视频正常存储及回放。</w:t>
      </w:r>
    </w:p>
    <w:p>
      <w:pPr>
        <w:pStyle w:val="null3"/>
        <w:ind w:firstLine="442"/>
        <w:jc w:val="both"/>
      </w:pPr>
      <w:r>
        <w:rPr>
          <w:sz w:val="22"/>
          <w:b/>
        </w:rPr>
        <w:t>2）广播系统维护</w:t>
      </w:r>
    </w:p>
    <w:p>
      <w:pPr>
        <w:pStyle w:val="null3"/>
        <w:ind w:firstLine="440"/>
        <w:jc w:val="both"/>
      </w:pPr>
      <w:r>
        <w:rPr>
          <w:sz w:val="22"/>
        </w:rPr>
        <w:t>·定期检查广播系统功能，包括扬声器回路、背景音乐、业务呼叫、消防联动等，检测设备运行状态及线路连接情况。</w:t>
      </w:r>
    </w:p>
    <w:p>
      <w:pPr>
        <w:pStyle w:val="null3"/>
        <w:ind w:firstLine="440"/>
        <w:jc w:val="both"/>
      </w:pPr>
      <w:r>
        <w:rPr>
          <w:sz w:val="22"/>
        </w:rPr>
        <w:t>·通过软件记录或检测工具排查故障，对保险丝等可更换器件定期检查，确保系统正常运行。</w:t>
      </w:r>
    </w:p>
    <w:p>
      <w:pPr>
        <w:pStyle w:val="null3"/>
        <w:ind w:firstLine="442"/>
        <w:jc w:val="both"/>
      </w:pPr>
      <w:r>
        <w:rPr>
          <w:sz w:val="22"/>
          <w:b/>
        </w:rPr>
        <w:t>3）停车场系统维护</w:t>
      </w:r>
    </w:p>
    <w:p>
      <w:pPr>
        <w:pStyle w:val="null3"/>
        <w:ind w:firstLine="440"/>
        <w:jc w:val="both"/>
      </w:pPr>
      <w:r>
        <w:rPr>
          <w:sz w:val="22"/>
        </w:rPr>
        <w:t>·维护前端道闸、控制器、车辆检测器、出入口摄像机等设备，每周开展1次常规维护，每季度开展1次巡检。</w:t>
      </w:r>
    </w:p>
    <w:p>
      <w:pPr>
        <w:pStyle w:val="null3"/>
        <w:ind w:firstLine="440"/>
        <w:jc w:val="both"/>
      </w:pPr>
      <w:r>
        <w:rPr>
          <w:sz w:val="22"/>
        </w:rPr>
        <w:t>·检查设备运行状态、通讯连接情况，及时处理故障，保障车辆进出顺畅。</w:t>
      </w:r>
    </w:p>
    <w:p>
      <w:pPr>
        <w:pStyle w:val="null3"/>
        <w:ind w:firstLine="442"/>
        <w:jc w:val="both"/>
      </w:pPr>
      <w:r>
        <w:rPr>
          <w:sz w:val="22"/>
          <w:b/>
        </w:rPr>
        <w:t>4）数字法庭维护</w:t>
      </w:r>
    </w:p>
    <w:p>
      <w:pPr>
        <w:pStyle w:val="null3"/>
        <w:ind w:firstLine="440"/>
        <w:jc w:val="both"/>
      </w:pPr>
      <w:r>
        <w:rPr>
          <w:sz w:val="22"/>
        </w:rPr>
        <w:t>·覆盖70个数字法庭设备，开庭前提前调试摄像头、话筒、显示设备等，保障庭审正常运行；每日做好庭审直播保障工作。</w:t>
      </w:r>
    </w:p>
    <w:p>
      <w:pPr>
        <w:pStyle w:val="null3"/>
        <w:ind w:firstLine="440"/>
        <w:jc w:val="both"/>
      </w:pPr>
      <w:r>
        <w:rPr>
          <w:sz w:val="22"/>
        </w:rPr>
        <w:t>·定期进行系统升级优化，处理视频、音频、码流等相关故障；按甲方要求开展庭审语音识别保障及档案存档刻录工作。</w:t>
      </w:r>
    </w:p>
    <w:p>
      <w:pPr>
        <w:pStyle w:val="null3"/>
        <w:ind w:firstLine="442"/>
        <w:jc w:val="both"/>
      </w:pPr>
      <w:r>
        <w:rPr>
          <w:sz w:val="22"/>
          <w:b/>
        </w:rPr>
        <w:t>9.网络安全服务</w:t>
      </w:r>
    </w:p>
    <w:p>
      <w:pPr>
        <w:pStyle w:val="null3"/>
        <w:ind w:firstLine="442"/>
        <w:jc w:val="both"/>
      </w:pPr>
      <w:r>
        <w:rPr>
          <w:sz w:val="22"/>
          <w:b/>
        </w:rPr>
        <w:t>1）安全加固服务</w:t>
      </w:r>
    </w:p>
    <w:p>
      <w:pPr>
        <w:pStyle w:val="null3"/>
        <w:ind w:firstLine="440"/>
        <w:jc w:val="both"/>
      </w:pPr>
      <w:r>
        <w:rPr>
          <w:sz w:val="22"/>
        </w:rPr>
        <w:t>·按二级等保要求，对服务器、网络设备、安全设备等提出整改建议，每年开展2次系统及设备加固，提交《基线加固报告》。</w:t>
      </w:r>
    </w:p>
    <w:p>
      <w:pPr>
        <w:pStyle w:val="null3"/>
        <w:ind w:firstLine="442"/>
        <w:jc w:val="both"/>
      </w:pPr>
      <w:r>
        <w:rPr>
          <w:sz w:val="22"/>
          <w:b/>
        </w:rPr>
        <w:t>2）安全巡检与检测服务</w:t>
      </w:r>
    </w:p>
    <w:p>
      <w:pPr>
        <w:pStyle w:val="null3"/>
        <w:ind w:firstLine="440"/>
        <w:jc w:val="both"/>
      </w:pPr>
      <w:r>
        <w:rPr>
          <w:sz w:val="22"/>
        </w:rPr>
        <w:t>·每年开展4次安全巡检，对操作系统、数据库、网络设备等进行脆弱性识别；每年开展4次漏洞扫描及弱口令检查，提交相应报告并协助整改。</w:t>
      </w:r>
    </w:p>
    <w:p>
      <w:pPr>
        <w:pStyle w:val="null3"/>
        <w:ind w:firstLine="440"/>
        <w:jc w:val="both"/>
      </w:pPr>
      <w:r>
        <w:rPr>
          <w:sz w:val="22"/>
        </w:rPr>
        <w:t>·每年开展1次渗透测试（覆盖等保二级以上系统及对外业务系统），提交《渗透测试报告》及《漏洞修复方案》。</w:t>
      </w:r>
    </w:p>
    <w:p>
      <w:pPr>
        <w:pStyle w:val="null3"/>
        <w:ind w:firstLine="442"/>
        <w:jc w:val="both"/>
      </w:pPr>
      <w:r>
        <w:rPr>
          <w:sz w:val="22"/>
          <w:b/>
        </w:rPr>
        <w:t>3）应急响应与重保服务</w:t>
      </w:r>
    </w:p>
    <w:p>
      <w:pPr>
        <w:pStyle w:val="null3"/>
        <w:ind w:firstLine="440"/>
        <w:jc w:val="both"/>
      </w:pPr>
      <w:r>
        <w:rPr>
          <w:sz w:val="22"/>
        </w:rPr>
        <w:t>·提供7×24小时安全应急响应，协助处置上级单位下发的安全漏洞预警及安全事件，提交处置报告。</w:t>
      </w:r>
    </w:p>
    <w:p>
      <w:pPr>
        <w:pStyle w:val="null3"/>
        <w:ind w:firstLine="440"/>
        <w:jc w:val="both"/>
      </w:pPr>
      <w:r>
        <w:rPr>
          <w:sz w:val="22"/>
        </w:rPr>
        <w:t>·重要节日、重大活动等时期，提供不少于20人天的驻场值守，开展隐患排查、安全防护等工作，提交值守日报及防守总结报告。</w:t>
      </w:r>
    </w:p>
    <w:p>
      <w:pPr>
        <w:pStyle w:val="null3"/>
        <w:ind w:firstLine="442"/>
        <w:jc w:val="both"/>
      </w:pPr>
      <w:r>
        <w:rPr>
          <w:sz w:val="22"/>
          <w:b/>
        </w:rPr>
        <w:t>4）安全培训与应急演练</w:t>
      </w:r>
    </w:p>
    <w:p>
      <w:pPr>
        <w:pStyle w:val="null3"/>
        <w:ind w:firstLine="440"/>
        <w:jc w:val="both"/>
      </w:pPr>
      <w:r>
        <w:rPr>
          <w:sz w:val="22"/>
        </w:rPr>
        <w:t>·每年开展1次安全培训，包括不少于4个课时的法律法规培训（《网络安全法》《密码法》等）及网络安全技术培训，提供《培训教程PPT》。</w:t>
      </w:r>
    </w:p>
    <w:p>
      <w:pPr>
        <w:pStyle w:val="null3"/>
        <w:ind w:firstLine="440"/>
        <w:jc w:val="both"/>
      </w:pPr>
      <w:r>
        <w:rPr>
          <w:sz w:val="22"/>
        </w:rPr>
        <w:t>·每年制定1套网络安全应急预案，开展1次应急演练，提交《应急演练方案》及《应急演练总结报告》。</w:t>
      </w:r>
    </w:p>
    <w:p>
      <w:pPr>
        <w:pStyle w:val="null3"/>
        <w:ind w:firstLine="442"/>
        <w:jc w:val="both"/>
      </w:pPr>
      <w:r>
        <w:rPr>
          <w:sz w:val="22"/>
          <w:b/>
        </w:rPr>
        <w:t>10.文档及资料管理</w:t>
      </w:r>
    </w:p>
    <w:p>
      <w:pPr>
        <w:pStyle w:val="null3"/>
        <w:ind w:firstLine="440"/>
        <w:jc w:val="both"/>
      </w:pPr>
      <w:r>
        <w:rPr>
          <w:sz w:val="22"/>
        </w:rPr>
        <w:t>·对维护设备进行资产统计、硬件配置登记，制作设备用途、IP、名称等标签。</w:t>
      </w:r>
    </w:p>
    <w:p>
      <w:pPr>
        <w:pStyle w:val="null3"/>
        <w:ind w:firstLine="440"/>
        <w:jc w:val="both"/>
      </w:pPr>
      <w:r>
        <w:rPr>
          <w:sz w:val="22"/>
        </w:rPr>
        <w:t>·系统参数配置变更、性能升级后，及时更新相关文档；定期向甲方提供维护管理文档，包括资产清单、运维月报、巡检报告等。</w:t>
      </w:r>
    </w:p>
    <w:p>
      <w:pPr>
        <w:pStyle w:val="null3"/>
        <w:ind w:firstLine="442"/>
        <w:jc w:val="both"/>
      </w:pPr>
      <w:r>
        <w:rPr>
          <w:sz w:val="22"/>
          <w:b/>
        </w:rPr>
        <w:t>11.培训要求</w:t>
      </w:r>
    </w:p>
    <w:p>
      <w:pPr>
        <w:pStyle w:val="null3"/>
        <w:ind w:firstLine="440"/>
        <w:jc w:val="both"/>
      </w:pPr>
      <w:r>
        <w:rPr>
          <w:sz w:val="22"/>
        </w:rPr>
        <w:t>·提供网络安全、服务器管理、ITSM（IT服务管理）、各系统操作等方面的培训，参照投标时的培训方案执行。</w:t>
      </w:r>
    </w:p>
    <w:p>
      <w:pPr>
        <w:pStyle w:val="null3"/>
        <w:ind w:firstLine="440"/>
        <w:jc w:val="both"/>
      </w:pPr>
      <w:r>
        <w:rPr>
          <w:sz w:val="22"/>
        </w:rPr>
        <w:t>·培训方式包括现场培训、实操指导等，每季度培训次数不超过合同约定上限（结合甲方需求定制），提升甲方技术人员运维管理水平。</w:t>
      </w:r>
    </w:p>
    <w:p>
      <w:pPr>
        <w:pStyle w:val="null3"/>
        <w:ind w:firstLine="442"/>
        <w:jc w:val="both"/>
      </w:pPr>
      <w:r>
        <w:rPr>
          <w:sz w:val="22"/>
          <w:b/>
        </w:rPr>
        <w:t>12.其他信息化工作要求</w:t>
      </w:r>
    </w:p>
    <w:p>
      <w:pPr>
        <w:pStyle w:val="null3"/>
        <w:ind w:firstLine="440"/>
        <w:jc w:val="both"/>
      </w:pPr>
      <w:r>
        <w:rPr>
          <w:sz w:val="22"/>
        </w:rPr>
        <w:t>·配合甲方新增信息化设备及系统的维护工作，协助完成会议、重要节假日、敏感时期的信息化保障任务。</w:t>
      </w:r>
    </w:p>
    <w:p>
      <w:pPr>
        <w:pStyle w:val="null3"/>
        <w:ind w:firstLine="440"/>
        <w:jc w:val="both"/>
      </w:pPr>
      <w:r>
        <w:rPr>
          <w:sz w:val="22"/>
        </w:rPr>
        <w:t>·按甲方要求铺设调试单个网络点或电话点线路、定做设备支架/吊架，开展闭路监控视频图像后期刻录及归档等工作。</w:t>
      </w:r>
    </w:p>
    <w:p>
      <w:pPr>
        <w:pStyle w:val="null3"/>
        <w:ind w:firstLine="440"/>
        <w:jc w:val="both"/>
      </w:pPr>
      <w:r>
        <w:rPr>
          <w:sz w:val="22"/>
        </w:rPr>
        <w:t>·配合其他公司开展业务，协助甲方完成临时指派的任务，提供技术指导及现场协调。</w:t>
      </w:r>
    </w:p>
    <w:p>
      <w:pPr>
        <w:pStyle w:val="null3"/>
        <w:ind w:firstLine="442"/>
        <w:jc w:val="both"/>
      </w:pPr>
      <w:r>
        <w:rPr>
          <w:sz w:val="22"/>
          <w:b/>
        </w:rPr>
        <w:t>13.保密要求</w:t>
      </w:r>
    </w:p>
    <w:p>
      <w:pPr>
        <w:pStyle w:val="null3"/>
        <w:ind w:firstLine="440"/>
        <w:jc w:val="both"/>
      </w:pPr>
      <w:r>
        <w:rPr>
          <w:sz w:val="22"/>
        </w:rPr>
        <w:t>·乙方及驻点人员严格遵守《保密协议》及法院规定，运维工作在指定场所进行，不得打探、泄露法院业务及办公信息，不得擅自删除、修改、复制法院信息。</w:t>
      </w:r>
    </w:p>
    <w:p>
      <w:pPr>
        <w:pStyle w:val="null3"/>
        <w:ind w:firstLine="440"/>
        <w:jc w:val="both"/>
      </w:pPr>
      <w:r>
        <w:rPr>
          <w:sz w:val="22"/>
        </w:rPr>
        <w:t>·参与项目的工作人员需接受甲方保密安全教育，签订书面保密承诺；人员离岗后，乙方需在1周内将离岗日期标注在甲方备案表格中。</w:t>
      </w:r>
    </w:p>
    <w:p>
      <w:pPr>
        <w:pStyle w:val="null3"/>
        <w:ind w:firstLine="440"/>
        <w:jc w:val="both"/>
      </w:pPr>
      <w:r>
        <w:rPr>
          <w:sz w:val="22"/>
        </w:rPr>
        <w:t>·违反保密规定的，按国家相关法律法规处理，情节严重的承担刑事责任。</w:t>
      </w:r>
    </w:p>
    <w:p>
      <w:pPr>
        <w:pStyle w:val="null3"/>
        <w:ind w:firstLine="442"/>
        <w:jc w:val="both"/>
      </w:pPr>
      <w:r>
        <w:rPr>
          <w:sz w:val="22"/>
          <w:b/>
        </w:rPr>
        <w:t>六、甲方乙方的权利和义务</w:t>
      </w:r>
    </w:p>
    <w:p>
      <w:pPr>
        <w:pStyle w:val="null3"/>
        <w:ind w:firstLine="442"/>
        <w:jc w:val="both"/>
      </w:pPr>
      <w:r>
        <w:rPr>
          <w:sz w:val="22"/>
          <w:b/>
        </w:rPr>
        <w:t>1.</w:t>
      </w:r>
      <w:r>
        <w:rPr>
          <w:sz w:val="22"/>
        </w:rPr>
        <w:t>甲方的权利和义务</w:t>
      </w:r>
    </w:p>
    <w:p>
      <w:pPr>
        <w:pStyle w:val="null3"/>
        <w:ind w:firstLine="440"/>
        <w:jc w:val="both"/>
      </w:pPr>
      <w:r>
        <w:rPr>
          <w:sz w:val="22"/>
        </w:rPr>
        <w:t>1)</w:t>
      </w:r>
      <w:r>
        <w:rPr>
          <w:sz w:val="22"/>
        </w:rPr>
        <w:t>甲方有权随时检查乙方的服务履行情况，并向乙方提出修改。</w:t>
      </w:r>
    </w:p>
    <w:p>
      <w:pPr>
        <w:pStyle w:val="null3"/>
        <w:ind w:firstLine="440"/>
        <w:jc w:val="both"/>
      </w:pPr>
      <w:r>
        <w:rPr>
          <w:sz w:val="22"/>
        </w:rPr>
        <w:t>2)</w:t>
      </w:r>
      <w:r>
        <w:rPr>
          <w:sz w:val="22"/>
        </w:rPr>
        <w:t>当发生服务违约时，则甲方有权按约定在支付乙方合同款项中进行扣款。</w:t>
      </w:r>
    </w:p>
    <w:p>
      <w:pPr>
        <w:pStyle w:val="null3"/>
        <w:ind w:firstLine="440"/>
        <w:jc w:val="both"/>
      </w:pPr>
      <w:r>
        <w:rPr>
          <w:sz w:val="22"/>
        </w:rPr>
        <w:t>3)</w:t>
      </w:r>
      <w:r>
        <w:rPr>
          <w:sz w:val="22"/>
        </w:rPr>
        <w:t>在乙方提供服务时，如对甲方的设备造成了损坏，甲方有权要求乙方赔偿。</w:t>
      </w:r>
    </w:p>
    <w:p>
      <w:pPr>
        <w:pStyle w:val="null3"/>
        <w:ind w:firstLine="440"/>
        <w:jc w:val="both"/>
      </w:pPr>
      <w:r>
        <w:rPr>
          <w:sz w:val="22"/>
        </w:rPr>
        <w:t>4)</w:t>
      </w:r>
      <w:r>
        <w:rPr>
          <w:sz w:val="22"/>
        </w:rPr>
        <w:t>当乙方派驻的人员不符合甲方要求时，甲方有权要求更换驻点人员。</w:t>
      </w:r>
    </w:p>
    <w:p>
      <w:pPr>
        <w:pStyle w:val="null3"/>
        <w:ind w:firstLine="440"/>
        <w:jc w:val="both"/>
      </w:pPr>
      <w:r>
        <w:rPr>
          <w:sz w:val="22"/>
        </w:rPr>
        <w:t>5)</w:t>
      </w:r>
      <w:r>
        <w:rPr>
          <w:sz w:val="22"/>
        </w:rPr>
        <w:t>甲方应按合同规定向乙方支付服务费用。</w:t>
      </w:r>
    </w:p>
    <w:p>
      <w:pPr>
        <w:pStyle w:val="null3"/>
        <w:ind w:firstLine="442"/>
        <w:jc w:val="both"/>
      </w:pPr>
      <w:r>
        <w:rPr>
          <w:sz w:val="22"/>
          <w:b/>
        </w:rPr>
        <w:t>2.</w:t>
      </w:r>
      <w:r>
        <w:rPr>
          <w:sz w:val="22"/>
        </w:rPr>
        <w:t>乙方的权利和义务</w:t>
      </w:r>
    </w:p>
    <w:p>
      <w:pPr>
        <w:pStyle w:val="null3"/>
        <w:ind w:firstLine="440"/>
        <w:jc w:val="both"/>
      </w:pPr>
      <w:r>
        <w:rPr>
          <w:sz w:val="22"/>
        </w:rPr>
        <w:t>1)</w:t>
      </w:r>
      <w:r>
        <w:rPr>
          <w:sz w:val="22"/>
        </w:rPr>
        <w:t>乙方应按合同要求的内容进行服务，发生任何服务的变更均须向甲方提出交书面报审报告。</w:t>
      </w:r>
    </w:p>
    <w:p>
      <w:pPr>
        <w:pStyle w:val="null3"/>
        <w:ind w:firstLine="440"/>
        <w:jc w:val="both"/>
      </w:pPr>
      <w:r>
        <w:rPr>
          <w:sz w:val="22"/>
        </w:rPr>
        <w:t>2)</w:t>
      </w:r>
      <w:r>
        <w:rPr>
          <w:sz w:val="22"/>
        </w:rPr>
        <w:t>乙方有权要求甲方按时支付服务费用。如甲方不按时支付乙方有权要求甲方支付滞纳金。但服务费得支付应以符合财政部门的相关规定为前提。</w:t>
      </w:r>
    </w:p>
    <w:p>
      <w:pPr>
        <w:pStyle w:val="null3"/>
        <w:ind w:firstLine="442"/>
        <w:jc w:val="both"/>
      </w:pPr>
      <w:r>
        <w:rPr>
          <w:sz w:val="22"/>
          <w:b/>
        </w:rPr>
        <w:t>七、付款方式</w:t>
      </w:r>
    </w:p>
    <w:p>
      <w:pPr>
        <w:pStyle w:val="null3"/>
        <w:ind w:firstLine="440"/>
        <w:jc w:val="both"/>
      </w:pPr>
      <w:r>
        <w:rPr>
          <w:sz w:val="22"/>
        </w:rPr>
        <w:t>1.</w:t>
      </w:r>
      <w:r>
        <w:rPr>
          <w:sz w:val="22"/>
        </w:rPr>
        <w:t>由甲方按下列程序在</w:t>
      </w:r>
      <w:r>
        <w:rPr>
          <w:sz w:val="22"/>
          <w:u w:val="single"/>
        </w:rPr>
        <w:t>服务期</w:t>
      </w:r>
      <w:r>
        <w:rPr>
          <w:sz w:val="22"/>
        </w:rPr>
        <w:t>内付款：</w:t>
      </w:r>
    </w:p>
    <w:p>
      <w:pPr>
        <w:pStyle w:val="null3"/>
        <w:ind w:firstLine="440"/>
        <w:jc w:val="both"/>
      </w:pPr>
      <w:r>
        <w:rPr>
          <w:sz w:val="22"/>
        </w:rPr>
        <w:t>1）</w:t>
      </w:r>
      <w:r>
        <w:rPr>
          <w:sz w:val="22"/>
        </w:rPr>
        <w:t>1期：支付比例45%,签订合同后十个工作日内</w:t>
      </w:r>
      <w:r>
        <w:rPr>
          <w:sz w:val="22"/>
        </w:rPr>
        <w:t>甲方</w:t>
      </w:r>
      <w:r>
        <w:rPr>
          <w:sz w:val="22"/>
        </w:rPr>
        <w:t>向</w:t>
      </w:r>
      <w:r>
        <w:rPr>
          <w:sz w:val="22"/>
        </w:rPr>
        <w:t>乙方</w:t>
      </w:r>
      <w:r>
        <w:rPr>
          <w:sz w:val="22"/>
        </w:rPr>
        <w:t>支付合同金额的</w:t>
      </w:r>
      <w:r>
        <w:rPr>
          <w:sz w:val="22"/>
        </w:rPr>
        <w:t>45%；</w:t>
      </w:r>
    </w:p>
    <w:p>
      <w:pPr>
        <w:pStyle w:val="null3"/>
        <w:ind w:firstLine="440"/>
        <w:jc w:val="both"/>
      </w:pPr>
      <w:r>
        <w:rPr>
          <w:sz w:val="22"/>
        </w:rPr>
        <w:t>2）2期：支</w:t>
      </w:r>
      <w:r>
        <w:rPr>
          <w:sz w:val="22"/>
        </w:rPr>
        <w:t>付比例</w:t>
      </w:r>
      <w:r>
        <w:rPr>
          <w:sz w:val="22"/>
        </w:rPr>
        <w:t>45%,合同执行第二个月后每季度</w:t>
      </w:r>
      <w:r>
        <w:rPr>
          <w:sz w:val="22"/>
        </w:rPr>
        <w:t>甲方</w:t>
      </w:r>
      <w:r>
        <w:rPr>
          <w:sz w:val="22"/>
        </w:rPr>
        <w:t>向</w:t>
      </w:r>
      <w:r>
        <w:rPr>
          <w:sz w:val="22"/>
        </w:rPr>
        <w:t>乙方</w:t>
      </w:r>
      <w:r>
        <w:rPr>
          <w:sz w:val="22"/>
        </w:rPr>
        <w:t>支付合同金额的</w:t>
      </w:r>
      <w:r>
        <w:rPr>
          <w:sz w:val="22"/>
        </w:rPr>
        <w:t>15%，共支付至合同总额的85%；</w:t>
      </w:r>
    </w:p>
    <w:p>
      <w:pPr>
        <w:pStyle w:val="null3"/>
        <w:ind w:firstLine="440"/>
        <w:jc w:val="both"/>
      </w:pPr>
      <w:r>
        <w:rPr>
          <w:sz w:val="22"/>
        </w:rPr>
        <w:t>3）</w:t>
      </w:r>
      <w:r>
        <w:rPr>
          <w:sz w:val="22"/>
        </w:rPr>
        <w:t>3期：支付比例10%,待运维项目完成后验收合格，</w:t>
      </w:r>
      <w:r>
        <w:rPr>
          <w:sz w:val="22"/>
        </w:rPr>
        <w:t>甲方</w:t>
      </w:r>
      <w:r>
        <w:rPr>
          <w:sz w:val="22"/>
        </w:rPr>
        <w:t>向</w:t>
      </w:r>
      <w:r>
        <w:rPr>
          <w:sz w:val="22"/>
        </w:rPr>
        <w:t>乙方</w:t>
      </w:r>
      <w:r>
        <w:rPr>
          <w:sz w:val="22"/>
        </w:rPr>
        <w:t>支付最后一个季度项目款。（如已履行合同期内根据综合维护工作月度考核表得分扣减金额的，则应先扣减后再支付实际结算金额）具体的考核得分与款项支付率的折算关系，以附件二《综合维护工作月度考核表》及其补充说明为准。</w:t>
      </w:r>
    </w:p>
    <w:p>
      <w:pPr>
        <w:pStyle w:val="null3"/>
        <w:ind w:firstLine="440"/>
        <w:jc w:val="both"/>
      </w:pPr>
      <w:r>
        <w:rPr>
          <w:sz w:val="22"/>
        </w:rPr>
        <w:t>如项目发生合同融资，</w:t>
      </w:r>
      <w:r>
        <w:rPr>
          <w:sz w:val="22"/>
        </w:rPr>
        <w:t>甲方</w:t>
      </w:r>
      <w:r>
        <w:rPr>
          <w:sz w:val="22"/>
        </w:rPr>
        <w:t>应当将合同款项支付到合同约定收款账户。</w:t>
      </w:r>
    </w:p>
    <w:p>
      <w:pPr>
        <w:pStyle w:val="null3"/>
        <w:ind w:firstLine="440"/>
        <w:jc w:val="both"/>
      </w:pPr>
      <w:r>
        <w:rPr>
          <w:sz w:val="22"/>
        </w:rPr>
        <w:t>4）</w:t>
      </w:r>
      <w:r>
        <w:rPr>
          <w:sz w:val="22"/>
        </w:rPr>
        <w:t>乙方收款账户：</w:t>
      </w:r>
    </w:p>
    <w:p>
      <w:pPr>
        <w:pStyle w:val="null3"/>
        <w:ind w:firstLine="440"/>
        <w:jc w:val="both"/>
      </w:pPr>
      <w:r>
        <w:rPr>
          <w:sz w:val="22"/>
          <w:shd w:fill="FFFFFF" w:val="clear"/>
        </w:rPr>
        <w:t>开户行：</w:t>
      </w:r>
    </w:p>
    <w:p>
      <w:pPr>
        <w:pStyle w:val="null3"/>
        <w:ind w:firstLine="440"/>
        <w:jc w:val="both"/>
      </w:pPr>
      <w:r>
        <w:rPr>
          <w:sz w:val="22"/>
          <w:shd w:fill="FFFFFF" w:val="clear"/>
        </w:rPr>
        <w:t>银行地址：</w:t>
      </w:r>
    </w:p>
    <w:p>
      <w:pPr>
        <w:pStyle w:val="null3"/>
        <w:ind w:firstLine="440"/>
        <w:jc w:val="both"/>
      </w:pPr>
      <w:r>
        <w:rPr>
          <w:sz w:val="22"/>
          <w:shd w:fill="FFFFFF" w:val="clear"/>
        </w:rPr>
        <w:t>户名：</w:t>
      </w:r>
    </w:p>
    <w:p>
      <w:pPr>
        <w:pStyle w:val="null3"/>
        <w:ind w:firstLine="440"/>
        <w:jc w:val="both"/>
      </w:pPr>
      <w:r>
        <w:rPr>
          <w:sz w:val="22"/>
          <w:shd w:fill="FFFFFF" w:val="clear"/>
        </w:rPr>
        <w:t>账号：</w:t>
      </w:r>
    </w:p>
    <w:p>
      <w:pPr>
        <w:pStyle w:val="null3"/>
        <w:ind w:firstLine="440"/>
        <w:jc w:val="both"/>
      </w:pPr>
      <w:r>
        <w:rPr>
          <w:sz w:val="22"/>
          <w:shd w:fill="FFFFFF" w:val="clear"/>
        </w:rPr>
        <w:t>统一社会信用代码：</w:t>
      </w:r>
    </w:p>
    <w:p>
      <w:pPr>
        <w:pStyle w:val="null3"/>
        <w:ind w:firstLine="440"/>
        <w:jc w:val="both"/>
      </w:pPr>
      <w:r>
        <w:rPr>
          <w:sz w:val="22"/>
          <w:shd w:fill="FFFFFF" w:val="clear"/>
        </w:rPr>
        <w:t>地址：</w:t>
      </w:r>
    </w:p>
    <w:p>
      <w:pPr>
        <w:pStyle w:val="null3"/>
        <w:ind w:firstLine="440"/>
        <w:jc w:val="both"/>
      </w:pPr>
      <w:r>
        <w:rPr>
          <w:sz w:val="22"/>
          <w:shd w:fill="FFFFFF" w:val="clear"/>
        </w:rPr>
        <w:t>电话：</w:t>
      </w:r>
    </w:p>
    <w:p>
      <w:pPr>
        <w:pStyle w:val="null3"/>
        <w:ind w:firstLine="442"/>
        <w:jc w:val="both"/>
      </w:pPr>
      <w:r>
        <w:rPr>
          <w:sz w:val="22"/>
          <w:b/>
        </w:rPr>
        <w:t>八、分包与转包</w:t>
      </w:r>
    </w:p>
    <w:p>
      <w:pPr>
        <w:pStyle w:val="null3"/>
        <w:ind w:firstLine="440"/>
        <w:jc w:val="both"/>
      </w:pPr>
      <w:r>
        <w:rPr>
          <w:sz w:val="22"/>
        </w:rPr>
        <w:t>严禁转包，未经甲方同意不得分包</w:t>
      </w:r>
    </w:p>
    <w:p>
      <w:pPr>
        <w:pStyle w:val="null3"/>
        <w:ind w:firstLine="442"/>
        <w:jc w:val="both"/>
      </w:pPr>
      <w:r>
        <w:rPr>
          <w:sz w:val="22"/>
          <w:b/>
        </w:rPr>
        <w:t>九、保密</w:t>
      </w:r>
    </w:p>
    <w:p>
      <w:pPr>
        <w:pStyle w:val="null3"/>
        <w:ind w:firstLine="440"/>
        <w:jc w:val="both"/>
      </w:pPr>
      <w:r>
        <w:rPr>
          <w:sz w:val="22"/>
        </w:rPr>
        <w:t>1.</w:t>
      </w:r>
      <w:r>
        <w:rPr>
          <w:sz w:val="22"/>
        </w:rPr>
        <w:t>应严格遵守国家相关的保密法律规定，遵守《保密协议》和法院的有关规定（另行签订）。运维工作须在法院指定的场所内进行，确保场所正常秩序和安全。如有违法行为或违反相关规定，将依法或依据约定追究相应的责任。</w:t>
      </w:r>
    </w:p>
    <w:p>
      <w:pPr>
        <w:pStyle w:val="null3"/>
        <w:ind w:firstLine="440"/>
        <w:jc w:val="both"/>
      </w:pPr>
      <w:r>
        <w:rPr>
          <w:sz w:val="22"/>
        </w:rPr>
        <w:t>2.</w:t>
      </w:r>
      <w:r>
        <w:rPr>
          <w:sz w:val="22"/>
        </w:rPr>
        <w:t>按照法院相关规定和管理人员要求使用计算机、自动化办公设备、存储介质等。</w:t>
      </w:r>
    </w:p>
    <w:p>
      <w:pPr>
        <w:pStyle w:val="null3"/>
        <w:ind w:firstLine="440"/>
        <w:jc w:val="both"/>
      </w:pPr>
      <w:r>
        <w:rPr>
          <w:sz w:val="22"/>
        </w:rPr>
        <w:t>3.</w:t>
      </w:r>
      <w:r>
        <w:rPr>
          <w:sz w:val="22"/>
        </w:rPr>
        <w:t>不得打探不属于运维工作范畴内的法院业务及办公等各类信息；不得将在运维工作过程中了解、掌握的法院业务及办公等各类信息透露给与运维工作无关的第三方；不得擅自以任何形式删除、修改、复制、拷贝、备份法院各类信息；不得将法院各类信息带离法院。</w:t>
      </w:r>
    </w:p>
    <w:p>
      <w:pPr>
        <w:pStyle w:val="null3"/>
        <w:ind w:firstLine="440"/>
        <w:jc w:val="both"/>
      </w:pPr>
      <w:r>
        <w:rPr>
          <w:sz w:val="22"/>
        </w:rPr>
        <w:t>4.</w:t>
      </w:r>
      <w:r>
        <w:rPr>
          <w:sz w:val="22"/>
        </w:rPr>
        <w:t>参与本项目的所有工作人员须通过法院的审核，并登记备案。乙方须向甲方提供以下资料：《工作人员登记表》（每人一式一份），工作人员身份证复印件及无犯罪记录的证明书（每人一式一份）。</w:t>
      </w:r>
    </w:p>
    <w:p>
      <w:pPr>
        <w:pStyle w:val="null3"/>
        <w:ind w:firstLine="440"/>
        <w:jc w:val="both"/>
      </w:pPr>
      <w:r>
        <w:rPr>
          <w:sz w:val="22"/>
        </w:rPr>
        <w:t>5.</w:t>
      </w:r>
      <w:r>
        <w:rPr>
          <w:sz w:val="22"/>
        </w:rPr>
        <w:t>项目实施过程中，如需更换、增加工作人员，须提前一个月向甲方提供拟加入人员的资料，取得对方签字同意后方可更换或者增加人手。对离开本项目实施岗位的人员，乙方需在人员离岗后一周内，在甲方保存的相关工作人员的备案表格中标注离岗日期。</w:t>
      </w:r>
    </w:p>
    <w:p>
      <w:pPr>
        <w:pStyle w:val="null3"/>
        <w:ind w:firstLine="440"/>
        <w:jc w:val="both"/>
      </w:pPr>
      <w:r>
        <w:rPr>
          <w:sz w:val="22"/>
        </w:rPr>
        <w:t>6.</w:t>
      </w:r>
      <w:r>
        <w:rPr>
          <w:sz w:val="22"/>
        </w:rPr>
        <w:t>参与本项目的工作人员须接受甲方组织的保密安全教育，并自觉学习保密知识，严格遵守《保密法》及其他有关法规，严防泄密现象发生。</w:t>
      </w:r>
    </w:p>
    <w:p>
      <w:pPr>
        <w:pStyle w:val="null3"/>
        <w:ind w:firstLine="440"/>
        <w:jc w:val="both"/>
      </w:pPr>
      <w:r>
        <w:rPr>
          <w:sz w:val="22"/>
        </w:rPr>
        <w:t>7.</w:t>
      </w:r>
      <w:r>
        <w:rPr>
          <w:sz w:val="22"/>
        </w:rPr>
        <w:t>乙方及其所有工作人员不得以任何方式非法向外人泄露档案所涉及的国家秘密及诉讼相关内容，否则按国家有关规定处理，情节严重的要承担相应的刑事责任。</w:t>
      </w:r>
    </w:p>
    <w:p>
      <w:pPr>
        <w:pStyle w:val="null3"/>
        <w:ind w:firstLine="440"/>
        <w:jc w:val="both"/>
      </w:pPr>
      <w:r>
        <w:rPr>
          <w:sz w:val="22"/>
        </w:rPr>
        <w:t>8.</w:t>
      </w:r>
      <w:r>
        <w:rPr>
          <w:sz w:val="22"/>
        </w:rPr>
        <w:t>乙方及其所有工作人员须向甲方提供书面保密承诺</w:t>
      </w:r>
      <w:r>
        <w:rPr>
          <w:sz w:val="22"/>
        </w:rPr>
        <w:t>.</w:t>
      </w:r>
    </w:p>
    <w:p>
      <w:pPr>
        <w:pStyle w:val="null3"/>
        <w:ind w:firstLine="442"/>
        <w:jc w:val="both"/>
      </w:pPr>
      <w:r>
        <w:rPr>
          <w:sz w:val="22"/>
          <w:b/>
        </w:rPr>
        <w:t>十、违约责任与赔偿损失</w:t>
      </w:r>
    </w:p>
    <w:p>
      <w:pPr>
        <w:pStyle w:val="null3"/>
        <w:ind w:firstLine="442"/>
        <w:jc w:val="both"/>
      </w:pPr>
      <w:r>
        <w:rPr>
          <w:sz w:val="22"/>
          <w:b/>
        </w:rPr>
        <w:t>1.</w:t>
      </w:r>
      <w:r>
        <w:rPr>
          <w:sz w:val="22"/>
        </w:rPr>
        <w:t>乙方应当保证派驻甲方现场驻点人员符合甲方招标文件所述、乙方投标文件中所承诺的用人标准。特殊情况，乙方到场人员需要调整的，需经甲方同意后，方可调整。如报到人员名单及其专业证书等资料与投标文件不一致，则可认定为乙方提供虚假材料、虚假应标，合同无效。甲方有权报给政府采购监督管理部门进行处理，并要求乙方赔偿损失。</w:t>
      </w:r>
    </w:p>
    <w:p>
      <w:pPr>
        <w:pStyle w:val="null3"/>
        <w:ind w:firstLine="440"/>
        <w:jc w:val="both"/>
      </w:pPr>
      <w:r>
        <w:rPr>
          <w:sz w:val="22"/>
        </w:rPr>
        <w:t>2.</w:t>
      </w:r>
      <w:r>
        <w:rPr>
          <w:sz w:val="22"/>
        </w:rPr>
        <w:t>根据合同附件二《综合维护工作考核表》，当月考核总得分低于</w:t>
      </w:r>
      <w:r>
        <w:rPr>
          <w:sz w:val="22"/>
        </w:rPr>
        <w:t>70分视为当月不达标，乙方在服务期内不达标次数累计3个月的，甲方有权单方解除合同。</w:t>
      </w:r>
    </w:p>
    <w:p>
      <w:pPr>
        <w:pStyle w:val="null3"/>
        <w:ind w:firstLine="440"/>
        <w:jc w:val="both"/>
      </w:pPr>
      <w:r>
        <w:rPr>
          <w:sz w:val="22"/>
        </w:rPr>
        <w:t>3.</w:t>
      </w:r>
      <w:r>
        <w:rPr>
          <w:sz w:val="22"/>
        </w:rPr>
        <w:t>乙方提供的服务不符合本合同规定的，甲方有权拒收，并且乙方须向甲方支付本合同总价</w:t>
      </w:r>
      <w:r>
        <w:rPr>
          <w:sz w:val="22"/>
        </w:rPr>
        <w:t>2%的违约金。</w:t>
      </w:r>
    </w:p>
    <w:p>
      <w:pPr>
        <w:pStyle w:val="null3"/>
        <w:ind w:firstLine="440"/>
        <w:jc w:val="both"/>
      </w:pPr>
      <w:r>
        <w:rPr>
          <w:sz w:val="22"/>
        </w:rPr>
        <w:t>4.</w:t>
      </w:r>
      <w:r>
        <w:rPr>
          <w:sz w:val="22"/>
        </w:rPr>
        <w:t>乙方未能按本合同规定的服务响应时间提供服务，从逾期之日起每日按本合同总价</w:t>
      </w:r>
      <w:r>
        <w:rPr>
          <w:sz w:val="22"/>
        </w:rPr>
        <w:t>1‰的数额向甲方支付违约金；逾期半个月以上的，甲方有权终止合同，由此造成的甲方经济损失由乙方承担。</w:t>
      </w:r>
    </w:p>
    <w:p>
      <w:pPr>
        <w:pStyle w:val="null3"/>
        <w:ind w:firstLine="440"/>
        <w:jc w:val="both"/>
      </w:pPr>
      <w:r>
        <w:rPr>
          <w:sz w:val="22"/>
        </w:rPr>
        <w:t>5.</w:t>
      </w:r>
      <w:r>
        <w:rPr>
          <w:sz w:val="22"/>
        </w:rPr>
        <w:t>甲方无正当理由拒绝接受服务，到期拒付服务款项的，甲方向乙方偿付本合同总的</w:t>
      </w:r>
      <w:r>
        <w:rPr>
          <w:sz w:val="22"/>
        </w:rPr>
        <w:t>5%的违约金。甲方逾期付款，则每日按本合同总价的3‰向乙方偿付违约金。</w:t>
      </w:r>
    </w:p>
    <w:p>
      <w:pPr>
        <w:pStyle w:val="null3"/>
        <w:ind w:firstLine="440"/>
        <w:jc w:val="both"/>
      </w:pPr>
      <w:r>
        <w:rPr>
          <w:sz w:val="22"/>
        </w:rPr>
        <w:t>6.</w:t>
      </w:r>
      <w:r>
        <w:rPr>
          <w:sz w:val="22"/>
        </w:rPr>
        <w:t>其它违约责任按《中华人民共和国民法典</w:t>
      </w:r>
      <w:r>
        <w:rPr>
          <w:sz w:val="22"/>
        </w:rPr>
        <w:t>(合同编)》处理。</w:t>
      </w:r>
    </w:p>
    <w:p>
      <w:pPr>
        <w:pStyle w:val="null3"/>
        <w:ind w:firstLine="442"/>
        <w:jc w:val="both"/>
      </w:pPr>
      <w:r>
        <w:rPr>
          <w:sz w:val="22"/>
          <w:b/>
        </w:rPr>
        <w:t>十一、争议的解决</w:t>
      </w:r>
    </w:p>
    <w:p>
      <w:pPr>
        <w:pStyle w:val="null3"/>
        <w:ind w:firstLine="440"/>
        <w:jc w:val="both"/>
      </w:pPr>
      <w:r>
        <w:rPr>
          <w:sz w:val="22"/>
        </w:rPr>
        <w:t>1.凡与本合同有关而引起的一切争议，甲乙双方应首先通过友好协商解决，如经协商后仍不能达成协议时，任何一方可以向法院提出诉讼。</w:t>
      </w:r>
    </w:p>
    <w:p>
      <w:pPr>
        <w:pStyle w:val="null3"/>
        <w:ind w:firstLine="440"/>
        <w:jc w:val="both"/>
      </w:pPr>
      <w:r>
        <w:rPr>
          <w:sz w:val="22"/>
        </w:rPr>
        <w:t>2.本合同发生的诉讼管辖地为东莞市有管辖权的法院。</w:t>
      </w:r>
    </w:p>
    <w:p>
      <w:pPr>
        <w:pStyle w:val="null3"/>
        <w:ind w:firstLine="440"/>
        <w:jc w:val="both"/>
      </w:pPr>
      <w:r>
        <w:rPr>
          <w:sz w:val="22"/>
        </w:rPr>
        <w:t>3.在进行法院审理期间，除提交法院审理的事项外，合同其他部分仍继续履行。</w:t>
      </w:r>
    </w:p>
    <w:p>
      <w:pPr>
        <w:pStyle w:val="null3"/>
        <w:ind w:firstLine="442"/>
        <w:jc w:val="both"/>
      </w:pPr>
      <w:r>
        <w:rPr>
          <w:sz w:val="22"/>
          <w:b/>
        </w:rPr>
        <w:t>十二、不可抗力</w:t>
      </w:r>
    </w:p>
    <w:p>
      <w:pPr>
        <w:pStyle w:val="null3"/>
        <w:ind w:firstLine="440"/>
        <w:jc w:val="both"/>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ind w:firstLine="442"/>
        <w:jc w:val="both"/>
      </w:pPr>
      <w:r>
        <w:rPr>
          <w:sz w:val="22"/>
          <w:b/>
        </w:rPr>
        <w:t>十三、其它</w:t>
      </w:r>
    </w:p>
    <w:p>
      <w:pPr>
        <w:pStyle w:val="null3"/>
        <w:ind w:firstLine="440"/>
        <w:jc w:val="both"/>
      </w:pPr>
      <w:r>
        <w:rPr>
          <w:sz w:val="22"/>
        </w:rPr>
        <w:t>1.</w:t>
      </w:r>
      <w:r>
        <w:rPr>
          <w:sz w:val="22"/>
        </w:rPr>
        <w:t>本合同所有附件、招标文件、投标文件、中标通知书均为合同的有效组成部分，与本合同具有同等法律效力。</w:t>
      </w:r>
    </w:p>
    <w:p>
      <w:pPr>
        <w:pStyle w:val="null3"/>
        <w:ind w:firstLine="440"/>
        <w:jc w:val="both"/>
      </w:pPr>
      <w:r>
        <w:rPr>
          <w:sz w:val="22"/>
        </w:rPr>
        <w:t>2.</w:t>
      </w:r>
      <w:r>
        <w:rPr>
          <w:sz w:val="22"/>
        </w:rPr>
        <w:t>在执行本合同的过程中，所有经双方签署确认的文件（包括会议纪要、补充协议、往来信函）即成为本合同的有效组成部分。</w:t>
      </w:r>
    </w:p>
    <w:p>
      <w:pPr>
        <w:pStyle w:val="null3"/>
        <w:ind w:firstLine="440"/>
        <w:jc w:val="both"/>
      </w:pPr>
      <w:r>
        <w:rPr>
          <w:sz w:val="22"/>
        </w:rPr>
        <w:t>3.</w:t>
      </w:r>
      <w:r>
        <w:rPr>
          <w:sz w:val="22"/>
        </w:rPr>
        <w:t>如一方地址、电话、传真号码有变更，应在变更当日内书面通知对方，否则，应承担相应责任。</w:t>
      </w:r>
    </w:p>
    <w:p>
      <w:pPr>
        <w:pStyle w:val="null3"/>
        <w:ind w:firstLine="440"/>
        <w:jc w:val="both"/>
      </w:pPr>
      <w:r>
        <w:rPr>
          <w:sz w:val="22"/>
        </w:rPr>
        <w:t>4.</w:t>
      </w:r>
      <w:r>
        <w:rPr>
          <w:sz w:val="22"/>
        </w:rPr>
        <w:t>除甲方事先书面同意外，乙方不得部分或全部转让其应履行的合同项下的义务。</w:t>
      </w:r>
    </w:p>
    <w:p>
      <w:pPr>
        <w:pStyle w:val="null3"/>
        <w:ind w:firstLine="442"/>
        <w:jc w:val="both"/>
      </w:pPr>
      <w:r>
        <w:rPr>
          <w:sz w:val="22"/>
          <w:b/>
        </w:rPr>
        <w:t>十四、合同生效</w:t>
      </w:r>
    </w:p>
    <w:p>
      <w:pPr>
        <w:pStyle w:val="null3"/>
        <w:ind w:firstLine="440"/>
        <w:jc w:val="both"/>
      </w:pPr>
      <w:r>
        <w:rPr>
          <w:sz w:val="22"/>
        </w:rPr>
        <w:t>1.本合同在甲乙双方法人代表或其授权代表签字盖章后生效。</w:t>
      </w:r>
    </w:p>
    <w:p>
      <w:pPr>
        <w:pStyle w:val="null3"/>
        <w:ind w:firstLine="440"/>
        <w:jc w:val="both"/>
      </w:pPr>
      <w:r>
        <w:rPr>
          <w:sz w:val="22"/>
        </w:rPr>
        <w:t>2.合同一式5份，甲乙双方各持2份，采购代理机构持1份（须由乙方在合同签订之日起7个工作日内递交）。</w:t>
      </w:r>
    </w:p>
    <w:p>
      <w:pPr>
        <w:pStyle w:val="null3"/>
        <w:ind w:firstLine="442"/>
        <w:jc w:val="both"/>
      </w:pPr>
      <w:r>
        <w:rPr>
          <w:sz w:val="22"/>
          <w:b/>
          <w:shd w:fill="FFFFFF" w:val="clear"/>
        </w:rPr>
        <w:t>甲方（盖章）：东莞市第二人民法院乙方（盖章）：</w:t>
      </w:r>
    </w:p>
    <w:p>
      <w:pPr>
        <w:pStyle w:val="null3"/>
        <w:ind w:firstLine="442"/>
        <w:jc w:val="both"/>
      </w:pPr>
      <w:r>
        <w:rPr>
          <w:sz w:val="22"/>
          <w:b/>
          <w:shd w:fill="FFFFFF" w:val="clear"/>
        </w:rPr>
        <w:t>代表：代表：</w:t>
      </w:r>
    </w:p>
    <w:p>
      <w:pPr>
        <w:pStyle w:val="null3"/>
        <w:ind w:firstLine="440"/>
        <w:jc w:val="both"/>
      </w:pPr>
      <w:r>
        <w:rPr>
          <w:sz w:val="22"/>
          <w:shd w:fill="FFFFFF" w:val="clear"/>
        </w:rPr>
        <w:t>签订地点：</w:t>
      </w:r>
    </w:p>
    <w:p>
      <w:pPr>
        <w:pStyle w:val="null3"/>
        <w:ind w:firstLine="440"/>
        <w:jc w:val="both"/>
      </w:pPr>
      <w:r>
        <w:rPr>
          <w:sz w:val="22"/>
          <w:shd w:fill="FFFFFF" w:val="clear"/>
        </w:rPr>
        <w:t>签订日期：　　年　　月　　日签订日期：　　　年　　月　　日</w:t>
      </w:r>
    </w:p>
    <w:p>
      <w:pPr>
        <w:pStyle w:val="null3"/>
        <w:ind w:firstLine="440"/>
        <w:jc w:val="both"/>
      </w:pPr>
      <w:r>
        <w:rPr>
          <w:sz w:val="22"/>
        </w:rPr>
        <w:t>附件一：维护项目详细清单</w:t>
      </w:r>
    </w:p>
    <w:p>
      <w:pPr>
        <w:pStyle w:val="null3"/>
        <w:ind w:firstLine="440"/>
        <w:jc w:val="both"/>
      </w:pPr>
      <w:r>
        <w:rPr>
          <w:sz w:val="22"/>
        </w:rPr>
        <w:t>附件二：综合维护工作月度考核表</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440001-2025-47274</w:t>
      </w:r>
    </w:p>
    <w:p>
      <w:pPr>
        <w:pStyle w:val="null3"/>
        <w:jc w:val="center"/>
        <w:outlineLvl w:val="3"/>
      </w:pPr>
      <w:r>
        <w:rPr>
          <w:sz w:val="24"/>
          <w:b/>
        </w:rPr>
        <w:t>采购项目编号：</w:t>
      </w:r>
      <w:r>
        <w:rPr>
          <w:sz w:val="24"/>
          <w:b/>
        </w:rPr>
        <w:t>440001-2025-47274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中新工程咨询（广东）有限公司</w:t>
      </w:r>
    </w:p>
    <w:p>
      <w:pPr>
        <w:pStyle w:val="null3"/>
        <w:ind w:firstLine="480"/>
      </w:pPr>
      <w:r>
        <w:rPr/>
        <w:t xml:space="preserve"> 你方组织的</w:t>
      </w:r>
      <w:r>
        <w:rPr>
          <w:u w:val="single"/>
        </w:rPr>
        <w:t>“</w:t>
      </w:r>
      <w:r>
        <w:rPr>
          <w:u w:val="single"/>
        </w:rPr>
        <w:t>信息化软硬件综合维护服务项目</w:t>
      </w:r>
      <w:r>
        <w:rPr>
          <w:u w:val="single"/>
        </w:rPr>
        <w:t>”</w:t>
      </w:r>
      <w:r>
        <w:rPr/>
        <w:t>项目的招标[采购项目编号为：</w:t>
      </w:r>
      <w:r>
        <w:rPr>
          <w:u w:val="single"/>
        </w:rPr>
        <w:t>440001-2025-47274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信息化软硬件综合维护服务项目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中新工程咨询（广东）有限公司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信息化软硬件综合维护服务项目</w:t>
      </w:r>
      <w:r>
        <w:rPr/>
        <w:t>”项目采购[采购项目编号为</w:t>
      </w:r>
      <w:r>
        <w:rPr/>
        <w:t>440001-2025-47274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东莞市第二人民法院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中新工程咨询（广东）有限公司</w:t>
      </w:r>
    </w:p>
    <w:p>
      <w:pPr>
        <w:pStyle w:val="null3"/>
        <w:ind w:firstLine="480"/>
      </w:pPr>
      <w:r>
        <w:rPr/>
        <w:t xml:space="preserve"> 如果我方在贵采购代理机构组织的</w:t>
      </w:r>
      <w:r>
        <w:rPr/>
        <w:t>信息化软硬件综合维护服务项目</w:t>
      </w:r>
      <w:r>
        <w:rPr/>
        <w:t>招标中获中标（采购项目编号：</w:t>
      </w:r>
      <w:r>
        <w:rPr/>
        <w:t>440001-2025-47274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中新工程咨询（广东）有限公司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中新工程咨询（广东）有限公司</w:t>
      </w:r>
    </w:p>
    <w:p>
      <w:pPr>
        <w:pStyle w:val="null3"/>
        <w:ind w:firstLine="480"/>
      </w:pPr>
      <w:r>
        <w:rPr/>
        <w:t>我单位已登记并准备参与“</w:t>
      </w:r>
      <w:r>
        <w:rPr/>
        <w:t>信息化软硬件综合维护服务项目</w:t>
      </w:r>
      <w:r>
        <w:rPr/>
        <w:t>”项目（采购项目编号：</w:t>
      </w:r>
      <w:r>
        <w:rPr/>
        <w:t>440001-2025-47274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