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outlineLvl w:val="0"/>
        <w:rPr>
          <w:rFonts w:hint="eastAsia" w:ascii="宋体" w:hAnsi="宋体" w:cs="宋体"/>
          <w:b/>
          <w:bCs/>
          <w:color w:val="auto"/>
          <w:sz w:val="21"/>
          <w:szCs w:val="21"/>
          <w:highlight w:val="none"/>
          <w:lang w:val="en-US" w:eastAsia="zh-CN"/>
        </w:rPr>
      </w:pPr>
      <w:bookmarkStart w:id="0" w:name="_GoBack"/>
      <w:r>
        <w:rPr>
          <w:rFonts w:hint="eastAsia" w:ascii="宋体" w:hAnsi="宋体" w:eastAsia="宋体" w:cs="宋体"/>
          <w:b/>
          <w:bCs/>
          <w:color w:val="auto"/>
          <w:sz w:val="21"/>
          <w:szCs w:val="21"/>
          <w:highlight w:val="none"/>
        </w:rPr>
        <w:t>附件一：</w:t>
      </w:r>
      <w:r>
        <w:rPr>
          <w:rFonts w:hint="eastAsia" w:ascii="宋体" w:hAnsi="宋体" w:cs="宋体"/>
          <w:b/>
          <w:bCs/>
          <w:color w:val="auto"/>
          <w:sz w:val="21"/>
          <w:szCs w:val="21"/>
          <w:highlight w:val="none"/>
          <w:lang w:eastAsia="zh-CN"/>
        </w:rPr>
        <w:t>河源理工学校数控专业群CAD-CAM一体化技术实训室升级改造项目</w:t>
      </w:r>
      <w:r>
        <w:rPr>
          <w:rFonts w:hint="eastAsia" w:ascii="宋体" w:hAnsi="宋体" w:cs="宋体"/>
          <w:b/>
          <w:bCs/>
          <w:color w:val="auto"/>
          <w:sz w:val="21"/>
          <w:szCs w:val="21"/>
          <w:highlight w:val="none"/>
          <w:lang w:val="en-US" w:eastAsia="zh-CN"/>
        </w:rPr>
        <w:t>清单</w:t>
      </w:r>
    </w:p>
    <w:bookmarkEnd w:id="0"/>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82"/>
        <w:gridCol w:w="619"/>
        <w:gridCol w:w="4011"/>
        <w:gridCol w:w="447"/>
        <w:gridCol w:w="462"/>
        <w:gridCol w:w="1206"/>
        <w:gridCol w:w="13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材质规格</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预算单价（元）</w:t>
            </w:r>
          </w:p>
        </w:tc>
        <w:tc>
          <w:tcPr>
            <w:tcW w:w="12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预算合价（元）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一、河源理工学校数控专业群CAD-CAM一体化技术实训室升级改造项目-设备采购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立式加工中心</w:t>
            </w:r>
          </w:p>
        </w:tc>
        <w:tc>
          <w:tcPr>
            <w:tcW w:w="40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left"/>
              <w:textAlignment w:val="center"/>
              <w:rPr>
                <w:rFonts w:hint="eastAsia"/>
                <w:color w:val="auto"/>
                <w:sz w:val="21"/>
                <w:szCs w:val="21"/>
                <w:lang w:val="en-US" w:eastAsia="zh-CN"/>
              </w:rPr>
            </w:pPr>
            <w:r>
              <w:rPr>
                <w:rFonts w:hint="eastAsia"/>
                <w:color w:val="auto"/>
                <w:sz w:val="21"/>
                <w:szCs w:val="21"/>
                <w:lang w:val="en-US" w:eastAsia="zh-CN"/>
              </w:rPr>
              <w:t>一、加工中心要求：</w:t>
            </w:r>
            <w:r>
              <w:rPr>
                <w:rFonts w:hint="eastAsia"/>
                <w:color w:val="auto"/>
                <w:sz w:val="21"/>
                <w:szCs w:val="21"/>
                <w:lang w:val="en-US" w:eastAsia="zh-CN"/>
              </w:rPr>
              <w:br w:type="textWrapping"/>
            </w:r>
            <w:r>
              <w:rPr>
                <w:rFonts w:hint="eastAsia"/>
                <w:color w:val="auto"/>
                <w:sz w:val="21"/>
                <w:szCs w:val="21"/>
                <w:lang w:val="en-US" w:eastAsia="zh-CN"/>
              </w:rPr>
              <w:t>1.提供自动化接口，能实现加工中心的远程启动、程序可上传到机床内存，能获取机床的状态信息、机床的模式、主轴的位置信息；</w:t>
            </w:r>
            <w:r>
              <w:rPr>
                <w:rFonts w:hint="eastAsia"/>
                <w:color w:val="auto"/>
                <w:sz w:val="21"/>
                <w:szCs w:val="21"/>
                <w:lang w:val="en-US" w:eastAsia="zh-CN"/>
              </w:rPr>
              <w:br w:type="textWrapping"/>
            </w:r>
            <w:r>
              <w:rPr>
                <w:rFonts w:hint="eastAsia"/>
                <w:color w:val="auto"/>
                <w:sz w:val="21"/>
                <w:szCs w:val="21"/>
                <w:lang w:val="en-US" w:eastAsia="zh-CN"/>
              </w:rPr>
              <w:t>2.加工中心的内存容量≥500M，且有数据磁盘；</w:t>
            </w:r>
            <w:r>
              <w:rPr>
                <w:rFonts w:hint="eastAsia"/>
                <w:color w:val="auto"/>
                <w:sz w:val="21"/>
                <w:szCs w:val="21"/>
                <w:lang w:val="en-US" w:eastAsia="zh-CN"/>
              </w:rPr>
              <w:br w:type="textWrapping"/>
            </w:r>
            <w:r>
              <w:rPr>
                <w:rFonts w:hint="eastAsia"/>
                <w:color w:val="auto"/>
                <w:sz w:val="21"/>
                <w:szCs w:val="21"/>
                <w:lang w:val="en-US" w:eastAsia="zh-CN"/>
              </w:rPr>
              <w:t>3.加工中心侧面配自动门，配自动吹扫装置，配以太网接口；</w:t>
            </w:r>
            <w:r>
              <w:rPr>
                <w:rFonts w:hint="eastAsia"/>
                <w:color w:val="auto"/>
                <w:sz w:val="21"/>
                <w:szCs w:val="21"/>
                <w:lang w:val="en-US" w:eastAsia="zh-CN"/>
              </w:rPr>
              <w:br w:type="textWrapping"/>
            </w:r>
            <w:r>
              <w:rPr>
                <w:rFonts w:hint="eastAsia"/>
                <w:color w:val="auto"/>
                <w:sz w:val="21"/>
                <w:szCs w:val="21"/>
                <w:lang w:val="en-US" w:eastAsia="zh-CN"/>
              </w:rPr>
              <w:t>4.加工中心自动化夹具和自动门的控制与反馈信号可以直接接入机床自身的I/O模块，并且由机床自身来控制，其状态可以通过网络反馈给工控机；</w:t>
            </w:r>
            <w:r>
              <w:rPr>
                <w:rFonts w:hint="eastAsia"/>
                <w:color w:val="auto"/>
                <w:sz w:val="21"/>
                <w:szCs w:val="21"/>
                <w:lang w:val="en-US" w:eastAsia="zh-CN"/>
              </w:rPr>
              <w:br w:type="textWrapping"/>
            </w:r>
            <w:r>
              <w:rPr>
                <w:rFonts w:hint="eastAsia"/>
                <w:color w:val="auto"/>
                <w:sz w:val="21"/>
                <w:szCs w:val="21"/>
                <w:lang w:val="en-US" w:eastAsia="zh-CN"/>
              </w:rPr>
              <w:t>5.加工中心能够停在原点位置并把原点状态通过网络传输给工控机；</w:t>
            </w:r>
            <w:r>
              <w:rPr>
                <w:rFonts w:hint="eastAsia"/>
                <w:color w:val="auto"/>
                <w:sz w:val="21"/>
                <w:szCs w:val="21"/>
                <w:lang w:val="en-US" w:eastAsia="zh-CN"/>
              </w:rPr>
              <w:br w:type="textWrapping"/>
            </w:r>
            <w:r>
              <w:rPr>
                <w:rFonts w:hint="eastAsia"/>
                <w:color w:val="auto"/>
                <w:sz w:val="21"/>
                <w:szCs w:val="21"/>
                <w:lang w:val="en-US" w:eastAsia="zh-CN"/>
              </w:rPr>
              <w:t>二、数控系统装置：</w:t>
            </w:r>
            <w:r>
              <w:rPr>
                <w:rFonts w:hint="eastAsia"/>
                <w:color w:val="auto"/>
                <w:sz w:val="21"/>
                <w:szCs w:val="21"/>
                <w:lang w:val="en-US" w:eastAsia="zh-CN"/>
              </w:rPr>
              <w:br w:type="textWrapping"/>
            </w:r>
            <w:r>
              <w:rPr>
                <w:rFonts w:hint="eastAsia"/>
                <w:color w:val="auto"/>
                <w:sz w:val="21"/>
                <w:szCs w:val="21"/>
                <w:lang w:val="en-US" w:eastAsia="zh-CN"/>
              </w:rPr>
              <w:t>1、功能要求：达到数控车铣职业技能等级证书考核标准。</w:t>
            </w:r>
            <w:r>
              <w:rPr>
                <w:rFonts w:hint="eastAsia"/>
                <w:color w:val="auto"/>
                <w:sz w:val="21"/>
                <w:szCs w:val="21"/>
                <w:lang w:val="en-US" w:eastAsia="zh-CN"/>
              </w:rPr>
              <w:br w:type="textWrapping"/>
            </w:r>
            <w:r>
              <w:rPr>
                <w:rFonts w:hint="eastAsia"/>
                <w:color w:val="auto"/>
                <w:sz w:val="21"/>
                <w:szCs w:val="21"/>
                <w:lang w:val="en-US" w:eastAsia="zh-CN"/>
              </w:rPr>
              <w:t>2、数控系统配置要求：</w:t>
            </w:r>
            <w:r>
              <w:rPr>
                <w:rFonts w:hint="eastAsia"/>
                <w:color w:val="auto"/>
                <w:sz w:val="21"/>
                <w:szCs w:val="21"/>
                <w:lang w:val="en-US" w:eastAsia="zh-CN"/>
              </w:rPr>
              <w:br w:type="textWrapping"/>
            </w:r>
            <w:r>
              <w:rPr>
                <w:rFonts w:hint="eastAsia"/>
                <w:color w:val="auto"/>
                <w:sz w:val="21"/>
                <w:szCs w:val="21"/>
                <w:lang w:val="en-US" w:eastAsia="zh-CN"/>
              </w:rPr>
              <w:t>1）最小插补周期：≤0.5ms。</w:t>
            </w:r>
            <w:r>
              <w:rPr>
                <w:rFonts w:hint="eastAsia"/>
                <w:color w:val="auto"/>
                <w:sz w:val="21"/>
                <w:szCs w:val="21"/>
                <w:lang w:val="en-US" w:eastAsia="zh-CN"/>
              </w:rPr>
              <w:br w:type="textWrapping"/>
            </w:r>
            <w:r>
              <w:rPr>
                <w:rFonts w:hint="eastAsia"/>
                <w:color w:val="auto"/>
                <w:sz w:val="21"/>
                <w:szCs w:val="21"/>
                <w:lang w:val="en-US" w:eastAsia="zh-CN"/>
              </w:rPr>
              <w:t>2）总线方式：NCUC总线式。</w:t>
            </w:r>
            <w:r>
              <w:rPr>
                <w:rFonts w:hint="eastAsia"/>
                <w:color w:val="auto"/>
                <w:sz w:val="21"/>
                <w:szCs w:val="21"/>
                <w:lang w:val="en-US" w:eastAsia="zh-CN"/>
              </w:rPr>
              <w:br w:type="textWrapping"/>
            </w:r>
            <w:r>
              <w:rPr>
                <w:rFonts w:hint="eastAsia"/>
                <w:color w:val="auto"/>
                <w:sz w:val="21"/>
                <w:szCs w:val="21"/>
                <w:lang w:val="en-US" w:eastAsia="zh-CN"/>
              </w:rPr>
              <w:t>3）数控系统需具备二次开发功能。</w:t>
            </w:r>
            <w:r>
              <w:rPr>
                <w:rFonts w:hint="eastAsia"/>
                <w:color w:val="auto"/>
                <w:sz w:val="21"/>
                <w:szCs w:val="21"/>
                <w:lang w:val="en-US" w:eastAsia="zh-CN"/>
              </w:rPr>
              <w:br w:type="textWrapping"/>
            </w:r>
            <w:r>
              <w:rPr>
                <w:rFonts w:hint="eastAsia"/>
                <w:color w:val="auto"/>
                <w:sz w:val="21"/>
                <w:szCs w:val="21"/>
                <w:lang w:val="en-US" w:eastAsia="zh-CN"/>
              </w:rPr>
              <w:t>4）数控系统需具备机床调试辅助工具功能。</w:t>
            </w:r>
            <w:r>
              <w:rPr>
                <w:rFonts w:hint="eastAsia"/>
                <w:color w:val="auto"/>
                <w:sz w:val="21"/>
                <w:szCs w:val="21"/>
                <w:lang w:val="en-US" w:eastAsia="zh-CN"/>
              </w:rPr>
              <w:br w:type="textWrapping"/>
            </w:r>
            <w:r>
              <w:rPr>
                <w:rFonts w:hint="eastAsia"/>
                <w:color w:val="auto"/>
                <w:sz w:val="21"/>
                <w:szCs w:val="21"/>
                <w:lang w:val="en-US" w:eastAsia="zh-CN"/>
              </w:rPr>
              <w:t>5）所提供数控系统具有并行控制两类工业以太网总线从站的功能。</w:t>
            </w:r>
            <w:r>
              <w:rPr>
                <w:rFonts w:hint="eastAsia"/>
                <w:color w:val="auto"/>
                <w:sz w:val="21"/>
                <w:szCs w:val="21"/>
                <w:lang w:val="en-US" w:eastAsia="zh-CN"/>
              </w:rPr>
              <w:br w:type="textWrapping"/>
            </w:r>
            <w:r>
              <w:rPr>
                <w:rFonts w:hint="eastAsia"/>
                <w:color w:val="auto"/>
                <w:sz w:val="21"/>
                <w:szCs w:val="21"/>
                <w:lang w:val="en-US" w:eastAsia="zh-CN"/>
              </w:rPr>
              <w:t>6）数控系统需具备数控机床热误差补偿功能。</w:t>
            </w:r>
            <w:r>
              <w:rPr>
                <w:rFonts w:hint="eastAsia"/>
                <w:color w:val="auto"/>
                <w:sz w:val="21"/>
                <w:szCs w:val="21"/>
                <w:lang w:val="en-US" w:eastAsia="zh-CN"/>
              </w:rPr>
              <w:br w:type="textWrapping"/>
            </w:r>
            <w:r>
              <w:rPr>
                <w:rFonts w:hint="eastAsia" w:ascii="宋体" w:hAnsi="宋体" w:eastAsia="宋体" w:cs="宋体"/>
                <w:i w:val="0"/>
                <w:iCs w:val="0"/>
                <w:color w:val="auto"/>
                <w:kern w:val="0"/>
                <w:sz w:val="21"/>
                <w:szCs w:val="21"/>
                <w:u w:val="none"/>
                <w:lang w:val="en-US" w:eastAsia="zh-CN" w:bidi="ar"/>
              </w:rPr>
              <w:t>▲</w:t>
            </w:r>
            <w:r>
              <w:rPr>
                <w:rFonts w:hint="eastAsia"/>
                <w:color w:val="auto"/>
                <w:sz w:val="21"/>
                <w:szCs w:val="21"/>
                <w:lang w:val="en-US" w:eastAsia="zh-CN"/>
              </w:rPr>
              <w:t>7）机床状态二维码功能：包含机床状态二维码、工件统计二维码、报警历史二维码、故障诊断二维码、调机报表二维码、手机APP二维码以及健康保障二维码，通过手机扫描实时、快捷了解机床状态。</w:t>
            </w:r>
            <w:r>
              <w:rPr>
                <w:rFonts w:hint="eastAsia" w:eastAsia="宋体"/>
                <w:color w:val="auto"/>
                <w:sz w:val="21"/>
                <w:szCs w:val="21"/>
                <w:lang w:val="en-US" w:eastAsia="zh-CN"/>
              </w:rPr>
              <w:t>（需提供数控系统具备机床状态二维码功能系统界面截图并加投标人盖公章）</w:t>
            </w:r>
            <w:r>
              <w:rPr>
                <w:rFonts w:hint="eastAsia"/>
                <w:color w:val="auto"/>
                <w:sz w:val="21"/>
                <w:szCs w:val="21"/>
                <w:lang w:val="en-US" w:eastAsia="zh-CN"/>
              </w:rPr>
              <w:br w:type="textWrapping"/>
            </w:r>
            <w:r>
              <w:rPr>
                <w:rFonts w:hint="eastAsia"/>
                <w:color w:val="auto"/>
                <w:sz w:val="21"/>
                <w:szCs w:val="21"/>
                <w:lang w:val="en-US" w:eastAsia="zh-CN"/>
              </w:rPr>
              <w:t>8）数控系统支持网络通讯，开通数控系统联网功能，可实时采集数控系统核心参数。</w:t>
            </w:r>
            <w:r>
              <w:rPr>
                <w:rFonts w:hint="eastAsia"/>
                <w:color w:val="auto"/>
                <w:sz w:val="21"/>
                <w:szCs w:val="21"/>
                <w:lang w:val="en-US" w:eastAsia="zh-CN"/>
              </w:rPr>
              <w:br w:type="textWrapping"/>
            </w:r>
            <w:r>
              <w:rPr>
                <w:rFonts w:hint="eastAsia" w:ascii="宋体" w:hAnsi="宋体" w:eastAsia="宋体" w:cs="宋体"/>
                <w:i w:val="0"/>
                <w:iCs w:val="0"/>
                <w:color w:val="auto"/>
                <w:kern w:val="0"/>
                <w:sz w:val="21"/>
                <w:szCs w:val="21"/>
                <w:u w:val="none"/>
                <w:lang w:val="en-US" w:eastAsia="zh-CN" w:bidi="ar"/>
              </w:rPr>
              <w:t>▲</w:t>
            </w:r>
            <w:r>
              <w:rPr>
                <w:rFonts w:hint="eastAsia"/>
                <w:color w:val="auto"/>
                <w:sz w:val="21"/>
                <w:szCs w:val="21"/>
                <w:lang w:val="en-US" w:eastAsia="zh-CN"/>
              </w:rPr>
              <w:t>3、数控系统支持云数控系统，可连接数字化管理系统，实现实时监控学生考证信息（程序，加工状态）；</w:t>
            </w:r>
            <w:r>
              <w:rPr>
                <w:rFonts w:hint="eastAsia" w:eastAsia="宋体"/>
                <w:color w:val="auto"/>
                <w:sz w:val="21"/>
                <w:szCs w:val="21"/>
                <w:lang w:val="en-US" w:eastAsia="zh-CN"/>
              </w:rPr>
              <w:t>（需提供相关软件功能截图或第三方检测机构出具的检测报告并加盖投标人公章）</w:t>
            </w:r>
            <w:r>
              <w:rPr>
                <w:rFonts w:hint="eastAsia"/>
                <w:color w:val="auto"/>
                <w:sz w:val="21"/>
                <w:szCs w:val="21"/>
                <w:lang w:val="en-US" w:eastAsia="zh-CN"/>
              </w:rPr>
              <w:br w:type="textWrapping"/>
            </w:r>
            <w:r>
              <w:rPr>
                <w:rFonts w:hint="eastAsia"/>
                <w:color w:val="auto"/>
                <w:sz w:val="21"/>
                <w:szCs w:val="21"/>
                <w:lang w:val="en-US" w:eastAsia="zh-CN"/>
              </w:rPr>
              <w:t>1）云数控系统概述：</w:t>
            </w:r>
            <w:r>
              <w:rPr>
                <w:rFonts w:hint="eastAsia"/>
                <w:color w:val="auto"/>
                <w:sz w:val="21"/>
                <w:szCs w:val="21"/>
                <w:lang w:val="en-US" w:eastAsia="zh-CN"/>
              </w:rPr>
              <w:br w:type="textWrapping"/>
            </w:r>
            <w:r>
              <w:rPr>
                <w:rFonts w:hint="eastAsia"/>
                <w:color w:val="auto"/>
                <w:sz w:val="21"/>
                <w:szCs w:val="21"/>
                <w:lang w:val="en-US" w:eastAsia="zh-CN"/>
              </w:rPr>
              <w:t>云数控系统是运用物联网、大数据、云数控等关键技术，围绕数控机床加工效率和质量的提升以及机床的智能化管理，整合国内各项领先技术而开发出的先进车间信息化管理系统。主要有“云管家、云维护、云智能”三大功能，实现制造设备从日常生产到维护保养、改造优化的全生命周期管理，为用户提供设备及产品相关信息的“大数据”。</w:t>
            </w:r>
            <w:r>
              <w:rPr>
                <w:rFonts w:hint="eastAsia"/>
                <w:color w:val="auto"/>
                <w:sz w:val="21"/>
                <w:szCs w:val="21"/>
                <w:lang w:val="en-US" w:eastAsia="zh-CN"/>
              </w:rPr>
              <w:br w:type="textWrapping"/>
            </w:r>
            <w:r>
              <w:rPr>
                <w:rFonts w:hint="eastAsia"/>
                <w:color w:val="auto"/>
                <w:sz w:val="21"/>
                <w:szCs w:val="21"/>
                <w:lang w:val="en-US" w:eastAsia="zh-CN"/>
              </w:rPr>
              <w:t>2）云数控系统功能：</w:t>
            </w:r>
            <w:r>
              <w:rPr>
                <w:rFonts w:hint="eastAsia"/>
                <w:color w:val="auto"/>
                <w:sz w:val="21"/>
                <w:szCs w:val="21"/>
                <w:lang w:val="en-US" w:eastAsia="zh-CN"/>
              </w:rPr>
              <w:br w:type="textWrapping"/>
            </w:r>
            <w:r>
              <w:rPr>
                <w:rFonts w:hint="eastAsia"/>
                <w:color w:val="auto"/>
                <w:sz w:val="21"/>
                <w:szCs w:val="21"/>
                <w:lang w:val="en-US" w:eastAsia="zh-CN"/>
              </w:rPr>
              <w:t>通过大数据平台对数控机床进行定期的“体检”，采集运行过程中的数据，通过单机历史数据的纵向比较和机床集群数据的横向比较，掌握机床健康变化，实现数控机床的健康保障。</w:t>
            </w:r>
            <w:r>
              <w:rPr>
                <w:rFonts w:hint="eastAsia"/>
                <w:color w:val="auto"/>
                <w:sz w:val="21"/>
                <w:szCs w:val="21"/>
                <w:lang w:val="en-US" w:eastAsia="zh-CN"/>
              </w:rPr>
              <w:br w:type="textWrapping"/>
            </w:r>
            <w:r>
              <w:rPr>
                <w:rFonts w:hint="eastAsia"/>
                <w:color w:val="auto"/>
                <w:sz w:val="21"/>
                <w:szCs w:val="21"/>
                <w:lang w:val="en-US" w:eastAsia="zh-CN"/>
              </w:rPr>
              <w:t>4、所提供数控系统具备指令序列加工状态信息显示功能；</w:t>
            </w:r>
            <w:r>
              <w:rPr>
                <w:rFonts w:hint="eastAsia"/>
                <w:color w:val="auto"/>
                <w:sz w:val="21"/>
                <w:szCs w:val="21"/>
                <w:lang w:val="en-US" w:eastAsia="zh-CN"/>
              </w:rPr>
              <w:br w:type="textWrapping"/>
            </w:r>
            <w:r>
              <w:rPr>
                <w:rFonts w:hint="eastAsia"/>
                <w:color w:val="auto"/>
                <w:sz w:val="21"/>
                <w:szCs w:val="21"/>
                <w:lang w:val="en-US" w:eastAsia="zh-CN"/>
              </w:rPr>
              <w:t>三、加工中心主要技术参数：</w:t>
            </w:r>
            <w:r>
              <w:rPr>
                <w:rFonts w:hint="eastAsia"/>
                <w:color w:val="auto"/>
                <w:sz w:val="21"/>
                <w:szCs w:val="21"/>
                <w:lang w:val="en-US" w:eastAsia="zh-CN"/>
              </w:rPr>
              <w:br w:type="textWrapping"/>
            </w:r>
            <w:r>
              <w:rPr>
                <w:rFonts w:hint="eastAsia"/>
                <w:color w:val="auto"/>
                <w:sz w:val="21"/>
                <w:szCs w:val="21"/>
                <w:lang w:val="en-US" w:eastAsia="zh-CN"/>
              </w:rPr>
              <w:t>1.加工范围：</w:t>
            </w:r>
            <w:r>
              <w:rPr>
                <w:rFonts w:hint="eastAsia"/>
                <w:color w:val="auto"/>
                <w:sz w:val="21"/>
                <w:szCs w:val="21"/>
                <w:lang w:val="en-US" w:eastAsia="zh-CN"/>
              </w:rPr>
              <w:br w:type="textWrapping"/>
            </w:r>
            <w:r>
              <w:rPr>
                <w:rFonts w:hint="eastAsia"/>
                <w:color w:val="auto"/>
                <w:sz w:val="21"/>
                <w:szCs w:val="21"/>
                <w:lang w:val="en-US" w:eastAsia="zh-CN"/>
              </w:rPr>
              <w:t xml:space="preserve">(1)工作台行程(X轴)：≥800mm (2)滑鞍行程(Y轴)：≥550mm (3)主轴箱行程(Z轴)：≥600mm (4)第四轴回转直径：≥250mm </w:t>
            </w:r>
          </w:p>
          <w:p>
            <w:pPr>
              <w:keepNext w:val="0"/>
              <w:keepLines w:val="0"/>
              <w:widowControl/>
              <w:numPr>
                <w:ilvl w:val="0"/>
                <w:numId w:val="1"/>
              </w:numPr>
              <w:suppressLineNumbers w:val="0"/>
              <w:jc w:val="left"/>
              <w:textAlignment w:val="center"/>
              <w:rPr>
                <w:rFonts w:hint="eastAsia"/>
                <w:color w:val="auto"/>
                <w:sz w:val="21"/>
                <w:szCs w:val="21"/>
                <w:lang w:val="en-US" w:eastAsia="zh-CN"/>
              </w:rPr>
            </w:pPr>
            <w:r>
              <w:rPr>
                <w:rFonts w:hint="eastAsia"/>
                <w:color w:val="auto"/>
                <w:sz w:val="21"/>
                <w:szCs w:val="21"/>
                <w:lang w:val="en-US" w:eastAsia="zh-CN"/>
              </w:rPr>
              <w:t>主轴：</w:t>
            </w:r>
            <w:r>
              <w:rPr>
                <w:rFonts w:hint="eastAsia"/>
                <w:color w:val="auto"/>
                <w:sz w:val="21"/>
                <w:szCs w:val="21"/>
                <w:lang w:val="en-US" w:eastAsia="zh-CN"/>
              </w:rPr>
              <w:br w:type="textWrapping"/>
            </w:r>
            <w:r>
              <w:rPr>
                <w:rFonts w:hint="eastAsia"/>
                <w:color w:val="auto"/>
                <w:sz w:val="21"/>
                <w:szCs w:val="21"/>
                <w:lang w:val="en-US" w:eastAsia="zh-CN"/>
              </w:rPr>
              <w:t>(1)电机功率(额定）：≥7.5kw</w:t>
            </w:r>
          </w:p>
          <w:p>
            <w:pPr>
              <w:keepNext w:val="0"/>
              <w:keepLines w:val="0"/>
              <w:widowControl/>
              <w:numPr>
                <w:ilvl w:val="0"/>
                <w:numId w:val="2"/>
              </w:numPr>
              <w:suppressLineNumbers w:val="0"/>
              <w:ind w:left="45" w:leftChars="0" w:firstLine="0" w:firstLineChars="0"/>
              <w:jc w:val="left"/>
              <w:textAlignment w:val="center"/>
              <w:rPr>
                <w:rFonts w:hint="eastAsia"/>
                <w:color w:val="auto"/>
                <w:sz w:val="21"/>
                <w:szCs w:val="21"/>
                <w:lang w:val="en-US" w:eastAsia="zh-CN"/>
              </w:rPr>
            </w:pPr>
            <w:r>
              <w:rPr>
                <w:rFonts w:hint="eastAsia"/>
                <w:color w:val="auto"/>
                <w:sz w:val="21"/>
                <w:szCs w:val="21"/>
                <w:lang w:val="en-US" w:eastAsia="zh-CN"/>
              </w:rPr>
              <w:t>转速范围：≥50~12000r/min</w:t>
            </w:r>
          </w:p>
          <w:p>
            <w:pPr>
              <w:keepNext w:val="0"/>
              <w:keepLines w:val="0"/>
              <w:widowControl/>
              <w:numPr>
                <w:ilvl w:val="0"/>
                <w:numId w:val="2"/>
              </w:numPr>
              <w:suppressLineNumbers w:val="0"/>
              <w:ind w:left="45" w:leftChars="0" w:firstLine="0" w:firstLineChars="0"/>
              <w:jc w:val="left"/>
              <w:textAlignment w:val="center"/>
              <w:rPr>
                <w:rFonts w:hint="eastAsia"/>
                <w:color w:val="auto"/>
                <w:sz w:val="21"/>
                <w:szCs w:val="21"/>
                <w:lang w:val="en-US" w:eastAsia="zh-CN"/>
              </w:rPr>
            </w:pPr>
            <w:r>
              <w:rPr>
                <w:rFonts w:hint="eastAsia"/>
                <w:color w:val="auto"/>
                <w:sz w:val="21"/>
                <w:szCs w:val="21"/>
                <w:lang w:val="en-US" w:eastAsia="zh-CN"/>
              </w:rPr>
              <w:t>主轴直径：≥φ150mm</w:t>
            </w:r>
            <w:r>
              <w:rPr>
                <w:rFonts w:hint="eastAsia"/>
                <w:color w:val="auto"/>
                <w:sz w:val="21"/>
                <w:szCs w:val="21"/>
                <w:lang w:val="en-US" w:eastAsia="zh-CN"/>
              </w:rPr>
              <w:br w:type="textWrapping"/>
            </w:r>
            <w:r>
              <w:rPr>
                <w:rFonts w:hint="eastAsia"/>
                <w:color w:val="auto"/>
                <w:sz w:val="21"/>
                <w:szCs w:val="21"/>
                <w:lang w:val="en-US" w:eastAsia="zh-CN"/>
              </w:rPr>
              <w:t>(4)刀柄规格：BT40</w:t>
            </w:r>
            <w:r>
              <w:rPr>
                <w:rFonts w:hint="eastAsia"/>
                <w:color w:val="auto"/>
                <w:sz w:val="21"/>
                <w:szCs w:val="21"/>
                <w:lang w:val="en-US" w:eastAsia="zh-CN"/>
              </w:rPr>
              <w:br w:type="textWrapping"/>
            </w:r>
            <w:r>
              <w:rPr>
                <w:rFonts w:hint="eastAsia" w:ascii="宋体" w:hAnsi="宋体" w:eastAsia="宋体" w:cs="宋体"/>
                <w:i w:val="0"/>
                <w:iCs w:val="0"/>
                <w:color w:val="auto"/>
                <w:kern w:val="0"/>
                <w:sz w:val="21"/>
                <w:szCs w:val="21"/>
                <w:u w:val="none"/>
                <w:lang w:val="en-US" w:eastAsia="zh-CN" w:bidi="ar"/>
              </w:rPr>
              <w:t>▲</w:t>
            </w:r>
            <w:r>
              <w:rPr>
                <w:rFonts w:hint="eastAsia"/>
                <w:color w:val="auto"/>
                <w:sz w:val="21"/>
                <w:szCs w:val="21"/>
                <w:lang w:val="en-US" w:eastAsia="zh-CN"/>
              </w:rPr>
              <w:t>(5)电机功率X/Y/Z：≥2.3/3.6/4.6kw（需提供产品彩页或产品厂家官网截图并加盖投标人公章）</w:t>
            </w:r>
          </w:p>
          <w:p>
            <w:pPr>
              <w:keepNext w:val="0"/>
              <w:keepLines w:val="0"/>
              <w:widowControl/>
              <w:numPr>
                <w:ilvl w:val="0"/>
                <w:numId w:val="1"/>
              </w:numPr>
              <w:suppressLineNumbers w:val="0"/>
              <w:ind w:left="0" w:leftChars="0" w:firstLine="0" w:firstLineChars="0"/>
              <w:jc w:val="left"/>
              <w:textAlignment w:val="center"/>
              <w:rPr>
                <w:rFonts w:hint="eastAsia"/>
                <w:color w:val="auto"/>
                <w:sz w:val="21"/>
                <w:szCs w:val="21"/>
                <w:lang w:val="en-US" w:eastAsia="zh-CN"/>
              </w:rPr>
            </w:pPr>
            <w:r>
              <w:rPr>
                <w:rFonts w:hint="eastAsia"/>
                <w:color w:val="auto"/>
                <w:sz w:val="21"/>
                <w:szCs w:val="21"/>
                <w:lang w:val="en-US" w:eastAsia="zh-CN"/>
              </w:rPr>
              <w:t>速度：</w:t>
            </w:r>
            <w:r>
              <w:rPr>
                <w:rFonts w:hint="eastAsia"/>
                <w:color w:val="auto"/>
                <w:sz w:val="21"/>
                <w:szCs w:val="21"/>
                <w:lang w:val="en-US" w:eastAsia="zh-CN"/>
              </w:rPr>
              <w:br w:type="textWrapping"/>
            </w:r>
            <w:r>
              <w:rPr>
                <w:rFonts w:hint="eastAsia"/>
                <w:color w:val="auto"/>
                <w:sz w:val="21"/>
                <w:szCs w:val="21"/>
                <w:lang w:val="en-US" w:eastAsia="zh-CN"/>
              </w:rPr>
              <w:t>(1)切削进给速度范围：1-10000mm/min</w:t>
            </w:r>
            <w:r>
              <w:rPr>
                <w:rFonts w:hint="eastAsia"/>
                <w:color w:val="auto"/>
                <w:sz w:val="21"/>
                <w:szCs w:val="21"/>
                <w:lang w:val="en-US" w:eastAsia="zh-CN"/>
              </w:rPr>
              <w:br w:type="textWrapping"/>
            </w:r>
            <w:r>
              <w:rPr>
                <w:rFonts w:hint="eastAsia"/>
                <w:color w:val="auto"/>
                <w:sz w:val="21"/>
                <w:szCs w:val="21"/>
                <w:lang w:val="en-US" w:eastAsia="zh-CN"/>
              </w:rPr>
              <w:t xml:space="preserve">(2)X、Y、Z轴快移速度：≥48m/48m/48m/min </w:t>
            </w:r>
          </w:p>
          <w:p>
            <w:pPr>
              <w:keepNext w:val="0"/>
              <w:keepLines w:val="0"/>
              <w:widowControl/>
              <w:numPr>
                <w:ilvl w:val="0"/>
                <w:numId w:val="1"/>
              </w:numPr>
              <w:suppressLineNumbers w:val="0"/>
              <w:ind w:left="0" w:leftChars="0" w:firstLine="0" w:firstLineChars="0"/>
              <w:jc w:val="left"/>
              <w:textAlignment w:val="center"/>
              <w:rPr>
                <w:rFonts w:hint="eastAsia"/>
                <w:color w:val="auto"/>
                <w:sz w:val="21"/>
                <w:szCs w:val="21"/>
                <w:lang w:val="en-US" w:eastAsia="zh-CN"/>
              </w:rPr>
            </w:pPr>
            <w:r>
              <w:rPr>
                <w:rFonts w:hint="eastAsia"/>
                <w:color w:val="auto"/>
                <w:sz w:val="21"/>
                <w:szCs w:val="21"/>
                <w:lang w:val="en-US" w:eastAsia="zh-CN"/>
              </w:rPr>
              <w:t>机床精度：</w:t>
            </w:r>
            <w:r>
              <w:rPr>
                <w:rFonts w:hint="eastAsia"/>
                <w:color w:val="auto"/>
                <w:sz w:val="21"/>
                <w:szCs w:val="21"/>
                <w:lang w:val="en-US" w:eastAsia="zh-CN"/>
              </w:rPr>
              <w:br w:type="textWrapping"/>
            </w:r>
            <w:r>
              <w:rPr>
                <w:rFonts w:hint="eastAsia" w:ascii="宋体" w:hAnsi="宋体" w:eastAsia="宋体" w:cs="宋体"/>
                <w:i w:val="0"/>
                <w:iCs w:val="0"/>
                <w:color w:val="auto"/>
                <w:kern w:val="0"/>
                <w:sz w:val="21"/>
                <w:szCs w:val="21"/>
                <w:u w:val="none"/>
                <w:lang w:val="en-US" w:eastAsia="zh-CN" w:bidi="ar"/>
              </w:rPr>
              <w:t>▲</w:t>
            </w:r>
            <w:r>
              <w:rPr>
                <w:rFonts w:hint="eastAsia"/>
                <w:color w:val="auto"/>
                <w:sz w:val="21"/>
                <w:szCs w:val="21"/>
                <w:lang w:val="en-US" w:eastAsia="zh-CN"/>
              </w:rPr>
              <w:t>(1)定位精度（X/Y/Z）：≤0.01mm（需提供产品彩页或产品厂家官网截图并加盖投标人公章）</w:t>
            </w:r>
            <w:r>
              <w:rPr>
                <w:rFonts w:hint="eastAsia"/>
                <w:color w:val="auto"/>
                <w:sz w:val="21"/>
                <w:szCs w:val="21"/>
                <w:lang w:val="en-US" w:eastAsia="zh-CN"/>
              </w:rPr>
              <w:br w:type="textWrapping"/>
            </w:r>
            <w:r>
              <w:rPr>
                <w:rFonts w:hint="eastAsia" w:ascii="宋体" w:hAnsi="宋体" w:eastAsia="宋体" w:cs="宋体"/>
                <w:i w:val="0"/>
                <w:iCs w:val="0"/>
                <w:color w:val="auto"/>
                <w:kern w:val="0"/>
                <w:sz w:val="21"/>
                <w:szCs w:val="21"/>
                <w:u w:val="none"/>
                <w:lang w:val="en-US" w:eastAsia="zh-CN" w:bidi="ar"/>
              </w:rPr>
              <w:t>▲</w:t>
            </w:r>
            <w:r>
              <w:rPr>
                <w:rFonts w:hint="eastAsia"/>
                <w:color w:val="auto"/>
                <w:sz w:val="21"/>
                <w:szCs w:val="21"/>
                <w:lang w:val="en-US" w:eastAsia="zh-CN"/>
              </w:rPr>
              <w:t>(2)重复定位精度（X/Y/Z）：≤0.01mm （需提供产品彩页或产品厂家官网截图并加盖投标人公章）</w:t>
            </w:r>
          </w:p>
          <w:p>
            <w:pPr>
              <w:keepNext w:val="0"/>
              <w:keepLines w:val="0"/>
              <w:widowControl/>
              <w:numPr>
                <w:ilvl w:val="0"/>
                <w:numId w:val="0"/>
              </w:numPr>
              <w:suppressLineNumbers w:val="0"/>
              <w:ind w:leftChars="0"/>
              <w:jc w:val="left"/>
              <w:textAlignment w:val="center"/>
              <w:rPr>
                <w:rFonts w:hint="eastAsia"/>
                <w:color w:val="auto"/>
                <w:sz w:val="21"/>
                <w:szCs w:val="21"/>
                <w:lang w:val="en-US" w:eastAsia="zh-CN"/>
              </w:rPr>
            </w:pPr>
            <w:r>
              <w:rPr>
                <w:rFonts w:hint="eastAsia"/>
                <w:color w:val="auto"/>
                <w:sz w:val="21"/>
                <w:szCs w:val="21"/>
                <w:lang w:val="en-US" w:eastAsia="zh-CN"/>
              </w:rPr>
              <w:t>5.刀库容量：≥24把</w:t>
            </w:r>
            <w:r>
              <w:rPr>
                <w:rFonts w:hint="eastAsia"/>
                <w:color w:val="auto"/>
                <w:sz w:val="21"/>
                <w:szCs w:val="21"/>
                <w:lang w:val="en-US" w:eastAsia="zh-CN"/>
              </w:rPr>
              <w:br w:type="textWrapping"/>
            </w:r>
            <w:r>
              <w:rPr>
                <w:rFonts w:hint="eastAsia"/>
                <w:color w:val="auto"/>
                <w:sz w:val="21"/>
                <w:szCs w:val="21"/>
                <w:lang w:val="en-US" w:eastAsia="zh-CN"/>
              </w:rPr>
              <w:t>6.机床外观尺寸（长×宽×高）：≥2460mm×3200mm×2900mm</w:t>
            </w:r>
            <w:r>
              <w:rPr>
                <w:rFonts w:hint="eastAsia"/>
                <w:color w:val="auto"/>
                <w:sz w:val="21"/>
                <w:szCs w:val="21"/>
                <w:lang w:val="en-US" w:eastAsia="zh-CN"/>
              </w:rPr>
              <w:br w:type="textWrapping"/>
            </w:r>
            <w:r>
              <w:rPr>
                <w:rFonts w:hint="eastAsia"/>
                <w:color w:val="auto"/>
                <w:sz w:val="21"/>
                <w:szCs w:val="21"/>
                <w:lang w:val="en-US" w:eastAsia="zh-CN"/>
              </w:rPr>
              <w:t>7.主机重量：≥5000kg</w:t>
            </w:r>
          </w:p>
          <w:p>
            <w:pPr>
              <w:keepNext w:val="0"/>
              <w:keepLines w:val="0"/>
              <w:widowControl/>
              <w:numPr>
                <w:ilvl w:val="0"/>
                <w:numId w:val="0"/>
              </w:numPr>
              <w:suppressLineNumbers w:val="0"/>
              <w:jc w:val="left"/>
              <w:textAlignment w:val="center"/>
              <w:rPr>
                <w:rFonts w:hint="eastAsia"/>
                <w:color w:val="auto"/>
                <w:sz w:val="21"/>
                <w:szCs w:val="21"/>
                <w:lang w:val="en-US" w:eastAsia="zh-CN"/>
              </w:rPr>
            </w:pPr>
            <w:r>
              <w:rPr>
                <w:rFonts w:hint="eastAsia"/>
                <w:color w:val="auto"/>
                <w:sz w:val="21"/>
                <w:szCs w:val="21"/>
                <w:lang w:val="en-US" w:eastAsia="zh-CN"/>
              </w:rPr>
              <w:t>8.</w:t>
            </w:r>
            <w:r>
              <w:rPr>
                <w:rFonts w:hint="eastAsia" w:ascii="宋体" w:hAnsi="宋体" w:eastAsia="宋体" w:cs="宋体"/>
                <w:i w:val="0"/>
                <w:iCs w:val="0"/>
                <w:color w:val="auto"/>
                <w:kern w:val="0"/>
                <w:sz w:val="21"/>
                <w:szCs w:val="21"/>
                <w:u w:val="none"/>
                <w:lang w:val="en-US" w:eastAsia="zh-CN" w:bidi="ar"/>
              </w:rPr>
              <w:t>配套附件（刀具、刀柄、夹具、脚踏板）</w:t>
            </w:r>
          </w:p>
          <w:p>
            <w:pPr>
              <w:pStyle w:val="3"/>
              <w:widowControl w:val="0"/>
              <w:numPr>
                <w:ilvl w:val="0"/>
                <w:numId w:val="0"/>
              </w:numPr>
              <w:autoSpaceDE/>
              <w:autoSpaceDN/>
              <w:adjustRightInd/>
              <w:spacing w:after="120"/>
              <w:jc w:val="both"/>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机床踏板 钢制≤1800×1000×210mm踏台、表面要网格镂空,防滑钢板、黑色、垫脚防滑 1张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CNC重型铣床平口钳 6寸 1个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虎钳平行垫块 18件套150mm长,10mm厚（热处理加硬） 1套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BT40刀柄 BT40-ER32-70L（带拉钉） 5个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自夹紧钻夹头 BT40-APU16(带拉钉）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ER32弹性筒夹头 ER32-2mm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ER32弹性筒夹头 ER32-3mm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ER32弹性筒夹头 ER32-4mm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ER32弹性筒夹头 ER32-5mm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ER32弹性筒夹头 ER32-6mm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ER32弹性筒夹头 ER32-8mm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ER32弹性筒夹头 ER32-10mm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ER32弹性筒夹头 ER32-12mm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ER32弹性筒夹头 ER32-16mm 1个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硬质合金重载四刃铣刀 Ø12.0*12*25*75L XH 2把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硬质合金重载四刃铣刀 Ø10.0*10*23*75L XH 2把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硬质合金重载四刃铣刀 Ø8.0*8*20*75L XH 2把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硬质合金重载四刃铣刀 Ø6.0*6*20*60L XH 2把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硬质合金重载四刃铣刀 Ø4.0*6*20*60L XH 2把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数显卡尺 500-197-30/0-200mm公英制带滚轮 1把</w:t>
            </w:r>
          </w:p>
        </w:tc>
        <w:tc>
          <w:tcPr>
            <w:tcW w:w="4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4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20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334,400.00 </w:t>
            </w:r>
          </w:p>
        </w:tc>
        <w:tc>
          <w:tcPr>
            <w:tcW w:w="13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3,344,000.00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40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u w:val="none"/>
              </w:rPr>
            </w:pPr>
          </w:p>
        </w:tc>
        <w:tc>
          <w:tcPr>
            <w:tcW w:w="4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4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2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1"/>
                <w:szCs w:val="21"/>
                <w:u w:val="none"/>
              </w:rPr>
            </w:pP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82"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19"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课程资源包</w:t>
            </w:r>
          </w:p>
        </w:tc>
        <w:tc>
          <w:tcPr>
            <w:tcW w:w="4011"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一、基本要求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本数字化制造案例教学资源库系统是一套完整的数控多轴编程课程体系和工业4.0智能制造基于项目资源体系，整个系统包括三轴、四轴、五轴、多轴虚拟机床仿真、工业4.0智能制造个学习单元。每个课时中配有相应的30+视频案例，PPT教程，课后练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2.本系统针对案例式教学项目，有效地训练学生编程技巧与实战能力。学生可根据自己的学习需求，通过系统进行针对性、反复性地学习，达到学习效果。每单元还有测验环节来测试学生的成绩。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1.系统采用B/S结构，不需要安装客户端，满足学生随时随地进行学习的需求，支持移动端访问。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2.采用MVC三层架构进行开发，支持局域网和互联网使用；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3.软件需由PHP开发语言、ThinkPHP框架和layui进行开发；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4.采用Apache 2.4以上web服务器，同时支持iis web端运行；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5.采用开源MySQL数据库进行数据存储；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6.跨平台运行，支持windows、Linux操作系统的部署；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7.必须支持手机端扫码登录；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8.必须支持所有资源扫码打开与下载；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9.必须支持平台搜索功能，任意关键字搜索；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10.支持后台设置所有资源禁止下载，设置指定资源允许下载。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三、功能要求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1.三种用户角色，管理员、教师和学生，不同角色提供不同功能和页面展示；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2.教师可以对学生、班级进行管理，支持批量添加学生账号，同时支持excel导入功能；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3.系统需提供丰富的交互性和情景式学习，主要提供以下几种人机交互模式，如：视频、PPT、模型、作业选择，系统对给出作业自动统计分析；）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4.系统需要覆盖32个学时以上，系统实训内容覆盖数控多轴加工中心、多轴虚拟机床仿真教学、工业4.0-智能制造基于项目资源等方面的基本商务知识点；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5.系统提供至少3套数控编程软件实操案例讲解，主要可包括如下场景的训练：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三轴加工中心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01案例-方体零件加工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02案例-型腔零件加工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03案例-二次残留加工案例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04案例-定位孔零件加工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05案例-开放型腔零件加工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06案例-综合零件倒角功能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07案例-半圆薄壁件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08案例-U形凹槽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09案例-U形凸台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10案例-螺纹加工案例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11案例-组合装配零件加工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12案例-凹球体曲面加工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13案例-凸球体曲面加工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14案例-不规则曲面加工案例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15案例-加工中心高级考证零件一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四轴加工中心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01案例-4X手柄零件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02案例-4X伞型零件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工业4.0-智能制造基于项目资源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01项目分析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02项目分析及MES功能介绍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03项目PLC基本组态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04项目PLC程序块及指令</w:t>
            </w:r>
          </w:p>
        </w:tc>
        <w:tc>
          <w:tcPr>
            <w:tcW w:w="447"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447"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06" w:type="dxa"/>
            <w:vMerge w:val="restar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50,000.00 </w:t>
            </w:r>
          </w:p>
        </w:tc>
        <w:tc>
          <w:tcPr>
            <w:tcW w:w="1395" w:type="dxa"/>
            <w:vMerge w:val="restar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50,000.00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82"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619"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4011" w:type="dxa"/>
            <w:vMerge w:val="continue"/>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21"/>
                <w:szCs w:val="21"/>
                <w:u w:val="none"/>
              </w:rPr>
            </w:pPr>
          </w:p>
        </w:tc>
        <w:tc>
          <w:tcPr>
            <w:tcW w:w="447"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447"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u w:val="none"/>
              </w:rPr>
            </w:pPr>
          </w:p>
        </w:tc>
        <w:tc>
          <w:tcPr>
            <w:tcW w:w="1206" w:type="dxa"/>
            <w:vMerge w:val="continue"/>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1"/>
                <w:szCs w:val="21"/>
                <w:u w:val="none"/>
              </w:rPr>
            </w:pPr>
          </w:p>
        </w:tc>
        <w:tc>
          <w:tcPr>
            <w:tcW w:w="1395" w:type="dxa"/>
            <w:vMerge w:val="continue"/>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3</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BT40拆刀台</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尺寸：≥900*600*880mm；台面厚：≥3.00mm</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1,200.00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2,400.00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图形工作站</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1.处理器：Intel i7同等以上处理器；2.内  存：≥16GB；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3.硬  盘：≥1TB SSD；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4.显  卡：≥2GB；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5.显示屏：≥21寸</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7,500.00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75,000.00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画图模块桌子椅子(工具柜一体)</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尺寸：≥长2065*高1350mm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产品材质:冷轧钢板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产品颜色:桔灰色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产品工艺:激光切割，折弯，焊接，酸洗磷化，静电喷塑</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950.00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9,500.02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实训终端</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1.处理器：Intel i7同等以上处理器；2.内  存：≥16GB；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3.硬  盘：≥1TB SSD；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4.显  卡：≥2GB；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5.显示屏：≥21寸</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7,500.00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382,500.00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教师（教学）桌椅</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桌子规格：</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1400*600*750mm.材质:桌面环保高密度板，脚架表面经除油、除锈，酸洗、磷化或喷砂抛丸后静电喷涂;防火耐腐蚀，预留安装面板插座位置。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椅子规格：</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420*400*900mm</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材质：橡木，入榫工艺，凳面2.0厚橡木板。环保木器漆、五底三面、硬度高光泽度好、耐水、耐磨、原木色。五金配件，用加厚、优质五金连接件、牢固耐用。</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750.00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750.00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学生桌子</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桌子规格:双人位</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1200*600*750mm.材质:桌面环保高密度板，脚架表面经除油、除锈，酸洗、磷化或喷砂抛丸后静电喷涂;防火耐腐蚀，预留安装面板插座位置。</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540.00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13,500.00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学生凳</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凳子规格：</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250*350*450cm  凳面采用</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2.5cm多层实木板，耐磨，防污，高硬度，圆边圆角处理。金属脚架强度高，钢性好，不变形</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85.00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4,250.00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10</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无线蓝牙音箱</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1、频率响应：</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 xml:space="preserve">50Hz-20KHz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2、阻抗：</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 xml:space="preserve">8 ohms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3、额定功率：</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 xml:space="preserve">100W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4、峰值功率：</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 xml:space="preserve">200W/5Min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5、灵敏度：</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 xml:space="preserve">90dB（2.83v/m）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6、最大声压：</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 xml:space="preserve">108dB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7、尺寸：</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 xml:space="preserve">256×451×237mm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8、低频：</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 xml:space="preserve">8 IN×1（210mm） </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9、高频：</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3 IN×2</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1,650.00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1,650.00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11</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无线手持麦克风</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二、无线话筒（1支）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1．充电功率：</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5V，800mA；</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2．充电时间：无电约1.5h；</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3．通信接口： RS485；</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4．通信接口波特率：115200；</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5．通信协议：MODBUS-RTU；</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6．状态指示：支持无信号，正常工作，报警指示；</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7．接收通道：</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2通道。</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1,390.00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1,390.00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12</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 口交换机</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网络交换机：24个10/100/1000BASE-T以太网端口，4个千兆SFP，交流供电。</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1,830.00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5,490.00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13</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22U网络机柜，规格：</w:t>
            </w:r>
            <w:r>
              <w:rPr>
                <w:rFonts w:hint="eastAsia" w:ascii="宋体" w:hAnsi="宋体" w:eastAsia="宋体" w:cs="宋体"/>
                <w:color w:val="auto"/>
                <w:sz w:val="21"/>
                <w:szCs w:val="21"/>
                <w:highlight w:val="none"/>
                <w:lang w:bidi="ar"/>
              </w:rPr>
              <w:t>≥</w:t>
            </w:r>
            <w:r>
              <w:rPr>
                <w:rFonts w:hint="eastAsia" w:ascii="宋体" w:hAnsi="宋体" w:eastAsia="宋体" w:cs="宋体"/>
                <w:i w:val="0"/>
                <w:iCs w:val="0"/>
                <w:color w:val="auto"/>
                <w:kern w:val="0"/>
                <w:sz w:val="21"/>
                <w:szCs w:val="21"/>
                <w:highlight w:val="none"/>
                <w:u w:val="none"/>
                <w:lang w:val="en-US" w:eastAsia="zh-CN" w:bidi="ar"/>
              </w:rPr>
              <w:t>600×600×1200mm；</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1,611.60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1,611.60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3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14</w:t>
            </w:r>
          </w:p>
        </w:tc>
        <w:tc>
          <w:tcPr>
            <w:tcW w:w="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黑板</w:t>
            </w:r>
          </w:p>
        </w:tc>
        <w:tc>
          <w:tcPr>
            <w:tcW w:w="40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推拉平面树脂绿板黑板，环保护眼；尺寸不小于120*400CM</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1,650.00 </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1,650.00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592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总合计：元</w:t>
            </w:r>
          </w:p>
        </w:tc>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b/>
                <w:bCs/>
                <w:i w:val="0"/>
                <w:iCs w:val="0"/>
                <w:color w:val="auto"/>
                <w:sz w:val="21"/>
                <w:szCs w:val="21"/>
                <w:u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 xml:space="preserve"> 3,893,691.63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二、河源理工学校数控专业群CAD-CAM一体化技术实训室升级改造项目-配套安装工程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52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tbl>
            <w:tblPr>
              <w:tblStyle w:val="4"/>
              <w:tblW w:w="0" w:type="auto"/>
              <w:tblInd w:w="-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
              <w:gridCol w:w="411"/>
              <w:gridCol w:w="5"/>
              <w:gridCol w:w="1411"/>
              <w:gridCol w:w="5"/>
              <w:gridCol w:w="1211"/>
              <w:gridCol w:w="5"/>
              <w:gridCol w:w="1576"/>
              <w:gridCol w:w="807"/>
              <w:gridCol w:w="704"/>
              <w:gridCol w:w="5"/>
              <w:gridCol w:w="911"/>
              <w:gridCol w:w="5"/>
              <w:gridCol w:w="1012"/>
              <w:gridCol w:w="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dxa"/>
                <w:trHeight w:val="345" w:hRule="atLeast"/>
              </w:trPr>
              <w:tc>
                <w:tcPr>
                  <w:tcW w:w="416"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序号</w:t>
                  </w:r>
                </w:p>
              </w:tc>
              <w:tc>
                <w:tcPr>
                  <w:tcW w:w="1416"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项目编码</w:t>
                  </w:r>
                </w:p>
              </w:tc>
              <w:tc>
                <w:tcPr>
                  <w:tcW w:w="1216"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项目名称</w:t>
                  </w:r>
                </w:p>
              </w:tc>
              <w:tc>
                <w:tcPr>
                  <w:tcW w:w="157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项目特征描述</w:t>
                  </w:r>
                </w:p>
              </w:tc>
              <w:tc>
                <w:tcPr>
                  <w:tcW w:w="807"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计量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单位</w:t>
                  </w:r>
                </w:p>
              </w:tc>
              <w:tc>
                <w:tcPr>
                  <w:tcW w:w="709"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工程量</w:t>
                  </w:r>
                </w:p>
              </w:tc>
              <w:tc>
                <w:tcPr>
                  <w:tcW w:w="1933"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5" w:type="dxa"/>
                <w:trHeight w:val="345" w:hRule="atLeast"/>
              </w:trPr>
              <w:tc>
                <w:tcPr>
                  <w:tcW w:w="416"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auto"/>
                      <w:sz w:val="21"/>
                      <w:szCs w:val="21"/>
                      <w:u w:val="none"/>
                    </w:rPr>
                  </w:pPr>
                </w:p>
              </w:tc>
              <w:tc>
                <w:tcPr>
                  <w:tcW w:w="1416"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auto"/>
                      <w:sz w:val="21"/>
                      <w:szCs w:val="21"/>
                      <w:u w:val="none"/>
                    </w:rPr>
                  </w:pPr>
                </w:p>
              </w:tc>
              <w:tc>
                <w:tcPr>
                  <w:tcW w:w="1216"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auto"/>
                      <w:sz w:val="21"/>
                      <w:szCs w:val="21"/>
                      <w:u w:val="none"/>
                    </w:rPr>
                  </w:pPr>
                </w:p>
              </w:tc>
              <w:tc>
                <w:tcPr>
                  <w:tcW w:w="157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auto"/>
                      <w:sz w:val="21"/>
                      <w:szCs w:val="21"/>
                      <w:u w:val="none"/>
                    </w:rPr>
                  </w:pPr>
                </w:p>
              </w:tc>
              <w:tc>
                <w:tcPr>
                  <w:tcW w:w="807"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auto"/>
                      <w:sz w:val="21"/>
                      <w:szCs w:val="21"/>
                      <w:u w:val="none"/>
                    </w:rPr>
                  </w:pPr>
                </w:p>
              </w:tc>
              <w:tc>
                <w:tcPr>
                  <w:tcW w:w="709"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hint="eastAsia" w:ascii="宋体" w:hAnsi="宋体" w:eastAsia="宋体" w:cs="宋体"/>
                      <w:i w:val="0"/>
                      <w:iCs w:val="0"/>
                      <w:color w:val="auto"/>
                      <w:sz w:val="21"/>
                      <w:szCs w:val="21"/>
                      <w:u w:val="none"/>
                    </w:rPr>
                  </w:pP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预算单价</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预算合价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159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011605001001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拆除原有地板及砂浆结合层</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1.平面块料拆除 块料面层 水泥砂浆结合层 铲除找平层 人工费+200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2.拆除废料外运 人工装自卸汽车运 综合运距</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70.05</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26.86</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1881.54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1335"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011602001001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拆除400x400混凝土排水沟</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1.风动凿岩机拆除现浇混凝土 混凝土基础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2.拆除废料外运 人工装自卸汽车运 综合运距</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m3</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3.39</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495.86</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1680.97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7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011609002001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拆除铝合金玻璃隔墙</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1.隔断隔墙拆除 金属龙骨 镜面、玻璃面</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33.44</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13.31</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445.09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15"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011614006001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窗帘轨拆除</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1.窗帘轨拆除</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55.76</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7.31</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407.61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315"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011613001001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拆除吊链灯</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1.成套型荧光灯具 单管</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108</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7.98</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861.84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7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011612001001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拆除金属水管</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1.钢管、钢塑复合管 公称直径(mm以内) 40</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16.36</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10.88</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7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011611005001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拆除金属桥架</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1.金属线槽 宽+高(mm以内) 300</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6.4</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5.09</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7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011611005002</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拆除原有强电线路</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1.线槽内导线 导线截面(mm2以内) 6</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583.2</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0.4</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233.28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7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011613001002</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拆除投影仪、投影布</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1.其他电气屏(柜)拆除其他电气屏(柜)</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206.91</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206.91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825"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030610001001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设备拆除搬运7台</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1.操作台 人工*0.7,材料*0,机械*0.7,设备*0,主材*0</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532.07</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3724.49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7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010102007001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回填砂</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1.回填砂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2.人工运土方 20m以内</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m3</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5.09</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236.39</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1203.23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159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011101001001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现浇水磨石楼地面</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1.楼地面普通水磨石整体面层 玻璃嵌条 20+15mm 实际水磨石子浆厚度(mm):20 合并制作子目 抹灰水泥砂浆(配合比) 中砂 1:2.5</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74.29</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135.35</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10055.15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1335"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011207002001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铝合金玻璃隔断</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1.玻璃隔断 铝合金玻璃固定隔断 合并制作子目 抹灰水泥砂浆(配合比) 中砂 1:2 换为【钢化玻璃12】</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32.12</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183.08</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5880.53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159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011302001002</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600*600铝扣板吊顶</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1.装配式轻钢天棚龙骨(不上人型) 面层规格(mm) 600×600 平面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2.方型铝扣板面层 600×600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3.铝扣板面层收边线</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614.8</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138.18</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84953.06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1845"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011403001001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乳胶漆墙面</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1.乳胶漆底油二遍面油二遍 抹灰面 墙柱面 实际底漆遍数(遍):1 实际面漆遍数(遍):1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2.成品腻子膏(一般型)Y型 墙面 满刮一遍 实际腻子遍数(遍):2</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359.01</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35.02</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12572.53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108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011507001002</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软膜灯箱专业文化展示板（双面软膜）</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1.基层 墙面灯箱基层 铝合金框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2.灯箱、广告牌面层 灯箱布</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32.48</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559.1</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18159.57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6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010810001002</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窗帘</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1.成品窗帘安装 装饰布帘</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m2</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270.44</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55.94</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15128.41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010810002001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窗帘盒</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1.明装式铝合金窗帘轨 双轨</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55.76</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63.66</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3549.68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030402011001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成套弱电箱</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1.成套配电箱安装 悬挂式(半周长m以内) 0.5</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758.25</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758.25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030412001001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刚性难燃管 DN25</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1.刚性难燃线管砖、混凝土结构暗配 公称直径(mm以内) 25</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496.24</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12.59</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6247.66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030412002001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塑料线槽</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1.难燃线槽安装 线槽断面周长(mm以内) 120</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96</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18.41</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1767.36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030413001001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600x600LED平板灯</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1.LED方型扣板式天花灯安装 半周长(mm) &gt;1000</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65</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171.57</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11152.05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030413013001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照明开关</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1.照明开关安装 扳式暗开关(单控) 三联</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27.27</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030413014001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二三插座</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1.单相暗插座安装 单相(A以下) 16</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169</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26.13</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4415.97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030413014002</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空调插座</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1.单相暗插座安装 单相(A以下) 16</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36.05</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030502010001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网络插座</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1.安装8位模块式信息插座 单口</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33.8</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1791.4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031001002001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镀锌钢管 DN32</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1.给排水管道 室内镀锌钢管(螺纹连接) 公称直径(mm以内) 32</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84.51</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60.57</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5118.77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040804002001</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超六类双绞线</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1.敷设双绞线缆或电话线 管、暗槽内穿放(对以内) 4</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603.95</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3.79</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2288.97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040804002002</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配线 BV 6mm2</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1.线槽配线 导线截面(mm2以内) 6</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1154.47</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6.5</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7504.06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040804002003</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配线 BV 4mm2</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1.线槽配线 导线截面(mm2以内) 6</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59.59</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303.91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54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4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040804002004</w:t>
                  </w:r>
                </w:p>
              </w:tc>
              <w:tc>
                <w:tcPr>
                  <w:tcW w:w="12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配线 BV 2.5mm2</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1.线槽配线 导线截面(mm2以内) 6</w:t>
                  </w:r>
                </w:p>
              </w:tc>
              <w:tc>
                <w:tcPr>
                  <w:tcW w:w="807"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c>
                <w:tcPr>
                  <w:tcW w:w="70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1189.31</w:t>
                  </w:r>
                </w:p>
              </w:tc>
              <w:tc>
                <w:tcPr>
                  <w:tcW w:w="916" w:type="dxa"/>
                  <w:gridSpan w:val="2"/>
                  <w:tcBorders>
                    <w:top w:val="single" w:color="000000" w:sz="4" w:space="0"/>
                    <w:left w:val="single" w:color="000000" w:sz="4" w:space="0"/>
                    <w:bottom w:val="single" w:color="000000" w:sz="4" w:space="0"/>
                    <w:right w:val="nil"/>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3.85</w:t>
                  </w:r>
                </w:p>
              </w:tc>
              <w:tc>
                <w:tcPr>
                  <w:tcW w:w="1017"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4578.84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60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2632" w:type="dxa"/>
                  <w:gridSpan w:val="4"/>
                  <w:tcBorders>
                    <w:top w:val="single" w:color="000000" w:sz="4" w:space="0"/>
                    <w:left w:val="single" w:color="000000" w:sz="4"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绿色施工安全防护措施费</w:t>
                  </w:r>
                </w:p>
              </w:tc>
              <w:tc>
                <w:tcPr>
                  <w:tcW w:w="1581" w:type="dxa"/>
                  <w:gridSpan w:val="2"/>
                  <w:tcBorders>
                    <w:top w:val="single" w:color="000000" w:sz="4" w:space="0"/>
                    <w:left w:val="single" w:color="000000" w:sz="4"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16" w:type="dxa"/>
                  <w:gridSpan w:val="2"/>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17295.7</w:t>
                  </w:r>
                </w:p>
              </w:tc>
              <w:tc>
                <w:tcPr>
                  <w:tcW w:w="101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17295.7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60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2632" w:type="dxa"/>
                  <w:gridSpan w:val="4"/>
                  <w:tcBorders>
                    <w:top w:val="single" w:color="000000" w:sz="4" w:space="0"/>
                    <w:left w:val="single" w:color="000000" w:sz="4"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税前工程造价</w:t>
                  </w:r>
                </w:p>
              </w:tc>
              <w:tc>
                <w:tcPr>
                  <w:tcW w:w="1581" w:type="dxa"/>
                  <w:gridSpan w:val="2"/>
                  <w:tcBorders>
                    <w:top w:val="single" w:color="000000" w:sz="4" w:space="0"/>
                    <w:left w:val="single" w:color="000000" w:sz="4"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93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224558.59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60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2632" w:type="dxa"/>
                  <w:gridSpan w:val="4"/>
                  <w:tcBorders>
                    <w:top w:val="single" w:color="000000" w:sz="4" w:space="0"/>
                    <w:left w:val="single" w:color="000000" w:sz="4"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增值税销项税额</w:t>
                  </w:r>
                </w:p>
              </w:tc>
              <w:tc>
                <w:tcPr>
                  <w:tcW w:w="1581" w:type="dxa"/>
                  <w:gridSpan w:val="2"/>
                  <w:tcBorders>
                    <w:top w:val="single" w:color="000000" w:sz="4" w:space="0"/>
                    <w:left w:val="single" w:color="000000" w:sz="4" w:space="0"/>
                    <w:bottom w:val="nil"/>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151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93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20210.27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5" w:type="dxa"/>
                <w:trHeight w:val="600" w:hRule="atLeast"/>
              </w:trPr>
              <w:tc>
                <w:tcPr>
                  <w:tcW w:w="416" w:type="dxa"/>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2632" w:type="dxa"/>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总造价</w:t>
                  </w:r>
                </w:p>
              </w:tc>
              <w:tc>
                <w:tcPr>
                  <w:tcW w:w="158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c>
                <w:tcPr>
                  <w:tcW w:w="1511" w:type="dxa"/>
                  <w:gridSpan w:val="2"/>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93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244768.86</w:t>
                  </w:r>
                </w:p>
              </w:tc>
            </w:tr>
          </w:tbl>
          <w:p>
            <w:pPr>
              <w:keepNext w:val="0"/>
              <w:keepLines w:val="0"/>
              <w:widowControl/>
              <w:suppressLineNumbers w:val="0"/>
              <w:jc w:val="right"/>
              <w:textAlignment w:val="center"/>
              <w:rPr>
                <w:rFonts w:hint="eastAsia" w:ascii="宋体" w:hAnsi="宋体" w:eastAsia="宋体" w:cs="宋体"/>
                <w:b/>
                <w:bCs/>
                <w:i w:val="0"/>
                <w:iCs w:val="0"/>
                <w:color w:val="auto"/>
                <w:kern w:val="0"/>
                <w:sz w:val="21"/>
                <w:szCs w:val="21"/>
                <w:u w:val="none"/>
                <w:lang w:val="en-US" w:eastAsia="zh-CN" w:bidi="ar"/>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88CC1"/>
    <w:multiLevelType w:val="singleLevel"/>
    <w:tmpl w:val="82988CC1"/>
    <w:lvl w:ilvl="0" w:tentative="0">
      <w:start w:val="2"/>
      <w:numFmt w:val="decimal"/>
      <w:lvlText w:val="(%1)"/>
      <w:lvlJc w:val="left"/>
      <w:pPr>
        <w:tabs>
          <w:tab w:val="left" w:pos="312"/>
        </w:tabs>
        <w:ind w:left="45" w:leftChars="0" w:firstLine="0" w:firstLineChars="0"/>
      </w:pPr>
    </w:lvl>
  </w:abstractNum>
  <w:abstractNum w:abstractNumId="1">
    <w:nsid w:val="A9917938"/>
    <w:multiLevelType w:val="singleLevel"/>
    <w:tmpl w:val="A9917938"/>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EE6FFF"/>
    <w:rsid w:val="40EE6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Times New Roman" w:hAnsi="Times New Roman" w:eastAsia="宋体" w:cs="Times New Roman"/>
      <w:sz w:val="21"/>
      <w:szCs w:val="21"/>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Cambria" w:hAnsi="Cambria"/>
      <w:b/>
      <w:bCs/>
      <w:sz w:val="32"/>
      <w:szCs w:val="32"/>
    </w:rPr>
  </w:style>
  <w:style w:type="paragraph" w:styleId="3">
    <w:name w:val="Body Text"/>
    <w:basedOn w:val="1"/>
    <w:qFormat/>
    <w:uiPriority w:val="0"/>
    <w:pPr>
      <w:autoSpaceDE/>
      <w:autoSpaceDN/>
      <w:adjustRightInd/>
      <w:spacing w:after="120"/>
      <w:jc w:val="both"/>
    </w:pPr>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2026-08-10T04:06:00Z</dcterms:created>
  <dc:creator>hy318</dc:creator>
  <cp:lastModifiedBy>hy318</cp:lastModifiedBy>
  <dcterms:modified xsi:type="dcterms:W3CDTF">2026-08-10T04:06:58Z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B59F8FB9386B43289C9FA7ADF15499DF</vt:lpwstr>
  </property>
</Properties>
</file>