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版本号：N513232202500012120250828001</w:t>
      </w:r>
    </w:p>
    <w:p>
      <w:pPr>
        <w:pStyle w:val="null3"/>
        <w:jc w:val="center"/>
        <w:outlineLvl w:val="0"/>
      </w:pPr>
      <w:r>
        <w:rPr>
          <w:rFonts w:ascii="仿宋_GB2312" w:hAnsi="仿宋_GB2312" w:cs="仿宋_GB2312" w:eastAsia="仿宋_GB2312"/>
          <w:sz w:val="48"/>
          <w:b/>
        </w:rPr>
        <w:t>竞 争 性 磋 商 文 件</w:t>
      </w:r>
    </w:p>
    <w:p>
      <w:pPr>
        <w:pStyle w:val="null3"/>
        <w:jc w:val="center"/>
        <w:outlineLvl w:val="0"/>
      </w:pPr>
      <w:r>
        <w:rPr>
          <w:rFonts w:ascii="仿宋_GB2312" w:hAnsi="仿宋_GB2312" w:cs="仿宋_GB2312" w:eastAsia="仿宋_GB2312"/>
          <w:sz w:val="48"/>
          <w:b/>
        </w:rPr>
        <w:t>（服务类）</w:t>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若尔盖县一河（湖）一策管理保护方案编制（2026-2030年）</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N5132322025000121</w:t>
      </w:r>
    </w:p>
    <w:p>
      <w:pPr>
        <w:pStyle w:val="null3"/>
        <w:jc w:val="center"/>
        <w:outlineLvl w:val="2"/>
      </w:pPr>
      <w:r>
        <w:rPr>
          <w:rFonts w:ascii="仿宋_GB2312" w:hAnsi="仿宋_GB2312" w:cs="仿宋_GB2312" w:eastAsia="仿宋_GB2312"/>
          <w:sz w:val="28"/>
          <w:b/>
        </w:rPr>
        <w:t>若尔盖县水务局</w:t>
      </w:r>
    </w:p>
    <w:p>
      <w:pPr>
        <w:pStyle w:val="null3"/>
        <w:jc w:val="center"/>
        <w:outlineLvl w:val="2"/>
      </w:pPr>
      <w:r>
        <w:rPr>
          <w:rFonts w:ascii="仿宋_GB2312" w:hAnsi="仿宋_GB2312" w:cs="仿宋_GB2312" w:eastAsia="仿宋_GB2312"/>
          <w:sz w:val="28"/>
          <w:b/>
        </w:rPr>
        <w:t>四川易通天和招标代理有限公司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2025年08月29日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jc w:val="left"/>
      </w:pPr>
      <w:r>
        <w:rPr>
          <w:rFonts w:ascii="仿宋_GB2312" w:hAnsi="仿宋_GB2312" w:cs="仿宋_GB2312" w:eastAsia="仿宋_GB2312"/>
        </w:rPr>
        <w:t>四川易通天和招标代理有限公司</w:t>
      </w:r>
      <w:r>
        <w:rPr>
          <w:rFonts w:ascii="仿宋_GB2312" w:hAnsi="仿宋_GB2312" w:cs="仿宋_GB2312" w:eastAsia="仿宋_GB2312"/>
        </w:rPr>
        <w:t xml:space="preserve"> （以下简称“代理机构”）受 </w:t>
      </w:r>
      <w:r>
        <w:rPr>
          <w:rFonts w:ascii="仿宋_GB2312" w:hAnsi="仿宋_GB2312" w:cs="仿宋_GB2312" w:eastAsia="仿宋_GB2312"/>
        </w:rPr>
        <w:t>若尔盖县水务局</w:t>
      </w:r>
      <w:r>
        <w:rPr>
          <w:rFonts w:ascii="仿宋_GB2312" w:hAnsi="仿宋_GB2312" w:cs="仿宋_GB2312" w:eastAsia="仿宋_GB2312"/>
        </w:rPr>
        <w:t xml:space="preserve"> 委托，拟对 </w:t>
      </w:r>
      <w:r>
        <w:rPr>
          <w:rFonts w:ascii="仿宋_GB2312" w:hAnsi="仿宋_GB2312" w:cs="仿宋_GB2312" w:eastAsia="仿宋_GB2312"/>
        </w:rPr>
        <w:t>若尔盖县一河（湖）一策管理保护方案编制（2026-2030年）</w:t>
      </w:r>
      <w:r>
        <w:rPr>
          <w:rFonts w:ascii="仿宋_GB2312" w:hAnsi="仿宋_GB2312" w:cs="仿宋_GB2312" w:eastAsia="仿宋_GB2312"/>
        </w:rPr>
        <w:t xml:space="preserve"> 采用竞争性磋商采购方式进行采购，兹邀请符合资格条件的供应商参加磋商，本项目为四川省</w:t>
      </w:r>
      <w:r>
        <w:rPr>
          <w:rFonts w:ascii="仿宋_GB2312" w:hAnsi="仿宋_GB2312" w:cs="仿宋_GB2312" w:eastAsia="仿宋_GB2312"/>
        </w:rPr>
        <w:t>阿坝藏族羌族自治州若尔盖县</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 </w:t>
      </w:r>
      <w:r>
        <w:rPr>
          <w:rFonts w:ascii="仿宋_GB2312" w:hAnsi="仿宋_GB2312" w:cs="仿宋_GB2312" w:eastAsia="仿宋_GB2312"/>
          <w:sz w:val="28"/>
          <w:b/>
        </w:rPr>
        <w:t>N5132322025000121</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 </w:t>
      </w:r>
      <w:r>
        <w:rPr>
          <w:rFonts w:ascii="仿宋_GB2312" w:hAnsi="仿宋_GB2312" w:cs="仿宋_GB2312" w:eastAsia="仿宋_GB2312"/>
          <w:sz w:val="28"/>
          <w:b/>
        </w:rPr>
        <w:t>若尔盖县一河（湖）一策管理保护方案编制（2026-2030年）</w:t>
      </w:r>
    </w:p>
    <w:p>
      <w:pPr>
        <w:pStyle w:val="null3"/>
        <w:jc w:val="left"/>
        <w:outlineLvl w:val="2"/>
      </w:pPr>
      <w:r>
        <w:rPr>
          <w:rFonts w:ascii="仿宋_GB2312" w:hAnsi="仿宋_GB2312" w:cs="仿宋_GB2312" w:eastAsia="仿宋_GB2312"/>
          <w:sz w:val="28"/>
          <w:b/>
        </w:rPr>
        <w:t>1.3.磋商项目简介</w:t>
      </w:r>
    </w:p>
    <w:p>
      <w:pPr>
        <w:pStyle w:val="null3"/>
        <w:ind w:firstLine="480"/>
        <w:jc w:val="left"/>
      </w:pPr>
      <w:r>
        <w:rPr>
          <w:rFonts w:ascii="仿宋_GB2312" w:hAnsi="仿宋_GB2312" w:cs="仿宋_GB2312" w:eastAsia="仿宋_GB2312"/>
        </w:rPr>
        <w:t>本项目为若尔盖县一河（湖）一策管理保护方案（2026-2030年）编制服务项目。共计1个采购包，拟确定成交供应商1名。</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本项目以发布公告的方式邀请供应商参加磋商。公告在四川政府采购网(www.ccgp-sichuan.gov.cn)发布。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1.7.磋商文件获取时间、方式及地址</w:t>
      </w:r>
    </w:p>
    <w:p>
      <w:pPr>
        <w:pStyle w:val="null3"/>
        <w:ind w:firstLine="480"/>
        <w:jc w:val="left"/>
      </w:pPr>
      <w:r>
        <w:rPr>
          <w:rFonts w:ascii="仿宋_GB2312" w:hAnsi="仿宋_GB2312" w:cs="仿宋_GB2312" w:eastAsia="仿宋_GB2312"/>
        </w:rPr>
        <w:t xml:space="preserve"> 一、磋商文件获取时间：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 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 xml:space="preserve"> ： </w:t>
      </w:r>
      <w:r>
        <w:rPr>
          <w:rFonts w:ascii="仿宋_GB2312" w:hAnsi="仿宋_GB2312" w:cs="仿宋_GB2312" w:eastAsia="仿宋_GB2312"/>
          <w:sz w:val="24"/>
          <w:b/>
        </w:rPr>
        <w:t>若尔盖县水务局</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若尔盖县达扎寺镇麦溪路8号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624599</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卓玛老师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0837-2298127</w:t>
      </w:r>
    </w:p>
    <w:p>
      <w:pPr>
        <w:pStyle w:val="null3"/>
        <w:ind w:firstLine="480"/>
        <w:jc w:val="left"/>
        <w:outlineLvl w:val="3"/>
      </w:pPr>
      <w:r>
        <w:rPr>
          <w:rFonts w:ascii="仿宋_GB2312" w:hAnsi="仿宋_GB2312" w:cs="仿宋_GB2312" w:eastAsia="仿宋_GB2312"/>
          <w:sz w:val="24"/>
          <w:b/>
        </w:rPr>
        <w:t>代理机构</w:t>
      </w:r>
      <w:r>
        <w:rPr>
          <w:rFonts w:ascii="仿宋_GB2312" w:hAnsi="仿宋_GB2312" w:cs="仿宋_GB2312" w:eastAsia="仿宋_GB2312"/>
          <w:sz w:val="24"/>
          <w:b/>
        </w:rPr>
        <w:t xml:space="preserve"> ： </w:t>
      </w:r>
      <w:r>
        <w:rPr>
          <w:rFonts w:ascii="仿宋_GB2312" w:hAnsi="仿宋_GB2312" w:cs="仿宋_GB2312" w:eastAsia="仿宋_GB2312"/>
          <w:sz w:val="24"/>
          <w:b/>
        </w:rPr>
        <w:t>四川易通天和招标代理有限公司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四川省成都市武侯区中国(四川)自由贸易试验区成都高新区吉泰五路88号2栋38层</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汪先生</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028-85320556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采购包1：347,000.00元</w:t>
            </w:r>
          </w:p>
          <w:p>
            <w:pPr>
              <w:pStyle w:val="null3"/>
              <w:jc w:val="left"/>
            </w:pPr>
            <w:r>
              <w:rPr>
                <w:rFonts w:ascii="仿宋_GB2312" w:hAnsi="仿宋_GB2312" w:cs="仿宋_GB2312" w:eastAsia="仿宋_GB2312"/>
              </w:rPr>
              <w:t>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综合评分法(具体规则详见第五章)。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如接受联合体，需符合以下要求：</w:t>
            </w:r>
          </w:p>
          <w:p>
            <w:pPr>
              <w:pStyle w:val="null3"/>
              <w:jc w:val="left"/>
            </w:pPr>
            <w:r>
              <w:rPr>
                <w:rFonts w:ascii="仿宋_GB2312" w:hAnsi="仿宋_GB2312" w:cs="仿宋_GB2312" w:eastAsia="仿宋_GB2312"/>
              </w:rPr>
              <w:t>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是否为特殊性质项目</w:t>
            </w:r>
          </w:p>
        </w:tc>
        <w:tc>
          <w:tcPr>
            <w:tcW w:type="dxa" w:w="5004"/>
          </w:tcPr>
          <w:p>
            <w:pPr>
              <w:pStyle w:val="null3"/>
              <w:jc w:val="left"/>
            </w:pPr>
            <w:r>
              <w:rPr>
                <w:rFonts w:ascii="仿宋_GB2312" w:hAnsi="仿宋_GB2312" w:cs="仿宋_GB2312" w:eastAsia="仿宋_GB2312"/>
              </w:rPr>
              <w:t>政府购买服务项目（含政府和社会资本合作项目）：否</w:t>
            </w:r>
          </w:p>
          <w:p>
            <w:pPr>
              <w:pStyle w:val="null3"/>
              <w:jc w:val="left"/>
            </w:pPr>
            <w:r>
              <w:rPr>
                <w:rFonts w:ascii="仿宋_GB2312" w:hAnsi="仿宋_GB2312" w:cs="仿宋_GB2312" w:eastAsia="仿宋_GB2312"/>
              </w:rPr>
              <w:t>市场竞争不充分的科研项目：否</w:t>
            </w:r>
          </w:p>
          <w:p>
            <w:pPr>
              <w:pStyle w:val="null3"/>
              <w:jc w:val="left"/>
            </w:pPr>
            <w:r>
              <w:rPr>
                <w:rFonts w:ascii="仿宋_GB2312" w:hAnsi="仿宋_GB2312" w:cs="仿宋_GB2312" w:eastAsia="仿宋_GB2312"/>
              </w:rPr>
              <w:t>需要扶持的科技成果转化项目：否</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是否属于签订不超过3年履行期限政府采购合同的项目：否</w:t>
            </w:r>
          </w:p>
          <w:p>
            <w:pPr>
              <w:pStyle w:val="null3"/>
              <w:jc w:val="left"/>
            </w:pP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代理服务费收费标准：参照原国家计委计价格[2002]1980号及发改办价格[2003]857号通知规定收取</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磋商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16</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本磋商文件所称的“以上”、“以下”、“内”、“以内”、“不少于”包括本数；所称的“不足”、“低于”、“超过”不包括本数。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一、本磋商文件仅适用于本次竞争性磋商采购项目。</w:t>
      </w:r>
    </w:p>
    <w:p>
      <w:pPr>
        <w:pStyle w:val="null3"/>
        <w:ind w:firstLine="480"/>
        <w:jc w:val="left"/>
      </w:pPr>
      <w:r>
        <w:rPr>
          <w:rFonts w:ascii="仿宋_GB2312" w:hAnsi="仿宋_GB2312" w:cs="仿宋_GB2312" w:eastAsia="仿宋_GB2312"/>
        </w:rPr>
        <w:t xml:space="preserve"> 二、本磋商文件由 </w:t>
      </w:r>
      <w:r>
        <w:rPr>
          <w:rFonts w:ascii="仿宋_GB2312" w:hAnsi="仿宋_GB2312" w:cs="仿宋_GB2312" w:eastAsia="仿宋_GB2312"/>
        </w:rPr>
        <w:t>若尔盖县水务局</w:t>
      </w:r>
      <w:r>
        <w:rPr>
          <w:rFonts w:ascii="仿宋_GB2312" w:hAnsi="仿宋_GB2312" w:cs="仿宋_GB2312" w:eastAsia="仿宋_GB2312"/>
        </w:rPr>
        <w:t xml:space="preserve"> 和 </w:t>
      </w:r>
      <w:r>
        <w:rPr>
          <w:rFonts w:ascii="仿宋_GB2312" w:hAnsi="仿宋_GB2312" w:cs="仿宋_GB2312" w:eastAsia="仿宋_GB2312"/>
        </w:rPr>
        <w:t>四川易通天和招标代理有限公司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 一、“采购人”是指依法进行政府采购的国家机关、事业单位、团体组织。本次磋商的采购人是 </w:t>
      </w:r>
      <w:r>
        <w:rPr>
          <w:rFonts w:ascii="仿宋_GB2312" w:hAnsi="仿宋_GB2312" w:cs="仿宋_GB2312" w:eastAsia="仿宋_GB2312"/>
        </w:rPr>
        <w:t>若尔盖县水务局</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3"/>
        <w:ind w:firstLine="480"/>
        <w:jc w:val="left"/>
      </w:pPr>
      <w:r>
        <w:rPr>
          <w:rFonts w:ascii="仿宋_GB2312" w:hAnsi="仿宋_GB2312" w:cs="仿宋_GB2312" w:eastAsia="仿宋_GB2312"/>
        </w:rPr>
        <w:t xml:space="preserve"> 三、“代理机构”是指集中采购机构和从事采购代理业务的社会中介机构。本项目的代理机构是 </w:t>
      </w:r>
      <w:r>
        <w:rPr>
          <w:rFonts w:ascii="仿宋_GB2312" w:hAnsi="仿宋_GB2312" w:cs="仿宋_GB2312" w:eastAsia="仿宋_GB2312"/>
        </w:rPr>
        <w:t>四川易通天和招标代理有限公司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五、“电子评审”是指磋商小组开展资格审查、符合性审查、磋商、比较与评价、推荐成交候选供应商、出具磋商报告等活动。</w:t>
      </w:r>
    </w:p>
    <w:p>
      <w:pPr>
        <w:pStyle w:val="null3"/>
        <w:jc w:val="left"/>
        <w:outlineLvl w:val="2"/>
      </w:pPr>
      <w:r>
        <w:rPr>
          <w:rFonts w:ascii="仿宋_GB2312" w:hAnsi="仿宋_GB2312" w:cs="仿宋_GB2312" w:eastAsia="仿宋_GB2312"/>
          <w:sz w:val="28"/>
          <w:b/>
        </w:rPr>
        <w:t>2.3.磋商文件</w:t>
      </w:r>
    </w:p>
    <w:p>
      <w:pPr>
        <w:pStyle w:val="null3"/>
        <w:jc w:val="left"/>
        <w:outlineLvl w:val="3"/>
      </w:pPr>
      <w:r>
        <w:rPr>
          <w:rFonts w:ascii="仿宋_GB2312" w:hAnsi="仿宋_GB2312" w:cs="仿宋_GB2312" w:eastAsia="仿宋_GB2312"/>
          <w:sz w:val="24"/>
          <w:b/>
        </w:rPr>
        <w:t>2.3.1.磋商文件的构成</w:t>
      </w:r>
    </w:p>
    <w:p>
      <w:pPr>
        <w:pStyle w:val="null3"/>
        <w:ind w:firstLine="480"/>
        <w:jc w:val="left"/>
      </w:pPr>
      <w:r>
        <w:rPr>
          <w:rFonts w:ascii="仿宋_GB2312" w:hAnsi="仿宋_GB2312" w:cs="仿宋_GB2312" w:eastAsia="仿宋_GB2312"/>
        </w:rPr>
        <w:t>磋商文件由采购人、代理机构通过交易系统编制、确认，是项目采购活动开展的基本依据，主要包括以下内容：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一、竞争性磋商邀请；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四、磋商过程中可实质性变动的内容；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2.3.2.磋商文件的澄清或者修改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3"/>
        <w:jc w:val="left"/>
      </w:pPr>
      <w:r>
        <w:rPr>
          <w:rFonts w:ascii="仿宋_GB2312" w:hAnsi="仿宋_GB2312" w:cs="仿宋_GB2312" w:eastAsia="仿宋_GB2312"/>
        </w:rPr>
        <w:t>二、澄清或者修改的内容为磋商文件的组成部分，采购人或者代理机构将更正后的磋商文件上传至交易系统，通过交易系统向已获取磋商文件的供应商发送更正通知，在四川政府采购网发布更正公告。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三、采购人或者代理机构通过交易系统发出更正通知的同时，即为送达供应商。供应商应当及时查看更正公告、更正信息，并根据更正公告、更正信息要求，获取更正后的磋商文件，进行响应文件编制。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除磋商文件中另有规定外，本项目均采用国家法定的计量单位。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 提交响应文件截止时间后，成功提交响应文件的供应商符合磋商文件规定数量的，代理机构将启动响应文件解密程序，解密时间为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详见磋商文件第五章。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供应商提出验收申请后</w:t>
      </w:r>
      <w:r>
        <w:rPr>
          <w:rFonts w:ascii="仿宋_GB2312" w:hAnsi="仿宋_GB2312" w:cs="仿宋_GB2312" w:eastAsia="仿宋_GB2312"/>
        </w:rPr>
        <w:t xml:space="preserve"> ，达到验收条件起 </w:t>
      </w:r>
      <w:r>
        <w:rPr>
          <w:rFonts w:ascii="仿宋_GB2312" w:hAnsi="仿宋_GB2312" w:cs="仿宋_GB2312" w:eastAsia="仿宋_GB2312"/>
        </w:rPr>
        <w:t>15</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按照本项目采购文件中“技术服务要求”及成交供应商响应文件进行验收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按照本项目采购文件中“商务要求”及成交供应商响应文件进行验收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履约验收主体由采购人组织，采购人按照《财政部关于进一步加强政府采购需求和履约验收管理的指导意见》（财库〔2016〕205号）等政府采购相关法律法规的要求进行验收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 xml:space="preserve"> 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供应商参加磋商不得有下列情形：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六、向采购人或者代理机构、磋商小组成员行贿或者提供其他不正当利益；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八、未按照磋商文件确定的事项签订政府采购合同；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 根据委托代理协议约定，供应商对磋商文件中采购需求的询问、质疑由 </w:t>
      </w:r>
      <w:r>
        <w:rPr>
          <w:rFonts w:ascii="仿宋_GB2312" w:hAnsi="仿宋_GB2312" w:cs="仿宋_GB2312" w:eastAsia="仿宋_GB2312"/>
        </w:rPr>
        <w:t>若尔盖县水务局</w:t>
      </w:r>
      <w:r>
        <w:rPr>
          <w:rFonts w:ascii="仿宋_GB2312" w:hAnsi="仿宋_GB2312" w:cs="仿宋_GB2312" w:eastAsia="仿宋_GB2312"/>
        </w:rPr>
        <w:t xml:space="preserve"> 负责答复；供应商对除采购需求外的磋商文件的询问、质疑由 </w:t>
      </w:r>
      <w:r>
        <w:rPr>
          <w:rFonts w:ascii="仿宋_GB2312" w:hAnsi="仿宋_GB2312" w:cs="仿宋_GB2312" w:eastAsia="仿宋_GB2312"/>
        </w:rPr>
        <w:t>四川易通天和招标代理有限公司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四川易通天和招标代理有限公司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联系人：卓玛老师</w:t>
      </w:r>
    </w:p>
    <w:p>
      <w:pPr>
        <w:pStyle w:val="null3"/>
        <w:jc w:val="left"/>
      </w:pPr>
      <w:r>
        <w:rPr>
          <w:rFonts w:ascii="仿宋_GB2312" w:hAnsi="仿宋_GB2312" w:cs="仿宋_GB2312" w:eastAsia="仿宋_GB2312"/>
        </w:rPr>
        <w:t>联系电话：0837-2298127</w:t>
      </w:r>
    </w:p>
    <w:p>
      <w:pPr>
        <w:pStyle w:val="null3"/>
        <w:jc w:val="left"/>
      </w:pPr>
      <w:r>
        <w:rPr>
          <w:rFonts w:ascii="仿宋_GB2312" w:hAnsi="仿宋_GB2312" w:cs="仿宋_GB2312" w:eastAsia="仿宋_GB2312"/>
        </w:rPr>
        <w:t>地址：若尔盖县达扎寺镇麦溪路8号</w:t>
      </w:r>
    </w:p>
    <w:p>
      <w:pPr>
        <w:pStyle w:val="null3"/>
        <w:jc w:val="left"/>
      </w:pPr>
      <w:r>
        <w:rPr>
          <w:rFonts w:ascii="仿宋_GB2312" w:hAnsi="仿宋_GB2312" w:cs="仿宋_GB2312" w:eastAsia="仿宋_GB2312"/>
        </w:rPr>
        <w:t>邮编：624599</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联系人：汪先生</w:t>
      </w:r>
    </w:p>
    <w:p>
      <w:pPr>
        <w:pStyle w:val="null3"/>
        <w:jc w:val="left"/>
      </w:pPr>
      <w:r>
        <w:rPr>
          <w:rFonts w:ascii="仿宋_GB2312" w:hAnsi="仿宋_GB2312" w:cs="仿宋_GB2312" w:eastAsia="仿宋_GB2312"/>
        </w:rPr>
        <w:t>联系电话： 028-85320556</w:t>
      </w:r>
    </w:p>
    <w:p>
      <w:pPr>
        <w:pStyle w:val="null3"/>
        <w:jc w:val="left"/>
      </w:pPr>
      <w:r>
        <w:rPr>
          <w:rFonts w:ascii="仿宋_GB2312" w:hAnsi="仿宋_GB2312" w:cs="仿宋_GB2312" w:eastAsia="仿宋_GB2312"/>
        </w:rPr>
        <w:t>地址：四川省成都市武侯区中国(四川)自由贸易试验区成都高新区吉泰五路88号2栋38层</w:t>
      </w:r>
    </w:p>
    <w:p>
      <w:pPr>
        <w:pStyle w:val="null3"/>
        <w:jc w:val="left"/>
      </w:pPr>
      <w:r>
        <w:rPr>
          <w:rFonts w:ascii="仿宋_GB2312" w:hAnsi="仿宋_GB2312" w:cs="仿宋_GB2312" w:eastAsia="仿宋_GB2312"/>
        </w:rPr>
        <w:t>邮编：610000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磋商文件提出质疑的，为获取磋商文件之日。对更正后的磋商文件提出质疑的，如质疑内容为更正内容，为发出磋商文件更正通知之日；如质疑内容为原磋商文件内容，为获取原磋商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3"/>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磋商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对经核实排查认定不属于平台系统故障的，采购人、代理机构、供应商、磋商小组应按政府采购法律制度和平台操作要求开展后续操作。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磋商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347,000.00</w:t>
      </w:r>
    </w:p>
    <w:p>
      <w:pPr>
        <w:pStyle w:val="null3"/>
        <w:jc w:val="left"/>
      </w:pPr>
      <w:r>
        <w:rPr>
          <w:rFonts w:ascii="仿宋_GB2312" w:hAnsi="仿宋_GB2312" w:cs="仿宋_GB2312" w:eastAsia="仿宋_GB2312"/>
        </w:rPr>
        <w:t>采购包最高限价（元）: 347,000.00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C12990000 其他水利管理服务</w:t>
            </w:r>
          </w:p>
        </w:tc>
        <w:tc>
          <w:tcPr>
            <w:tcW w:type="dxa" w:w="821"/>
          </w:tcPr>
          <w:p>
            <w:pPr>
              <w:pStyle w:val="null3"/>
              <w:jc w:val="left"/>
            </w:pPr>
            <w:r>
              <w:rPr>
                <w:rFonts w:ascii="仿宋_GB2312" w:hAnsi="仿宋_GB2312" w:cs="仿宋_GB2312" w:eastAsia="仿宋_GB2312"/>
              </w:rPr>
              <w:t>若尔盖县一河（湖）一策管理保护方案（2026-2030年）编制服务</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347,000.00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若尔盖县一河（湖）一策管理保护方案（2026-2030年）编制服务</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347,000.00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标的名称：若尔盖县一河（湖）一策管理保护方案（2026-2030年）编制服务</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技术服务要求</w:t>
            </w:r>
          </w:p>
        </w:tc>
        <w:tc>
          <w:tcPr>
            <w:tcW w:type="dxa" w:w="5814"/>
          </w:tcPr>
          <w:p>
            <w:pPr>
              <w:pStyle w:val="null3"/>
              <w:jc w:val="both"/>
              <w:outlineLvl w:val="2"/>
            </w:pPr>
            <w:r>
              <w:rPr>
                <w:rFonts w:ascii="仿宋_GB2312" w:hAnsi="仿宋_GB2312" w:cs="仿宋_GB2312" w:eastAsia="仿宋_GB2312"/>
                <w:sz w:val="24"/>
                <w:b/>
                <w:color w:val="000000"/>
              </w:rPr>
              <w:t>1.</w:t>
            </w:r>
            <w:r>
              <w:rPr>
                <w:rFonts w:ascii="仿宋_GB2312" w:hAnsi="仿宋_GB2312" w:cs="仿宋_GB2312" w:eastAsia="仿宋_GB2312"/>
                <w:sz w:val="24"/>
                <w:b/>
                <w:color w:val="000000"/>
              </w:rPr>
              <w:t>基本情况</w:t>
            </w:r>
          </w:p>
          <w:p>
            <w:pPr>
              <w:pStyle w:val="null3"/>
              <w:ind w:firstLine="480"/>
              <w:jc w:val="both"/>
            </w:pPr>
            <w:r>
              <w:rPr>
                <w:rFonts w:ascii="仿宋_GB2312" w:hAnsi="仿宋_GB2312" w:cs="仿宋_GB2312" w:eastAsia="仿宋_GB2312"/>
                <w:sz w:val="24"/>
                <w:color w:val="000000"/>
              </w:rPr>
              <w:t>概要说明河湖的自然特征，重点说明地理位置、流域面积、长度（面积）、流经区域、水功能区划、水质控制断面、水文站断面、水利工程及工程断面分布，湖岸线长度等基本情况。基本情况有重大变化的应重点说明。</w:t>
            </w:r>
          </w:p>
          <w:p>
            <w:pPr>
              <w:pStyle w:val="null3"/>
              <w:jc w:val="both"/>
              <w:outlineLvl w:val="2"/>
            </w:pPr>
            <w:r>
              <w:rPr>
                <w:rFonts w:ascii="仿宋_GB2312" w:hAnsi="仿宋_GB2312" w:cs="仿宋_GB2312" w:eastAsia="仿宋_GB2312"/>
                <w:sz w:val="24"/>
                <w:b/>
                <w:color w:val="000000"/>
              </w:rPr>
              <w:t>2.</w:t>
            </w:r>
            <w:r>
              <w:rPr>
                <w:rFonts w:ascii="仿宋_GB2312" w:hAnsi="仿宋_GB2312" w:cs="仿宋_GB2312" w:eastAsia="仿宋_GB2312"/>
                <w:sz w:val="24"/>
                <w:b/>
                <w:color w:val="000000"/>
              </w:rPr>
              <w:t>编制说明</w:t>
            </w:r>
          </w:p>
          <w:p>
            <w:pPr>
              <w:pStyle w:val="null3"/>
              <w:ind w:firstLine="480"/>
              <w:jc w:val="both"/>
            </w:pPr>
            <w:r>
              <w:rPr>
                <w:rFonts w:ascii="仿宋_GB2312" w:hAnsi="仿宋_GB2312" w:cs="仿宋_GB2312" w:eastAsia="仿宋_GB2312"/>
                <w:sz w:val="24"/>
                <w:color w:val="000000"/>
              </w:rPr>
              <w:t>说明编制依据、编制对象、编制主体、指导思想、实施周期、河长组织体系及主要职责</w:t>
            </w:r>
            <w:r>
              <w:rPr>
                <w:rFonts w:ascii="仿宋_GB2312" w:hAnsi="仿宋_GB2312" w:cs="仿宋_GB2312" w:eastAsia="仿宋_GB2312"/>
                <w:sz w:val="24"/>
                <w:color w:val="000000"/>
              </w:rPr>
              <w:t>等</w:t>
            </w:r>
            <w:r>
              <w:rPr>
                <w:rFonts w:ascii="仿宋_GB2312" w:hAnsi="仿宋_GB2312" w:cs="仿宋_GB2312" w:eastAsia="仿宋_GB2312"/>
                <w:sz w:val="24"/>
                <w:color w:val="000000"/>
              </w:rPr>
              <w:t>内容。</w:t>
            </w:r>
          </w:p>
          <w:p>
            <w:pPr>
              <w:pStyle w:val="null3"/>
              <w:jc w:val="both"/>
              <w:outlineLvl w:val="2"/>
            </w:pPr>
            <w:r>
              <w:rPr>
                <w:rFonts w:ascii="仿宋_GB2312" w:hAnsi="仿宋_GB2312" w:cs="仿宋_GB2312" w:eastAsia="仿宋_GB2312"/>
                <w:sz w:val="24"/>
                <w:b/>
                <w:color w:val="000000"/>
              </w:rPr>
              <w:t>3.</w:t>
            </w:r>
            <w:r>
              <w:rPr>
                <w:rFonts w:ascii="仿宋_GB2312" w:hAnsi="仿宋_GB2312" w:cs="仿宋_GB2312" w:eastAsia="仿宋_GB2312"/>
                <w:sz w:val="24"/>
                <w:b/>
                <w:color w:val="000000"/>
              </w:rPr>
              <w:t>回顾性评价</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w:t>
            </w:r>
            <w:r>
              <w:rPr>
                <w:rFonts w:ascii="仿宋_GB2312" w:hAnsi="仿宋_GB2312" w:cs="仿宋_GB2312" w:eastAsia="仿宋_GB2312"/>
                <w:sz w:val="24"/>
                <w:color w:val="000000"/>
              </w:rPr>
              <w:t>）</w:t>
            </w:r>
            <w:r>
              <w:rPr>
                <w:rFonts w:ascii="仿宋_GB2312" w:hAnsi="仿宋_GB2312" w:cs="仿宋_GB2312" w:eastAsia="仿宋_GB2312"/>
                <w:sz w:val="24"/>
                <w:color w:val="000000"/>
              </w:rPr>
              <w:t>回顾性评价</w:t>
            </w:r>
          </w:p>
          <w:p>
            <w:pPr>
              <w:pStyle w:val="null3"/>
              <w:ind w:firstLine="480"/>
              <w:jc w:val="left"/>
            </w:pPr>
            <w:r>
              <w:rPr>
                <w:rFonts w:ascii="仿宋_GB2312" w:hAnsi="仿宋_GB2312" w:cs="仿宋_GB2312" w:eastAsia="仿宋_GB2312"/>
                <w:sz w:val="24"/>
                <w:color w:val="000000"/>
              </w:rPr>
              <w:t>回顾《一河（湖）一策管理保护方案（</w:t>
            </w:r>
            <w:r>
              <w:rPr>
                <w:rFonts w:ascii="仿宋_GB2312" w:hAnsi="仿宋_GB2312" w:cs="仿宋_GB2312" w:eastAsia="仿宋_GB2312"/>
                <w:sz w:val="24"/>
                <w:color w:val="000000"/>
              </w:rPr>
              <w:t>—</w:t>
            </w:r>
            <w:r>
              <w:rPr>
                <w:rFonts w:ascii="仿宋_GB2312" w:hAnsi="仿宋_GB2312" w:cs="仿宋_GB2312" w:eastAsia="仿宋_GB2312"/>
                <w:sz w:val="24"/>
                <w:color w:val="000000"/>
              </w:rPr>
              <w:t>）》实施情况，总结在水资源管理与保护、水域岸线管理与保护、水污染防治、水环境治理、水生态修复及执法监管等方面取得的成效、方案自身存在的问题及原因等，评价目标完成情况及措施实施情况。</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w:t>
            </w:r>
            <w:r>
              <w:rPr>
                <w:rFonts w:ascii="仿宋_GB2312" w:hAnsi="仿宋_GB2312" w:cs="仿宋_GB2312" w:eastAsia="仿宋_GB2312"/>
                <w:sz w:val="24"/>
                <w:color w:val="000000"/>
              </w:rPr>
              <w:t>）</w:t>
            </w:r>
            <w:r>
              <w:rPr>
                <w:rFonts w:ascii="仿宋_GB2312" w:hAnsi="仿宋_GB2312" w:cs="仿宋_GB2312" w:eastAsia="仿宋_GB2312"/>
                <w:sz w:val="24"/>
                <w:color w:val="000000"/>
              </w:rPr>
              <w:t>河湖健康评价</w:t>
            </w:r>
          </w:p>
          <w:p>
            <w:pPr>
              <w:pStyle w:val="null3"/>
              <w:ind w:firstLine="480"/>
              <w:jc w:val="left"/>
            </w:pPr>
            <w:r>
              <w:rPr>
                <w:rFonts w:ascii="仿宋_GB2312" w:hAnsi="仿宋_GB2312" w:cs="仿宋_GB2312" w:eastAsia="仿宋_GB2312"/>
                <w:sz w:val="24"/>
                <w:color w:val="000000"/>
              </w:rPr>
              <w:t>简要说明河湖健康评价工作开展情况，各准则层基本情况，评价体系、评价结果，存在的问题和对策等。</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3</w:t>
            </w:r>
            <w:r>
              <w:rPr>
                <w:rFonts w:ascii="仿宋_GB2312" w:hAnsi="仿宋_GB2312" w:cs="仿宋_GB2312" w:eastAsia="仿宋_GB2312"/>
                <w:sz w:val="24"/>
                <w:color w:val="000000"/>
              </w:rPr>
              <w:t>）</w:t>
            </w:r>
            <w:r>
              <w:rPr>
                <w:rFonts w:ascii="仿宋_GB2312" w:hAnsi="仿宋_GB2312" w:cs="仿宋_GB2312" w:eastAsia="仿宋_GB2312"/>
                <w:sz w:val="24"/>
                <w:color w:val="000000"/>
              </w:rPr>
              <w:t>水生态试点考核情况</w:t>
            </w:r>
          </w:p>
          <w:p>
            <w:pPr>
              <w:pStyle w:val="null3"/>
              <w:ind w:firstLine="480"/>
              <w:jc w:val="left"/>
            </w:pPr>
            <w:r>
              <w:rPr>
                <w:rFonts w:ascii="仿宋_GB2312" w:hAnsi="仿宋_GB2312" w:cs="仿宋_GB2312" w:eastAsia="仿宋_GB2312"/>
                <w:sz w:val="24"/>
                <w:color w:val="000000"/>
              </w:rPr>
              <w:t>“十四五”期间四川省长江、岷江、沱江、嘉陵江、赤水河、雅砻江等6条省级河流纳入</w:t>
            </w:r>
            <w:r>
              <w:rPr>
                <w:rFonts w:ascii="仿宋_GB2312" w:hAnsi="仿宋_GB2312" w:cs="仿宋_GB2312" w:eastAsia="仿宋_GB2312"/>
                <w:sz w:val="24"/>
                <w:color w:val="000000"/>
              </w:rPr>
              <w:t>生态环境部</w:t>
            </w:r>
            <w:r>
              <w:rPr>
                <w:rFonts w:ascii="仿宋_GB2312" w:hAnsi="仿宋_GB2312" w:cs="仿宋_GB2312" w:eastAsia="仿宋_GB2312"/>
                <w:sz w:val="24"/>
                <w:color w:val="000000"/>
              </w:rPr>
              <w:t>水生态考核试点，简要说明上述河流考核情况。</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4</w:t>
            </w:r>
            <w:r>
              <w:rPr>
                <w:rFonts w:ascii="仿宋_GB2312" w:hAnsi="仿宋_GB2312" w:cs="仿宋_GB2312" w:eastAsia="仿宋_GB2312"/>
                <w:sz w:val="24"/>
                <w:color w:val="000000"/>
              </w:rPr>
              <w:t>）</w:t>
            </w:r>
            <w:r>
              <w:rPr>
                <w:rFonts w:ascii="仿宋_GB2312" w:hAnsi="仿宋_GB2312" w:cs="仿宋_GB2312" w:eastAsia="仿宋_GB2312"/>
                <w:sz w:val="24"/>
                <w:color w:val="000000"/>
              </w:rPr>
              <w:t>主要问题或结论</w:t>
            </w:r>
          </w:p>
          <w:p>
            <w:pPr>
              <w:pStyle w:val="null3"/>
              <w:ind w:firstLine="480"/>
              <w:jc w:val="left"/>
            </w:pPr>
            <w:r>
              <w:rPr>
                <w:rFonts w:ascii="仿宋_GB2312" w:hAnsi="仿宋_GB2312" w:cs="仿宋_GB2312" w:eastAsia="仿宋_GB2312"/>
                <w:sz w:val="24"/>
                <w:color w:val="000000"/>
              </w:rPr>
              <w:t>结合回顾性评价、健康评价成果及水生态试点考核情况，以及河湖（含河湖上已建水利水电工程）重点控制断面生态流量保障情况，总结河湖管护存在的主要问题、突出问题、焦点问题，以及主</w:t>
            </w:r>
            <w:r>
              <w:rPr>
                <w:rFonts w:ascii="仿宋_GB2312" w:hAnsi="仿宋_GB2312" w:cs="仿宋_GB2312" w:eastAsia="仿宋_GB2312"/>
                <w:sz w:val="24"/>
                <w:color w:val="000000"/>
              </w:rPr>
              <w:t>要</w:t>
            </w:r>
            <w:r>
              <w:rPr>
                <w:rFonts w:ascii="仿宋_GB2312" w:hAnsi="仿宋_GB2312" w:cs="仿宋_GB2312" w:eastAsia="仿宋_GB2312"/>
                <w:sz w:val="24"/>
                <w:color w:val="000000"/>
              </w:rPr>
              <w:t>结论等。</w:t>
            </w:r>
          </w:p>
          <w:p>
            <w:pPr>
              <w:pStyle w:val="null3"/>
              <w:jc w:val="both"/>
              <w:outlineLvl w:val="2"/>
            </w:pPr>
            <w:r>
              <w:rPr>
                <w:rFonts w:ascii="仿宋_GB2312" w:hAnsi="仿宋_GB2312" w:cs="仿宋_GB2312" w:eastAsia="仿宋_GB2312"/>
                <w:sz w:val="24"/>
                <w:b/>
                <w:color w:val="000000"/>
              </w:rPr>
              <w:t>4.</w:t>
            </w:r>
            <w:r>
              <w:rPr>
                <w:rFonts w:ascii="仿宋_GB2312" w:hAnsi="仿宋_GB2312" w:cs="仿宋_GB2312" w:eastAsia="仿宋_GB2312"/>
                <w:sz w:val="24"/>
                <w:b/>
                <w:color w:val="000000"/>
              </w:rPr>
              <w:t>“十五五”工作重点</w:t>
            </w:r>
          </w:p>
          <w:p>
            <w:pPr>
              <w:pStyle w:val="null3"/>
              <w:ind w:firstLine="480"/>
              <w:jc w:val="both"/>
            </w:pPr>
            <w:r>
              <w:rPr>
                <w:rFonts w:ascii="仿宋_GB2312" w:hAnsi="仿宋_GB2312" w:cs="仿宋_GB2312" w:eastAsia="仿宋_GB2312"/>
                <w:sz w:val="24"/>
                <w:color w:val="000000"/>
              </w:rPr>
              <w:t>结合河湖现状情况、相关规划及本次编制内容，阐述</w:t>
            </w:r>
            <w:r>
              <w:rPr>
                <w:rFonts w:ascii="仿宋_GB2312" w:hAnsi="仿宋_GB2312" w:cs="仿宋_GB2312" w:eastAsia="仿宋_GB2312"/>
                <w:sz w:val="24"/>
                <w:color w:val="000000"/>
              </w:rPr>
              <w:t>“十五五”期间需要解决的主要问题、工作重点、管护目标等。</w:t>
            </w:r>
          </w:p>
          <w:p>
            <w:pPr>
              <w:pStyle w:val="null3"/>
              <w:jc w:val="both"/>
              <w:outlineLvl w:val="2"/>
            </w:pPr>
            <w:r>
              <w:rPr>
                <w:rFonts w:ascii="仿宋_GB2312" w:hAnsi="仿宋_GB2312" w:cs="仿宋_GB2312" w:eastAsia="仿宋_GB2312"/>
                <w:sz w:val="24"/>
                <w:b/>
                <w:color w:val="000000"/>
              </w:rPr>
              <w:t>5.</w:t>
            </w:r>
            <w:r>
              <w:rPr>
                <w:rFonts w:ascii="仿宋_GB2312" w:hAnsi="仿宋_GB2312" w:cs="仿宋_GB2312" w:eastAsia="仿宋_GB2312"/>
                <w:sz w:val="24"/>
                <w:b/>
                <w:color w:val="000000"/>
              </w:rPr>
              <w:t>现状调查评价及问题分析</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w:t>
            </w:r>
            <w:r>
              <w:rPr>
                <w:rFonts w:ascii="仿宋_GB2312" w:hAnsi="仿宋_GB2312" w:cs="仿宋_GB2312" w:eastAsia="仿宋_GB2312"/>
                <w:sz w:val="24"/>
                <w:color w:val="000000"/>
              </w:rPr>
              <w:t>）</w:t>
            </w:r>
            <w:r>
              <w:rPr>
                <w:rFonts w:ascii="仿宋_GB2312" w:hAnsi="仿宋_GB2312" w:cs="仿宋_GB2312" w:eastAsia="仿宋_GB2312"/>
                <w:sz w:val="24"/>
                <w:color w:val="000000"/>
              </w:rPr>
              <w:t>现状总体情况</w:t>
            </w:r>
          </w:p>
          <w:p>
            <w:pPr>
              <w:pStyle w:val="null3"/>
              <w:ind w:firstLine="480"/>
              <w:jc w:val="both"/>
            </w:pPr>
            <w:r>
              <w:rPr>
                <w:rFonts w:ascii="仿宋_GB2312" w:hAnsi="仿宋_GB2312" w:cs="仿宋_GB2312" w:eastAsia="仿宋_GB2312"/>
                <w:sz w:val="24"/>
                <w:color w:val="000000"/>
              </w:rPr>
              <w:t>概要说明河湖水资源开发利用等基本情况，涉河建筑物和设施布设现状（取水口、饮用水水源地、排污口、拦河闸、水电站、航电枢纽、水库、港口码头、堤岸护坡等）、相关特性指标及基本信息等。</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w:t>
            </w:r>
            <w:r>
              <w:rPr>
                <w:rFonts w:ascii="仿宋_GB2312" w:hAnsi="仿宋_GB2312" w:cs="仿宋_GB2312" w:eastAsia="仿宋_GB2312"/>
                <w:sz w:val="24"/>
                <w:color w:val="000000"/>
              </w:rPr>
              <w:t>）</w:t>
            </w:r>
            <w:r>
              <w:rPr>
                <w:rFonts w:ascii="仿宋_GB2312" w:hAnsi="仿宋_GB2312" w:cs="仿宋_GB2312" w:eastAsia="仿宋_GB2312"/>
                <w:sz w:val="24"/>
                <w:color w:val="000000"/>
              </w:rPr>
              <w:t>管理保护现状</w:t>
            </w:r>
          </w:p>
          <w:p>
            <w:pPr>
              <w:pStyle w:val="null3"/>
              <w:ind w:firstLine="480"/>
              <w:jc w:val="both"/>
            </w:pPr>
            <w:r>
              <w:rPr>
                <w:rFonts w:ascii="仿宋_GB2312" w:hAnsi="仿宋_GB2312" w:cs="仿宋_GB2312" w:eastAsia="仿宋_GB2312"/>
                <w:sz w:val="24"/>
                <w:color w:val="000000"/>
              </w:rPr>
              <w:t>说明水资源、水域岸线、水环境、水生态等方面保护和开发利用现状，概述河湖管理保护体制机制、河湖管理主体、监管主体，日常巡查、占用水域岸线补偿、生态保护补偿、水政执法等制度建设和落实情况，河湖管理队伍、执法队伍能力建设情况等。对于河湖基础资料不足的，可根据方案编制工作需要适当进行补充调查。</w:t>
            </w:r>
          </w:p>
          <w:p>
            <w:pPr>
              <w:pStyle w:val="null3"/>
              <w:ind w:firstLine="480"/>
              <w:jc w:val="both"/>
            </w:pPr>
            <w:r>
              <w:rPr>
                <w:rFonts w:ascii="仿宋_GB2312" w:hAnsi="仿宋_GB2312" w:cs="仿宋_GB2312" w:eastAsia="仿宋_GB2312"/>
                <w:sz w:val="24"/>
                <w:color w:val="000000"/>
              </w:rPr>
              <w:t>水资源保护利用现状。一般包括本地区最严格水资源管理制度落实情况，工业、农业、生活节水情况，河湖提供水源的高耗水项目情况，河湖取排水情况（取排水口数量、取排水口位置、取排水单位、取排水水量、供水对象等）、供水满足程度情况，水功能区划，河湖水源涵养区和饮用水水源地数量、供水服务情况（包含有供水量和供水人口规模、服务水厂、服务范围等）、水质状况、保护区划定及规范化建设情况，水资源开发利用现状与规划的符合情况等。</w:t>
            </w:r>
          </w:p>
          <w:p>
            <w:pPr>
              <w:pStyle w:val="null3"/>
              <w:ind w:firstLine="480"/>
              <w:jc w:val="both"/>
            </w:pPr>
            <w:r>
              <w:rPr>
                <w:rFonts w:ascii="仿宋_GB2312" w:hAnsi="仿宋_GB2312" w:cs="仿宋_GB2312" w:eastAsia="仿宋_GB2312"/>
                <w:sz w:val="24"/>
                <w:color w:val="000000"/>
              </w:rPr>
              <w:t>水域岸线管理保护现状。一般包括河岸稳定性和岸带植被覆盖率等岸线自然状况及主要成果，河湖划界、岸线规划工作开展情况及主要成果，河湖岸线开发利用情况，包括水工程在内的临河湖、跨河湖、穿河湖等涉河建筑物及设施情况，围网养殖、航运、采砂、水上运动、旅游开发等河湖水域岸线利用情况，围垦、</w:t>
            </w:r>
            <w:r>
              <w:rPr>
                <w:rFonts w:ascii="仿宋_GB2312" w:hAnsi="仿宋_GB2312" w:cs="仿宋_GB2312" w:eastAsia="仿宋_GB2312"/>
                <w:sz w:val="24"/>
                <w:color w:val="000000"/>
              </w:rPr>
              <w:t>“四乱”、入河排污口设置违反河道管理要求等违规开发利用水域岸线情况，防洪工程建设及达标率情况。</w:t>
            </w:r>
          </w:p>
          <w:p>
            <w:pPr>
              <w:pStyle w:val="null3"/>
              <w:ind w:firstLine="480"/>
              <w:jc w:val="both"/>
            </w:pPr>
            <w:r>
              <w:rPr>
                <w:rFonts w:ascii="仿宋_GB2312" w:hAnsi="仿宋_GB2312" w:cs="仿宋_GB2312" w:eastAsia="仿宋_GB2312"/>
                <w:sz w:val="24"/>
                <w:color w:val="000000"/>
              </w:rPr>
              <w:t>水污染防治现状。一般包括河湖流域内工业、农业种植、畜禽养殖、居民聚集区污水处理设施等情况，水域内航运、水产养殖等情况，河湖水域岸线船舶港口情况，入河湖排污口数量、入河湖排污口位置、入河湖排污单位及排污量情况等。</w:t>
            </w:r>
          </w:p>
          <w:p>
            <w:pPr>
              <w:pStyle w:val="null3"/>
              <w:ind w:firstLine="480"/>
              <w:jc w:val="both"/>
            </w:pPr>
            <w:r>
              <w:rPr>
                <w:rFonts w:ascii="仿宋_GB2312" w:hAnsi="仿宋_GB2312" w:cs="仿宋_GB2312" w:eastAsia="仿宋_GB2312"/>
                <w:sz w:val="24"/>
                <w:color w:val="000000"/>
              </w:rPr>
              <w:t>水环境现状。一般包括河湖水质优劣程度、水体自净能力、水体整洁度、水质变化趋势等情况，河湖水功能区水质达标情况，河湖水源地水质达标情况，河湖黑臭水体及劣</w:t>
            </w:r>
            <w:r>
              <w:rPr>
                <w:rFonts w:ascii="仿宋_GB2312" w:hAnsi="仿宋_GB2312" w:cs="仿宋_GB2312" w:eastAsia="仿宋_GB2312"/>
                <w:sz w:val="24"/>
                <w:color w:val="000000"/>
              </w:rPr>
              <w:t>V 类水体分布与范围等；河湖水文站点、水质监测断面布设和水质、水量监测频次情况等。</w:t>
            </w:r>
          </w:p>
          <w:p>
            <w:pPr>
              <w:pStyle w:val="null3"/>
              <w:ind w:firstLine="480"/>
              <w:jc w:val="both"/>
            </w:pPr>
            <w:r>
              <w:rPr>
                <w:rFonts w:ascii="仿宋_GB2312" w:hAnsi="仿宋_GB2312" w:cs="仿宋_GB2312" w:eastAsia="仿宋_GB2312"/>
                <w:sz w:val="24"/>
                <w:color w:val="000000"/>
              </w:rPr>
              <w:t>水生态现状。一般包括有关河道生态流量保障目标的管理要求、现状生态流量满足程度等情况，河流纵向连通性情况，河流流域内的水土保持情况，水生生物完整性指数、鱼类物种数、重点保护水生生物种数、大型底栖动物物种数、水生生物多样性、外来物种情况，河湖涉及的自然保护区、水源涵养区、江河源头区、生态敏感区的生态保护情况等。</w:t>
            </w:r>
          </w:p>
          <w:p>
            <w:pPr>
              <w:pStyle w:val="null3"/>
              <w:ind w:firstLine="480"/>
              <w:jc w:val="both"/>
            </w:pPr>
            <w:r>
              <w:rPr>
                <w:rFonts w:ascii="仿宋_GB2312" w:hAnsi="仿宋_GB2312" w:cs="仿宋_GB2312" w:eastAsia="仿宋_GB2312"/>
                <w:sz w:val="24"/>
                <w:color w:val="000000"/>
              </w:rPr>
              <w:t>执法监管现状。河湖管理保护执法队伍建设情况、区域内部门联合执法机制建设情况、巡河制度建设日常巡工作开展情况、违法违规行为查处打击情况、公众满意度情况等。</w:t>
            </w:r>
          </w:p>
          <w:p>
            <w:pPr>
              <w:pStyle w:val="null3"/>
              <w:ind w:firstLine="480"/>
              <w:jc w:val="both"/>
            </w:pPr>
            <w:r>
              <w:rPr>
                <w:rFonts w:ascii="仿宋_GB2312" w:hAnsi="仿宋_GB2312" w:cs="仿宋_GB2312" w:eastAsia="仿宋_GB2312"/>
                <w:sz w:val="24"/>
                <w:color w:val="000000"/>
              </w:rPr>
              <w:t>其他现状。</w:t>
            </w:r>
            <w:r>
              <w:rPr>
                <w:rFonts w:ascii="仿宋_GB2312" w:hAnsi="仿宋_GB2312" w:cs="仿宋_GB2312" w:eastAsia="仿宋_GB2312"/>
                <w:sz w:val="24"/>
              </w:rPr>
              <w:t>一般包括河湖监测感知数量，</w:t>
            </w:r>
            <w:r>
              <w:rPr>
                <w:rFonts w:ascii="仿宋_GB2312" w:hAnsi="仿宋_GB2312" w:cs="仿宋_GB2312" w:eastAsia="仿宋_GB2312"/>
                <w:sz w:val="24"/>
              </w:rPr>
              <w:t>公众满意度情况，幸福河湖、美丽河湖</w:t>
            </w:r>
            <w:r>
              <w:rPr>
                <w:rFonts w:ascii="仿宋_GB2312" w:hAnsi="仿宋_GB2312" w:cs="仿宋_GB2312" w:eastAsia="仿宋_GB2312"/>
                <w:sz w:val="24"/>
              </w:rPr>
              <w:t>申报</w:t>
            </w:r>
            <w:r>
              <w:rPr>
                <w:rFonts w:ascii="仿宋_GB2312" w:hAnsi="仿宋_GB2312" w:cs="仿宋_GB2312" w:eastAsia="仿宋_GB2312"/>
                <w:sz w:val="24"/>
              </w:rPr>
              <w:t>情况等。</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3</w:t>
            </w:r>
            <w:r>
              <w:rPr>
                <w:rFonts w:ascii="仿宋_GB2312" w:hAnsi="仿宋_GB2312" w:cs="仿宋_GB2312" w:eastAsia="仿宋_GB2312"/>
                <w:sz w:val="24"/>
                <w:color w:val="000000"/>
              </w:rPr>
              <w:t>）</w:t>
            </w:r>
            <w:r>
              <w:rPr>
                <w:rFonts w:ascii="仿宋_GB2312" w:hAnsi="仿宋_GB2312" w:cs="仿宋_GB2312" w:eastAsia="仿宋_GB2312"/>
                <w:sz w:val="24"/>
                <w:color w:val="000000"/>
              </w:rPr>
              <w:t>存在问题分析</w:t>
            </w:r>
          </w:p>
          <w:p>
            <w:pPr>
              <w:pStyle w:val="null3"/>
              <w:ind w:firstLine="480"/>
              <w:jc w:val="both"/>
            </w:pPr>
            <w:r>
              <w:rPr>
                <w:rFonts w:ascii="仿宋_GB2312" w:hAnsi="仿宋_GB2312" w:cs="仿宋_GB2312" w:eastAsia="仿宋_GB2312"/>
                <w:sz w:val="24"/>
                <w:color w:val="000000"/>
              </w:rPr>
              <w:t>针对水资源保护、水域岸线管理保护（</w:t>
            </w:r>
            <w:r>
              <w:rPr>
                <w:rFonts w:ascii="仿宋_GB2312" w:hAnsi="仿宋_GB2312" w:cs="仿宋_GB2312" w:eastAsia="仿宋_GB2312"/>
                <w:sz w:val="24"/>
                <w:color w:val="000000"/>
              </w:rPr>
              <w:t>包括</w:t>
            </w:r>
            <w:r>
              <w:rPr>
                <w:rFonts w:ascii="仿宋_GB2312" w:hAnsi="仿宋_GB2312" w:cs="仿宋_GB2312" w:eastAsia="仿宋_GB2312"/>
                <w:sz w:val="24"/>
                <w:color w:val="000000"/>
              </w:rPr>
              <w:t>岸线规划成果、河湖划界成果等）、水污染、水环境、水生态、执法监管中存在的主要问题，分析产生的主要原因，提出问题清单。</w:t>
            </w:r>
          </w:p>
          <w:p>
            <w:pPr>
              <w:pStyle w:val="null3"/>
              <w:jc w:val="both"/>
              <w:outlineLvl w:val="2"/>
            </w:pPr>
            <w:r>
              <w:rPr>
                <w:rFonts w:ascii="仿宋_GB2312" w:hAnsi="仿宋_GB2312" w:cs="仿宋_GB2312" w:eastAsia="仿宋_GB2312"/>
                <w:sz w:val="24"/>
                <w:b/>
                <w:color w:val="000000"/>
              </w:rPr>
              <w:t>6.</w:t>
            </w:r>
            <w:r>
              <w:rPr>
                <w:rFonts w:ascii="仿宋_GB2312" w:hAnsi="仿宋_GB2312" w:cs="仿宋_GB2312" w:eastAsia="仿宋_GB2312"/>
                <w:sz w:val="24"/>
                <w:b/>
                <w:color w:val="000000"/>
              </w:rPr>
              <w:t>管理保护目标</w:t>
            </w:r>
          </w:p>
          <w:p>
            <w:pPr>
              <w:pStyle w:val="null3"/>
              <w:ind w:firstLine="480"/>
              <w:jc w:val="both"/>
            </w:pPr>
            <w:r>
              <w:rPr>
                <w:rFonts w:ascii="仿宋_GB2312" w:hAnsi="仿宋_GB2312" w:cs="仿宋_GB2312" w:eastAsia="仿宋_GB2312"/>
                <w:sz w:val="24"/>
                <w:color w:val="000000"/>
              </w:rPr>
              <w:t>针对河湖存在的主要问题，依据相关规划，结合本地实际和可能达到的预期效果，合理提出</w:t>
            </w:r>
            <w:r>
              <w:rPr>
                <w:rFonts w:ascii="仿宋_GB2312" w:hAnsi="仿宋_GB2312" w:cs="仿宋_GB2312" w:eastAsia="仿宋_GB2312"/>
                <w:sz w:val="24"/>
                <w:color w:val="000000"/>
              </w:rPr>
              <w:t>“一河（湖）一策”方案实施周期内河湖管理保护的总体目标和年度目标清单。本级河长负责的河湖（河段）管理保护目标要分解至下一级河长负责的河段（湖片），并制定目标。</w:t>
            </w:r>
          </w:p>
          <w:p>
            <w:pPr>
              <w:pStyle w:val="null3"/>
              <w:ind w:firstLine="480"/>
              <w:jc w:val="both"/>
            </w:pPr>
            <w:r>
              <w:rPr>
                <w:rFonts w:ascii="仿宋_GB2312" w:hAnsi="仿宋_GB2312" w:cs="仿宋_GB2312" w:eastAsia="仿宋_GB2312"/>
                <w:sz w:val="24"/>
                <w:color w:val="000000"/>
              </w:rPr>
              <w:t>水资源保护目标。一般包括河湖用水总量控制、水功能区监管、用水效率、节水技术应用</w:t>
            </w:r>
            <w:r>
              <w:rPr>
                <w:rFonts w:ascii="仿宋_GB2312" w:hAnsi="仿宋_GB2312" w:cs="仿宋_GB2312" w:eastAsia="仿宋_GB2312"/>
                <w:sz w:val="24"/>
                <w:color w:val="000000"/>
              </w:rPr>
              <w:t>等</w:t>
            </w:r>
            <w:r>
              <w:rPr>
                <w:rFonts w:ascii="仿宋_GB2312" w:hAnsi="仿宋_GB2312" w:cs="仿宋_GB2312" w:eastAsia="仿宋_GB2312"/>
                <w:sz w:val="24"/>
                <w:color w:val="000000"/>
              </w:rPr>
              <w:t>指标。</w:t>
            </w:r>
          </w:p>
          <w:p>
            <w:pPr>
              <w:pStyle w:val="null3"/>
              <w:ind w:firstLine="480"/>
              <w:jc w:val="both"/>
            </w:pPr>
            <w:r>
              <w:rPr>
                <w:rFonts w:ascii="仿宋_GB2312" w:hAnsi="仿宋_GB2312" w:cs="仿宋_GB2312" w:eastAsia="仿宋_GB2312"/>
                <w:sz w:val="24"/>
                <w:color w:val="000000"/>
              </w:rPr>
              <w:t>水域岸线管理保护目标。通常有河湖管理范围划定、河湖生态空间划定、自然岸线保有率、防洪工程达标率、水域岸线分区管理等。</w:t>
            </w:r>
          </w:p>
          <w:p>
            <w:pPr>
              <w:pStyle w:val="null3"/>
              <w:ind w:firstLine="480"/>
              <w:jc w:val="both"/>
            </w:pPr>
            <w:r>
              <w:rPr>
                <w:rFonts w:ascii="仿宋_GB2312" w:hAnsi="仿宋_GB2312" w:cs="仿宋_GB2312" w:eastAsia="仿宋_GB2312"/>
                <w:sz w:val="24"/>
                <w:color w:val="000000"/>
              </w:rPr>
              <w:t>水污染防治目标。一般包括入河湖排污口整治与监管、面源与内源污染控制、废污水收集处理等指标、城镇再生水利用、畜禽粪污综合利用等指标。</w:t>
            </w:r>
          </w:p>
          <w:p>
            <w:pPr>
              <w:pStyle w:val="null3"/>
              <w:ind w:firstLine="480"/>
              <w:jc w:val="both"/>
            </w:pPr>
            <w:r>
              <w:rPr>
                <w:rFonts w:ascii="仿宋_GB2312" w:hAnsi="仿宋_GB2312" w:cs="仿宋_GB2312" w:eastAsia="仿宋_GB2312"/>
                <w:sz w:val="24"/>
                <w:color w:val="000000"/>
              </w:rPr>
              <w:t>水环境治理目标。一般包括主要控制断面水质优劣程度、水质变化趋势、饮用水水源地水质、城镇河段水体整洁度、黑臭水体治理，有条件地区可增加亲水生态岸线建设、农村水环境治理等指标。</w:t>
            </w:r>
          </w:p>
          <w:p>
            <w:pPr>
              <w:pStyle w:val="null3"/>
              <w:ind w:firstLine="480"/>
              <w:jc w:val="both"/>
            </w:pPr>
            <w:r>
              <w:rPr>
                <w:rFonts w:ascii="仿宋_GB2312" w:hAnsi="仿宋_GB2312" w:cs="仿宋_GB2312" w:eastAsia="仿宋_GB2312"/>
                <w:sz w:val="24"/>
                <w:color w:val="000000"/>
              </w:rPr>
              <w:t>水生态修复目标。一般包括河湖连通性、主要控制断面生态基流及生态流量</w:t>
            </w:r>
            <w:r>
              <w:rPr>
                <w:rFonts w:ascii="仿宋_GB2312" w:hAnsi="仿宋_GB2312" w:cs="仿宋_GB2312" w:eastAsia="仿宋_GB2312"/>
                <w:sz w:val="24"/>
                <w:color w:val="000000"/>
              </w:rPr>
              <w:t>/生态水位（水面面积）满足程度、重要生态区域（源头区、水源涵养区、生态敏感区）保护、重要水生生境保护、水生生物完整性指数、鱼类物种数、重点保护水生生物种数、外来入侵物种治理，重点水土流失区监督整治等指标。有条件地区可增加河湖清淤疏浚、建立生态补偿机制、水生生物资源养护等指标。</w:t>
            </w:r>
          </w:p>
          <w:p>
            <w:pPr>
              <w:pStyle w:val="null3"/>
              <w:ind w:firstLine="480"/>
              <w:jc w:val="both"/>
            </w:pPr>
            <w:r>
              <w:rPr>
                <w:rFonts w:ascii="仿宋_GB2312" w:hAnsi="仿宋_GB2312" w:cs="仿宋_GB2312" w:eastAsia="仿宋_GB2312"/>
                <w:sz w:val="24"/>
                <w:color w:val="000000"/>
              </w:rPr>
              <w:t>执法监管目标。一般包括涉河违法行为打击率、建立健全行政执法和刑事司法衔接机制等。</w:t>
            </w:r>
          </w:p>
          <w:p>
            <w:pPr>
              <w:pStyle w:val="null3"/>
              <w:ind w:firstLine="480"/>
              <w:jc w:val="both"/>
            </w:pPr>
            <w:r>
              <w:rPr>
                <w:rFonts w:ascii="仿宋_GB2312" w:hAnsi="仿宋_GB2312" w:cs="仿宋_GB2312" w:eastAsia="仿宋_GB2312"/>
                <w:sz w:val="24"/>
                <w:color w:val="000000"/>
              </w:rPr>
              <w:t>其他目标。</w:t>
            </w:r>
            <w:r>
              <w:rPr>
                <w:rFonts w:ascii="仿宋_GB2312" w:hAnsi="仿宋_GB2312" w:cs="仿宋_GB2312" w:eastAsia="仿宋_GB2312"/>
                <w:sz w:val="24"/>
              </w:rPr>
              <w:t>一般包括河湖监测感知数量</w:t>
            </w:r>
            <w:r>
              <w:rPr>
                <w:rFonts w:ascii="仿宋_GB2312" w:hAnsi="仿宋_GB2312" w:cs="仿宋_GB2312" w:eastAsia="仿宋_GB2312"/>
                <w:sz w:val="24"/>
              </w:rPr>
              <w:t>，</w:t>
            </w:r>
            <w:r>
              <w:rPr>
                <w:rFonts w:ascii="仿宋_GB2312" w:hAnsi="仿宋_GB2312" w:cs="仿宋_GB2312" w:eastAsia="仿宋_GB2312"/>
                <w:sz w:val="24"/>
              </w:rPr>
              <w:t>公众满意度</w:t>
            </w:r>
            <w:r>
              <w:rPr>
                <w:rFonts w:ascii="仿宋_GB2312" w:hAnsi="仿宋_GB2312" w:cs="仿宋_GB2312" w:eastAsia="仿宋_GB2312"/>
                <w:sz w:val="24"/>
              </w:rPr>
              <w:t>，幸福河湖建设数量、美丽河湖建设数量</w:t>
            </w:r>
            <w:r>
              <w:rPr>
                <w:rFonts w:ascii="仿宋_GB2312" w:hAnsi="仿宋_GB2312" w:cs="仿宋_GB2312" w:eastAsia="仿宋_GB2312"/>
                <w:sz w:val="24"/>
              </w:rPr>
              <w:t>等。</w:t>
            </w:r>
          </w:p>
          <w:p>
            <w:pPr>
              <w:pStyle w:val="null3"/>
              <w:ind w:firstLine="480"/>
              <w:jc w:val="both"/>
            </w:pPr>
            <w:r>
              <w:rPr>
                <w:rFonts w:ascii="仿宋_GB2312" w:hAnsi="仿宋_GB2312" w:cs="仿宋_GB2312" w:eastAsia="仿宋_GB2312"/>
                <w:sz w:val="24"/>
                <w:color w:val="000000"/>
              </w:rPr>
              <w:t>可结合当地管护的实际需要增减完善。主要指标原则上应反映河流自身情况，部分指标无法分解至河流的，也可反映区域指标。</w:t>
            </w:r>
          </w:p>
          <w:p>
            <w:pPr>
              <w:pStyle w:val="null3"/>
              <w:jc w:val="both"/>
              <w:outlineLvl w:val="1"/>
            </w:pPr>
            <w:r>
              <w:rPr>
                <w:rFonts w:ascii="仿宋_GB2312" w:hAnsi="仿宋_GB2312" w:cs="仿宋_GB2312" w:eastAsia="仿宋_GB2312"/>
                <w:sz w:val="24"/>
                <w:b/>
                <w:color w:val="000000"/>
              </w:rPr>
              <w:t>7.</w:t>
            </w:r>
            <w:r>
              <w:rPr>
                <w:rFonts w:ascii="仿宋_GB2312" w:hAnsi="仿宋_GB2312" w:cs="仿宋_GB2312" w:eastAsia="仿宋_GB2312"/>
                <w:sz w:val="24"/>
                <w:b/>
                <w:color w:val="000000"/>
              </w:rPr>
              <w:t>梳理河湖现状，建立问题清单</w:t>
            </w:r>
          </w:p>
          <w:p>
            <w:pPr>
              <w:pStyle w:val="null3"/>
              <w:ind w:firstLine="480"/>
              <w:jc w:val="left"/>
            </w:pPr>
            <w:r>
              <w:rPr>
                <w:rFonts w:ascii="仿宋_GB2312" w:hAnsi="仿宋_GB2312" w:cs="仿宋_GB2312" w:eastAsia="仿宋_GB2312"/>
                <w:sz w:val="24"/>
                <w:color w:val="000000"/>
              </w:rPr>
              <w:t>各级河长组织水利、生态、住建、农业、交通等行业部门，按照各行业职能，根据方案相应内容，以河湖健康评价和河湖名录复核</w:t>
            </w:r>
            <w:r>
              <w:rPr>
                <w:rFonts w:ascii="仿宋_GB2312" w:hAnsi="仿宋_GB2312" w:cs="仿宋_GB2312" w:eastAsia="仿宋_GB2312"/>
                <w:sz w:val="24"/>
                <w:color w:val="000000"/>
              </w:rPr>
              <w:t>成果</w:t>
            </w:r>
            <w:r>
              <w:rPr>
                <w:rFonts w:ascii="仿宋_GB2312" w:hAnsi="仿宋_GB2312" w:cs="仿宋_GB2312" w:eastAsia="仿宋_GB2312"/>
                <w:sz w:val="24"/>
                <w:color w:val="000000"/>
              </w:rPr>
              <w:t>为基础，结合</w:t>
            </w:r>
            <w:r>
              <w:rPr>
                <w:rFonts w:ascii="仿宋_GB2312" w:hAnsi="仿宋_GB2312" w:cs="仿宋_GB2312" w:eastAsia="仿宋_GB2312"/>
                <w:sz w:val="24"/>
                <w:color w:val="000000"/>
              </w:rPr>
              <w:t>环保督察</w:t>
            </w:r>
            <w:r>
              <w:rPr>
                <w:rFonts w:ascii="仿宋_GB2312" w:hAnsi="仿宋_GB2312" w:cs="仿宋_GB2312" w:eastAsia="仿宋_GB2312"/>
                <w:sz w:val="24"/>
                <w:color w:val="000000"/>
              </w:rPr>
              <w:t>及行业部门相关规划、要求等，按六大任务全面梳理和复核河流基本情况，包括河流的水量、水质、水生态、水功能区、岸线、主要污染物及污染源、航运及港口、排污口、水产养殖、采砂、水土保持、垦植、沿岸植被，以及跨区域上下游的综合情况等，总结分析存在的问题及成因，建立问题清单。</w:t>
            </w:r>
          </w:p>
          <w:p>
            <w:pPr>
              <w:pStyle w:val="null3"/>
              <w:jc w:val="both"/>
              <w:outlineLvl w:val="1"/>
            </w:pPr>
            <w:r>
              <w:rPr>
                <w:rFonts w:ascii="仿宋_GB2312" w:hAnsi="仿宋_GB2312" w:cs="仿宋_GB2312" w:eastAsia="仿宋_GB2312"/>
                <w:sz w:val="24"/>
                <w:b/>
                <w:color w:val="000000"/>
              </w:rPr>
              <w:t>8.</w:t>
            </w:r>
            <w:r>
              <w:rPr>
                <w:rFonts w:ascii="仿宋_GB2312" w:hAnsi="仿宋_GB2312" w:cs="仿宋_GB2312" w:eastAsia="仿宋_GB2312"/>
                <w:sz w:val="24"/>
                <w:b/>
                <w:color w:val="000000"/>
              </w:rPr>
              <w:t>回顾及总结河湖治理成效，制定目标清单</w:t>
            </w:r>
          </w:p>
          <w:p>
            <w:pPr>
              <w:pStyle w:val="null3"/>
              <w:ind w:firstLine="480"/>
              <w:jc w:val="left"/>
            </w:pPr>
            <w:r>
              <w:rPr>
                <w:rFonts w:ascii="仿宋_GB2312" w:hAnsi="仿宋_GB2312" w:cs="仿宋_GB2312" w:eastAsia="仿宋_GB2312"/>
                <w:sz w:val="24"/>
                <w:color w:val="000000"/>
              </w:rPr>
              <w:t>各级河长组织相关行业部门，按照</w:t>
            </w:r>
            <w:r>
              <w:rPr>
                <w:rFonts w:ascii="仿宋_GB2312" w:hAnsi="仿宋_GB2312" w:cs="仿宋_GB2312" w:eastAsia="仿宋_GB2312"/>
                <w:sz w:val="24"/>
                <w:color w:val="000000"/>
              </w:rPr>
              <w:t>“5+9”行业分工及职能，根据方案目标和指标，下级河长向上级河长提交回顾性评价内容及目标清单，回顾及总结2021年到2025年河湖的变化情况、达标情况及治理成效，以问题、回顾性评价为导向，结合河湖健康评价结果以及幸福河湖、美丽河湖建设要求，牵头制定一河（湖）一策管理保护方案总体目标及分项目标，各行业主管部门根据部门职能，针对河流水量、水质、水功能区、水环境、水生态的具体要求，分解和落实部门职能范围内的具体指标，下级河长制定其管护河流的目标时，应满足上级河流的相关要求。</w:t>
            </w:r>
          </w:p>
          <w:p>
            <w:pPr>
              <w:pStyle w:val="null3"/>
              <w:jc w:val="both"/>
              <w:outlineLvl w:val="1"/>
            </w:pPr>
            <w:r>
              <w:rPr>
                <w:rFonts w:ascii="仿宋_GB2312" w:hAnsi="仿宋_GB2312" w:cs="仿宋_GB2312" w:eastAsia="仿宋_GB2312"/>
                <w:sz w:val="24"/>
                <w:b/>
                <w:color w:val="000000"/>
              </w:rPr>
              <w:t>9.</w:t>
            </w:r>
            <w:r>
              <w:rPr>
                <w:rFonts w:ascii="仿宋_GB2312" w:hAnsi="仿宋_GB2312" w:cs="仿宋_GB2312" w:eastAsia="仿宋_GB2312"/>
                <w:sz w:val="24"/>
                <w:b/>
                <w:color w:val="000000"/>
              </w:rPr>
              <w:t>以问题为导向，细化、实化任务和措施清单</w:t>
            </w:r>
          </w:p>
          <w:p>
            <w:pPr>
              <w:pStyle w:val="null3"/>
              <w:ind w:firstLine="480"/>
              <w:jc w:val="left"/>
            </w:pPr>
            <w:r>
              <w:rPr>
                <w:rFonts w:ascii="仿宋_GB2312" w:hAnsi="仿宋_GB2312" w:cs="仿宋_GB2312" w:eastAsia="仿宋_GB2312"/>
                <w:sz w:val="24"/>
                <w:color w:val="000000"/>
              </w:rPr>
              <w:t>各级河长组织相关行业部门，按照各行业职能，围绕六大任务，督促各部门按照部门职责，细化实化部门工作任务。</w:t>
            </w:r>
          </w:p>
          <w:p>
            <w:pPr>
              <w:pStyle w:val="null3"/>
              <w:ind w:firstLine="480"/>
              <w:jc w:val="left"/>
            </w:pPr>
            <w:r>
              <w:rPr>
                <w:rFonts w:ascii="仿宋_GB2312" w:hAnsi="仿宋_GB2312" w:cs="仿宋_GB2312" w:eastAsia="仿宋_GB2312"/>
                <w:sz w:val="24"/>
                <w:color w:val="000000"/>
              </w:rPr>
              <w:t>各行业主管部门应按照任务分工及河长的统一要求，制定切实可行解决河湖管理保护中的突出问题的对策措施，提高方案的针对性、可操作性。对江河湖泊，要强化水功能区管理，突出保护措施，特别要加大江河源头区、水源涵养区、生态敏感区和饮用水水源地保护力度；对水污染严重、水生态恶化的河湖要加强水污染治理、生态保护与修复等；对城市河湖，要处理好开发利用与保护的关系，维护水系完整性和生态良好，加大黑臭水体治理；对农村河道，要加强清淤疏浚、环境整治和水系连通，要划定河湖管理范围，加强水域岸线管理和保护，严格涉河建设项目和活动监管，严禁侵占水域空间，整治乱占滥用、非法养殖、非法采砂等违法违规活动。</w:t>
            </w:r>
          </w:p>
          <w:p>
            <w:pPr>
              <w:pStyle w:val="null3"/>
              <w:jc w:val="both"/>
              <w:outlineLvl w:val="1"/>
            </w:pPr>
            <w:r>
              <w:rPr>
                <w:rFonts w:ascii="仿宋_GB2312" w:hAnsi="仿宋_GB2312" w:cs="仿宋_GB2312" w:eastAsia="仿宋_GB2312"/>
                <w:sz w:val="24"/>
                <w:b/>
                <w:color w:val="000000"/>
              </w:rPr>
              <w:t>10.</w:t>
            </w:r>
            <w:r>
              <w:rPr>
                <w:rFonts w:ascii="仿宋_GB2312" w:hAnsi="仿宋_GB2312" w:cs="仿宋_GB2312" w:eastAsia="仿宋_GB2312"/>
                <w:sz w:val="24"/>
                <w:b/>
                <w:color w:val="000000"/>
              </w:rPr>
              <w:t>落实职责</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强化结果运用</w:t>
            </w:r>
          </w:p>
          <w:p>
            <w:pPr>
              <w:pStyle w:val="null3"/>
              <w:ind w:firstLine="480"/>
              <w:jc w:val="left"/>
            </w:pPr>
            <w:r>
              <w:rPr>
                <w:rFonts w:ascii="仿宋_GB2312" w:hAnsi="仿宋_GB2312" w:cs="仿宋_GB2312" w:eastAsia="仿宋_GB2312"/>
                <w:sz w:val="24"/>
                <w:color w:val="000000"/>
              </w:rPr>
              <w:t>根据机构改革职能调整情况，进一步明确各职能部门的职责，依据问题清单，结合</w:t>
            </w:r>
            <w:r>
              <w:rPr>
                <w:rFonts w:ascii="仿宋_GB2312" w:hAnsi="仿宋_GB2312" w:cs="仿宋_GB2312" w:eastAsia="仿宋_GB2312"/>
                <w:sz w:val="24"/>
                <w:color w:val="000000"/>
              </w:rPr>
              <w:t>“5+9”行业分工及职能和方案实施情况，各职能部门按照其职责，梳理问题清单所涉及的部门、单位、企业或个人，进一步明确目标和落实责任。</w:t>
            </w:r>
          </w:p>
          <w:p>
            <w:pPr>
              <w:pStyle w:val="null3"/>
              <w:ind w:firstLine="480"/>
              <w:jc w:val="left"/>
            </w:pPr>
            <w:r>
              <w:rPr>
                <w:rFonts w:ascii="仿宋_GB2312" w:hAnsi="仿宋_GB2312" w:cs="仿宋_GB2312" w:eastAsia="仿宋_GB2312"/>
                <w:sz w:val="24"/>
                <w:color w:val="000000"/>
              </w:rPr>
              <w:t>各级河长牵头检查主体责任落实情况，通过审计监督、公益诉讼、自然资产离任审计、人大执法检查等举措强化和推动成果运用。</w:t>
            </w:r>
          </w:p>
          <w:p>
            <w:pPr>
              <w:pStyle w:val="null3"/>
              <w:jc w:val="both"/>
              <w:outlineLvl w:val="1"/>
            </w:pPr>
            <w:r>
              <w:rPr>
                <w:rFonts w:ascii="仿宋_GB2312" w:hAnsi="仿宋_GB2312" w:cs="仿宋_GB2312" w:eastAsia="仿宋_GB2312"/>
                <w:sz w:val="24"/>
                <w:b/>
                <w:color w:val="000000"/>
              </w:rPr>
              <w:t>11.</w:t>
            </w:r>
            <w:r>
              <w:rPr>
                <w:rFonts w:ascii="仿宋_GB2312" w:hAnsi="仿宋_GB2312" w:cs="仿宋_GB2312" w:eastAsia="仿宋_GB2312"/>
                <w:sz w:val="24"/>
                <w:b/>
                <w:color w:val="000000"/>
              </w:rPr>
              <w:t>总结成功经验，从治理向常态化管理与保护转变</w:t>
            </w:r>
          </w:p>
          <w:p>
            <w:pPr>
              <w:pStyle w:val="null3"/>
              <w:ind w:firstLine="480"/>
              <w:jc w:val="both"/>
            </w:pPr>
            <w:r>
              <w:rPr>
                <w:rFonts w:ascii="仿宋_GB2312" w:hAnsi="仿宋_GB2312" w:cs="仿宋_GB2312" w:eastAsia="仿宋_GB2312"/>
                <w:sz w:val="24"/>
                <w:color w:val="000000"/>
              </w:rPr>
              <w:t>河长制实施以来，各地加大力度治理黑臭水体、重污染水体等不良水体，水生态明显改善，水环境持续向好，水质大幅提升。各级河长要组织相关行业部门，及时总结成功经验，适时调整治水理念，从</w:t>
            </w:r>
            <w:r>
              <w:rPr>
                <w:rFonts w:ascii="仿宋_GB2312" w:hAnsi="仿宋_GB2312" w:cs="仿宋_GB2312" w:eastAsia="仿宋_GB2312"/>
                <w:sz w:val="24"/>
                <w:color w:val="000000"/>
              </w:rPr>
              <w:t>“重治理”向“重管理”、“重保护”转变，加快出台相关流域管理保护条例，保障流域科学管理、生态保护及高质量发展有法可依</w:t>
            </w:r>
            <w:r>
              <w:rPr>
                <w:rFonts w:ascii="仿宋_GB2312" w:hAnsi="仿宋_GB2312" w:cs="仿宋_GB2312" w:eastAsia="仿宋_GB2312"/>
                <w:sz w:val="24"/>
                <w:color w:val="000000"/>
              </w:rPr>
              <w:t>。</w:t>
            </w:r>
          </w:p>
          <w:p>
            <w:pPr>
              <w:pStyle w:val="null3"/>
              <w:spacing w:before="105" w:after="105"/>
              <w:jc w:val="both"/>
            </w:pPr>
            <w:r>
              <w:rPr>
                <w:rFonts w:ascii="仿宋_GB2312" w:hAnsi="仿宋_GB2312" w:cs="仿宋_GB2312" w:eastAsia="仿宋_GB2312"/>
                <w:sz w:val="28"/>
                <w:b/>
              </w:rPr>
              <w:t>（二）成果要求</w:t>
            </w:r>
            <w:r>
              <w:rPr>
                <w:rFonts w:ascii="仿宋_GB2312" w:hAnsi="仿宋_GB2312" w:cs="仿宋_GB2312" w:eastAsia="仿宋_GB2312"/>
                <w:sz w:val="28"/>
                <w:b/>
              </w:rPr>
              <w:t>（</w:t>
            </w:r>
            <w:r>
              <w:rPr>
                <w:rFonts w:ascii="仿宋_GB2312" w:hAnsi="仿宋_GB2312" w:cs="仿宋_GB2312" w:eastAsia="仿宋_GB2312"/>
                <w:sz w:val="28"/>
                <w:b/>
              </w:rPr>
              <w:t>实质性要求</w:t>
            </w:r>
            <w:r>
              <w:rPr>
                <w:rFonts w:ascii="仿宋_GB2312" w:hAnsi="仿宋_GB2312" w:cs="仿宋_GB2312" w:eastAsia="仿宋_GB2312"/>
                <w:sz w:val="28"/>
                <w:b/>
              </w:rPr>
              <w:t>）</w:t>
            </w:r>
          </w:p>
          <w:p>
            <w:pPr>
              <w:pStyle w:val="null3"/>
              <w:ind w:firstLine="480"/>
              <w:jc w:val="left"/>
            </w:pPr>
            <w:r>
              <w:rPr>
                <w:rFonts w:ascii="仿宋_GB2312" w:hAnsi="仿宋_GB2312" w:cs="仿宋_GB2312" w:eastAsia="仿宋_GB2312"/>
                <w:sz w:val="24"/>
              </w:rPr>
              <w:t>1、数量要求</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1）提供《一河一策管理保护方案》纸质成果（装订成册）5份，电子版文档1份。</w:t>
            </w:r>
          </w:p>
          <w:p>
            <w:pPr>
              <w:pStyle w:val="null3"/>
              <w:ind w:firstLine="480"/>
              <w:jc w:val="left"/>
            </w:pPr>
            <w:r>
              <w:rPr>
                <w:rFonts w:ascii="仿宋_GB2312" w:hAnsi="仿宋_GB2312" w:cs="仿宋_GB2312" w:eastAsia="仿宋_GB2312"/>
                <w:sz w:val="24"/>
              </w:rPr>
              <w:t>2、质量要求</w:t>
            </w:r>
          </w:p>
          <w:p>
            <w:pPr>
              <w:pStyle w:val="null3"/>
              <w:jc w:val="both"/>
            </w:pPr>
            <w:r>
              <w:rPr>
                <w:rFonts w:ascii="仿宋_GB2312" w:hAnsi="仿宋_GB2312" w:cs="仿宋_GB2312" w:eastAsia="仿宋_GB2312"/>
                <w:sz w:val="24"/>
              </w:rPr>
              <w:t>成交供应商提供的方案内容须符合国家及地方有关行业规范、规程、标准，并应详细、完善、科学合理，内容应涵盖但不仅限于方案所需要件。成果须内容齐全，格式规范、逻辑层次清晰、语言准确精练、图文字表格要相符，结论明确，符合本项目的实际，以通过专家评审验收视为质量合格。</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其他要求</w:t>
            </w:r>
          </w:p>
        </w:tc>
        <w:tc>
          <w:tcPr>
            <w:tcW w:type="dxa" w:w="5814"/>
          </w:tcPr>
          <w:p>
            <w:pPr>
              <w:pStyle w:val="null3"/>
              <w:jc w:val="left"/>
            </w:pPr>
            <w:r>
              <w:rPr>
                <w:rFonts w:ascii="仿宋_GB2312" w:hAnsi="仿宋_GB2312" w:cs="仿宋_GB2312" w:eastAsia="仿宋_GB2312"/>
                <w:sz w:val="22"/>
              </w:rPr>
              <w:t>1.</w:t>
            </w:r>
            <w:r>
              <w:rPr>
                <w:rFonts w:ascii="仿宋_GB2312" w:hAnsi="仿宋_GB2312" w:cs="仿宋_GB2312" w:eastAsia="仿宋_GB2312"/>
                <w:sz w:val="22"/>
              </w:rPr>
              <w:t>供应商需提供项目需求分析，包括：</w:t>
            </w:r>
            <w:r>
              <w:rPr>
                <w:rFonts w:ascii="仿宋_GB2312" w:hAnsi="仿宋_GB2312" w:cs="仿宋_GB2312" w:eastAsia="仿宋_GB2312"/>
                <w:sz w:val="22"/>
              </w:rPr>
              <w:t>①项目现状及背景分析；②项目目标分析；③项目重点和难点分析及对策；</w:t>
            </w:r>
          </w:p>
          <w:p>
            <w:pPr>
              <w:pStyle w:val="null3"/>
              <w:jc w:val="left"/>
            </w:pPr>
            <w:r>
              <w:rPr>
                <w:rFonts w:ascii="仿宋_GB2312" w:hAnsi="仿宋_GB2312" w:cs="仿宋_GB2312" w:eastAsia="仿宋_GB2312"/>
                <w:sz w:val="22"/>
              </w:rPr>
              <w:t>2.供应商需提供实施方案，包括：①整体服务方案；②团队人员配置及分工；③工作进度计划安排；④质量保障措施；⑤安全保障措施；⑥环境风险防控和应急响应方案；</w:t>
            </w:r>
          </w:p>
          <w:p>
            <w:pPr>
              <w:pStyle w:val="null3"/>
              <w:jc w:val="left"/>
            </w:pPr>
            <w:r>
              <w:rPr>
                <w:rFonts w:ascii="仿宋_GB2312" w:hAnsi="仿宋_GB2312" w:cs="仿宋_GB2312" w:eastAsia="仿宋_GB2312"/>
                <w:sz w:val="22"/>
              </w:rPr>
              <w:t>3.供应商需提供后续服务方案，包括：①后续服务承诺；②后续服务范围；③后续服务响应时间；④后续服务保证措施；</w:t>
            </w:r>
          </w:p>
          <w:p>
            <w:pPr>
              <w:pStyle w:val="null3"/>
              <w:jc w:val="left"/>
            </w:pPr>
            <w:r>
              <w:rPr>
                <w:rFonts w:ascii="仿宋_GB2312" w:hAnsi="仿宋_GB2312" w:cs="仿宋_GB2312" w:eastAsia="仿宋_GB2312"/>
                <w:sz w:val="22"/>
              </w:rPr>
              <w:t>4.</w:t>
            </w:r>
            <w:r>
              <w:rPr>
                <w:rFonts w:ascii="仿宋_GB2312" w:hAnsi="仿宋_GB2312" w:cs="仿宋_GB2312" w:eastAsia="仿宋_GB2312"/>
                <w:sz w:val="22"/>
              </w:rPr>
              <w:t>供应商需提供相关服务团队人员；</w:t>
            </w:r>
          </w:p>
          <w:p>
            <w:pPr>
              <w:pStyle w:val="null3"/>
              <w:jc w:val="left"/>
            </w:pPr>
            <w:r>
              <w:rPr>
                <w:rFonts w:ascii="仿宋_GB2312" w:hAnsi="仿宋_GB2312" w:cs="仿宋_GB2312" w:eastAsia="仿宋_GB2312"/>
                <w:sz w:val="22"/>
              </w:rPr>
              <w:t>5.</w:t>
            </w:r>
            <w:r>
              <w:rPr>
                <w:rFonts w:ascii="仿宋_GB2312" w:hAnsi="仿宋_GB2312" w:cs="仿宋_GB2312" w:eastAsia="仿宋_GB2312"/>
                <w:sz w:val="22"/>
              </w:rPr>
              <w:t>供应商需提供类似项目业绩。</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采购合同签订之日起至2025年12月31日</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采购人指定地点</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（1）验收组织方式：自行验收； （2）是否邀请本项目的其他供应商：否； （3）是否邀请专家：是； （4）是否邀请服务对象：否； （5）是否邀请第三方检测机构：否； （6）履约验收程序：一次性验收； （7）履约验收时间：验收条件说明：供应商提出验收申请后，达到验收条件起30日内，验收合同总金额的100%； （8）验收组织的其他事项：无； （9）技术履约验收内容：按照本项目招标文件中“技术服务要求”及中标人投标文件进行验收； （10）商务履约验收内容：按照本项目招标文件中“商务要求”及中标人投标文件进行验收； （11）履约验收标准：履约验收主体由采购人组织，采购人按照《财政部关于进一步加强政府采购需求和履约验收管理的指导意见》（财库〔2016〕205号）等政府采购相关法律法规的要求进行验收； （12）履约验收其他事项：无</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1、采购人在合同签署并收到供应商开具的符合采购人财务要求且合法有效的相应金额的、符合国家规定的发票之日，达到付款条件起20日内，支付合同总金额的50.00%</w:t>
            </w:r>
          </w:p>
          <w:p>
            <w:pPr>
              <w:pStyle w:val="null3"/>
              <w:jc w:val="left"/>
            </w:pPr>
            <w:r>
              <w:rPr>
                <w:rFonts w:ascii="仿宋_GB2312" w:hAnsi="仿宋_GB2312" w:cs="仿宋_GB2312" w:eastAsia="仿宋_GB2312"/>
              </w:rPr>
              <w:t>2、合同履行完成、收到验收合格的相应成果资料并收到供应商开具的符合采购人财务要求且合法有效的相应金额的、符合国家规定的发票之日起，达到付款条件起20日内，支付合同总金额的50.00%</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违约责任：1.如因供应商在履行职务过程中的疏忽、失职、过错等故意或者过失原因给采购人造成损失或侵害，包括但不限于采购人本身的财产损失、由此而导致的采购人对任何第三方的法律责任等，供应商对此均应承担全部的赔偿责任。 2.供应商提供的服务不符合采购文件、响应文件或合同规定的，每出现一次违约（合同涉及“日期”和“天数”的，每逾期一天或少一天，视为一次违约），供应商须向采购人支付合同总价1%的违约金并且按采购人要求进行整改，出现违约3次及以上或未按采购人要求整改的，采购人有权无条件解除合同并要求供应商退还已收取的费用。 3.采购人无正当理由逾期未按照合同约定付款的，则每日按未付款金额的1‰向供应商偿付违约金，但累计违约金总额不超过未付款总额的1％。 4.合同签订后，若供应商存在违法违规行为的，采购人有权无条件解除合同并要求供应商退还已获得的全部费用。 解决争议：在执行合同中发生的或与合同有关的争端，双方应通过友好协商解决，经协商在30天内不能达成一致时，应选择以下第 2 种解决方式： 1.提交采购人所在地仲裁委员会依照其现行有效的仲裁规则进行仲裁； 2.向采购人所在地有管辖权的法院提起诉讼，诉讼产生相应的费用应由败诉方负担。 在法院审理和仲裁期间，除有争议部分外，合同其他部分可以履行的仍应按合同条款继续履行</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采购文件的说明 【说明1：因系统原因，无法调整格式，采购文件第二章“2.4.6.响应文件的编制、签章和加密”中第一项不适用于本项目，不作为评审依据】 【说明2：因系统原因，无法调整格式，采购文件第二章“提交响应文件的截止之日起不少于90天。响应文件未明确响应有效期或者少于前述规定天数的，其响应文件按无效处理。”不适用于本项目，不作为评审依据。评审依据以此为准：“提交响应文件的截止之日起不少于90天。】 【说明3：因系统原因，无法调整格式，采购文件第三章3.1.报价要求中“注：本采购包涉及采购货物的，供应商响应产品应当明确品牌和规格型号并指向唯一产品，不能指向唯一产品的，应通过报价表唯一产品说明栏补充说明”，不适用于本项目，不作为评审依据】 【说明4：因系统原因，无法调整格式，采购文件第五章5.3.4.符合性审查内容中第一条“无需供应商单独提供材料进行响应，只需供应商承诺严格遵守并执行的相关实质性要求。”，不适用于本项目，不作为评审依据】 【说明5：评分标准中所涉及的响应内容，供应商编制于对应的“关联格式”中。若编制响应文件过程中，涉及提供证明材料或提供承诺函等，供应商将前述材料编制于第六章响应文件格式-《其他资料》中】</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磋商过程中可实质性变动的内容</w:t>
      </w:r>
    </w:p>
    <w:p>
      <w:pPr>
        <w:pStyle w:val="null3"/>
        <w:ind w:firstLine="480"/>
        <w:jc w:val="left"/>
      </w:pPr>
      <w:r>
        <w:rPr>
          <w:rFonts w:ascii="仿宋_GB2312" w:hAnsi="仿宋_GB2312" w:cs="仿宋_GB2312" w:eastAsia="仿宋_GB2312"/>
        </w:rPr>
        <w:t>磋商小组可以根据磋商文件和磋商情况实质性变动以下内容：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rPr>
        <w:t>全部内容</w:t>
      </w:r>
    </w:p>
    <w:p>
      <w:pPr>
        <w:pStyle w:val="null3"/>
        <w:ind w:firstLine="480"/>
        <w:jc w:val="left"/>
      </w:pPr>
      <w:r>
        <w:rPr>
          <w:rFonts w:ascii="仿宋_GB2312" w:hAnsi="仿宋_GB2312" w:cs="仿宋_GB2312" w:eastAsia="仿宋_GB2312"/>
        </w:rPr>
        <w:t xml:space="preserve"> 二、第七章“拟签订采购合同文本”：</w:t>
      </w:r>
    </w:p>
    <w:p>
      <w:pPr>
        <w:pStyle w:val="null3"/>
        <w:ind w:firstLine="480"/>
        <w:jc w:val="left"/>
      </w:pPr>
      <w:r>
        <w:rPr>
          <w:rFonts w:ascii="仿宋_GB2312" w:hAnsi="仿宋_GB2312" w:cs="仿宋_GB2312" w:eastAsia="仿宋_GB2312"/>
        </w:rPr>
        <w:t>全部内容</w:t>
      </w:r>
    </w:p>
    <w:p>
      <w:pPr>
        <w:pStyle w:val="null3"/>
        <w:ind w:firstLine="480"/>
        <w:jc w:val="left"/>
      </w:pPr>
      <w:r>
        <w:rPr>
          <w:rFonts w:ascii="仿宋_GB2312" w:hAnsi="仿宋_GB2312" w:cs="仿宋_GB2312" w:eastAsia="仿宋_GB2312"/>
        </w:rPr>
        <w:t>除以上内容外，磋商小组不得变动磋商文件中的其他内容。</w:t>
      </w:r>
    </w:p>
    <w:p>
      <w:pPr>
        <w:pStyle w:val="null3"/>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磋商报告为准。评审过程中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5.2.磋商小组</w:t>
      </w:r>
    </w:p>
    <w:p>
      <w:pPr>
        <w:pStyle w:val="null3"/>
        <w:ind w:firstLine="480"/>
        <w:jc w:val="left"/>
      </w:pPr>
      <w:r>
        <w:rPr>
          <w:rFonts w:ascii="仿宋_GB2312" w:hAnsi="仿宋_GB2312" w:cs="仿宋_GB2312" w:eastAsia="仿宋_GB2312"/>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rFonts w:ascii="仿宋_GB2312" w:hAnsi="仿宋_GB2312" w:cs="仿宋_GB2312" w:eastAsia="仿宋_GB2312"/>
        </w:rPr>
        <w:t>三、磋商小组会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磋商小组，解封响应文件后，开展评审活动。</w:t>
      </w:r>
    </w:p>
    <w:p>
      <w:pPr>
        <w:pStyle w:val="null3"/>
        <w:ind w:firstLine="480"/>
        <w:jc w:val="left"/>
      </w:pPr>
      <w:r>
        <w:rPr>
          <w:rFonts w:ascii="仿宋_GB2312" w:hAnsi="仿宋_GB2312" w:cs="仿宋_GB2312" w:eastAsia="仿宋_GB2312"/>
        </w:rPr>
        <w:t>四、磋商小组应当履行下列职责：</w:t>
      </w:r>
    </w:p>
    <w:p>
      <w:pPr>
        <w:pStyle w:val="null3"/>
        <w:ind w:firstLine="480"/>
        <w:jc w:val="left"/>
      </w:pPr>
      <w:r>
        <w:rPr>
          <w:rFonts w:ascii="仿宋_GB2312" w:hAnsi="仿宋_GB2312" w:cs="仿宋_GB2312" w:eastAsia="仿宋_GB2312"/>
        </w:rPr>
        <w:t>（一）熟悉和理解磋商文件；</w:t>
      </w:r>
    </w:p>
    <w:p>
      <w:pPr>
        <w:pStyle w:val="null3"/>
        <w:ind w:firstLine="480"/>
        <w:jc w:val="left"/>
      </w:pPr>
      <w:r>
        <w:rPr>
          <w:rFonts w:ascii="仿宋_GB2312" w:hAnsi="仿宋_GB2312" w:cs="仿宋_GB2312" w:eastAsia="仿宋_GB2312"/>
        </w:rPr>
        <w:t>（二）审查、评价供应商响应文件等是否满足磋商文件要求；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（六）起草资格审查报告、磋商报告并进行签署；</w:t>
      </w:r>
    </w:p>
    <w:p>
      <w:pPr>
        <w:pStyle w:val="null3"/>
        <w:ind w:firstLine="480"/>
        <w:jc w:val="left"/>
      </w:pPr>
      <w:r>
        <w:rPr>
          <w:rFonts w:ascii="仿宋_GB2312" w:hAnsi="仿宋_GB2312" w:cs="仿宋_GB2312" w:eastAsia="仿宋_GB2312"/>
        </w:rPr>
        <w:t>（七）向采购人、代理机构或者有关部门报告磋商中非法干预评审工作的行为；</w:t>
      </w:r>
    </w:p>
    <w:p>
      <w:pPr>
        <w:pStyle w:val="null3"/>
        <w:ind w:firstLine="480"/>
        <w:jc w:val="left"/>
      </w:pPr>
      <w:r>
        <w:rPr>
          <w:rFonts w:ascii="仿宋_GB2312" w:hAnsi="仿宋_GB2312" w:cs="仿宋_GB2312" w:eastAsia="仿宋_GB2312"/>
        </w:rPr>
        <w:t>（八）按规定告知供应商，未实质性响应磋商文件的响应文件按无效响应处理；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 评审程序</w:t>
      </w:r>
    </w:p>
    <w:p>
      <w:pPr>
        <w:pStyle w:val="null3"/>
        <w:jc w:val="left"/>
        <w:outlineLvl w:val="3"/>
      </w:pPr>
      <w:r>
        <w:rPr>
          <w:rFonts w:ascii="仿宋_GB2312" w:hAnsi="仿宋_GB2312" w:cs="仿宋_GB2312" w:eastAsia="仿宋_GB2312"/>
          <w:sz w:val="24"/>
          <w:b/>
        </w:rPr>
        <w:t>5.3.1.熟悉和理解磋商文件</w:t>
      </w:r>
    </w:p>
    <w:p>
      <w:pPr>
        <w:pStyle w:val="null3"/>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本磋商文件有下列情形之一的，磋商小组应当停止评审：</w:t>
      </w:r>
    </w:p>
    <w:p>
      <w:pPr>
        <w:pStyle w:val="null3"/>
        <w:ind w:firstLine="480"/>
        <w:jc w:val="left"/>
      </w:pPr>
      <w:r>
        <w:rPr>
          <w:rFonts w:ascii="仿宋_GB2312" w:hAnsi="仿宋_GB2312" w:cs="仿宋_GB2312" w:eastAsia="仿宋_GB2312"/>
        </w:rPr>
        <w:t>一、磋商文件的规定存在歧义、重大缺陷，导致评审工作无法进行的；</w:t>
      </w:r>
    </w:p>
    <w:p>
      <w:pPr>
        <w:pStyle w:val="null3"/>
        <w:ind w:firstLine="480"/>
        <w:jc w:val="left"/>
      </w:pPr>
      <w:r>
        <w:rPr>
          <w:rFonts w:ascii="仿宋_GB2312" w:hAnsi="仿宋_GB2312" w:cs="仿宋_GB2312" w:eastAsia="仿宋_GB2312"/>
        </w:rPr>
        <w:t>二、磋商文件明显以不合理条件对供应商实行差别待遇或者歧视待遇的；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jc w:val="left"/>
      </w:pPr>
      <w:r>
        <w:rPr>
          <w:rFonts w:ascii="仿宋_GB2312" w:hAnsi="仿宋_GB2312" w:cs="仿宋_GB2312" w:eastAsia="仿宋_GB2312"/>
        </w:rPr>
        <w:t>五、磋商文件将供应商的资格条件列为评分因素的；</w:t>
      </w:r>
    </w:p>
    <w:p>
      <w:pPr>
        <w:pStyle w:val="null3"/>
        <w:ind w:firstLine="480"/>
        <w:jc w:val="left"/>
      </w:pPr>
      <w:r>
        <w:rPr>
          <w:rFonts w:ascii="仿宋_GB2312" w:hAnsi="仿宋_GB2312" w:cs="仿宋_GB2312" w:eastAsia="仿宋_GB2312"/>
        </w:rPr>
        <w:t>六、磋商文件载明的成交原则不合法的；</w:t>
      </w:r>
    </w:p>
    <w:p>
      <w:pPr>
        <w:pStyle w:val="null3"/>
        <w:ind w:firstLine="480"/>
        <w:jc w:val="left"/>
      </w:pPr>
      <w:r>
        <w:rPr>
          <w:rFonts w:ascii="仿宋_GB2312" w:hAnsi="仿宋_GB2312" w:cs="仿宋_GB2312" w:eastAsia="仿宋_GB2312"/>
        </w:rPr>
        <w:t>七、磋商文件有违反国家其他有关强制性规定的情形。</w:t>
      </w:r>
    </w:p>
    <w:p>
      <w:pPr>
        <w:pStyle w:val="null3"/>
        <w:ind w:firstLine="480"/>
        <w:jc w:val="left"/>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一般资格审查内容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（1）供应商若为企业法人：提供“统一社会信用代码营业执照”；未换证的提供“营业执照、税务登记证、组织机构代码证或多证合一的营业执照”；</w:t>
              <w:br/>
              <w:t>（2）若为事业法人：提供“统一社会信用代码法人登记证书”；未换证的提交“事业法人登记证书、组织机构代码证”；</w:t>
              <w:br/>
              <w:t>（3）若为其他组织：提供“对应主管部门颁发的准许执业证明文件或营业执照”；</w:t>
              <w:br/>
              <w:t>（4）若为自然人：提供“身份证明材料”；</w:t>
              <w:br/>
              <w:t>（5）供应商需在使用投标(响应)客户端编制响应文件时，按要求填写《投标（响应）函》完成承诺并进行电子签章。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其他资料.docx,投标（响应）函.docx</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投标（响应）函.docx</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供应商根据自身情况选择提供其中任意一项：</w:t>
              <w:br/>
              <w:t>（1）可提供2022或2023或2024年度经审计的财务报告复印件（包含审计报告和审计报告中所涉及的财务报表和报表附注）；</w:t>
              <w:br/>
              <w:t>（2）也可提供截至提交首次响应文件截止日一年内银行出具的资信证明（复印件）；</w:t>
              <w:br/>
              <w:t>（3）供应商注册时间截至提交首次响应文件截止日不足一年的，也可提供工商管理部门备案的公司章程（复印件）；</w:t>
              <w:br/>
              <w:t>（4）供应商为个体工商户或自然人时，可提供承诺函；</w:t>
              <w:br/>
              <w:t>（5）供应商需在使用投标(响应)客户端编制响应文件时，按要求填写《投标（响应）函》完成承诺并进行电子签章。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其他资料.docx,投标（响应）函.docx</w:t>
            </w:r>
          </w:p>
        </w:tc>
      </w:tr>
      <w:tr>
        <w:tc>
          <w:tcPr>
            <w:tcW w:type="dxa" w:w="581"/>
          </w:tcPr>
          <w:p>
            <w:pPr>
              <w:pStyle w:val="null3"/>
              <w:jc w:val="center"/>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投标（响应）函.docx</w:t>
            </w:r>
          </w:p>
        </w:tc>
      </w:tr>
      <w:tr>
        <w:tc>
          <w:tcPr>
            <w:tcW w:type="dxa" w:w="581"/>
          </w:tcPr>
          <w:p>
            <w:pPr>
              <w:pStyle w:val="null3"/>
              <w:jc w:val="center"/>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投标（响应）函.docx</w:t>
            </w:r>
          </w:p>
        </w:tc>
      </w:tr>
      <w:tr>
        <w:tc>
          <w:tcPr>
            <w:tcW w:type="dxa" w:w="581"/>
          </w:tcPr>
          <w:p>
            <w:pPr>
              <w:pStyle w:val="null3"/>
              <w:jc w:val="center"/>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投标（响应）函.docx</w:t>
            </w:r>
          </w:p>
        </w:tc>
      </w:tr>
      <w:tr>
        <w:tc>
          <w:tcPr>
            <w:tcW w:type="dxa" w:w="581"/>
          </w:tcPr>
          <w:p>
            <w:pPr>
              <w:pStyle w:val="null3"/>
              <w:jc w:val="center"/>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不存在与单位负责人为同一人或者存在直接控股、管理关系的不同供应商不得参加同一合同项下的政府采购活动的行为。</w:t>
            </w:r>
          </w:p>
        </w:tc>
        <w:tc>
          <w:tcPr>
            <w:tcW w:type="dxa" w:w="3322"/>
          </w:tcPr>
          <w:p>
            <w:pPr>
              <w:pStyle w:val="null3"/>
              <w:jc w:val="left"/>
            </w:pPr>
            <w:r>
              <w:rPr>
                <w:rFonts w:ascii="仿宋_GB2312" w:hAnsi="仿宋_GB2312" w:cs="仿宋_GB2312" w:eastAsia="仿宋_GB2312"/>
              </w:rPr>
              <w:t>因系统固化原因，本条审查内容为（以此为准）：不存在与单位负责人为同一人或者存在直接控股、管理关系的其他供应商参与同一合同项下的政府采购活动的行为。</w:t>
              <w:br/>
              <w:t xml:space="preserve">      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投标（响应）函.docx</w:t>
            </w:r>
          </w:p>
        </w:tc>
      </w:tr>
      <w:tr>
        <w:tc>
          <w:tcPr>
            <w:tcW w:type="dxa" w:w="581"/>
          </w:tcPr>
          <w:p>
            <w:pPr>
              <w:pStyle w:val="null3"/>
              <w:jc w:val="center"/>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不属于为本项目提供整体设计、规范编制或者项目管理、监理、检测等服务的供应商。</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投标（响应）函.docx</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rFonts w:ascii="仿宋_GB2312" w:hAnsi="仿宋_GB2312" w:cs="仿宋_GB2312" w:eastAsia="仿宋_GB2312"/>
              </w:rPr>
              <w:t xml:space="preserve"> 序号</w:t>
            </w:r>
          </w:p>
        </w:tc>
        <w:tc>
          <w:tcPr>
            <w:tcW w:type="dxa" w:w="2575"/>
          </w:tcPr>
          <w:p>
            <w:pPr>
              <w:pStyle w:val="null3"/>
              <w:jc w:val="center"/>
            </w:pPr>
            <w:r>
              <w:rPr>
                <w:rFonts w:ascii="仿宋_GB2312" w:hAnsi="仿宋_GB2312" w:cs="仿宋_GB2312" w:eastAsia="仿宋_GB2312"/>
              </w:rPr>
              <w:t xml:space="preserve"> 落实政府采购政策资格审查内容</w:t>
            </w:r>
          </w:p>
        </w:tc>
        <w:tc>
          <w:tcPr>
            <w:tcW w:type="dxa" w:w="3239"/>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575"/>
          </w:tcPr>
          <w:p>
            <w:pPr>
              <w:pStyle w:val="null3"/>
              <w:jc w:val="left"/>
            </w:pPr>
            <w:r>
              <w:rPr>
                <w:rFonts w:ascii="仿宋_GB2312" w:hAnsi="仿宋_GB2312" w:cs="仿宋_GB2312" w:eastAsia="仿宋_GB2312"/>
              </w:rPr>
              <w:t>本采购包属于专门面向中小企业采购。</w:t>
            </w:r>
          </w:p>
        </w:tc>
        <w:tc>
          <w:tcPr>
            <w:tcW w:type="dxa" w:w="3239"/>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c>
          <w:tcPr>
            <w:tcW w:type="dxa" w:w="1910"/>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特定资格审查内容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8305"/>
            <w:gridSpan w:val="4"/>
          </w:tcPr>
          <w:p>
            <w:pPr>
              <w:pStyle w:val="null3"/>
              <w:jc w:val="left"/>
            </w:pPr>
            <w:r>
              <w:rPr>
                <w:rFonts w:ascii="仿宋_GB2312" w:hAnsi="仿宋_GB2312" w:cs="仿宋_GB2312" w:eastAsia="仿宋_GB2312"/>
              </w:rPr>
              <w:t xml:space="preserve"> 无</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符合性审查内容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910"/>
          </w:tcPr>
          <w:p>
            <w:pPr>
              <w:pStyle w:val="null3"/>
              <w:jc w:val="left"/>
            </w:pPr>
            <w:r>
              <w:rPr>
                <w:rFonts w:ascii="仿宋_GB2312" w:hAnsi="仿宋_GB2312" w:cs="仿宋_GB2312" w:eastAsia="仿宋_GB2312"/>
              </w:rPr>
              <w:t>其他资料.docx</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供应商应满足采购文件所有实质性要求</w:t>
            </w:r>
          </w:p>
        </w:tc>
        <w:tc>
          <w:tcPr>
            <w:tcW w:type="dxa" w:w="3322"/>
          </w:tcPr>
          <w:p>
            <w:pPr>
              <w:pStyle w:val="null3"/>
              <w:jc w:val="left"/>
            </w:pPr>
            <w:r>
              <w:rPr>
                <w:rFonts w:ascii="仿宋_GB2312" w:hAnsi="仿宋_GB2312" w:cs="仿宋_GB2312" w:eastAsia="仿宋_GB2312"/>
              </w:rPr>
              <w:t>供应商应满足采购文件所有实质性要求</w:t>
            </w:r>
          </w:p>
        </w:tc>
        <w:tc>
          <w:tcPr>
            <w:tcW w:type="dxa" w:w="1910"/>
          </w:tcPr>
          <w:p>
            <w:pPr>
              <w:pStyle w:val="null3"/>
              <w:jc w:val="left"/>
            </w:pPr>
            <w:r>
              <w:rPr>
                <w:rFonts w:ascii="仿宋_GB2312" w:hAnsi="仿宋_GB2312" w:cs="仿宋_GB2312" w:eastAsia="仿宋_GB2312"/>
              </w:rPr>
              <w:t>服务内容要求、商务要求应答表.docx,其他资料.docx,技术要求应答表.docx,投标（响应）函.docx</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不存在采购文件规定的无效情形</w:t>
            </w:r>
          </w:p>
        </w:tc>
        <w:tc>
          <w:tcPr>
            <w:tcW w:type="dxa" w:w="3322"/>
          </w:tcPr>
          <w:p>
            <w:pPr>
              <w:pStyle w:val="null3"/>
              <w:jc w:val="left"/>
            </w:pPr>
            <w:r>
              <w:rPr>
                <w:rFonts w:ascii="仿宋_GB2312" w:hAnsi="仿宋_GB2312" w:cs="仿宋_GB2312" w:eastAsia="仿宋_GB2312"/>
              </w:rPr>
              <w:t>不存在采购文件规定的无效情形</w:t>
            </w:r>
          </w:p>
        </w:tc>
        <w:tc>
          <w:tcPr>
            <w:tcW w:type="dxa" w:w="1910"/>
          </w:tcPr>
          <w:p>
            <w:pPr>
              <w:pStyle w:val="null3"/>
              <w:jc w:val="left"/>
            </w:pPr>
            <w:r>
              <w:rPr>
                <w:rFonts w:ascii="仿宋_GB2312" w:hAnsi="仿宋_GB2312" w:cs="仿宋_GB2312" w:eastAsia="仿宋_GB2312"/>
              </w:rPr>
              <w:t>服务内容要求、商务要求应答表.docx,其他资料.docx,投标（响应）函.docx,技术要求应答表.docx</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磋商小组发现供应商还存在未响应磋商文件实质性要求的，则按无效响应处理，并在磋商报告中载明未通过符合性审查的具体原因。</w:t>
      </w:r>
    </w:p>
    <w:p>
      <w:pPr>
        <w:pStyle w:val="null3"/>
        <w:jc w:val="left"/>
        <w:outlineLvl w:val="3"/>
      </w:pPr>
      <w:r>
        <w:rPr>
          <w:rFonts w:ascii="仿宋_GB2312" w:hAnsi="仿宋_GB2312" w:cs="仿宋_GB2312" w:eastAsia="仿宋_GB2312"/>
          <w:sz w:val="24"/>
          <w:b/>
        </w:rPr>
        <w:t>5.3.5.磋商</w:t>
      </w:r>
    </w:p>
    <w:p>
      <w:pPr>
        <w:pStyle w:val="null3"/>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3"/>
        <w:ind w:firstLine="480"/>
        <w:jc w:val="left"/>
      </w:pPr>
      <w:r>
        <w:rPr>
          <w:rFonts w:ascii="仿宋_GB2312" w:hAnsi="仿宋_GB2312" w:cs="仿宋_GB2312" w:eastAsia="仿宋_GB2312"/>
        </w:rPr>
        <w:t>二、磋商小组所有成员通过交易系统集中在线与单一供应商对技术、服务、合同条款等内容分别进行一轮或多轮的磋商。</w:t>
      </w:r>
    </w:p>
    <w:p>
      <w:pPr>
        <w:pStyle w:val="null3"/>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3"/>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rFonts w:ascii="仿宋_GB2312" w:hAnsi="仿宋_GB2312" w:cs="仿宋_GB2312" w:eastAsia="仿宋_GB2312"/>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3"/>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3"/>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三、供应商未按磋商小组要求在规定时间内提交报价的，视为无效响应，由供应商自行承担不利后果。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（三）供应商的最后报价应符合磋商文件的要求。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六、最后报价出现下列情况的，除磋商文件另有规定外，按以下原则处理：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七、在评审过程中，供应商报价低于采购预算50% 或者低于其他有效供应商报价算术平均价40%，有可能影响产品质量或者不能诚信履约的，磋商小组应当要求其在合理的时间内通过交易系统进行书面说明、提交相关证明材料，并加盖电子印章。供应商拒绝或者变相拒绝提供有效书面说明或者书面说明不能证明其报价合理性的，磋商小组应当将其响应文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磋商小组应当要求供应商作出必要的澄清、说明或者补正，并给予供应商必要的反馈时间。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磋商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5.3.8.比较与评价</w:t>
      </w:r>
    </w:p>
    <w:p>
      <w:pPr>
        <w:pStyle w:val="null3"/>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3"/>
        <w:jc w:val="left"/>
        <w:outlineLvl w:val="3"/>
      </w:pPr>
      <w:r>
        <w:rPr>
          <w:rFonts w:ascii="仿宋_GB2312" w:hAnsi="仿宋_GB2312" w:cs="仿宋_GB2312" w:eastAsia="仿宋_GB2312"/>
          <w:sz w:val="24"/>
          <w:b/>
        </w:rPr>
        <w:t>5.3.9.磋商小组复核</w:t>
      </w:r>
    </w:p>
    <w:p>
      <w:pPr>
        <w:pStyle w:val="null3"/>
        <w:ind w:firstLine="480"/>
        <w:jc w:val="left"/>
      </w:pPr>
      <w:r>
        <w:rPr>
          <w:rFonts w:ascii="仿宋_GB2312" w:hAnsi="仿宋_GB2312" w:cs="仿宋_GB2312" w:eastAsia="仿宋_GB2312"/>
        </w:rPr>
        <w:t>评分汇总结束后，磋商小组成员复核、确认各自评审意见，汇总形成评审结果，对拟推荐为成交候选供应商的、报价最低的、响应文件被认定为无效的进行重点复核。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5.3.10.代理机构现场复核评审结果</w:t>
      </w:r>
    </w:p>
    <w:p>
      <w:pPr>
        <w:pStyle w:val="null3"/>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rFonts w:ascii="仿宋_GB2312" w:hAnsi="仿宋_GB2312" w:cs="仿宋_GB2312" w:eastAsia="仿宋_GB2312"/>
        </w:rPr>
        <w:t>（一）资格审查认定错误的；</w:t>
      </w:r>
    </w:p>
    <w:p>
      <w:pPr>
        <w:pStyle w:val="null3"/>
        <w:ind w:firstLine="480"/>
        <w:jc w:val="left"/>
      </w:pPr>
      <w:r>
        <w:rPr>
          <w:rFonts w:ascii="仿宋_GB2312" w:hAnsi="仿宋_GB2312" w:cs="仿宋_GB2312" w:eastAsia="仿宋_GB2312"/>
        </w:rPr>
        <w:t>（二）分值汇总计算错误的；</w:t>
      </w:r>
    </w:p>
    <w:p>
      <w:pPr>
        <w:pStyle w:val="null3"/>
        <w:ind w:firstLine="480"/>
        <w:jc w:val="left"/>
      </w:pPr>
      <w:r>
        <w:rPr>
          <w:rFonts w:ascii="仿宋_GB2312" w:hAnsi="仿宋_GB2312" w:cs="仿宋_GB2312" w:eastAsia="仿宋_GB2312"/>
        </w:rPr>
        <w:t>（三）分项评分超出评分标准范围的；</w:t>
      </w:r>
    </w:p>
    <w:p>
      <w:pPr>
        <w:pStyle w:val="null3"/>
        <w:ind w:firstLine="480"/>
        <w:jc w:val="left"/>
      </w:pPr>
      <w:r>
        <w:rPr>
          <w:rFonts w:ascii="仿宋_GB2312" w:hAnsi="仿宋_GB2312" w:cs="仿宋_GB2312" w:eastAsia="仿宋_GB2312"/>
        </w:rPr>
        <w:t>（四）客观评分不一致的。</w:t>
      </w:r>
    </w:p>
    <w:p>
      <w:pPr>
        <w:pStyle w:val="null3"/>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三、代理机构复核过程中，磋商小组成员不得离开评审现场。</w:t>
      </w:r>
    </w:p>
    <w:p>
      <w:pPr>
        <w:pStyle w:val="null3"/>
        <w:ind w:firstLine="480"/>
        <w:jc w:val="left"/>
      </w:pPr>
      <w:r>
        <w:rPr>
          <w:rFonts w:ascii="仿宋_GB2312" w:hAnsi="仿宋_GB2312" w:cs="仿宋_GB2312" w:eastAsia="仿宋_GB2312"/>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5.3.11.推荐成交候选供应商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3"/>
        <w:ind w:firstLine="480"/>
        <w:jc w:val="left"/>
      </w:pPr>
      <w:r>
        <w:rPr>
          <w:rFonts w:ascii="仿宋_GB2312" w:hAnsi="仿宋_GB2312" w:cs="仿宋_GB2312" w:eastAsia="仿宋_GB2312"/>
        </w:rPr>
        <w:t xml:space="preserve"> 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rFonts w:ascii="仿宋_GB2312" w:hAnsi="仿宋_GB2312" w:cs="仿宋_GB2312" w:eastAsia="仿宋_GB2312"/>
        </w:rPr>
        <w:t>实施方案</w:t>
      </w:r>
      <w:r>
        <w:rPr>
          <w:rFonts w:ascii="仿宋_GB2312" w:hAnsi="仿宋_GB2312" w:cs="仿宋_GB2312" w:eastAsia="仿宋_GB2312"/>
        </w:rPr>
        <w:t xml:space="preserve"> ，按照技术指标得分确定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未被推荐为成交候选供应商的供应商不再递补为成交候选供应商。</w:t>
      </w:r>
    </w:p>
    <w:p>
      <w:pPr>
        <w:pStyle w:val="null3"/>
        <w:jc w:val="left"/>
        <w:outlineLvl w:val="3"/>
      </w:pPr>
      <w:r>
        <w:rPr>
          <w:rFonts w:ascii="仿宋_GB2312" w:hAnsi="仿宋_GB2312" w:cs="仿宋_GB2312" w:eastAsia="仿宋_GB2312"/>
          <w:sz w:val="24"/>
          <w:b/>
        </w:rPr>
        <w:t>5.3.12.出具磋商报告</w:t>
      </w:r>
    </w:p>
    <w:p>
      <w:pPr>
        <w:pStyle w:val="null3"/>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二、磋商日期和地点，磋商小组成员名单；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四、变动磋商文件实质性内容的有关资料及记录；</w:t>
      </w:r>
    </w:p>
    <w:p>
      <w:pPr>
        <w:pStyle w:val="null3"/>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3"/>
        <w:ind w:firstLine="480"/>
        <w:jc w:val="left"/>
      </w:pPr>
      <w:r>
        <w:rPr>
          <w:rFonts w:ascii="仿宋_GB2312" w:hAnsi="仿宋_GB2312" w:cs="仿宋_GB2312" w:eastAsia="仿宋_GB2312"/>
        </w:rPr>
        <w:t>六、磋商情况记录和说明，包括对供应商的资格审查情况、供应商响应文件磋商情况等；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磋商小组成员应当在磋商报告中签字或加盖电子印章确认。磋商报告签署前，磋商小组成员可以对已评环节的评审意见进行修改调整，并在磋商报告中进行记录。磋商报告签署后，评审意见生效，除符合政府采购法律制度规定情形外，任何单位和个人不得擅自改变评审结果。磋商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5.3.13.评审争议处理规则</w:t>
      </w:r>
    </w:p>
    <w:p>
      <w:pPr>
        <w:pStyle w:val="null3"/>
        <w:ind w:firstLine="480"/>
        <w:jc w:val="left"/>
      </w:pPr>
      <w:r>
        <w:rPr>
          <w:rFonts w:ascii="仿宋_GB2312" w:hAnsi="仿宋_GB2312" w:cs="仿宋_GB2312" w:eastAsia="仿宋_GB2312"/>
        </w:rPr>
        <w:t>磋商小组在磋商过程中，对于资格审查、符合性审查、对响应文件作无效响应处理的及其他需要共同认定的事项存在争议的，应当以少数服从多数的原则作出结论，但不得违反法律法规和磋商文件规定。持不同意见的磋商小组会成员应当在磋商报告上明确不同意见及理由，否则视同无意见。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outlineLvl w:val="3"/>
      </w:pPr>
      <w:r>
        <w:rPr>
          <w:rFonts w:ascii="仿宋_GB2312" w:hAnsi="仿宋_GB2312" w:cs="仿宋_GB2312" w:eastAsia="仿宋_GB2312"/>
          <w:sz w:val="24"/>
          <w:b/>
        </w:rPr>
        <w:t>5.4.1.评审方法</w:t>
      </w:r>
    </w:p>
    <w:p>
      <w:pPr>
        <w:pStyle w:val="null3"/>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rFonts w:ascii="仿宋_GB2312" w:hAnsi="仿宋_GB2312" w:cs="仿宋_GB2312" w:eastAsia="仿宋_GB2312"/>
          <w:sz w:val="24"/>
          <w:b/>
        </w:rPr>
        <w:t>5.4.2.评审细则及标准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详细评审90.00分</w:t>
            </w:r>
          </w:p>
          <w:p>
            <w:pPr>
              <w:pStyle w:val="null3"/>
              <w:jc w:val="left"/>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b/>
              </w:rPr>
              <w:t xml:space="preserve"> 评审分值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b/>
              </w:rPr>
              <w:t xml:space="preserve"> 关联响应文件格式文本</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项目需求分析</w:t>
            </w:r>
          </w:p>
        </w:tc>
        <w:tc>
          <w:tcPr>
            <w:tcW w:type="dxa" w:w="2575"/>
          </w:tcPr>
          <w:p>
            <w:pPr>
              <w:pStyle w:val="null3"/>
              <w:jc w:val="left"/>
            </w:pPr>
            <w:r>
              <w:rPr>
                <w:rFonts w:ascii="仿宋_GB2312" w:hAnsi="仿宋_GB2312" w:cs="仿宋_GB2312" w:eastAsia="仿宋_GB2312"/>
              </w:rPr>
              <w:t>根据供应商提供的项目需求分析进行评审，包括： ①项目现状及背景分析； ②项目目标分析； ③项目重点和难点分析及对策。 上述3项内容齐全且无缺陷（缺陷是指：内容涉及的规范或标准错误、内容表述错误、内容与本项目无关、内容不利于项目实施的任意一种情形）得15分，每缺少一项内容扣5分，扣完为止；单项内容每存在一处缺陷扣2.5分，单项内容分扣完为止</w:t>
            </w:r>
          </w:p>
        </w:tc>
        <w:tc>
          <w:tcPr>
            <w:tcW w:type="dxa" w:w="831"/>
          </w:tcPr>
          <w:p>
            <w:pPr>
              <w:pStyle w:val="null3"/>
              <w:jc w:val="center"/>
            </w:pPr>
            <w:r>
              <w:rPr>
                <w:rFonts w:ascii="仿宋_GB2312" w:hAnsi="仿宋_GB2312" w:cs="仿宋_GB2312" w:eastAsia="仿宋_GB2312"/>
              </w:rPr>
              <w:t>15.0000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其他资料.docx</w:t>
            </w:r>
          </w:p>
        </w:tc>
      </w:tr>
      <w:tr>
        <w:tc>
          <w:tcPr>
            <w:tcW w:type="dxa" w:w="831"/>
            <w:vMerge/>
          </w:tcPr>
          <w:p/>
        </w:tc>
        <w:tc>
          <w:tcPr>
            <w:tcW w:type="dxa" w:w="1661"/>
          </w:tcPr>
          <w:p>
            <w:pPr>
              <w:pStyle w:val="null3"/>
              <w:jc w:val="left"/>
            </w:pPr>
            <w:r>
              <w:rPr>
                <w:rFonts w:ascii="仿宋_GB2312" w:hAnsi="仿宋_GB2312" w:cs="仿宋_GB2312" w:eastAsia="仿宋_GB2312"/>
              </w:rPr>
              <w:t>实施方案</w:t>
            </w:r>
          </w:p>
        </w:tc>
        <w:tc>
          <w:tcPr>
            <w:tcW w:type="dxa" w:w="2575"/>
          </w:tcPr>
          <w:p>
            <w:pPr>
              <w:pStyle w:val="null3"/>
              <w:jc w:val="left"/>
            </w:pPr>
            <w:r>
              <w:rPr>
                <w:rFonts w:ascii="仿宋_GB2312" w:hAnsi="仿宋_GB2312" w:cs="仿宋_GB2312" w:eastAsia="仿宋_GB2312"/>
              </w:rPr>
              <w:t>根据供应商提供的实施方案进行评审，包括： ①整体服务方案； ②团队人员配置及分工； ③工作进度计划安排； ④质量保障措施； ⑤安全保障措施； ⑥环境风险防控和应急响应方案。 上述6项内容齐全且无缺陷（缺陷是指：内容涉及的规范或标准错误、内容表述错误、内容与本项目无关、内容不利于项目实施的任意一种情形）得36分，每缺少一项内容扣6分，扣完为止；单项内容每存在一处缺陷扣3分，单项内容分扣完为止</w:t>
            </w:r>
          </w:p>
        </w:tc>
        <w:tc>
          <w:tcPr>
            <w:tcW w:type="dxa" w:w="831"/>
          </w:tcPr>
          <w:p>
            <w:pPr>
              <w:pStyle w:val="null3"/>
              <w:jc w:val="center"/>
            </w:pPr>
            <w:r>
              <w:rPr>
                <w:rFonts w:ascii="仿宋_GB2312" w:hAnsi="仿宋_GB2312" w:cs="仿宋_GB2312" w:eastAsia="仿宋_GB2312"/>
              </w:rPr>
              <w:t>36.0000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其他资料.docx</w:t>
            </w:r>
          </w:p>
        </w:tc>
      </w:tr>
      <w:tr>
        <w:tc>
          <w:tcPr>
            <w:tcW w:type="dxa" w:w="831"/>
            <w:vMerge/>
          </w:tcPr>
          <w:p/>
        </w:tc>
        <w:tc>
          <w:tcPr>
            <w:tcW w:type="dxa" w:w="1661"/>
          </w:tcPr>
          <w:p>
            <w:pPr>
              <w:pStyle w:val="null3"/>
              <w:jc w:val="left"/>
            </w:pPr>
            <w:r>
              <w:rPr>
                <w:rFonts w:ascii="仿宋_GB2312" w:hAnsi="仿宋_GB2312" w:cs="仿宋_GB2312" w:eastAsia="仿宋_GB2312"/>
              </w:rPr>
              <w:t>后续服务方案</w:t>
            </w:r>
          </w:p>
        </w:tc>
        <w:tc>
          <w:tcPr>
            <w:tcW w:type="dxa" w:w="2575"/>
          </w:tcPr>
          <w:p>
            <w:pPr>
              <w:pStyle w:val="null3"/>
              <w:jc w:val="left"/>
            </w:pPr>
            <w:r>
              <w:rPr>
                <w:rFonts w:ascii="仿宋_GB2312" w:hAnsi="仿宋_GB2312" w:cs="仿宋_GB2312" w:eastAsia="仿宋_GB2312"/>
              </w:rPr>
              <w:t>根据供应商提供的后续服务方案进行评审，包括： ①后续服务承诺； ②后续服务范围； ③后续服务响应时间； ④后续服务保证措施。 上述4项内容齐全且无缺陷（缺陷是指：内容涉及的规范或标准错误、内容表述错误、内容与本项目无关、内容不利于项目实施的任意一种情形）得20分，每缺少一项内容扣5分，扣完为止；单项内容每存在一处缺陷扣2.5分，单项内容分扣完为止</w:t>
            </w:r>
          </w:p>
        </w:tc>
        <w:tc>
          <w:tcPr>
            <w:tcW w:type="dxa" w:w="831"/>
          </w:tcPr>
          <w:p>
            <w:pPr>
              <w:pStyle w:val="null3"/>
              <w:jc w:val="center"/>
            </w:pPr>
            <w:r>
              <w:rPr>
                <w:rFonts w:ascii="仿宋_GB2312" w:hAnsi="仿宋_GB2312" w:cs="仿宋_GB2312" w:eastAsia="仿宋_GB2312"/>
              </w:rPr>
              <w:t>20.0000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其他资料.docx</w:t>
            </w:r>
          </w:p>
        </w:tc>
      </w:tr>
      <w:tr>
        <w:tc>
          <w:tcPr>
            <w:tcW w:type="dxa" w:w="831"/>
            <w:vMerge/>
          </w:tcPr>
          <w:p/>
        </w:tc>
        <w:tc>
          <w:tcPr>
            <w:tcW w:type="dxa" w:w="1661"/>
          </w:tcPr>
          <w:p>
            <w:pPr>
              <w:pStyle w:val="null3"/>
              <w:jc w:val="left"/>
            </w:pPr>
            <w:r>
              <w:rPr>
                <w:rFonts w:ascii="仿宋_GB2312" w:hAnsi="仿宋_GB2312" w:cs="仿宋_GB2312" w:eastAsia="仿宋_GB2312"/>
              </w:rPr>
              <w:t>服务团队</w:t>
            </w:r>
          </w:p>
        </w:tc>
        <w:tc>
          <w:tcPr>
            <w:tcW w:type="dxa" w:w="2575"/>
          </w:tcPr>
          <w:p>
            <w:pPr>
              <w:pStyle w:val="null3"/>
              <w:jc w:val="left"/>
            </w:pPr>
            <w:r>
              <w:rPr>
                <w:rFonts w:ascii="仿宋_GB2312" w:hAnsi="仿宋_GB2312" w:cs="仿宋_GB2312" w:eastAsia="仿宋_GB2312"/>
              </w:rPr>
              <w:t>1.项目负责人（1人）： ①具有水利类或测绘类相关专业中级职称证书得2分； ②具有水利类或测绘类相关专业高级或以上职称证书的得4分； 本项最多得4分。 2.其他服务人员（项目负责人除外）： ①每1人具有水利类或测绘类相关专业中级职称证书得1分； ②每1人具有水利类或测绘类相关专业高级或以上职称证书的得2分； 本项最多得10分。 注：以上人员不重复计分，需提供身份证、在职证明材料及相关证书复印件（扫描件）并加盖公章，否则不得分。</w:t>
            </w:r>
          </w:p>
        </w:tc>
        <w:tc>
          <w:tcPr>
            <w:tcW w:type="dxa" w:w="831"/>
          </w:tcPr>
          <w:p>
            <w:pPr>
              <w:pStyle w:val="null3"/>
              <w:jc w:val="center"/>
            </w:pPr>
            <w:r>
              <w:rPr>
                <w:rFonts w:ascii="仿宋_GB2312" w:hAnsi="仿宋_GB2312" w:cs="仿宋_GB2312" w:eastAsia="仿宋_GB2312"/>
              </w:rPr>
              <w:t>14.0000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其他资料.docx</w:t>
            </w:r>
          </w:p>
        </w:tc>
      </w:tr>
      <w:tr>
        <w:tc>
          <w:tcPr>
            <w:tcW w:type="dxa" w:w="831"/>
            <w:vMerge/>
          </w:tcPr>
          <w:p/>
        </w:tc>
        <w:tc>
          <w:tcPr>
            <w:tcW w:type="dxa" w:w="1661"/>
          </w:tcPr>
          <w:p>
            <w:pPr>
              <w:pStyle w:val="null3"/>
              <w:jc w:val="left"/>
            </w:pPr>
            <w:r>
              <w:rPr>
                <w:rFonts w:ascii="仿宋_GB2312" w:hAnsi="仿宋_GB2312" w:cs="仿宋_GB2312" w:eastAsia="仿宋_GB2312"/>
              </w:rPr>
              <w:t>类似项目业绩</w:t>
            </w:r>
          </w:p>
        </w:tc>
        <w:tc>
          <w:tcPr>
            <w:tcW w:type="dxa" w:w="2575"/>
          </w:tcPr>
          <w:p>
            <w:pPr>
              <w:pStyle w:val="null3"/>
              <w:jc w:val="left"/>
            </w:pPr>
            <w:r>
              <w:rPr>
                <w:rFonts w:ascii="仿宋_GB2312" w:hAnsi="仿宋_GB2312" w:cs="仿宋_GB2312" w:eastAsia="仿宋_GB2312"/>
              </w:rPr>
              <w:t>根据供应商2022年1月1日（含1日）至提交首次响应文件截止日的类似项目业绩进行评审。每提供1个得5分，最多得5分。 注：提供合同或中标（成交）通知书复印件</w:t>
            </w:r>
          </w:p>
        </w:tc>
        <w:tc>
          <w:tcPr>
            <w:tcW w:type="dxa" w:w="831"/>
          </w:tcPr>
          <w:p>
            <w:pPr>
              <w:pStyle w:val="null3"/>
              <w:jc w:val="center"/>
            </w:pPr>
            <w:r>
              <w:rPr>
                <w:rFonts w:ascii="仿宋_GB2312" w:hAnsi="仿宋_GB2312" w:cs="仿宋_GB2312" w:eastAsia="仿宋_GB2312"/>
              </w:rPr>
              <w:t>5.0000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其他资料.docx</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（1）满足磋商文件要求且最后报价最低的供应商的价格为磋商基准价，其价格分为满分； （2）其他供应商的价格分统一按照下列公式计算： 磋商报价得分=（磋商基准价/最后磋商报价）×10</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 xml:space="preserve"> 具体标准和要求</w:t>
            </w:r>
          </w:p>
        </w:tc>
        <w:tc>
          <w:tcPr>
            <w:tcW w:type="dxa" w:w="2955"/>
          </w:tcPr>
          <w:p>
            <w:pPr>
              <w:pStyle w:val="null3"/>
              <w:jc w:val="center"/>
            </w:pPr>
            <w:r>
              <w:rPr>
                <w:rFonts w:ascii="仿宋_GB2312" w:hAnsi="仿宋_GB2312" w:cs="仿宋_GB2312" w:eastAsia="仿宋_GB2312"/>
                <w:b/>
              </w:rPr>
              <w:t xml:space="preserve"> 关联响应文件格式文本</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一、因情况变化，不再符合规定的竞争性磋商采购方式适用情形的；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除政府购买服务项目（含政府和社会资本合作项目）、市场竞争不充分的科研项目、需要扶持的科技成果转化项目，提交最后报价的供应商可以为2家外，在采购过程中符合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ind w:firstLine="480"/>
        <w:jc w:val="left"/>
      </w:pPr>
      <w:r>
        <w:rPr>
          <w:rFonts w:ascii="仿宋_GB2312" w:hAnsi="仿宋_GB2312" w:cs="仿宋_GB2312" w:eastAsia="仿宋_GB2312"/>
        </w:rPr>
        <w:t>一、评审结束后，代理机构在评审结束后2个工作日内将磋商报告送采购人。</w:t>
      </w:r>
    </w:p>
    <w:p>
      <w:pPr>
        <w:pStyle w:val="null3"/>
        <w:jc w:val="left"/>
      </w:pPr>
      <w:r>
        <w:rPr>
          <w:rFonts w:ascii="仿宋_GB2312" w:hAnsi="仿宋_GB2312" w:cs="仿宋_GB2312" w:eastAsia="仿宋_GB2312"/>
        </w:rPr>
        <w:t>二、采购人应当自收到磋商报告之日起5个工作日内，在磋商报告确定的成交候选供应商名单中按顺序确定1名成交供应商。采购人逾期未确定成交供应商且不提出异议的，视为确定磋商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个工作日内，在四川政府采购网公告成交结果，磋商文件应当随成交结果同时公告。</w:t>
      </w:r>
    </w:p>
    <w:p>
      <w:pPr>
        <w:pStyle w:val="null3"/>
        <w:jc w:val="left"/>
        <w:outlineLvl w:val="2"/>
      </w:pPr>
      <w:r>
        <w:rPr>
          <w:rFonts w:ascii="仿宋_GB2312" w:hAnsi="仿宋_GB2312" w:cs="仿宋_GB2312" w:eastAsia="仿宋_GB2312"/>
          <w:sz w:val="28"/>
          <w:b/>
        </w:rPr>
        <w:t>5.7.磋商小组义务</w:t>
      </w:r>
    </w:p>
    <w:p>
      <w:pPr>
        <w:pStyle w:val="null3"/>
        <w:ind w:firstLine="480"/>
        <w:jc w:val="left"/>
      </w:pPr>
      <w:r>
        <w:rPr>
          <w:rFonts w:ascii="仿宋_GB2312" w:hAnsi="仿宋_GB2312" w:cs="仿宋_GB2312" w:eastAsia="仿宋_GB2312"/>
        </w:rPr>
        <w:t>磋商小组在政府采购活动中应当履行下列义务：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5.8.磋商小组成员工作纪律</w:t>
      </w:r>
    </w:p>
    <w:p>
      <w:pPr>
        <w:pStyle w:val="null3"/>
        <w:ind w:firstLine="480"/>
        <w:jc w:val="left"/>
      </w:pPr>
      <w:r>
        <w:rPr>
          <w:rFonts w:ascii="仿宋_GB2312" w:hAnsi="仿宋_GB2312" w:cs="仿宋_GB2312" w:eastAsia="仿宋_GB2312"/>
        </w:rPr>
        <w:t>磋商小组成员在政府采购活动中应当遵守下列工作纪律：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一、严格遵守政府采购法律制度关于磋商小组成员回避的规定。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详见附件：服务内容要求、商务要求应答表.docx</w:t>
      </w:r>
    </w:p>
    <w:p>
      <w:pPr>
        <w:pStyle w:val="null3"/>
        <w:ind w:firstLine="960"/>
        <w:jc w:val="left"/>
      </w:pPr>
      <w:r>
        <w:rPr>
          <w:rFonts w:ascii="仿宋_GB2312" w:hAnsi="仿宋_GB2312" w:cs="仿宋_GB2312" w:eastAsia="仿宋_GB2312"/>
        </w:rPr>
        <w:t>详见附件：技术要求应答表.docx</w:t>
      </w:r>
    </w:p>
    <w:p>
      <w:pPr>
        <w:pStyle w:val="null3"/>
        <w:ind w:firstLine="960"/>
        <w:jc w:val="left"/>
      </w:pPr>
      <w:r>
        <w:rPr>
          <w:rFonts w:ascii="仿宋_GB2312" w:hAnsi="仿宋_GB2312" w:cs="仿宋_GB2312" w:eastAsia="仿宋_GB2312"/>
        </w:rPr>
        <w:t>详见附件：其他资料.docx</w:t>
      </w:r>
    </w:p>
    <w:p>
      <w:pPr>
        <w:pStyle w:val="null3"/>
        <w:ind w:firstLine="960"/>
        <w:jc w:val="left"/>
      </w:pPr>
      <w:r>
        <w:rPr>
          <w:rFonts w:ascii="仿宋_GB2312" w:hAnsi="仿宋_GB2312" w:cs="仿宋_GB2312" w:eastAsia="仿宋_GB2312"/>
        </w:rPr>
        <w:t>详见附件：投标（响应）函.docx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 xml:space="preserve"> 政府采购合同</w:t>
      </w:r>
    </w:p>
    <w:p>
      <w:pPr>
        <w:pStyle w:val="null3"/>
        <w:jc w:val="center"/>
        <w:outlineLvl w:val="0"/>
      </w:pPr>
      <w:r>
        <w:rPr>
          <w:rFonts w:ascii="仿宋_GB2312" w:hAnsi="仿宋_GB2312" w:cs="仿宋_GB2312" w:eastAsia="仿宋_GB2312"/>
          <w:sz w:val="48"/>
          <w:b/>
        </w:rPr>
        <w:t xml:space="preserve"> （服务类）</w:t>
      </w:r>
      <w:r>
        <w:br/>
      </w:r>
      <w:r>
        <w:br/>
      </w:r>
      <w:r>
        <w:br/>
      </w:r>
      <w:r>
        <w:br/>
      </w:r>
      <w:r>
        <w:br/>
      </w:r>
    </w:p>
    <w:p>
      <w:pPr>
        <w:pStyle w:val="null3"/>
        <w:ind w:left="1800"/>
        <w:jc w:val="left"/>
      </w:pPr>
      <w:r>
        <w:rPr>
          <w:rFonts w:ascii="仿宋_GB2312" w:hAnsi="仿宋_GB2312" w:cs="仿宋_GB2312" w:eastAsia="仿宋_GB2312"/>
          <w:sz w:val="27"/>
          <w:b/>
        </w:rPr>
        <w:t xml:space="preserve"> 政府采购合同编号：</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履约地点：</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签订地点：</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签订时间：</w:t>
      </w:r>
      <w:r>
        <w:rPr>
          <w:rFonts w:ascii="仿宋_GB2312" w:hAnsi="仿宋_GB2312" w:cs="仿宋_GB2312" w:eastAsia="仿宋_GB2312"/>
          <w:sz w:val="27"/>
          <w:b/>
        </w:rPr>
        <w:t>20___年___月___日</w:t>
      </w:r>
    </w:p>
    <w:p>
      <w:pPr>
        <w:pStyle w:val="null3"/>
        <w:jc w:val="left"/>
      </w:pPr>
      <w:r>
        <w:rPr>
          <w:rFonts w:ascii="仿宋_GB2312" w:hAnsi="仿宋_GB2312" w:cs="仿宋_GB2312" w:eastAsia="仿宋_GB2312"/>
          <w:sz w:val="27"/>
          <w:b/>
        </w:rPr>
        <w:t xml:space="preserve"> 采购人（甲方）：</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采购人地址：</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供应商(乙方)：__________________</w:t>
      </w:r>
    </w:p>
    <w:p>
      <w:pPr>
        <w:pStyle w:val="null3"/>
        <w:jc w:val="left"/>
      </w:pPr>
      <w:r>
        <w:rPr>
          <w:rFonts w:ascii="仿宋_GB2312" w:hAnsi="仿宋_GB2312" w:cs="仿宋_GB2312" w:eastAsia="仿宋_GB2312"/>
          <w:sz w:val="27"/>
          <w:b/>
        </w:rPr>
        <w:t xml:space="preserve"> 供应商地址：__________________</w:t>
      </w:r>
    </w:p>
    <w:p>
      <w:pPr>
        <w:pStyle w:val="null3"/>
        <w:jc w:val="left"/>
      </w:pPr>
      <w:r>
        <w:rPr>
          <w:rFonts w:ascii="仿宋_GB2312" w:hAnsi="仿宋_GB2312" w:cs="仿宋_GB2312" w:eastAsia="仿宋_GB2312"/>
        </w:rPr>
        <w:t xml:space="preserve"> </w:t>
      </w:r>
    </w:p>
    <w:p>
      <w:pPr>
        <w:pStyle w:val="null3"/>
        <w:jc w:val="left"/>
      </w:pPr>
      <w:r>
        <w:rPr>
          <w:rFonts w:ascii="仿宋_GB2312" w:hAnsi="仿宋_GB2312" w:cs="仿宋_GB2312" w:eastAsia="仿宋_GB2312"/>
        </w:rPr>
        <w:t xml:space="preserve"> 依据《中华人民共和国民法典》 《中华人民共和国政府采购法》与项目行业有关的法律法规，以及</w:t>
      </w:r>
      <w:r>
        <w:rPr>
          <w:rFonts w:ascii="仿宋_GB2312" w:hAnsi="仿宋_GB2312" w:cs="仿宋_GB2312" w:eastAsia="仿宋_GB2312"/>
        </w:rPr>
        <w:t>________</w:t>
      </w:r>
      <w:r>
        <w:rPr>
          <w:rFonts w:ascii="仿宋_GB2312" w:hAnsi="仿宋_GB2312" w:cs="仿宋_GB2312" w:eastAsia="仿宋_GB2312"/>
        </w:rPr>
        <w:t xml:space="preserve">采购项目的 </w:t>
      </w:r>
      <w:r>
        <w:rPr>
          <w:rFonts w:ascii="仿宋_GB2312" w:hAnsi="仿宋_GB2312" w:cs="仿宋_GB2312" w:eastAsia="仿宋_GB2312"/>
        </w:rPr>
        <w:t>《磋商文件》</w:t>
      </w:r>
      <w:r>
        <w:rPr>
          <w:rFonts w:ascii="仿宋_GB2312" w:hAnsi="仿宋_GB2312" w:cs="仿宋_GB2312" w:eastAsia="仿宋_GB2312"/>
        </w:rPr>
        <w:t>，乙方的《投标（响应）文件》及《中标（成交）通知书》，甲乙双方同意签订本合同。具体情况及要求如下：</w:t>
      </w:r>
    </w:p>
    <w:p>
      <w:pPr>
        <w:pStyle w:val="null3"/>
        <w:jc w:val="left"/>
        <w:outlineLvl w:val="2"/>
      </w:pPr>
      <w:r>
        <w:rPr>
          <w:rFonts w:ascii="仿宋_GB2312" w:hAnsi="仿宋_GB2312" w:cs="仿宋_GB2312" w:eastAsia="仿宋_GB2312"/>
          <w:sz w:val="28"/>
          <w:b/>
        </w:rPr>
        <w:t xml:space="preserve"> 一、标的信息</w:t>
      </w:r>
    </w:p>
    <w:p>
      <w:pPr>
        <w:pStyle w:val="null3"/>
        <w:jc w:val="left"/>
      </w:pPr>
      <w:r>
        <w:br/>
      </w:r>
    </w:p>
    <w:p>
      <w:pPr>
        <w:pStyle w:val="null3"/>
        <w:jc w:val="left"/>
        <w:outlineLvl w:val="2"/>
      </w:pPr>
      <w:r>
        <w:rPr>
          <w:rFonts w:ascii="仿宋_GB2312" w:hAnsi="仿宋_GB2312" w:cs="仿宋_GB2312" w:eastAsia="仿宋_GB2312"/>
          <w:sz w:val="28"/>
          <w:b/>
        </w:rPr>
        <w:t xml:space="preserve"> 二、服务要求</w:t>
      </w:r>
    </w:p>
    <w:p>
      <w:pPr>
        <w:pStyle w:val="null3"/>
        <w:jc w:val="left"/>
        <w:outlineLvl w:val="2"/>
      </w:pPr>
      <w:r>
        <w:rPr>
          <w:rFonts w:ascii="仿宋_GB2312" w:hAnsi="仿宋_GB2312" w:cs="仿宋_GB2312" w:eastAsia="仿宋_GB2312"/>
          <w:sz w:val="28"/>
          <w:b/>
        </w:rPr>
        <w:t xml:space="preserve"> 三、合同定价方式、付款进度和支付方式 </w:t>
      </w:r>
      <w:r>
        <w:rPr>
          <w:rFonts w:ascii="仿宋_GB2312" w:hAnsi="仿宋_GB2312" w:cs="仿宋_GB2312" w:eastAsia="仿宋_GB2312"/>
        </w:rPr>
        <w:t xml:space="preserve"> 合同定价方式：</w:t>
      </w:r>
    </w:p>
    <w:p>
      <w:pPr>
        <w:pStyle w:val="null3"/>
        <w:jc w:val="left"/>
      </w:pPr>
      <w:r>
        <w:br/>
      </w:r>
    </w:p>
    <w:p>
      <w:pPr>
        <w:pStyle w:val="null3"/>
        <w:jc w:val="left"/>
        <w:outlineLvl w:val="2"/>
      </w:pPr>
      <w:r>
        <w:rPr>
          <w:rFonts w:ascii="仿宋_GB2312" w:hAnsi="仿宋_GB2312" w:cs="仿宋_GB2312" w:eastAsia="仿宋_GB2312"/>
          <w:sz w:val="28"/>
          <w:b/>
        </w:rPr>
        <w:t xml:space="preserve"> 四、履约保证金</w:t>
      </w:r>
    </w:p>
    <w:p>
      <w:pPr>
        <w:pStyle w:val="null3"/>
        <w:jc w:val="left"/>
      </w:pPr>
      <w:r>
        <w:br/>
      </w:r>
    </w:p>
    <w:p>
      <w:pPr>
        <w:pStyle w:val="null3"/>
        <w:jc w:val="left"/>
        <w:outlineLvl w:val="2"/>
      </w:pPr>
      <w:r>
        <w:rPr>
          <w:rFonts w:ascii="仿宋_GB2312" w:hAnsi="仿宋_GB2312" w:cs="仿宋_GB2312" w:eastAsia="仿宋_GB2312"/>
          <w:sz w:val="28"/>
          <w:b/>
        </w:rPr>
        <w:t xml:space="preserve"> 五、验收标准和方法</w:t>
      </w:r>
    </w:p>
    <w:p>
      <w:pPr>
        <w:pStyle w:val="null3"/>
        <w:jc w:val="left"/>
      </w:pPr>
      <w:r>
        <w:br/>
      </w:r>
    </w:p>
    <w:p>
      <w:pPr>
        <w:pStyle w:val="null3"/>
        <w:jc w:val="left"/>
        <w:outlineLvl w:val="2"/>
      </w:pPr>
      <w:r>
        <w:rPr>
          <w:rFonts w:ascii="仿宋_GB2312" w:hAnsi="仿宋_GB2312" w:cs="仿宋_GB2312" w:eastAsia="仿宋_GB2312"/>
          <w:sz w:val="28"/>
          <w:b/>
        </w:rPr>
        <w:t xml:space="preserve"> 六、甲方的权利和义务</w:t>
      </w:r>
    </w:p>
    <w:p>
      <w:pPr>
        <w:pStyle w:val="null3"/>
        <w:jc w:val="left"/>
      </w:pPr>
      <w:r>
        <w:rPr>
          <w:rFonts w:ascii="仿宋_GB2312" w:hAnsi="仿宋_GB2312" w:cs="仿宋_GB2312" w:eastAsia="仿宋_GB2312"/>
        </w:rPr>
        <w:t>1.甲方有权对合同规定范围内乙方的服务行为进行监督和检查，拥有监管权。有权定期核对乙方提供服务所配备的人员数量。对甲方认为不合理的部分XXX。</w:t>
      </w:r>
    </w:p>
    <w:p>
      <w:pPr>
        <w:pStyle w:val="null3"/>
        <w:jc w:val="left"/>
      </w:pPr>
      <w:r>
        <w:rPr>
          <w:rFonts w:ascii="仿宋_GB2312" w:hAnsi="仿宋_GB2312" w:cs="仿宋_GB2312" w:eastAsia="仿宋_GB2312"/>
        </w:rPr>
        <w:t>2.根据本合同规定，按时向乙方支付应付服务费用。</w:t>
      </w:r>
    </w:p>
    <w:p>
      <w:pPr>
        <w:pStyle w:val="null3"/>
        <w:jc w:val="left"/>
      </w:pPr>
      <w:r>
        <w:rPr>
          <w:rFonts w:ascii="仿宋_GB2312" w:hAnsi="仿宋_GB2312" w:cs="仿宋_GB2312" w:eastAsia="仿宋_GB2312"/>
        </w:rPr>
        <w:t>3.国家法律、法规所规定由甲方承担的其它责任。</w:t>
      </w:r>
    </w:p>
    <w:p>
      <w:pPr>
        <w:pStyle w:val="null3"/>
        <w:jc w:val="left"/>
        <w:outlineLvl w:val="2"/>
      </w:pPr>
      <w:r>
        <w:rPr>
          <w:rFonts w:ascii="仿宋_GB2312" w:hAnsi="仿宋_GB2312" w:cs="仿宋_GB2312" w:eastAsia="仿宋_GB2312"/>
          <w:sz w:val="28"/>
          <w:b/>
        </w:rPr>
        <w:t xml:space="preserve"> 七、乙方的权利和义务</w:t>
      </w:r>
    </w:p>
    <w:p>
      <w:pPr>
        <w:pStyle w:val="null3"/>
        <w:jc w:val="left"/>
      </w:pPr>
      <w:r>
        <w:rPr>
          <w:rFonts w:ascii="仿宋_GB2312" w:hAnsi="仿宋_GB2312" w:cs="仿宋_GB2312" w:eastAsia="仿宋_GB2312"/>
        </w:rPr>
        <w:t>1.根据本合同的约定向甲方收取相关服务费用。</w:t>
      </w:r>
    </w:p>
    <w:p>
      <w:pPr>
        <w:pStyle w:val="null3"/>
        <w:jc w:val="left"/>
      </w:pPr>
      <w:r>
        <w:rPr>
          <w:rFonts w:ascii="仿宋_GB2312" w:hAnsi="仿宋_GB2312" w:cs="仿宋_GB2312" w:eastAsia="仿宋_GB2312"/>
        </w:rPr>
        <w:t>2.接受项目行业管理部门及政府有关部门的指导，接受甲方的监督。</w:t>
      </w:r>
    </w:p>
    <w:p>
      <w:pPr>
        <w:pStyle w:val="null3"/>
        <w:jc w:val="left"/>
      </w:pPr>
      <w:r>
        <w:rPr>
          <w:rFonts w:ascii="仿宋_GB2312" w:hAnsi="仿宋_GB2312" w:cs="仿宋_GB2312" w:eastAsia="仿宋_GB2312"/>
        </w:rPr>
        <w:t>3.乙方承诺遵守《中华人民共和国劳动合同法》有关规定和《中华人民共和国妇女权益保障法》中关于“劳动和社会保障权益”的有关要求。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4.国家法律、法规所规定由乙方承担的其它责任。</w:t>
      </w:r>
    </w:p>
    <w:p>
      <w:pPr>
        <w:pStyle w:val="null3"/>
        <w:jc w:val="left"/>
        <w:outlineLvl w:val="2"/>
      </w:pPr>
      <w:r>
        <w:rPr>
          <w:rFonts w:ascii="仿宋_GB2312" w:hAnsi="仿宋_GB2312" w:cs="仿宋_GB2312" w:eastAsia="仿宋_GB2312"/>
          <w:sz w:val="28"/>
          <w:b/>
        </w:rPr>
        <w:t xml:space="preserve"> 八、违约责任</w:t>
      </w:r>
    </w:p>
    <w:p>
      <w:pPr>
        <w:pStyle w:val="null3"/>
        <w:jc w:val="left"/>
      </w:pPr>
      <w:r>
        <w:br/>
      </w:r>
    </w:p>
    <w:p>
      <w:pPr>
        <w:pStyle w:val="null3"/>
        <w:jc w:val="left"/>
        <w:outlineLvl w:val="2"/>
      </w:pPr>
      <w:r>
        <w:rPr>
          <w:rFonts w:ascii="仿宋_GB2312" w:hAnsi="仿宋_GB2312" w:cs="仿宋_GB2312" w:eastAsia="仿宋_GB2312"/>
          <w:sz w:val="28"/>
          <w:b/>
        </w:rPr>
        <w:t xml:space="preserve"> 九、不可抗事件处理</w:t>
      </w:r>
    </w:p>
    <w:p>
      <w:pPr>
        <w:pStyle w:val="null3"/>
        <w:jc w:val="left"/>
      </w:pPr>
      <w:r>
        <w:rPr>
          <w:rFonts w:ascii="仿宋_GB2312" w:hAnsi="仿宋_GB2312" w:cs="仿宋_GB2312" w:eastAsia="仿宋_GB2312"/>
        </w:rPr>
        <w:t>1.在合同有效期内，任何一方因战争、洪灾、台风、地震等不可抗力事件导致不能履行合同，则合同履行期可延长，其延长期与不可抗力事件影响期相同。</w:t>
      </w:r>
    </w:p>
    <w:p>
      <w:pPr>
        <w:pStyle w:val="null3"/>
        <w:jc w:val="left"/>
      </w:pPr>
      <w:r>
        <w:rPr>
          <w:rFonts w:ascii="仿宋_GB2312" w:hAnsi="仿宋_GB2312" w:cs="仿宋_GB2312" w:eastAsia="仿宋_GB2312"/>
        </w:rPr>
        <w:t>2.受阻一方应在不可抗事件发生后尽快用电话通知对方并于事故发生后XX天内将有关部门出具的证明文件等用特快专递或挂号信寄给对方审阅确认。</w:t>
      </w:r>
    </w:p>
    <w:p>
      <w:pPr>
        <w:pStyle w:val="null3"/>
        <w:jc w:val="left"/>
      </w:pPr>
      <w:r>
        <w:rPr>
          <w:rFonts w:ascii="仿宋_GB2312" w:hAnsi="仿宋_GB2312" w:cs="仿宋_GB2312" w:eastAsia="仿宋_GB2312"/>
        </w:rPr>
        <w:t>3.不可抗事件延续XX天以上，双方应通过友好协商，确定是否继续履行合同。</w:t>
      </w:r>
    </w:p>
    <w:p>
      <w:pPr>
        <w:pStyle w:val="null3"/>
        <w:jc w:val="left"/>
        <w:outlineLvl w:val="2"/>
      </w:pPr>
      <w:r>
        <w:rPr>
          <w:rFonts w:ascii="仿宋_GB2312" w:hAnsi="仿宋_GB2312" w:cs="仿宋_GB2312" w:eastAsia="仿宋_GB2312"/>
          <w:sz w:val="28"/>
          <w:b/>
        </w:rPr>
        <w:t xml:space="preserve"> 十、解决合同纠纷的方式</w:t>
      </w:r>
    </w:p>
    <w:p>
      <w:pPr>
        <w:pStyle w:val="null3"/>
        <w:jc w:val="left"/>
      </w:pPr>
      <w:r>
        <w:br/>
      </w:r>
    </w:p>
    <w:p>
      <w:pPr>
        <w:pStyle w:val="null3"/>
        <w:jc w:val="left"/>
        <w:outlineLvl w:val="2"/>
      </w:pPr>
      <w:r>
        <w:rPr>
          <w:rFonts w:ascii="仿宋_GB2312" w:hAnsi="仿宋_GB2312" w:cs="仿宋_GB2312" w:eastAsia="仿宋_GB2312"/>
          <w:sz w:val="28"/>
          <w:b/>
        </w:rPr>
        <w:t xml:space="preserve"> 十一、合同生效及其他</w:t>
      </w:r>
    </w:p>
    <w:p>
      <w:pPr>
        <w:pStyle w:val="null3"/>
        <w:jc w:val="left"/>
      </w:pPr>
      <w:r>
        <w:rPr>
          <w:rFonts w:ascii="仿宋_GB2312" w:hAnsi="仿宋_GB2312" w:cs="仿宋_GB2312" w:eastAsia="仿宋_GB2312"/>
        </w:rPr>
        <w:t>1.合同经双方法定代表人（或主要负责人）或授权委托代理人签字并加盖公章后生效。</w:t>
      </w:r>
    </w:p>
    <w:p>
      <w:pPr>
        <w:pStyle w:val="null3"/>
        <w:jc w:val="left"/>
      </w:pPr>
      <w:r>
        <w:rPr>
          <w:rFonts w:ascii="仿宋_GB2312" w:hAnsi="仿宋_GB2312" w:cs="仿宋_GB2312" w:eastAsia="仿宋_GB2312"/>
        </w:rPr>
        <w:t>2.政府采购合同履行中，甲方需追加与合同标的相同的货物的，在不改变合同其他条款的前提下，可以与乙方协商签订补充合同，但所有补充合同的采购金额不得超过原合同采购金额的百分之十。补充协议签订后，报政府采购监督管理部门备案，方可作为主合同不可分割的一部分。</w:t>
      </w:r>
    </w:p>
    <w:p>
      <w:pPr>
        <w:pStyle w:val="null3"/>
        <w:jc w:val="left"/>
      </w:pPr>
      <w:r>
        <w:rPr>
          <w:rFonts w:ascii="仿宋_GB2312" w:hAnsi="仿宋_GB2312" w:cs="仿宋_GB2312" w:eastAsia="仿宋_GB2312"/>
        </w:rPr>
        <w:t>3.本合同一式3份，自双方签章之日起生效。甲方持有1份，乙方持有1份，同级财政部门备案1份，具有同等法律效力。</w:t>
      </w:r>
    </w:p>
    <w:p>
      <w:pPr>
        <w:pStyle w:val="null3"/>
        <w:jc w:val="left"/>
      </w:pPr>
      <w:r>
        <w:br/>
      </w:r>
      <w:r>
        <w:br/>
      </w:r>
      <w:r>
        <w:br/>
      </w:r>
      <w:r>
        <w:br/>
      </w:r>
      <w:r>
        <w:br/>
      </w:r>
    </w:p>
    <w:p>
      <w:pPr>
        <w:pStyle w:val="null3"/>
        <w:jc w:val="left"/>
      </w:pPr>
      <w:r>
        <w:rPr>
          <w:rFonts w:ascii="仿宋_GB2312" w:hAnsi="仿宋_GB2312" w:cs="仿宋_GB2312" w:eastAsia="仿宋_GB2312"/>
        </w:rPr>
        <w:t xml:space="preserve"> 甲方： （盖章）</w:t>
      </w:r>
    </w:p>
    <w:p>
      <w:pPr>
        <w:pStyle w:val="null3"/>
        <w:jc w:val="left"/>
      </w:pPr>
      <w:r>
        <w:rPr>
          <w:rFonts w:ascii="仿宋_GB2312" w:hAnsi="仿宋_GB2312" w:cs="仿宋_GB2312" w:eastAsia="仿宋_GB2312"/>
        </w:rPr>
        <w:t xml:space="preserve"> 法定代表人或主要负责人（授权代表）：</w:t>
      </w:r>
    </w:p>
    <w:p>
      <w:pPr>
        <w:pStyle w:val="null3"/>
        <w:jc w:val="left"/>
      </w:pPr>
      <w:r>
        <w:rPr>
          <w:rFonts w:ascii="仿宋_GB2312" w:hAnsi="仿宋_GB2312" w:cs="仿宋_GB2312" w:eastAsia="仿宋_GB2312"/>
        </w:rPr>
        <w:t xml:space="preserve"> 地 址：</w:t>
      </w:r>
    </w:p>
    <w:p>
      <w:pPr>
        <w:pStyle w:val="null3"/>
        <w:jc w:val="left"/>
      </w:pPr>
      <w:r>
        <w:rPr>
          <w:rFonts w:ascii="仿宋_GB2312" w:hAnsi="仿宋_GB2312" w:cs="仿宋_GB2312" w:eastAsia="仿宋_GB2312"/>
        </w:rPr>
        <w:t xml:space="preserve"> 开户银行：</w:t>
      </w:r>
    </w:p>
    <w:p>
      <w:pPr>
        <w:pStyle w:val="null3"/>
        <w:jc w:val="left"/>
      </w:pPr>
      <w:r>
        <w:rPr>
          <w:rFonts w:ascii="仿宋_GB2312" w:hAnsi="仿宋_GB2312" w:cs="仿宋_GB2312" w:eastAsia="仿宋_GB2312"/>
        </w:rPr>
        <w:t xml:space="preserve"> 账号：</w:t>
      </w:r>
    </w:p>
    <w:p>
      <w:pPr>
        <w:pStyle w:val="null3"/>
        <w:jc w:val="left"/>
      </w:pPr>
      <w:r>
        <w:rPr>
          <w:rFonts w:ascii="仿宋_GB2312" w:hAnsi="仿宋_GB2312" w:cs="仿宋_GB2312" w:eastAsia="仿宋_GB2312"/>
        </w:rPr>
        <w:t xml:space="preserve"> 签订时间： 年 月 日</w:t>
      </w:r>
    </w:p>
    <w:p>
      <w:pPr>
        <w:pStyle w:val="null3"/>
        <w:jc w:val="left"/>
      </w:pPr>
      <w:r>
        <w:rPr>
          <w:rFonts w:ascii="仿宋_GB2312" w:hAnsi="仿宋_GB2312" w:cs="仿宋_GB2312" w:eastAsia="仿宋_GB2312"/>
        </w:rPr>
        <w:t xml:space="preserve"> 乙方：(盖章）</w:t>
      </w:r>
    </w:p>
    <w:p>
      <w:pPr>
        <w:pStyle w:val="null3"/>
        <w:jc w:val="left"/>
      </w:pPr>
      <w:r>
        <w:rPr>
          <w:rFonts w:ascii="仿宋_GB2312" w:hAnsi="仿宋_GB2312" w:cs="仿宋_GB2312" w:eastAsia="仿宋_GB2312"/>
        </w:rPr>
        <w:t xml:space="preserve"> 法定代表人或主要负责人（授权代表）：</w:t>
      </w:r>
    </w:p>
    <w:p>
      <w:pPr>
        <w:pStyle w:val="null3"/>
        <w:jc w:val="left"/>
      </w:pPr>
      <w:r>
        <w:rPr>
          <w:rFonts w:ascii="仿宋_GB2312" w:hAnsi="仿宋_GB2312" w:cs="仿宋_GB2312" w:eastAsia="仿宋_GB2312"/>
        </w:rPr>
        <w:t xml:space="preserve"> 地 址：</w:t>
      </w:r>
    </w:p>
    <w:p>
      <w:pPr>
        <w:pStyle w:val="null3"/>
        <w:jc w:val="left"/>
      </w:pPr>
      <w:r>
        <w:rPr>
          <w:rFonts w:ascii="仿宋_GB2312" w:hAnsi="仿宋_GB2312" w:cs="仿宋_GB2312" w:eastAsia="仿宋_GB2312"/>
        </w:rPr>
        <w:t xml:space="preserve"> 开户银行：</w:t>
      </w:r>
    </w:p>
    <w:p>
      <w:pPr>
        <w:pStyle w:val="null3"/>
        <w:jc w:val="left"/>
      </w:pPr>
      <w:r>
        <w:rPr>
          <w:rFonts w:ascii="仿宋_GB2312" w:hAnsi="仿宋_GB2312" w:cs="仿宋_GB2312" w:eastAsia="仿宋_GB2312"/>
        </w:rPr>
        <w:t xml:space="preserve"> 账号：</w:t>
      </w:r>
    </w:p>
    <w:p>
      <w:pPr>
        <w:pStyle w:val="null3"/>
        <w:jc w:val="left"/>
      </w:pPr>
      <w:r>
        <w:rPr>
          <w:rFonts w:ascii="仿宋_GB2312" w:hAnsi="仿宋_GB2312" w:cs="仿宋_GB2312" w:eastAsia="仿宋_GB2312"/>
        </w:rPr>
        <w:t xml:space="preserve"> 签订时间： 年 月 日</w:t>
      </w:r>
    </w:p>
    <w:p>
      <w:pPr>
        <w:pStyle w:val="null3"/>
        <w:jc w:val="left"/>
      </w:pP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