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440101-2025-07431</w:t>
      </w:r>
    </w:p>
    <w:p>
      <w:pPr>
        <w:pStyle w:val="null3"/>
        <w:jc w:val="center"/>
        <w:outlineLvl w:val="3"/>
      </w:pPr>
      <w:r>
        <w:rPr>
          <w:sz w:val="24"/>
          <w:b/>
        </w:rPr>
        <w:t>采购项目编号：</w:t>
      </w:r>
      <w:r>
        <w:rPr>
          <w:sz w:val="24"/>
          <w:b/>
        </w:rPr>
        <w:t>CZ2025-0616</w:t>
      </w:r>
    </w:p>
    <w:p>
      <w:pPr>
        <w:pStyle w:val="null3"/>
        <w:jc w:val="center"/>
        <w:outlineLvl w:val="3"/>
      </w:pPr>
      <w:r>
        <w:rPr>
          <w:sz w:val="24"/>
          <w:b/>
        </w:rPr>
        <w:t>项目名称：</w:t>
      </w:r>
      <w:r>
        <w:rPr>
          <w:sz w:val="24"/>
          <w:b/>
        </w:rPr>
        <w:t>广州市数字政府运营中心2025年-2027年广州市统一政务外网服务项目核心机房服务租赁项目</w:t>
      </w:r>
    </w:p>
    <w:p>
      <w:pPr>
        <w:pStyle w:val="null3"/>
        <w:jc w:val="center"/>
        <w:outlineLvl w:val="3"/>
      </w:pPr>
      <w:r>
        <w:rPr>
          <w:sz w:val="24"/>
          <w:b/>
        </w:rPr>
        <w:t>采购人：</w:t>
      </w:r>
      <w:r>
        <w:rPr>
          <w:sz w:val="24"/>
          <w:b/>
        </w:rPr>
        <w:t>广州市数字政府运营中心（广州市政务大数据管理中心、广州市政府门户网站编辑部、广州市智慧城市运行中心）</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广州市数字政府运营中心（广州市政务大数据管理中心、广州市政府门户网站编辑部、广州市智慧城市运行中心）</w:t>
      </w:r>
      <w:r>
        <w:rPr/>
        <w:t>的委托，采用</w:t>
      </w:r>
      <w:r>
        <w:rPr/>
        <w:t>公开招标</w:t>
      </w:r>
      <w:r>
        <w:rPr/>
        <w:t>方式组织采购</w:t>
      </w:r>
      <w:r>
        <w:rPr/>
        <w:t>广州市数字政府运营中心2025年-2027年广州市统一政务外网服务项目核心机房服务租赁项目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广州市数字政府运营中心2025年-2027年广州市统一政务外网服务项目核心机房服务租赁项目</w:t>
      </w:r>
    </w:p>
    <w:p>
      <w:pPr>
        <w:pStyle w:val="null3"/>
        <w:ind w:firstLine="480"/>
      </w:pPr>
      <w:r>
        <w:rPr/>
        <w:t>采购计划编号：</w:t>
      </w:r>
      <w:r>
        <w:rPr/>
        <w:t>440101-2025-07431</w:t>
      </w:r>
    </w:p>
    <w:p>
      <w:pPr>
        <w:pStyle w:val="null3"/>
        <w:ind w:firstLine="480"/>
      </w:pPr>
      <w:r>
        <w:rPr/>
        <w:t>采购项目编号：</w:t>
      </w:r>
      <w:r>
        <w:rPr/>
        <w:t>CZ2025-0616</w:t>
      </w:r>
    </w:p>
    <w:p>
      <w:pPr>
        <w:pStyle w:val="null3"/>
        <w:ind w:firstLine="480"/>
      </w:pPr>
      <w:r>
        <w:rPr/>
        <w:t>采购方式：</w:t>
      </w:r>
      <w:r>
        <w:rPr/>
        <w:t>公开招标</w:t>
      </w:r>
    </w:p>
    <w:p>
      <w:pPr>
        <w:pStyle w:val="null3"/>
        <w:ind w:firstLine="480"/>
      </w:pPr>
      <w:r>
        <w:rPr/>
        <w:t>预算金额：</w:t>
      </w:r>
      <w:r>
        <w:rPr/>
        <w:t>39,388,900.00</w:t>
      </w:r>
      <w:r>
        <w:rPr/>
        <w:t>元</w:t>
      </w:r>
    </w:p>
    <w:p>
      <w:pPr>
        <w:pStyle w:val="null3"/>
        <w:outlineLvl w:val="3"/>
      </w:pPr>
      <w:r>
        <w:rPr>
          <w:sz w:val="24"/>
          <w:b/>
        </w:rPr>
        <w:t>2.项目内容及需求情况（采购项目技术规格、参数及要求）</w:t>
      </w:r>
    </w:p>
    <w:p>
      <w:pPr>
        <w:pStyle w:val="null3"/>
      </w:pPr>
      <w:r>
        <w:rPr/>
        <w:t>采购包1(广州市数字政府运营中心2025年-2027年广州市统一政务外网服务项目核心机房服务租赁项目):</w:t>
      </w:r>
    </w:p>
    <w:p>
      <w:pPr>
        <w:pStyle w:val="null3"/>
      </w:pPr>
      <w:r>
        <w:rPr/>
        <w:t>采购包预算金额：39,388,900.00元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云计算服务</w:t>
            </w:r>
          </w:p>
        </w:tc>
        <w:tc>
          <w:tcPr>
            <w:tcW w:type="dxa" w:w="2052"/>
          </w:tcPr>
          <w:p>
            <w:pPr>
              <w:pStyle w:val="null3"/>
            </w:pPr>
            <w:r>
              <w:rPr/>
              <w:t>广州市统一政务外网服务项目核心机房服务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39,388,900.00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合同履行期限：自合同签订之日起2年。服务起始日期2025年6月1日，若实际合同签订日期晚于预计起始日期，则服务起始日期为合同签订之日，服务结束日期相应顺延。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采购包1（广州市数字政府运营中心2025年-2027年广州市统一政务外网服务项目核心机房服务租赁项目）：</w:t>
      </w:r>
      <w:r>
        <w:rPr/>
        <w:t>本项目不属于专门面向中小微企业采购的项目。</w:t>
      </w:r>
    </w:p>
    <w:p>
      <w:pPr>
        <w:pStyle w:val="null3"/>
        <w:outlineLvl w:val="3"/>
      </w:pPr>
      <w:r>
        <w:rPr>
          <w:sz w:val="24"/>
          <w:b/>
        </w:rPr>
        <w:t>3.本项目特定的资格要求：</w:t>
      </w:r>
    </w:p>
    <w:p>
      <w:pPr>
        <w:pStyle w:val="null3"/>
      </w:pPr>
      <w:r>
        <w:rPr/>
        <w:t>采购包1（广州市数字政府运营中心2025年-2027年广州市统一政务外网服务项目核心机房服务租赁项目）：</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pPr>
      <w:r>
        <w:rPr/>
        <w:t>2)投标人必须具有《增值电信业务经营许可证》。（提供证书扫描件作为证明材料）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广州市数字政府运营中心（广州市政务大数据管理中心、广州市政府门户网站编辑部、广州市智慧城市运行中心）</w:t>
      </w:r>
    </w:p>
    <w:p>
      <w:pPr>
        <w:pStyle w:val="null3"/>
        <w:ind w:firstLine="480"/>
      </w:pPr>
      <w:r>
        <w:rPr/>
        <w:t xml:space="preserve"> 地址：</w:t>
      </w:r>
      <w:r>
        <w:rPr/>
        <w:t>广州市天河区穗园西街2号</w:t>
      </w:r>
    </w:p>
    <w:p>
      <w:pPr>
        <w:pStyle w:val="null3"/>
        <w:ind w:firstLine="480"/>
      </w:pPr>
      <w:r>
        <w:rPr/>
        <w:t xml:space="preserve"> 联系方式：</w:t>
      </w:r>
      <w:r>
        <w:rPr/>
        <w:t>38828271</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广东省广州市天河区天润路445号</w:t>
      </w:r>
    </w:p>
    <w:p>
      <w:pPr>
        <w:pStyle w:val="null3"/>
        <w:ind w:firstLine="480"/>
      </w:pPr>
      <w:r>
        <w:rPr/>
        <w:t xml:space="preserve"> 联系方式：</w:t>
      </w:r>
      <w:r>
        <w:rPr/>
        <w:t>28866288、28866163</w:t>
      </w:r>
    </w:p>
    <w:p>
      <w:pPr>
        <w:pStyle w:val="null3"/>
        <w:outlineLvl w:val="3"/>
      </w:pPr>
      <w:r>
        <w:rPr>
          <w:sz w:val="24"/>
          <w:b/>
        </w:rPr>
        <w:t xml:space="preserve"> 3.项目联系方式</w:t>
      </w:r>
    </w:p>
    <w:p>
      <w:pPr>
        <w:pStyle w:val="null3"/>
        <w:ind w:firstLine="480"/>
      </w:pPr>
      <w:r>
        <w:rPr/>
        <w:t xml:space="preserve"> 项目联系人：</w:t>
      </w:r>
      <w:r>
        <w:rPr/>
        <w:t>李静春（采购文件咨询）、何晓蕾（质疑受理）</w:t>
      </w:r>
    </w:p>
    <w:p>
      <w:pPr>
        <w:pStyle w:val="null3"/>
        <w:ind w:firstLine="480"/>
      </w:pPr>
      <w:r>
        <w:rPr/>
        <w:t xml:space="preserve"> 电话：</w:t>
      </w:r>
      <w:r>
        <w:rPr/>
        <w:t>28866288、28866163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详见采购公告附件“采购需求”。</w:t>
      </w:r>
    </w:p>
    <w:p>
      <w:pPr>
        <w:pStyle w:val="null3"/>
      </w:pPr>
      <w:r>
        <w:rPr/>
        <w:t>采购包1（广州市数字政府运营中心2025年-2027年广州市统一政务外网服务项目核心机房服务租赁项目）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自合同签订之日起2年。服务起始日期2025年6月1日，若实际合同签订日期晚于预计起始日期，则服务起始日期为合同签订之日，服务结束日期相应顺延。</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第1期为(预付款)：支付比例30%，合同签订并收到中标人开具的等额发票后5个工作日内，采购人向中标人支付合同总金额的30％，即¥ （人民币 ）。</w:t>
            </w:r>
          </w:p>
          <w:p>
            <w:pPr>
              <w:pStyle w:val="null3"/>
            </w:pPr>
            <w:r>
              <w:rPr/>
              <w:t>第2期为(进度款)：支付比例25%，项目整体服务周期满7个月后，提交运维服务报告，通过阶段性评估，并收到中标人开具的等额发票后 5 个工作日内，采购人向中标人支付合同总金额的25%，即¥ （人民币 ），实际金额应根据合同相应条款扣除违约金及相关赔偿、费用后按实际支付；。</w:t>
            </w:r>
          </w:p>
          <w:p>
            <w:pPr>
              <w:pStyle w:val="null3"/>
            </w:pPr>
            <w:r>
              <w:rPr/>
              <w:t>第3期为(进度款)：支付比例25%，项目整体服务周期满14个月后，提交运维服务报告，通过阶段性评估，并收到中标人开具的等额发票后 5 个工作日内，采购人向中标人支付合同总金额的25%，即¥ （人民币 ），实际金额应根据合同相应条款扣除违约金及相关赔偿、费用后按实际支付；。</w:t>
            </w:r>
          </w:p>
          <w:p>
            <w:pPr>
              <w:pStyle w:val="null3"/>
            </w:pPr>
            <w:r>
              <w:rPr/>
              <w:t>第4期为(进度款)：支付比例10%，项目整体服务周期满19个月后，提交运维服务报告，通过阶段性评估，并收到中标人开具的等额发票后 5 个工作日内，采购人向中标人支付合同总金额的10%，即¥ （人民币 ），实际金额应根据合同相应条款扣除违约金及相关赔偿、费用后按实际支付；。</w:t>
            </w:r>
          </w:p>
          <w:p>
            <w:pPr>
              <w:pStyle w:val="null3"/>
            </w:pPr>
            <w:r>
              <w:rPr/>
              <w:t>第5期为(尾款)：支付比例10%，服务期满并提交整体服务报告及项目总结，通过合同验收，并收到中标人开具的等额发票后5个工作日内，采购人向中标人支付合同总金额的10%，即¥ （人民币 ），实际金额应根据合同相应条款扣除设备维修维护费用结余部分、违约金及相关赔偿、费用后按实际支付。。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1期：运维服务期满，本项目（合同）应通过采购人组织的本项目（合同）验收，包括： （一）完成招标文件规定的工作和任务，服务质量达标； （二）文档齐全，完成运维服务的过程文档和报告，根据要求交付相关成果； （三）通过采购人组织的验收； （四）具体验收规范以市政务信息化项目管理相关规定的验收规范和要求为准。 投标人必须严格执行项目过程管控，确保运维服务质量达到验收标准，一次验收（合同验收）合格率100%。若因投标人原因造成影响项目验收的，投标人除需自行承担返工整改和再次组织专家评审的费用外，同时要支付违约金，违约金不足以弥补采购人损失的，采购人有权另行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云计算服务</w:t>
            </w:r>
          </w:p>
        </w:tc>
        <w:tc>
          <w:tcPr>
            <w:tcW w:type="dxa" w:w="933"/>
          </w:tcPr>
          <w:p>
            <w:pPr>
              <w:pStyle w:val="null3"/>
              <w:jc w:val="left"/>
            </w:pPr>
            <w:r>
              <w:rPr/>
              <w:t>广州市统一政务外网服务项目核心机房服务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39,388,900.00</w:t>
            </w:r>
          </w:p>
        </w:tc>
        <w:tc>
          <w:tcPr>
            <w:tcW w:type="dxa" w:w="933"/>
          </w:tcPr>
          <w:p>
            <w:pPr>
              <w:pStyle w:val="null3"/>
              <w:jc w:val="right"/>
            </w:pPr>
            <w:r>
              <w:rPr/>
              <w:t>39,388,900.00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广州市统一政务外网服务项目核心机房服务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广州市数字政府运营中心（广州市政务大数据管理中心、广州市政府门户网站编辑部、广州市智慧城市运行中心）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www.gzggzy.cn/jtgg/874864.j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 ，一、综合信用得分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广州市天河区天润路445号4楼广州市政府采购中心质量监督部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数字政府运营中心2025年-2027年广州市统一政务外网服务项目核心机房服务租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采购包1（广州市数字政府运营中心2025年-2027年广州市统一政务外网服务项目核心机房服务租赁项目）：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采购包1（广州市数字政府运营中心2025年-2027年广州市统一政务外网服务项目核心机房服务租赁项目）：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投标人必须具有《增值电信业务经营许可证》。（提供证书扫描件作为证明材料）</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采购包1（广州市数字政府运营中心2025年-2027年广州市统一政务外网服务项目核心机房服务租赁项目）：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采购包1(广州市数字政府运营中心2025年-2027年广州市统一政务外网服务项目核心机房服务租赁项目):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带“▲”的响应情况 (20.0分)</w:t>
            </w:r>
          </w:p>
        </w:tc>
        <w:tc>
          <w:tcPr>
            <w:tcW w:type="dxa" w:w="5076"/>
          </w:tcPr>
          <w:p>
            <w:pPr>
              <w:pStyle w:val="null3"/>
              <w:jc w:val="left"/>
            </w:pPr>
            <w:r>
              <w:rPr/>
              <w:t>本项目带“▲”号参数共20项，完全满足得20分，每有一项不满足扣1分，扣完为止。 凡是标有序号的重条款均以一项单独的条款计算，无论是否隶属于上一级编号。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本项目核心机房服务响应方案① (1.0分)</w:t>
            </w:r>
          </w:p>
        </w:tc>
        <w:tc>
          <w:tcPr>
            <w:tcW w:type="dxa" w:w="5076"/>
          </w:tcPr>
          <w:p>
            <w:pPr>
              <w:pStyle w:val="null3"/>
              <w:jc w:val="left"/>
            </w:pPr>
            <w:r>
              <w:rPr/>
              <w:t>根据投标人针对本项目制定核心机房服务响应方案进行综合评分：能提供针对本项目的核心机房服务响应方案，包括机房基础要求、机房安全要求、机房能力要求的，得1分；如未能提供对本项目的核心机房服务响应方案或缺少内容的，本项及以下评分项“本项目核心机房服务响应方案②”均不得分。</w:t>
            </w:r>
          </w:p>
        </w:tc>
      </w:tr>
      <w:tr>
        <w:tc>
          <w:tcPr>
            <w:tcW w:type="dxa" w:w="922"/>
            <w:gridSpan w:val="2"/>
            <w:vMerge/>
          </w:tcPr>
          <w:p/>
        </w:tc>
        <w:tc>
          <w:tcPr>
            <w:tcW w:type="dxa" w:w="2307"/>
          </w:tcPr>
          <w:p>
            <w:pPr>
              <w:pStyle w:val="null3"/>
              <w:jc w:val="left"/>
            </w:pPr>
            <w:r>
              <w:rPr/>
              <w:t>本项目核心机房服务响应方案② (2.0分)</w:t>
            </w:r>
          </w:p>
        </w:tc>
        <w:tc>
          <w:tcPr>
            <w:tcW w:type="dxa" w:w="5076"/>
          </w:tcPr>
          <w:p>
            <w:pPr>
              <w:pStyle w:val="null3"/>
              <w:jc w:val="left"/>
            </w:pPr>
            <w:r>
              <w:rPr/>
              <w:t>根据投标人针对本项目制定的核心机房服务响应方案①描述内容进行评审：提供的机房服务优于采购需求的，得2分，完全满足采购需求的，得1分，部分满足采购需求的或不满足采购需求的或其他的，得0分。</w:t>
            </w:r>
          </w:p>
        </w:tc>
      </w:tr>
      <w:tr>
        <w:tc>
          <w:tcPr>
            <w:tcW w:type="dxa" w:w="922"/>
            <w:gridSpan w:val="2"/>
            <w:vMerge/>
          </w:tcPr>
          <w:p/>
        </w:tc>
        <w:tc>
          <w:tcPr>
            <w:tcW w:type="dxa" w:w="2307"/>
          </w:tcPr>
          <w:p>
            <w:pPr>
              <w:pStyle w:val="null3"/>
              <w:jc w:val="left"/>
            </w:pPr>
            <w:r>
              <w:rPr/>
              <w:t>本项目2个机房等级标准 (1.0分)</w:t>
            </w:r>
          </w:p>
        </w:tc>
        <w:tc>
          <w:tcPr>
            <w:tcW w:type="dxa" w:w="5076"/>
          </w:tcPr>
          <w:p>
            <w:pPr>
              <w:pStyle w:val="null3"/>
              <w:jc w:val="left"/>
            </w:pPr>
            <w:r>
              <w:rPr/>
              <w:t>提供的两个核心机房均满足A级机房建设标准并取得A级机房等级证书，得1分，其它或不响应不得分。 注：需提供相应机房的等级证书扫描件，否则不得分。</w:t>
            </w:r>
          </w:p>
        </w:tc>
      </w:tr>
      <w:tr>
        <w:tc>
          <w:tcPr>
            <w:tcW w:type="dxa" w:w="922"/>
            <w:gridSpan w:val="2"/>
            <w:vMerge/>
          </w:tcPr>
          <w:p/>
        </w:tc>
        <w:tc>
          <w:tcPr>
            <w:tcW w:type="dxa" w:w="2307"/>
          </w:tcPr>
          <w:p>
            <w:pPr>
              <w:pStyle w:val="null3"/>
              <w:jc w:val="left"/>
            </w:pPr>
            <w:r>
              <w:rPr/>
              <w:t>本项目2个机房权属 (1.0分)</w:t>
            </w:r>
          </w:p>
        </w:tc>
        <w:tc>
          <w:tcPr>
            <w:tcW w:type="dxa" w:w="5076"/>
          </w:tcPr>
          <w:p>
            <w:pPr>
              <w:pStyle w:val="null3"/>
              <w:jc w:val="left"/>
            </w:pPr>
            <w:r>
              <w:rPr/>
              <w:t>提供的两个核心机房均为自有产权机房或者租赁机房且剩余租赁期超过2年的，得1分，其它或不响应不得分； 注：需提供相应机房的产权证明或租赁证明文件扫描件，否则不得分。</w:t>
            </w:r>
          </w:p>
        </w:tc>
      </w:tr>
      <w:tr>
        <w:tc>
          <w:tcPr>
            <w:tcW w:type="dxa" w:w="922"/>
            <w:gridSpan w:val="2"/>
            <w:vMerge/>
          </w:tcPr>
          <w:p/>
        </w:tc>
        <w:tc>
          <w:tcPr>
            <w:tcW w:type="dxa" w:w="2307"/>
          </w:tcPr>
          <w:p>
            <w:pPr>
              <w:pStyle w:val="null3"/>
              <w:jc w:val="left"/>
            </w:pPr>
            <w:r>
              <w:rPr/>
              <w:t>本项目城域网流量高速转发服务响应方案① (1.0分)</w:t>
            </w:r>
          </w:p>
        </w:tc>
        <w:tc>
          <w:tcPr>
            <w:tcW w:type="dxa" w:w="5076"/>
          </w:tcPr>
          <w:p>
            <w:pPr>
              <w:pStyle w:val="null3"/>
              <w:jc w:val="left"/>
            </w:pPr>
            <w:r>
              <w:rPr/>
              <w:t>根据投标人针对本项目城域网流量高速转发服务响应方案进行综合评分：能提供针对本项目的城域网流量高速转发服务响应方案，包括规格与指标要求、部署方案的，得1分；如未能提供对本项目城域网流量高速转发服务响应方案或缺少内容的，本项及以下评分项“本项目城域网流量高速转发服务响应方案②”均不得分。</w:t>
            </w:r>
          </w:p>
        </w:tc>
      </w:tr>
      <w:tr>
        <w:tc>
          <w:tcPr>
            <w:tcW w:type="dxa" w:w="922"/>
            <w:gridSpan w:val="2"/>
            <w:vMerge/>
          </w:tcPr>
          <w:p/>
        </w:tc>
        <w:tc>
          <w:tcPr>
            <w:tcW w:type="dxa" w:w="2307"/>
          </w:tcPr>
          <w:p>
            <w:pPr>
              <w:pStyle w:val="null3"/>
              <w:jc w:val="left"/>
            </w:pPr>
            <w:r>
              <w:rPr/>
              <w:t>本项目城域网流量高速转发服务响应方案② (3.0分)</w:t>
            </w:r>
          </w:p>
        </w:tc>
        <w:tc>
          <w:tcPr>
            <w:tcW w:type="dxa" w:w="5076"/>
          </w:tcPr>
          <w:p>
            <w:pPr>
              <w:pStyle w:val="null3"/>
              <w:jc w:val="left"/>
            </w:pPr>
            <w:r>
              <w:rPr/>
              <w:t>根据投标人针对本项目制定的城域网流量高速转发服务响应方案①描述内容进行评审：优于采购需求的，得3分，完全满足采购需求的，得2分，部分满足采购需求的或不满足采购需求的或其他的，得0分。</w:t>
            </w:r>
          </w:p>
        </w:tc>
      </w:tr>
      <w:tr>
        <w:tc>
          <w:tcPr>
            <w:tcW w:type="dxa" w:w="922"/>
            <w:gridSpan w:val="2"/>
            <w:vMerge/>
          </w:tcPr>
          <w:p/>
        </w:tc>
        <w:tc>
          <w:tcPr>
            <w:tcW w:type="dxa" w:w="2307"/>
          </w:tcPr>
          <w:p>
            <w:pPr>
              <w:pStyle w:val="null3"/>
              <w:jc w:val="left"/>
            </w:pPr>
            <w:r>
              <w:rPr/>
              <w:t>本项目区广域汇聚服务响应方案① (1.0分)</w:t>
            </w:r>
          </w:p>
        </w:tc>
        <w:tc>
          <w:tcPr>
            <w:tcW w:type="dxa" w:w="5076"/>
          </w:tcPr>
          <w:p>
            <w:pPr>
              <w:pStyle w:val="null3"/>
              <w:jc w:val="left"/>
            </w:pPr>
            <w:r>
              <w:rPr/>
              <w:t>根据投标人针对本项目区广域汇聚服务响应方案进行综合评分：能提供针对本项目的区广域汇聚服务响应方案，包括规格与指标要求、部署方案的，得1分；如未能提供对本项目区广域汇聚服务响应方案或缺少内容的，本项及以下评分项“本项目区广域汇聚服务响应方案②”均不得分。</w:t>
            </w:r>
          </w:p>
        </w:tc>
      </w:tr>
      <w:tr>
        <w:tc>
          <w:tcPr>
            <w:tcW w:type="dxa" w:w="922"/>
            <w:gridSpan w:val="2"/>
            <w:vMerge/>
          </w:tcPr>
          <w:p/>
        </w:tc>
        <w:tc>
          <w:tcPr>
            <w:tcW w:type="dxa" w:w="2307"/>
          </w:tcPr>
          <w:p>
            <w:pPr>
              <w:pStyle w:val="null3"/>
              <w:jc w:val="left"/>
            </w:pPr>
            <w:r>
              <w:rPr/>
              <w:t>本项目区广域汇聚服务响应方案② (3.0分)</w:t>
            </w:r>
          </w:p>
        </w:tc>
        <w:tc>
          <w:tcPr>
            <w:tcW w:type="dxa" w:w="5076"/>
          </w:tcPr>
          <w:p>
            <w:pPr>
              <w:pStyle w:val="null3"/>
              <w:jc w:val="left"/>
            </w:pPr>
            <w:r>
              <w:rPr/>
              <w:t>根据投标人针对本项目制定的区广域汇聚服务响应方案①描述内容进行评审：优于采购需求的，得3分，完全满足采购需求的，得2分，部分满足采购需求的或不满足采购需求的或其他的，得0分。</w:t>
            </w:r>
          </w:p>
        </w:tc>
      </w:tr>
      <w:tr>
        <w:tc>
          <w:tcPr>
            <w:tcW w:type="dxa" w:w="922"/>
            <w:gridSpan w:val="2"/>
            <w:vMerge/>
          </w:tcPr>
          <w:p/>
        </w:tc>
        <w:tc>
          <w:tcPr>
            <w:tcW w:type="dxa" w:w="2307"/>
          </w:tcPr>
          <w:p>
            <w:pPr>
              <w:pStyle w:val="null3"/>
              <w:jc w:val="left"/>
            </w:pPr>
            <w:r>
              <w:rPr/>
              <w:t>本项目网络业务编排服务响应方案① (1.0分)</w:t>
            </w:r>
          </w:p>
        </w:tc>
        <w:tc>
          <w:tcPr>
            <w:tcW w:type="dxa" w:w="5076"/>
          </w:tcPr>
          <w:p>
            <w:pPr>
              <w:pStyle w:val="null3"/>
              <w:jc w:val="left"/>
            </w:pPr>
            <w:r>
              <w:rPr/>
              <w:t>根据投标人针对本项目网络业务编排服务响应方案进行综合评分：能提供针对本项目的网络业务编排服务响应方案，包括服务功能、技术要求的，得1分；如未能提供对本项目网络业务编排服务响应方案或缺少内容的，本项及以下评分项“本项目网络业务编排服务响应方案②”均不得分。</w:t>
            </w:r>
          </w:p>
        </w:tc>
      </w:tr>
      <w:tr>
        <w:tc>
          <w:tcPr>
            <w:tcW w:type="dxa" w:w="922"/>
            <w:gridSpan w:val="2"/>
            <w:vMerge/>
          </w:tcPr>
          <w:p/>
        </w:tc>
        <w:tc>
          <w:tcPr>
            <w:tcW w:type="dxa" w:w="2307"/>
          </w:tcPr>
          <w:p>
            <w:pPr>
              <w:pStyle w:val="null3"/>
              <w:jc w:val="left"/>
            </w:pPr>
            <w:r>
              <w:rPr/>
              <w:t>本项目网络业务编排服务响应方案② (3.0分)</w:t>
            </w:r>
          </w:p>
        </w:tc>
        <w:tc>
          <w:tcPr>
            <w:tcW w:type="dxa" w:w="5076"/>
          </w:tcPr>
          <w:p>
            <w:pPr>
              <w:pStyle w:val="null3"/>
              <w:jc w:val="left"/>
            </w:pPr>
            <w:r>
              <w:rPr/>
              <w:t>根据投标人针对本项目制定的网络业务编排服务响应方案①描述内容进行评审：优于采购需求的，得3分，完全满足采购需求的，得2分，部分满足采购需求的或不满足采购需求的或其他的，得0分。</w:t>
            </w:r>
          </w:p>
        </w:tc>
      </w:tr>
      <w:tr>
        <w:tc>
          <w:tcPr>
            <w:tcW w:type="dxa" w:w="922"/>
            <w:gridSpan w:val="2"/>
            <w:vMerge/>
          </w:tcPr>
          <w:p/>
        </w:tc>
        <w:tc>
          <w:tcPr>
            <w:tcW w:type="dxa" w:w="2307"/>
          </w:tcPr>
          <w:p>
            <w:pPr>
              <w:pStyle w:val="null3"/>
              <w:jc w:val="left"/>
            </w:pPr>
            <w:r>
              <w:rPr/>
              <w:t>本项目统一网络运营运维服务响应方案① (1.0分)</w:t>
            </w:r>
          </w:p>
        </w:tc>
        <w:tc>
          <w:tcPr>
            <w:tcW w:type="dxa" w:w="5076"/>
          </w:tcPr>
          <w:p>
            <w:pPr>
              <w:pStyle w:val="null3"/>
              <w:jc w:val="left"/>
            </w:pPr>
            <w:r>
              <w:rPr/>
              <w:t>根据投标人针对本项目统一网络运营运维服务响应方案进行综合评分：能提供针对本项目的统一网络运营运维服务响应方案，包括运营服务台服务、需求管理服务、网络巡检服务、故障处理服务、网络变更服务、网络优化服务、重大保障服务、应急演练服务、IP地址管理服务、政务外网发展效能提升服务的，得1分；如未能提供对本项目统一网络运营运维服务响应方案或缺少内容的，本项及以下评分项“本项目统一网络运营运维服务响应方案②”均不得分。</w:t>
            </w:r>
          </w:p>
        </w:tc>
      </w:tr>
      <w:tr>
        <w:tc>
          <w:tcPr>
            <w:tcW w:type="dxa" w:w="922"/>
            <w:gridSpan w:val="2"/>
            <w:vMerge/>
          </w:tcPr>
          <w:p/>
        </w:tc>
        <w:tc>
          <w:tcPr>
            <w:tcW w:type="dxa" w:w="2307"/>
          </w:tcPr>
          <w:p>
            <w:pPr>
              <w:pStyle w:val="null3"/>
              <w:jc w:val="left"/>
            </w:pPr>
            <w:r>
              <w:rPr/>
              <w:t>本项目统一网络运营运维服务响应方案② (3.0分)</w:t>
            </w:r>
          </w:p>
        </w:tc>
        <w:tc>
          <w:tcPr>
            <w:tcW w:type="dxa" w:w="5076"/>
          </w:tcPr>
          <w:p>
            <w:pPr>
              <w:pStyle w:val="null3"/>
              <w:jc w:val="left"/>
            </w:pPr>
            <w:r>
              <w:rPr/>
              <w:t>根据投标人针对本项目制定的网络运营运维服务响应方案①描述内容进行评审：优于采购需求的，得3分，完全满足采购需求的，得2分，部分满足采购需求的或不满足采购需求的或其他的，得0分。</w:t>
            </w:r>
          </w:p>
        </w:tc>
      </w:tr>
      <w:tr>
        <w:tc>
          <w:tcPr>
            <w:tcW w:type="dxa" w:w="922"/>
            <w:gridSpan w:val="2"/>
            <w:vMerge/>
          </w:tcPr>
          <w:p/>
        </w:tc>
        <w:tc>
          <w:tcPr>
            <w:tcW w:type="dxa" w:w="2307"/>
          </w:tcPr>
          <w:p>
            <w:pPr>
              <w:pStyle w:val="null3"/>
              <w:jc w:val="left"/>
            </w:pPr>
            <w:r>
              <w:rPr/>
              <w:t>本项目旧网机房设备、旧网网络基础软硬件设施运维服务响应方案① (1.0分)</w:t>
            </w:r>
          </w:p>
        </w:tc>
        <w:tc>
          <w:tcPr>
            <w:tcW w:type="dxa" w:w="5076"/>
          </w:tcPr>
          <w:p>
            <w:pPr>
              <w:pStyle w:val="null3"/>
              <w:jc w:val="left"/>
            </w:pPr>
            <w:r>
              <w:rPr/>
              <w:t>据投标人针对本项目制定的旧网机房设备、旧网网络基础软硬件设施运维服务响应方案进行综合评分：能提供针对本项目旧网数据中心机房设备（高低压供电系统、第三回路应急供电、UPS系统、机房制冷系统、消防系统等16个基础设施设备）、旧网网络基础软硬件设施响应方案，包括旧网数据中心机房设备设施现状和网络节点现状、重点难点及维护把握、分险及处理措施、运维服务内容要求、运维服务保障要求的，得1分；如未能提供对项目旧网机房设备、旧网网络基础软硬件设施运维服务响应方案或缺少内容的，本项及以下评分项“本项目旧网机房设备、旧网网络基础软硬件设施运维服务响应方案②”均不得分。</w:t>
            </w:r>
          </w:p>
        </w:tc>
      </w:tr>
      <w:tr>
        <w:tc>
          <w:tcPr>
            <w:tcW w:type="dxa" w:w="922"/>
            <w:gridSpan w:val="2"/>
            <w:vMerge/>
          </w:tcPr>
          <w:p/>
        </w:tc>
        <w:tc>
          <w:tcPr>
            <w:tcW w:type="dxa" w:w="2307"/>
          </w:tcPr>
          <w:p>
            <w:pPr>
              <w:pStyle w:val="null3"/>
              <w:jc w:val="left"/>
            </w:pPr>
            <w:r>
              <w:rPr/>
              <w:t>本项目旧网机房设备、旧网网络基础软硬件设施运维服务响应方案② (4.0分)</w:t>
            </w:r>
          </w:p>
        </w:tc>
        <w:tc>
          <w:tcPr>
            <w:tcW w:type="dxa" w:w="5076"/>
          </w:tcPr>
          <w:p>
            <w:pPr>
              <w:pStyle w:val="null3"/>
              <w:jc w:val="left"/>
            </w:pPr>
            <w:r>
              <w:rPr/>
              <w:t>根据投标人针对本项目制定的旧网机房设备、旧网网络基础软硬件设施运维服务响应方案①描述内容进行评审：优于采购需求的，得4分，完全满足采购需求的，得2分，部分满足采购需求的或不满足采购需求的或其他的，得0分。</w:t>
            </w:r>
          </w:p>
        </w:tc>
      </w:tr>
      <w:tr>
        <w:tc>
          <w:tcPr>
            <w:tcW w:type="dxa" w:w="922"/>
            <w:gridSpan w:val="2"/>
            <w:vMerge/>
          </w:tcPr>
          <w:p/>
        </w:tc>
        <w:tc>
          <w:tcPr>
            <w:tcW w:type="dxa" w:w="2307"/>
          </w:tcPr>
          <w:p>
            <w:pPr>
              <w:pStyle w:val="null3"/>
              <w:jc w:val="left"/>
            </w:pPr>
            <w:r>
              <w:rPr/>
              <w:t>本项目旧网核心汇聚业务迁移实施服务响应方案① (1.0分)</w:t>
            </w:r>
          </w:p>
        </w:tc>
        <w:tc>
          <w:tcPr>
            <w:tcW w:type="dxa" w:w="5076"/>
          </w:tcPr>
          <w:p>
            <w:pPr>
              <w:pStyle w:val="null3"/>
              <w:jc w:val="left"/>
            </w:pPr>
            <w:r>
              <w:rPr/>
              <w:t>根据投标人针对本项目制定的新旧网核心汇聚业务迁移实施服务响应方案进行综合评分：能提供针对本项目的新旧网核心汇聚业务迁移实施服务响应方案，包括网络现状和迁移规划、影响业务范围、设备部署、IP地址规划、VLAN和端口规划、业务迁移割接、实施保障等内容的，得1分；如未能提供对项目的新旧网核心汇聚业务迁移实施服务响应方案或缺少内容的，本项及以下评分项“本项目新旧网核心汇聚业务迁移实施服务响应方案②”均不得分。</w:t>
            </w:r>
          </w:p>
        </w:tc>
      </w:tr>
      <w:tr>
        <w:tc>
          <w:tcPr>
            <w:tcW w:type="dxa" w:w="922"/>
            <w:gridSpan w:val="2"/>
            <w:vMerge/>
          </w:tcPr>
          <w:p/>
        </w:tc>
        <w:tc>
          <w:tcPr>
            <w:tcW w:type="dxa" w:w="2307"/>
          </w:tcPr>
          <w:p>
            <w:pPr>
              <w:pStyle w:val="null3"/>
              <w:jc w:val="left"/>
            </w:pPr>
            <w:r>
              <w:rPr/>
              <w:t>本项目旧网核心汇聚业务迁移实施服务响应方案② (3.0分)</w:t>
            </w:r>
          </w:p>
        </w:tc>
        <w:tc>
          <w:tcPr>
            <w:tcW w:type="dxa" w:w="5076"/>
          </w:tcPr>
          <w:p>
            <w:pPr>
              <w:pStyle w:val="null3"/>
              <w:jc w:val="left"/>
            </w:pPr>
            <w:r>
              <w:rPr/>
              <w:t>根据投标人针对本项目制定的新旧网核心汇聚业务迁移实施服务响应方案①描述内容进行评审：优于采购需求的，得3分，完全满足采购需求的，得2分，部分满足采购需求的或不满足采购需求的或其他的，得0分。</w:t>
            </w:r>
          </w:p>
        </w:tc>
      </w:tr>
      <w:tr>
        <w:tc>
          <w:tcPr>
            <w:tcW w:type="dxa" w:w="922"/>
            <w:gridSpan w:val="2"/>
            <w:vMerge/>
          </w:tcPr>
          <w:p/>
        </w:tc>
        <w:tc>
          <w:tcPr>
            <w:tcW w:type="dxa" w:w="2307"/>
          </w:tcPr>
          <w:p>
            <w:pPr>
              <w:pStyle w:val="null3"/>
              <w:jc w:val="left"/>
            </w:pPr>
            <w:r>
              <w:rPr/>
              <w:t>项目讲解 (5.0分)</w:t>
            </w:r>
          </w:p>
        </w:tc>
        <w:tc>
          <w:tcPr>
            <w:tcW w:type="dxa" w:w="5076"/>
          </w:tcPr>
          <w:p>
            <w:pPr>
              <w:pStyle w:val="null3"/>
              <w:jc w:val="left"/>
            </w:pPr>
            <w:r>
              <w:rPr/>
              <w:t>1、投标人对本项目政务外网新网规划、需求理解和总体运维方案（组网技术、核心机房服务、高速转发服务等）进行讲解： 优于采购需求的，得3分，完全满足采购需求的，得2分，部分满足采购需求的或不满足采购需求的或其他的，得0分。 2、投标人对本项目政务外网旧网机房设备和旧网网络基础软硬件设施运维服务的现状、需求理解和维护保障方案进行分析讲解： 优于采购需求的，得2分，完全满足采购需求的，得1分，部分满足采购需求的或不满足采购需求的或其他的，得0分。</w:t>
            </w:r>
          </w:p>
        </w:tc>
      </w:tr>
      <w:tr>
        <w:tc>
          <w:tcPr>
            <w:tcW w:type="dxa" w:w="922"/>
            <w:gridSpan w:val="2"/>
            <w:vMerge/>
          </w:tcPr>
          <w:p/>
        </w:tc>
        <w:tc>
          <w:tcPr>
            <w:tcW w:type="dxa" w:w="2307"/>
          </w:tcPr>
          <w:p>
            <w:pPr>
              <w:pStyle w:val="null3"/>
              <w:jc w:val="left"/>
            </w:pPr>
            <w:r>
              <w:rPr/>
              <w:t>功能演示 (10.0分)</w:t>
            </w:r>
          </w:p>
        </w:tc>
        <w:tc>
          <w:tcPr>
            <w:tcW w:type="dxa" w:w="5076"/>
          </w:tcPr>
          <w:p>
            <w:pPr>
              <w:pStyle w:val="null3"/>
              <w:jc w:val="left"/>
            </w:pPr>
            <w:r>
              <w:rPr/>
              <w:t>统一网络运行维护管理平台演示：采用真实系统对以下功能进行现场演示，通过图片、PPT、静态页面、原型系统演示不得分。演示功能如下： 一、采控管理 1.可在界面上查看采控插件的状态，可执行对插件的配置、启停、升级、删除操作。 2.可在线查看插件采集任务的运行日志，包括采集任务执行的起止时间、执行时长、状态，以及任务执行异常的原因。 （1）以上功能能完整演示一点得0.5分，最高得1分； （2）对完整演示的每项功能在操作流畅性、操作交互友好度 、可配置性方面进一步评审，优于采购需求的，得0.5分；满足采购需求的，得0.2分；其它或无演示，不得分。本项最高得1分。 二、IP地址管理 1.能够通过SNMP的方式，从网络设备上自动发现活跃的IPv4/IPv6地址和网段，以及接入终端MAC地址、上联设备、上联端口、VLAN等接入位置信息，并形成IP地址与接入位置的映射关系。 2.支持以列表、方格两种形式展示采集到的IPv4/IPv6地址信息，可展示IP地址的分配/未分配、在线/离线、预留、冲突等状态信息，并可将IP地址详情信息生成二维码；可批量分配、回收IP地址，以及验证IP地址的可达性。 （1）以上功能能完整演示一点得0.5分，最高得1分； （2）对完整演示的每项功能在操作流畅性、操作交互友好度 、可配置性方面进一步评审，优于采购需求的，得0.5分；满足采购需求的，得0.2分；其它或无演示，不得分。本项最高得1分。 三、指标异常预警 1.展示四种以上用于预测指标异常的算法模型；展示模型的数据检测窗口和指标异常敏感度（即实际指标与预测指标的偏离程度）。 2.可图形化展示指标预测值，以及异常指标点，并可在告警页面查看告警消息。 （1）以上功能能完整演示一点得0.5分，最高得1分； （2）对完整演示的每项功能在操作流畅性、数据展示完整性、数据展示实时性方面进一步评审，优于采购需求的，得0.5分；满足采购需求的，得0.2分；其它或无演示，不得分。本项最高得1分。 四、智能告警压缩 1.对同一监控对象在指定时间范围内产生的标题相同的告警，可按告警描述内容的相近性，智能压缩成一条。 2.支持设置压缩周期、内容相似度阈值，以及查看告警压缩率、压缩后、被压缩的原始告警消息。 （1）以上功能能完整演示一点得0.5分，最高得1分； （2）对完整演示的每项功能在操作流畅性、操作交互友好度 、数据展示完整性方面进一步评审，优于采购需求的，得0.5分；满足采购需求的，得0.2分；其它或无演示，不得分。本项最高得1分。 五、根因分析 1.能够图形化展示多个关联告警之间的根因和派生关系，对于关联多个推荐根因的派生告警，可展示其中每个根因告警的概率。 2.可对系统推荐的根因告警进行人为手动确认、否认操作。 （1）以上功能能完整演示一点得0.5分，最高得1分； （2）对完整演示的每项功能在操作流畅性、操作交互友好度 、数据准确性方面进一步评审，优于采购需求的，得0.5分；满足采购需求的，得0.2分；其它或无演示，不得分。本项最高得1分。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投标人提供2022年1月1日以来（以合同签订时间为准）的同类（网络线路租赁类）相关项目经验，每提供1个项目得0.5分，本项最高得4分。 注：业绩时间以合同签订时间为准。供应商应提供合同关键页扫描件（合同关键页包括：合同封面、服务内容页及双方签章页、签订时间页，加盖投标人公章）。分支机构响应的，总公司（总所）业绩可纳入评审。</w:t>
            </w:r>
          </w:p>
        </w:tc>
      </w:tr>
      <w:tr>
        <w:tc>
          <w:tcPr>
            <w:tcW w:type="dxa" w:w="922"/>
            <w:gridSpan w:val="2"/>
            <w:vMerge/>
          </w:tcPr>
          <w:p/>
        </w:tc>
        <w:tc>
          <w:tcPr>
            <w:tcW w:type="dxa" w:w="2307"/>
          </w:tcPr>
          <w:p>
            <w:pPr>
              <w:pStyle w:val="null3"/>
              <w:jc w:val="left"/>
            </w:pPr>
            <w:r>
              <w:rPr/>
              <w:t>投标人资质情况 (3.0分)</w:t>
            </w:r>
          </w:p>
        </w:tc>
        <w:tc>
          <w:tcPr>
            <w:tcW w:type="dxa" w:w="5076"/>
          </w:tcPr>
          <w:p>
            <w:pPr>
              <w:pStyle w:val="null3"/>
              <w:jc w:val="left"/>
            </w:pPr>
            <w:r>
              <w:rPr/>
              <w:t>投标人具有有效的质量管理体系认证证书，得3分，无则不得分。 注：投标人需提供有效期内的证书扫描件及在全国认证认可信息公共服务平台上对证书的查询结果截图为证明材料。</w:t>
            </w:r>
          </w:p>
        </w:tc>
      </w:tr>
      <w:tr>
        <w:tc>
          <w:tcPr>
            <w:tcW w:type="dxa" w:w="922"/>
            <w:gridSpan w:val="2"/>
            <w:vMerge/>
          </w:tcPr>
          <w:p/>
        </w:tc>
        <w:tc>
          <w:tcPr>
            <w:tcW w:type="dxa" w:w="2307"/>
          </w:tcPr>
          <w:p>
            <w:pPr>
              <w:pStyle w:val="null3"/>
              <w:jc w:val="left"/>
            </w:pPr>
            <w:r>
              <w:rPr/>
              <w:t>本项目项目经理的资质情况 (3.0分)</w:t>
            </w:r>
          </w:p>
        </w:tc>
        <w:tc>
          <w:tcPr>
            <w:tcW w:type="dxa" w:w="5076"/>
          </w:tcPr>
          <w:p>
            <w:pPr>
              <w:pStyle w:val="null3"/>
              <w:jc w:val="left"/>
            </w:pPr>
            <w:r>
              <w:rPr/>
              <w:t>具有计算机类或管理类相关专业硕士学位或以上，得1分，具有计算机类或管理类相关专业学士学位的，得0.5分； 具有计算机技术与软件专业技术资格（水平）的信息系统项目管理师证书，得1分； 具有10年或以上工作经验，得1分。 注:提供以上人员的学位证书、资质证书和人员在投标截止日之前六个月内任意一个月参加社会保险的《投保单》或《社会保险参保人员证明》等。工作经验以提供的学历证书毕业时间至投标截止日为准。</w:t>
            </w:r>
          </w:p>
        </w:tc>
      </w:tr>
      <w:tr>
        <w:tc>
          <w:tcPr>
            <w:tcW w:type="dxa" w:w="922"/>
            <w:gridSpan w:val="2"/>
            <w:vMerge/>
          </w:tcPr>
          <w:p/>
        </w:tc>
        <w:tc>
          <w:tcPr>
            <w:tcW w:type="dxa" w:w="2307"/>
          </w:tcPr>
          <w:p>
            <w:pPr>
              <w:pStyle w:val="null3"/>
              <w:jc w:val="left"/>
            </w:pPr>
            <w:r>
              <w:rPr/>
              <w:t>网络运维服务团队人员资质情况 (8.0分)</w:t>
            </w:r>
          </w:p>
        </w:tc>
        <w:tc>
          <w:tcPr>
            <w:tcW w:type="dxa" w:w="5076"/>
          </w:tcPr>
          <w:p>
            <w:pPr>
              <w:pStyle w:val="null3"/>
              <w:jc w:val="left"/>
            </w:pPr>
            <w:r>
              <w:rPr/>
              <w:t>投标人拟投入本项目的网络运维服务团队人员情况： 1、具有计算机技术与软件专业技术资格（水平）的网络规划设计师，每满足一人得1分，最高得2分； 2、具有计算机技术与软件专业技术资格（水平）的网络工程师证书，每满足一人得0.5分，最高得2分； 3、具有计算机技术与软件专业技术资格（水平）的系统集成项目管理工程师证书，每满足一人得0.5分，最高得2分； 4、具有通信专业技术人员职业资格证书，每满足一人得0.4分，最高得2分。 注：以上一人具有多个证书不重复计分，不符合本项资质要求的不得分。 投标人需提供学历证书、资质证书扫描件和技术人员在投标人任职的外部证明材料（如提供加盖政府有关部门印章的在本项目投标截止日之前六个月内任意一个月的《投保单》或《社会保险参保人员证明》扫描件），未提供证明材料或未按要求提供的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投标人每一条记录扣0.5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详见采购公告附件“合同”。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440101-2025-07431</w:t>
      </w:r>
    </w:p>
    <w:p>
      <w:pPr>
        <w:pStyle w:val="null3"/>
        <w:jc w:val="center"/>
        <w:outlineLvl w:val="3"/>
      </w:pPr>
      <w:r>
        <w:rPr>
          <w:sz w:val="24"/>
          <w:b/>
        </w:rPr>
        <w:t>采购项目编号：</w:t>
      </w:r>
      <w:r>
        <w:rPr>
          <w:sz w:val="24"/>
          <w:b/>
        </w:rPr>
        <w:t>CZ2025-0616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广州市数字政府运营中心2025年-2027年广州市统一政务外网服务项目核心机房服务租赁项目</w:t>
      </w:r>
      <w:r>
        <w:rPr>
          <w:u w:val="single"/>
        </w:rPr>
        <w:t>”</w:t>
      </w:r>
      <w:r>
        <w:rPr/>
        <w:t>项目的招标[采购项目编号为：</w:t>
      </w:r>
      <w:r>
        <w:rPr>
          <w:u w:val="single"/>
        </w:rPr>
        <w:t>CZ2025-0616</w:t>
      </w:r>
      <w:r>
        <w:rPr/>
        <w:t>]，我方愿参与投标。</w:t>
      </w:r>
    </w:p>
    <w:p>
      <w:pPr>
        <w:pStyle w:val="null3"/>
        <w:ind w:firstLine="480"/>
      </w:pPr>
      <w:r>
        <w:rPr/>
        <w:t>我方确认收到贵方提供的</w:t>
      </w:r>
      <w:r>
        <w:rPr>
          <w:u w:val="single"/>
        </w:rPr>
        <w:t>“</w:t>
      </w:r>
      <w:r>
        <w:rPr>
          <w:u w:val="single"/>
        </w:rPr>
        <w:t>广州市数字政府运营中心2025年-2027年广州市统一政务外网服务项目核心机房服务租赁项目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广州市数字政府运营中心2025年-2027年广州市统一政务外网服务项目核心机房服务租赁项目</w:t>
      </w:r>
      <w:r>
        <w:rPr/>
        <w:t>”项目采购[采购项目编号为</w:t>
      </w:r>
      <w:r>
        <w:rPr/>
        <w:t>CZ2025-0616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广州市数字政府运营中心（广州市政务大数据管理中心、广州市政府门户网站编辑部、广州市智慧城市运行中心）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广州市数字政府运营中心2025年-2027年广州市统一政务外网服务项目核心机房服务租赁项目</w:t>
      </w:r>
      <w:r>
        <w:rPr/>
        <w:t>招标中获中标（采购项目编号：</w:t>
      </w:r>
      <w:r>
        <w:rPr/>
        <w:t>CZ2025-0616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