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EDBCF5">
      <w:pPr>
        <w:pageBreakBefore w:val="0"/>
        <w:widowControl w:val="0"/>
        <w:wordWrap/>
        <w:overflowPunct/>
        <w:topLinePunct w:val="0"/>
        <w:bidi w:val="0"/>
        <w:spacing w:line="242" w:lineRule="auto"/>
        <w:jc w:val="center"/>
        <w:rPr>
          <w:rFonts w:hint="eastAsia" w:ascii="仿宋" w:hAnsi="仿宋" w:eastAsia="仿宋" w:cs="仿宋"/>
          <w:color w:val="auto"/>
          <w:highlight w:val="none"/>
          <w:lang w:eastAsia="zh-CN"/>
        </w:rPr>
      </w:pPr>
      <w:r>
        <w:rPr>
          <w:rFonts w:ascii="仿宋" w:hAnsi="仿宋" w:eastAsia="仿宋"/>
          <w:b/>
          <w:color w:val="auto"/>
          <w:sz w:val="52"/>
          <w:highlight w:val="none"/>
        </w:rPr>
        <w:drawing>
          <wp:inline distT="0" distB="0" distL="114300" distR="114300">
            <wp:extent cx="1258570" cy="1506220"/>
            <wp:effectExtent l="0" t="0" r="6350"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7"/>
                    <a:stretch>
                      <a:fillRect/>
                    </a:stretch>
                  </pic:blipFill>
                  <pic:spPr>
                    <a:xfrm>
                      <a:off x="0" y="0"/>
                      <a:ext cx="1258570" cy="1506220"/>
                    </a:xfrm>
                    <a:prstGeom prst="rect">
                      <a:avLst/>
                    </a:prstGeom>
                    <a:noFill/>
                    <a:ln>
                      <a:noFill/>
                    </a:ln>
                  </pic:spPr>
                </pic:pic>
              </a:graphicData>
            </a:graphic>
          </wp:inline>
        </w:drawing>
      </w:r>
    </w:p>
    <w:p w14:paraId="241B4B1B">
      <w:pPr>
        <w:pageBreakBefore w:val="0"/>
        <w:widowControl w:val="0"/>
        <w:wordWrap/>
        <w:overflowPunct/>
        <w:topLinePunct w:val="0"/>
        <w:bidi w:val="0"/>
        <w:spacing w:line="242" w:lineRule="auto"/>
        <w:rPr>
          <w:rFonts w:hint="eastAsia" w:ascii="仿宋" w:hAnsi="仿宋" w:eastAsia="仿宋" w:cs="仿宋"/>
          <w:color w:val="auto"/>
          <w:highlight w:val="none"/>
        </w:rPr>
      </w:pPr>
    </w:p>
    <w:p w14:paraId="6CB054EA">
      <w:pPr>
        <w:pageBreakBefore w:val="0"/>
        <w:widowControl w:val="0"/>
        <w:wordWrap/>
        <w:overflowPunct/>
        <w:topLinePunct w:val="0"/>
        <w:bidi w:val="0"/>
        <w:spacing w:line="243" w:lineRule="auto"/>
        <w:jc w:val="center"/>
        <w:rPr>
          <w:rFonts w:hint="eastAsia" w:ascii="仿宋" w:hAnsi="仿宋" w:eastAsia="仿宋" w:cs="仿宋"/>
          <w:color w:val="auto"/>
          <w:highlight w:val="none"/>
        </w:rPr>
      </w:pPr>
      <w:r>
        <w:rPr>
          <w:rFonts w:ascii="仿宋" w:hAnsi="仿宋" w:eastAsia="仿宋"/>
          <w:color w:val="auto"/>
          <w:highlight w:val="none"/>
        </w:rPr>
        <w:pict>
          <v:shape id="_x0000_i1025" o:spt="136" type="#_x0000_t136" style="height:140.75pt;width:356.95pt;" fillcolor="#000000" filled="t" stroked="f" coordsize="21600,21600" adj="10800">
            <v:path/>
            <v:fill on="t" color2="#FFFFFF" focussize="0,0"/>
            <v:stroke on="f"/>
            <v:imagedata o:title=""/>
            <o:lock v:ext="edit" aspectratio="f"/>
            <v:textpath on="t" fitshape="t" fitpath="t" trim="t" xscale="f" string="政府采购&#10;公开招标文件&#10;" style="font-family:华文楷体;font-size:48pt;font-weight:bold;v-text-align:center;v-text-spacing:58985f;"/>
            <v:shadow on="t" obscured="f" color="#C0C0C0" opacity="65536f" offset="3pt,2pt" offset2="0pt,0pt" origin="0f,0f" matrix="65536f,0f,0f,65536f,0,0"/>
            <w10:wrap type="none"/>
            <w10:anchorlock/>
          </v:shape>
        </w:pict>
      </w:r>
    </w:p>
    <w:p w14:paraId="226D2FF9">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14:paraId="4ADBC6D3">
      <w:pPr>
        <w:spacing w:line="800" w:lineRule="exact"/>
        <w:ind w:firstLine="0" w:firstLineChars="0"/>
        <w:rPr>
          <w:rFonts w:hint="eastAsia" w:ascii="仿宋" w:hAnsi="仿宋" w:eastAsia="仿宋"/>
          <w:color w:val="auto"/>
          <w:sz w:val="52"/>
          <w:szCs w:val="52"/>
          <w:highlight w:val="none"/>
        </w:rPr>
      </w:pPr>
      <w:r>
        <w:rPr>
          <w:rFonts w:hint="eastAsia" w:ascii="仿宋" w:hAnsi="仿宋" w:eastAsia="仿宋"/>
          <w:b/>
          <w:bCs/>
          <w:color w:val="auto"/>
          <w:sz w:val="52"/>
          <w:szCs w:val="52"/>
          <w:highlight w:val="none"/>
        </w:rPr>
        <w:t>项目名称：</w:t>
      </w:r>
      <w:r>
        <w:rPr>
          <w:rFonts w:hint="eastAsia" w:ascii="仿宋" w:hAnsi="仿宋" w:eastAsia="仿宋"/>
          <w:color w:val="auto"/>
          <w:sz w:val="52"/>
          <w:szCs w:val="52"/>
          <w:highlight w:val="none"/>
        </w:rPr>
        <w:t>江西省消防救援总队自然灾害应急能力提升工程装备配备项目（车辆类）</w:t>
      </w:r>
    </w:p>
    <w:p w14:paraId="718A00FF">
      <w:pPr>
        <w:spacing w:line="800" w:lineRule="exact"/>
        <w:ind w:firstLine="0" w:firstLineChars="0"/>
        <w:jc w:val="center"/>
        <w:rPr>
          <w:rFonts w:hint="default" w:ascii="仿宋" w:hAnsi="仿宋" w:eastAsia="仿宋"/>
          <w:color w:val="auto"/>
          <w:sz w:val="52"/>
          <w:szCs w:val="52"/>
          <w:highlight w:val="none"/>
          <w:lang w:val="en-US" w:eastAsia="zh-CN"/>
        </w:rPr>
      </w:pPr>
      <w:r>
        <w:rPr>
          <w:rFonts w:hint="eastAsia" w:ascii="仿宋" w:hAnsi="仿宋" w:eastAsia="仿宋"/>
          <w:color w:val="auto"/>
          <w:sz w:val="52"/>
          <w:szCs w:val="52"/>
          <w:highlight w:val="none"/>
          <w:lang w:eastAsia="zh-CN"/>
        </w:rPr>
        <w:t>（</w:t>
      </w:r>
      <w:r>
        <w:rPr>
          <w:rFonts w:hint="eastAsia" w:ascii="仿宋" w:hAnsi="仿宋" w:eastAsia="仿宋"/>
          <w:color w:val="auto"/>
          <w:sz w:val="52"/>
          <w:szCs w:val="52"/>
          <w:highlight w:val="none"/>
          <w:lang w:val="en-US" w:eastAsia="zh-CN"/>
        </w:rPr>
        <w:t>第三次招标）</w:t>
      </w:r>
    </w:p>
    <w:p w14:paraId="7CBF1ECB">
      <w:pPr>
        <w:pStyle w:val="15"/>
        <w:pageBreakBefore w:val="0"/>
        <w:widowControl w:val="0"/>
        <w:wordWrap/>
        <w:overflowPunct/>
        <w:topLinePunct w:val="0"/>
        <w:bidi w:val="0"/>
        <w:ind w:left="0" w:leftChars="0" w:firstLine="0" w:firstLineChars="0"/>
        <w:rPr>
          <w:rFonts w:hint="eastAsia" w:ascii="仿宋" w:hAnsi="仿宋" w:eastAsia="仿宋" w:cs="仿宋"/>
          <w:color w:val="auto"/>
          <w:highlight w:val="none"/>
          <w:lang w:eastAsia="zh-CN"/>
        </w:rPr>
      </w:pPr>
      <w:r>
        <w:rPr>
          <w:rFonts w:hint="eastAsia" w:ascii="仿宋" w:hAnsi="仿宋" w:eastAsia="仿宋"/>
          <w:b/>
          <w:bCs/>
          <w:color w:val="auto"/>
          <w:sz w:val="52"/>
          <w:highlight w:val="none"/>
        </w:rPr>
        <w:t>项目编号：</w:t>
      </w:r>
      <w:r>
        <w:rPr>
          <w:rFonts w:hint="eastAsia" w:ascii="仿宋" w:hAnsi="仿宋" w:eastAsia="仿宋"/>
          <w:color w:val="auto"/>
          <w:sz w:val="52"/>
          <w:highlight w:val="none"/>
          <w:lang w:eastAsia="zh-CN"/>
        </w:rPr>
        <w:t>HSH2024ZG015</w:t>
      </w:r>
    </w:p>
    <w:p w14:paraId="62C3F55D">
      <w:pPr>
        <w:spacing w:line="800" w:lineRule="exact"/>
        <w:ind w:left="2610" w:hanging="2610" w:hangingChars="500"/>
        <w:jc w:val="left"/>
        <w:rPr>
          <w:rFonts w:hint="default" w:ascii="仿宋" w:hAnsi="仿宋" w:eastAsia="仿宋"/>
          <w:color w:val="auto"/>
          <w:sz w:val="52"/>
          <w:szCs w:val="52"/>
          <w:highlight w:val="none"/>
          <w:lang w:val="en-US" w:eastAsia="zh-CN"/>
        </w:rPr>
      </w:pPr>
      <w:r>
        <w:rPr>
          <w:rFonts w:hint="eastAsia" w:ascii="仿宋" w:hAnsi="仿宋" w:eastAsia="仿宋"/>
          <w:b/>
          <w:color w:val="auto"/>
          <w:sz w:val="52"/>
          <w:szCs w:val="52"/>
          <w:highlight w:val="none"/>
          <w:lang w:val="en-US" w:eastAsia="zh-CN"/>
        </w:rPr>
        <w:t xml:space="preserve">包    </w:t>
      </w:r>
      <w:r>
        <w:rPr>
          <w:rFonts w:hint="eastAsia" w:ascii="仿宋" w:hAnsi="仿宋" w:eastAsia="仿宋"/>
          <w:b/>
          <w:color w:val="auto"/>
          <w:sz w:val="52"/>
          <w:szCs w:val="52"/>
          <w:highlight w:val="none"/>
        </w:rPr>
        <w:t>号：</w:t>
      </w:r>
      <w:r>
        <w:rPr>
          <w:rFonts w:hint="eastAsia" w:ascii="仿宋" w:hAnsi="仿宋" w:eastAsia="仿宋"/>
          <w:color w:val="auto"/>
          <w:sz w:val="52"/>
          <w:szCs w:val="52"/>
          <w:highlight w:val="none"/>
          <w:lang w:val="en-US" w:eastAsia="zh-CN"/>
        </w:rPr>
        <w:t>22包</w:t>
      </w:r>
    </w:p>
    <w:p w14:paraId="008ABF6A">
      <w:pPr>
        <w:pStyle w:val="15"/>
        <w:pageBreakBefore w:val="0"/>
        <w:widowControl w:val="0"/>
        <w:wordWrap/>
        <w:overflowPunct/>
        <w:topLinePunct w:val="0"/>
        <w:bidi w:val="0"/>
        <w:rPr>
          <w:rFonts w:hint="eastAsia" w:ascii="仿宋" w:hAnsi="仿宋" w:eastAsia="仿宋" w:cs="仿宋"/>
          <w:color w:val="auto"/>
          <w:highlight w:val="none"/>
          <w:lang w:eastAsia="zh-CN"/>
        </w:rPr>
      </w:pPr>
    </w:p>
    <w:p w14:paraId="5B7FA607">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14:paraId="3D9E2EEA">
      <w:pPr>
        <w:pageBreakBefore w:val="0"/>
        <w:widowControl w:val="0"/>
        <w:wordWrap/>
        <w:overflowPunct/>
        <w:topLinePunct w:val="0"/>
        <w:bidi w:val="0"/>
        <w:spacing w:line="247" w:lineRule="auto"/>
        <w:rPr>
          <w:rFonts w:hint="eastAsia" w:ascii="仿宋" w:hAnsi="仿宋" w:eastAsia="仿宋" w:cs="仿宋"/>
          <w:color w:val="auto"/>
          <w:highlight w:val="none"/>
          <w:lang w:eastAsia="zh-CN"/>
        </w:rPr>
      </w:pPr>
    </w:p>
    <w:p w14:paraId="56D7746A">
      <w:pPr>
        <w:spacing w:before="114" w:beforeLines="30" w:after="114" w:afterLines="30"/>
        <w:jc w:val="left"/>
        <w:rPr>
          <w:rFonts w:ascii="仿宋" w:hAnsi="仿宋" w:eastAsia="仿宋"/>
          <w:color w:val="auto"/>
          <w:sz w:val="36"/>
          <w:szCs w:val="36"/>
          <w:highlight w:val="none"/>
        </w:rPr>
      </w:pPr>
      <w:r>
        <w:rPr>
          <w:rFonts w:hint="eastAsia" w:ascii="仿宋" w:hAnsi="仿宋" w:eastAsia="仿宋"/>
          <w:b/>
          <w:color w:val="auto"/>
          <w:sz w:val="36"/>
          <w:szCs w:val="36"/>
          <w:highlight w:val="none"/>
        </w:rPr>
        <w:t>采购代理机构：</w:t>
      </w:r>
      <w:r>
        <w:rPr>
          <w:rFonts w:hint="eastAsia" w:ascii="仿宋" w:hAnsi="仿宋" w:eastAsia="仿宋"/>
          <w:color w:val="auto"/>
          <w:sz w:val="36"/>
          <w:szCs w:val="36"/>
          <w:highlight w:val="none"/>
        </w:rPr>
        <w:t>江西合胜合招标咨询有限公司</w:t>
      </w:r>
    </w:p>
    <w:p w14:paraId="66606CE3">
      <w:pPr>
        <w:widowControl/>
        <w:kinsoku w:val="0"/>
        <w:autoSpaceDE w:val="0"/>
        <w:autoSpaceDN w:val="0"/>
        <w:adjustRightInd w:val="0"/>
        <w:snapToGrid w:val="0"/>
        <w:spacing w:before="114" w:beforeLines="30" w:after="114" w:afterLines="30" w:line="240" w:lineRule="auto"/>
        <w:jc w:val="both"/>
        <w:textAlignment w:val="baseline"/>
        <w:rPr>
          <w:rFonts w:eastAsia="仿宋"/>
          <w:b/>
          <w:color w:val="auto"/>
          <w:sz w:val="36"/>
          <w:highlight w:val="none"/>
        </w:rPr>
      </w:pPr>
      <w:r>
        <w:rPr>
          <w:rFonts w:hint="eastAsia" w:ascii="仿宋" w:hAnsi="仿宋" w:eastAsia="仿宋"/>
          <w:b/>
          <w:color w:val="auto"/>
          <w:sz w:val="36"/>
          <w:szCs w:val="36"/>
          <w:highlight w:val="none"/>
        </w:rPr>
        <w:t xml:space="preserve">日  </w:t>
      </w:r>
      <w:r>
        <w:rPr>
          <w:rFonts w:hint="eastAsia" w:ascii="仿宋" w:hAnsi="仿宋" w:eastAsia="仿宋"/>
          <w:b/>
          <w:color w:val="auto"/>
          <w:sz w:val="36"/>
          <w:szCs w:val="36"/>
          <w:highlight w:val="none"/>
          <w:lang w:val="en-US" w:eastAsia="zh-CN"/>
        </w:rPr>
        <w:t xml:space="preserve">     </w:t>
      </w:r>
      <w:r>
        <w:rPr>
          <w:rFonts w:hint="eastAsia" w:ascii="仿宋" w:hAnsi="仿宋" w:eastAsia="仿宋"/>
          <w:b/>
          <w:color w:val="auto"/>
          <w:sz w:val="36"/>
          <w:szCs w:val="36"/>
          <w:highlight w:val="none"/>
        </w:rPr>
        <w:t xml:space="preserve"> 期：</w:t>
      </w:r>
      <w:r>
        <w:rPr>
          <w:rFonts w:hint="eastAsia" w:ascii="仿宋" w:hAnsi="仿宋" w:eastAsia="仿宋"/>
          <w:color w:val="auto"/>
          <w:sz w:val="36"/>
          <w:szCs w:val="36"/>
          <w:highlight w:val="none"/>
        </w:rPr>
        <w:t>二○二</w:t>
      </w:r>
      <w:r>
        <w:rPr>
          <w:rFonts w:hint="eastAsia" w:ascii="仿宋" w:hAnsi="仿宋" w:eastAsia="仿宋"/>
          <w:color w:val="auto"/>
          <w:sz w:val="36"/>
          <w:szCs w:val="36"/>
          <w:highlight w:val="none"/>
          <w:lang w:val="en-US" w:eastAsia="zh-CN"/>
        </w:rPr>
        <w:t>四</w:t>
      </w:r>
      <w:r>
        <w:rPr>
          <w:rFonts w:hint="eastAsia" w:ascii="仿宋" w:hAnsi="仿宋" w:eastAsia="仿宋"/>
          <w:color w:val="auto"/>
          <w:sz w:val="36"/>
          <w:szCs w:val="36"/>
          <w:highlight w:val="none"/>
        </w:rPr>
        <w:t>年</w:t>
      </w:r>
      <w:r>
        <w:rPr>
          <w:rFonts w:hint="eastAsia" w:ascii="仿宋" w:hAnsi="仿宋" w:eastAsia="仿宋"/>
          <w:color w:val="auto"/>
          <w:sz w:val="36"/>
          <w:szCs w:val="36"/>
          <w:highlight w:val="none"/>
          <w:lang w:val="en-US" w:eastAsia="zh-CN"/>
        </w:rPr>
        <w:t>九</w:t>
      </w:r>
      <w:r>
        <w:rPr>
          <w:rFonts w:hint="eastAsia" w:ascii="仿宋" w:hAnsi="仿宋" w:eastAsia="仿宋"/>
          <w:color w:val="auto"/>
          <w:sz w:val="36"/>
          <w:szCs w:val="36"/>
          <w:highlight w:val="none"/>
        </w:rPr>
        <w:t>月</w:t>
      </w:r>
    </w:p>
    <w:p w14:paraId="6F12AB26">
      <w:pPr>
        <w:spacing w:line="480" w:lineRule="auto"/>
        <w:jc w:val="center"/>
        <w:rPr>
          <w:rFonts w:eastAsia="仿宋"/>
          <w:b/>
          <w:color w:val="auto"/>
          <w:sz w:val="36"/>
          <w:highlight w:val="none"/>
        </w:rPr>
        <w:sectPr>
          <w:headerReference r:id="rId3" w:type="first"/>
          <w:footerReference r:id="rId5" w:type="first"/>
          <w:footerReference r:id="rId4" w:type="default"/>
          <w:pgSz w:w="11906" w:h="16838"/>
          <w:pgMar w:top="1247" w:right="1417" w:bottom="1702" w:left="1417" w:header="851" w:footer="992" w:gutter="0"/>
          <w:pgNumType w:fmt="decimal" w:start="1"/>
          <w:cols w:space="720" w:num="1"/>
          <w:docGrid w:linePitch="312" w:charSpace="0"/>
        </w:sectPr>
      </w:pPr>
    </w:p>
    <w:p w14:paraId="3356FFE1">
      <w:pPr>
        <w:adjustRightInd w:val="0"/>
        <w:snapToGrid w:val="0"/>
        <w:jc w:val="center"/>
        <w:rPr>
          <w:rFonts w:eastAsia="仿宋"/>
          <w:bCs/>
          <w:color w:val="auto"/>
          <w:sz w:val="44"/>
          <w:szCs w:val="44"/>
          <w:highlight w:val="none"/>
        </w:rPr>
      </w:pPr>
      <w:r>
        <w:rPr>
          <w:rFonts w:hAnsi="仿宋" w:eastAsia="仿宋"/>
          <w:bCs/>
          <w:color w:val="auto"/>
          <w:sz w:val="44"/>
          <w:szCs w:val="44"/>
          <w:highlight w:val="none"/>
        </w:rPr>
        <w:t>目录</w:t>
      </w:r>
    </w:p>
    <w:p w14:paraId="538AC3E8">
      <w:pPr>
        <w:pStyle w:val="27"/>
        <w:tabs>
          <w:tab w:val="right" w:leader="middleDot" w:pos="9072"/>
        </w:tabs>
      </w:pPr>
      <w:r>
        <w:rPr>
          <w:rFonts w:ascii="Times New Roman" w:hAnsi="Times New Roman" w:eastAsiaTheme="minorEastAsia"/>
          <w:b w:val="0"/>
          <w:bCs/>
          <w:i w:val="0"/>
          <w:iCs w:val="0"/>
          <w:color w:val="auto"/>
          <w:sz w:val="21"/>
          <w:szCs w:val="21"/>
          <w:highlight w:val="none"/>
        </w:rPr>
        <w:fldChar w:fldCharType="begin"/>
      </w:r>
      <w:r>
        <w:rPr>
          <w:rFonts w:ascii="Times New Roman" w:hAnsi="Times New Roman" w:eastAsiaTheme="minorEastAsia"/>
          <w:b w:val="0"/>
          <w:bCs/>
          <w:i w:val="0"/>
          <w:iCs w:val="0"/>
          <w:color w:val="auto"/>
          <w:sz w:val="21"/>
          <w:szCs w:val="21"/>
          <w:highlight w:val="none"/>
        </w:rPr>
        <w:instrText xml:space="preserve"> TOC \o "1-2" \h \z \u </w:instrText>
      </w:r>
      <w:r>
        <w:rPr>
          <w:rFonts w:ascii="Times New Roman" w:hAnsi="Times New Roman" w:eastAsiaTheme="minorEastAsia"/>
          <w:b w:val="0"/>
          <w:bCs/>
          <w:i w:val="0"/>
          <w:iCs w:val="0"/>
          <w:color w:val="auto"/>
          <w:sz w:val="21"/>
          <w:szCs w:val="21"/>
          <w:highlight w:val="none"/>
        </w:rPr>
        <w:fldChar w:fldCharType="separate"/>
      </w: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_Toc30817 </w:instrText>
      </w:r>
      <w:r>
        <w:rPr>
          <w:rFonts w:ascii="Times New Roman" w:hAnsi="Times New Roman" w:eastAsiaTheme="minorEastAsia"/>
          <w:bCs/>
          <w:i w:val="0"/>
          <w:iCs w:val="0"/>
          <w:szCs w:val="21"/>
          <w:highlight w:val="none"/>
        </w:rPr>
        <w:fldChar w:fldCharType="separate"/>
      </w:r>
      <w:r>
        <w:rPr>
          <w:rFonts w:ascii="Times New Roman" w:hAnsi="仿宋" w:eastAsia="仿宋"/>
          <w:highlight w:val="none"/>
        </w:rPr>
        <w:t>第一章</w:t>
      </w:r>
      <w:r>
        <w:rPr>
          <w:rFonts w:hint="eastAsia" w:ascii="Times New Roman" w:hAnsi="仿宋" w:eastAsia="仿宋"/>
          <w:highlight w:val="none"/>
          <w:lang w:val="en-US" w:eastAsia="zh-CN"/>
        </w:rPr>
        <w:t xml:space="preserve"> </w:t>
      </w:r>
      <w:r>
        <w:rPr>
          <w:rFonts w:ascii="Times New Roman" w:hAnsi="仿宋" w:eastAsia="仿宋"/>
          <w:highlight w:val="none"/>
        </w:rPr>
        <w:t>投标邀请</w:t>
      </w:r>
      <w:r>
        <w:tab/>
      </w:r>
      <w:r>
        <w:fldChar w:fldCharType="begin"/>
      </w:r>
      <w:r>
        <w:instrText xml:space="preserve"> PAGEREF _Toc30817 \h </w:instrText>
      </w:r>
      <w:r>
        <w:fldChar w:fldCharType="separate"/>
      </w:r>
      <w:r>
        <w:t>4</w:t>
      </w:r>
      <w:r>
        <w:fldChar w:fldCharType="end"/>
      </w:r>
      <w:r>
        <w:rPr>
          <w:rFonts w:ascii="Times New Roman" w:hAnsi="Times New Roman" w:eastAsiaTheme="minorEastAsia"/>
          <w:bCs/>
          <w:i w:val="0"/>
          <w:iCs w:val="0"/>
          <w:color w:val="auto"/>
          <w:szCs w:val="21"/>
          <w:highlight w:val="none"/>
        </w:rPr>
        <w:fldChar w:fldCharType="end"/>
      </w:r>
    </w:p>
    <w:p w14:paraId="6816C026">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_Toc5342 </w:instrText>
      </w:r>
      <w:r>
        <w:rPr>
          <w:rFonts w:ascii="Times New Roman" w:hAnsi="Times New Roman" w:eastAsiaTheme="minorEastAsia"/>
          <w:bCs/>
          <w:i w:val="0"/>
          <w:iCs w:val="0"/>
          <w:szCs w:val="21"/>
          <w:highlight w:val="none"/>
        </w:rPr>
        <w:fldChar w:fldCharType="separate"/>
      </w:r>
      <w:r>
        <w:rPr>
          <w:rFonts w:ascii="Times New Roman" w:hAnsi="仿宋" w:eastAsia="仿宋"/>
          <w:bCs w:val="0"/>
          <w:szCs w:val="24"/>
          <w:highlight w:val="none"/>
        </w:rPr>
        <w:t>一、项目基本情况</w:t>
      </w:r>
      <w:r>
        <w:tab/>
      </w:r>
      <w:r>
        <w:fldChar w:fldCharType="begin"/>
      </w:r>
      <w:r>
        <w:instrText xml:space="preserve"> PAGEREF _Toc5342 \h </w:instrText>
      </w:r>
      <w:r>
        <w:fldChar w:fldCharType="separate"/>
      </w:r>
      <w:r>
        <w:t>4</w:t>
      </w:r>
      <w:r>
        <w:fldChar w:fldCharType="end"/>
      </w:r>
      <w:r>
        <w:rPr>
          <w:rFonts w:ascii="Times New Roman" w:hAnsi="Times New Roman" w:eastAsiaTheme="minorEastAsia"/>
          <w:bCs/>
          <w:i w:val="0"/>
          <w:iCs w:val="0"/>
          <w:color w:val="auto"/>
          <w:szCs w:val="21"/>
          <w:highlight w:val="none"/>
        </w:rPr>
        <w:fldChar w:fldCharType="end"/>
      </w:r>
    </w:p>
    <w:p w14:paraId="16759E24">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_Toc30839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二、投标人的资格要求</w:t>
      </w:r>
      <w:r>
        <w:tab/>
      </w:r>
      <w:r>
        <w:fldChar w:fldCharType="begin"/>
      </w:r>
      <w:r>
        <w:instrText xml:space="preserve"> PAGEREF _Toc30839 \h </w:instrText>
      </w:r>
      <w:r>
        <w:fldChar w:fldCharType="separate"/>
      </w:r>
      <w:r>
        <w:t>4</w:t>
      </w:r>
      <w:r>
        <w:fldChar w:fldCharType="end"/>
      </w:r>
      <w:r>
        <w:rPr>
          <w:rFonts w:ascii="Times New Roman" w:hAnsi="Times New Roman" w:eastAsiaTheme="minorEastAsia"/>
          <w:bCs/>
          <w:i w:val="0"/>
          <w:iCs w:val="0"/>
          <w:color w:val="auto"/>
          <w:szCs w:val="21"/>
          <w:highlight w:val="none"/>
        </w:rPr>
        <w:fldChar w:fldCharType="end"/>
      </w:r>
    </w:p>
    <w:p w14:paraId="55446C4B">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_Toc1135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三、获取招标文件</w:t>
      </w:r>
      <w:r>
        <w:tab/>
      </w:r>
      <w:r>
        <w:fldChar w:fldCharType="begin"/>
      </w:r>
      <w:r>
        <w:instrText xml:space="preserve"> PAGEREF _Toc1135 \h </w:instrText>
      </w:r>
      <w:r>
        <w:fldChar w:fldCharType="separate"/>
      </w:r>
      <w:r>
        <w:t>5</w:t>
      </w:r>
      <w:r>
        <w:fldChar w:fldCharType="end"/>
      </w:r>
      <w:r>
        <w:rPr>
          <w:rFonts w:ascii="Times New Roman" w:hAnsi="Times New Roman" w:eastAsiaTheme="minorEastAsia"/>
          <w:bCs/>
          <w:i w:val="0"/>
          <w:iCs w:val="0"/>
          <w:color w:val="auto"/>
          <w:szCs w:val="21"/>
          <w:highlight w:val="none"/>
        </w:rPr>
        <w:fldChar w:fldCharType="end"/>
      </w:r>
    </w:p>
    <w:p w14:paraId="0B02EAB8">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_Toc22132 </w:instrText>
      </w:r>
      <w:r>
        <w:rPr>
          <w:rFonts w:ascii="Times New Roman" w:hAnsi="Times New Roman" w:eastAsiaTheme="minorEastAsia"/>
          <w:bCs/>
          <w:i w:val="0"/>
          <w:iCs w:val="0"/>
          <w:szCs w:val="21"/>
          <w:highlight w:val="none"/>
        </w:rPr>
        <w:fldChar w:fldCharType="separate"/>
      </w:r>
      <w:r>
        <w:rPr>
          <w:rFonts w:hint="eastAsia" w:ascii="Times New Roman" w:hAnsi="Times New Roman" w:eastAsia="仿宋"/>
          <w:bCs w:val="0"/>
          <w:szCs w:val="24"/>
          <w:highlight w:val="none"/>
          <w:lang w:val="en-US" w:eastAsia="zh-CN"/>
        </w:rPr>
        <w:t>四、</w:t>
      </w:r>
      <w:r>
        <w:rPr>
          <w:rFonts w:ascii="Times New Roman" w:hAnsi="Times New Roman" w:eastAsia="仿宋"/>
          <w:bCs w:val="0"/>
          <w:szCs w:val="24"/>
          <w:highlight w:val="none"/>
        </w:rPr>
        <w:t>提交投标文件截止时间、开标时间和</w:t>
      </w:r>
      <w:r>
        <w:rPr>
          <w:rFonts w:hint="eastAsia" w:ascii="Times New Roman" w:hAnsi="Times New Roman" w:eastAsia="仿宋"/>
          <w:bCs w:val="0"/>
          <w:szCs w:val="24"/>
          <w:highlight w:val="none"/>
          <w:lang w:val="en-US" w:eastAsia="zh-CN"/>
        </w:rPr>
        <w:t>开标</w:t>
      </w:r>
      <w:r>
        <w:rPr>
          <w:rFonts w:ascii="Times New Roman" w:hAnsi="Times New Roman" w:eastAsia="仿宋"/>
          <w:bCs w:val="0"/>
          <w:szCs w:val="24"/>
          <w:highlight w:val="none"/>
        </w:rPr>
        <w:t>地点</w:t>
      </w:r>
      <w:r>
        <w:tab/>
      </w:r>
      <w:r>
        <w:fldChar w:fldCharType="begin"/>
      </w:r>
      <w:r>
        <w:instrText xml:space="preserve"> PAGEREF _Toc22132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14:paraId="1E7BD476">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_Toc28683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五、公告期限</w:t>
      </w:r>
      <w:r>
        <w:tab/>
      </w:r>
      <w:r>
        <w:fldChar w:fldCharType="begin"/>
      </w:r>
      <w:r>
        <w:instrText xml:space="preserve"> PAGEREF _Toc28683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14:paraId="58818A0F">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_Toc24577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六、其他补充事宜</w:t>
      </w:r>
      <w:r>
        <w:tab/>
      </w:r>
      <w:r>
        <w:fldChar w:fldCharType="begin"/>
      </w:r>
      <w:r>
        <w:instrText xml:space="preserve"> PAGEREF _Toc24577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14:paraId="2AB59305">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_Toc22238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七、对本次招标提出询问，请按以下方式联系</w:t>
      </w:r>
      <w:r>
        <w:tab/>
      </w:r>
      <w:r>
        <w:fldChar w:fldCharType="begin"/>
      </w:r>
      <w:r>
        <w:instrText xml:space="preserve"> PAGEREF _Toc22238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14:paraId="2F2C76E6">
      <w:pPr>
        <w:pStyle w:val="27"/>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_Toc26423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第二章 投标人须知</w:t>
      </w:r>
      <w:r>
        <w:tab/>
      </w:r>
      <w:r>
        <w:fldChar w:fldCharType="begin"/>
      </w:r>
      <w:r>
        <w:instrText xml:space="preserve"> PAGEREF _Toc26423 \h </w:instrText>
      </w:r>
      <w:r>
        <w:fldChar w:fldCharType="separate"/>
      </w:r>
      <w:r>
        <w:t>8</w:t>
      </w:r>
      <w:r>
        <w:fldChar w:fldCharType="end"/>
      </w:r>
      <w:r>
        <w:rPr>
          <w:rFonts w:ascii="Times New Roman" w:hAnsi="Times New Roman" w:eastAsiaTheme="minorEastAsia"/>
          <w:bCs/>
          <w:i w:val="0"/>
          <w:iCs w:val="0"/>
          <w:color w:val="auto"/>
          <w:szCs w:val="21"/>
          <w:highlight w:val="none"/>
        </w:rPr>
        <w:fldChar w:fldCharType="end"/>
      </w:r>
    </w:p>
    <w:p w14:paraId="5B0405DC">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_Toc15312 </w:instrText>
      </w:r>
      <w:r>
        <w:rPr>
          <w:rFonts w:ascii="Times New Roman" w:hAnsi="Times New Roman" w:eastAsiaTheme="minorEastAsia"/>
          <w:bCs/>
          <w:i w:val="0"/>
          <w:iCs w:val="0"/>
          <w:szCs w:val="21"/>
          <w:highlight w:val="none"/>
        </w:rPr>
        <w:fldChar w:fldCharType="separate"/>
      </w:r>
      <w:r>
        <w:rPr>
          <w:rFonts w:eastAsia="仿宋"/>
          <w:bCs/>
          <w:kern w:val="0"/>
          <w:highlight w:val="none"/>
        </w:rPr>
        <w:t>一、说明</w:t>
      </w:r>
      <w:r>
        <w:tab/>
      </w:r>
      <w:r>
        <w:fldChar w:fldCharType="begin"/>
      </w:r>
      <w:r>
        <w:instrText xml:space="preserve"> PAGEREF _Toc15312 \h </w:instrText>
      </w:r>
      <w:r>
        <w:fldChar w:fldCharType="separate"/>
      </w:r>
      <w:r>
        <w:t>14</w:t>
      </w:r>
      <w:r>
        <w:fldChar w:fldCharType="end"/>
      </w:r>
      <w:r>
        <w:rPr>
          <w:rFonts w:ascii="Times New Roman" w:hAnsi="Times New Roman" w:eastAsiaTheme="minorEastAsia"/>
          <w:bCs/>
          <w:i w:val="0"/>
          <w:iCs w:val="0"/>
          <w:color w:val="auto"/>
          <w:szCs w:val="21"/>
          <w:highlight w:val="none"/>
        </w:rPr>
        <w:fldChar w:fldCharType="end"/>
      </w:r>
    </w:p>
    <w:p w14:paraId="35028E5E">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_Toc16327 </w:instrText>
      </w:r>
      <w:r>
        <w:rPr>
          <w:rFonts w:ascii="Times New Roman" w:hAnsi="Times New Roman" w:eastAsiaTheme="minorEastAsia"/>
          <w:bCs/>
          <w:i w:val="0"/>
          <w:iCs w:val="0"/>
          <w:szCs w:val="21"/>
          <w:highlight w:val="none"/>
        </w:rPr>
        <w:fldChar w:fldCharType="separate"/>
      </w:r>
      <w:r>
        <w:rPr>
          <w:rFonts w:eastAsia="仿宋"/>
          <w:bCs/>
          <w:kern w:val="0"/>
          <w:highlight w:val="none"/>
        </w:rPr>
        <w:t>二、招标文件</w:t>
      </w:r>
      <w:r>
        <w:tab/>
      </w:r>
      <w:r>
        <w:fldChar w:fldCharType="begin"/>
      </w:r>
      <w:r>
        <w:instrText xml:space="preserve"> PAGEREF _Toc16327 \h </w:instrText>
      </w:r>
      <w:r>
        <w:fldChar w:fldCharType="separate"/>
      </w:r>
      <w:r>
        <w:t>15</w:t>
      </w:r>
      <w:r>
        <w:fldChar w:fldCharType="end"/>
      </w:r>
      <w:r>
        <w:rPr>
          <w:rFonts w:ascii="Times New Roman" w:hAnsi="Times New Roman" w:eastAsiaTheme="minorEastAsia"/>
          <w:bCs/>
          <w:i w:val="0"/>
          <w:iCs w:val="0"/>
          <w:color w:val="auto"/>
          <w:szCs w:val="21"/>
          <w:highlight w:val="none"/>
        </w:rPr>
        <w:fldChar w:fldCharType="end"/>
      </w:r>
    </w:p>
    <w:p w14:paraId="5800E04B">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_Toc13966 </w:instrText>
      </w:r>
      <w:r>
        <w:rPr>
          <w:rFonts w:ascii="Times New Roman" w:hAnsi="Times New Roman" w:eastAsiaTheme="minorEastAsia"/>
          <w:bCs/>
          <w:i w:val="0"/>
          <w:iCs w:val="0"/>
          <w:szCs w:val="21"/>
          <w:highlight w:val="none"/>
        </w:rPr>
        <w:fldChar w:fldCharType="separate"/>
      </w:r>
      <w:r>
        <w:rPr>
          <w:rFonts w:eastAsia="仿宋"/>
          <w:bCs/>
          <w:kern w:val="0"/>
          <w:highlight w:val="none"/>
        </w:rPr>
        <w:t>三、政府采购优惠政策</w:t>
      </w:r>
      <w:r>
        <w:tab/>
      </w:r>
      <w:r>
        <w:fldChar w:fldCharType="begin"/>
      </w:r>
      <w:r>
        <w:instrText xml:space="preserve"> PAGEREF _Toc13966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14:paraId="756EC663">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_Toc29285 </w:instrText>
      </w:r>
      <w:r>
        <w:rPr>
          <w:rFonts w:ascii="Times New Roman" w:hAnsi="Times New Roman" w:eastAsiaTheme="minorEastAsia"/>
          <w:bCs/>
          <w:i w:val="0"/>
          <w:iCs w:val="0"/>
          <w:szCs w:val="21"/>
          <w:highlight w:val="none"/>
        </w:rPr>
        <w:fldChar w:fldCharType="separate"/>
      </w:r>
      <w:r>
        <w:rPr>
          <w:rFonts w:eastAsia="仿宋"/>
          <w:bCs/>
          <w:kern w:val="0"/>
          <w:highlight w:val="none"/>
        </w:rPr>
        <w:t>四、投标文件的编制</w:t>
      </w:r>
      <w:r>
        <w:tab/>
      </w:r>
      <w:r>
        <w:fldChar w:fldCharType="begin"/>
      </w:r>
      <w:r>
        <w:instrText xml:space="preserve"> PAGEREF _Toc29285 \h </w:instrText>
      </w:r>
      <w:r>
        <w:fldChar w:fldCharType="separate"/>
      </w:r>
      <w:r>
        <w:t>17</w:t>
      </w:r>
      <w:r>
        <w:fldChar w:fldCharType="end"/>
      </w:r>
      <w:r>
        <w:rPr>
          <w:rFonts w:ascii="Times New Roman" w:hAnsi="Times New Roman" w:eastAsiaTheme="minorEastAsia"/>
          <w:bCs/>
          <w:i w:val="0"/>
          <w:iCs w:val="0"/>
          <w:color w:val="auto"/>
          <w:szCs w:val="21"/>
          <w:highlight w:val="none"/>
        </w:rPr>
        <w:fldChar w:fldCharType="end"/>
      </w:r>
    </w:p>
    <w:p w14:paraId="294D7BCD">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_Toc9677 </w:instrText>
      </w:r>
      <w:r>
        <w:rPr>
          <w:rFonts w:ascii="Times New Roman" w:hAnsi="Times New Roman" w:eastAsiaTheme="minorEastAsia"/>
          <w:bCs/>
          <w:i w:val="0"/>
          <w:iCs w:val="0"/>
          <w:szCs w:val="21"/>
          <w:highlight w:val="none"/>
        </w:rPr>
        <w:fldChar w:fldCharType="separate"/>
      </w:r>
      <w:r>
        <w:rPr>
          <w:rFonts w:eastAsia="仿宋"/>
          <w:bCs/>
          <w:kern w:val="0"/>
          <w:highlight w:val="none"/>
        </w:rPr>
        <w:t>五、投标文件的递交</w:t>
      </w:r>
      <w:r>
        <w:tab/>
      </w:r>
      <w:r>
        <w:fldChar w:fldCharType="begin"/>
      </w:r>
      <w:r>
        <w:instrText xml:space="preserve"> PAGEREF _Toc9677 \h </w:instrText>
      </w:r>
      <w:r>
        <w:fldChar w:fldCharType="separate"/>
      </w:r>
      <w:r>
        <w:t>19</w:t>
      </w:r>
      <w:r>
        <w:fldChar w:fldCharType="end"/>
      </w:r>
      <w:r>
        <w:rPr>
          <w:rFonts w:ascii="Times New Roman" w:hAnsi="Times New Roman" w:eastAsiaTheme="minorEastAsia"/>
          <w:bCs/>
          <w:i w:val="0"/>
          <w:iCs w:val="0"/>
          <w:color w:val="auto"/>
          <w:szCs w:val="21"/>
          <w:highlight w:val="none"/>
        </w:rPr>
        <w:fldChar w:fldCharType="end"/>
      </w:r>
    </w:p>
    <w:p w14:paraId="659E288A">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_Toc16506 </w:instrText>
      </w:r>
      <w:r>
        <w:rPr>
          <w:rFonts w:ascii="Times New Roman" w:hAnsi="Times New Roman" w:eastAsiaTheme="minorEastAsia"/>
          <w:bCs/>
          <w:i w:val="0"/>
          <w:iCs w:val="0"/>
          <w:szCs w:val="21"/>
          <w:highlight w:val="none"/>
        </w:rPr>
        <w:fldChar w:fldCharType="separate"/>
      </w:r>
      <w:r>
        <w:rPr>
          <w:rFonts w:eastAsia="仿宋"/>
          <w:bCs/>
          <w:kern w:val="0"/>
          <w:highlight w:val="none"/>
        </w:rPr>
        <w:t>六、开标</w:t>
      </w:r>
      <w:r>
        <w:tab/>
      </w:r>
      <w:r>
        <w:fldChar w:fldCharType="begin"/>
      </w:r>
      <w:r>
        <w:instrText xml:space="preserve"> PAGEREF _Toc16506 \h </w:instrText>
      </w:r>
      <w:r>
        <w:fldChar w:fldCharType="separate"/>
      </w:r>
      <w:r>
        <w:t>20</w:t>
      </w:r>
      <w:r>
        <w:fldChar w:fldCharType="end"/>
      </w:r>
      <w:r>
        <w:rPr>
          <w:rFonts w:ascii="Times New Roman" w:hAnsi="Times New Roman" w:eastAsiaTheme="minorEastAsia"/>
          <w:bCs/>
          <w:i w:val="0"/>
          <w:iCs w:val="0"/>
          <w:color w:val="auto"/>
          <w:szCs w:val="21"/>
          <w:highlight w:val="none"/>
        </w:rPr>
        <w:fldChar w:fldCharType="end"/>
      </w:r>
    </w:p>
    <w:p w14:paraId="569852F5">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_Toc21686 </w:instrText>
      </w:r>
      <w:r>
        <w:rPr>
          <w:rFonts w:ascii="Times New Roman" w:hAnsi="Times New Roman" w:eastAsiaTheme="minorEastAsia"/>
          <w:bCs/>
          <w:i w:val="0"/>
          <w:iCs w:val="0"/>
          <w:szCs w:val="21"/>
          <w:highlight w:val="none"/>
        </w:rPr>
        <w:fldChar w:fldCharType="separate"/>
      </w:r>
      <w:r>
        <w:rPr>
          <w:rFonts w:eastAsia="仿宋"/>
          <w:bCs/>
          <w:kern w:val="0"/>
          <w:highlight w:val="none"/>
        </w:rPr>
        <w:t>七、评审原则及程序</w:t>
      </w:r>
      <w:r>
        <w:tab/>
      </w:r>
      <w:r>
        <w:fldChar w:fldCharType="begin"/>
      </w:r>
      <w:r>
        <w:instrText xml:space="preserve"> PAGEREF _Toc21686 \h </w:instrText>
      </w:r>
      <w:r>
        <w:fldChar w:fldCharType="separate"/>
      </w:r>
      <w:r>
        <w:t>20</w:t>
      </w:r>
      <w:r>
        <w:fldChar w:fldCharType="end"/>
      </w:r>
      <w:r>
        <w:rPr>
          <w:rFonts w:ascii="Times New Roman" w:hAnsi="Times New Roman" w:eastAsiaTheme="minorEastAsia"/>
          <w:bCs/>
          <w:i w:val="0"/>
          <w:iCs w:val="0"/>
          <w:color w:val="auto"/>
          <w:szCs w:val="21"/>
          <w:highlight w:val="none"/>
        </w:rPr>
        <w:fldChar w:fldCharType="end"/>
      </w:r>
    </w:p>
    <w:p w14:paraId="6703F4A4">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_Toc8806 </w:instrText>
      </w:r>
      <w:r>
        <w:rPr>
          <w:rFonts w:ascii="Times New Roman" w:hAnsi="Times New Roman" w:eastAsiaTheme="minorEastAsia"/>
          <w:bCs/>
          <w:i w:val="0"/>
          <w:iCs w:val="0"/>
          <w:szCs w:val="21"/>
          <w:highlight w:val="none"/>
        </w:rPr>
        <w:fldChar w:fldCharType="separate"/>
      </w:r>
      <w:r>
        <w:rPr>
          <w:rFonts w:eastAsia="仿宋"/>
          <w:bCs/>
          <w:kern w:val="0"/>
          <w:highlight w:val="none"/>
        </w:rPr>
        <w:t>八、中标人的确定</w:t>
      </w:r>
      <w:r>
        <w:tab/>
      </w:r>
      <w:r>
        <w:fldChar w:fldCharType="begin"/>
      </w:r>
      <w:r>
        <w:instrText xml:space="preserve"> PAGEREF _Toc8806 \h </w:instrText>
      </w:r>
      <w:r>
        <w:fldChar w:fldCharType="separate"/>
      </w:r>
      <w:r>
        <w:t>22</w:t>
      </w:r>
      <w:r>
        <w:fldChar w:fldCharType="end"/>
      </w:r>
      <w:r>
        <w:rPr>
          <w:rFonts w:ascii="Times New Roman" w:hAnsi="Times New Roman" w:eastAsiaTheme="minorEastAsia"/>
          <w:bCs/>
          <w:i w:val="0"/>
          <w:iCs w:val="0"/>
          <w:color w:val="auto"/>
          <w:szCs w:val="21"/>
          <w:highlight w:val="none"/>
        </w:rPr>
        <w:fldChar w:fldCharType="end"/>
      </w:r>
    </w:p>
    <w:p w14:paraId="51DCB35B">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_Toc13468 </w:instrText>
      </w:r>
      <w:r>
        <w:rPr>
          <w:rFonts w:ascii="Times New Roman" w:hAnsi="Times New Roman" w:eastAsiaTheme="minorEastAsia"/>
          <w:bCs/>
          <w:i w:val="0"/>
          <w:iCs w:val="0"/>
          <w:szCs w:val="21"/>
          <w:highlight w:val="none"/>
        </w:rPr>
        <w:fldChar w:fldCharType="separate"/>
      </w:r>
      <w:r>
        <w:rPr>
          <w:rFonts w:eastAsia="仿宋"/>
          <w:bCs/>
          <w:kern w:val="0"/>
          <w:highlight w:val="none"/>
        </w:rPr>
        <w:t>九、中标结果公告</w:t>
      </w:r>
      <w:r>
        <w:tab/>
      </w:r>
      <w:r>
        <w:fldChar w:fldCharType="begin"/>
      </w:r>
      <w:r>
        <w:instrText xml:space="preserve"> PAGEREF _Toc13468 \h </w:instrText>
      </w:r>
      <w:r>
        <w:fldChar w:fldCharType="separate"/>
      </w:r>
      <w:r>
        <w:t>22</w:t>
      </w:r>
      <w:r>
        <w:fldChar w:fldCharType="end"/>
      </w:r>
      <w:r>
        <w:rPr>
          <w:rFonts w:ascii="Times New Roman" w:hAnsi="Times New Roman" w:eastAsiaTheme="minorEastAsia"/>
          <w:bCs/>
          <w:i w:val="0"/>
          <w:iCs w:val="0"/>
          <w:color w:val="auto"/>
          <w:szCs w:val="21"/>
          <w:highlight w:val="none"/>
        </w:rPr>
        <w:fldChar w:fldCharType="end"/>
      </w:r>
    </w:p>
    <w:p w14:paraId="4ED070B8">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_Toc31963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十、中标通知</w:t>
      </w:r>
      <w:r>
        <w:tab/>
      </w:r>
      <w:r>
        <w:fldChar w:fldCharType="begin"/>
      </w:r>
      <w:r>
        <w:instrText xml:space="preserve"> PAGEREF _Toc31963 \h </w:instrText>
      </w:r>
      <w:r>
        <w:fldChar w:fldCharType="separate"/>
      </w:r>
      <w:r>
        <w:t>22</w:t>
      </w:r>
      <w:r>
        <w:fldChar w:fldCharType="end"/>
      </w:r>
      <w:r>
        <w:rPr>
          <w:rFonts w:ascii="Times New Roman" w:hAnsi="Times New Roman" w:eastAsiaTheme="minorEastAsia"/>
          <w:bCs/>
          <w:i w:val="0"/>
          <w:iCs w:val="0"/>
          <w:color w:val="auto"/>
          <w:szCs w:val="21"/>
          <w:highlight w:val="none"/>
        </w:rPr>
        <w:fldChar w:fldCharType="end"/>
      </w:r>
    </w:p>
    <w:p w14:paraId="71518443">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_Toc5478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十一、签订合同</w:t>
      </w:r>
      <w:r>
        <w:tab/>
      </w:r>
      <w:r>
        <w:fldChar w:fldCharType="begin"/>
      </w:r>
      <w:r>
        <w:instrText xml:space="preserve"> PAGEREF _Toc5478 \h </w:instrText>
      </w:r>
      <w:r>
        <w:fldChar w:fldCharType="separate"/>
      </w:r>
      <w:r>
        <w:t>23</w:t>
      </w:r>
      <w:r>
        <w:fldChar w:fldCharType="end"/>
      </w:r>
      <w:r>
        <w:rPr>
          <w:rFonts w:ascii="Times New Roman" w:hAnsi="Times New Roman" w:eastAsiaTheme="minorEastAsia"/>
          <w:bCs/>
          <w:i w:val="0"/>
          <w:iCs w:val="0"/>
          <w:color w:val="auto"/>
          <w:szCs w:val="21"/>
          <w:highlight w:val="none"/>
        </w:rPr>
        <w:fldChar w:fldCharType="end"/>
      </w:r>
    </w:p>
    <w:p w14:paraId="32CB8697">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_Toc28192 </w:instrText>
      </w:r>
      <w:r>
        <w:rPr>
          <w:rFonts w:ascii="Times New Roman" w:hAnsi="Times New Roman" w:eastAsiaTheme="minorEastAsia"/>
          <w:bCs/>
          <w:i w:val="0"/>
          <w:iCs w:val="0"/>
          <w:szCs w:val="21"/>
          <w:highlight w:val="none"/>
        </w:rPr>
        <w:fldChar w:fldCharType="separate"/>
      </w:r>
      <w:r>
        <w:rPr>
          <w:rFonts w:eastAsia="仿宋"/>
          <w:bCs/>
          <w:kern w:val="0"/>
          <w:highlight w:val="none"/>
        </w:rPr>
        <w:t>十二、询问、质疑和投诉</w:t>
      </w:r>
      <w:r>
        <w:tab/>
      </w:r>
      <w:r>
        <w:fldChar w:fldCharType="begin"/>
      </w:r>
      <w:r>
        <w:instrText xml:space="preserve"> PAGEREF _Toc28192 \h </w:instrText>
      </w:r>
      <w:r>
        <w:fldChar w:fldCharType="separate"/>
      </w:r>
      <w:r>
        <w:t>23</w:t>
      </w:r>
      <w:r>
        <w:fldChar w:fldCharType="end"/>
      </w:r>
      <w:r>
        <w:rPr>
          <w:rFonts w:ascii="Times New Roman" w:hAnsi="Times New Roman" w:eastAsiaTheme="minorEastAsia"/>
          <w:bCs/>
          <w:i w:val="0"/>
          <w:iCs w:val="0"/>
          <w:color w:val="auto"/>
          <w:szCs w:val="21"/>
          <w:highlight w:val="none"/>
        </w:rPr>
        <w:fldChar w:fldCharType="end"/>
      </w:r>
    </w:p>
    <w:p w14:paraId="74754172">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_Toc23127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十三、其他事项</w:t>
      </w:r>
      <w:r>
        <w:tab/>
      </w:r>
      <w:r>
        <w:fldChar w:fldCharType="begin"/>
      </w:r>
      <w:r>
        <w:instrText xml:space="preserve"> PAGEREF _Toc23127 \h </w:instrText>
      </w:r>
      <w:r>
        <w:fldChar w:fldCharType="separate"/>
      </w:r>
      <w:r>
        <w:t>24</w:t>
      </w:r>
      <w:r>
        <w:fldChar w:fldCharType="end"/>
      </w:r>
      <w:r>
        <w:rPr>
          <w:rFonts w:ascii="Times New Roman" w:hAnsi="Times New Roman" w:eastAsiaTheme="minorEastAsia"/>
          <w:bCs/>
          <w:i w:val="0"/>
          <w:iCs w:val="0"/>
          <w:color w:val="auto"/>
          <w:szCs w:val="21"/>
          <w:highlight w:val="none"/>
        </w:rPr>
        <w:fldChar w:fldCharType="end"/>
      </w:r>
    </w:p>
    <w:p w14:paraId="466B7D2B">
      <w:pPr>
        <w:pStyle w:val="27"/>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_Toc23086 </w:instrText>
      </w:r>
      <w:r>
        <w:rPr>
          <w:rFonts w:ascii="Times New Roman" w:hAnsi="Times New Roman" w:eastAsiaTheme="minorEastAsia"/>
          <w:bCs/>
          <w:i w:val="0"/>
          <w:iCs w:val="0"/>
          <w:szCs w:val="21"/>
          <w:highlight w:val="none"/>
        </w:rPr>
        <w:fldChar w:fldCharType="separate"/>
      </w:r>
      <w:r>
        <w:rPr>
          <w:rFonts w:ascii="Times New Roman" w:eastAsia="仿宋"/>
          <w:bCs/>
          <w:kern w:val="44"/>
          <w:szCs w:val="44"/>
          <w:highlight w:val="none"/>
        </w:rPr>
        <w:t>第三章 合同文本</w:t>
      </w:r>
      <w:r>
        <w:tab/>
      </w:r>
      <w:r>
        <w:fldChar w:fldCharType="begin"/>
      </w:r>
      <w:r>
        <w:instrText xml:space="preserve"> PAGEREF _Toc23086 \h </w:instrText>
      </w:r>
      <w:r>
        <w:fldChar w:fldCharType="separate"/>
      </w:r>
      <w:r>
        <w:t>26</w:t>
      </w:r>
      <w:r>
        <w:fldChar w:fldCharType="end"/>
      </w:r>
      <w:r>
        <w:rPr>
          <w:rFonts w:ascii="Times New Roman" w:hAnsi="Times New Roman" w:eastAsiaTheme="minorEastAsia"/>
          <w:bCs/>
          <w:i w:val="0"/>
          <w:iCs w:val="0"/>
          <w:color w:val="auto"/>
          <w:szCs w:val="21"/>
          <w:highlight w:val="none"/>
        </w:rPr>
        <w:fldChar w:fldCharType="end"/>
      </w:r>
    </w:p>
    <w:p w14:paraId="36A579B2">
      <w:pPr>
        <w:pStyle w:val="27"/>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_Toc22050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第四章 投标文件格式</w:t>
      </w:r>
      <w:r>
        <w:tab/>
      </w:r>
      <w:r>
        <w:fldChar w:fldCharType="begin"/>
      </w:r>
      <w:r>
        <w:instrText xml:space="preserve"> PAGEREF _Toc22050 \h </w:instrText>
      </w:r>
      <w:r>
        <w:fldChar w:fldCharType="separate"/>
      </w:r>
      <w:r>
        <w:t>40</w:t>
      </w:r>
      <w:r>
        <w:fldChar w:fldCharType="end"/>
      </w:r>
      <w:r>
        <w:rPr>
          <w:rFonts w:ascii="Times New Roman" w:hAnsi="Times New Roman" w:eastAsiaTheme="minorEastAsia"/>
          <w:bCs/>
          <w:i w:val="0"/>
          <w:iCs w:val="0"/>
          <w:color w:val="auto"/>
          <w:szCs w:val="21"/>
          <w:highlight w:val="none"/>
        </w:rPr>
        <w:fldChar w:fldCharType="end"/>
      </w:r>
    </w:p>
    <w:p w14:paraId="0F9F132C">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_Toc21775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一、投标书</w:t>
      </w:r>
      <w:r>
        <w:tab/>
      </w:r>
      <w:r>
        <w:fldChar w:fldCharType="begin"/>
      </w:r>
      <w:r>
        <w:instrText xml:space="preserve"> PAGEREF _Toc21775 \h </w:instrText>
      </w:r>
      <w:r>
        <w:fldChar w:fldCharType="separate"/>
      </w:r>
      <w:r>
        <w:t>40</w:t>
      </w:r>
      <w:r>
        <w:fldChar w:fldCharType="end"/>
      </w:r>
      <w:r>
        <w:rPr>
          <w:rFonts w:ascii="Times New Roman" w:hAnsi="Times New Roman" w:eastAsiaTheme="minorEastAsia"/>
          <w:bCs/>
          <w:i w:val="0"/>
          <w:iCs w:val="0"/>
          <w:color w:val="auto"/>
          <w:szCs w:val="21"/>
          <w:highlight w:val="none"/>
        </w:rPr>
        <w:fldChar w:fldCharType="end"/>
      </w:r>
    </w:p>
    <w:p w14:paraId="68CE99D2">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_Toc4187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二、开标一览表</w:t>
      </w:r>
      <w:r>
        <w:tab/>
      </w:r>
      <w:r>
        <w:fldChar w:fldCharType="begin"/>
      </w:r>
      <w:r>
        <w:instrText xml:space="preserve"> PAGEREF _Toc4187 \h </w:instrText>
      </w:r>
      <w:r>
        <w:fldChar w:fldCharType="separate"/>
      </w:r>
      <w:r>
        <w:t>41</w:t>
      </w:r>
      <w:r>
        <w:fldChar w:fldCharType="end"/>
      </w:r>
      <w:r>
        <w:rPr>
          <w:rFonts w:ascii="Times New Roman" w:hAnsi="Times New Roman" w:eastAsiaTheme="minorEastAsia"/>
          <w:bCs/>
          <w:i w:val="0"/>
          <w:iCs w:val="0"/>
          <w:color w:val="auto"/>
          <w:szCs w:val="21"/>
          <w:highlight w:val="none"/>
        </w:rPr>
        <w:fldChar w:fldCharType="end"/>
      </w:r>
    </w:p>
    <w:p w14:paraId="6E2EDC2B">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_Toc17643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三、开标一览表明细</w:t>
      </w:r>
      <w:r>
        <w:tab/>
      </w:r>
      <w:r>
        <w:fldChar w:fldCharType="begin"/>
      </w:r>
      <w:r>
        <w:instrText xml:space="preserve"> PAGEREF _Toc17643 \h </w:instrText>
      </w:r>
      <w:r>
        <w:fldChar w:fldCharType="separate"/>
      </w:r>
      <w:r>
        <w:t>42</w:t>
      </w:r>
      <w:r>
        <w:fldChar w:fldCharType="end"/>
      </w:r>
      <w:r>
        <w:rPr>
          <w:rFonts w:ascii="Times New Roman" w:hAnsi="Times New Roman" w:eastAsiaTheme="minorEastAsia"/>
          <w:bCs/>
          <w:i w:val="0"/>
          <w:iCs w:val="0"/>
          <w:color w:val="auto"/>
          <w:szCs w:val="21"/>
          <w:highlight w:val="none"/>
        </w:rPr>
        <w:fldChar w:fldCharType="end"/>
      </w:r>
    </w:p>
    <w:p w14:paraId="6BABF4C2">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_Toc1999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四、技术条款响应表</w:t>
      </w:r>
      <w:r>
        <w:tab/>
      </w:r>
      <w:r>
        <w:fldChar w:fldCharType="begin"/>
      </w:r>
      <w:r>
        <w:instrText xml:space="preserve"> PAGEREF _Toc1999 \h </w:instrText>
      </w:r>
      <w:r>
        <w:fldChar w:fldCharType="separate"/>
      </w:r>
      <w:r>
        <w:t>43</w:t>
      </w:r>
      <w:r>
        <w:fldChar w:fldCharType="end"/>
      </w:r>
      <w:r>
        <w:rPr>
          <w:rFonts w:ascii="Times New Roman" w:hAnsi="Times New Roman" w:eastAsiaTheme="minorEastAsia"/>
          <w:bCs/>
          <w:i w:val="0"/>
          <w:iCs w:val="0"/>
          <w:color w:val="auto"/>
          <w:szCs w:val="21"/>
          <w:highlight w:val="none"/>
        </w:rPr>
        <w:fldChar w:fldCharType="end"/>
      </w:r>
    </w:p>
    <w:p w14:paraId="03CD0E68">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_Toc8600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五、商务条款响应表</w:t>
      </w:r>
      <w:r>
        <w:tab/>
      </w:r>
      <w:r>
        <w:fldChar w:fldCharType="begin"/>
      </w:r>
      <w:r>
        <w:instrText xml:space="preserve"> PAGEREF _Toc8600 \h </w:instrText>
      </w:r>
      <w:r>
        <w:fldChar w:fldCharType="separate"/>
      </w:r>
      <w:r>
        <w:t>44</w:t>
      </w:r>
      <w:r>
        <w:fldChar w:fldCharType="end"/>
      </w:r>
      <w:r>
        <w:rPr>
          <w:rFonts w:ascii="Times New Roman" w:hAnsi="Times New Roman" w:eastAsiaTheme="minorEastAsia"/>
          <w:bCs/>
          <w:i w:val="0"/>
          <w:iCs w:val="0"/>
          <w:color w:val="auto"/>
          <w:szCs w:val="21"/>
          <w:highlight w:val="none"/>
        </w:rPr>
        <w:fldChar w:fldCharType="end"/>
      </w:r>
    </w:p>
    <w:p w14:paraId="2C027E48">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_Toc24652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六、关于资格的声明函</w:t>
      </w:r>
      <w:r>
        <w:tab/>
      </w:r>
      <w:r>
        <w:fldChar w:fldCharType="begin"/>
      </w:r>
      <w:r>
        <w:instrText xml:space="preserve"> PAGEREF _Toc24652 \h </w:instrText>
      </w:r>
      <w:r>
        <w:fldChar w:fldCharType="separate"/>
      </w:r>
      <w:r>
        <w:t>45</w:t>
      </w:r>
      <w:r>
        <w:fldChar w:fldCharType="end"/>
      </w:r>
      <w:r>
        <w:rPr>
          <w:rFonts w:ascii="Times New Roman" w:hAnsi="Times New Roman" w:eastAsiaTheme="minorEastAsia"/>
          <w:bCs/>
          <w:i w:val="0"/>
          <w:iCs w:val="0"/>
          <w:color w:val="auto"/>
          <w:szCs w:val="21"/>
          <w:highlight w:val="none"/>
        </w:rPr>
        <w:fldChar w:fldCharType="end"/>
      </w:r>
    </w:p>
    <w:p w14:paraId="33DCAF50">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_Toc9654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七、法定代表人授权书</w:t>
      </w:r>
      <w:r>
        <w:tab/>
      </w:r>
      <w:r>
        <w:fldChar w:fldCharType="begin"/>
      </w:r>
      <w:r>
        <w:instrText xml:space="preserve"> PAGEREF _Toc9654 \h </w:instrText>
      </w:r>
      <w:r>
        <w:fldChar w:fldCharType="separate"/>
      </w:r>
      <w:r>
        <w:t>46</w:t>
      </w:r>
      <w:r>
        <w:fldChar w:fldCharType="end"/>
      </w:r>
      <w:r>
        <w:rPr>
          <w:rFonts w:ascii="Times New Roman" w:hAnsi="Times New Roman" w:eastAsiaTheme="minorEastAsia"/>
          <w:bCs/>
          <w:i w:val="0"/>
          <w:iCs w:val="0"/>
          <w:color w:val="auto"/>
          <w:szCs w:val="21"/>
          <w:highlight w:val="none"/>
        </w:rPr>
        <w:fldChar w:fldCharType="end"/>
      </w:r>
    </w:p>
    <w:p w14:paraId="4815FA57">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_Toc8148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八、资格证明文件</w:t>
      </w:r>
      <w:r>
        <w:tab/>
      </w:r>
      <w:r>
        <w:fldChar w:fldCharType="begin"/>
      </w:r>
      <w:r>
        <w:instrText xml:space="preserve"> PAGEREF _Toc8148 \h </w:instrText>
      </w:r>
      <w:r>
        <w:fldChar w:fldCharType="separate"/>
      </w:r>
      <w:r>
        <w:t>47</w:t>
      </w:r>
      <w:r>
        <w:fldChar w:fldCharType="end"/>
      </w:r>
      <w:r>
        <w:rPr>
          <w:rFonts w:ascii="Times New Roman" w:hAnsi="Times New Roman" w:eastAsiaTheme="minorEastAsia"/>
          <w:bCs/>
          <w:i w:val="0"/>
          <w:iCs w:val="0"/>
          <w:color w:val="auto"/>
          <w:szCs w:val="21"/>
          <w:highlight w:val="none"/>
        </w:rPr>
        <w:fldChar w:fldCharType="end"/>
      </w:r>
    </w:p>
    <w:p w14:paraId="6C1EB717">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_Toc9626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九、提供投标保证金的证明材料</w:t>
      </w:r>
      <w:r>
        <w:tab/>
      </w:r>
      <w:r>
        <w:fldChar w:fldCharType="begin"/>
      </w:r>
      <w:r>
        <w:instrText xml:space="preserve"> PAGEREF _Toc9626 \h </w:instrText>
      </w:r>
      <w:r>
        <w:fldChar w:fldCharType="separate"/>
      </w:r>
      <w:r>
        <w:t>49</w:t>
      </w:r>
      <w:r>
        <w:fldChar w:fldCharType="end"/>
      </w:r>
      <w:r>
        <w:rPr>
          <w:rFonts w:ascii="Times New Roman" w:hAnsi="Times New Roman" w:eastAsiaTheme="minorEastAsia"/>
          <w:bCs/>
          <w:i w:val="0"/>
          <w:iCs w:val="0"/>
          <w:color w:val="auto"/>
          <w:szCs w:val="21"/>
          <w:highlight w:val="none"/>
        </w:rPr>
        <w:fldChar w:fldCharType="end"/>
      </w:r>
    </w:p>
    <w:p w14:paraId="4B2ED906">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_Toc32346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十、投标货物技术文件及其他材料</w:t>
      </w:r>
      <w:r>
        <w:tab/>
      </w:r>
      <w:r>
        <w:fldChar w:fldCharType="begin"/>
      </w:r>
      <w:r>
        <w:instrText xml:space="preserve"> PAGEREF _Toc32346 \h </w:instrText>
      </w:r>
      <w:r>
        <w:fldChar w:fldCharType="separate"/>
      </w:r>
      <w:r>
        <w:t>49</w:t>
      </w:r>
      <w:r>
        <w:fldChar w:fldCharType="end"/>
      </w:r>
      <w:r>
        <w:rPr>
          <w:rFonts w:ascii="Times New Roman" w:hAnsi="Times New Roman" w:eastAsiaTheme="minorEastAsia"/>
          <w:bCs/>
          <w:i w:val="0"/>
          <w:iCs w:val="0"/>
          <w:color w:val="auto"/>
          <w:szCs w:val="21"/>
          <w:highlight w:val="none"/>
        </w:rPr>
        <w:fldChar w:fldCharType="end"/>
      </w:r>
    </w:p>
    <w:p w14:paraId="1F436A0C">
      <w:pPr>
        <w:pStyle w:val="27"/>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_Toc8849 </w:instrText>
      </w:r>
      <w:r>
        <w:rPr>
          <w:rFonts w:ascii="Times New Roman" w:hAnsi="Times New Roman" w:eastAsiaTheme="minorEastAsia"/>
          <w:bCs/>
          <w:i w:val="0"/>
          <w:iCs w:val="0"/>
          <w:szCs w:val="21"/>
          <w:highlight w:val="none"/>
        </w:rPr>
        <w:fldChar w:fldCharType="separate"/>
      </w:r>
      <w:r>
        <w:rPr>
          <w:rFonts w:hint="eastAsia" w:ascii="Times New Roman" w:eastAsia="仿宋"/>
          <w:highlight w:val="none"/>
        </w:rPr>
        <w:t>第五章　货物需求表及采购需求</w:t>
      </w:r>
      <w:r>
        <w:tab/>
      </w:r>
      <w:r>
        <w:fldChar w:fldCharType="begin"/>
      </w:r>
      <w:r>
        <w:instrText xml:space="preserve"> PAGEREF _Toc8849 \h </w:instrText>
      </w:r>
      <w:r>
        <w:fldChar w:fldCharType="separate"/>
      </w:r>
      <w:r>
        <w:t>57</w:t>
      </w:r>
      <w:r>
        <w:fldChar w:fldCharType="end"/>
      </w:r>
      <w:r>
        <w:rPr>
          <w:rFonts w:ascii="Times New Roman" w:hAnsi="Times New Roman" w:eastAsiaTheme="minorEastAsia"/>
          <w:bCs/>
          <w:i w:val="0"/>
          <w:iCs w:val="0"/>
          <w:color w:val="auto"/>
          <w:szCs w:val="21"/>
          <w:highlight w:val="none"/>
        </w:rPr>
        <w:fldChar w:fldCharType="end"/>
      </w:r>
    </w:p>
    <w:p w14:paraId="2389A953">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_Toc9337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一、货物需求表</w:t>
      </w:r>
      <w:r>
        <w:tab/>
      </w:r>
      <w:r>
        <w:fldChar w:fldCharType="begin"/>
      </w:r>
      <w:r>
        <w:instrText xml:space="preserve"> PAGEREF _Toc9337 \h </w:instrText>
      </w:r>
      <w:r>
        <w:fldChar w:fldCharType="separate"/>
      </w:r>
      <w:r>
        <w:t>57</w:t>
      </w:r>
      <w:r>
        <w:fldChar w:fldCharType="end"/>
      </w:r>
      <w:r>
        <w:rPr>
          <w:rFonts w:ascii="Times New Roman" w:hAnsi="Times New Roman" w:eastAsiaTheme="minorEastAsia"/>
          <w:bCs/>
          <w:i w:val="0"/>
          <w:iCs w:val="0"/>
          <w:color w:val="auto"/>
          <w:szCs w:val="21"/>
          <w:highlight w:val="none"/>
        </w:rPr>
        <w:fldChar w:fldCharType="end"/>
      </w:r>
    </w:p>
    <w:p w14:paraId="09233C75">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_Toc9543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二、采购需求</w:t>
      </w:r>
      <w:r>
        <w:tab/>
      </w:r>
      <w:r>
        <w:fldChar w:fldCharType="begin"/>
      </w:r>
      <w:r>
        <w:instrText xml:space="preserve"> PAGEREF _Toc9543 \h </w:instrText>
      </w:r>
      <w:r>
        <w:fldChar w:fldCharType="separate"/>
      </w:r>
      <w:r>
        <w:t>58</w:t>
      </w:r>
      <w:r>
        <w:fldChar w:fldCharType="end"/>
      </w:r>
      <w:r>
        <w:rPr>
          <w:rFonts w:ascii="Times New Roman" w:hAnsi="Times New Roman" w:eastAsiaTheme="minorEastAsia"/>
          <w:bCs/>
          <w:i w:val="0"/>
          <w:iCs w:val="0"/>
          <w:color w:val="auto"/>
          <w:szCs w:val="21"/>
          <w:highlight w:val="none"/>
        </w:rPr>
        <w:fldChar w:fldCharType="end"/>
      </w:r>
    </w:p>
    <w:p w14:paraId="4E3F2C42">
      <w:pPr>
        <w:pStyle w:val="33"/>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_Toc22722 </w:instrText>
      </w:r>
      <w:r>
        <w:rPr>
          <w:rFonts w:ascii="Times New Roman" w:hAnsi="Times New Roman" w:eastAsiaTheme="minorEastAsia"/>
          <w:bCs/>
          <w:i w:val="0"/>
          <w:iCs w:val="0"/>
          <w:szCs w:val="21"/>
          <w:highlight w:val="none"/>
        </w:rPr>
        <w:fldChar w:fldCharType="separate"/>
      </w:r>
      <w:r>
        <w:rPr>
          <w:rFonts w:hint="eastAsia" w:ascii="Times New Roman" w:hAnsi="Times New Roman" w:eastAsia="仿宋"/>
          <w:highlight w:val="none"/>
          <w:lang w:val="en-US" w:eastAsia="zh-CN"/>
        </w:rPr>
        <w:t>三</w:t>
      </w:r>
      <w:r>
        <w:rPr>
          <w:rFonts w:ascii="Times New Roman" w:hAnsi="Times New Roman" w:eastAsia="仿宋"/>
          <w:highlight w:val="none"/>
        </w:rPr>
        <w:t>、</w:t>
      </w:r>
      <w:r>
        <w:rPr>
          <w:rFonts w:hint="eastAsia" w:ascii="Times New Roman" w:hAnsi="Times New Roman" w:eastAsia="仿宋"/>
          <w:highlight w:val="none"/>
          <w:lang w:val="en-US" w:eastAsia="zh-CN"/>
        </w:rPr>
        <w:t>商务</w:t>
      </w:r>
      <w:r>
        <w:rPr>
          <w:rFonts w:ascii="Times New Roman" w:hAnsi="Times New Roman" w:eastAsia="仿宋"/>
          <w:highlight w:val="none"/>
        </w:rPr>
        <w:t>需求</w:t>
      </w:r>
      <w:r>
        <w:tab/>
      </w:r>
      <w:r>
        <w:fldChar w:fldCharType="begin"/>
      </w:r>
      <w:r>
        <w:instrText xml:space="preserve"> PAGEREF _Toc22722 \h </w:instrText>
      </w:r>
      <w:r>
        <w:fldChar w:fldCharType="separate"/>
      </w:r>
      <w:r>
        <w:t>72</w:t>
      </w:r>
      <w:r>
        <w:fldChar w:fldCharType="end"/>
      </w:r>
      <w:r>
        <w:rPr>
          <w:rFonts w:ascii="Times New Roman" w:hAnsi="Times New Roman" w:eastAsiaTheme="minorEastAsia"/>
          <w:bCs/>
          <w:i w:val="0"/>
          <w:iCs w:val="0"/>
          <w:color w:val="auto"/>
          <w:szCs w:val="21"/>
          <w:highlight w:val="none"/>
        </w:rPr>
        <w:fldChar w:fldCharType="end"/>
      </w:r>
    </w:p>
    <w:p w14:paraId="65CF2996">
      <w:pPr>
        <w:pStyle w:val="27"/>
        <w:tabs>
          <w:tab w:val="right" w:leader="middle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_Toc81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第六章  评标标准</w:t>
      </w:r>
      <w:r>
        <w:tab/>
      </w:r>
      <w:r>
        <w:fldChar w:fldCharType="begin"/>
      </w:r>
      <w:r>
        <w:instrText xml:space="preserve"> PAGEREF _Toc81 \h </w:instrText>
      </w:r>
      <w:r>
        <w:fldChar w:fldCharType="separate"/>
      </w:r>
      <w:r>
        <w:t>78</w:t>
      </w:r>
      <w:r>
        <w:fldChar w:fldCharType="end"/>
      </w:r>
      <w:r>
        <w:rPr>
          <w:rFonts w:ascii="Times New Roman" w:hAnsi="Times New Roman" w:eastAsiaTheme="minorEastAsia"/>
          <w:bCs/>
          <w:i w:val="0"/>
          <w:iCs w:val="0"/>
          <w:color w:val="auto"/>
          <w:szCs w:val="21"/>
          <w:highlight w:val="none"/>
        </w:rPr>
        <w:fldChar w:fldCharType="end"/>
      </w:r>
    </w:p>
    <w:p w14:paraId="2A528817">
      <w:pPr>
        <w:pStyle w:val="19"/>
        <w:spacing w:line="240" w:lineRule="atLeast"/>
        <w:ind w:left="0"/>
        <w:rPr>
          <w:rStyle w:val="49"/>
          <w:rFonts w:ascii="Times New Roman" w:hAnsi="Times New Roman" w:eastAsiaTheme="minorEastAsia"/>
          <w:b/>
          <w:bCs/>
          <w:color w:val="auto"/>
          <w:szCs w:val="21"/>
          <w:highlight w:val="none"/>
        </w:rPr>
      </w:pPr>
      <w:r>
        <w:rPr>
          <w:rFonts w:ascii="Times New Roman" w:hAnsi="Times New Roman" w:eastAsiaTheme="minorEastAsia"/>
          <w:bCs/>
          <w:i w:val="0"/>
          <w:iCs w:val="0"/>
          <w:color w:val="auto"/>
          <w:szCs w:val="21"/>
          <w:highlight w:val="none"/>
        </w:rPr>
        <w:fldChar w:fldCharType="end"/>
      </w:r>
    </w:p>
    <w:p w14:paraId="27960FD7">
      <w:pPr>
        <w:adjustRightInd w:val="0"/>
        <w:snapToGrid w:val="0"/>
        <w:ind w:firstLine="1897" w:firstLineChars="900"/>
        <w:rPr>
          <w:rFonts w:eastAsia="仿宋"/>
          <w:b/>
          <w:bCs/>
          <w:i/>
          <w:color w:val="auto"/>
          <w:szCs w:val="21"/>
          <w:highlight w:val="none"/>
        </w:rPr>
      </w:pPr>
    </w:p>
    <w:p w14:paraId="3E05AC84">
      <w:pPr>
        <w:adjustRightInd w:val="0"/>
        <w:snapToGrid w:val="0"/>
        <w:spacing w:line="460" w:lineRule="exact"/>
        <w:ind w:left="-2" w:firstLine="538"/>
        <w:jc w:val="center"/>
        <w:rPr>
          <w:rFonts w:eastAsia="仿宋"/>
          <w:bCs/>
          <w:color w:val="auto"/>
          <w:sz w:val="28"/>
          <w:szCs w:val="28"/>
          <w:highlight w:val="none"/>
        </w:rPr>
        <w:sectPr>
          <w:footerReference r:id="rId6" w:type="default"/>
          <w:pgSz w:w="11906" w:h="16838"/>
          <w:pgMar w:top="1247" w:right="1417" w:bottom="1702" w:left="1417" w:header="851" w:footer="992" w:gutter="0"/>
          <w:pgNumType w:fmt="decimal"/>
          <w:cols w:space="720" w:num="1"/>
          <w:docGrid w:linePitch="312" w:charSpace="0"/>
        </w:sectPr>
      </w:pPr>
    </w:p>
    <w:p w14:paraId="0DF98E11">
      <w:pPr>
        <w:pStyle w:val="3"/>
        <w:spacing w:before="240" w:after="240"/>
        <w:jc w:val="center"/>
        <w:rPr>
          <w:rFonts w:ascii="Times New Roman" w:eastAsia="仿宋"/>
          <w:b/>
          <w:color w:val="auto"/>
          <w:sz w:val="40"/>
          <w:highlight w:val="none"/>
        </w:rPr>
      </w:pPr>
      <w:bookmarkStart w:id="0" w:name="_Toc377117004"/>
      <w:bookmarkStart w:id="1" w:name="_Toc10152"/>
      <w:bookmarkStart w:id="2" w:name="_Toc31707"/>
      <w:bookmarkStart w:id="3" w:name="_Toc32096"/>
      <w:bookmarkStart w:id="4" w:name="_Toc21625215"/>
      <w:bookmarkStart w:id="5" w:name="_Toc18651"/>
      <w:bookmarkStart w:id="6" w:name="_Toc21625404"/>
      <w:bookmarkStart w:id="7" w:name="_Toc21625302"/>
      <w:bookmarkStart w:id="8" w:name="_Toc30817"/>
      <w:bookmarkStart w:id="9" w:name="_Toc17171"/>
      <w:bookmarkStart w:id="10" w:name="_Toc281381163"/>
      <w:r>
        <w:rPr>
          <w:rFonts w:ascii="Times New Roman" w:hAnsi="仿宋" w:eastAsia="仿宋"/>
          <w:b/>
          <w:color w:val="auto"/>
          <w:sz w:val="40"/>
          <w:highlight w:val="none"/>
        </w:rPr>
        <w:t>第一章</w:t>
      </w:r>
      <w:r>
        <w:rPr>
          <w:rFonts w:hint="eastAsia" w:ascii="Times New Roman" w:hAnsi="仿宋" w:eastAsia="仿宋"/>
          <w:b/>
          <w:color w:val="auto"/>
          <w:sz w:val="40"/>
          <w:highlight w:val="none"/>
          <w:lang w:val="en-US" w:eastAsia="zh-CN"/>
        </w:rPr>
        <w:t xml:space="preserve"> </w:t>
      </w:r>
      <w:r>
        <w:rPr>
          <w:rFonts w:ascii="Times New Roman" w:hAnsi="仿宋" w:eastAsia="仿宋"/>
          <w:b/>
          <w:color w:val="auto"/>
          <w:sz w:val="40"/>
          <w:highlight w:val="none"/>
        </w:rPr>
        <w:t>投标邀请</w:t>
      </w:r>
      <w:bookmarkEnd w:id="0"/>
      <w:bookmarkEnd w:id="1"/>
      <w:bookmarkEnd w:id="2"/>
      <w:bookmarkEnd w:id="3"/>
      <w:bookmarkEnd w:id="4"/>
      <w:bookmarkEnd w:id="5"/>
      <w:bookmarkEnd w:id="6"/>
      <w:bookmarkEnd w:id="7"/>
      <w:bookmarkEnd w:id="8"/>
      <w:bookmarkEnd w:id="9"/>
    </w:p>
    <w:p w14:paraId="7743379F">
      <w:pPr>
        <w:pBdr>
          <w:top w:val="single" w:color="auto" w:sz="4" w:space="1"/>
          <w:left w:val="single" w:color="auto" w:sz="4" w:space="4"/>
          <w:bottom w:val="single" w:color="auto" w:sz="4" w:space="1"/>
          <w:right w:val="single" w:color="auto" w:sz="4" w:space="4"/>
        </w:pBdr>
        <w:spacing w:line="500" w:lineRule="atLeast"/>
        <w:ind w:firstLine="480" w:firstLineChars="200"/>
        <w:rPr>
          <w:rFonts w:eastAsia="仿宋"/>
          <w:color w:val="auto"/>
          <w:sz w:val="24"/>
          <w:szCs w:val="24"/>
          <w:highlight w:val="none"/>
        </w:rPr>
      </w:pPr>
      <w:r>
        <w:rPr>
          <w:rFonts w:hAnsi="仿宋" w:eastAsia="仿宋"/>
          <w:color w:val="auto"/>
          <w:sz w:val="24"/>
          <w:szCs w:val="24"/>
          <w:highlight w:val="none"/>
        </w:rPr>
        <w:t>项目概况</w:t>
      </w:r>
    </w:p>
    <w:p w14:paraId="1AB40ED6">
      <w:pPr>
        <w:pBdr>
          <w:top w:val="single" w:color="auto" w:sz="4" w:space="1"/>
          <w:left w:val="single" w:color="auto" w:sz="4" w:space="4"/>
          <w:bottom w:val="single" w:color="auto" w:sz="4" w:space="1"/>
          <w:right w:val="single" w:color="auto" w:sz="4" w:space="4"/>
        </w:pBdr>
        <w:spacing w:line="500" w:lineRule="atLeast"/>
        <w:ind w:firstLine="482" w:firstLineChars="200"/>
        <w:rPr>
          <w:rFonts w:eastAsia="仿宋"/>
          <w:color w:val="auto"/>
          <w:sz w:val="24"/>
          <w:szCs w:val="24"/>
          <w:highlight w:val="none"/>
        </w:rPr>
      </w:pPr>
      <w:bookmarkStart w:id="11" w:name="_Toc35393621"/>
      <w:bookmarkStart w:id="12" w:name="_Toc35393790"/>
      <w:bookmarkStart w:id="13" w:name="_Toc28359002"/>
      <w:bookmarkStart w:id="14" w:name="_Toc28359079"/>
      <w:bookmarkStart w:id="15" w:name="_Hlk24379207"/>
      <w:r>
        <w:rPr>
          <w:rFonts w:hint="eastAsia" w:ascii="仿宋" w:hAnsi="仿宋" w:eastAsia="仿宋" w:cs="仿宋"/>
          <w:b/>
          <w:bCs/>
          <w:color w:val="auto"/>
          <w:kern w:val="0"/>
          <w:sz w:val="24"/>
          <w:szCs w:val="24"/>
          <w:highlight w:val="none"/>
          <w:u w:val="single"/>
          <w:shd w:val="clear" w:color="auto" w:fill="FFFFFF"/>
          <w:lang w:val="en-US" w:eastAsia="zh-CN"/>
        </w:rPr>
        <w:t>江西省消防救援总队自然灾害应急能力提升工程装备配备项目（车辆类）</w:t>
      </w:r>
      <w:r>
        <w:rPr>
          <w:rFonts w:hint="eastAsia" w:ascii="仿宋" w:hAnsi="仿宋" w:eastAsia="仿宋"/>
          <w:b/>
          <w:bCs/>
          <w:color w:val="auto"/>
          <w:sz w:val="24"/>
          <w:highlight w:val="none"/>
          <w:lang w:eastAsia="zh-CN"/>
        </w:rPr>
        <w:t>（</w:t>
      </w:r>
      <w:r>
        <w:rPr>
          <w:rFonts w:hint="eastAsia" w:ascii="仿宋" w:hAnsi="仿宋" w:eastAsia="仿宋"/>
          <w:b/>
          <w:bCs/>
          <w:color w:val="auto"/>
          <w:sz w:val="24"/>
          <w:highlight w:val="none"/>
          <w:lang w:val="en-US" w:eastAsia="zh-CN"/>
        </w:rPr>
        <w:t>项目</w:t>
      </w:r>
      <w:r>
        <w:rPr>
          <w:rFonts w:hint="eastAsia" w:ascii="仿宋" w:hAnsi="仿宋" w:eastAsia="仿宋"/>
          <w:b/>
          <w:bCs/>
          <w:color w:val="auto"/>
          <w:sz w:val="24"/>
          <w:highlight w:val="none"/>
        </w:rPr>
        <w:t>编号：</w:t>
      </w:r>
      <w:r>
        <w:rPr>
          <w:rFonts w:hint="eastAsia" w:ascii="仿宋" w:hAnsi="仿宋" w:eastAsia="仿宋"/>
          <w:b/>
          <w:bCs/>
          <w:color w:val="auto"/>
          <w:sz w:val="24"/>
          <w:highlight w:val="none"/>
          <w:lang w:eastAsia="zh-CN"/>
        </w:rPr>
        <w:t>HSH2024ZG015）</w:t>
      </w:r>
      <w:r>
        <w:rPr>
          <w:rFonts w:hint="eastAsia" w:ascii="仿宋" w:hAnsi="仿宋" w:eastAsia="仿宋" w:cs="仿宋"/>
          <w:color w:val="auto"/>
          <w:kern w:val="0"/>
          <w:sz w:val="24"/>
          <w:szCs w:val="24"/>
          <w:highlight w:val="none"/>
          <w:shd w:val="clear" w:color="auto" w:fill="FFFFFF"/>
        </w:rPr>
        <w:t>的</w:t>
      </w:r>
      <w:r>
        <w:rPr>
          <w:rFonts w:hint="eastAsia" w:ascii="仿宋" w:hAnsi="仿宋" w:eastAsia="仿宋" w:cs="仿宋"/>
          <w:color w:val="auto"/>
          <w:kern w:val="0"/>
          <w:sz w:val="24"/>
          <w:szCs w:val="24"/>
          <w:highlight w:val="none"/>
        </w:rPr>
        <w:t>潜在投标人应在</w:t>
      </w:r>
      <w:r>
        <w:rPr>
          <w:rFonts w:hint="eastAsia" w:ascii="仿宋" w:hAnsi="仿宋" w:eastAsia="仿宋"/>
          <w:color w:val="auto"/>
          <w:sz w:val="24"/>
          <w:highlight w:val="none"/>
          <w:lang w:val="en-US" w:eastAsia="zh-CN"/>
        </w:rPr>
        <w:t>江西合胜合招标咨询有限公司现场或线上</w:t>
      </w:r>
      <w:r>
        <w:rPr>
          <w:rFonts w:hint="eastAsia" w:ascii="仿宋" w:hAnsi="仿宋" w:eastAsia="仿宋" w:cs="仿宋"/>
          <w:color w:val="auto"/>
          <w:kern w:val="0"/>
          <w:sz w:val="24"/>
          <w:szCs w:val="24"/>
          <w:highlight w:val="none"/>
        </w:rPr>
        <w:t>获取招标文件。</w:t>
      </w:r>
    </w:p>
    <w:p w14:paraId="58381835">
      <w:pPr>
        <w:pStyle w:val="2"/>
        <w:spacing w:before="0" w:after="0" w:line="500" w:lineRule="atLeast"/>
        <w:rPr>
          <w:rFonts w:ascii="Times New Roman" w:hAnsi="Times New Roman" w:eastAsia="仿宋"/>
          <w:b/>
          <w:bCs w:val="0"/>
          <w:color w:val="auto"/>
          <w:sz w:val="24"/>
          <w:szCs w:val="24"/>
          <w:highlight w:val="none"/>
        </w:rPr>
      </w:pPr>
      <w:bookmarkStart w:id="16" w:name="_Toc29734"/>
      <w:bookmarkStart w:id="17" w:name="_Toc23944"/>
      <w:bookmarkStart w:id="18" w:name="_Toc5342"/>
      <w:bookmarkStart w:id="19" w:name="_Toc16042"/>
      <w:bookmarkStart w:id="20" w:name="_Toc17777"/>
      <w:bookmarkStart w:id="21" w:name="_Toc5291"/>
      <w:r>
        <w:rPr>
          <w:rFonts w:ascii="Times New Roman" w:hAnsi="仿宋" w:eastAsia="仿宋"/>
          <w:b/>
          <w:bCs w:val="0"/>
          <w:color w:val="auto"/>
          <w:sz w:val="24"/>
          <w:szCs w:val="24"/>
          <w:highlight w:val="none"/>
        </w:rPr>
        <w:t>一、项目基本情况</w:t>
      </w:r>
      <w:bookmarkEnd w:id="11"/>
      <w:bookmarkEnd w:id="12"/>
      <w:bookmarkEnd w:id="13"/>
      <w:bookmarkEnd w:id="14"/>
      <w:bookmarkEnd w:id="16"/>
      <w:bookmarkEnd w:id="17"/>
      <w:bookmarkEnd w:id="18"/>
      <w:bookmarkEnd w:id="19"/>
      <w:bookmarkEnd w:id="20"/>
      <w:bookmarkEnd w:id="21"/>
    </w:p>
    <w:p w14:paraId="0BC2CD41">
      <w:pPr>
        <w:spacing w:line="500" w:lineRule="atLeast"/>
        <w:ind w:firstLine="482" w:firstLineChars="200"/>
        <w:rPr>
          <w:rFonts w:hint="eastAsia" w:eastAsia="仿宋"/>
          <w:color w:val="auto"/>
          <w:sz w:val="24"/>
          <w:szCs w:val="24"/>
          <w:highlight w:val="none"/>
          <w:lang w:eastAsia="zh-CN"/>
        </w:rPr>
      </w:pPr>
      <w:r>
        <w:rPr>
          <w:rFonts w:hAnsi="仿宋" w:eastAsia="仿宋"/>
          <w:b/>
          <w:bCs/>
          <w:iCs/>
          <w:color w:val="auto"/>
          <w:sz w:val="24"/>
          <w:szCs w:val="24"/>
          <w:highlight w:val="none"/>
        </w:rPr>
        <w:t>项目编号：</w:t>
      </w:r>
      <w:r>
        <w:rPr>
          <w:rFonts w:hint="eastAsia" w:eastAsia="仿宋"/>
          <w:color w:val="auto"/>
          <w:sz w:val="24"/>
          <w:szCs w:val="24"/>
          <w:highlight w:val="none"/>
          <w:lang w:eastAsia="zh-CN"/>
        </w:rPr>
        <w:t>HSH2024ZG015</w:t>
      </w:r>
    </w:p>
    <w:p w14:paraId="68059EA3">
      <w:pPr>
        <w:spacing w:line="500" w:lineRule="atLeast"/>
        <w:ind w:left="479" w:leftChars="228"/>
        <w:rPr>
          <w:rFonts w:hint="eastAsia" w:eastAsia="仿宋"/>
          <w:color w:val="auto"/>
          <w:sz w:val="24"/>
          <w:szCs w:val="24"/>
          <w:highlight w:val="none"/>
          <w:lang w:eastAsia="zh-CN"/>
        </w:rPr>
      </w:pPr>
      <w:r>
        <w:rPr>
          <w:rFonts w:hAnsi="仿宋" w:eastAsia="仿宋"/>
          <w:b/>
          <w:bCs/>
          <w:color w:val="auto"/>
          <w:sz w:val="24"/>
          <w:szCs w:val="24"/>
          <w:highlight w:val="none"/>
        </w:rPr>
        <w:t>项目</w:t>
      </w:r>
      <w:r>
        <w:rPr>
          <w:rFonts w:hAnsi="仿宋" w:eastAsia="仿宋"/>
          <w:b/>
          <w:bCs/>
          <w:iCs/>
          <w:color w:val="auto"/>
          <w:sz w:val="24"/>
          <w:szCs w:val="24"/>
          <w:highlight w:val="none"/>
        </w:rPr>
        <w:t>名</w:t>
      </w:r>
      <w:r>
        <w:rPr>
          <w:rFonts w:hAnsi="仿宋" w:eastAsia="仿宋"/>
          <w:b/>
          <w:bCs/>
          <w:color w:val="auto"/>
          <w:sz w:val="24"/>
          <w:szCs w:val="24"/>
          <w:highlight w:val="none"/>
        </w:rPr>
        <w:t>称：</w:t>
      </w:r>
      <w:r>
        <w:rPr>
          <w:rFonts w:hint="eastAsia" w:hAnsi="仿宋" w:eastAsia="仿宋"/>
          <w:color w:val="auto"/>
          <w:sz w:val="24"/>
          <w:szCs w:val="24"/>
          <w:highlight w:val="none"/>
          <w:lang w:eastAsia="zh-CN"/>
        </w:rPr>
        <w:t>江西省消防救援总队自然灾害应急能力提升工程装备配备项目（车辆类）</w:t>
      </w:r>
    </w:p>
    <w:p w14:paraId="791BDE04">
      <w:pPr>
        <w:spacing w:line="500" w:lineRule="atLeast"/>
        <w:ind w:firstLine="482" w:firstLineChars="200"/>
        <w:rPr>
          <w:rFonts w:eastAsia="仿宋"/>
          <w:iCs/>
          <w:color w:val="auto"/>
          <w:sz w:val="24"/>
          <w:szCs w:val="24"/>
          <w:highlight w:val="none"/>
        </w:rPr>
      </w:pPr>
      <w:r>
        <w:rPr>
          <w:rFonts w:hAnsi="仿宋" w:eastAsia="仿宋"/>
          <w:b/>
          <w:bCs/>
          <w:iCs/>
          <w:color w:val="auto"/>
          <w:sz w:val="24"/>
          <w:szCs w:val="24"/>
          <w:highlight w:val="none"/>
        </w:rPr>
        <w:t>采购方式：</w:t>
      </w:r>
      <w:r>
        <w:rPr>
          <w:rFonts w:hAnsi="仿宋" w:eastAsia="仿宋"/>
          <w:iCs/>
          <w:color w:val="auto"/>
          <w:sz w:val="24"/>
          <w:szCs w:val="24"/>
          <w:highlight w:val="none"/>
        </w:rPr>
        <w:t>公开招标</w:t>
      </w:r>
    </w:p>
    <w:bookmarkEnd w:id="15"/>
    <w:p w14:paraId="53F76B9C">
      <w:pPr>
        <w:spacing w:line="500" w:lineRule="atLeast"/>
        <w:ind w:firstLine="482" w:firstLineChars="200"/>
        <w:rPr>
          <w:rFonts w:hint="default" w:eastAsia="仿宋"/>
          <w:iCs/>
          <w:color w:val="auto"/>
          <w:sz w:val="24"/>
          <w:szCs w:val="24"/>
          <w:highlight w:val="none"/>
          <w:lang w:val="en-US" w:eastAsia="zh-CN"/>
        </w:rPr>
      </w:pPr>
      <w:r>
        <w:rPr>
          <w:rFonts w:hAnsi="仿宋" w:eastAsia="仿宋"/>
          <w:b/>
          <w:bCs/>
          <w:iCs/>
          <w:color w:val="auto"/>
          <w:sz w:val="24"/>
          <w:szCs w:val="24"/>
          <w:highlight w:val="none"/>
        </w:rPr>
        <w:t>预算金额：</w:t>
      </w:r>
      <w:r>
        <w:rPr>
          <w:rFonts w:hint="eastAsia" w:hAnsi="仿宋" w:eastAsia="仿宋"/>
          <w:b/>
          <w:bCs/>
          <w:iCs/>
          <w:color w:val="auto"/>
          <w:sz w:val="24"/>
          <w:szCs w:val="24"/>
          <w:highlight w:val="none"/>
        </w:rPr>
        <w:t>3</w:t>
      </w:r>
      <w:r>
        <w:rPr>
          <w:rFonts w:hint="eastAsia" w:hAnsi="仿宋" w:eastAsia="仿宋"/>
          <w:b/>
          <w:bCs/>
          <w:iCs/>
          <w:color w:val="auto"/>
          <w:sz w:val="24"/>
          <w:szCs w:val="24"/>
          <w:highlight w:val="none"/>
          <w:lang w:val="en-US" w:eastAsia="zh-CN"/>
        </w:rPr>
        <w:t>7</w:t>
      </w:r>
      <w:r>
        <w:rPr>
          <w:rFonts w:hint="eastAsia" w:hAnsi="仿宋" w:eastAsia="仿宋"/>
          <w:b/>
          <w:bCs/>
          <w:iCs/>
          <w:color w:val="auto"/>
          <w:sz w:val="24"/>
          <w:szCs w:val="24"/>
          <w:highlight w:val="none"/>
        </w:rPr>
        <w:t>00000</w:t>
      </w:r>
      <w:r>
        <w:rPr>
          <w:rFonts w:hint="eastAsia" w:hAnsi="仿宋" w:eastAsia="仿宋"/>
          <w:iCs/>
          <w:color w:val="auto"/>
          <w:sz w:val="24"/>
          <w:szCs w:val="24"/>
          <w:highlight w:val="none"/>
          <w:lang w:val="en-US" w:eastAsia="zh-CN"/>
        </w:rPr>
        <w:t>.00</w:t>
      </w:r>
      <w:r>
        <w:rPr>
          <w:rFonts w:hAnsi="仿宋" w:eastAsia="仿宋"/>
          <w:iCs/>
          <w:color w:val="auto"/>
          <w:sz w:val="24"/>
          <w:szCs w:val="24"/>
          <w:highlight w:val="none"/>
        </w:rPr>
        <w:t>元</w:t>
      </w:r>
    </w:p>
    <w:p w14:paraId="40C31C43">
      <w:pPr>
        <w:pStyle w:val="71"/>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22包预算：3</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00000.00元</w:t>
      </w:r>
    </w:p>
    <w:p w14:paraId="78D465D6">
      <w:pPr>
        <w:spacing w:line="500" w:lineRule="atLeast"/>
        <w:ind w:firstLine="480" w:firstLineChars="200"/>
        <w:rPr>
          <w:rFonts w:eastAsia="仿宋"/>
          <w:color w:val="auto"/>
          <w:highlight w:val="none"/>
        </w:rPr>
      </w:pPr>
      <w:r>
        <w:rPr>
          <w:rFonts w:hAnsi="仿宋" w:eastAsia="仿宋"/>
          <w:color w:val="auto"/>
          <w:sz w:val="24"/>
          <w:szCs w:val="24"/>
          <w:highlight w:val="none"/>
        </w:rPr>
        <w:t>采购需求：</w:t>
      </w:r>
    </w:p>
    <w:tbl>
      <w:tblPr>
        <w:tblStyle w:val="44"/>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7"/>
        <w:gridCol w:w="1908"/>
        <w:gridCol w:w="1486"/>
        <w:gridCol w:w="813"/>
        <w:gridCol w:w="747"/>
        <w:gridCol w:w="720"/>
        <w:gridCol w:w="1716"/>
        <w:gridCol w:w="1746"/>
      </w:tblGrid>
      <w:tr w14:paraId="36AE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757" w:type="dxa"/>
            <w:noWrap w:val="0"/>
            <w:tcMar>
              <w:top w:w="0" w:type="dxa"/>
              <w:left w:w="108" w:type="dxa"/>
              <w:bottom w:w="0" w:type="dxa"/>
              <w:right w:w="108" w:type="dxa"/>
            </w:tcMar>
            <w:vAlign w:val="center"/>
          </w:tcPr>
          <w:p w14:paraId="3B39A1FA">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包号</w:t>
            </w:r>
          </w:p>
        </w:tc>
        <w:tc>
          <w:tcPr>
            <w:tcW w:w="1908" w:type="dxa"/>
            <w:noWrap w:val="0"/>
            <w:tcMar>
              <w:top w:w="0" w:type="dxa"/>
              <w:left w:w="108" w:type="dxa"/>
              <w:bottom w:w="0" w:type="dxa"/>
              <w:right w:w="108" w:type="dxa"/>
            </w:tcMar>
            <w:vAlign w:val="center"/>
          </w:tcPr>
          <w:p w14:paraId="695F07A2">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标的名称</w:t>
            </w:r>
          </w:p>
        </w:tc>
        <w:tc>
          <w:tcPr>
            <w:tcW w:w="1486" w:type="dxa"/>
            <w:noWrap w:val="0"/>
            <w:tcMar>
              <w:top w:w="0" w:type="dxa"/>
              <w:left w:w="108" w:type="dxa"/>
              <w:bottom w:w="0" w:type="dxa"/>
              <w:right w:w="108" w:type="dxa"/>
            </w:tcMar>
            <w:vAlign w:val="center"/>
          </w:tcPr>
          <w:p w14:paraId="521483C4">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主要规格</w:t>
            </w:r>
          </w:p>
        </w:tc>
        <w:tc>
          <w:tcPr>
            <w:tcW w:w="813" w:type="dxa"/>
            <w:noWrap w:val="0"/>
            <w:tcMar>
              <w:top w:w="0" w:type="dxa"/>
              <w:left w:w="108" w:type="dxa"/>
              <w:bottom w:w="0" w:type="dxa"/>
              <w:right w:w="108" w:type="dxa"/>
            </w:tcMar>
            <w:vAlign w:val="center"/>
          </w:tcPr>
          <w:p w14:paraId="44E4250F">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单位</w:t>
            </w:r>
          </w:p>
        </w:tc>
        <w:tc>
          <w:tcPr>
            <w:tcW w:w="747" w:type="dxa"/>
            <w:noWrap w:val="0"/>
            <w:tcMar>
              <w:top w:w="0" w:type="dxa"/>
              <w:left w:w="108" w:type="dxa"/>
              <w:bottom w:w="0" w:type="dxa"/>
              <w:right w:w="108" w:type="dxa"/>
            </w:tcMar>
            <w:vAlign w:val="center"/>
          </w:tcPr>
          <w:p w14:paraId="3E6CB872">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数量</w:t>
            </w:r>
          </w:p>
        </w:tc>
        <w:tc>
          <w:tcPr>
            <w:tcW w:w="720" w:type="dxa"/>
            <w:noWrap w:val="0"/>
            <w:tcMar>
              <w:top w:w="0" w:type="dxa"/>
              <w:left w:w="108" w:type="dxa"/>
              <w:bottom w:w="0" w:type="dxa"/>
              <w:right w:w="108" w:type="dxa"/>
            </w:tcMar>
            <w:vAlign w:val="center"/>
          </w:tcPr>
          <w:p w14:paraId="14B32769">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hint="eastAsia" w:ascii="仿宋" w:hAnsi="仿宋" w:eastAsia="仿宋"/>
                <w:b/>
                <w:bCs/>
                <w:color w:val="auto"/>
                <w:sz w:val="24"/>
                <w:szCs w:val="24"/>
                <w:highlight w:val="none"/>
              </w:rPr>
              <w:t>产地</w:t>
            </w:r>
          </w:p>
        </w:tc>
        <w:tc>
          <w:tcPr>
            <w:tcW w:w="1716" w:type="dxa"/>
            <w:noWrap w:val="0"/>
            <w:tcMar>
              <w:top w:w="0" w:type="dxa"/>
              <w:left w:w="108" w:type="dxa"/>
              <w:bottom w:w="0" w:type="dxa"/>
              <w:right w:w="108" w:type="dxa"/>
            </w:tcMar>
            <w:vAlign w:val="center"/>
          </w:tcPr>
          <w:p w14:paraId="6F40BE5A">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w:t>
            </w:r>
            <w:r>
              <w:rPr>
                <w:rFonts w:hint="eastAsia" w:ascii="仿宋" w:hAnsi="仿宋" w:eastAsia="仿宋"/>
                <w:b/>
                <w:bCs/>
                <w:color w:val="auto"/>
                <w:sz w:val="24"/>
                <w:szCs w:val="24"/>
                <w:highlight w:val="none"/>
                <w:lang w:val="en-US" w:eastAsia="zh-CN"/>
              </w:rPr>
              <w:t>单</w:t>
            </w:r>
            <w:r>
              <w:rPr>
                <w:rFonts w:hint="eastAsia" w:ascii="仿宋" w:hAnsi="仿宋" w:eastAsia="仿宋"/>
                <w:b/>
                <w:bCs/>
                <w:color w:val="auto"/>
                <w:sz w:val="24"/>
                <w:szCs w:val="24"/>
                <w:highlight w:val="none"/>
              </w:rPr>
              <w:t>价</w:t>
            </w:r>
          </w:p>
          <w:p w14:paraId="3F9ADD85">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c>
          <w:tcPr>
            <w:tcW w:w="1746" w:type="dxa"/>
            <w:noWrap w:val="0"/>
            <w:tcMar>
              <w:top w:w="0" w:type="dxa"/>
              <w:left w:w="108" w:type="dxa"/>
              <w:bottom w:w="0" w:type="dxa"/>
              <w:right w:w="108" w:type="dxa"/>
            </w:tcMar>
            <w:vAlign w:val="center"/>
          </w:tcPr>
          <w:p w14:paraId="33ED79D7">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预算总价</w:t>
            </w:r>
          </w:p>
          <w:p w14:paraId="08ED949F">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r>
      <w:tr w14:paraId="77E6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14:paraId="46A1F490">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22</w:t>
            </w:r>
          </w:p>
        </w:tc>
        <w:tc>
          <w:tcPr>
            <w:tcW w:w="1908" w:type="dxa"/>
            <w:noWrap w:val="0"/>
            <w:tcMar>
              <w:top w:w="0" w:type="dxa"/>
              <w:left w:w="108" w:type="dxa"/>
              <w:bottom w:w="0" w:type="dxa"/>
              <w:right w:w="108" w:type="dxa"/>
            </w:tcMar>
            <w:vAlign w:val="center"/>
          </w:tcPr>
          <w:p w14:paraId="5E9E473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指挥方舱车</w:t>
            </w:r>
          </w:p>
        </w:tc>
        <w:tc>
          <w:tcPr>
            <w:tcW w:w="1486" w:type="dxa"/>
            <w:noWrap w:val="0"/>
            <w:tcMar>
              <w:top w:w="0" w:type="dxa"/>
              <w:left w:w="108" w:type="dxa"/>
              <w:bottom w:w="0" w:type="dxa"/>
              <w:right w:w="108" w:type="dxa"/>
            </w:tcMar>
            <w:vAlign w:val="center"/>
          </w:tcPr>
          <w:p w14:paraId="4FB2F5C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14:paraId="4566474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14:paraId="532CE4D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0"/>
                <w:sz w:val="24"/>
                <w:szCs w:val="24"/>
                <w:highlight w:val="none"/>
                <w:u w:val="none"/>
                <w:lang w:val="en-US" w:eastAsia="zh-CN" w:bidi="ar"/>
              </w:rPr>
            </w:pPr>
            <w:r>
              <w:rPr>
                <w:rFonts w:hint="eastAsia" w:ascii="Times New Roman" w:hAnsi="Times New Roman"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14:paraId="4C3466C5">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14:paraId="335953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3</w:t>
            </w:r>
            <w:r>
              <w:rPr>
                <w:rFonts w:hint="eastAsia" w:cs="Times New Roman"/>
                <w:i w:val="0"/>
                <w:iCs w:val="0"/>
                <w:color w:val="auto"/>
                <w:kern w:val="0"/>
                <w:sz w:val="24"/>
                <w:szCs w:val="24"/>
                <w:highlight w:val="none"/>
                <w:u w:val="none"/>
                <w:lang w:val="en-US" w:eastAsia="zh-CN" w:bidi="ar"/>
              </w:rPr>
              <w:t>7</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14:paraId="1DE3557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eastAsia" w:ascii="Times New Roman" w:hAnsi="Times New Roman" w:cs="Times New Roman"/>
                <w:i w:val="0"/>
                <w:iCs w:val="0"/>
                <w:color w:val="auto"/>
                <w:kern w:val="0"/>
                <w:sz w:val="24"/>
                <w:szCs w:val="24"/>
                <w:highlight w:val="none"/>
                <w:u w:val="none"/>
                <w:lang w:val="en-US" w:eastAsia="zh-CN" w:bidi="ar"/>
              </w:rPr>
              <w:t>3</w:t>
            </w:r>
            <w:r>
              <w:rPr>
                <w:rFonts w:hint="eastAsia" w:cs="Times New Roman"/>
                <w:i w:val="0"/>
                <w:iCs w:val="0"/>
                <w:color w:val="auto"/>
                <w:kern w:val="0"/>
                <w:sz w:val="24"/>
                <w:szCs w:val="24"/>
                <w:highlight w:val="none"/>
                <w:u w:val="none"/>
                <w:lang w:val="en-US" w:eastAsia="zh-CN" w:bidi="ar"/>
              </w:rPr>
              <w:t>7</w:t>
            </w:r>
            <w:r>
              <w:rPr>
                <w:rFonts w:hint="eastAsia" w:ascii="Times New Roman" w:hAnsi="Times New Roman" w:cs="Times New Roman"/>
                <w:i w:val="0"/>
                <w:iCs w:val="0"/>
                <w:color w:val="auto"/>
                <w:kern w:val="0"/>
                <w:sz w:val="24"/>
                <w:szCs w:val="24"/>
                <w:highlight w:val="none"/>
                <w:u w:val="none"/>
                <w:lang w:val="en-US" w:eastAsia="zh-CN" w:bidi="ar"/>
              </w:rPr>
              <w:t>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bl>
    <w:p w14:paraId="2B14873E">
      <w:pPr>
        <w:keepNext w:val="0"/>
        <w:keepLines w:val="0"/>
        <w:pageBreakBefore w:val="0"/>
        <w:widowControl w:val="0"/>
        <w:kinsoku w:val="0"/>
        <w:wordWrap/>
        <w:overflowPunct/>
        <w:topLinePunct w:val="0"/>
        <w:autoSpaceDE w:val="0"/>
        <w:autoSpaceDN w:val="0"/>
        <w:bidi w:val="0"/>
        <w:adjustRightInd w:val="0"/>
        <w:snapToGrid w:val="0"/>
        <w:spacing w:beforeAutospacing="0" w:line="440" w:lineRule="exact"/>
        <w:ind w:firstLine="480" w:firstLineChars="200"/>
        <w:textAlignment w:val="baseline"/>
        <w:rPr>
          <w:rFonts w:hint="eastAsia" w:ascii="仿宋" w:hAnsi="仿宋" w:eastAsia="仿宋" w:cs="仿宋"/>
          <w:b w:val="0"/>
          <w:bCs/>
          <w:color w:val="auto"/>
          <w:spacing w:val="-5"/>
          <w:sz w:val="24"/>
          <w:szCs w:val="24"/>
          <w:highlight w:val="none"/>
        </w:rPr>
      </w:pPr>
      <w:r>
        <w:rPr>
          <w:rFonts w:hint="eastAsia" w:ascii="仿宋" w:hAnsi="仿宋" w:eastAsia="仿宋" w:cs="仿宋"/>
          <w:b w:val="0"/>
          <w:bCs/>
          <w:color w:val="auto"/>
          <w:sz w:val="24"/>
          <w:highlight w:val="none"/>
        </w:rPr>
        <w:t>注：</w:t>
      </w:r>
      <w:r>
        <w:rPr>
          <w:rFonts w:hint="eastAsia" w:ascii="仿宋" w:hAnsi="仿宋" w:eastAsia="仿宋" w:cs="仿宋"/>
          <w:b w:val="0"/>
          <w:bCs/>
          <w:color w:val="auto"/>
          <w:sz w:val="24"/>
          <w:highlight w:val="none"/>
          <w:lang w:val="en-US" w:eastAsia="zh-CN"/>
        </w:rPr>
        <w:t>以上“产地”类型为</w:t>
      </w:r>
      <w:r>
        <w:rPr>
          <w:rFonts w:hint="eastAsia" w:ascii="仿宋" w:hAnsi="仿宋" w:eastAsia="仿宋" w:cs="仿宋"/>
          <w:b w:val="0"/>
          <w:bCs/>
          <w:color w:val="auto"/>
          <w:sz w:val="24"/>
          <w:highlight w:val="none"/>
        </w:rPr>
        <w:t>国产</w:t>
      </w:r>
      <w:r>
        <w:rPr>
          <w:rFonts w:hint="eastAsia" w:ascii="仿宋" w:hAnsi="仿宋" w:eastAsia="仿宋" w:cs="仿宋"/>
          <w:b w:val="0"/>
          <w:bCs/>
          <w:color w:val="auto"/>
          <w:sz w:val="24"/>
          <w:highlight w:val="none"/>
          <w:lang w:val="en-US" w:eastAsia="zh-CN"/>
        </w:rPr>
        <w:t>产品</w:t>
      </w:r>
      <w:r>
        <w:rPr>
          <w:rFonts w:hint="eastAsia" w:ascii="仿宋" w:hAnsi="仿宋" w:eastAsia="仿宋" w:cs="仿宋"/>
          <w:b w:val="0"/>
          <w:bCs/>
          <w:color w:val="auto"/>
          <w:sz w:val="24"/>
          <w:highlight w:val="none"/>
        </w:rPr>
        <w:t>，不允许提供进口产品参与采购活动。</w:t>
      </w:r>
    </w:p>
    <w:p w14:paraId="5FDA7A16">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合同履行期限：</w:t>
      </w:r>
      <w:r>
        <w:rPr>
          <w:rFonts w:hint="eastAsia" w:eastAsia="仿宋"/>
          <w:b w:val="0"/>
          <w:bCs w:val="0"/>
          <w:color w:val="auto"/>
          <w:sz w:val="24"/>
          <w:szCs w:val="24"/>
          <w:highlight w:val="none"/>
          <w:lang w:val="en-US" w:eastAsia="zh-CN"/>
        </w:rPr>
        <w:t>自合同签订生效之日起 5 个月内必须将所投车辆送到江西省消防救援总队指定地点（以采购人到货签收时间作为交货时间），验收合格后由中标人配送至各消防救援支队或消防救援大队指定地点。</w:t>
      </w:r>
    </w:p>
    <w:p w14:paraId="09756ADA">
      <w:pPr>
        <w:spacing w:line="500" w:lineRule="atLeast"/>
        <w:ind w:firstLine="482" w:firstLineChars="200"/>
        <w:rPr>
          <w:rFonts w:eastAsia="仿宋"/>
          <w:b/>
          <w:bCs/>
          <w:color w:val="auto"/>
          <w:sz w:val="24"/>
          <w:szCs w:val="24"/>
          <w:highlight w:val="none"/>
        </w:rPr>
      </w:pPr>
      <w:r>
        <w:rPr>
          <w:rFonts w:eastAsia="仿宋"/>
          <w:b/>
          <w:bCs/>
          <w:color w:val="auto"/>
          <w:sz w:val="24"/>
          <w:szCs w:val="24"/>
          <w:highlight w:val="none"/>
        </w:rPr>
        <w:t>本项目不接受联合体投标。</w:t>
      </w:r>
    </w:p>
    <w:p w14:paraId="4750A16D">
      <w:pPr>
        <w:pStyle w:val="2"/>
        <w:spacing w:before="0" w:after="0" w:line="500" w:lineRule="atLeast"/>
        <w:rPr>
          <w:rFonts w:ascii="Times New Roman" w:hAnsi="Times New Roman" w:eastAsia="仿宋"/>
          <w:b/>
          <w:bCs w:val="0"/>
          <w:color w:val="auto"/>
          <w:sz w:val="24"/>
          <w:szCs w:val="24"/>
          <w:highlight w:val="none"/>
        </w:rPr>
      </w:pPr>
      <w:bookmarkStart w:id="22" w:name="_Toc35393622"/>
      <w:bookmarkStart w:id="23" w:name="_Toc30839"/>
      <w:bookmarkStart w:id="24" w:name="_Toc22199"/>
      <w:bookmarkStart w:id="25" w:name="_Toc22657"/>
      <w:bookmarkStart w:id="26" w:name="_Toc11142"/>
      <w:bookmarkStart w:id="27" w:name="_Toc28359080"/>
      <w:bookmarkStart w:id="28" w:name="_Toc27012"/>
      <w:bookmarkStart w:id="29" w:name="_Toc28359003"/>
      <w:bookmarkStart w:id="30" w:name="_Toc23321"/>
      <w:bookmarkStart w:id="31" w:name="_Toc35393791"/>
      <w:r>
        <w:rPr>
          <w:rFonts w:ascii="Times New Roman" w:hAnsi="Times New Roman" w:eastAsia="仿宋"/>
          <w:b/>
          <w:bCs w:val="0"/>
          <w:color w:val="auto"/>
          <w:sz w:val="24"/>
          <w:szCs w:val="24"/>
          <w:highlight w:val="none"/>
        </w:rPr>
        <w:t>二、投标人的资格要求</w:t>
      </w:r>
      <w:bookmarkEnd w:id="22"/>
      <w:bookmarkEnd w:id="23"/>
      <w:bookmarkEnd w:id="24"/>
      <w:bookmarkEnd w:id="25"/>
      <w:bookmarkEnd w:id="26"/>
      <w:bookmarkEnd w:id="27"/>
      <w:bookmarkEnd w:id="28"/>
      <w:bookmarkEnd w:id="29"/>
      <w:bookmarkEnd w:id="30"/>
      <w:bookmarkEnd w:id="31"/>
    </w:p>
    <w:p w14:paraId="7EA928C0">
      <w:pPr>
        <w:spacing w:line="500" w:lineRule="atLeast"/>
        <w:ind w:firstLine="482" w:firstLineChars="200"/>
        <w:rPr>
          <w:rFonts w:ascii="Times New Roman" w:hAnsi="仿宋" w:eastAsia="仿宋" w:cs="Times New Roman"/>
          <w:b/>
          <w:bCs/>
          <w:iCs/>
          <w:color w:val="auto"/>
          <w:sz w:val="24"/>
          <w:szCs w:val="24"/>
          <w:highlight w:val="none"/>
        </w:rPr>
      </w:pPr>
      <w:bookmarkStart w:id="32" w:name="_Toc35393792"/>
      <w:bookmarkStart w:id="33" w:name="_Toc35393623"/>
      <w:bookmarkStart w:id="34" w:name="_Toc28359004"/>
      <w:bookmarkStart w:id="35" w:name="_Toc28359081"/>
      <w:r>
        <w:rPr>
          <w:rFonts w:ascii="Times New Roman" w:hAnsi="仿宋" w:eastAsia="仿宋" w:cs="Times New Roman"/>
          <w:b/>
          <w:bCs/>
          <w:iCs/>
          <w:color w:val="auto"/>
          <w:sz w:val="24"/>
          <w:szCs w:val="24"/>
          <w:highlight w:val="none"/>
        </w:rPr>
        <w:t>1.满足《中华人民共和国政府采购法》第二十二条规定；</w:t>
      </w:r>
    </w:p>
    <w:p w14:paraId="1FC4F0A8">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（1）具有独立承担民事责任的能力；</w:t>
      </w:r>
    </w:p>
    <w:p w14:paraId="40C97CC9">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（2）具有良好的商业信誉和健全的财务会计制度；</w:t>
      </w:r>
    </w:p>
    <w:p w14:paraId="22213924">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（3）具有履行合同所必需的设备和专业技术能力；</w:t>
      </w:r>
    </w:p>
    <w:p w14:paraId="30A62A20">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（4）有依法缴纳税收和社会保障资金的良好记录；</w:t>
      </w:r>
    </w:p>
    <w:p w14:paraId="42F3BC81">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（5）参加政府采购活动前三年内,在经营活动中没有重大违法记录；</w:t>
      </w:r>
    </w:p>
    <w:p w14:paraId="476BF970">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（6）法律、行政法规规定的其他条件。</w:t>
      </w:r>
    </w:p>
    <w:p w14:paraId="31E00426">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2.单位负责人为同一人或者存在直接控股、管理关系的不同投标人，不得参加同一合同项下的采购活动。为本采购项目提供整体设计、规范编制或者项目管理、监理、检测等服务的，不得参加本项目的政府采购活动。</w:t>
      </w:r>
    </w:p>
    <w:p w14:paraId="52258E30">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3.通过“信用中国”网站和中国政府采购网查询相关主体信用记录，被列入失信被执行人、重大税收违法失信主体、政府采购严重违法失信行为记录名单的投标人（处罚期限尚未届满的），不得参与本项目的政府采购活动。</w:t>
      </w:r>
    </w:p>
    <w:p w14:paraId="65CE164C">
      <w:pPr>
        <w:spacing w:line="500" w:lineRule="atLeast"/>
        <w:ind w:firstLine="482" w:firstLineChars="200"/>
        <w:rPr>
          <w:rFonts w:ascii="Times New Roman" w:hAnsi="仿宋" w:eastAsia="仿宋" w:cs="Times New Roman"/>
          <w:b/>
          <w:bCs/>
          <w:iCs/>
          <w:color w:val="auto"/>
          <w:sz w:val="24"/>
          <w:szCs w:val="24"/>
          <w:highlight w:val="none"/>
        </w:rPr>
      </w:pPr>
      <w:r>
        <w:rPr>
          <w:rFonts w:ascii="Times New Roman" w:hAnsi="仿宋" w:eastAsia="仿宋" w:cs="Times New Roman"/>
          <w:b/>
          <w:bCs/>
          <w:iCs/>
          <w:color w:val="auto"/>
          <w:sz w:val="24"/>
          <w:szCs w:val="24"/>
          <w:highlight w:val="none"/>
        </w:rPr>
        <w:t>4.落实政府采购政策需满足的资格要求：</w:t>
      </w:r>
    </w:p>
    <w:p w14:paraId="65584EF1">
      <w:pPr>
        <w:spacing w:line="500" w:lineRule="atLeast"/>
        <w:ind w:firstLine="480" w:firstLineChars="200"/>
        <w:rPr>
          <w:rFonts w:hint="eastAsia"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w:t>
      </w:r>
      <w:r>
        <w:rPr>
          <w:rFonts w:hint="eastAsia" w:ascii="Times New Roman" w:hAnsi="仿宋" w:eastAsia="仿宋" w:cs="Times New Roman"/>
          <w:iCs/>
          <w:color w:val="auto"/>
          <w:sz w:val="24"/>
          <w:szCs w:val="24"/>
          <w:highlight w:val="none"/>
        </w:rPr>
        <w:t>中小企业政策：</w:t>
      </w:r>
      <w:r>
        <w:rPr>
          <w:rFonts w:hint="eastAsia" w:ascii="Times New Roman" w:hAnsi="仿宋" w:eastAsia="仿宋" w:cs="Times New Roman"/>
          <w:b/>
          <w:bCs/>
          <w:iCs/>
          <w:color w:val="auto"/>
          <w:sz w:val="24"/>
          <w:szCs w:val="24"/>
          <w:highlight w:val="none"/>
        </w:rPr>
        <w:t>本项目不专门面向中小企业采购。</w:t>
      </w:r>
    </w:p>
    <w:p w14:paraId="4C648F59">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（2）本项目落实促进中小企业发展、监狱企业扶持、政府采购节约能源政策、政府采购环境保护政策、残疾人就业等政府采购政策，具体详见招标文件。</w:t>
      </w:r>
    </w:p>
    <w:p w14:paraId="633F1799">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ascii="Times New Roman" w:hAnsi="仿宋" w:eastAsia="仿宋" w:cs="Times New Roman"/>
          <w:b/>
          <w:bCs/>
          <w:iCs/>
          <w:color w:val="auto"/>
          <w:sz w:val="24"/>
          <w:szCs w:val="24"/>
          <w:highlight w:val="none"/>
        </w:rPr>
        <w:t>5.本项目的特定资格要求：</w:t>
      </w:r>
      <w:r>
        <w:rPr>
          <w:rFonts w:hint="eastAsia" w:ascii="Times New Roman" w:hAnsi="仿宋" w:eastAsia="仿宋" w:cs="Times New Roman"/>
          <w:iCs/>
          <w:color w:val="auto"/>
          <w:sz w:val="24"/>
          <w:szCs w:val="24"/>
          <w:highlight w:val="none"/>
          <w:lang w:val="en-US" w:eastAsia="zh-CN"/>
        </w:rPr>
        <w:t>无</w:t>
      </w:r>
    </w:p>
    <w:p w14:paraId="0E1EE863">
      <w:pPr>
        <w:pStyle w:val="2"/>
        <w:spacing w:before="0" w:after="0" w:line="500" w:lineRule="atLeast"/>
        <w:rPr>
          <w:rFonts w:ascii="Times New Roman" w:hAnsi="Times New Roman" w:eastAsia="仿宋"/>
          <w:b/>
          <w:bCs w:val="0"/>
          <w:color w:val="auto"/>
          <w:sz w:val="24"/>
          <w:szCs w:val="24"/>
          <w:highlight w:val="none"/>
        </w:rPr>
      </w:pPr>
      <w:bookmarkStart w:id="36" w:name="_Toc12939"/>
      <w:bookmarkStart w:id="37" w:name="_Toc17696"/>
      <w:bookmarkStart w:id="38" w:name="_Toc13990"/>
      <w:bookmarkStart w:id="39" w:name="_Toc21386"/>
      <w:bookmarkStart w:id="40" w:name="_Toc12482"/>
      <w:bookmarkStart w:id="41" w:name="_Toc1135"/>
      <w:r>
        <w:rPr>
          <w:rFonts w:ascii="Times New Roman" w:hAnsi="Times New Roman" w:eastAsia="仿宋"/>
          <w:b/>
          <w:bCs w:val="0"/>
          <w:color w:val="auto"/>
          <w:sz w:val="24"/>
          <w:szCs w:val="24"/>
          <w:highlight w:val="none"/>
        </w:rPr>
        <w:t>三、获取招标文件</w:t>
      </w:r>
      <w:bookmarkEnd w:id="32"/>
      <w:bookmarkEnd w:id="33"/>
      <w:bookmarkEnd w:id="34"/>
      <w:bookmarkEnd w:id="35"/>
      <w:bookmarkEnd w:id="36"/>
      <w:bookmarkEnd w:id="37"/>
      <w:bookmarkEnd w:id="38"/>
      <w:bookmarkEnd w:id="39"/>
      <w:bookmarkEnd w:id="40"/>
      <w:bookmarkEnd w:id="41"/>
    </w:p>
    <w:p w14:paraId="59663452">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bookmarkStart w:id="42" w:name="_Toc28359005"/>
      <w:bookmarkStart w:id="43" w:name="_Toc28359082"/>
      <w:bookmarkStart w:id="44" w:name="_Toc35393793"/>
      <w:bookmarkStart w:id="45" w:name="_Toc35393624"/>
      <w:bookmarkStart w:id="46" w:name="_Toc25802"/>
      <w:r>
        <w:rPr>
          <w:rFonts w:hint="eastAsia" w:ascii="Times New Roman" w:hAnsi="仿宋" w:eastAsia="仿宋" w:cs="Times New Roman"/>
          <w:b/>
          <w:bCs/>
          <w:iCs/>
          <w:color w:val="auto"/>
          <w:sz w:val="24"/>
          <w:szCs w:val="24"/>
          <w:highlight w:val="none"/>
          <w:lang w:val="en-US" w:eastAsia="zh-CN"/>
        </w:rPr>
        <w:t>1.时间：</w:t>
      </w:r>
      <w:r>
        <w:rPr>
          <w:rFonts w:hint="eastAsia" w:ascii="Times New Roman" w:hAnsi="仿宋" w:eastAsia="仿宋" w:cs="Times New Roman"/>
          <w:iCs/>
          <w:color w:val="auto"/>
          <w:sz w:val="24"/>
          <w:szCs w:val="24"/>
          <w:highlight w:val="none"/>
          <w:lang w:val="en-US" w:eastAsia="zh-CN"/>
        </w:rPr>
        <w:t>2024年</w:t>
      </w:r>
      <w:r>
        <w:rPr>
          <w:rFonts w:hint="eastAsia" w:hAnsi="仿宋" w:eastAsia="仿宋" w:cs="Times New Roman"/>
          <w:iCs/>
          <w:color w:val="auto"/>
          <w:sz w:val="24"/>
          <w:szCs w:val="24"/>
          <w:highlight w:val="none"/>
          <w:lang w:val="en-US" w:eastAsia="zh-CN"/>
        </w:rPr>
        <w:t>9</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30</w:t>
      </w:r>
      <w:r>
        <w:rPr>
          <w:rFonts w:hint="eastAsia" w:ascii="Times New Roman" w:hAnsi="仿宋" w:eastAsia="仿宋" w:cs="Times New Roman"/>
          <w:iCs/>
          <w:color w:val="auto"/>
          <w:sz w:val="24"/>
          <w:szCs w:val="24"/>
          <w:highlight w:val="none"/>
          <w:lang w:val="en-US" w:eastAsia="zh-CN"/>
        </w:rPr>
        <w:t>日至2024年</w:t>
      </w:r>
      <w:r>
        <w:rPr>
          <w:rFonts w:hint="eastAsia" w:hAnsi="仿宋" w:eastAsia="仿宋" w:cs="Times New Roman"/>
          <w:iCs/>
          <w:color w:val="auto"/>
          <w:sz w:val="24"/>
          <w:szCs w:val="24"/>
          <w:highlight w:val="none"/>
          <w:lang w:val="en-US" w:eastAsia="zh-CN"/>
        </w:rPr>
        <w:t>10</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11</w:t>
      </w:r>
      <w:r>
        <w:rPr>
          <w:rFonts w:hint="eastAsia" w:ascii="Times New Roman" w:hAnsi="仿宋" w:eastAsia="仿宋" w:cs="Times New Roman"/>
          <w:iCs/>
          <w:color w:val="auto"/>
          <w:sz w:val="24"/>
          <w:szCs w:val="24"/>
          <w:highlight w:val="none"/>
          <w:lang w:val="en-US" w:eastAsia="zh-CN"/>
        </w:rPr>
        <w:t>日，</w:t>
      </w:r>
      <w:r>
        <w:rPr>
          <w:rFonts w:hint="eastAsia" w:ascii="仿宋" w:hAnsi="仿宋" w:eastAsia="仿宋" w:cs="仿宋"/>
          <w:color w:val="auto"/>
          <w:kern w:val="0"/>
          <w:sz w:val="24"/>
          <w:highlight w:val="none"/>
          <w:shd w:val="clear" w:color="auto" w:fill="FFFFFF"/>
        </w:rPr>
        <w:t>每天09点00分至12点00分，14点00分至17点00分</w:t>
      </w:r>
      <w:r>
        <w:rPr>
          <w:rFonts w:hint="eastAsia" w:ascii="Times New Roman" w:hAnsi="仿宋" w:eastAsia="仿宋" w:cs="Times New Roman"/>
          <w:iCs/>
          <w:color w:val="auto"/>
          <w:sz w:val="24"/>
          <w:szCs w:val="24"/>
          <w:highlight w:val="none"/>
          <w:lang w:val="en-US" w:eastAsia="zh-CN"/>
        </w:rPr>
        <w:t>（北京时间，法定节假日除外）</w:t>
      </w:r>
    </w:p>
    <w:p w14:paraId="37D689B9">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2.地点：</w:t>
      </w:r>
      <w:r>
        <w:rPr>
          <w:rFonts w:hint="eastAsia" w:ascii="Times New Roman" w:hAnsi="仿宋" w:eastAsia="仿宋" w:cs="Times New Roman"/>
          <w:iCs/>
          <w:color w:val="auto"/>
          <w:sz w:val="24"/>
          <w:szCs w:val="24"/>
          <w:highlight w:val="none"/>
          <w:lang w:val="en-US" w:eastAsia="zh-CN"/>
        </w:rPr>
        <w:t>江西合胜合招标咨询有限公司（江西省南昌市红谷滩区红谷北大道968号绿地外滩公馆写字楼19栋406室）</w:t>
      </w:r>
    </w:p>
    <w:p w14:paraId="4937C66F">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3.方式：</w:t>
      </w:r>
      <w:r>
        <w:rPr>
          <w:rFonts w:hint="eastAsia" w:ascii="Times New Roman" w:hAnsi="仿宋" w:eastAsia="仿宋" w:cs="Times New Roman"/>
          <w:iCs/>
          <w:color w:val="auto"/>
          <w:sz w:val="24"/>
          <w:szCs w:val="24"/>
          <w:highlight w:val="none"/>
          <w:lang w:val="en-US" w:eastAsia="zh-CN"/>
        </w:rPr>
        <w:t>现场或线上获取；</w:t>
      </w:r>
    </w:p>
    <w:p w14:paraId="697AAF17">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4.售价：</w:t>
      </w:r>
      <w:r>
        <w:rPr>
          <w:rFonts w:hint="eastAsia" w:ascii="Times New Roman" w:hAnsi="仿宋" w:eastAsia="仿宋" w:cs="Times New Roman"/>
          <w:iCs/>
          <w:color w:val="auto"/>
          <w:sz w:val="24"/>
          <w:szCs w:val="24"/>
          <w:highlight w:val="none"/>
          <w:lang w:val="en-US" w:eastAsia="zh-CN"/>
        </w:rPr>
        <w:t>0元</w:t>
      </w:r>
    </w:p>
    <w:p w14:paraId="48991805">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5.获取招标文件时须提供以下资料：</w:t>
      </w:r>
    </w:p>
    <w:p w14:paraId="71E3BE2C">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（1）现场获取招标文件时供应商提供以下资料：</w:t>
      </w:r>
    </w:p>
    <w:p w14:paraId="433AE411">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①营业执照复印件并加盖公章留存；</w:t>
      </w:r>
    </w:p>
    <w:p w14:paraId="29A16598">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②法定代表人授权书或单位介绍信加盖公章原件、法定代表人身份证复印件及授权代表身份证正反面复印件（加盖公章留存）；</w:t>
      </w:r>
    </w:p>
    <w:p w14:paraId="529E3EAB">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14:paraId="21C53194">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（2）线上获取招标文件时供应商提供以下资料：</w:t>
      </w:r>
    </w:p>
    <w:p w14:paraId="6A2B8E56">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①营业执照复印件加盖公章的扫描件；</w:t>
      </w:r>
    </w:p>
    <w:p w14:paraId="32A3EDAE">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②法定代表人授权书或单位介绍信原件、法定代表人身份证及授权代表身份证正反面复印件加盖公章的扫描件；</w:t>
      </w:r>
    </w:p>
    <w:p w14:paraId="6F2F0B8F">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14:paraId="690E7315">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④线上获取：请将以上相关报名资料发送至代理机构邮箱：jxhsh0791@163.com，代理机构收到报名邮件后通过电子邮件发送招标文件。</w:t>
      </w:r>
    </w:p>
    <w:p w14:paraId="58864C43">
      <w:pPr>
        <w:spacing w:line="500" w:lineRule="atLeast"/>
        <w:ind w:firstLine="480" w:firstLineChars="200"/>
        <w:rPr>
          <w:rFonts w:hint="eastAsia" w:ascii="Times New Roman" w:hAnsi="仿宋" w:eastAsia="仿宋" w:cs="Times New Roman"/>
          <w:b w:val="0"/>
          <w:bCs w:val="0"/>
          <w:iCs/>
          <w:color w:val="auto"/>
          <w:sz w:val="24"/>
          <w:szCs w:val="24"/>
          <w:highlight w:val="none"/>
          <w:lang w:val="en-US" w:eastAsia="zh-CN"/>
        </w:rPr>
      </w:pPr>
      <w:r>
        <w:rPr>
          <w:rFonts w:hint="eastAsia" w:ascii="Times New Roman" w:hAnsi="仿宋" w:eastAsia="仿宋" w:cs="Times New Roman"/>
          <w:b w:val="0"/>
          <w:bCs w:val="0"/>
          <w:iCs/>
          <w:color w:val="auto"/>
          <w:sz w:val="24"/>
          <w:szCs w:val="24"/>
          <w:highlight w:val="none"/>
          <w:lang w:val="en-US" w:eastAsia="zh-CN"/>
        </w:rPr>
        <w:t>注：如未按上述要求导致获取招标文件不成功的后果，由投标人自行承担。</w:t>
      </w:r>
    </w:p>
    <w:p w14:paraId="4D16DDF5">
      <w:pPr>
        <w:spacing w:line="500" w:lineRule="atLeast"/>
        <w:ind w:firstLine="482" w:firstLineChars="200"/>
        <w:rPr>
          <w:rFonts w:hint="default"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6.获取了招标文件不参加其中单个或多个包投标的单位，请在投标截止时间 3 日前以书面形式通知采购代理机构。</w:t>
      </w:r>
    </w:p>
    <w:p w14:paraId="50E4AD8D">
      <w:pPr>
        <w:pStyle w:val="2"/>
        <w:pageBreakBefore w:val="0"/>
        <w:widowControl w:val="0"/>
        <w:kinsoku/>
        <w:wordWrap/>
        <w:overflowPunct/>
        <w:topLinePunct w:val="0"/>
        <w:autoSpaceDE/>
        <w:autoSpaceDN/>
        <w:bidi w:val="0"/>
        <w:adjustRightInd/>
        <w:snapToGrid/>
        <w:spacing w:before="0" w:after="0" w:line="500" w:lineRule="atLeast"/>
        <w:textAlignment w:val="auto"/>
        <w:rPr>
          <w:rFonts w:eastAsia="仿宋"/>
          <w:b/>
          <w:bCs w:val="0"/>
          <w:color w:val="auto"/>
          <w:szCs w:val="24"/>
          <w:highlight w:val="none"/>
        </w:rPr>
      </w:pPr>
      <w:bookmarkStart w:id="47" w:name="_Toc14161"/>
      <w:bookmarkStart w:id="48" w:name="_Toc22132"/>
      <w:r>
        <w:rPr>
          <w:rFonts w:hint="eastAsia" w:ascii="Times New Roman" w:hAnsi="Times New Roman" w:eastAsia="仿宋"/>
          <w:b/>
          <w:bCs w:val="0"/>
          <w:color w:val="auto"/>
          <w:sz w:val="24"/>
          <w:szCs w:val="24"/>
          <w:highlight w:val="none"/>
          <w:lang w:val="en-US" w:eastAsia="zh-CN"/>
        </w:rPr>
        <w:t>四、</w:t>
      </w:r>
      <w:r>
        <w:rPr>
          <w:rFonts w:ascii="Times New Roman" w:hAnsi="Times New Roman" w:eastAsia="仿宋"/>
          <w:b/>
          <w:bCs w:val="0"/>
          <w:color w:val="auto"/>
          <w:sz w:val="24"/>
          <w:szCs w:val="24"/>
          <w:highlight w:val="none"/>
        </w:rPr>
        <w:t>提交投标文件</w:t>
      </w:r>
      <w:bookmarkEnd w:id="42"/>
      <w:bookmarkEnd w:id="43"/>
      <w:r>
        <w:rPr>
          <w:rFonts w:ascii="Times New Roman" w:hAnsi="Times New Roman" w:eastAsia="仿宋"/>
          <w:b/>
          <w:bCs w:val="0"/>
          <w:color w:val="auto"/>
          <w:sz w:val="24"/>
          <w:szCs w:val="24"/>
          <w:highlight w:val="none"/>
        </w:rPr>
        <w:t>截止时间、开标时间和</w:t>
      </w:r>
      <w:r>
        <w:rPr>
          <w:rFonts w:hint="eastAsia" w:ascii="Times New Roman" w:hAnsi="Times New Roman" w:eastAsia="仿宋"/>
          <w:b/>
          <w:bCs w:val="0"/>
          <w:color w:val="auto"/>
          <w:sz w:val="24"/>
          <w:szCs w:val="24"/>
          <w:highlight w:val="none"/>
          <w:lang w:val="en-US" w:eastAsia="zh-CN"/>
        </w:rPr>
        <w:t>开标</w:t>
      </w:r>
      <w:r>
        <w:rPr>
          <w:rFonts w:ascii="Times New Roman" w:hAnsi="Times New Roman" w:eastAsia="仿宋"/>
          <w:b/>
          <w:bCs w:val="0"/>
          <w:color w:val="auto"/>
          <w:sz w:val="24"/>
          <w:szCs w:val="24"/>
          <w:highlight w:val="none"/>
        </w:rPr>
        <w:t>地点</w:t>
      </w:r>
      <w:bookmarkEnd w:id="44"/>
      <w:bookmarkEnd w:id="45"/>
      <w:bookmarkEnd w:id="46"/>
      <w:bookmarkEnd w:id="47"/>
      <w:bookmarkEnd w:id="48"/>
    </w:p>
    <w:p w14:paraId="751DBC11">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10</w:t>
      </w:r>
      <w:r>
        <w:rPr>
          <w:rFonts w:eastAsia="仿宋"/>
          <w:color w:val="auto"/>
          <w:sz w:val="24"/>
          <w:szCs w:val="24"/>
          <w:highlight w:val="none"/>
        </w:rPr>
        <w:t>月</w:t>
      </w:r>
      <w:r>
        <w:rPr>
          <w:rFonts w:hint="eastAsia" w:eastAsia="仿宋"/>
          <w:color w:val="auto"/>
          <w:sz w:val="24"/>
          <w:szCs w:val="24"/>
          <w:highlight w:val="none"/>
          <w:lang w:val="en-US" w:eastAsia="zh-CN"/>
        </w:rPr>
        <w:t>24</w:t>
      </w:r>
      <w:r>
        <w:rPr>
          <w:rFonts w:eastAsia="仿宋"/>
          <w:color w:val="auto"/>
          <w:sz w:val="24"/>
          <w:szCs w:val="24"/>
          <w:highlight w:val="none"/>
        </w:rPr>
        <w:t>日9点00分（北京时间）</w:t>
      </w:r>
    </w:p>
    <w:p w14:paraId="5B821A0C">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地点</w:t>
      </w:r>
      <w:r>
        <w:rPr>
          <w:rFonts w:eastAsia="仿宋"/>
          <w:color w:val="auto"/>
          <w:sz w:val="24"/>
          <w:szCs w:val="24"/>
          <w:highlight w:val="none"/>
        </w:rPr>
        <w:t>：</w:t>
      </w:r>
      <w:bookmarkStart w:id="49" w:name="_Toc28359084"/>
      <w:bookmarkStart w:id="50" w:name="_Toc28359007"/>
      <w:bookmarkStart w:id="51" w:name="_Toc35393794"/>
      <w:bookmarkStart w:id="52" w:name="_Toc35393625"/>
      <w:r>
        <w:rPr>
          <w:rFonts w:hint="eastAsia" w:ascii="仿宋" w:hAnsi="仿宋" w:eastAsia="仿宋" w:cs="仿宋"/>
          <w:color w:val="auto"/>
          <w:spacing w:val="-5"/>
          <w:sz w:val="24"/>
          <w:szCs w:val="24"/>
          <w:highlight w:val="none"/>
          <w:lang w:val="en-US" w:eastAsia="zh-CN"/>
        </w:rPr>
        <w:t>江西合胜合招标咨询有限公司（江西省南昌市红谷滩区红谷北大道968号绿地外滩公馆写字楼19栋406室）。届时请投标人的法定代表人或经正式授权的代表携带授权书及身份证原件出席开标大会，签到时间以递交投标文件签到时间为准。</w:t>
      </w:r>
    </w:p>
    <w:p w14:paraId="643978E8">
      <w:pPr>
        <w:pStyle w:val="2"/>
        <w:spacing w:before="0" w:after="0" w:line="500" w:lineRule="atLeast"/>
        <w:rPr>
          <w:rFonts w:ascii="Times New Roman" w:hAnsi="Times New Roman" w:eastAsia="仿宋"/>
          <w:b/>
          <w:bCs w:val="0"/>
          <w:color w:val="auto"/>
          <w:sz w:val="24"/>
          <w:szCs w:val="24"/>
          <w:highlight w:val="none"/>
        </w:rPr>
      </w:pPr>
      <w:bookmarkStart w:id="53" w:name="_Toc28683"/>
      <w:bookmarkStart w:id="54" w:name="_Toc20097"/>
      <w:bookmarkStart w:id="55" w:name="_Toc536"/>
      <w:bookmarkStart w:id="56" w:name="_Toc214"/>
      <w:bookmarkStart w:id="57" w:name="_Toc17252"/>
      <w:bookmarkStart w:id="58" w:name="_Toc20597"/>
      <w:r>
        <w:rPr>
          <w:rFonts w:ascii="Times New Roman" w:hAnsi="Times New Roman" w:eastAsia="仿宋"/>
          <w:b/>
          <w:bCs w:val="0"/>
          <w:color w:val="auto"/>
          <w:sz w:val="24"/>
          <w:szCs w:val="24"/>
          <w:highlight w:val="none"/>
        </w:rPr>
        <w:t>五、公告期限</w:t>
      </w:r>
      <w:bookmarkEnd w:id="49"/>
      <w:bookmarkEnd w:id="50"/>
      <w:bookmarkEnd w:id="51"/>
      <w:bookmarkEnd w:id="52"/>
      <w:bookmarkEnd w:id="53"/>
      <w:bookmarkEnd w:id="54"/>
      <w:bookmarkEnd w:id="55"/>
      <w:bookmarkEnd w:id="56"/>
      <w:bookmarkEnd w:id="57"/>
      <w:bookmarkEnd w:id="58"/>
    </w:p>
    <w:p w14:paraId="2A27741D">
      <w:pPr>
        <w:spacing w:line="500" w:lineRule="atLeast"/>
        <w:ind w:firstLine="480" w:firstLineChars="200"/>
        <w:rPr>
          <w:rFonts w:eastAsia="仿宋"/>
          <w:color w:val="auto"/>
          <w:sz w:val="24"/>
          <w:szCs w:val="24"/>
          <w:highlight w:val="none"/>
        </w:rPr>
      </w:pPr>
      <w:r>
        <w:rPr>
          <w:rFonts w:eastAsia="仿宋"/>
          <w:color w:val="auto"/>
          <w:sz w:val="24"/>
          <w:szCs w:val="24"/>
          <w:highlight w:val="none"/>
        </w:rPr>
        <w:t>自本公告发布之日起5个工作日。</w:t>
      </w:r>
    </w:p>
    <w:p w14:paraId="6EA6A4E1">
      <w:pPr>
        <w:pStyle w:val="2"/>
        <w:spacing w:before="0" w:after="0" w:line="500" w:lineRule="atLeast"/>
        <w:rPr>
          <w:rFonts w:ascii="Times New Roman" w:hAnsi="Times New Roman" w:eastAsia="仿宋"/>
          <w:b/>
          <w:bCs w:val="0"/>
          <w:color w:val="auto"/>
          <w:sz w:val="24"/>
          <w:szCs w:val="24"/>
          <w:highlight w:val="none"/>
        </w:rPr>
      </w:pPr>
      <w:bookmarkStart w:id="59" w:name="_Toc23719"/>
      <w:bookmarkStart w:id="60" w:name="_Toc24855"/>
      <w:bookmarkStart w:id="61" w:name="_Toc7839"/>
      <w:bookmarkStart w:id="62" w:name="_Toc28333"/>
      <w:bookmarkStart w:id="63" w:name="_Toc35393795"/>
      <w:bookmarkStart w:id="64" w:name="_Toc35393626"/>
      <w:bookmarkStart w:id="65" w:name="_Toc983"/>
      <w:bookmarkStart w:id="66" w:name="_Toc24577"/>
      <w:r>
        <w:rPr>
          <w:rFonts w:ascii="Times New Roman" w:hAnsi="Times New Roman" w:eastAsia="仿宋"/>
          <w:b/>
          <w:bCs w:val="0"/>
          <w:color w:val="auto"/>
          <w:sz w:val="24"/>
          <w:szCs w:val="24"/>
          <w:highlight w:val="none"/>
        </w:rPr>
        <w:t>六、其他补充事宜</w:t>
      </w:r>
      <w:bookmarkEnd w:id="59"/>
      <w:bookmarkEnd w:id="60"/>
      <w:bookmarkEnd w:id="61"/>
      <w:bookmarkEnd w:id="62"/>
      <w:bookmarkEnd w:id="63"/>
      <w:bookmarkEnd w:id="64"/>
      <w:bookmarkEnd w:id="65"/>
      <w:bookmarkEnd w:id="66"/>
    </w:p>
    <w:p w14:paraId="034B1727">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bookmarkStart w:id="67" w:name="_Toc35393796"/>
      <w:bookmarkStart w:id="68" w:name="_Toc21359"/>
      <w:bookmarkStart w:id="69" w:name="_Toc4454"/>
      <w:bookmarkStart w:id="70" w:name="_Toc22438"/>
      <w:bookmarkStart w:id="71" w:name="_Toc28359085"/>
      <w:bookmarkStart w:id="72" w:name="_Toc35393627"/>
      <w:bookmarkStart w:id="73" w:name="_Toc26722"/>
      <w:bookmarkStart w:id="74" w:name="_Toc28359008"/>
      <w:r>
        <w:rPr>
          <w:rFonts w:hint="eastAsia" w:ascii="仿宋" w:hAnsi="仿宋" w:eastAsia="仿宋" w:cs="仿宋"/>
          <w:color w:val="auto"/>
          <w:spacing w:val="-1"/>
          <w:sz w:val="24"/>
          <w:szCs w:val="24"/>
          <w:highlight w:val="none"/>
          <w:lang w:val="en-US" w:eastAsia="zh-CN"/>
        </w:rPr>
        <w:t>1.</w:t>
      </w:r>
      <w:r>
        <w:rPr>
          <w:rFonts w:hint="eastAsia" w:ascii="仿宋" w:hAnsi="仿宋" w:eastAsia="仿宋" w:cs="仿宋"/>
          <w:snapToGrid w:val="0"/>
          <w:color w:val="auto"/>
          <w:spacing w:val="-1"/>
          <w:sz w:val="24"/>
          <w:szCs w:val="24"/>
          <w:highlight w:val="none"/>
          <w:lang w:val="en-US" w:eastAsia="zh-CN" w:bidi="ar-SA"/>
        </w:rPr>
        <w:t>投标保证金应于开标截止时间之前递交，缴纳方式、户名、开户行、账号及金额具体要求详见本项目招标文件。</w:t>
      </w:r>
    </w:p>
    <w:p w14:paraId="2BECD52B">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2.本项目采购代理服务费向中标人收取，具体缴纳方式及收费标准详见招标文件。</w:t>
      </w:r>
    </w:p>
    <w:p w14:paraId="11D2C770">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3.落实的政府采购优惠政策及相关法律法规情况等：本项目将落实相关政府采购优惠政策。</w:t>
      </w:r>
    </w:p>
    <w:p w14:paraId="09903D5F">
      <w:pPr>
        <w:pStyle w:val="2"/>
        <w:spacing w:before="0" w:after="0" w:line="500" w:lineRule="atLeast"/>
        <w:rPr>
          <w:rFonts w:ascii="Times New Roman" w:hAnsi="Times New Roman" w:eastAsia="仿宋"/>
          <w:b/>
          <w:bCs w:val="0"/>
          <w:color w:val="auto"/>
          <w:sz w:val="24"/>
          <w:szCs w:val="24"/>
          <w:highlight w:val="none"/>
        </w:rPr>
      </w:pPr>
      <w:bookmarkStart w:id="75" w:name="_Toc26258"/>
      <w:bookmarkStart w:id="76" w:name="_Toc22238"/>
      <w:r>
        <w:rPr>
          <w:rFonts w:ascii="Times New Roman" w:hAnsi="Times New Roman" w:eastAsia="仿宋"/>
          <w:b/>
          <w:bCs w:val="0"/>
          <w:color w:val="auto"/>
          <w:sz w:val="24"/>
          <w:szCs w:val="24"/>
          <w:highlight w:val="none"/>
        </w:rPr>
        <w:t>七、对本次招标提出询问，请按以下方式联系</w:t>
      </w:r>
      <w:bookmarkEnd w:id="67"/>
      <w:bookmarkEnd w:id="68"/>
      <w:bookmarkEnd w:id="69"/>
      <w:bookmarkEnd w:id="70"/>
      <w:bookmarkEnd w:id="71"/>
      <w:bookmarkEnd w:id="72"/>
      <w:bookmarkEnd w:id="73"/>
      <w:bookmarkEnd w:id="74"/>
      <w:bookmarkEnd w:id="75"/>
      <w:bookmarkEnd w:id="76"/>
    </w:p>
    <w:p w14:paraId="055CE5DD">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1.采购人信息</w:t>
      </w:r>
    </w:p>
    <w:p w14:paraId="2606B5CD">
      <w:pPr>
        <w:spacing w:line="500" w:lineRule="atLeast"/>
        <w:ind w:firstLine="480" w:firstLineChars="200"/>
        <w:rPr>
          <w:rFonts w:eastAsia="仿宋"/>
          <w:bCs/>
          <w:color w:val="auto"/>
          <w:sz w:val="24"/>
          <w:szCs w:val="24"/>
          <w:highlight w:val="none"/>
        </w:rPr>
      </w:pPr>
      <w:r>
        <w:rPr>
          <w:rFonts w:eastAsia="仿宋"/>
          <w:color w:val="auto"/>
          <w:sz w:val="24"/>
          <w:szCs w:val="24"/>
          <w:highlight w:val="none"/>
        </w:rPr>
        <w:t>名称：</w:t>
      </w:r>
      <w:bookmarkStart w:id="77" w:name="_Toc28359086"/>
      <w:bookmarkStart w:id="78" w:name="_Toc28359009"/>
      <w:r>
        <w:rPr>
          <w:rFonts w:eastAsia="仿宋"/>
          <w:bCs/>
          <w:color w:val="auto"/>
          <w:sz w:val="24"/>
          <w:szCs w:val="24"/>
          <w:highlight w:val="none"/>
        </w:rPr>
        <w:t>江西省消防救援总队</w:t>
      </w:r>
    </w:p>
    <w:p w14:paraId="4EF2F2FA">
      <w:pPr>
        <w:spacing w:line="500" w:lineRule="atLeast"/>
        <w:ind w:firstLine="480" w:firstLineChars="200"/>
        <w:rPr>
          <w:rFonts w:eastAsia="仿宋"/>
          <w:bCs/>
          <w:color w:val="auto"/>
          <w:sz w:val="24"/>
          <w:szCs w:val="24"/>
          <w:highlight w:val="none"/>
        </w:rPr>
      </w:pPr>
      <w:r>
        <w:rPr>
          <w:rFonts w:eastAsia="仿宋"/>
          <w:bCs/>
          <w:color w:val="auto"/>
          <w:sz w:val="24"/>
          <w:szCs w:val="24"/>
          <w:highlight w:val="none"/>
        </w:rPr>
        <w:t>地址：江西省南昌市西湖区洪城路966号</w:t>
      </w:r>
    </w:p>
    <w:p w14:paraId="6A611984">
      <w:pPr>
        <w:spacing w:line="500" w:lineRule="atLeast"/>
        <w:ind w:firstLine="480" w:firstLineChars="200"/>
        <w:rPr>
          <w:rFonts w:eastAsia="仿宋"/>
          <w:color w:val="auto"/>
          <w:sz w:val="24"/>
          <w:szCs w:val="24"/>
          <w:highlight w:val="none"/>
        </w:rPr>
      </w:pPr>
      <w:r>
        <w:rPr>
          <w:rFonts w:eastAsia="仿宋"/>
          <w:bCs/>
          <w:color w:val="auto"/>
          <w:sz w:val="24"/>
          <w:szCs w:val="24"/>
          <w:highlight w:val="none"/>
        </w:rPr>
        <w:t>联系方式：0791-86558420</w:t>
      </w:r>
    </w:p>
    <w:p w14:paraId="1FD3469A">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2.采购代理机构信息</w:t>
      </w:r>
      <w:bookmarkEnd w:id="77"/>
      <w:bookmarkEnd w:id="78"/>
    </w:p>
    <w:p w14:paraId="5DBB0181">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名称：</w:t>
      </w:r>
      <w:r>
        <w:rPr>
          <w:rFonts w:hint="eastAsia" w:eastAsia="仿宋"/>
          <w:color w:val="auto"/>
          <w:sz w:val="24"/>
          <w:szCs w:val="24"/>
          <w:highlight w:val="none"/>
          <w:lang w:eastAsia="zh-CN"/>
        </w:rPr>
        <w:t>江西合胜合招标咨询有限公司</w:t>
      </w:r>
    </w:p>
    <w:p w14:paraId="551E3082">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地址：</w:t>
      </w:r>
      <w:r>
        <w:rPr>
          <w:rFonts w:hint="eastAsia" w:eastAsia="仿宋"/>
          <w:color w:val="auto"/>
          <w:sz w:val="24"/>
          <w:szCs w:val="24"/>
          <w:highlight w:val="none"/>
          <w:lang w:eastAsia="zh-CN"/>
        </w:rPr>
        <w:t>江西省南昌市红谷滩区红谷北大道968号绿地外滩公馆写字楼19栋406室</w:t>
      </w:r>
    </w:p>
    <w:p w14:paraId="2DCE1516">
      <w:pPr>
        <w:spacing w:line="500" w:lineRule="atLeast"/>
        <w:ind w:firstLine="480" w:firstLineChars="200"/>
        <w:rPr>
          <w:rFonts w:hint="eastAsia" w:eastAsia="仿宋"/>
          <w:color w:val="auto"/>
          <w:sz w:val="24"/>
          <w:szCs w:val="24"/>
          <w:highlight w:val="none"/>
          <w:lang w:eastAsia="zh-CN"/>
        </w:rPr>
      </w:pPr>
      <w:bookmarkStart w:id="79" w:name="_Toc28359010"/>
      <w:bookmarkStart w:id="80" w:name="_Toc28359087"/>
      <w:r>
        <w:rPr>
          <w:rFonts w:eastAsia="仿宋"/>
          <w:color w:val="auto"/>
          <w:sz w:val="24"/>
          <w:szCs w:val="24"/>
          <w:highlight w:val="none"/>
        </w:rPr>
        <w:t>电子函件：</w:t>
      </w:r>
      <w:r>
        <w:rPr>
          <w:rFonts w:hint="eastAsia" w:eastAsia="仿宋"/>
          <w:color w:val="auto"/>
          <w:sz w:val="24"/>
          <w:szCs w:val="24"/>
          <w:highlight w:val="none"/>
          <w:lang w:eastAsia="zh-CN"/>
        </w:rPr>
        <w:t>jxhsh0791@163.com</w:t>
      </w:r>
    </w:p>
    <w:p w14:paraId="058CA468">
      <w:pPr>
        <w:spacing w:line="500" w:lineRule="atLeast"/>
        <w:ind w:left="300" w:hanging="300" w:hangingChars="125"/>
        <w:jc w:val="left"/>
        <w:rPr>
          <w:rFonts w:eastAsia="仿宋"/>
          <w:color w:val="auto"/>
          <w:sz w:val="24"/>
          <w:szCs w:val="24"/>
          <w:highlight w:val="none"/>
          <w:u w:val="single"/>
        </w:rPr>
      </w:pPr>
      <w:r>
        <w:rPr>
          <w:rFonts w:eastAsia="仿宋"/>
          <w:color w:val="auto"/>
          <w:sz w:val="24"/>
          <w:szCs w:val="24"/>
          <w:highlight w:val="none"/>
        </w:rPr>
        <w:t>3.项目联系方式</w:t>
      </w:r>
      <w:bookmarkEnd w:id="79"/>
      <w:bookmarkEnd w:id="80"/>
    </w:p>
    <w:p w14:paraId="62DF2D95">
      <w:pPr>
        <w:spacing w:line="500" w:lineRule="atLeast"/>
        <w:ind w:firstLine="480" w:firstLineChars="200"/>
        <w:rPr>
          <w:rFonts w:eastAsia="仿宋"/>
          <w:color w:val="auto"/>
          <w:sz w:val="24"/>
          <w:szCs w:val="24"/>
          <w:highlight w:val="none"/>
        </w:rPr>
      </w:pPr>
      <w:r>
        <w:rPr>
          <w:rFonts w:eastAsia="仿宋"/>
          <w:color w:val="auto"/>
          <w:sz w:val="24"/>
          <w:szCs w:val="24"/>
          <w:highlight w:val="none"/>
        </w:rPr>
        <w:t>项目联系人：</w:t>
      </w:r>
      <w:r>
        <w:rPr>
          <w:rFonts w:hint="eastAsia" w:eastAsia="仿宋"/>
          <w:color w:val="auto"/>
          <w:sz w:val="24"/>
          <w:szCs w:val="24"/>
          <w:highlight w:val="none"/>
          <w:lang w:eastAsia="zh-CN"/>
        </w:rPr>
        <w:t>范丹萍、姜梅、聂亮、司马力、谭悠流</w:t>
      </w:r>
    </w:p>
    <w:p w14:paraId="68D0F555">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电话：</w:t>
      </w:r>
      <w:r>
        <w:rPr>
          <w:rFonts w:hint="eastAsia" w:eastAsia="仿宋"/>
          <w:color w:val="auto"/>
          <w:sz w:val="24"/>
          <w:szCs w:val="24"/>
          <w:highlight w:val="none"/>
          <w:lang w:eastAsia="zh-CN"/>
        </w:rPr>
        <w:t>0791-83978376</w:t>
      </w:r>
    </w:p>
    <w:p w14:paraId="22BB7CCD">
      <w:pPr>
        <w:spacing w:line="500" w:lineRule="atLeast"/>
        <w:ind w:left="300" w:hanging="300" w:hangingChars="125"/>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4.信息发布媒体：</w:t>
      </w:r>
    </w:p>
    <w:p w14:paraId="5B80ACF2">
      <w:pPr>
        <w:spacing w:line="500" w:lineRule="atLeast"/>
        <w:ind w:firstLine="480" w:firstLineChars="200"/>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中国政府采购网（http://www.ccgp.gov.cn/）</w:t>
      </w:r>
    </w:p>
    <w:p w14:paraId="20C64FB6">
      <w:pPr>
        <w:keepNext w:val="0"/>
        <w:keepLines w:val="0"/>
        <w:pageBreakBefore w:val="0"/>
        <w:widowControl w:val="0"/>
        <w:kinsoku w:val="0"/>
        <w:wordWrap/>
        <w:overflowPunct/>
        <w:topLinePunct w:val="0"/>
        <w:autoSpaceDE w:val="0"/>
        <w:autoSpaceDN w:val="0"/>
        <w:bidi w:val="0"/>
        <w:adjustRightInd w:val="0"/>
        <w:snapToGrid w:val="0"/>
        <w:spacing w:line="440" w:lineRule="exact"/>
        <w:ind w:left="0" w:firstLine="678" w:firstLineChars="300"/>
        <w:textAlignment w:val="baseline"/>
        <w:rPr>
          <w:rFonts w:hint="eastAsia" w:ascii="仿宋" w:hAnsi="仿宋" w:eastAsia="仿宋" w:cs="仿宋"/>
          <w:color w:val="auto"/>
          <w:spacing w:val="-7"/>
          <w:position w:val="0"/>
          <w:sz w:val="24"/>
          <w:szCs w:val="24"/>
          <w:highlight w:val="none"/>
          <w:lang w:val="en-US" w:eastAsia="zh-CN"/>
        </w:rPr>
      </w:pPr>
    </w:p>
    <w:p w14:paraId="2873AC2B">
      <w:pPr>
        <w:tabs>
          <w:tab w:val="left" w:pos="735"/>
          <w:tab w:val="left" w:pos="1418"/>
        </w:tabs>
        <w:spacing w:line="46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温馨提示：因上班高峰期间交通拥堵，请投标人尽量准备充足时间提前出行。</w:t>
      </w:r>
    </w:p>
    <w:p w14:paraId="77459684">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（1）停车：可以停放到写字楼地下停车场或地面停车位。</w:t>
      </w:r>
    </w:p>
    <w:p w14:paraId="431E0B4F">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（2）公共交通：地铁1号长江路站1号出站口、公交666路、506路、260路、50路、252路长江路地铁站。</w:t>
      </w:r>
    </w:p>
    <w:p w14:paraId="06DABB28">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（3）住宿餐饮：附近宾馆和餐馆众多。</w:t>
      </w:r>
    </w:p>
    <w:p w14:paraId="2BC97330">
      <w:pPr>
        <w:tabs>
          <w:tab w:val="left" w:pos="735"/>
          <w:tab w:val="left" w:pos="1418"/>
        </w:tabs>
        <w:spacing w:line="460" w:lineRule="exact"/>
        <w:ind w:firstLine="840" w:firstLineChars="350"/>
        <w:rPr>
          <w:rFonts w:ascii="仿宋" w:hAnsi="仿宋" w:eastAsia="仿宋" w:cs="宋体"/>
          <w:color w:val="auto"/>
          <w:sz w:val="24"/>
          <w:highlight w:val="none"/>
        </w:rPr>
      </w:pPr>
      <w:r>
        <w:rPr>
          <w:rFonts w:hint="eastAsia" w:ascii="仿宋" w:hAnsi="仿宋" w:eastAsia="仿宋" w:cs="宋体"/>
          <w:color w:val="auto"/>
          <w:sz w:val="24"/>
          <w:highlight w:val="none"/>
        </w:rPr>
        <w:t>（4）写字楼门口有共享单车、助力车停放点，车源充足。</w:t>
      </w:r>
    </w:p>
    <w:p w14:paraId="3DC66A90">
      <w:pPr>
        <w:spacing w:line="500" w:lineRule="atLeast"/>
        <w:ind w:firstLine="480" w:firstLineChars="200"/>
        <w:rPr>
          <w:rFonts w:hint="eastAsia" w:eastAsia="仿宋"/>
          <w:color w:val="auto"/>
          <w:sz w:val="24"/>
          <w:szCs w:val="24"/>
          <w:highlight w:val="none"/>
          <w:lang w:eastAsia="zh-CN"/>
        </w:rPr>
      </w:pPr>
    </w:p>
    <w:p w14:paraId="0F3ACAE5">
      <w:pPr>
        <w:spacing w:line="500" w:lineRule="atLeast"/>
        <w:rPr>
          <w:rFonts w:eastAsiaTheme="minorEastAsia"/>
          <w:color w:val="auto"/>
          <w:sz w:val="24"/>
          <w:szCs w:val="24"/>
          <w:highlight w:val="none"/>
        </w:rPr>
        <w:sectPr>
          <w:headerReference r:id="rId7" w:type="default"/>
          <w:footerReference r:id="rId8" w:type="default"/>
          <w:pgSz w:w="11906" w:h="16838"/>
          <w:pgMar w:top="1247" w:right="1417" w:bottom="1702" w:left="1417" w:header="851" w:footer="992" w:gutter="0"/>
          <w:pgNumType w:fmt="decimal"/>
          <w:cols w:space="720" w:num="1"/>
          <w:docGrid w:linePitch="312" w:charSpace="0"/>
        </w:sectPr>
      </w:pPr>
    </w:p>
    <w:p w14:paraId="2B2E5D23">
      <w:pPr>
        <w:pStyle w:val="3"/>
        <w:spacing w:line="360" w:lineRule="auto"/>
        <w:jc w:val="center"/>
        <w:rPr>
          <w:rFonts w:ascii="Times New Roman" w:eastAsia="仿宋"/>
          <w:color w:val="auto"/>
          <w:szCs w:val="44"/>
          <w:highlight w:val="none"/>
        </w:rPr>
      </w:pPr>
      <w:bookmarkStart w:id="81" w:name="_Toc26"/>
      <w:bookmarkStart w:id="82" w:name="_Toc22039"/>
      <w:bookmarkStart w:id="83" w:name="_Toc30068"/>
      <w:bookmarkStart w:id="84" w:name="_Toc12464"/>
      <w:bookmarkStart w:id="85" w:name="_Toc7129"/>
      <w:bookmarkStart w:id="86" w:name="_Toc111018932"/>
      <w:bookmarkStart w:id="87" w:name="_Toc26423"/>
      <w:bookmarkStart w:id="88" w:name="_Toc262628248"/>
      <w:bookmarkStart w:id="89" w:name="_Toc286758337"/>
      <w:r>
        <w:rPr>
          <w:rFonts w:ascii="Times New Roman" w:eastAsia="仿宋"/>
          <w:b/>
          <w:color w:val="auto"/>
          <w:sz w:val="40"/>
          <w:highlight w:val="none"/>
        </w:rPr>
        <w:t>第二章</w:t>
      </w:r>
      <w:bookmarkStart w:id="90" w:name="_Toc400631634"/>
      <w:bookmarkEnd w:id="90"/>
      <w:r>
        <w:rPr>
          <w:rFonts w:ascii="Times New Roman" w:eastAsia="仿宋"/>
          <w:b/>
          <w:color w:val="auto"/>
          <w:sz w:val="40"/>
          <w:highlight w:val="none"/>
        </w:rPr>
        <w:t xml:space="preserve"> 投标人须知</w:t>
      </w:r>
      <w:bookmarkEnd w:id="81"/>
      <w:bookmarkEnd w:id="82"/>
      <w:bookmarkEnd w:id="83"/>
      <w:bookmarkEnd w:id="84"/>
      <w:bookmarkEnd w:id="85"/>
      <w:bookmarkEnd w:id="86"/>
      <w:bookmarkEnd w:id="87"/>
    </w:p>
    <w:tbl>
      <w:tblPr>
        <w:tblStyle w:val="4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8494"/>
      </w:tblGrid>
      <w:tr w14:paraId="7D28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jc w:val="center"/>
        </w:trPr>
        <w:tc>
          <w:tcPr>
            <w:tcW w:w="9287" w:type="dxa"/>
            <w:gridSpan w:val="2"/>
            <w:vAlign w:val="center"/>
          </w:tcPr>
          <w:p w14:paraId="00740520">
            <w:pPr>
              <w:spacing w:line="460" w:lineRule="exact"/>
              <w:jc w:val="center"/>
              <w:rPr>
                <w:rFonts w:eastAsia="仿宋"/>
                <w:b/>
                <w:color w:val="auto"/>
                <w:sz w:val="24"/>
                <w:szCs w:val="22"/>
                <w:highlight w:val="none"/>
              </w:rPr>
            </w:pPr>
            <w:r>
              <w:rPr>
                <w:rFonts w:eastAsia="仿宋"/>
                <w:b/>
                <w:color w:val="auto"/>
                <w:sz w:val="24"/>
                <w:szCs w:val="22"/>
                <w:highlight w:val="none"/>
              </w:rPr>
              <w:t>投标人须知前附表</w:t>
            </w:r>
          </w:p>
        </w:tc>
      </w:tr>
      <w:tr w14:paraId="74A3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jc w:val="center"/>
        </w:trPr>
        <w:tc>
          <w:tcPr>
            <w:tcW w:w="793" w:type="dxa"/>
            <w:vAlign w:val="center"/>
          </w:tcPr>
          <w:p w14:paraId="5CE6F2FC">
            <w:pPr>
              <w:spacing w:line="460" w:lineRule="exact"/>
              <w:jc w:val="center"/>
              <w:rPr>
                <w:rFonts w:eastAsia="仿宋"/>
                <w:b/>
                <w:color w:val="auto"/>
                <w:sz w:val="24"/>
                <w:szCs w:val="22"/>
                <w:highlight w:val="none"/>
              </w:rPr>
            </w:pPr>
            <w:r>
              <w:rPr>
                <w:rFonts w:eastAsia="仿宋"/>
                <w:b/>
                <w:color w:val="auto"/>
                <w:sz w:val="24"/>
                <w:szCs w:val="22"/>
                <w:highlight w:val="none"/>
              </w:rPr>
              <w:t>序号</w:t>
            </w:r>
          </w:p>
        </w:tc>
        <w:tc>
          <w:tcPr>
            <w:tcW w:w="8494" w:type="dxa"/>
            <w:vAlign w:val="center"/>
          </w:tcPr>
          <w:p w14:paraId="01D4AE7E">
            <w:pPr>
              <w:spacing w:line="460" w:lineRule="exact"/>
              <w:jc w:val="center"/>
              <w:rPr>
                <w:rFonts w:eastAsia="仿宋"/>
                <w:b/>
                <w:color w:val="auto"/>
                <w:sz w:val="24"/>
                <w:szCs w:val="22"/>
                <w:highlight w:val="none"/>
              </w:rPr>
            </w:pPr>
            <w:r>
              <w:rPr>
                <w:rFonts w:eastAsia="仿宋"/>
                <w:b/>
                <w:color w:val="auto"/>
                <w:sz w:val="24"/>
                <w:szCs w:val="22"/>
                <w:highlight w:val="none"/>
              </w:rPr>
              <w:t>内     容</w:t>
            </w:r>
          </w:p>
        </w:tc>
      </w:tr>
      <w:tr w14:paraId="120C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93" w:type="dxa"/>
            <w:vAlign w:val="center"/>
          </w:tcPr>
          <w:p w14:paraId="2F553C2D">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8494" w:type="dxa"/>
            <w:vAlign w:val="center"/>
          </w:tcPr>
          <w:p w14:paraId="6B155067">
            <w:pPr>
              <w:spacing w:line="460" w:lineRule="exact"/>
              <w:rPr>
                <w:rFonts w:hint="eastAsia" w:eastAsia="仿宋"/>
                <w:color w:val="auto"/>
                <w:sz w:val="24"/>
                <w:szCs w:val="22"/>
                <w:highlight w:val="none"/>
                <w:lang w:eastAsia="zh-CN"/>
              </w:rPr>
            </w:pPr>
            <w:r>
              <w:rPr>
                <w:rFonts w:eastAsia="仿宋"/>
                <w:b/>
                <w:color w:val="auto"/>
                <w:sz w:val="24"/>
                <w:szCs w:val="22"/>
                <w:highlight w:val="none"/>
              </w:rPr>
              <w:t>项目名称：</w:t>
            </w:r>
            <w:r>
              <w:rPr>
                <w:rFonts w:hint="eastAsia" w:eastAsia="仿宋"/>
                <w:color w:val="auto"/>
                <w:sz w:val="24"/>
                <w:szCs w:val="24"/>
                <w:highlight w:val="none"/>
                <w:lang w:eastAsia="zh-CN"/>
              </w:rPr>
              <w:t>江西省消防救援总队自然灾害应急能力提升工程装备配备项目（车辆类）</w:t>
            </w:r>
          </w:p>
          <w:p w14:paraId="4D32F7C8">
            <w:pPr>
              <w:spacing w:line="460" w:lineRule="exact"/>
              <w:rPr>
                <w:rFonts w:hint="eastAsia" w:eastAsia="仿宋"/>
                <w:color w:val="auto"/>
                <w:sz w:val="24"/>
                <w:szCs w:val="24"/>
                <w:highlight w:val="none"/>
                <w:lang w:eastAsia="zh-CN"/>
              </w:rPr>
            </w:pPr>
            <w:r>
              <w:rPr>
                <w:rFonts w:eastAsia="仿宋"/>
                <w:b/>
                <w:color w:val="auto"/>
                <w:sz w:val="24"/>
                <w:szCs w:val="22"/>
                <w:highlight w:val="none"/>
              </w:rPr>
              <w:t>项目编号：</w:t>
            </w:r>
            <w:r>
              <w:rPr>
                <w:rFonts w:hint="eastAsia" w:eastAsia="仿宋"/>
                <w:color w:val="auto"/>
                <w:sz w:val="24"/>
                <w:szCs w:val="24"/>
                <w:highlight w:val="none"/>
                <w:lang w:eastAsia="zh-CN"/>
              </w:rPr>
              <w:t>HSH2024ZG015</w:t>
            </w:r>
          </w:p>
          <w:p w14:paraId="7ED9122D">
            <w:pPr>
              <w:spacing w:line="460" w:lineRule="exact"/>
              <w:rPr>
                <w:rFonts w:eastAsia="仿宋"/>
                <w:color w:val="auto"/>
                <w:sz w:val="24"/>
                <w:szCs w:val="22"/>
                <w:highlight w:val="none"/>
              </w:rPr>
            </w:pPr>
            <w:r>
              <w:rPr>
                <w:rFonts w:eastAsia="仿宋"/>
                <w:b/>
                <w:color w:val="auto"/>
                <w:sz w:val="24"/>
                <w:szCs w:val="22"/>
                <w:highlight w:val="none"/>
              </w:rPr>
              <w:t>项目属性：</w:t>
            </w:r>
            <w:r>
              <w:rPr>
                <w:rFonts w:eastAsia="仿宋"/>
                <w:color w:val="auto"/>
                <w:sz w:val="24"/>
                <w:szCs w:val="22"/>
                <w:highlight w:val="none"/>
              </w:rPr>
              <w:t>货物类</w:t>
            </w:r>
          </w:p>
        </w:tc>
      </w:tr>
      <w:tr w14:paraId="1F4C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793" w:type="dxa"/>
            <w:vAlign w:val="center"/>
          </w:tcPr>
          <w:p w14:paraId="2E3B2CFE">
            <w:pPr>
              <w:spacing w:line="460" w:lineRule="exact"/>
              <w:jc w:val="center"/>
              <w:rPr>
                <w:rFonts w:eastAsia="仿宋"/>
                <w:color w:val="auto"/>
                <w:sz w:val="24"/>
                <w:szCs w:val="22"/>
                <w:highlight w:val="none"/>
              </w:rPr>
            </w:pPr>
            <w:r>
              <w:rPr>
                <w:rFonts w:eastAsia="仿宋"/>
                <w:color w:val="auto"/>
                <w:sz w:val="24"/>
                <w:szCs w:val="22"/>
                <w:highlight w:val="none"/>
              </w:rPr>
              <w:t>2</w:t>
            </w:r>
          </w:p>
        </w:tc>
        <w:tc>
          <w:tcPr>
            <w:tcW w:w="8494" w:type="dxa"/>
            <w:vAlign w:val="center"/>
          </w:tcPr>
          <w:p w14:paraId="1379E260">
            <w:pPr>
              <w:widowControl/>
              <w:spacing w:line="460" w:lineRule="exact"/>
              <w:jc w:val="left"/>
              <w:rPr>
                <w:rFonts w:eastAsia="仿宋"/>
                <w:bCs/>
                <w:color w:val="auto"/>
                <w:sz w:val="24"/>
                <w:szCs w:val="22"/>
                <w:highlight w:val="none"/>
              </w:rPr>
            </w:pPr>
            <w:r>
              <w:rPr>
                <w:rFonts w:eastAsia="仿宋"/>
                <w:color w:val="auto"/>
                <w:sz w:val="24"/>
                <w:szCs w:val="22"/>
                <w:highlight w:val="none"/>
              </w:rPr>
              <w:t>本次采购为国产产品，不允许提供进口产品参与采购活动，提供进口产品参与采购活动的视为无效投标。</w:t>
            </w:r>
          </w:p>
          <w:p w14:paraId="5FDF40E6">
            <w:pPr>
              <w:pStyle w:val="71"/>
              <w:autoSpaceDE w:val="0"/>
              <w:autoSpaceDN w:val="0"/>
              <w:spacing w:line="460" w:lineRule="exact"/>
              <w:ind w:left="-109" w:leftChars="-52" w:firstLine="0" w:firstLineChars="0"/>
              <w:rPr>
                <w:rFonts w:eastAsia="仿宋"/>
                <w:color w:val="auto"/>
                <w:sz w:val="24"/>
                <w:szCs w:val="24"/>
                <w:highlight w:val="none"/>
              </w:rPr>
            </w:pPr>
            <w:r>
              <w:rPr>
                <w:rFonts w:eastAsia="仿宋"/>
                <w:b/>
                <w:color w:val="auto"/>
                <w:sz w:val="24"/>
                <w:szCs w:val="24"/>
                <w:highlight w:val="none"/>
              </w:rPr>
              <w:t>注：关于关境和海关特殊监管区域产品认定</w:t>
            </w:r>
            <w:r>
              <w:rPr>
                <w:rFonts w:hint="eastAsia" w:eastAsia="仿宋"/>
                <w:b/>
                <w:color w:val="auto"/>
                <w:sz w:val="24"/>
                <w:szCs w:val="24"/>
                <w:highlight w:val="none"/>
                <w:lang w:eastAsia="zh-CN"/>
              </w:rPr>
              <w:t>“</w:t>
            </w:r>
            <w:r>
              <w:rPr>
                <w:rFonts w:eastAsia="仿宋"/>
                <w:b/>
                <w:color w:val="auto"/>
                <w:sz w:val="24"/>
                <w:szCs w:val="24"/>
                <w:highlight w:val="none"/>
              </w:rPr>
              <w:t>根据《中华人民共和国海关法》</w:t>
            </w:r>
            <w:r>
              <w:rPr>
                <w:rFonts w:hint="eastAsia" w:eastAsia="仿宋"/>
                <w:b/>
                <w:color w:val="auto"/>
                <w:sz w:val="24"/>
                <w:szCs w:val="24"/>
                <w:highlight w:val="none"/>
                <w:lang w:eastAsia="zh-CN"/>
              </w:rPr>
              <w:t>（</w:t>
            </w:r>
            <w:r>
              <w:rPr>
                <w:rFonts w:eastAsia="仿宋"/>
                <w:b/>
                <w:color w:val="auto"/>
                <w:sz w:val="24"/>
                <w:szCs w:val="24"/>
                <w:highlight w:val="none"/>
              </w:rPr>
              <w:t>以下简称海关法</w:t>
            </w:r>
            <w:r>
              <w:rPr>
                <w:rFonts w:hint="eastAsia" w:eastAsia="仿宋"/>
                <w:b/>
                <w:color w:val="auto"/>
                <w:sz w:val="24"/>
                <w:szCs w:val="24"/>
                <w:highlight w:val="none"/>
                <w:lang w:eastAsia="zh-CN"/>
              </w:rPr>
              <w:t>）</w:t>
            </w:r>
            <w:r>
              <w:rPr>
                <w:rFonts w:eastAsia="仿宋"/>
                <w:b/>
                <w:color w:val="auto"/>
                <w:sz w:val="24"/>
                <w:szCs w:val="24"/>
                <w:highlight w:val="none"/>
              </w:rPr>
              <w:t>的规定，我国现行关境是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这些区域仅在关税待遇及贸易管制方面实施不同于我国关境内其他地区的特殊政策，但仍属于中华人民共和国关境内区域，由海关按照海关法实施监管。因此，凡在海关特殊监管区域内企业生产或加工</w:t>
            </w:r>
            <w:r>
              <w:rPr>
                <w:rFonts w:hint="eastAsia" w:eastAsia="仿宋"/>
                <w:b/>
                <w:color w:val="auto"/>
                <w:sz w:val="24"/>
                <w:szCs w:val="24"/>
                <w:highlight w:val="none"/>
                <w:lang w:eastAsia="zh-CN"/>
              </w:rPr>
              <w:t>（</w:t>
            </w:r>
            <w:r>
              <w:rPr>
                <w:rFonts w:eastAsia="仿宋"/>
                <w:b/>
                <w:color w:val="auto"/>
                <w:sz w:val="24"/>
                <w:szCs w:val="24"/>
                <w:highlight w:val="none"/>
              </w:rPr>
              <w:t>包括从境外进口料件</w:t>
            </w:r>
            <w:r>
              <w:rPr>
                <w:rFonts w:hint="eastAsia" w:eastAsia="仿宋"/>
                <w:b/>
                <w:color w:val="auto"/>
                <w:sz w:val="24"/>
                <w:szCs w:val="24"/>
                <w:highlight w:val="none"/>
                <w:lang w:eastAsia="zh-CN"/>
              </w:rPr>
              <w:t>）</w:t>
            </w:r>
            <w:r>
              <w:rPr>
                <w:rFonts w:eastAsia="仿宋"/>
                <w:b/>
                <w:color w:val="auto"/>
                <w:sz w:val="24"/>
                <w:szCs w:val="24"/>
                <w:highlight w:val="none"/>
              </w:rPr>
              <w:t>销往境内其他地区的产品，不作为政府采购项下进口产品。对从境外进入海关特殊监管区域，再经办理报关手续后从海关特殊监管区进入境内其他地区的产品，应当认定为进口产品</w:t>
            </w:r>
            <w:r>
              <w:rPr>
                <w:rFonts w:hint="eastAsia" w:eastAsia="仿宋"/>
                <w:b/>
                <w:color w:val="auto"/>
                <w:sz w:val="24"/>
                <w:szCs w:val="24"/>
                <w:highlight w:val="none"/>
                <w:lang w:eastAsia="zh-CN"/>
              </w:rPr>
              <w:t>”</w:t>
            </w:r>
            <w:r>
              <w:rPr>
                <w:rFonts w:eastAsia="仿宋"/>
                <w:b/>
                <w:color w:val="auto"/>
                <w:sz w:val="24"/>
                <w:szCs w:val="24"/>
                <w:highlight w:val="none"/>
              </w:rPr>
              <w:t>。</w:t>
            </w:r>
          </w:p>
        </w:tc>
      </w:tr>
      <w:tr w14:paraId="06CF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93" w:type="dxa"/>
            <w:vAlign w:val="center"/>
          </w:tcPr>
          <w:p w14:paraId="046F47EC">
            <w:pPr>
              <w:spacing w:line="460" w:lineRule="exact"/>
              <w:jc w:val="center"/>
              <w:rPr>
                <w:rFonts w:eastAsia="仿宋"/>
                <w:color w:val="auto"/>
                <w:sz w:val="24"/>
                <w:szCs w:val="22"/>
                <w:highlight w:val="none"/>
              </w:rPr>
            </w:pPr>
            <w:r>
              <w:rPr>
                <w:rFonts w:eastAsia="仿宋"/>
                <w:color w:val="auto"/>
                <w:sz w:val="24"/>
                <w:szCs w:val="22"/>
                <w:highlight w:val="none"/>
              </w:rPr>
              <w:t>3</w:t>
            </w:r>
          </w:p>
        </w:tc>
        <w:tc>
          <w:tcPr>
            <w:tcW w:w="8494" w:type="dxa"/>
            <w:vAlign w:val="center"/>
          </w:tcPr>
          <w:p w14:paraId="13BB1B2C">
            <w:pPr>
              <w:spacing w:line="460" w:lineRule="exact"/>
              <w:rPr>
                <w:rFonts w:eastAsia="仿宋"/>
                <w:color w:val="auto"/>
                <w:sz w:val="24"/>
                <w:szCs w:val="22"/>
                <w:highlight w:val="none"/>
              </w:rPr>
            </w:pPr>
            <w:r>
              <w:rPr>
                <w:rFonts w:eastAsia="仿宋"/>
                <w:b/>
                <w:color w:val="auto"/>
                <w:sz w:val="24"/>
                <w:szCs w:val="22"/>
                <w:highlight w:val="none"/>
              </w:rPr>
              <w:t>投标有效期</w:t>
            </w:r>
            <w:r>
              <w:rPr>
                <w:rFonts w:eastAsia="仿宋"/>
                <w:color w:val="auto"/>
                <w:sz w:val="24"/>
                <w:szCs w:val="22"/>
                <w:highlight w:val="none"/>
              </w:rPr>
              <w:t>：自开标之日起不少于九十个日历日。</w:t>
            </w:r>
          </w:p>
        </w:tc>
      </w:tr>
      <w:tr w14:paraId="2D2D7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14:paraId="0AC70A4F">
            <w:pPr>
              <w:spacing w:line="460" w:lineRule="exact"/>
              <w:jc w:val="center"/>
              <w:rPr>
                <w:rFonts w:eastAsia="仿宋"/>
                <w:color w:val="auto"/>
                <w:sz w:val="24"/>
                <w:szCs w:val="22"/>
                <w:highlight w:val="none"/>
              </w:rPr>
            </w:pPr>
            <w:r>
              <w:rPr>
                <w:rFonts w:eastAsia="仿宋"/>
                <w:color w:val="auto"/>
                <w:sz w:val="24"/>
                <w:szCs w:val="22"/>
                <w:highlight w:val="none"/>
              </w:rPr>
              <w:t>4</w:t>
            </w:r>
          </w:p>
        </w:tc>
        <w:tc>
          <w:tcPr>
            <w:tcW w:w="8494" w:type="dxa"/>
            <w:vAlign w:val="center"/>
          </w:tcPr>
          <w:p w14:paraId="16D4553F">
            <w:pPr>
              <w:spacing w:line="460" w:lineRule="exact"/>
              <w:rPr>
                <w:rFonts w:eastAsia="仿宋"/>
                <w:color w:val="auto"/>
                <w:sz w:val="24"/>
                <w:szCs w:val="22"/>
                <w:highlight w:val="none"/>
              </w:rPr>
            </w:pPr>
            <w:r>
              <w:rPr>
                <w:rFonts w:eastAsia="仿宋"/>
                <w:color w:val="auto"/>
                <w:sz w:val="24"/>
                <w:szCs w:val="22"/>
                <w:highlight w:val="none"/>
              </w:rPr>
              <w:t>提交投标文件截止时间、开标时间和地点：</w:t>
            </w:r>
          </w:p>
          <w:p w14:paraId="338BB54F">
            <w:pPr>
              <w:spacing w:line="460" w:lineRule="exact"/>
              <w:rPr>
                <w:rFonts w:eastAsia="仿宋"/>
                <w:color w:val="auto"/>
                <w:sz w:val="24"/>
                <w:szCs w:val="22"/>
                <w:highlight w:val="none"/>
              </w:rPr>
            </w:pPr>
            <w:r>
              <w:rPr>
                <w:rFonts w:eastAsia="仿宋"/>
                <w:color w:val="auto"/>
                <w:sz w:val="24"/>
                <w:szCs w:val="22"/>
                <w:highlight w:val="none"/>
              </w:rPr>
              <w:t>1.提交投标文件截止时间和开标时间：详见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p w14:paraId="0232AEEE">
            <w:pPr>
              <w:spacing w:line="460" w:lineRule="exact"/>
              <w:rPr>
                <w:rFonts w:eastAsia="仿宋"/>
                <w:b/>
                <w:color w:val="auto"/>
                <w:sz w:val="24"/>
                <w:szCs w:val="22"/>
                <w:highlight w:val="none"/>
              </w:rPr>
            </w:pPr>
            <w:r>
              <w:rPr>
                <w:rFonts w:eastAsia="仿宋"/>
                <w:color w:val="auto"/>
                <w:sz w:val="24"/>
                <w:szCs w:val="22"/>
                <w:highlight w:val="none"/>
              </w:rPr>
              <w:t>2.开标地点：详见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tc>
      </w:tr>
      <w:tr w14:paraId="465D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14:paraId="059D948A">
            <w:pPr>
              <w:spacing w:line="460" w:lineRule="exact"/>
              <w:jc w:val="center"/>
              <w:rPr>
                <w:rFonts w:eastAsia="仿宋"/>
                <w:color w:val="auto"/>
                <w:sz w:val="24"/>
                <w:szCs w:val="22"/>
                <w:highlight w:val="none"/>
              </w:rPr>
            </w:pPr>
            <w:r>
              <w:rPr>
                <w:rFonts w:eastAsia="仿宋"/>
                <w:color w:val="auto"/>
                <w:sz w:val="24"/>
                <w:szCs w:val="22"/>
                <w:highlight w:val="none"/>
              </w:rPr>
              <w:t>5</w:t>
            </w:r>
          </w:p>
        </w:tc>
        <w:tc>
          <w:tcPr>
            <w:tcW w:w="8494" w:type="dxa"/>
            <w:vAlign w:val="center"/>
          </w:tcPr>
          <w:p w14:paraId="2420097E">
            <w:pPr>
              <w:spacing w:line="460" w:lineRule="exact"/>
              <w:rPr>
                <w:rFonts w:eastAsia="仿宋"/>
                <w:color w:val="auto"/>
                <w:sz w:val="24"/>
                <w:szCs w:val="22"/>
                <w:highlight w:val="none"/>
              </w:rPr>
            </w:pPr>
            <w:r>
              <w:rPr>
                <w:rFonts w:eastAsia="仿宋"/>
                <w:color w:val="auto"/>
                <w:sz w:val="24"/>
                <w:szCs w:val="22"/>
                <w:highlight w:val="none"/>
              </w:rPr>
              <w:t>1.合格的投标人资格证明文件：详见第四章 投标文件格式</w:t>
            </w:r>
            <w:r>
              <w:rPr>
                <w:rFonts w:hint="eastAsia" w:eastAsia="仿宋"/>
                <w:color w:val="auto"/>
                <w:sz w:val="24"/>
                <w:szCs w:val="22"/>
                <w:highlight w:val="none"/>
                <w:lang w:eastAsia="zh-CN"/>
              </w:rPr>
              <w:t>“</w:t>
            </w:r>
            <w:r>
              <w:rPr>
                <w:rFonts w:eastAsia="仿宋"/>
                <w:color w:val="auto"/>
                <w:sz w:val="24"/>
                <w:szCs w:val="22"/>
                <w:highlight w:val="none"/>
              </w:rPr>
              <w:t>资格证明文件</w:t>
            </w:r>
            <w:r>
              <w:rPr>
                <w:rFonts w:hint="eastAsia" w:eastAsia="仿宋"/>
                <w:color w:val="auto"/>
                <w:sz w:val="24"/>
                <w:szCs w:val="22"/>
                <w:highlight w:val="none"/>
                <w:lang w:eastAsia="zh-CN"/>
              </w:rPr>
              <w:t>”</w:t>
            </w:r>
            <w:r>
              <w:rPr>
                <w:rFonts w:eastAsia="仿宋"/>
                <w:color w:val="auto"/>
                <w:sz w:val="24"/>
                <w:szCs w:val="22"/>
                <w:highlight w:val="none"/>
              </w:rPr>
              <w:t>。</w:t>
            </w:r>
          </w:p>
          <w:p w14:paraId="7608B051">
            <w:pPr>
              <w:spacing w:line="460" w:lineRule="exact"/>
              <w:rPr>
                <w:rFonts w:eastAsia="仿宋"/>
                <w:color w:val="auto"/>
                <w:sz w:val="24"/>
                <w:szCs w:val="22"/>
                <w:highlight w:val="none"/>
              </w:rPr>
            </w:pPr>
            <w:r>
              <w:rPr>
                <w:rFonts w:eastAsia="仿宋"/>
                <w:color w:val="auto"/>
                <w:sz w:val="24"/>
                <w:szCs w:val="22"/>
                <w:highlight w:val="none"/>
              </w:rPr>
              <w:t>2.根据《财政部关于在政府采购活动中查询及使用信用记录有关问题的通知》财库【2016】125号文规定，对在本项目投标截止时间前被列入失信被执行人、重大税收违法失信主体、政府采购严重违法失信行为记录名单以及其他不符合《中华人民共和国政府采购法》第二十二条规定条件的投标人，将拒绝其参与政府采购活动。</w:t>
            </w:r>
          </w:p>
          <w:p w14:paraId="1F21D282">
            <w:pPr>
              <w:spacing w:line="460" w:lineRule="exact"/>
              <w:rPr>
                <w:rFonts w:eastAsia="仿宋"/>
                <w:b/>
                <w:color w:val="auto"/>
                <w:sz w:val="24"/>
                <w:szCs w:val="22"/>
                <w:highlight w:val="none"/>
              </w:rPr>
            </w:pPr>
            <w:r>
              <w:rPr>
                <w:rFonts w:eastAsia="仿宋"/>
                <w:b/>
                <w:color w:val="auto"/>
                <w:sz w:val="24"/>
                <w:szCs w:val="22"/>
                <w:highlight w:val="none"/>
              </w:rPr>
              <w:t>资格审查期间,投标人的上述相关信用信息将由采购代理机构通过</w:t>
            </w:r>
            <w:r>
              <w:rPr>
                <w:rFonts w:hint="eastAsia" w:eastAsia="仿宋"/>
                <w:b/>
                <w:color w:val="auto"/>
                <w:sz w:val="24"/>
                <w:szCs w:val="22"/>
                <w:highlight w:val="none"/>
                <w:lang w:eastAsia="zh-CN"/>
              </w:rPr>
              <w:t>“</w:t>
            </w:r>
            <w:r>
              <w:rPr>
                <w:rFonts w:eastAsia="仿宋"/>
                <w:b/>
                <w:color w:val="auto"/>
                <w:sz w:val="24"/>
                <w:szCs w:val="22"/>
                <w:highlight w:val="none"/>
              </w:rPr>
              <w:t>信用中国</w:t>
            </w:r>
            <w:r>
              <w:rPr>
                <w:rFonts w:hint="eastAsia" w:eastAsia="仿宋"/>
                <w:b/>
                <w:color w:val="auto"/>
                <w:sz w:val="24"/>
                <w:szCs w:val="22"/>
                <w:highlight w:val="none"/>
                <w:lang w:eastAsia="zh-CN"/>
              </w:rPr>
              <w:t>”</w:t>
            </w:r>
            <w:r>
              <w:rPr>
                <w:rFonts w:eastAsia="仿宋"/>
                <w:b/>
                <w:color w:val="auto"/>
                <w:sz w:val="24"/>
                <w:szCs w:val="22"/>
                <w:highlight w:val="none"/>
              </w:rPr>
              <w:t>网站、中国政府采购网进行查询。</w:t>
            </w:r>
          </w:p>
        </w:tc>
      </w:tr>
      <w:tr w14:paraId="3399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14:paraId="44875E58">
            <w:pPr>
              <w:spacing w:line="460" w:lineRule="exact"/>
              <w:jc w:val="center"/>
              <w:rPr>
                <w:rFonts w:eastAsia="仿宋"/>
                <w:color w:val="auto"/>
                <w:sz w:val="24"/>
                <w:szCs w:val="22"/>
                <w:highlight w:val="none"/>
              </w:rPr>
            </w:pPr>
            <w:r>
              <w:rPr>
                <w:rFonts w:eastAsia="仿宋"/>
                <w:color w:val="auto"/>
                <w:sz w:val="24"/>
                <w:szCs w:val="22"/>
                <w:highlight w:val="none"/>
              </w:rPr>
              <w:t>6</w:t>
            </w:r>
          </w:p>
        </w:tc>
        <w:tc>
          <w:tcPr>
            <w:tcW w:w="8494" w:type="dxa"/>
            <w:vAlign w:val="center"/>
          </w:tcPr>
          <w:p w14:paraId="57EF487F">
            <w:pPr>
              <w:spacing w:line="460" w:lineRule="exact"/>
              <w:rPr>
                <w:rFonts w:eastAsia="仿宋"/>
                <w:b/>
                <w:bCs/>
                <w:color w:val="auto"/>
                <w:sz w:val="24"/>
                <w:szCs w:val="22"/>
                <w:highlight w:val="none"/>
              </w:rPr>
            </w:pPr>
            <w:r>
              <w:rPr>
                <w:rFonts w:eastAsia="仿宋"/>
                <w:b/>
                <w:bCs/>
                <w:color w:val="auto"/>
                <w:sz w:val="24"/>
                <w:szCs w:val="22"/>
                <w:highlight w:val="none"/>
              </w:rPr>
              <w:t>1.投标文件的密封与标记：</w:t>
            </w:r>
          </w:p>
          <w:p w14:paraId="3AE0E2F5">
            <w:pPr>
              <w:spacing w:line="460" w:lineRule="exact"/>
              <w:rPr>
                <w:rFonts w:eastAsia="仿宋"/>
                <w:color w:val="auto"/>
                <w:sz w:val="24"/>
                <w:szCs w:val="22"/>
                <w:highlight w:val="none"/>
              </w:rPr>
            </w:pPr>
            <w:r>
              <w:rPr>
                <w:rFonts w:eastAsia="仿宋"/>
                <w:color w:val="auto"/>
                <w:sz w:val="24"/>
                <w:szCs w:val="22"/>
                <w:highlight w:val="none"/>
              </w:rPr>
              <w:t>投标人应准备</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正本一份和副本六份</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须清楚地标明</w:t>
            </w:r>
            <w:r>
              <w:rPr>
                <w:rFonts w:hint="eastAsia" w:eastAsia="仿宋"/>
                <w:b/>
                <w:bCs/>
                <w:color w:val="auto"/>
                <w:sz w:val="24"/>
                <w:szCs w:val="22"/>
                <w:highlight w:val="none"/>
                <w:lang w:eastAsia="zh-CN"/>
              </w:rPr>
              <w:t>“</w:t>
            </w:r>
            <w:r>
              <w:rPr>
                <w:rFonts w:eastAsia="仿宋"/>
                <w:b/>
                <w:bCs/>
                <w:color w:val="auto"/>
                <w:sz w:val="24"/>
                <w:szCs w:val="22"/>
                <w:highlight w:val="none"/>
              </w:rPr>
              <w:t>正本</w:t>
            </w:r>
            <w:r>
              <w:rPr>
                <w:rFonts w:hint="eastAsia" w:eastAsia="仿宋"/>
                <w:b/>
                <w:bCs/>
                <w:color w:val="auto"/>
                <w:sz w:val="24"/>
                <w:szCs w:val="22"/>
                <w:highlight w:val="none"/>
                <w:lang w:eastAsia="zh-CN"/>
              </w:rPr>
              <w:t>”</w:t>
            </w:r>
            <w:r>
              <w:rPr>
                <w:rFonts w:eastAsia="仿宋"/>
                <w:color w:val="auto"/>
                <w:sz w:val="24"/>
                <w:szCs w:val="22"/>
                <w:highlight w:val="none"/>
              </w:rPr>
              <w:t>或</w:t>
            </w:r>
            <w:r>
              <w:rPr>
                <w:rFonts w:hint="eastAsia" w:eastAsia="仿宋"/>
                <w:b/>
                <w:bCs/>
                <w:color w:val="auto"/>
                <w:sz w:val="24"/>
                <w:szCs w:val="22"/>
                <w:highlight w:val="none"/>
                <w:lang w:eastAsia="zh-CN"/>
              </w:rPr>
              <w:t>“</w:t>
            </w:r>
            <w:r>
              <w:rPr>
                <w:rFonts w:eastAsia="仿宋"/>
                <w:b/>
                <w:bCs/>
                <w:color w:val="auto"/>
                <w:sz w:val="24"/>
                <w:szCs w:val="22"/>
                <w:highlight w:val="none"/>
              </w:rPr>
              <w:t>副本</w:t>
            </w:r>
            <w:r>
              <w:rPr>
                <w:rFonts w:hint="eastAsia" w:eastAsia="仿宋"/>
                <w:b/>
                <w:bCs/>
                <w:color w:val="auto"/>
                <w:sz w:val="24"/>
                <w:szCs w:val="22"/>
                <w:highlight w:val="none"/>
                <w:lang w:eastAsia="zh-CN"/>
              </w:rPr>
              <w:t>”</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正本须打印，</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的副本可采用正本的复印件。若正本和副本不符，以正本为准。投标人应将</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正本和所有的副本装在文件袋中加以密封，并在文件袋上标明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14:paraId="0CF7E8A2">
            <w:pPr>
              <w:spacing w:line="460" w:lineRule="exact"/>
              <w:rPr>
                <w:rFonts w:eastAsia="仿宋"/>
                <w:b/>
                <w:bCs/>
                <w:color w:val="auto"/>
                <w:sz w:val="24"/>
                <w:szCs w:val="22"/>
                <w:highlight w:val="none"/>
              </w:rPr>
            </w:pPr>
            <w:r>
              <w:rPr>
                <w:rFonts w:eastAsia="仿宋"/>
                <w:b/>
                <w:bCs/>
                <w:color w:val="auto"/>
                <w:sz w:val="24"/>
                <w:szCs w:val="22"/>
                <w:highlight w:val="none"/>
              </w:rPr>
              <w:t>2.开标一览表的密封与标记（须包含开标一览表明细）：</w:t>
            </w:r>
          </w:p>
          <w:p w14:paraId="08B2D280">
            <w:pPr>
              <w:spacing w:line="460" w:lineRule="exact"/>
              <w:rPr>
                <w:rFonts w:eastAsia="仿宋"/>
                <w:color w:val="auto"/>
                <w:sz w:val="24"/>
                <w:szCs w:val="22"/>
                <w:highlight w:val="none"/>
              </w:rPr>
            </w:pPr>
            <w:r>
              <w:rPr>
                <w:rFonts w:eastAsia="仿宋"/>
                <w:color w:val="auto"/>
                <w:sz w:val="24"/>
                <w:szCs w:val="22"/>
                <w:highlight w:val="none"/>
              </w:rPr>
              <w:t>投标人应将</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（同时</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w:t>
            </w:r>
            <w:r>
              <w:rPr>
                <w:rFonts w:hint="eastAsia" w:eastAsia="仿宋"/>
                <w:color w:val="auto"/>
                <w:sz w:val="24"/>
                <w:szCs w:val="22"/>
                <w:highlight w:val="none"/>
                <w:lang w:val="en-US" w:eastAsia="zh-CN"/>
              </w:rPr>
              <w:t>本</w:t>
            </w:r>
            <w:r>
              <w:rPr>
                <w:rFonts w:eastAsia="仿宋"/>
                <w:color w:val="auto"/>
                <w:sz w:val="24"/>
                <w:szCs w:val="22"/>
                <w:highlight w:val="none"/>
              </w:rPr>
              <w:t>、副本中也</w:t>
            </w:r>
            <w:r>
              <w:rPr>
                <w:rFonts w:hint="eastAsia" w:eastAsia="仿宋"/>
                <w:color w:val="auto"/>
                <w:sz w:val="24"/>
                <w:szCs w:val="22"/>
                <w:highlight w:val="none"/>
                <w:lang w:val="en-US" w:eastAsia="zh-CN"/>
              </w:rPr>
              <w:t>须</w:t>
            </w:r>
            <w:r>
              <w:rPr>
                <w:rFonts w:eastAsia="仿宋"/>
                <w:color w:val="auto"/>
                <w:sz w:val="24"/>
                <w:szCs w:val="22"/>
                <w:highlight w:val="none"/>
              </w:rPr>
              <w:t>附有）单独密封，在信封上标明</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字样，并在信封上标明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14:paraId="66878966">
            <w:pPr>
              <w:spacing w:line="460" w:lineRule="exact"/>
              <w:rPr>
                <w:rFonts w:hint="default" w:eastAsia="仿宋"/>
                <w:b/>
                <w:bCs/>
                <w:color w:val="auto"/>
                <w:sz w:val="24"/>
                <w:szCs w:val="22"/>
                <w:highlight w:val="none"/>
                <w:lang w:val="en-US" w:eastAsia="zh-CN"/>
              </w:rPr>
            </w:pPr>
            <w:r>
              <w:rPr>
                <w:rFonts w:eastAsia="仿宋"/>
                <w:b/>
                <w:bCs/>
                <w:color w:val="auto"/>
                <w:sz w:val="24"/>
                <w:szCs w:val="22"/>
                <w:highlight w:val="none"/>
              </w:rPr>
              <w:t>3.</w:t>
            </w:r>
            <w:r>
              <w:rPr>
                <w:rFonts w:hint="eastAsia" w:eastAsia="仿宋"/>
                <w:b/>
                <w:bCs/>
                <w:color w:val="auto"/>
                <w:sz w:val="24"/>
                <w:szCs w:val="22"/>
                <w:highlight w:val="none"/>
                <w:lang w:val="en-US" w:eastAsia="zh-CN"/>
              </w:rPr>
              <w:t>电子投标文件的密封与标记：</w:t>
            </w:r>
          </w:p>
          <w:p w14:paraId="7BCA10E8">
            <w:pPr>
              <w:spacing w:line="460" w:lineRule="exact"/>
              <w:rPr>
                <w:rFonts w:eastAsia="仿宋"/>
                <w:b/>
                <w:bCs/>
                <w:color w:val="auto"/>
                <w:sz w:val="24"/>
                <w:szCs w:val="22"/>
                <w:highlight w:val="none"/>
              </w:rPr>
            </w:pPr>
            <w:r>
              <w:rPr>
                <w:rFonts w:hint="eastAsia" w:eastAsia="仿宋"/>
                <w:color w:val="auto"/>
                <w:sz w:val="24"/>
                <w:szCs w:val="22"/>
                <w:highlight w:val="none"/>
                <w:lang w:val="en-US" w:eastAsia="zh-CN"/>
              </w:rPr>
              <w:t>提供</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正本盖章后的扫描件PDF格式</w:t>
            </w:r>
            <w:r>
              <w:rPr>
                <w:rFonts w:hint="eastAsia" w:eastAsia="仿宋"/>
                <w:b/>
                <w:bCs/>
                <w:color w:val="auto"/>
                <w:sz w:val="24"/>
                <w:szCs w:val="22"/>
                <w:highlight w:val="none"/>
                <w:lang w:val="en-US" w:eastAsia="zh-CN"/>
              </w:rPr>
              <w:t>壹份</w:t>
            </w:r>
            <w:r>
              <w:rPr>
                <w:rFonts w:eastAsia="仿宋"/>
                <w:color w:val="auto"/>
                <w:sz w:val="24"/>
                <w:szCs w:val="22"/>
                <w:highlight w:val="none"/>
              </w:rPr>
              <w:t>和</w:t>
            </w:r>
            <w:r>
              <w:rPr>
                <w:rFonts w:eastAsia="仿宋"/>
                <w:b/>
                <w:bCs/>
                <w:color w:val="auto"/>
                <w:sz w:val="24"/>
                <w:szCs w:val="22"/>
                <w:highlight w:val="none"/>
              </w:rPr>
              <w:t>电子投标文件WORD格式壹份</w:t>
            </w:r>
            <w:r>
              <w:rPr>
                <w:rFonts w:hint="eastAsia" w:eastAsia="仿宋"/>
                <w:b/>
                <w:bCs/>
                <w:color w:val="auto"/>
                <w:sz w:val="24"/>
                <w:szCs w:val="22"/>
                <w:highlight w:val="none"/>
                <w:lang w:eastAsia="zh-CN"/>
              </w:rPr>
              <w:t>，</w:t>
            </w:r>
            <w:r>
              <w:rPr>
                <w:rFonts w:hint="eastAsia" w:eastAsia="仿宋"/>
                <w:b w:val="0"/>
                <w:bCs w:val="0"/>
                <w:color w:val="auto"/>
                <w:sz w:val="24"/>
                <w:szCs w:val="22"/>
                <w:highlight w:val="none"/>
                <w:lang w:val="en-US" w:eastAsia="zh-CN"/>
              </w:rPr>
              <w:t>一并</w:t>
            </w:r>
            <w:r>
              <w:rPr>
                <w:rFonts w:eastAsia="仿宋"/>
                <w:color w:val="auto"/>
                <w:sz w:val="24"/>
                <w:szCs w:val="22"/>
                <w:highlight w:val="none"/>
              </w:rPr>
              <w:t>存入U盘</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单独密封</w:t>
            </w:r>
            <w:r>
              <w:rPr>
                <w:rFonts w:eastAsia="仿宋"/>
                <w:color w:val="auto"/>
                <w:sz w:val="24"/>
                <w:szCs w:val="22"/>
                <w:highlight w:val="none"/>
              </w:rPr>
              <w:t>提交，U盘不退</w:t>
            </w:r>
            <w:r>
              <w:rPr>
                <w:rFonts w:hint="eastAsia" w:eastAsia="仿宋"/>
                <w:color w:val="auto"/>
                <w:sz w:val="24"/>
                <w:szCs w:val="22"/>
                <w:highlight w:val="none"/>
                <w:lang w:eastAsia="zh-CN"/>
              </w:rPr>
              <w:t>，</w:t>
            </w:r>
            <w:r>
              <w:rPr>
                <w:rFonts w:eastAsia="仿宋"/>
                <w:color w:val="auto"/>
                <w:sz w:val="24"/>
                <w:szCs w:val="22"/>
                <w:highlight w:val="none"/>
              </w:rPr>
              <w:t>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hint="eastAsia" w:eastAsia="仿宋"/>
                <w:b/>
                <w:bCs/>
                <w:color w:val="auto"/>
                <w:sz w:val="24"/>
                <w:szCs w:val="22"/>
                <w:highlight w:val="none"/>
                <w:lang w:eastAsia="zh-CN"/>
              </w:rPr>
              <w:t>。</w:t>
            </w:r>
            <w:r>
              <w:rPr>
                <w:rFonts w:hint="eastAsia" w:eastAsia="仿宋"/>
                <w:color w:val="auto"/>
                <w:sz w:val="24"/>
                <w:szCs w:val="22"/>
                <w:highlight w:val="none"/>
                <w:lang w:eastAsia="zh-CN"/>
              </w:rPr>
              <w:t>“</w:t>
            </w:r>
            <w:r>
              <w:rPr>
                <w:rFonts w:eastAsia="仿宋"/>
                <w:color w:val="auto"/>
                <w:sz w:val="24"/>
                <w:szCs w:val="22"/>
                <w:highlight w:val="none"/>
              </w:rPr>
              <w:t>电子投标文件</w:t>
            </w:r>
            <w:r>
              <w:rPr>
                <w:rFonts w:hint="eastAsia" w:eastAsia="仿宋"/>
                <w:color w:val="auto"/>
                <w:sz w:val="24"/>
                <w:szCs w:val="22"/>
                <w:highlight w:val="none"/>
                <w:lang w:eastAsia="zh-CN"/>
              </w:rPr>
              <w:t>”</w:t>
            </w:r>
            <w:r>
              <w:rPr>
                <w:rFonts w:eastAsia="仿宋"/>
                <w:color w:val="auto"/>
                <w:sz w:val="24"/>
                <w:szCs w:val="22"/>
                <w:highlight w:val="none"/>
              </w:rPr>
              <w:t>必须与</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一致，</w:t>
            </w:r>
            <w:r>
              <w:rPr>
                <w:rFonts w:eastAsia="仿宋"/>
                <w:b/>
                <w:bCs/>
                <w:color w:val="auto"/>
                <w:sz w:val="24"/>
                <w:szCs w:val="22"/>
                <w:highlight w:val="none"/>
              </w:rPr>
              <w:t>U盘</w:t>
            </w:r>
            <w:r>
              <w:rPr>
                <w:rFonts w:hint="eastAsia" w:eastAsia="仿宋"/>
                <w:b/>
                <w:bCs/>
                <w:color w:val="auto"/>
                <w:sz w:val="24"/>
                <w:szCs w:val="22"/>
                <w:highlight w:val="none"/>
                <w:lang w:val="en-US" w:eastAsia="zh-CN"/>
              </w:rPr>
              <w:t>上</w:t>
            </w:r>
            <w:r>
              <w:rPr>
                <w:rFonts w:eastAsia="仿宋"/>
                <w:b/>
                <w:bCs/>
                <w:color w:val="auto"/>
                <w:sz w:val="24"/>
                <w:szCs w:val="22"/>
                <w:highlight w:val="none"/>
              </w:rPr>
              <w:t>请贴好标签，标签须备注投标人名称并简要描述U盘内容，例：**公司投标文件、**公司演示文件等。</w:t>
            </w:r>
          </w:p>
          <w:p w14:paraId="3C00B77C">
            <w:pPr>
              <w:spacing w:line="460" w:lineRule="exact"/>
              <w:rPr>
                <w:rFonts w:hint="eastAsia" w:eastAsia="仿宋"/>
                <w:b/>
                <w:bCs/>
                <w:color w:val="auto"/>
                <w:sz w:val="24"/>
                <w:szCs w:val="22"/>
                <w:highlight w:val="none"/>
                <w:lang w:eastAsia="zh-CN"/>
              </w:rPr>
            </w:pPr>
            <w:r>
              <w:rPr>
                <w:rFonts w:hint="eastAsia" w:eastAsia="仿宋"/>
                <w:b/>
                <w:bCs/>
                <w:color w:val="auto"/>
                <w:sz w:val="24"/>
                <w:szCs w:val="22"/>
                <w:highlight w:val="none"/>
                <w:lang w:val="en-US" w:eastAsia="zh-CN"/>
              </w:rPr>
              <w:t>注：演示文件须单独另存一个U盘，不得与电子投标文件一并存入同一个U盘，封标方式按照电子投标文件的密封与标记要求</w:t>
            </w:r>
            <w:r>
              <w:rPr>
                <w:rFonts w:hint="eastAsia" w:eastAsia="仿宋"/>
                <w:b/>
                <w:bCs/>
                <w:color w:val="auto"/>
                <w:sz w:val="24"/>
                <w:szCs w:val="22"/>
                <w:highlight w:val="none"/>
                <w:lang w:eastAsia="zh-CN"/>
              </w:rPr>
              <w:t>。</w:t>
            </w:r>
          </w:p>
          <w:p w14:paraId="22876116">
            <w:pPr>
              <w:spacing w:line="460" w:lineRule="exact"/>
              <w:rPr>
                <w:rFonts w:hint="default" w:eastAsia="仿宋"/>
                <w:color w:val="auto"/>
                <w:sz w:val="24"/>
                <w:szCs w:val="22"/>
                <w:highlight w:val="none"/>
                <w:lang w:val="en-US" w:eastAsia="zh-CN"/>
              </w:rPr>
            </w:pPr>
            <w:r>
              <w:rPr>
                <w:rFonts w:eastAsia="仿宋"/>
                <w:color w:val="auto"/>
                <w:sz w:val="24"/>
                <w:szCs w:val="22"/>
                <w:highlight w:val="none"/>
              </w:rPr>
              <w:t>4.</w:t>
            </w:r>
            <w:r>
              <w:rPr>
                <w:rFonts w:hint="eastAsia" w:eastAsia="仿宋"/>
                <w:color w:val="auto"/>
                <w:sz w:val="24"/>
                <w:szCs w:val="22"/>
                <w:highlight w:val="none"/>
                <w:lang w:eastAsia="zh-CN"/>
              </w:rPr>
              <w:t>“</w:t>
            </w:r>
            <w:r>
              <w:rPr>
                <w:rFonts w:eastAsia="仿宋"/>
                <w:color w:val="auto"/>
                <w:sz w:val="24"/>
                <w:szCs w:val="22"/>
                <w:highlight w:val="none"/>
              </w:rPr>
              <w:t>电子投标文件</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演示文件</w:t>
            </w:r>
            <w:r>
              <w:rPr>
                <w:rFonts w:hint="eastAsia" w:eastAsia="仿宋"/>
                <w:color w:val="auto"/>
                <w:sz w:val="24"/>
                <w:szCs w:val="22"/>
                <w:highlight w:val="none"/>
                <w:lang w:eastAsia="zh-CN"/>
              </w:rPr>
              <w:t>”</w:t>
            </w:r>
            <w:r>
              <w:rPr>
                <w:rFonts w:eastAsia="仿宋"/>
                <w:color w:val="auto"/>
                <w:sz w:val="24"/>
                <w:szCs w:val="22"/>
                <w:highlight w:val="none"/>
              </w:rPr>
              <w:t>和</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各</w:t>
            </w:r>
            <w:r>
              <w:rPr>
                <w:rFonts w:hint="eastAsia" w:eastAsia="仿宋"/>
                <w:b/>
                <w:bCs/>
                <w:color w:val="auto"/>
                <w:sz w:val="24"/>
                <w:szCs w:val="22"/>
                <w:highlight w:val="none"/>
                <w:lang w:val="en-US" w:eastAsia="zh-CN"/>
              </w:rPr>
              <w:t>分开</w:t>
            </w:r>
            <w:r>
              <w:rPr>
                <w:rFonts w:eastAsia="仿宋"/>
                <w:b/>
                <w:bCs/>
                <w:color w:val="auto"/>
                <w:sz w:val="24"/>
                <w:szCs w:val="22"/>
                <w:highlight w:val="none"/>
              </w:rPr>
              <w:t>密封</w:t>
            </w:r>
            <w:r>
              <w:rPr>
                <w:rFonts w:eastAsia="仿宋"/>
                <w:color w:val="auto"/>
                <w:sz w:val="24"/>
                <w:szCs w:val="22"/>
                <w:highlight w:val="none"/>
              </w:rPr>
              <w:t>，与投标文件同时递交，逾期不予接收，视为无效投标。</w:t>
            </w:r>
          </w:p>
        </w:tc>
      </w:tr>
      <w:tr w14:paraId="5A9A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Align w:val="center"/>
          </w:tcPr>
          <w:p w14:paraId="40166A4F">
            <w:pPr>
              <w:spacing w:line="460" w:lineRule="exact"/>
              <w:jc w:val="center"/>
              <w:rPr>
                <w:rFonts w:eastAsia="仿宋"/>
                <w:color w:val="auto"/>
                <w:sz w:val="24"/>
                <w:szCs w:val="22"/>
                <w:highlight w:val="none"/>
              </w:rPr>
            </w:pPr>
            <w:r>
              <w:rPr>
                <w:rFonts w:eastAsia="仿宋"/>
                <w:color w:val="auto"/>
                <w:sz w:val="24"/>
                <w:szCs w:val="22"/>
                <w:highlight w:val="none"/>
              </w:rPr>
              <w:t>7</w:t>
            </w:r>
          </w:p>
        </w:tc>
        <w:tc>
          <w:tcPr>
            <w:tcW w:w="8494" w:type="dxa"/>
            <w:vAlign w:val="center"/>
          </w:tcPr>
          <w:p w14:paraId="1A88E3EA">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1.投标保证金提交时间：投标保证金必须在开标时间之前采用保险、支票、汇票、本票、网上银行支付或者金融机构、担保机构出具的保函等非现金形式提交至采购代理机构；</w:t>
            </w:r>
          </w:p>
          <w:p w14:paraId="3F878FC9">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2.投标保证金提交形式要求：</w:t>
            </w:r>
          </w:p>
          <w:p w14:paraId="554E8389">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采用银行电汇、网上银行支付等非现金形式：</w:t>
            </w:r>
          </w:p>
          <w:p w14:paraId="56B15F60">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投标保证金必须在开标时间之前转入到以下账户（以到账时间为准），并在投标文件中提供缴纳投标保证金的凭证：</w:t>
            </w:r>
          </w:p>
          <w:p w14:paraId="7C51078B">
            <w:pPr>
              <w:pStyle w:val="72"/>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eastAsia="zh-CN"/>
              </w:rPr>
            </w:pPr>
            <w:r>
              <w:rPr>
                <w:rFonts w:ascii="Times New Roman" w:hAnsi="Times New Roman" w:eastAsia="仿宋" w:cs="Times New Roman"/>
                <w:color w:val="auto"/>
                <w:sz w:val="24"/>
                <w:szCs w:val="24"/>
                <w:highlight w:val="none"/>
              </w:rPr>
              <w:t>户名：</w:t>
            </w:r>
            <w:r>
              <w:rPr>
                <w:rFonts w:hint="eastAsia" w:ascii="Times New Roman" w:hAnsi="Times New Roman" w:eastAsia="仿宋" w:cs="Times New Roman"/>
                <w:color w:val="auto"/>
                <w:sz w:val="24"/>
                <w:szCs w:val="24"/>
                <w:highlight w:val="none"/>
                <w:lang w:eastAsia="zh-CN"/>
              </w:rPr>
              <w:t>江西合胜合招标咨询有限公司</w:t>
            </w:r>
          </w:p>
          <w:p w14:paraId="0A4FFD62">
            <w:pPr>
              <w:pStyle w:val="72"/>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开户行：南昌农村商业银行股份有限公司红谷支行</w:t>
            </w:r>
          </w:p>
          <w:p w14:paraId="22612D9B">
            <w:pPr>
              <w:pStyle w:val="72"/>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账号：106649000000025600</w:t>
            </w:r>
          </w:p>
          <w:p w14:paraId="5E322BE0">
            <w:pPr>
              <w:pStyle w:val="72"/>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行号：402421060110</w:t>
            </w:r>
          </w:p>
          <w:p w14:paraId="0456C487">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采用保函、保险形式：</w:t>
            </w:r>
          </w:p>
          <w:p w14:paraId="140297D8">
            <w:pPr>
              <w:pStyle w:val="72"/>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纸质保函形式提交保证金的，应由投标人基本户所在银行或江西省辖区内的融资担保机构（投标文件中提供担保机构营业执照复印或影印件）针对本项目（包）开具。投标文件中提供保函复印或影印件，保函原件在开标时间之前密封提交到采购代理机构，逾时不予接收，视为未提交。保函有效期与投标有效期一致。保函最终受益人为采购人或采购代理机构。</w:t>
            </w:r>
          </w:p>
          <w:p w14:paraId="0920A3D1">
            <w:pPr>
              <w:pStyle w:val="72"/>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保险形式提交保证金的，投标文件中提供保险复印或影印件，保险原件在开标时间之前密封提交到采购代理机构，逾时不予接收，视为未提交。保险有效期与投标有效期一致。保险最终受益人为采购人或采购代理机构。</w:t>
            </w:r>
          </w:p>
          <w:p w14:paraId="2B2C44F5">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3.所有提交的保函或保险原件在评标结束后由采购代理机构留存，不予退回。</w:t>
            </w:r>
          </w:p>
          <w:p w14:paraId="1B876522">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采用支票、汇票、本票形式：投标文件中提供符合国家规定的相应凭证佐证，原件须在开标时间之前递交到开标地点，逾时不予接受，视为未提交。</w:t>
            </w:r>
          </w:p>
          <w:p w14:paraId="4020861E">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注：投标人未按照招标文件要求提交投标保证金的，其投标无效。</w:t>
            </w:r>
          </w:p>
          <w:p w14:paraId="079AD49C">
            <w:pPr>
              <w:pStyle w:val="72"/>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其他注意事项：投标人汇投标保证金时，需在填写汇款备注栏时添加本项目的项目编号，</w:t>
            </w:r>
            <w:r>
              <w:rPr>
                <w:rFonts w:eastAsia="仿宋"/>
                <w:b/>
                <w:bCs/>
                <w:color w:val="auto"/>
                <w:sz w:val="24"/>
                <w:szCs w:val="24"/>
                <w:highlight w:val="none"/>
              </w:rPr>
              <w:t>例如</w:t>
            </w:r>
            <w:r>
              <w:rPr>
                <w:rFonts w:hint="eastAsia" w:eastAsia="仿宋"/>
                <w:b/>
                <w:bCs/>
                <w:color w:val="auto"/>
                <w:sz w:val="24"/>
                <w:szCs w:val="24"/>
                <w:highlight w:val="none"/>
                <w:lang w:eastAsia="zh-CN"/>
              </w:rPr>
              <w:t>“</w:t>
            </w:r>
            <w:r>
              <w:rPr>
                <w:rFonts w:eastAsia="仿宋"/>
                <w:b/>
                <w:bCs/>
                <w:color w:val="auto"/>
                <w:sz w:val="24"/>
                <w:szCs w:val="24"/>
                <w:highlight w:val="none"/>
              </w:rPr>
              <w:t>投标保证金</w:t>
            </w:r>
            <w:r>
              <w:rPr>
                <w:rFonts w:hint="eastAsia" w:eastAsia="仿宋"/>
                <w:b/>
                <w:bCs/>
                <w:color w:val="auto"/>
                <w:sz w:val="24"/>
                <w:szCs w:val="24"/>
                <w:highlight w:val="none"/>
                <w:lang w:val="en-US" w:eastAsia="zh-CN"/>
              </w:rPr>
              <w:t>HSH2024ZG015-22包</w:t>
            </w:r>
            <w:r>
              <w:rPr>
                <w:rFonts w:hint="eastAsia" w:eastAsia="仿宋"/>
                <w:b/>
                <w:bCs/>
                <w:color w:val="auto"/>
                <w:sz w:val="24"/>
                <w:szCs w:val="24"/>
                <w:highlight w:val="none"/>
                <w:lang w:eastAsia="zh-CN"/>
              </w:rPr>
              <w:t>”</w:t>
            </w:r>
            <w:r>
              <w:rPr>
                <w:rFonts w:eastAsia="仿宋"/>
                <w:color w:val="auto"/>
                <w:sz w:val="24"/>
                <w:szCs w:val="24"/>
                <w:highlight w:val="none"/>
              </w:rPr>
              <w:t>。</w:t>
            </w:r>
          </w:p>
          <w:tbl>
            <w:tblPr>
              <w:tblStyle w:val="44"/>
              <w:tblW w:w="6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5129"/>
            </w:tblGrid>
            <w:tr w14:paraId="6802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blHeader/>
                <w:jc w:val="center"/>
              </w:trPr>
              <w:tc>
                <w:tcPr>
                  <w:tcW w:w="1156" w:type="dxa"/>
                  <w:vAlign w:val="center"/>
                </w:tcPr>
                <w:p w14:paraId="019E9F9A">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包号</w:t>
                  </w:r>
                </w:p>
              </w:tc>
              <w:tc>
                <w:tcPr>
                  <w:tcW w:w="5129" w:type="dxa"/>
                  <w:vAlign w:val="center"/>
                </w:tcPr>
                <w:p w14:paraId="12ADCDFD">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投标保证金金额（人民币/元）</w:t>
                  </w:r>
                </w:p>
              </w:tc>
            </w:tr>
            <w:tr w14:paraId="7A7D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14:paraId="14A143E3">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ascii="Times New Roman" w:hAnsi="Times New Roman" w:eastAsia="仿宋" w:cs="Times New Roman"/>
                      <w:bCs/>
                      <w:color w:val="auto"/>
                      <w:kern w:val="0"/>
                      <w:sz w:val="24"/>
                      <w:szCs w:val="22"/>
                      <w:highlight w:val="none"/>
                      <w:lang w:val="en-US" w:eastAsia="zh-CN" w:bidi="ar-SA"/>
                    </w:rPr>
                  </w:pPr>
                  <w:r>
                    <w:rPr>
                      <w:rFonts w:hint="eastAsia"/>
                      <w:i w:val="0"/>
                      <w:iCs w:val="0"/>
                      <w:color w:val="auto"/>
                      <w:sz w:val="24"/>
                      <w:szCs w:val="24"/>
                      <w:highlight w:val="none"/>
                      <w:vertAlign w:val="baseline"/>
                      <w:lang w:val="en-US" w:eastAsia="zh-CN"/>
                    </w:rPr>
                    <w:t>22</w:t>
                  </w:r>
                </w:p>
              </w:tc>
              <w:tc>
                <w:tcPr>
                  <w:tcW w:w="5129" w:type="dxa"/>
                  <w:vAlign w:val="center"/>
                </w:tcPr>
                <w:p w14:paraId="46193858">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ascii="Times New Roman" w:hAnsi="Times New Roman" w:eastAsia="仿宋" w:cs="Times New Roman"/>
                      <w:color w:val="auto"/>
                      <w:kern w:val="0"/>
                      <w:sz w:val="24"/>
                      <w:szCs w:val="24"/>
                      <w:highlight w:val="none"/>
                      <w:lang w:val="en-US" w:eastAsia="zh-CN" w:bidi="ar-SA"/>
                    </w:rPr>
                  </w:pPr>
                  <w:r>
                    <w:rPr>
                      <w:rFonts w:hint="eastAsia"/>
                      <w:i w:val="0"/>
                      <w:iCs w:val="0"/>
                      <w:color w:val="auto"/>
                      <w:sz w:val="24"/>
                      <w:szCs w:val="24"/>
                      <w:highlight w:val="none"/>
                      <w:vertAlign w:val="baseline"/>
                      <w:lang w:val="en-US" w:eastAsia="zh-CN"/>
                    </w:rPr>
                    <w:t>74000.00</w:t>
                  </w:r>
                </w:p>
              </w:tc>
            </w:tr>
          </w:tbl>
          <w:p w14:paraId="2C80F9CC">
            <w:pPr>
              <w:pStyle w:val="72"/>
              <w:tabs>
                <w:tab w:val="left" w:pos="284"/>
                <w:tab w:val="left" w:pos="567"/>
                <w:tab w:val="left" w:pos="709"/>
              </w:tabs>
              <w:spacing w:line="460" w:lineRule="exact"/>
              <w:ind w:firstLine="0" w:firstLineChars="0"/>
              <w:jc w:val="both"/>
              <w:rPr>
                <w:rFonts w:eastAsia="仿宋"/>
                <w:b/>
                <w:bCs/>
                <w:color w:val="auto"/>
                <w:sz w:val="24"/>
                <w:szCs w:val="24"/>
                <w:highlight w:val="none"/>
              </w:rPr>
            </w:pPr>
          </w:p>
        </w:tc>
      </w:tr>
      <w:tr w14:paraId="3C115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93" w:type="dxa"/>
            <w:vAlign w:val="center"/>
          </w:tcPr>
          <w:p w14:paraId="729D6B3A">
            <w:pPr>
              <w:spacing w:line="460" w:lineRule="exact"/>
              <w:jc w:val="center"/>
              <w:rPr>
                <w:rFonts w:eastAsia="仿宋"/>
                <w:color w:val="auto"/>
                <w:sz w:val="24"/>
                <w:szCs w:val="22"/>
                <w:highlight w:val="none"/>
              </w:rPr>
            </w:pPr>
            <w:r>
              <w:rPr>
                <w:rFonts w:eastAsia="仿宋"/>
                <w:color w:val="auto"/>
                <w:sz w:val="24"/>
                <w:szCs w:val="22"/>
                <w:highlight w:val="none"/>
              </w:rPr>
              <w:t>8</w:t>
            </w:r>
          </w:p>
        </w:tc>
        <w:tc>
          <w:tcPr>
            <w:tcW w:w="8494" w:type="dxa"/>
            <w:vAlign w:val="center"/>
          </w:tcPr>
          <w:p w14:paraId="77C48597">
            <w:pPr>
              <w:spacing w:line="460" w:lineRule="exact"/>
              <w:jc w:val="left"/>
              <w:rPr>
                <w:rFonts w:eastAsia="仿宋"/>
                <w:b/>
                <w:bCs/>
                <w:color w:val="auto"/>
                <w:kern w:val="0"/>
                <w:sz w:val="24"/>
                <w:szCs w:val="22"/>
                <w:highlight w:val="none"/>
              </w:rPr>
            </w:pPr>
            <w:r>
              <w:rPr>
                <w:rFonts w:eastAsia="仿宋"/>
                <w:b/>
                <w:bCs/>
                <w:color w:val="auto"/>
                <w:kern w:val="0"/>
                <w:sz w:val="24"/>
                <w:szCs w:val="22"/>
                <w:highlight w:val="none"/>
              </w:rPr>
              <w:t>评标方法：本项目采用综合评分法。</w:t>
            </w:r>
          </w:p>
        </w:tc>
      </w:tr>
      <w:tr w14:paraId="648D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93" w:type="dxa"/>
            <w:vAlign w:val="center"/>
          </w:tcPr>
          <w:p w14:paraId="39B49278">
            <w:pPr>
              <w:spacing w:line="460" w:lineRule="exact"/>
              <w:jc w:val="center"/>
              <w:rPr>
                <w:rFonts w:eastAsia="仿宋"/>
                <w:color w:val="auto"/>
                <w:sz w:val="24"/>
                <w:szCs w:val="22"/>
                <w:highlight w:val="none"/>
              </w:rPr>
            </w:pPr>
            <w:r>
              <w:rPr>
                <w:rFonts w:eastAsia="仿宋"/>
                <w:color w:val="auto"/>
                <w:sz w:val="24"/>
                <w:szCs w:val="22"/>
                <w:highlight w:val="none"/>
              </w:rPr>
              <w:t>9</w:t>
            </w:r>
          </w:p>
        </w:tc>
        <w:tc>
          <w:tcPr>
            <w:tcW w:w="8494" w:type="dxa"/>
            <w:vAlign w:val="center"/>
          </w:tcPr>
          <w:p w14:paraId="501516EC">
            <w:pPr>
              <w:spacing w:line="460" w:lineRule="exact"/>
              <w:rPr>
                <w:rFonts w:eastAsia="仿宋"/>
                <w:b/>
                <w:bCs/>
                <w:color w:val="auto"/>
                <w:kern w:val="0"/>
                <w:sz w:val="24"/>
                <w:szCs w:val="22"/>
                <w:highlight w:val="none"/>
              </w:rPr>
            </w:pPr>
            <w:r>
              <w:rPr>
                <w:rFonts w:eastAsia="仿宋"/>
                <w:b/>
                <w:bCs/>
                <w:color w:val="auto"/>
                <w:kern w:val="0"/>
                <w:sz w:val="24"/>
                <w:szCs w:val="22"/>
                <w:highlight w:val="none"/>
              </w:rPr>
              <w:t>有下列情形之一的视为投标人串通投标，作无效标处理：</w:t>
            </w:r>
          </w:p>
          <w:p w14:paraId="0F64DAE9">
            <w:pPr>
              <w:numPr>
                <w:ilvl w:val="0"/>
                <w:numId w:val="2"/>
              </w:numPr>
              <w:spacing w:line="460" w:lineRule="exact"/>
              <w:ind w:left="360" w:leftChars="0" w:hanging="360" w:firstLineChars="0"/>
              <w:rPr>
                <w:rFonts w:eastAsia="仿宋"/>
                <w:color w:val="auto"/>
                <w:sz w:val="24"/>
                <w:szCs w:val="22"/>
                <w:highlight w:val="none"/>
              </w:rPr>
            </w:pPr>
            <w:r>
              <w:rPr>
                <w:rFonts w:eastAsia="仿宋"/>
                <w:bCs/>
                <w:color w:val="auto"/>
                <w:kern w:val="0"/>
                <w:sz w:val="24"/>
                <w:szCs w:val="22"/>
                <w:highlight w:val="none"/>
              </w:rPr>
              <w:t>不同投标人的投标文件由同一单位或者个人编制</w:t>
            </w:r>
            <w:r>
              <w:rPr>
                <w:rFonts w:eastAsia="仿宋"/>
                <w:color w:val="auto"/>
                <w:sz w:val="24"/>
                <w:szCs w:val="22"/>
                <w:highlight w:val="none"/>
              </w:rPr>
              <w:t>；</w:t>
            </w:r>
          </w:p>
          <w:p w14:paraId="4A716723">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不同投标人委托同一单位或者个人办理投标事宜；</w:t>
            </w:r>
          </w:p>
          <w:p w14:paraId="1598067D">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不同投标人的投标文件载明的项目管理成员或者联系人员为同一人；</w:t>
            </w:r>
          </w:p>
          <w:p w14:paraId="7E46F1E2">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不同投标人的投标文件异常一致或者投标报价呈规律性差异；</w:t>
            </w:r>
          </w:p>
          <w:p w14:paraId="18EC3D5F">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不同投标人的投标文件相互混装；</w:t>
            </w:r>
          </w:p>
          <w:p w14:paraId="0A176210">
            <w:pPr>
              <w:numPr>
                <w:ilvl w:val="0"/>
                <w:numId w:val="2"/>
              </w:numPr>
              <w:spacing w:line="460" w:lineRule="exact"/>
              <w:ind w:left="360" w:leftChars="0" w:hanging="360" w:firstLineChars="0"/>
              <w:rPr>
                <w:rFonts w:hint="default" w:ascii="仿宋" w:hAnsi="仿宋" w:eastAsia="仿宋" w:cs="仿宋"/>
                <w:b/>
                <w:bCs/>
                <w:color w:val="auto"/>
                <w:sz w:val="24"/>
                <w:szCs w:val="24"/>
                <w:highlight w:val="none"/>
                <w:lang w:val="en-US" w:eastAsia="zh-CN"/>
              </w:rPr>
            </w:pPr>
            <w:r>
              <w:rPr>
                <w:rFonts w:eastAsia="仿宋"/>
                <w:color w:val="auto"/>
                <w:sz w:val="24"/>
                <w:szCs w:val="22"/>
                <w:highlight w:val="none"/>
              </w:rPr>
              <w:t>不同投标人的投标保证金从同一单位或者个人账户转出。</w:t>
            </w:r>
          </w:p>
        </w:tc>
      </w:tr>
      <w:tr w14:paraId="195A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93" w:type="dxa"/>
            <w:vAlign w:val="center"/>
          </w:tcPr>
          <w:p w14:paraId="7A050D41">
            <w:pPr>
              <w:spacing w:line="460" w:lineRule="exact"/>
              <w:jc w:val="center"/>
              <w:rPr>
                <w:rFonts w:eastAsia="仿宋"/>
                <w:color w:val="auto"/>
                <w:sz w:val="24"/>
                <w:szCs w:val="22"/>
                <w:highlight w:val="none"/>
              </w:rPr>
            </w:pPr>
            <w:r>
              <w:rPr>
                <w:rFonts w:eastAsia="仿宋"/>
                <w:color w:val="auto"/>
                <w:sz w:val="24"/>
                <w:szCs w:val="22"/>
                <w:highlight w:val="none"/>
              </w:rPr>
              <w:t>10</w:t>
            </w:r>
          </w:p>
        </w:tc>
        <w:tc>
          <w:tcPr>
            <w:tcW w:w="8494" w:type="dxa"/>
            <w:vAlign w:val="center"/>
          </w:tcPr>
          <w:p w14:paraId="4DB749B8">
            <w:pPr>
              <w:widowControl/>
              <w:spacing w:line="460" w:lineRule="exact"/>
              <w:rPr>
                <w:rFonts w:eastAsia="仿宋"/>
                <w:b/>
                <w:color w:val="auto"/>
                <w:kern w:val="0"/>
                <w:sz w:val="24"/>
                <w:szCs w:val="22"/>
                <w:highlight w:val="none"/>
              </w:rPr>
            </w:pPr>
            <w:r>
              <w:rPr>
                <w:rFonts w:eastAsia="仿宋"/>
                <w:b/>
                <w:color w:val="auto"/>
                <w:sz w:val="24"/>
                <w:szCs w:val="22"/>
                <w:highlight w:val="none"/>
              </w:rPr>
              <w:t>本项目采购落实以下政府采购政策</w:t>
            </w:r>
            <w:r>
              <w:rPr>
                <w:rFonts w:eastAsia="仿宋"/>
                <w:b/>
                <w:color w:val="auto"/>
                <w:kern w:val="0"/>
                <w:sz w:val="24"/>
                <w:szCs w:val="22"/>
                <w:highlight w:val="none"/>
              </w:rPr>
              <w:t>：</w:t>
            </w:r>
          </w:p>
          <w:p w14:paraId="5C969E31">
            <w:pPr>
              <w:widowControl/>
              <w:spacing w:line="460" w:lineRule="exact"/>
              <w:rPr>
                <w:rFonts w:eastAsia="仿宋"/>
                <w:b/>
                <w:color w:val="auto"/>
                <w:kern w:val="0"/>
                <w:sz w:val="24"/>
                <w:szCs w:val="22"/>
                <w:highlight w:val="none"/>
              </w:rPr>
            </w:pPr>
            <w:r>
              <w:rPr>
                <w:rFonts w:eastAsia="仿宋"/>
                <w:b/>
                <w:color w:val="auto"/>
                <w:kern w:val="0"/>
                <w:sz w:val="24"/>
                <w:szCs w:val="22"/>
                <w:highlight w:val="none"/>
              </w:rPr>
              <w:t>说明：本项目非专门面向中小企业采购的项目，采购标的对应的中小企业划分标准所属行业</w:t>
            </w:r>
            <w:r>
              <w:rPr>
                <w:rFonts w:eastAsia="仿宋"/>
                <w:b/>
                <w:color w:val="auto"/>
                <w:kern w:val="0"/>
                <w:sz w:val="24"/>
                <w:szCs w:val="22"/>
                <w:highlight w:val="none"/>
                <w:u w:val="single"/>
              </w:rPr>
              <w:t>：工业（制造业）</w:t>
            </w:r>
            <w:r>
              <w:rPr>
                <w:rFonts w:eastAsia="仿宋"/>
                <w:b/>
                <w:color w:val="auto"/>
                <w:kern w:val="0"/>
                <w:sz w:val="24"/>
                <w:szCs w:val="22"/>
                <w:highlight w:val="none"/>
              </w:rPr>
              <w:t>。</w:t>
            </w:r>
          </w:p>
          <w:p w14:paraId="131A90CD">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1</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中小企业扶持政策：根据《政府采购促进中小企业发展管理办法》规定，投标的货物由小型或微型企业生产且使用该小型或微型企业商号或者注册商标，将对投标报价给予10%的扣除。投标人</w:t>
            </w:r>
            <w:r>
              <w:rPr>
                <w:rFonts w:eastAsia="仿宋"/>
                <w:bCs/>
                <w:color w:val="auto"/>
                <w:kern w:val="0"/>
                <w:sz w:val="24"/>
                <w:szCs w:val="22"/>
                <w:highlight w:val="none"/>
              </w:rPr>
              <w:t>应当</w:t>
            </w:r>
            <w:r>
              <w:rPr>
                <w:rFonts w:eastAsia="仿宋"/>
                <w:color w:val="auto"/>
                <w:sz w:val="24"/>
                <w:szCs w:val="22"/>
                <w:highlight w:val="none"/>
              </w:rPr>
              <w:t>提供招标文件</w:t>
            </w:r>
            <w:r>
              <w:rPr>
                <w:rFonts w:eastAsia="仿宋"/>
                <w:color w:val="auto"/>
                <w:kern w:val="0"/>
                <w:sz w:val="24"/>
                <w:szCs w:val="22"/>
                <w:highlight w:val="none"/>
              </w:rPr>
              <w:t>要求的《中小企业声明函》给予证明，否则评审时不予认可。投标人应对提交的中小企业声明函的真实性负责，提交的中小企业声明函不真实的，应承担相应的法律责任。</w:t>
            </w:r>
          </w:p>
          <w:p w14:paraId="08EA8E74">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2</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监狱企业扶持政策：根据《财政部 司法部关于政府采购支持监狱企业发展有关问题的通知》（财库[2014]68号）的规定，监狱企业视同小型、微型企业，投标的货物由小型或微型企业生产且使用该小型或微型企业商号或者注册商标，将对投标报价给予10%的扣除。监狱企业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提供由省级以上监狱管理局、戒毒管理局（含新疆生产建设兵团）出具的属于监狱企业的证明文件，提交的监狱企业的证明文件不真实的，应承担相应的法律责任。</w:t>
            </w:r>
          </w:p>
          <w:p w14:paraId="6A6C1680">
            <w:pPr>
              <w:widowControl/>
              <w:spacing w:line="460" w:lineRule="exact"/>
              <w:rPr>
                <w:rFonts w:eastAsia="仿宋"/>
                <w:color w:val="auto"/>
                <w:sz w:val="24"/>
                <w:szCs w:val="22"/>
                <w:highlight w:val="none"/>
              </w:rPr>
            </w:pPr>
            <w:r>
              <w:rPr>
                <w:rFonts w:hint="eastAsia" w:ascii="宋体" w:hAnsi="宋体" w:eastAsia="仿宋" w:cs="宋体"/>
                <w:bCs/>
                <w:color w:val="auto"/>
                <w:kern w:val="0"/>
                <w:sz w:val="24"/>
                <w:szCs w:val="22"/>
                <w:highlight w:val="none"/>
                <w:lang w:eastAsia="zh-CN"/>
              </w:rPr>
              <w:t>（</w:t>
            </w:r>
            <w:r>
              <w:rPr>
                <w:rFonts w:hint="eastAsia" w:ascii="宋体" w:hAnsi="宋体" w:eastAsia="仿宋" w:cs="宋体"/>
                <w:bCs/>
                <w:color w:val="auto"/>
                <w:kern w:val="0"/>
                <w:sz w:val="24"/>
                <w:szCs w:val="22"/>
                <w:highlight w:val="none"/>
                <w:lang w:val="en-US" w:eastAsia="zh-CN"/>
              </w:rPr>
              <w:t>3</w:t>
            </w:r>
            <w:r>
              <w:rPr>
                <w:rFonts w:hint="eastAsia" w:ascii="宋体" w:hAnsi="宋体" w:eastAsia="仿宋" w:cs="宋体"/>
                <w:bCs/>
                <w:color w:val="auto"/>
                <w:kern w:val="0"/>
                <w:sz w:val="24"/>
                <w:szCs w:val="22"/>
                <w:highlight w:val="none"/>
                <w:lang w:eastAsia="zh-CN"/>
              </w:rPr>
              <w:t>）</w:t>
            </w:r>
            <w:r>
              <w:rPr>
                <w:rFonts w:eastAsia="仿宋"/>
                <w:color w:val="auto"/>
                <w:sz w:val="24"/>
                <w:szCs w:val="22"/>
                <w:highlight w:val="none"/>
              </w:rPr>
              <w:t>促进残疾人就业政府采购政策：根据《三部门联合发布关于促进残疾人就业政府采购政策的通知》（财库[2017]141号）的规定，残疾人福利性单位视同小型、微型企业，</w:t>
            </w:r>
            <w:r>
              <w:rPr>
                <w:rFonts w:eastAsia="仿宋"/>
                <w:color w:val="auto"/>
                <w:kern w:val="0"/>
                <w:sz w:val="24"/>
                <w:szCs w:val="22"/>
                <w:highlight w:val="none"/>
              </w:rPr>
              <w:t>投标的货物由小型或微型企业生产且使用该小型或微型企业商号或者注册商标，</w:t>
            </w:r>
            <w:r>
              <w:rPr>
                <w:rFonts w:eastAsia="仿宋"/>
                <w:color w:val="auto"/>
                <w:sz w:val="24"/>
                <w:szCs w:val="22"/>
                <w:highlight w:val="none"/>
              </w:rPr>
              <w:t>将对</w:t>
            </w:r>
            <w:r>
              <w:rPr>
                <w:rFonts w:eastAsia="仿宋"/>
                <w:color w:val="auto"/>
                <w:kern w:val="0"/>
                <w:sz w:val="24"/>
                <w:szCs w:val="22"/>
                <w:highlight w:val="none"/>
              </w:rPr>
              <w:t>投标报价</w:t>
            </w:r>
            <w:r>
              <w:rPr>
                <w:rFonts w:eastAsia="仿宋"/>
                <w:color w:val="auto"/>
                <w:sz w:val="24"/>
                <w:szCs w:val="22"/>
                <w:highlight w:val="none"/>
              </w:rPr>
              <w:t>给予10%的扣除。残疾人福利性单位</w:t>
            </w:r>
            <w:r>
              <w:rPr>
                <w:rFonts w:eastAsia="仿宋"/>
                <w:color w:val="auto"/>
                <w:kern w:val="0"/>
                <w:sz w:val="24"/>
                <w:szCs w:val="22"/>
                <w:highlight w:val="none"/>
              </w:rPr>
              <w:t>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w:t>
            </w:r>
            <w:r>
              <w:rPr>
                <w:rFonts w:eastAsia="仿宋"/>
                <w:color w:val="auto"/>
                <w:sz w:val="24"/>
                <w:szCs w:val="22"/>
                <w:highlight w:val="none"/>
              </w:rPr>
              <w:t>招标文件要求的《残疾人福利性单位声明函》给予证明，并对声明的真实性负责。提交的残疾人福利性单位声明函不真实的，应承担相应的法律责任。</w:t>
            </w:r>
          </w:p>
          <w:p w14:paraId="0F499FAF">
            <w:pPr>
              <w:widowControl/>
              <w:spacing w:line="460" w:lineRule="exact"/>
              <w:rPr>
                <w:rFonts w:eastAsia="仿宋"/>
                <w:color w:val="auto"/>
                <w:kern w:val="0"/>
                <w:sz w:val="24"/>
                <w:szCs w:val="22"/>
                <w:highlight w:val="none"/>
              </w:rPr>
            </w:pPr>
            <w:r>
              <w:rPr>
                <w:rFonts w:eastAsia="仿宋"/>
                <w:b/>
                <w:color w:val="auto"/>
                <w:sz w:val="24"/>
                <w:szCs w:val="22"/>
                <w:highlight w:val="none"/>
              </w:rPr>
              <w:t>注：同属以上优惠类型企业的，不重复享受政策优惠。</w:t>
            </w:r>
          </w:p>
          <w:p w14:paraId="733E19A6">
            <w:pPr>
              <w:widowControl/>
              <w:spacing w:line="460" w:lineRule="exact"/>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4</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政府采购节约能源政策：根据</w:t>
            </w:r>
            <w:r>
              <w:rPr>
                <w:rFonts w:eastAsia="仿宋"/>
                <w:bCs/>
                <w:color w:val="auto"/>
                <w:kern w:val="0"/>
                <w:sz w:val="24"/>
                <w:szCs w:val="22"/>
                <w:highlight w:val="none"/>
              </w:rPr>
              <w:t>《国务院办公厅关于建立政府强制采购节能产品制度的通知》（国办发[2007]51号）</w:t>
            </w:r>
            <w:r>
              <w:rPr>
                <w:rFonts w:eastAsia="仿宋"/>
                <w:color w:val="auto"/>
                <w:kern w:val="0"/>
                <w:sz w:val="24"/>
                <w:szCs w:val="22"/>
                <w:highlight w:val="none"/>
              </w:rPr>
              <w:t>及</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财库〔2019〕9号）的规定。本次采购中如涉及节能产品，将优先采购或强制采购具有节能产品认证证书且符合《关于印发节能产品政府采购品目清单的通知》（财库〔2019〕19号）中附件《节能产品政府采购品目清单》要求的产品。该品目清单以中国政府采购网公布的最新品目清单为准。</w:t>
            </w:r>
          </w:p>
          <w:p w14:paraId="5CD8D4E4">
            <w:pPr>
              <w:widowControl/>
              <w:spacing w:line="460" w:lineRule="exact"/>
              <w:rPr>
                <w:rFonts w:eastAsia="仿宋"/>
                <w:bCs/>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5</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政府采购环境保护政策：根据</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的规定。本次采购中如涉及环境标志产品，将优先采购具有环境标志产品认证证书且符合《关于印发环境标志产品政府采购品目清单的通知》（财库〔2019〕18号）中附件《环境产品政府采购品目清单》要求的产品。该品目清单以中国政府采购网公布的最新品目清单为准。</w:t>
            </w:r>
          </w:p>
        </w:tc>
      </w:tr>
      <w:tr w14:paraId="28A3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3" w:type="dxa"/>
            <w:vAlign w:val="center"/>
          </w:tcPr>
          <w:p w14:paraId="1CB214AD">
            <w:pPr>
              <w:spacing w:line="460" w:lineRule="exact"/>
              <w:jc w:val="center"/>
              <w:rPr>
                <w:rFonts w:eastAsia="仿宋"/>
                <w:color w:val="auto"/>
                <w:sz w:val="24"/>
                <w:szCs w:val="22"/>
                <w:highlight w:val="none"/>
              </w:rPr>
            </w:pPr>
            <w:r>
              <w:rPr>
                <w:rFonts w:eastAsia="仿宋"/>
                <w:color w:val="auto"/>
                <w:sz w:val="24"/>
                <w:szCs w:val="22"/>
                <w:highlight w:val="none"/>
              </w:rPr>
              <w:t>11</w:t>
            </w:r>
          </w:p>
        </w:tc>
        <w:tc>
          <w:tcPr>
            <w:tcW w:w="8494" w:type="dxa"/>
            <w:vAlign w:val="center"/>
          </w:tcPr>
          <w:p w14:paraId="3A4CCADE">
            <w:pPr>
              <w:tabs>
                <w:tab w:val="left" w:pos="0"/>
                <w:tab w:val="left" w:pos="284"/>
                <w:tab w:val="left" w:pos="851"/>
                <w:tab w:val="left" w:pos="993"/>
                <w:tab w:val="left" w:pos="1108"/>
              </w:tabs>
              <w:spacing w:line="460" w:lineRule="exact"/>
              <w:rPr>
                <w:rFonts w:eastAsia="仿宋"/>
                <w:color w:val="auto"/>
                <w:kern w:val="0"/>
                <w:sz w:val="24"/>
                <w:szCs w:val="22"/>
                <w:highlight w:val="none"/>
              </w:rPr>
            </w:pPr>
            <w:r>
              <w:rPr>
                <w:rFonts w:eastAsia="仿宋"/>
                <w:bCs/>
                <w:color w:val="auto"/>
                <w:kern w:val="0"/>
                <w:sz w:val="24"/>
                <w:szCs w:val="22"/>
                <w:highlight w:val="none"/>
              </w:rPr>
              <w:t>评标委员会认为投标人的报价明显低于其他通过符合性审查投标人的报价，有可能影响产品质量或者不能诚信履约的，有权要求其在评标现场合理的时间内提供书面说明，必要时提交相关证明材料；投标人不能证明其报价合理性的，评标委员会有权将其作为无效投标处理。</w:t>
            </w:r>
          </w:p>
        </w:tc>
      </w:tr>
      <w:tr w14:paraId="05DF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3" w:type="dxa"/>
            <w:vAlign w:val="center"/>
          </w:tcPr>
          <w:p w14:paraId="50CF9452">
            <w:pPr>
              <w:spacing w:line="460" w:lineRule="exact"/>
              <w:jc w:val="center"/>
              <w:rPr>
                <w:rFonts w:eastAsia="仿宋"/>
                <w:color w:val="auto"/>
                <w:sz w:val="24"/>
                <w:szCs w:val="22"/>
                <w:highlight w:val="none"/>
              </w:rPr>
            </w:pPr>
            <w:r>
              <w:rPr>
                <w:rFonts w:eastAsia="仿宋"/>
                <w:color w:val="auto"/>
                <w:sz w:val="24"/>
                <w:szCs w:val="22"/>
                <w:highlight w:val="none"/>
              </w:rPr>
              <w:t>12</w:t>
            </w:r>
          </w:p>
        </w:tc>
        <w:tc>
          <w:tcPr>
            <w:tcW w:w="8494" w:type="dxa"/>
            <w:vAlign w:val="center"/>
          </w:tcPr>
          <w:p w14:paraId="61217187">
            <w:pPr>
              <w:tabs>
                <w:tab w:val="left" w:pos="0"/>
                <w:tab w:val="left" w:pos="284"/>
                <w:tab w:val="left" w:pos="709"/>
                <w:tab w:val="left" w:pos="993"/>
                <w:tab w:val="left" w:pos="1108"/>
              </w:tabs>
              <w:spacing w:line="240" w:lineRule="auto"/>
              <w:rPr>
                <w:rFonts w:eastAsia="仿宋"/>
                <w:b/>
                <w:color w:val="auto"/>
                <w:sz w:val="24"/>
                <w:szCs w:val="22"/>
                <w:highlight w:val="none"/>
              </w:rPr>
            </w:pPr>
            <w:r>
              <w:rPr>
                <w:rFonts w:eastAsia="仿宋"/>
                <w:b/>
                <w:color w:val="auto"/>
                <w:sz w:val="24"/>
                <w:szCs w:val="22"/>
                <w:highlight w:val="none"/>
              </w:rPr>
              <w:t>采购代理服务费：</w:t>
            </w:r>
          </w:p>
          <w:p w14:paraId="2EAA4C7B">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eastAsia="zh-CN"/>
              </w:rPr>
            </w:pPr>
            <w:r>
              <w:rPr>
                <w:rFonts w:hint="eastAsia" w:eastAsia="仿宋"/>
                <w:b w:val="0"/>
                <w:bCs/>
                <w:color w:val="auto"/>
                <w:sz w:val="24"/>
                <w:szCs w:val="22"/>
                <w:highlight w:val="none"/>
              </w:rPr>
              <w:t>采购代理服务费由中标人支付，中标人在领取中标通知书时，应向采购代理机构一次性付清采购代理服务费。收费标准根据下表中差额定率累进法下浮40%计算收取采购代理服务费</w:t>
            </w:r>
            <w:r>
              <w:rPr>
                <w:rFonts w:hint="eastAsia" w:eastAsia="仿宋"/>
                <w:b w:val="0"/>
                <w:bCs/>
                <w:color w:val="auto"/>
                <w:sz w:val="24"/>
                <w:szCs w:val="22"/>
                <w:highlight w:val="none"/>
                <w:lang w:eastAsia="zh-CN"/>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9"/>
              <w:gridCol w:w="4139"/>
            </w:tblGrid>
            <w:tr w14:paraId="38F6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14:paraId="4BE84709">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中标金额（万元）</w:t>
                  </w:r>
                </w:p>
              </w:tc>
              <w:tc>
                <w:tcPr>
                  <w:tcW w:w="4139" w:type="dxa"/>
                  <w:vAlign w:val="top"/>
                </w:tcPr>
                <w:p w14:paraId="438C1392">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收费费率</w:t>
                  </w:r>
                </w:p>
              </w:tc>
            </w:tr>
            <w:tr w14:paraId="23E1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14:paraId="12504761">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100（含）以下</w:t>
                  </w:r>
                </w:p>
              </w:tc>
              <w:tc>
                <w:tcPr>
                  <w:tcW w:w="4139" w:type="dxa"/>
                  <w:vAlign w:val="top"/>
                </w:tcPr>
                <w:p w14:paraId="141C592C">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1.5%</w:t>
                  </w:r>
                </w:p>
              </w:tc>
            </w:tr>
            <w:tr w14:paraId="797F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14:paraId="4C4315D6">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100-500（含）</w:t>
                  </w:r>
                </w:p>
              </w:tc>
              <w:tc>
                <w:tcPr>
                  <w:tcW w:w="4139" w:type="dxa"/>
                  <w:vAlign w:val="top"/>
                </w:tcPr>
                <w:p w14:paraId="4CE24120">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1.1%</w:t>
                  </w:r>
                </w:p>
              </w:tc>
            </w:tr>
            <w:tr w14:paraId="4EA9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14:paraId="40FB0A9A">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500-1000（含）</w:t>
                  </w:r>
                </w:p>
              </w:tc>
              <w:tc>
                <w:tcPr>
                  <w:tcW w:w="4139" w:type="dxa"/>
                  <w:vAlign w:val="top"/>
                </w:tcPr>
                <w:p w14:paraId="0067867A">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0.8%</w:t>
                  </w:r>
                </w:p>
              </w:tc>
            </w:tr>
            <w:tr w14:paraId="32C0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14:paraId="0C3644FF">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1000-5000（含）</w:t>
                  </w:r>
                </w:p>
              </w:tc>
              <w:tc>
                <w:tcPr>
                  <w:tcW w:w="4139" w:type="dxa"/>
                  <w:vAlign w:val="top"/>
                </w:tcPr>
                <w:p w14:paraId="61AD0EB6">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0.5%</w:t>
                  </w:r>
                </w:p>
              </w:tc>
            </w:tr>
          </w:tbl>
          <w:p w14:paraId="5E4CC26E">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代理服务费缴纳账户如下：</w:t>
            </w:r>
          </w:p>
          <w:p w14:paraId="2D0D22A7">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户名：江西合胜合招标咨询有限公司</w:t>
            </w:r>
          </w:p>
          <w:p w14:paraId="6CBE949F">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开户行：招商银行南昌分行世茂支行</w:t>
            </w:r>
          </w:p>
          <w:p w14:paraId="75B8C7F4">
            <w:pPr>
              <w:tabs>
                <w:tab w:val="left" w:pos="0"/>
                <w:tab w:val="left" w:pos="284"/>
                <w:tab w:val="left" w:pos="709"/>
                <w:tab w:val="left" w:pos="993"/>
                <w:tab w:val="left" w:pos="1108"/>
              </w:tabs>
              <w:spacing w:line="240" w:lineRule="auto"/>
              <w:rPr>
                <w:rFonts w:eastAsia="仿宋"/>
                <w:bCs/>
                <w:color w:val="auto"/>
                <w:kern w:val="0"/>
                <w:sz w:val="24"/>
                <w:szCs w:val="22"/>
                <w:highlight w:val="none"/>
              </w:rPr>
            </w:pPr>
            <w:r>
              <w:rPr>
                <w:rFonts w:hint="eastAsia" w:eastAsia="仿宋"/>
                <w:b w:val="0"/>
                <w:bCs/>
                <w:color w:val="auto"/>
                <w:sz w:val="24"/>
                <w:szCs w:val="22"/>
                <w:highlight w:val="none"/>
                <w:lang w:val="en-US" w:eastAsia="zh-CN"/>
              </w:rPr>
              <w:t>账号：7919 0480 0810 609</w:t>
            </w:r>
          </w:p>
        </w:tc>
      </w:tr>
      <w:tr w14:paraId="7900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3" w:type="dxa"/>
            <w:vAlign w:val="center"/>
          </w:tcPr>
          <w:p w14:paraId="1766D708">
            <w:pPr>
              <w:spacing w:line="460" w:lineRule="exact"/>
              <w:jc w:val="center"/>
              <w:rPr>
                <w:rFonts w:eastAsia="仿宋"/>
                <w:color w:val="auto"/>
                <w:sz w:val="24"/>
                <w:szCs w:val="22"/>
                <w:highlight w:val="none"/>
              </w:rPr>
            </w:pPr>
            <w:r>
              <w:rPr>
                <w:rFonts w:eastAsia="仿宋"/>
                <w:color w:val="auto"/>
                <w:sz w:val="24"/>
                <w:szCs w:val="22"/>
                <w:highlight w:val="none"/>
              </w:rPr>
              <w:t>13</w:t>
            </w:r>
          </w:p>
        </w:tc>
        <w:tc>
          <w:tcPr>
            <w:tcW w:w="8494" w:type="dxa"/>
            <w:vAlign w:val="center"/>
          </w:tcPr>
          <w:p w14:paraId="4AFDB58A">
            <w:pPr>
              <w:spacing w:line="460" w:lineRule="exact"/>
              <w:rPr>
                <w:rFonts w:ascii="Times New Roman" w:hAnsi="Times New Roman" w:eastAsia="仿宋"/>
                <w:color w:val="auto"/>
                <w:sz w:val="24"/>
                <w:szCs w:val="24"/>
                <w:highlight w:val="none"/>
              </w:rPr>
            </w:pPr>
            <w:r>
              <w:rPr>
                <w:rFonts w:eastAsia="仿宋"/>
                <w:color w:val="auto"/>
                <w:sz w:val="24"/>
                <w:szCs w:val="22"/>
                <w:highlight w:val="none"/>
              </w:rPr>
              <w:t>本招标文件编制依据国家有关法律、法规以及政府采购管理有关规定，本采购代理机构享有对招标文件的最终解释权。</w:t>
            </w:r>
          </w:p>
        </w:tc>
      </w:tr>
      <w:tr w14:paraId="2E7A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93" w:type="dxa"/>
            <w:vAlign w:val="center"/>
          </w:tcPr>
          <w:p w14:paraId="2E90B3A6">
            <w:pPr>
              <w:spacing w:line="460" w:lineRule="exact"/>
              <w:jc w:val="center"/>
              <w:rPr>
                <w:rFonts w:eastAsia="仿宋"/>
                <w:color w:val="auto"/>
                <w:sz w:val="24"/>
                <w:szCs w:val="22"/>
                <w:highlight w:val="none"/>
              </w:rPr>
            </w:pPr>
            <w:r>
              <w:rPr>
                <w:rFonts w:eastAsia="仿宋"/>
                <w:color w:val="auto"/>
                <w:sz w:val="24"/>
                <w:szCs w:val="22"/>
                <w:highlight w:val="none"/>
              </w:rPr>
              <w:t>14</w:t>
            </w:r>
          </w:p>
        </w:tc>
        <w:tc>
          <w:tcPr>
            <w:tcW w:w="8494" w:type="dxa"/>
            <w:vAlign w:val="center"/>
          </w:tcPr>
          <w:p w14:paraId="101B98C0">
            <w:pPr>
              <w:spacing w:line="460" w:lineRule="exact"/>
              <w:rPr>
                <w:rFonts w:eastAsia="仿宋"/>
                <w:bCs/>
                <w:color w:val="auto"/>
                <w:kern w:val="0"/>
                <w:sz w:val="24"/>
                <w:szCs w:val="22"/>
                <w:highlight w:val="none"/>
              </w:rPr>
            </w:pPr>
            <w:r>
              <w:rPr>
                <w:rFonts w:eastAsia="仿宋"/>
                <w:bCs/>
                <w:color w:val="auto"/>
                <w:kern w:val="0"/>
                <w:sz w:val="24"/>
                <w:szCs w:val="22"/>
                <w:highlight w:val="none"/>
              </w:rPr>
              <w:t>商品包装要求（如果所投产品具有外包装）：</w:t>
            </w:r>
          </w:p>
          <w:p w14:paraId="146F7243">
            <w:pPr>
              <w:spacing w:line="460" w:lineRule="exact"/>
              <w:ind w:firstLine="480" w:firstLineChars="200"/>
              <w:rPr>
                <w:rFonts w:eastAsia="仿宋"/>
                <w:bCs/>
                <w:color w:val="auto"/>
                <w:kern w:val="0"/>
                <w:sz w:val="24"/>
                <w:szCs w:val="22"/>
                <w:highlight w:val="none"/>
              </w:rPr>
            </w:pPr>
            <w:r>
              <w:rPr>
                <w:rFonts w:eastAsia="仿宋"/>
                <w:bCs/>
                <w:color w:val="auto"/>
                <w:kern w:val="0"/>
                <w:sz w:val="24"/>
                <w:szCs w:val="22"/>
                <w:highlight w:val="none"/>
              </w:rPr>
              <w:t>根据《商品包装政府采购需求标准（试行）》，商品包装有7项环保要求：1.商品包装层数不得超过3层，空隙率不大于40%；2.商品包装尽可能使用单一材质的包装材料，如因功能需求必需使用不同材质，不同材质间应便于分离；3.商品包装中铅、汞、镉、六价铬的总含量应不大于100mg/kg；4.商品包装印刷使用的油墨中挥发性有机化合物</w:t>
            </w:r>
            <w:r>
              <w:rPr>
                <w:rFonts w:hint="eastAsia" w:eastAsia="仿宋"/>
                <w:bCs/>
                <w:color w:val="auto"/>
                <w:kern w:val="0"/>
                <w:sz w:val="24"/>
                <w:szCs w:val="22"/>
                <w:highlight w:val="none"/>
                <w:lang w:eastAsia="zh-CN"/>
              </w:rPr>
              <w:t>（</w:t>
            </w:r>
            <w:r>
              <w:rPr>
                <w:rFonts w:eastAsia="仿宋"/>
                <w:bCs/>
                <w:color w:val="auto"/>
                <w:kern w:val="0"/>
                <w:sz w:val="24"/>
                <w:szCs w:val="22"/>
                <w:highlight w:val="none"/>
              </w:rPr>
              <w:t>VOCs</w:t>
            </w:r>
            <w:r>
              <w:rPr>
                <w:rFonts w:hint="eastAsia" w:eastAsia="仿宋"/>
                <w:bCs/>
                <w:color w:val="auto"/>
                <w:kern w:val="0"/>
                <w:sz w:val="24"/>
                <w:szCs w:val="22"/>
                <w:highlight w:val="none"/>
                <w:lang w:eastAsia="zh-CN"/>
              </w:rPr>
              <w:t>）</w:t>
            </w:r>
            <w:r>
              <w:rPr>
                <w:rFonts w:eastAsia="仿宋"/>
                <w:bCs/>
                <w:color w:val="auto"/>
                <w:kern w:val="0"/>
                <w:sz w:val="24"/>
                <w:szCs w:val="22"/>
                <w:highlight w:val="none"/>
              </w:rPr>
              <w:t>含量应不大于5%（以重量计）；5.塑料材质商品包装上呈现的印刷颜色不得超过6色；6.纸质商品包装应使用75%以上的可再生纤维原料生产；7.木质商品包装的原料应来源于可持续性森林。</w:t>
            </w:r>
          </w:p>
          <w:p w14:paraId="1220C1C9">
            <w:pPr>
              <w:spacing w:line="460" w:lineRule="exact"/>
              <w:rPr>
                <w:rFonts w:eastAsia="仿宋"/>
                <w:color w:val="auto"/>
                <w:sz w:val="24"/>
                <w:szCs w:val="22"/>
                <w:highlight w:val="none"/>
              </w:rPr>
            </w:pPr>
            <w:r>
              <w:rPr>
                <w:rFonts w:eastAsia="仿宋"/>
                <w:bCs/>
                <w:color w:val="auto"/>
                <w:kern w:val="0"/>
                <w:sz w:val="24"/>
                <w:szCs w:val="22"/>
                <w:highlight w:val="none"/>
              </w:rPr>
              <w:t>采购人在必要时可以要求中标人在履约验收环节出具包装材料检测报告。</w:t>
            </w:r>
          </w:p>
        </w:tc>
      </w:tr>
    </w:tbl>
    <w:p w14:paraId="75F7508C">
      <w:pPr>
        <w:rPr>
          <w:rFonts w:eastAsia="仿宋"/>
          <w:color w:val="auto"/>
          <w:highlight w:val="none"/>
        </w:rPr>
      </w:pPr>
    </w:p>
    <w:p w14:paraId="685ECBD8">
      <w:pPr>
        <w:rPr>
          <w:rFonts w:eastAsia="仿宋"/>
          <w:b/>
          <w:bCs/>
          <w:color w:val="auto"/>
          <w:kern w:val="0"/>
          <w:sz w:val="24"/>
          <w:highlight w:val="none"/>
        </w:rPr>
      </w:pPr>
      <w:bookmarkStart w:id="91" w:name="_Toc111018933"/>
      <w:bookmarkStart w:id="92" w:name="_Toc11288"/>
      <w:bookmarkStart w:id="93" w:name="_Toc28913"/>
      <w:bookmarkStart w:id="94" w:name="_Toc13051"/>
      <w:bookmarkStart w:id="95" w:name="_Toc10789"/>
      <w:r>
        <w:rPr>
          <w:rFonts w:eastAsia="仿宋"/>
          <w:b/>
          <w:bCs/>
          <w:color w:val="auto"/>
          <w:kern w:val="0"/>
          <w:sz w:val="24"/>
          <w:highlight w:val="none"/>
        </w:rPr>
        <w:br w:type="page"/>
      </w:r>
    </w:p>
    <w:p w14:paraId="11A72DEE">
      <w:pPr>
        <w:spacing w:line="460" w:lineRule="exact"/>
        <w:jc w:val="center"/>
        <w:outlineLvl w:val="1"/>
        <w:rPr>
          <w:rFonts w:eastAsia="仿宋"/>
          <w:b/>
          <w:bCs/>
          <w:color w:val="auto"/>
          <w:kern w:val="0"/>
          <w:sz w:val="24"/>
          <w:highlight w:val="none"/>
        </w:rPr>
      </w:pPr>
      <w:bookmarkStart w:id="96" w:name="_Toc29327"/>
      <w:bookmarkStart w:id="97" w:name="_Toc15312"/>
      <w:r>
        <w:rPr>
          <w:rFonts w:eastAsia="仿宋"/>
          <w:b/>
          <w:bCs/>
          <w:color w:val="auto"/>
          <w:kern w:val="0"/>
          <w:sz w:val="24"/>
          <w:highlight w:val="none"/>
        </w:rPr>
        <w:t>一、说明</w:t>
      </w:r>
      <w:bookmarkEnd w:id="91"/>
      <w:bookmarkEnd w:id="92"/>
      <w:bookmarkEnd w:id="93"/>
      <w:bookmarkEnd w:id="94"/>
      <w:bookmarkEnd w:id="95"/>
      <w:bookmarkEnd w:id="96"/>
      <w:bookmarkEnd w:id="97"/>
    </w:p>
    <w:p w14:paraId="57F731AC">
      <w:pPr>
        <w:numPr>
          <w:ilvl w:val="0"/>
          <w:numId w:val="3"/>
        </w:numPr>
        <w:tabs>
          <w:tab w:val="left" w:pos="284"/>
        </w:tabs>
        <w:spacing w:line="460" w:lineRule="exact"/>
        <w:ind w:left="284" w:hanging="284"/>
        <w:rPr>
          <w:rFonts w:eastAsia="仿宋"/>
          <w:b/>
          <w:bCs/>
          <w:color w:val="auto"/>
          <w:kern w:val="0"/>
          <w:sz w:val="24"/>
          <w:highlight w:val="none"/>
        </w:rPr>
      </w:pPr>
      <w:r>
        <w:rPr>
          <w:rFonts w:eastAsia="仿宋"/>
          <w:b/>
          <w:bCs/>
          <w:color w:val="auto"/>
          <w:kern w:val="0"/>
          <w:sz w:val="24"/>
          <w:highlight w:val="none"/>
        </w:rPr>
        <w:t>适用范围</w:t>
      </w:r>
    </w:p>
    <w:p w14:paraId="2E23B0FC">
      <w:pPr>
        <w:tabs>
          <w:tab w:val="left" w:pos="284"/>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本招标文件仅适用于本次公开招标</w:t>
      </w:r>
      <w:r>
        <w:rPr>
          <w:rFonts w:hint="eastAsia" w:eastAsia="仿宋"/>
          <w:b/>
          <w:color w:val="auto"/>
          <w:kern w:val="0"/>
          <w:sz w:val="24"/>
          <w:highlight w:val="none"/>
          <w:lang w:eastAsia="zh-CN"/>
        </w:rPr>
        <w:t>“</w:t>
      </w:r>
      <w:r>
        <w:rPr>
          <w:rFonts w:eastAsia="仿宋"/>
          <w:b/>
          <w:color w:val="auto"/>
          <w:kern w:val="0"/>
          <w:sz w:val="24"/>
          <w:highlight w:val="none"/>
        </w:rPr>
        <w:t>投标邀请</w:t>
      </w:r>
      <w:r>
        <w:rPr>
          <w:rFonts w:hint="eastAsia" w:eastAsia="仿宋"/>
          <w:b/>
          <w:color w:val="auto"/>
          <w:kern w:val="0"/>
          <w:sz w:val="24"/>
          <w:highlight w:val="none"/>
          <w:lang w:eastAsia="zh-CN"/>
        </w:rPr>
        <w:t>”</w:t>
      </w:r>
      <w:r>
        <w:rPr>
          <w:rFonts w:eastAsia="仿宋"/>
          <w:bCs/>
          <w:color w:val="auto"/>
          <w:kern w:val="0"/>
          <w:sz w:val="24"/>
          <w:highlight w:val="none"/>
        </w:rPr>
        <w:t>中所叙述项目的采购。</w:t>
      </w:r>
    </w:p>
    <w:p w14:paraId="34FBFE3C">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采购人、采购代理机构、投标人</w:t>
      </w:r>
    </w:p>
    <w:p w14:paraId="7D882DA4">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2.1.</w:t>
      </w:r>
      <w:r>
        <w:rPr>
          <w:rFonts w:hint="eastAsia" w:eastAsia="仿宋"/>
          <w:bCs/>
          <w:color w:val="auto"/>
          <w:kern w:val="0"/>
          <w:sz w:val="24"/>
          <w:highlight w:val="none"/>
          <w:lang w:eastAsia="zh-CN"/>
        </w:rPr>
        <w:t>“</w:t>
      </w:r>
      <w:r>
        <w:rPr>
          <w:rFonts w:eastAsia="仿宋"/>
          <w:bCs/>
          <w:color w:val="auto"/>
          <w:kern w:val="0"/>
          <w:sz w:val="24"/>
          <w:highlight w:val="none"/>
        </w:rPr>
        <w:t>采购人</w:t>
      </w:r>
      <w:r>
        <w:rPr>
          <w:rFonts w:hint="eastAsia" w:eastAsia="仿宋"/>
          <w:bCs/>
          <w:color w:val="auto"/>
          <w:kern w:val="0"/>
          <w:sz w:val="24"/>
          <w:highlight w:val="none"/>
          <w:lang w:eastAsia="zh-CN"/>
        </w:rPr>
        <w:t>”</w:t>
      </w:r>
      <w:r>
        <w:rPr>
          <w:rFonts w:eastAsia="仿宋"/>
          <w:bCs/>
          <w:color w:val="auto"/>
          <w:kern w:val="0"/>
          <w:sz w:val="24"/>
          <w:highlight w:val="none"/>
        </w:rPr>
        <w:t>是指依法进行政府采购的国家机关、事业单位、团体组织，即</w:t>
      </w:r>
      <w:r>
        <w:rPr>
          <w:rFonts w:hint="eastAsia" w:eastAsia="仿宋"/>
          <w:bCs/>
          <w:color w:val="auto"/>
          <w:kern w:val="0"/>
          <w:sz w:val="24"/>
          <w:highlight w:val="none"/>
          <w:lang w:eastAsia="zh-CN"/>
        </w:rPr>
        <w:t>“</w:t>
      </w:r>
      <w:r>
        <w:rPr>
          <w:rFonts w:eastAsia="仿宋"/>
          <w:bCs/>
          <w:color w:val="auto"/>
          <w:kern w:val="0"/>
          <w:sz w:val="24"/>
          <w:highlight w:val="none"/>
        </w:rPr>
        <w:t>江西省消防救援总队</w:t>
      </w:r>
      <w:r>
        <w:rPr>
          <w:rFonts w:hint="eastAsia" w:eastAsia="仿宋"/>
          <w:bCs/>
          <w:color w:val="auto"/>
          <w:kern w:val="0"/>
          <w:sz w:val="24"/>
          <w:highlight w:val="none"/>
          <w:lang w:eastAsia="zh-CN"/>
        </w:rPr>
        <w:t>”</w:t>
      </w:r>
      <w:r>
        <w:rPr>
          <w:rFonts w:eastAsia="仿宋"/>
          <w:bCs/>
          <w:color w:val="auto"/>
          <w:kern w:val="0"/>
          <w:sz w:val="24"/>
          <w:highlight w:val="none"/>
        </w:rPr>
        <w:t>。</w:t>
      </w:r>
    </w:p>
    <w:p w14:paraId="0FE7273A">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2.2.</w:t>
      </w:r>
      <w:r>
        <w:rPr>
          <w:rFonts w:hint="eastAsia" w:eastAsia="仿宋"/>
          <w:bCs/>
          <w:color w:val="auto"/>
          <w:kern w:val="0"/>
          <w:sz w:val="24"/>
          <w:highlight w:val="none"/>
          <w:lang w:eastAsia="zh-CN"/>
        </w:rPr>
        <w:t>“</w:t>
      </w:r>
      <w:r>
        <w:rPr>
          <w:rFonts w:eastAsia="仿宋"/>
          <w:bCs/>
          <w:color w:val="auto"/>
          <w:kern w:val="0"/>
          <w:sz w:val="24"/>
          <w:highlight w:val="none"/>
        </w:rPr>
        <w:t>采购代理机构</w:t>
      </w:r>
      <w:r>
        <w:rPr>
          <w:rFonts w:hint="eastAsia" w:eastAsia="仿宋"/>
          <w:bCs/>
          <w:color w:val="auto"/>
          <w:kern w:val="0"/>
          <w:sz w:val="24"/>
          <w:highlight w:val="none"/>
          <w:lang w:eastAsia="zh-CN"/>
        </w:rPr>
        <w:t>”</w:t>
      </w:r>
      <w:r>
        <w:rPr>
          <w:rFonts w:eastAsia="仿宋"/>
          <w:bCs/>
          <w:color w:val="auto"/>
          <w:kern w:val="0"/>
          <w:sz w:val="24"/>
          <w:highlight w:val="none"/>
        </w:rPr>
        <w:t>是指根据采购人委托制定招标项目的实施方案，明确招标规程，组织政府采购活动的中介机构，即</w:t>
      </w:r>
      <w:r>
        <w:rPr>
          <w:rFonts w:hint="eastAsia" w:eastAsia="仿宋"/>
          <w:bCs/>
          <w:color w:val="auto"/>
          <w:kern w:val="0"/>
          <w:sz w:val="24"/>
          <w:highlight w:val="none"/>
          <w:lang w:eastAsia="zh-CN"/>
        </w:rPr>
        <w:t>“江西合胜合招标咨询有限公司”</w:t>
      </w:r>
      <w:r>
        <w:rPr>
          <w:rFonts w:eastAsia="仿宋"/>
          <w:bCs/>
          <w:color w:val="auto"/>
          <w:kern w:val="0"/>
          <w:sz w:val="24"/>
          <w:highlight w:val="none"/>
        </w:rPr>
        <w:t>。</w:t>
      </w:r>
    </w:p>
    <w:p w14:paraId="7C1911D8">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2.3.</w:t>
      </w:r>
      <w:r>
        <w:rPr>
          <w:rFonts w:hint="eastAsia" w:eastAsia="仿宋"/>
          <w:bCs/>
          <w:color w:val="auto"/>
          <w:kern w:val="0"/>
          <w:sz w:val="24"/>
          <w:highlight w:val="none"/>
          <w:lang w:eastAsia="zh-CN"/>
        </w:rPr>
        <w:t>“</w:t>
      </w:r>
      <w:r>
        <w:rPr>
          <w:rFonts w:eastAsia="仿宋"/>
          <w:bCs/>
          <w:color w:val="auto"/>
          <w:kern w:val="0"/>
          <w:sz w:val="24"/>
          <w:highlight w:val="none"/>
        </w:rPr>
        <w:t>投标人</w:t>
      </w:r>
      <w:r>
        <w:rPr>
          <w:rFonts w:hint="eastAsia" w:eastAsia="仿宋"/>
          <w:bCs/>
          <w:color w:val="auto"/>
          <w:kern w:val="0"/>
          <w:sz w:val="24"/>
          <w:highlight w:val="none"/>
          <w:lang w:eastAsia="zh-CN"/>
        </w:rPr>
        <w:t>”</w:t>
      </w:r>
      <w:r>
        <w:rPr>
          <w:rFonts w:eastAsia="仿宋"/>
          <w:bCs/>
          <w:color w:val="auto"/>
          <w:kern w:val="0"/>
          <w:sz w:val="24"/>
          <w:highlight w:val="none"/>
        </w:rPr>
        <w:t>是指响应招标文件要求、参加投标竞争的法人、其他组织或者自然人。投标人应当遵守相关的法律、法规、法规政策及招标文件的规定，且具备承担本次招标项目的能力。</w:t>
      </w:r>
    </w:p>
    <w:p w14:paraId="3D46CE42">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合格的投标人</w:t>
      </w:r>
    </w:p>
    <w:p w14:paraId="248F1F8B">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3.1.满足投标人资格标准：投标人须按第四章投标文件格式</w:t>
      </w:r>
      <w:r>
        <w:rPr>
          <w:rFonts w:hint="eastAsia" w:eastAsia="仿宋"/>
          <w:bCs/>
          <w:color w:val="auto"/>
          <w:kern w:val="0"/>
          <w:sz w:val="24"/>
          <w:highlight w:val="none"/>
          <w:lang w:eastAsia="zh-CN"/>
        </w:rPr>
        <w:t>“</w:t>
      </w:r>
      <w:r>
        <w:rPr>
          <w:rFonts w:eastAsia="仿宋"/>
          <w:bCs/>
          <w:color w:val="auto"/>
          <w:kern w:val="0"/>
          <w:sz w:val="24"/>
          <w:highlight w:val="none"/>
        </w:rPr>
        <w:t>资格证明文件</w:t>
      </w:r>
      <w:r>
        <w:rPr>
          <w:rFonts w:hint="eastAsia" w:eastAsia="仿宋"/>
          <w:bCs/>
          <w:color w:val="auto"/>
          <w:kern w:val="0"/>
          <w:sz w:val="24"/>
          <w:highlight w:val="none"/>
          <w:lang w:eastAsia="zh-CN"/>
        </w:rPr>
        <w:t>”</w:t>
      </w:r>
      <w:r>
        <w:rPr>
          <w:rFonts w:eastAsia="仿宋"/>
          <w:bCs/>
          <w:color w:val="auto"/>
          <w:kern w:val="0"/>
          <w:sz w:val="24"/>
          <w:highlight w:val="none"/>
        </w:rPr>
        <w:t>的规定提供相关证明材料；</w:t>
      </w:r>
    </w:p>
    <w:p w14:paraId="68B5C388">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3.2.在中华人民共和国境内注册，在法律上和财务上独立于采购人和采购代理机构的投标人才能参加投标。</w:t>
      </w:r>
    </w:p>
    <w:p w14:paraId="036C695F">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3.3.投标人家数认定</w:t>
      </w:r>
    </w:p>
    <w:p w14:paraId="6D88955B">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3.3.1使用综合评分法的单一产品采购项目，提供相同品牌产品且通过资格审查、符合性审查的不同投标人参加同一合同项下投标的，按一家投标人计算，评审后得分最高的同品牌投标人获得中标人推荐资格；评审得分相同的，由评标委员会按照随机抽取的方式确定一个投标人获得中标人推荐资格，其他同品牌投标人不作为中标候选人；</w:t>
      </w:r>
    </w:p>
    <w:p w14:paraId="6F2628E9">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3.3.2非单一产品采购项目，采购人应当根据采购项目技术构成、产品价格比重等合理确定核心产品，并在招标文件中载明。多家投标人提供的核心产品品牌相同的，按前款规定处理。</w:t>
      </w:r>
    </w:p>
    <w:p w14:paraId="1B9FA341">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合格的货物和相关服务</w:t>
      </w:r>
    </w:p>
    <w:p w14:paraId="052BBDBA">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4.1.投标人应提交其货物和相关服务符合招标文件规定的证明，作为投标文件的一部分，提供的货物必须是全新的。</w:t>
      </w:r>
    </w:p>
    <w:p w14:paraId="135DDDB0">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4.2.投标人应保证，采购人在中华人民共和国使用该货物或货物的任何一部分时，免受第三方提出的侵犯其专利权、商标权或工业设计权的起诉。</w:t>
      </w:r>
    </w:p>
    <w:p w14:paraId="709E330E">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4.3.采购进口产品的不得拒绝符合条件的国产产品参与采购活动，符合要求的国产产品允许参与本次采购活动。</w:t>
      </w:r>
    </w:p>
    <w:p w14:paraId="3AFAD9A3">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4.4.货物和相关的服务与招标文件的要求相一致的证明，可以是文字资料、图纸和数据，包括：</w:t>
      </w:r>
    </w:p>
    <w:p w14:paraId="216E0D07">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货物主要技术指标和性能的详细说明；</w:t>
      </w:r>
    </w:p>
    <w:p w14:paraId="3CDEADBF">
      <w:pPr>
        <w:numPr>
          <w:ilvl w:val="2"/>
          <w:numId w:val="4"/>
        </w:numPr>
        <w:tabs>
          <w:tab w:val="left" w:pos="142"/>
          <w:tab w:val="left" w:pos="851"/>
          <w:tab w:val="left" w:pos="993"/>
        </w:tabs>
        <w:spacing w:line="460" w:lineRule="exact"/>
        <w:ind w:left="707" w:leftChars="67" w:hanging="566" w:hangingChars="236"/>
        <w:rPr>
          <w:rFonts w:eastAsia="仿宋"/>
          <w:bCs/>
          <w:color w:val="auto"/>
          <w:kern w:val="0"/>
          <w:sz w:val="24"/>
          <w:highlight w:val="none"/>
        </w:rPr>
      </w:pPr>
      <w:r>
        <w:rPr>
          <w:rFonts w:eastAsia="仿宋"/>
          <w:bCs/>
          <w:color w:val="auto"/>
          <w:kern w:val="0"/>
          <w:sz w:val="24"/>
          <w:highlight w:val="none"/>
        </w:rPr>
        <w:t>对照招标文件技术规格，逐条说明所提供的货物和相关服务已对招标文件的技术规格作出了实质性响应，或申明与技术规格的偏差和例外；特别对于有具体参数要求的指标，投标人必须提供所投产品的具体参数；</w:t>
      </w:r>
    </w:p>
    <w:p w14:paraId="63C03228">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商务条款的偏差和例外。</w:t>
      </w:r>
    </w:p>
    <w:p w14:paraId="473A1787">
      <w:pPr>
        <w:spacing w:line="460" w:lineRule="exact"/>
        <w:jc w:val="center"/>
        <w:outlineLvl w:val="1"/>
        <w:rPr>
          <w:rFonts w:eastAsia="仿宋"/>
          <w:b/>
          <w:bCs/>
          <w:color w:val="auto"/>
          <w:kern w:val="0"/>
          <w:sz w:val="24"/>
          <w:highlight w:val="none"/>
        </w:rPr>
      </w:pPr>
      <w:bookmarkStart w:id="98" w:name="_Toc11155"/>
      <w:bookmarkStart w:id="99" w:name="_Toc111018934"/>
      <w:bookmarkStart w:id="100" w:name="_Toc15633"/>
      <w:bookmarkStart w:id="101" w:name="_Toc16327"/>
      <w:bookmarkStart w:id="102" w:name="_Toc7677"/>
      <w:bookmarkStart w:id="103" w:name="_Toc6207"/>
      <w:bookmarkStart w:id="104" w:name="_Toc22312"/>
      <w:r>
        <w:rPr>
          <w:rFonts w:eastAsia="仿宋"/>
          <w:b/>
          <w:bCs/>
          <w:color w:val="auto"/>
          <w:kern w:val="0"/>
          <w:sz w:val="24"/>
          <w:highlight w:val="none"/>
        </w:rPr>
        <w:t>二、招标文件</w:t>
      </w:r>
      <w:bookmarkEnd w:id="98"/>
      <w:bookmarkEnd w:id="99"/>
      <w:bookmarkEnd w:id="100"/>
      <w:bookmarkEnd w:id="101"/>
      <w:bookmarkEnd w:id="102"/>
      <w:bookmarkEnd w:id="103"/>
      <w:bookmarkEnd w:id="104"/>
    </w:p>
    <w:p w14:paraId="0C007281">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14:paraId="106E3140">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5.1.要求提供的货物和相关服务、招标过程和合同条件在招标文件中均有说明。招标文件由下述组成：</w:t>
      </w:r>
    </w:p>
    <w:p w14:paraId="4F9C2BA0">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第一章 </w:t>
      </w:r>
      <w:r>
        <w:rPr>
          <w:rFonts w:eastAsia="仿宋"/>
          <w:bCs/>
          <w:color w:val="auto"/>
          <w:kern w:val="0"/>
          <w:sz w:val="24"/>
          <w:highlight w:val="none"/>
        </w:rPr>
        <w:t>投标邀请</w:t>
      </w:r>
    </w:p>
    <w:p w14:paraId="0D28A2DE">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第二章 </w:t>
      </w:r>
      <w:r>
        <w:rPr>
          <w:rFonts w:eastAsia="仿宋"/>
          <w:bCs/>
          <w:color w:val="auto"/>
          <w:kern w:val="0"/>
          <w:sz w:val="24"/>
          <w:highlight w:val="none"/>
        </w:rPr>
        <w:t>投标人须知</w:t>
      </w:r>
    </w:p>
    <w:p w14:paraId="2C751AD9">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第三章 </w:t>
      </w:r>
      <w:r>
        <w:rPr>
          <w:rFonts w:eastAsia="仿宋"/>
          <w:bCs/>
          <w:color w:val="auto"/>
          <w:kern w:val="0"/>
          <w:sz w:val="24"/>
          <w:highlight w:val="none"/>
        </w:rPr>
        <w:t>合同文本</w:t>
      </w:r>
    </w:p>
    <w:p w14:paraId="5EE36CC5">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第四章 </w:t>
      </w:r>
      <w:r>
        <w:rPr>
          <w:rFonts w:eastAsia="仿宋"/>
          <w:bCs/>
          <w:color w:val="auto"/>
          <w:kern w:val="0"/>
          <w:sz w:val="24"/>
          <w:highlight w:val="none"/>
        </w:rPr>
        <w:t>投标文件格式</w:t>
      </w:r>
    </w:p>
    <w:p w14:paraId="2E19EE2E">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第五章 </w:t>
      </w:r>
      <w:r>
        <w:rPr>
          <w:rFonts w:eastAsia="仿宋"/>
          <w:bCs/>
          <w:color w:val="auto"/>
          <w:kern w:val="0"/>
          <w:sz w:val="24"/>
          <w:highlight w:val="none"/>
        </w:rPr>
        <w:t>招标项目需求</w:t>
      </w:r>
    </w:p>
    <w:p w14:paraId="5DF6326C">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第六章 </w:t>
      </w:r>
      <w:r>
        <w:rPr>
          <w:rFonts w:eastAsia="仿宋"/>
          <w:bCs/>
          <w:color w:val="auto"/>
          <w:kern w:val="0"/>
          <w:sz w:val="24"/>
          <w:highlight w:val="none"/>
        </w:rPr>
        <w:t>评标方法</w:t>
      </w:r>
    </w:p>
    <w:p w14:paraId="6BC3A926">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5.2.投标人应认真阅读招标文件中所有的事项、格式、条款和技术规范等。如果投标人没有按照招标文件要求提交全部资料，或者投标没有对招标文件在各方面都做出实质性响应，因此导致其投标被拒绝或者被认定为无效投标，该责任由投标人承担。</w:t>
      </w:r>
    </w:p>
    <w:p w14:paraId="6FA416FF">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澄清或修改</w:t>
      </w:r>
    </w:p>
    <w:p w14:paraId="54F8F461">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6.1.采购人或者采购代理机构可以对已发出的招标文件（采购标的和资格条件除外）进行必要的澄清或者修改，修改后的澄清（答疑）文件经采购人确认，并在中国政府采购网发布更正公告，澄清或修改</w:t>
      </w:r>
      <w:bookmarkStart w:id="105" w:name="_Hlk25941639"/>
      <w:r>
        <w:rPr>
          <w:rFonts w:eastAsia="仿宋"/>
          <w:bCs/>
          <w:color w:val="auto"/>
          <w:kern w:val="0"/>
          <w:sz w:val="24"/>
          <w:highlight w:val="none"/>
        </w:rPr>
        <w:t>以邮件的形式通知所有已获取招标文件的投标人</w:t>
      </w:r>
      <w:bookmarkEnd w:id="105"/>
      <w:r>
        <w:rPr>
          <w:rFonts w:eastAsia="仿宋"/>
          <w:bCs/>
          <w:color w:val="auto"/>
          <w:kern w:val="0"/>
          <w:sz w:val="24"/>
          <w:highlight w:val="none"/>
        </w:rPr>
        <w:t>，除此之外不做另行通知，如未及时领取澄清（答疑）文件，产生的后果由投标人自己承担。</w:t>
      </w:r>
    </w:p>
    <w:p w14:paraId="10CAAE70">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6.2.澄清或者修改内容可能影响投标文件编制的，采购人或者采购代理机构应当在投标截止时间至少15日前以邮件的形式通知所有已获取招标文件的投标人，不足15日的采购人或者采购代理机构应当顺延提交投标文件截止时间。</w:t>
      </w:r>
    </w:p>
    <w:p w14:paraId="51215D69">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6.3.该澄清或修改文件的内容是招标文件的组成部分，并对投标人具有约束力。</w:t>
      </w:r>
    </w:p>
    <w:p w14:paraId="41E462A1">
      <w:pPr>
        <w:spacing w:line="460" w:lineRule="exact"/>
        <w:jc w:val="center"/>
        <w:outlineLvl w:val="1"/>
        <w:rPr>
          <w:rFonts w:eastAsia="仿宋"/>
          <w:b/>
          <w:bCs/>
          <w:color w:val="auto"/>
          <w:kern w:val="0"/>
          <w:sz w:val="24"/>
          <w:highlight w:val="none"/>
        </w:rPr>
      </w:pPr>
      <w:bookmarkStart w:id="106" w:name="_Toc13966"/>
      <w:bookmarkStart w:id="107" w:name="_Toc8918"/>
      <w:bookmarkStart w:id="108" w:name="_Toc6770"/>
      <w:bookmarkStart w:id="109" w:name="_Toc111018935"/>
      <w:bookmarkStart w:id="110" w:name="_Toc878"/>
      <w:bookmarkStart w:id="111" w:name="_Toc4981"/>
      <w:bookmarkStart w:id="112" w:name="_Toc6179"/>
      <w:r>
        <w:rPr>
          <w:rFonts w:eastAsia="仿宋"/>
          <w:b/>
          <w:bCs/>
          <w:color w:val="auto"/>
          <w:kern w:val="0"/>
          <w:sz w:val="24"/>
          <w:highlight w:val="none"/>
        </w:rPr>
        <w:t>三、政府采购优惠政策</w:t>
      </w:r>
      <w:bookmarkEnd w:id="106"/>
      <w:bookmarkEnd w:id="107"/>
      <w:bookmarkEnd w:id="108"/>
      <w:bookmarkEnd w:id="109"/>
      <w:bookmarkEnd w:id="110"/>
      <w:bookmarkEnd w:id="111"/>
      <w:bookmarkEnd w:id="112"/>
    </w:p>
    <w:p w14:paraId="520FA14C">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中小企业或监狱企业参加投标享受的扶持政策</w:t>
      </w:r>
    </w:p>
    <w:p w14:paraId="603E678E">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4A96C18">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7.2.投标的货物由小型或微型企业生产且使用该小型或微型企业商号或者注册商标，将对投标报价给予10%的扣除，用扣除后的价格参加评审。</w:t>
      </w:r>
    </w:p>
    <w:p w14:paraId="59157150">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7.3.中小企业参加政府采购活动时，必须提供《中小企业声明函》，否则不得享受相关中小企业扶持政策。</w:t>
      </w:r>
    </w:p>
    <w:p w14:paraId="5DA4C2DD">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7.4.投标人提供的货物既有中小企业制造商货物，也有大型企业制造货物的，不享受《政府采购促进中小企业发展管理办法》规定的中小企业扶持政策。</w:t>
      </w:r>
    </w:p>
    <w:p w14:paraId="1F1186EB">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7.5.享受扶持政策获得政府采购合同的，小微企业不得将合同分包给大中型企业，中型企业不得将合同分包给大型企业。</w:t>
      </w:r>
    </w:p>
    <w:p w14:paraId="7CB2F82A">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7.6.根据《财政部 司法部关于政府采购支持监狱企业发展有关问题的通知》（财库[2014]68号）的规定，监狱企业视同小型、微型企业，投标的货物由小型或微型企业生产且使用该小型或微型企业商号或者注册商标，将对报价给予10%的扣除。监狱企业参加本次政府采购活动时，应当提供由省级以上监狱管理局、戒毒管理局（含新疆生产建设兵团）出具的属于监狱企业的证明文件，提交的监狱企业的证明文件不真实的，应承担相应的法律责任。</w:t>
      </w:r>
    </w:p>
    <w:p w14:paraId="70C379B0">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残疾人福利性单位参加投标享受的扶持政策</w:t>
      </w:r>
    </w:p>
    <w:p w14:paraId="61D1711C">
      <w:pPr>
        <w:tabs>
          <w:tab w:val="left" w:pos="0"/>
          <w:tab w:val="left" w:pos="284"/>
          <w:tab w:val="left" w:pos="587"/>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根据《三部门联合发布关于促进残疾人就业政府采购政策的通知》（财库[2017]141号）的规定，</w:t>
      </w:r>
      <w:r>
        <w:rPr>
          <w:rFonts w:eastAsia="仿宋"/>
          <w:color w:val="auto"/>
          <w:sz w:val="24"/>
          <w:highlight w:val="none"/>
        </w:rPr>
        <w:t>残疾人福利性单位视同小型、微型企业，</w:t>
      </w:r>
      <w:r>
        <w:rPr>
          <w:rFonts w:eastAsia="仿宋"/>
          <w:color w:val="auto"/>
          <w:kern w:val="0"/>
          <w:sz w:val="24"/>
          <w:highlight w:val="none"/>
        </w:rPr>
        <w:t>投标的货物由小型或微型企业生产且使用该小型或微型企业商号或者注册商标，</w:t>
      </w:r>
      <w:r>
        <w:rPr>
          <w:rFonts w:eastAsia="仿宋"/>
          <w:color w:val="auto"/>
          <w:sz w:val="24"/>
          <w:highlight w:val="none"/>
        </w:rPr>
        <w:t>将对投标报价给予10%的扣除。残疾人福利性单位</w:t>
      </w:r>
      <w:r>
        <w:rPr>
          <w:rFonts w:eastAsia="仿宋"/>
          <w:color w:val="auto"/>
          <w:kern w:val="0"/>
          <w:sz w:val="24"/>
          <w:highlight w:val="none"/>
        </w:rPr>
        <w:t>参加本次政府采购活动时，</w:t>
      </w:r>
      <w:r>
        <w:rPr>
          <w:rFonts w:eastAsia="仿宋"/>
          <w:color w:val="auto"/>
          <w:sz w:val="24"/>
          <w:highlight w:val="none"/>
        </w:rPr>
        <w:t>应当提供招标文件要求的《残疾人福利性单位声明函》给予证明，并对声明的真实性负责。提交的残疾人福利性单位声明函不真实的，应承担相应的法律责任。</w:t>
      </w:r>
    </w:p>
    <w:p w14:paraId="0B16CD3D">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节能产品和环境标志产品</w:t>
      </w:r>
    </w:p>
    <w:p w14:paraId="11D5F41D">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采购人购买的产品属于《节能产品政府采购品目清单》或《环境标志产品政府采购品目清单》强制采购目录范围的，投标人应当按照</w:t>
      </w:r>
      <w:r>
        <w:rPr>
          <w:rFonts w:hint="eastAsia" w:eastAsia="仿宋"/>
          <w:bCs/>
          <w:color w:val="auto"/>
          <w:kern w:val="0"/>
          <w:sz w:val="24"/>
          <w:highlight w:val="none"/>
          <w:lang w:eastAsia="zh-CN"/>
        </w:rPr>
        <w:t>“</w:t>
      </w:r>
      <w:r>
        <w:rPr>
          <w:rFonts w:eastAsia="仿宋"/>
          <w:bCs/>
          <w:color w:val="auto"/>
          <w:kern w:val="0"/>
          <w:sz w:val="24"/>
          <w:highlight w:val="none"/>
        </w:rPr>
        <w:t>《国务院办公厅关于建立政府强制采购节能产品制度的通知》（国办发[2007]51号）</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《财政部 发展改革委 生态环境部 市场监管总局 关于调整优化节能产品、环境标志产品政府采购执行机制的通知》（财库[2019]9号）</w:t>
      </w:r>
      <w:r>
        <w:rPr>
          <w:rFonts w:hint="eastAsia" w:eastAsia="仿宋"/>
          <w:bCs/>
          <w:color w:val="auto"/>
          <w:kern w:val="0"/>
          <w:sz w:val="24"/>
          <w:highlight w:val="none"/>
          <w:lang w:eastAsia="zh-CN"/>
        </w:rPr>
        <w:t>”</w:t>
      </w:r>
      <w:r>
        <w:rPr>
          <w:rFonts w:eastAsia="仿宋"/>
          <w:bCs/>
          <w:color w:val="auto"/>
          <w:kern w:val="0"/>
          <w:sz w:val="24"/>
          <w:highlight w:val="none"/>
        </w:rPr>
        <w:t>的规定，选择符合要求的节能产品和环境标志产品参与投标。</w:t>
      </w:r>
    </w:p>
    <w:p w14:paraId="20C0AA3D">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不属于《节能产品政府采购品目清单》或《环境标志产品政府采购品目清单》强制采购目录范围的，对于投标人选择《节能产品政府采购品目清单》或《环境标志产品政府采购品目清单》范围内产品参与投标的，予以优先采购。</w:t>
      </w:r>
    </w:p>
    <w:p w14:paraId="1788FE69">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以中国政府采购网（</w:t>
      </w:r>
      <w:r>
        <w:rPr>
          <w:rFonts w:eastAsia="仿宋"/>
          <w:color w:val="auto"/>
          <w:kern w:val="0"/>
          <w:sz w:val="24"/>
          <w:highlight w:val="none"/>
        </w:rPr>
        <w:drawing>
          <wp:inline distT="0" distB="0" distL="0" distR="0">
            <wp:extent cx="191135" cy="142875"/>
            <wp:effectExtent l="0" t="0" r="18415" b="9525"/>
            <wp:docPr id="2" name="图片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W@GJ$ACOF(TYDYECOKVDYB"/>
                    <pic:cNvPicPr>
                      <a:picLocks noChangeAspect="1" noChangeArrowheads="1"/>
                    </pic:cNvPicPr>
                  </pic:nvPicPr>
                  <pic:blipFill>
                    <a:blip r:embed="rId18"/>
                    <a:srcRect/>
                    <a:stretch>
                      <a:fillRect/>
                    </a:stretch>
                  </pic:blipFill>
                  <pic:spPr>
                    <a:xfrm>
                      <a:off x="0" y="0"/>
                      <a:ext cx="191135" cy="142875"/>
                    </a:xfrm>
                    <a:prstGeom prst="rect">
                      <a:avLst/>
                    </a:prstGeom>
                    <a:noFill/>
                    <a:ln w="9525">
                      <a:noFill/>
                      <a:miter lim="800000"/>
                      <a:headEnd/>
                      <a:tailEnd/>
                    </a:ln>
                  </pic:spPr>
                </pic:pic>
              </a:graphicData>
            </a:graphic>
          </wp:inline>
        </w:drawing>
      </w:r>
      <w:r>
        <w:rPr>
          <w:rFonts w:eastAsia="仿宋"/>
          <w:bCs/>
          <w:color w:val="auto"/>
          <w:kern w:val="0"/>
          <w:sz w:val="24"/>
          <w:highlight w:val="none"/>
        </w:rPr>
        <w:t>http://www.ccgp.gov.cn/）公布的最新《节能产品政府采购品目清单》和《环境标志产品政府采购品目清单》为准。</w:t>
      </w:r>
    </w:p>
    <w:p w14:paraId="2959E202">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投标人选择</w:t>
      </w:r>
      <w:r>
        <w:rPr>
          <w:rFonts w:hint="eastAsia" w:eastAsia="仿宋"/>
          <w:bCs/>
          <w:color w:val="auto"/>
          <w:kern w:val="0"/>
          <w:sz w:val="24"/>
          <w:highlight w:val="none"/>
          <w:lang w:eastAsia="zh-CN"/>
        </w:rPr>
        <w:t>“</w:t>
      </w:r>
      <w:r>
        <w:rPr>
          <w:rFonts w:eastAsia="仿宋"/>
          <w:bCs/>
          <w:color w:val="auto"/>
          <w:kern w:val="0"/>
          <w:sz w:val="24"/>
          <w:highlight w:val="none"/>
        </w:rPr>
        <w:t>节能产品</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环境标志产品</w:t>
      </w:r>
      <w:r>
        <w:rPr>
          <w:rFonts w:hint="eastAsia" w:eastAsia="仿宋"/>
          <w:bCs/>
          <w:color w:val="auto"/>
          <w:kern w:val="0"/>
          <w:sz w:val="24"/>
          <w:highlight w:val="none"/>
          <w:lang w:eastAsia="zh-CN"/>
        </w:rPr>
        <w:t>”</w:t>
      </w:r>
      <w:r>
        <w:rPr>
          <w:rFonts w:eastAsia="仿宋"/>
          <w:bCs/>
          <w:color w:val="auto"/>
          <w:kern w:val="0"/>
          <w:sz w:val="24"/>
          <w:highlight w:val="none"/>
        </w:rPr>
        <w:t>参与投标的，应当在投标文件中提供由国家确定的认证机构出具的处于有效期之内的节能产品、环境标志产品认证证书，对获得证书的产品实施政府优先采购或强制采购。</w:t>
      </w:r>
    </w:p>
    <w:p w14:paraId="10C56FE9">
      <w:pPr>
        <w:spacing w:line="460" w:lineRule="exact"/>
        <w:jc w:val="center"/>
        <w:outlineLvl w:val="1"/>
        <w:rPr>
          <w:rFonts w:eastAsia="仿宋"/>
          <w:b/>
          <w:bCs/>
          <w:color w:val="auto"/>
          <w:kern w:val="0"/>
          <w:sz w:val="24"/>
          <w:highlight w:val="none"/>
        </w:rPr>
      </w:pPr>
      <w:bookmarkStart w:id="113" w:name="_Toc30834"/>
      <w:bookmarkStart w:id="114" w:name="_Toc25767"/>
      <w:bookmarkStart w:id="115" w:name="_Toc30618"/>
      <w:bookmarkStart w:id="116" w:name="_Toc29312"/>
      <w:bookmarkStart w:id="117" w:name="_Toc29285"/>
      <w:bookmarkStart w:id="118" w:name="_Toc16205"/>
      <w:bookmarkStart w:id="119" w:name="_Toc111018936"/>
      <w:r>
        <w:rPr>
          <w:rFonts w:eastAsia="仿宋"/>
          <w:b/>
          <w:bCs/>
          <w:color w:val="auto"/>
          <w:kern w:val="0"/>
          <w:sz w:val="24"/>
          <w:highlight w:val="none"/>
        </w:rPr>
        <w:t>四、投标文件的编制</w:t>
      </w:r>
      <w:bookmarkEnd w:id="113"/>
      <w:bookmarkEnd w:id="114"/>
      <w:bookmarkEnd w:id="115"/>
      <w:bookmarkEnd w:id="116"/>
      <w:bookmarkEnd w:id="117"/>
      <w:bookmarkEnd w:id="118"/>
      <w:bookmarkEnd w:id="119"/>
    </w:p>
    <w:p w14:paraId="3E64B6E7">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注意事项</w:t>
      </w:r>
    </w:p>
    <w:p w14:paraId="13D8CEC0">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投标人应仔细阅读招标文件，在完全了解招标文件的内容、要求后，编制投标文件。</w:t>
      </w:r>
    </w:p>
    <w:p w14:paraId="5FE824A3">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投标人应按投标文件的构成顺序自编目录及页码。</w:t>
      </w:r>
    </w:p>
    <w:p w14:paraId="2F6FC896">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14:paraId="0700FD62">
      <w:pPr>
        <w:tabs>
          <w:tab w:val="left" w:pos="284"/>
          <w:tab w:val="left" w:pos="851"/>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投标人编制的投标文件应包括下列内容：</w:t>
      </w:r>
      <w:r>
        <w:rPr>
          <w:rFonts w:eastAsia="仿宋"/>
          <w:b/>
          <w:bCs/>
          <w:color w:val="auto"/>
          <w:kern w:val="0"/>
          <w:sz w:val="24"/>
          <w:highlight w:val="none"/>
        </w:rPr>
        <w:t>详见招标文件</w:t>
      </w:r>
      <w:r>
        <w:rPr>
          <w:rFonts w:hint="eastAsia" w:eastAsia="仿宋"/>
          <w:b/>
          <w:bCs/>
          <w:color w:val="auto"/>
          <w:kern w:val="0"/>
          <w:sz w:val="24"/>
          <w:highlight w:val="none"/>
          <w:lang w:eastAsia="zh-CN"/>
        </w:rPr>
        <w:t>“</w:t>
      </w:r>
      <w:r>
        <w:rPr>
          <w:rFonts w:eastAsia="仿宋"/>
          <w:b/>
          <w:bCs/>
          <w:color w:val="auto"/>
          <w:kern w:val="0"/>
          <w:sz w:val="24"/>
          <w:highlight w:val="none"/>
        </w:rPr>
        <w:t>第四章 投标文件格式</w:t>
      </w:r>
      <w:r>
        <w:rPr>
          <w:rFonts w:hint="eastAsia" w:eastAsia="仿宋"/>
          <w:b/>
          <w:bCs/>
          <w:color w:val="auto"/>
          <w:kern w:val="0"/>
          <w:sz w:val="24"/>
          <w:highlight w:val="none"/>
          <w:lang w:eastAsia="zh-CN"/>
        </w:rPr>
        <w:t>”</w:t>
      </w:r>
      <w:r>
        <w:rPr>
          <w:rFonts w:eastAsia="仿宋"/>
          <w:bCs/>
          <w:color w:val="auto"/>
          <w:kern w:val="0"/>
          <w:sz w:val="24"/>
          <w:highlight w:val="none"/>
        </w:rPr>
        <w:t>。</w:t>
      </w:r>
    </w:p>
    <w:p w14:paraId="1226613A">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文字及计量单位</w:t>
      </w:r>
    </w:p>
    <w:p w14:paraId="6D51797C">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投标文件以及投标人与采购代理机构的所有来往的文件统一使用中文（另有规定的除外）。投标人提交的支持文件或印刷的文献可以用另一种语言，但相应内容应附有中文翻译本，在解释投标文件内容时以中文翻译本为准。</w:t>
      </w:r>
    </w:p>
    <w:p w14:paraId="697A02D8">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投标文件中使用的计量单位除招标文件中有特殊规定外，一律使用国家法定计量单位。</w:t>
      </w:r>
    </w:p>
    <w:p w14:paraId="39FBB107">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格式</w:t>
      </w:r>
    </w:p>
    <w:p w14:paraId="03EEAFD3">
      <w:pPr>
        <w:numPr>
          <w:ilvl w:val="1"/>
          <w:numId w:val="9"/>
        </w:numPr>
        <w:tabs>
          <w:tab w:val="left" w:pos="0"/>
          <w:tab w:val="left" w:pos="284"/>
          <w:tab w:val="left" w:pos="567"/>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 xml:space="preserve">投标人应按招标文件投标文件格式中提供的 </w:t>
      </w:r>
      <w:r>
        <w:rPr>
          <w:rFonts w:hint="eastAsia" w:eastAsia="仿宋"/>
          <w:bCs/>
          <w:color w:val="auto"/>
          <w:kern w:val="0"/>
          <w:sz w:val="24"/>
          <w:highlight w:val="none"/>
          <w:lang w:eastAsia="zh-CN"/>
        </w:rPr>
        <w:t>“</w:t>
      </w:r>
      <w:r>
        <w:rPr>
          <w:rFonts w:eastAsia="仿宋"/>
          <w:bCs/>
          <w:color w:val="auto"/>
          <w:kern w:val="0"/>
          <w:sz w:val="24"/>
          <w:highlight w:val="none"/>
        </w:rPr>
        <w:t>投标书</w:t>
      </w:r>
      <w:r>
        <w:rPr>
          <w:rFonts w:hint="eastAsia" w:eastAsia="仿宋"/>
          <w:bCs/>
          <w:color w:val="auto"/>
          <w:kern w:val="0"/>
          <w:sz w:val="24"/>
          <w:highlight w:val="none"/>
          <w:lang w:eastAsia="zh-CN"/>
        </w:rPr>
        <w:t>”</w:t>
      </w:r>
      <w:r>
        <w:rPr>
          <w:rFonts w:eastAsia="仿宋"/>
          <w:bCs/>
          <w:color w:val="auto"/>
          <w:kern w:val="0"/>
          <w:sz w:val="24"/>
          <w:highlight w:val="none"/>
        </w:rPr>
        <w:t>、</w:t>
      </w:r>
      <w:r>
        <w:rPr>
          <w:rFonts w:hint="eastAsia" w:eastAsia="仿宋"/>
          <w:bCs/>
          <w:color w:val="auto"/>
          <w:kern w:val="0"/>
          <w:sz w:val="24"/>
          <w:highlight w:val="none"/>
          <w:lang w:eastAsia="zh-CN"/>
        </w:rPr>
        <w:t>“</w:t>
      </w:r>
      <w:r>
        <w:rPr>
          <w:rFonts w:eastAsia="仿宋"/>
          <w:bCs/>
          <w:color w:val="auto"/>
          <w:kern w:val="0"/>
          <w:sz w:val="24"/>
          <w:highlight w:val="none"/>
        </w:rPr>
        <w:t>开标一览表</w:t>
      </w:r>
      <w:r>
        <w:rPr>
          <w:rFonts w:hint="eastAsia" w:eastAsia="仿宋"/>
          <w:bCs/>
          <w:color w:val="auto"/>
          <w:kern w:val="0"/>
          <w:sz w:val="24"/>
          <w:highlight w:val="none"/>
          <w:lang w:eastAsia="zh-CN"/>
        </w:rPr>
        <w:t>”</w:t>
      </w:r>
      <w:r>
        <w:rPr>
          <w:rFonts w:eastAsia="仿宋"/>
          <w:bCs/>
          <w:color w:val="auto"/>
          <w:kern w:val="0"/>
          <w:sz w:val="24"/>
          <w:highlight w:val="none"/>
        </w:rPr>
        <w:t>等格式详细完整地填写各项内容。</w:t>
      </w:r>
    </w:p>
    <w:p w14:paraId="48741226">
      <w:pPr>
        <w:numPr>
          <w:ilvl w:val="1"/>
          <w:numId w:val="9"/>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投标人不得将同一包中的内容拆开投标，</w:t>
      </w:r>
      <w:r>
        <w:rPr>
          <w:rFonts w:eastAsia="仿宋"/>
          <w:b/>
          <w:bCs/>
          <w:color w:val="auto"/>
          <w:kern w:val="0"/>
          <w:sz w:val="24"/>
          <w:highlight w:val="none"/>
        </w:rPr>
        <w:t>否则投标无效。</w:t>
      </w:r>
    </w:p>
    <w:p w14:paraId="0115116B">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投标报价和货币</w:t>
      </w:r>
    </w:p>
    <w:p w14:paraId="062365B7">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投标人应按招标文件第五章中的内容作出完整、唯一报价，并且所报价格不得超过第一章中的预算金额，如有最高限价的，所报价格不得超过第一章中的最高限价，</w:t>
      </w:r>
      <w:r>
        <w:rPr>
          <w:rFonts w:eastAsia="仿宋"/>
          <w:b/>
          <w:color w:val="auto"/>
          <w:kern w:val="0"/>
          <w:sz w:val="24"/>
          <w:highlight w:val="none"/>
        </w:rPr>
        <w:t>否则投标无效。</w:t>
      </w:r>
    </w:p>
    <w:p w14:paraId="36FA9647">
      <w:pPr>
        <w:numPr>
          <w:ilvl w:val="1"/>
          <w:numId w:val="10"/>
        </w:numPr>
        <w:tabs>
          <w:tab w:val="left" w:pos="0"/>
          <w:tab w:val="left" w:pos="284"/>
          <w:tab w:val="left" w:pos="567"/>
          <w:tab w:val="left" w:pos="709"/>
          <w:tab w:val="left" w:pos="935"/>
        </w:tabs>
        <w:spacing w:line="460" w:lineRule="exact"/>
        <w:ind w:left="0" w:firstLine="0"/>
        <w:rPr>
          <w:rFonts w:eastAsia="仿宋"/>
          <w:b/>
          <w:bCs/>
          <w:color w:val="auto"/>
          <w:kern w:val="0"/>
          <w:sz w:val="24"/>
          <w:highlight w:val="none"/>
        </w:rPr>
      </w:pPr>
      <w:r>
        <w:rPr>
          <w:rFonts w:eastAsia="仿宋"/>
          <w:bCs/>
          <w:color w:val="auto"/>
          <w:kern w:val="0"/>
          <w:sz w:val="24"/>
          <w:highlight w:val="none"/>
        </w:rPr>
        <w:t>投标人须按开标一览表、开标一览表明细的内容填写单价、总价及其他事项。</w:t>
      </w:r>
    </w:p>
    <w:p w14:paraId="34C47A98">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投标人的报价在合同执行过程中是固定不变的，不得以任何理由予以变更。投标人应对所有招标内容进行投标，且只提供最优方案一套，投标人提交任何包含价格调整要求的投标将按非实质性响应招标文件要求，</w:t>
      </w:r>
      <w:r>
        <w:rPr>
          <w:rFonts w:eastAsia="仿宋"/>
          <w:b/>
          <w:bCs/>
          <w:color w:val="auto"/>
          <w:kern w:val="0"/>
          <w:sz w:val="24"/>
          <w:highlight w:val="none"/>
        </w:rPr>
        <w:t>视为投标无效</w:t>
      </w:r>
      <w:r>
        <w:rPr>
          <w:rFonts w:eastAsia="仿宋"/>
          <w:bCs/>
          <w:color w:val="auto"/>
          <w:kern w:val="0"/>
          <w:sz w:val="24"/>
          <w:highlight w:val="none"/>
        </w:rPr>
        <w:t>。</w:t>
      </w:r>
    </w:p>
    <w:p w14:paraId="46585871">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证明投标人合格和资格的证明文件</w:t>
      </w:r>
    </w:p>
    <w:p w14:paraId="7DC49569">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投标人应提供证明其合格和资格的证明文件</w:t>
      </w:r>
      <w:r>
        <w:rPr>
          <w:rFonts w:hint="eastAsia" w:eastAsia="仿宋"/>
          <w:b/>
          <w:bCs/>
          <w:color w:val="auto"/>
          <w:kern w:val="0"/>
          <w:sz w:val="24"/>
          <w:highlight w:val="none"/>
          <w:lang w:eastAsia="zh-CN"/>
        </w:rPr>
        <w:t>（</w:t>
      </w:r>
      <w:r>
        <w:rPr>
          <w:rFonts w:eastAsia="仿宋"/>
          <w:b/>
          <w:bCs/>
          <w:color w:val="auto"/>
          <w:kern w:val="0"/>
          <w:sz w:val="24"/>
          <w:highlight w:val="none"/>
        </w:rPr>
        <w:t>格式详见：第四章 投标文件格式</w:t>
      </w:r>
      <w:r>
        <w:rPr>
          <w:rFonts w:hint="eastAsia" w:eastAsia="仿宋"/>
          <w:b/>
          <w:bCs/>
          <w:color w:val="auto"/>
          <w:kern w:val="0"/>
          <w:sz w:val="24"/>
          <w:highlight w:val="none"/>
          <w:lang w:eastAsia="zh-CN"/>
        </w:rPr>
        <w:t>“</w:t>
      </w:r>
      <w:r>
        <w:rPr>
          <w:rFonts w:eastAsia="仿宋"/>
          <w:b/>
          <w:bCs/>
          <w:color w:val="auto"/>
          <w:kern w:val="0"/>
          <w:sz w:val="24"/>
          <w:highlight w:val="none"/>
        </w:rPr>
        <w:t>资格证明文件</w:t>
      </w:r>
      <w:r>
        <w:rPr>
          <w:rFonts w:hint="eastAsia" w:eastAsia="仿宋"/>
          <w:b/>
          <w:bCs/>
          <w:color w:val="auto"/>
          <w:kern w:val="0"/>
          <w:sz w:val="24"/>
          <w:highlight w:val="none"/>
          <w:lang w:eastAsia="zh-CN"/>
        </w:rPr>
        <w:t>”）</w:t>
      </w:r>
      <w:r>
        <w:rPr>
          <w:rFonts w:eastAsia="仿宋"/>
          <w:bCs/>
          <w:color w:val="auto"/>
          <w:kern w:val="0"/>
          <w:sz w:val="24"/>
          <w:highlight w:val="none"/>
        </w:rPr>
        <w:t>。</w:t>
      </w:r>
    </w:p>
    <w:p w14:paraId="310AAF6C">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证明货物和相关服务符合招标文件规定的文件</w:t>
      </w:r>
    </w:p>
    <w:p w14:paraId="04F2B9DD">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投标人应提交证明其拟供的合同项下的货物及相关服务符合招标文件规定的文件。该证明文件作为投标文件的一部分。</w:t>
      </w:r>
    </w:p>
    <w:p w14:paraId="742C8A3E">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投标保证金</w:t>
      </w:r>
    </w:p>
    <w:p w14:paraId="297A18BE">
      <w:pPr>
        <w:numPr>
          <w:ilvl w:val="1"/>
          <w:numId w:val="11"/>
        </w:numPr>
        <w:tabs>
          <w:tab w:val="left" w:pos="0"/>
          <w:tab w:val="left" w:pos="709"/>
          <w:tab w:val="left" w:pos="935"/>
          <w:tab w:val="left" w:pos="993"/>
          <w:tab w:val="left" w:pos="1108"/>
        </w:tabs>
        <w:spacing w:line="460" w:lineRule="exact"/>
        <w:ind w:hanging="1077"/>
        <w:rPr>
          <w:rFonts w:eastAsia="仿宋"/>
          <w:bCs/>
          <w:color w:val="auto"/>
          <w:kern w:val="0"/>
          <w:sz w:val="24"/>
          <w:highlight w:val="none"/>
        </w:rPr>
      </w:pPr>
      <w:r>
        <w:rPr>
          <w:rFonts w:eastAsia="仿宋"/>
          <w:bCs/>
          <w:color w:val="auto"/>
          <w:kern w:val="0"/>
          <w:sz w:val="24"/>
          <w:highlight w:val="none"/>
        </w:rPr>
        <w:t>投标保证金提交金额、时间、形式等要求：</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bCs/>
          <w:color w:val="auto"/>
          <w:kern w:val="0"/>
          <w:sz w:val="24"/>
          <w:highlight w:val="none"/>
          <w:u w:val="single"/>
          <w:lang w:eastAsia="zh-CN"/>
        </w:rPr>
        <w:t>”</w:t>
      </w:r>
      <w:r>
        <w:rPr>
          <w:rFonts w:eastAsia="仿宋"/>
          <w:bCs/>
          <w:color w:val="auto"/>
          <w:kern w:val="0"/>
          <w:sz w:val="24"/>
          <w:highlight w:val="none"/>
        </w:rPr>
        <w:t>。</w:t>
      </w:r>
    </w:p>
    <w:p w14:paraId="7887B2BB">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未中标人的投标保证金，自中标通知书发出之日起5个工作日内退还。</w:t>
      </w:r>
    </w:p>
    <w:p w14:paraId="6CE28CA5">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中标人的投标保证金，自采购合同签订之日起5个工作日内退还。</w:t>
      </w:r>
    </w:p>
    <w:p w14:paraId="43D1995F">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下列任何情况发生时，不予退还其交纳的投标保证金：</w:t>
      </w:r>
    </w:p>
    <w:p w14:paraId="4F40EFAD">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17.4.1投标人出现《政府采购法》第七十七条规定的情形之一的；</w:t>
      </w:r>
    </w:p>
    <w:p w14:paraId="113511C2">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17.4.2投标人在招标文件规定的投标有效期内撤回其投标；</w:t>
      </w:r>
    </w:p>
    <w:p w14:paraId="3DD67578">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17.4.3中标人未按招标文件所述规定签订合同；</w:t>
      </w:r>
    </w:p>
    <w:p w14:paraId="073B3E82">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17.4.4中标人未按规定缴纳代理服务费；</w:t>
      </w:r>
    </w:p>
    <w:p w14:paraId="5EB7BB8F">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17.4.5中标人未按规定提交履约保证金（如招标文件要求提交履约保证金）；</w:t>
      </w:r>
    </w:p>
    <w:p w14:paraId="0250D84F">
      <w:pPr>
        <w:keepNext w:val="0"/>
        <w:keepLines w:val="0"/>
        <w:pageBreakBefore w:val="0"/>
        <w:widowControl w:val="0"/>
        <w:tabs>
          <w:tab w:val="left" w:pos="0"/>
          <w:tab w:val="left" w:pos="709"/>
          <w:tab w:val="left" w:pos="935"/>
          <w:tab w:val="left" w:pos="993"/>
          <w:tab w:val="left" w:pos="1108"/>
        </w:tabs>
        <w:kinsoku/>
        <w:wordWrap/>
        <w:overflowPunct/>
        <w:topLinePunct w:val="0"/>
        <w:autoSpaceDE/>
        <w:autoSpaceDN/>
        <w:bidi w:val="0"/>
        <w:adjustRightInd/>
        <w:snapToGrid/>
        <w:spacing w:line="460" w:lineRule="exact"/>
        <w:ind w:firstLine="360" w:firstLineChars="150"/>
        <w:textAlignment w:val="auto"/>
        <w:rPr>
          <w:rFonts w:eastAsia="仿宋"/>
          <w:bCs/>
          <w:color w:val="auto"/>
          <w:kern w:val="0"/>
          <w:sz w:val="24"/>
          <w:highlight w:val="none"/>
        </w:rPr>
      </w:pPr>
      <w:r>
        <w:rPr>
          <w:rFonts w:eastAsia="仿宋"/>
          <w:bCs/>
          <w:color w:val="auto"/>
          <w:kern w:val="0"/>
          <w:sz w:val="24"/>
          <w:highlight w:val="none"/>
        </w:rPr>
        <w:t>17.4.6中标人提供虚假材料和文件意图骗取中标。</w:t>
      </w:r>
    </w:p>
    <w:p w14:paraId="30461F2E">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投标有效期</w:t>
      </w:r>
    </w:p>
    <w:p w14:paraId="3C2EA97F">
      <w:pPr>
        <w:numPr>
          <w:ilvl w:val="1"/>
          <w:numId w:val="12"/>
        </w:numPr>
        <w:tabs>
          <w:tab w:val="left" w:pos="0"/>
          <w:tab w:val="left" w:pos="284"/>
          <w:tab w:val="left" w:pos="709"/>
          <w:tab w:val="left" w:pos="935"/>
          <w:tab w:val="left" w:pos="993"/>
          <w:tab w:val="left" w:pos="1108"/>
        </w:tabs>
        <w:spacing w:line="460" w:lineRule="exact"/>
        <w:ind w:left="0" w:firstLine="0"/>
        <w:rPr>
          <w:rFonts w:eastAsia="仿宋"/>
          <w:color w:val="auto"/>
          <w:sz w:val="24"/>
          <w:highlight w:val="none"/>
        </w:rPr>
      </w:pPr>
      <w:r>
        <w:rPr>
          <w:rFonts w:eastAsia="仿宋"/>
          <w:color w:val="auto"/>
          <w:sz w:val="24"/>
          <w:highlight w:val="none"/>
        </w:rPr>
        <w:t>投标有效期：自开标之日起不少于九十个日历日，投标有效期不足的，</w:t>
      </w:r>
      <w:r>
        <w:rPr>
          <w:rFonts w:eastAsia="仿宋"/>
          <w:b/>
          <w:color w:val="auto"/>
          <w:sz w:val="24"/>
          <w:highlight w:val="none"/>
        </w:rPr>
        <w:t>投标无效。</w:t>
      </w:r>
    </w:p>
    <w:p w14:paraId="3E169704">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color w:val="auto"/>
          <w:sz w:val="24"/>
          <w:highlight w:val="none"/>
        </w:rPr>
        <w:t>投标有效期内，投标人不得对投标文件的实质性内容作出修改，并且以投标保证金进行担保。</w:t>
      </w:r>
    </w:p>
    <w:p w14:paraId="55EA2CC5">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在特殊情况下，采购代理机构</w:t>
      </w:r>
      <w:r>
        <w:rPr>
          <w:rFonts w:eastAsia="仿宋"/>
          <w:color w:val="auto"/>
          <w:sz w:val="24"/>
          <w:highlight w:val="none"/>
        </w:rPr>
        <w:t>或采购人</w:t>
      </w:r>
      <w:r>
        <w:rPr>
          <w:rFonts w:eastAsia="仿宋"/>
          <w:bCs/>
          <w:color w:val="auto"/>
          <w:kern w:val="0"/>
          <w:sz w:val="24"/>
          <w:highlight w:val="none"/>
        </w:rPr>
        <w:t>可延长投标有效期。延长投标有效期在中国政府采购网上发布，延期函以网上公告的形式通知所有已参加投标人。已参加的投标人应以书面形式答复采购代理机构</w:t>
      </w:r>
      <w:r>
        <w:rPr>
          <w:rFonts w:eastAsia="仿宋"/>
          <w:color w:val="auto"/>
          <w:sz w:val="24"/>
          <w:highlight w:val="none"/>
        </w:rPr>
        <w:t>或采购人</w:t>
      </w:r>
      <w:r>
        <w:rPr>
          <w:rFonts w:eastAsia="仿宋"/>
          <w:bCs/>
          <w:color w:val="auto"/>
          <w:kern w:val="0"/>
          <w:sz w:val="24"/>
          <w:highlight w:val="none"/>
        </w:rPr>
        <w:t>，同意延长有效期的投标人不能修改其投标文件，有关投标保证金的规定在投标有效期的延长期内继续有效。</w:t>
      </w:r>
    </w:p>
    <w:p w14:paraId="7F8BF811">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投标文件的签署</w:t>
      </w:r>
    </w:p>
    <w:p w14:paraId="64418A71">
      <w:pPr>
        <w:numPr>
          <w:ilvl w:val="1"/>
          <w:numId w:val="13"/>
        </w:numPr>
        <w:tabs>
          <w:tab w:val="left" w:pos="0"/>
          <w:tab w:val="left" w:pos="284"/>
          <w:tab w:val="left" w:pos="567"/>
          <w:tab w:val="left" w:pos="709"/>
          <w:tab w:val="left" w:pos="851"/>
          <w:tab w:val="left" w:pos="935"/>
        </w:tabs>
        <w:spacing w:line="460" w:lineRule="exact"/>
        <w:ind w:left="0" w:firstLine="0"/>
        <w:rPr>
          <w:rFonts w:eastAsia="仿宋"/>
          <w:bCs/>
          <w:color w:val="auto"/>
          <w:kern w:val="0"/>
          <w:sz w:val="24"/>
          <w:highlight w:val="none"/>
        </w:rPr>
      </w:pPr>
      <w:r>
        <w:rPr>
          <w:rFonts w:eastAsia="仿宋"/>
          <w:bCs/>
          <w:color w:val="auto"/>
          <w:kern w:val="0"/>
          <w:sz w:val="24"/>
          <w:highlight w:val="none"/>
        </w:rPr>
        <w:t>字迹潦草、表达不清、扫描件不清晰或未按要求填写的投标文件可能将被认定为</w:t>
      </w:r>
      <w:r>
        <w:rPr>
          <w:rFonts w:eastAsia="仿宋"/>
          <w:b/>
          <w:bCs/>
          <w:color w:val="auto"/>
          <w:kern w:val="0"/>
          <w:sz w:val="24"/>
          <w:highlight w:val="none"/>
        </w:rPr>
        <w:t>无效的投标</w:t>
      </w:r>
      <w:r>
        <w:rPr>
          <w:rFonts w:eastAsia="仿宋"/>
          <w:bCs/>
          <w:color w:val="auto"/>
          <w:kern w:val="0"/>
          <w:sz w:val="24"/>
          <w:highlight w:val="none"/>
        </w:rPr>
        <w:t>。</w:t>
      </w:r>
    </w:p>
    <w:p w14:paraId="438A1EBF">
      <w:pPr>
        <w:numPr>
          <w:ilvl w:val="1"/>
          <w:numId w:val="13"/>
        </w:numPr>
        <w:tabs>
          <w:tab w:val="left" w:pos="0"/>
          <w:tab w:val="left" w:pos="284"/>
          <w:tab w:val="left" w:pos="567"/>
          <w:tab w:val="left" w:pos="709"/>
          <w:tab w:val="left" w:pos="935"/>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投标文件应由法定代表人或授权代表在本招标文件所规定签章处逐一签章或签字，</w:t>
      </w:r>
      <w:r>
        <w:rPr>
          <w:rFonts w:eastAsia="仿宋"/>
          <w:b/>
          <w:bCs/>
          <w:color w:val="auto"/>
          <w:kern w:val="0"/>
          <w:sz w:val="24"/>
          <w:highlight w:val="none"/>
        </w:rPr>
        <w:t>否则投标无效</w:t>
      </w:r>
      <w:r>
        <w:rPr>
          <w:rFonts w:eastAsia="仿宋"/>
          <w:bCs/>
          <w:color w:val="auto"/>
          <w:kern w:val="0"/>
          <w:sz w:val="24"/>
          <w:highlight w:val="none"/>
        </w:rPr>
        <w:t>。</w:t>
      </w:r>
    </w:p>
    <w:p w14:paraId="02F281A6">
      <w:pPr>
        <w:spacing w:line="460" w:lineRule="exact"/>
        <w:jc w:val="center"/>
        <w:outlineLvl w:val="1"/>
        <w:rPr>
          <w:rFonts w:eastAsia="仿宋"/>
          <w:b/>
          <w:bCs/>
          <w:color w:val="auto"/>
          <w:kern w:val="0"/>
          <w:sz w:val="24"/>
          <w:highlight w:val="none"/>
        </w:rPr>
      </w:pPr>
      <w:bookmarkStart w:id="120" w:name="_Toc111018937"/>
      <w:bookmarkStart w:id="121" w:name="_Toc13114"/>
      <w:bookmarkStart w:id="122" w:name="_Toc20226"/>
      <w:bookmarkStart w:id="123" w:name="_Toc25324"/>
      <w:bookmarkStart w:id="124" w:name="_Toc18948"/>
      <w:bookmarkStart w:id="125" w:name="_Toc13984"/>
      <w:bookmarkStart w:id="126" w:name="_Toc9677"/>
      <w:r>
        <w:rPr>
          <w:rFonts w:eastAsia="仿宋"/>
          <w:b/>
          <w:bCs/>
          <w:color w:val="auto"/>
          <w:kern w:val="0"/>
          <w:sz w:val="24"/>
          <w:highlight w:val="none"/>
        </w:rPr>
        <w:t>五、投标文件的递交</w:t>
      </w:r>
      <w:bookmarkEnd w:id="120"/>
      <w:bookmarkEnd w:id="121"/>
      <w:bookmarkEnd w:id="122"/>
      <w:bookmarkEnd w:id="123"/>
      <w:bookmarkEnd w:id="124"/>
      <w:bookmarkEnd w:id="125"/>
      <w:bookmarkEnd w:id="126"/>
    </w:p>
    <w:p w14:paraId="675B0F22">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投标文件的递交</w:t>
      </w:r>
    </w:p>
    <w:p w14:paraId="7C782275">
      <w:pPr>
        <w:pStyle w:val="20"/>
        <w:adjustRightInd w:val="0"/>
        <w:snapToGrid w:val="0"/>
        <w:spacing w:line="460" w:lineRule="exact"/>
        <w:ind w:firstLine="477" w:firstLineChars="199"/>
        <w:rPr>
          <w:rFonts w:ascii="Times New Roman" w:hAnsi="Times New Roman" w:eastAsia="仿宋"/>
          <w:b/>
          <w:bCs/>
          <w:color w:val="auto"/>
          <w:sz w:val="24"/>
          <w:szCs w:val="24"/>
          <w:highlight w:val="none"/>
        </w:rPr>
      </w:pPr>
      <w:r>
        <w:rPr>
          <w:rFonts w:ascii="Times New Roman" w:hAnsi="Times New Roman" w:eastAsia="仿宋"/>
          <w:bCs/>
          <w:color w:val="auto"/>
          <w:sz w:val="24"/>
          <w:szCs w:val="24"/>
          <w:highlight w:val="none"/>
        </w:rPr>
        <w:t>投标文件（含电子投标文件和开标一览表（须包含开标一览表明细））必须在</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招标公告</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规定的投标截止时间之前递交至</w:t>
      </w:r>
      <w:r>
        <w:rPr>
          <w:rFonts w:hint="eastAsia" w:ascii="Times New Roman" w:hAnsi="Times New Roman" w:eastAsia="仿宋"/>
          <w:bCs/>
          <w:color w:val="auto"/>
          <w:sz w:val="24"/>
          <w:szCs w:val="24"/>
          <w:highlight w:val="none"/>
          <w:lang w:eastAsia="zh-CN"/>
        </w:rPr>
        <w:t>江西合胜合招标咨询有限公司</w:t>
      </w:r>
      <w:r>
        <w:rPr>
          <w:rFonts w:ascii="Times New Roman" w:hAnsi="Times New Roman" w:eastAsia="仿宋"/>
          <w:bCs/>
          <w:color w:val="auto"/>
          <w:sz w:val="24"/>
          <w:szCs w:val="24"/>
          <w:highlight w:val="none"/>
        </w:rPr>
        <w:t>，</w:t>
      </w:r>
      <w:r>
        <w:rPr>
          <w:rFonts w:ascii="Times New Roman" w:hAnsi="Times New Roman" w:eastAsia="仿宋"/>
          <w:b/>
          <w:bCs/>
          <w:color w:val="auto"/>
          <w:sz w:val="24"/>
          <w:szCs w:val="24"/>
          <w:highlight w:val="none"/>
        </w:rPr>
        <w:t>否则投标无效。</w:t>
      </w:r>
    </w:p>
    <w:p w14:paraId="12AADDCA">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投标文件的密封与标记</w:t>
      </w:r>
    </w:p>
    <w:p w14:paraId="1B75F114">
      <w:pPr>
        <w:pStyle w:val="20"/>
        <w:tabs>
          <w:tab w:val="left" w:pos="5670"/>
        </w:tabs>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21.1</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ascii="Times New Roman" w:hAnsi="Times New Roman" w:eastAsia="仿宋"/>
          <w:bCs/>
          <w:color w:val="auto"/>
          <w:sz w:val="24"/>
          <w:szCs w:val="24"/>
          <w:highlight w:val="none"/>
        </w:rPr>
        <w:t>的密封与标记。</w:t>
      </w:r>
      <w:r>
        <w:rPr>
          <w:rFonts w:eastAsia="仿宋"/>
          <w:color w:val="auto"/>
          <w:sz w:val="24"/>
          <w:szCs w:val="22"/>
          <w:highlight w:val="none"/>
        </w:rPr>
        <w:t>投标人应准备</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正本一份和副本六份</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须清楚地标明</w:t>
      </w:r>
      <w:r>
        <w:rPr>
          <w:rFonts w:hint="eastAsia" w:eastAsia="仿宋"/>
          <w:b/>
          <w:bCs/>
          <w:color w:val="auto"/>
          <w:sz w:val="24"/>
          <w:szCs w:val="22"/>
          <w:highlight w:val="none"/>
          <w:lang w:eastAsia="zh-CN"/>
        </w:rPr>
        <w:t>“</w:t>
      </w:r>
      <w:r>
        <w:rPr>
          <w:rFonts w:eastAsia="仿宋"/>
          <w:b/>
          <w:bCs/>
          <w:color w:val="auto"/>
          <w:sz w:val="24"/>
          <w:szCs w:val="22"/>
          <w:highlight w:val="none"/>
        </w:rPr>
        <w:t>正本</w:t>
      </w:r>
      <w:r>
        <w:rPr>
          <w:rFonts w:hint="eastAsia" w:eastAsia="仿宋"/>
          <w:b/>
          <w:bCs/>
          <w:color w:val="auto"/>
          <w:sz w:val="24"/>
          <w:szCs w:val="22"/>
          <w:highlight w:val="none"/>
          <w:lang w:eastAsia="zh-CN"/>
        </w:rPr>
        <w:t>”</w:t>
      </w:r>
      <w:r>
        <w:rPr>
          <w:rFonts w:eastAsia="仿宋"/>
          <w:color w:val="auto"/>
          <w:sz w:val="24"/>
          <w:szCs w:val="22"/>
          <w:highlight w:val="none"/>
        </w:rPr>
        <w:t>或</w:t>
      </w:r>
      <w:r>
        <w:rPr>
          <w:rFonts w:hint="eastAsia" w:eastAsia="仿宋"/>
          <w:b/>
          <w:bCs/>
          <w:color w:val="auto"/>
          <w:sz w:val="24"/>
          <w:szCs w:val="22"/>
          <w:highlight w:val="none"/>
          <w:lang w:eastAsia="zh-CN"/>
        </w:rPr>
        <w:t>“</w:t>
      </w:r>
      <w:r>
        <w:rPr>
          <w:rFonts w:eastAsia="仿宋"/>
          <w:b/>
          <w:bCs/>
          <w:color w:val="auto"/>
          <w:sz w:val="24"/>
          <w:szCs w:val="22"/>
          <w:highlight w:val="none"/>
        </w:rPr>
        <w:t>副本</w:t>
      </w:r>
      <w:r>
        <w:rPr>
          <w:rFonts w:hint="eastAsia" w:eastAsia="仿宋"/>
          <w:b/>
          <w:bCs/>
          <w:color w:val="auto"/>
          <w:sz w:val="24"/>
          <w:szCs w:val="22"/>
          <w:highlight w:val="none"/>
          <w:lang w:eastAsia="zh-CN"/>
        </w:rPr>
        <w:t>”</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正本须打印，</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的副本可采用正本的复印件。若正本和副本不符，以正本为准。投标人应将</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正本和所有的副本装在文件袋中加以密封，并在文件袋上标明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14:paraId="514B25DB">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21.2开标一览表的密封与标记（须包含开标一览表明细）。</w:t>
      </w:r>
      <w:r>
        <w:rPr>
          <w:rFonts w:eastAsia="仿宋"/>
          <w:color w:val="auto"/>
          <w:sz w:val="24"/>
          <w:szCs w:val="22"/>
          <w:highlight w:val="none"/>
        </w:rPr>
        <w:t>投标人应将</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（同时</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w:t>
      </w:r>
      <w:r>
        <w:rPr>
          <w:rFonts w:hint="eastAsia" w:eastAsia="仿宋"/>
          <w:color w:val="auto"/>
          <w:sz w:val="24"/>
          <w:szCs w:val="22"/>
          <w:highlight w:val="none"/>
          <w:lang w:val="en-US" w:eastAsia="zh-CN"/>
        </w:rPr>
        <w:t>本</w:t>
      </w:r>
      <w:r>
        <w:rPr>
          <w:rFonts w:eastAsia="仿宋"/>
          <w:color w:val="auto"/>
          <w:sz w:val="24"/>
          <w:szCs w:val="22"/>
          <w:highlight w:val="none"/>
        </w:rPr>
        <w:t>、副本中也</w:t>
      </w:r>
      <w:r>
        <w:rPr>
          <w:rFonts w:hint="eastAsia" w:eastAsia="仿宋"/>
          <w:color w:val="auto"/>
          <w:sz w:val="24"/>
          <w:szCs w:val="22"/>
          <w:highlight w:val="none"/>
          <w:lang w:val="en-US" w:eastAsia="zh-CN"/>
        </w:rPr>
        <w:t>须</w:t>
      </w:r>
      <w:r>
        <w:rPr>
          <w:rFonts w:eastAsia="仿宋"/>
          <w:color w:val="auto"/>
          <w:sz w:val="24"/>
          <w:szCs w:val="22"/>
          <w:highlight w:val="none"/>
        </w:rPr>
        <w:t>附有）单独密封，在信封上标明</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字样，并在信封上标明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14:paraId="0FD510D2">
      <w:pPr>
        <w:pStyle w:val="20"/>
        <w:adjustRightInd w:val="0"/>
        <w:snapToGrid w:val="0"/>
        <w:spacing w:line="460" w:lineRule="exact"/>
        <w:ind w:firstLine="477" w:firstLineChars="199"/>
        <w:rPr>
          <w:rFonts w:hint="eastAsia" w:ascii="Times New Roman" w:hAnsi="Times New Roman" w:eastAsia="仿宋"/>
          <w:color w:val="auto"/>
          <w:sz w:val="24"/>
          <w:highlight w:val="none"/>
        </w:rPr>
      </w:pPr>
      <w:r>
        <w:rPr>
          <w:rFonts w:ascii="Times New Roman" w:hAnsi="Times New Roman" w:eastAsia="仿宋"/>
          <w:bCs/>
          <w:color w:val="auto"/>
          <w:sz w:val="24"/>
          <w:szCs w:val="24"/>
          <w:highlight w:val="none"/>
        </w:rPr>
        <w:t>21.3</w:t>
      </w:r>
      <w:r>
        <w:rPr>
          <w:rFonts w:hint="eastAsia" w:eastAsia="仿宋"/>
          <w:b w:val="0"/>
          <w:bCs w:val="0"/>
          <w:color w:val="auto"/>
          <w:sz w:val="24"/>
          <w:szCs w:val="22"/>
          <w:highlight w:val="none"/>
          <w:lang w:val="en-US" w:eastAsia="zh-CN"/>
        </w:rPr>
        <w:t>电子投标文件的密封与标记。</w:t>
      </w:r>
      <w:r>
        <w:rPr>
          <w:rFonts w:hint="eastAsia" w:ascii="Times New Roman" w:hAnsi="Times New Roman" w:eastAsia="仿宋"/>
          <w:color w:val="auto"/>
          <w:sz w:val="24"/>
          <w:highlight w:val="none"/>
        </w:rPr>
        <w:t>提供“纸质投标文件”正本盖章后的扫描件PDF格式壹份和电子投标文件WORD格式壹份，一并存入U盘，单独密封提交，U盘不退，并在信封上标明：投标人名称（加盖公章）、项目编号、包号、项目名称。“电子投标文件”必须与“纸质投标文件”一致，U盘</w:t>
      </w:r>
      <w:r>
        <w:rPr>
          <w:rFonts w:hint="eastAsia" w:ascii="Times New Roman" w:hAnsi="Times New Roman" w:eastAsia="仿宋"/>
          <w:color w:val="auto"/>
          <w:sz w:val="24"/>
          <w:highlight w:val="none"/>
          <w:lang w:val="en-US" w:eastAsia="zh-CN"/>
        </w:rPr>
        <w:t>上</w:t>
      </w:r>
      <w:r>
        <w:rPr>
          <w:rFonts w:hint="eastAsia" w:ascii="Times New Roman" w:hAnsi="Times New Roman" w:eastAsia="仿宋"/>
          <w:color w:val="auto"/>
          <w:sz w:val="24"/>
          <w:highlight w:val="none"/>
        </w:rPr>
        <w:t>请贴好标签，标签须备注投标人名称并简要描述U盘内容，例：**公司投标文件、**公司演示文件等。</w:t>
      </w:r>
    </w:p>
    <w:p w14:paraId="018A62EA">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hint="eastAsia" w:ascii="Times New Roman" w:hAnsi="Times New Roman" w:eastAsia="仿宋"/>
          <w:color w:val="auto"/>
          <w:sz w:val="24"/>
          <w:highlight w:val="none"/>
        </w:rPr>
        <w:t>注：演示文件须单独</w:t>
      </w:r>
      <w:r>
        <w:rPr>
          <w:rFonts w:hint="eastAsia" w:ascii="Times New Roman" w:hAnsi="Times New Roman" w:eastAsia="仿宋"/>
          <w:color w:val="auto"/>
          <w:sz w:val="24"/>
          <w:highlight w:val="none"/>
          <w:lang w:val="en-US" w:eastAsia="zh-CN"/>
        </w:rPr>
        <w:t>另</w:t>
      </w:r>
      <w:r>
        <w:rPr>
          <w:rFonts w:hint="eastAsia" w:ascii="Times New Roman" w:hAnsi="Times New Roman" w:eastAsia="仿宋"/>
          <w:color w:val="auto"/>
          <w:sz w:val="24"/>
          <w:highlight w:val="none"/>
        </w:rPr>
        <w:t>存</w:t>
      </w:r>
      <w:r>
        <w:rPr>
          <w:rFonts w:hint="eastAsia" w:ascii="Times New Roman" w:hAnsi="Times New Roman" w:eastAsia="仿宋"/>
          <w:color w:val="auto"/>
          <w:sz w:val="24"/>
          <w:highlight w:val="none"/>
          <w:lang w:val="en-US" w:eastAsia="zh-CN"/>
        </w:rPr>
        <w:t>一个</w:t>
      </w:r>
      <w:r>
        <w:rPr>
          <w:rFonts w:hint="eastAsia" w:ascii="Times New Roman" w:hAnsi="Times New Roman" w:eastAsia="仿宋"/>
          <w:color w:val="auto"/>
          <w:sz w:val="24"/>
          <w:highlight w:val="none"/>
        </w:rPr>
        <w:t>U盘，不得与电子投标文件一并存入同一个U盘，封标方式按照电子投标文件的密封与标记要求。</w:t>
      </w:r>
    </w:p>
    <w:p w14:paraId="2446B1E9">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21.4</w:t>
      </w:r>
      <w:r>
        <w:rPr>
          <w:rFonts w:hint="eastAsia" w:ascii="Times New Roman" w:hAnsi="Times New Roman" w:eastAsia="仿宋"/>
          <w:bCs/>
          <w:color w:val="auto"/>
          <w:sz w:val="24"/>
          <w:szCs w:val="24"/>
          <w:highlight w:val="none"/>
        </w:rPr>
        <w:t>“电子投标文件”</w:t>
      </w:r>
      <w:r>
        <w:rPr>
          <w:rFonts w:hint="eastAsia" w:ascii="Times New Roman" w:hAnsi="Times New Roman" w:eastAsia="仿宋"/>
          <w:bCs/>
          <w:color w:val="auto"/>
          <w:sz w:val="24"/>
          <w:szCs w:val="24"/>
          <w:highlight w:val="none"/>
          <w:lang w:eastAsia="zh-CN"/>
        </w:rPr>
        <w:t>、“</w:t>
      </w:r>
      <w:r>
        <w:rPr>
          <w:rFonts w:hint="eastAsia" w:ascii="Times New Roman" w:hAnsi="Times New Roman" w:eastAsia="仿宋"/>
          <w:bCs/>
          <w:color w:val="auto"/>
          <w:sz w:val="24"/>
          <w:szCs w:val="24"/>
          <w:highlight w:val="none"/>
          <w:lang w:val="en-US" w:eastAsia="zh-CN"/>
        </w:rPr>
        <w:t>演示文件</w:t>
      </w:r>
      <w:r>
        <w:rPr>
          <w:rFonts w:hint="eastAsia" w:ascii="Times New Roman" w:hAnsi="Times New Roman" w:eastAsia="仿宋"/>
          <w:bCs/>
          <w:color w:val="auto"/>
          <w:sz w:val="24"/>
          <w:szCs w:val="24"/>
          <w:highlight w:val="none"/>
          <w:lang w:eastAsia="zh-CN"/>
        </w:rPr>
        <w:t>”</w:t>
      </w:r>
      <w:r>
        <w:rPr>
          <w:rFonts w:hint="eastAsia" w:ascii="Times New Roman" w:hAnsi="Times New Roman" w:eastAsia="仿宋"/>
          <w:bCs/>
          <w:color w:val="auto"/>
          <w:sz w:val="24"/>
          <w:szCs w:val="24"/>
          <w:highlight w:val="none"/>
        </w:rPr>
        <w:t>和“开标一览表”</w:t>
      </w:r>
      <w:r>
        <w:rPr>
          <w:rFonts w:hint="eastAsia" w:ascii="Times New Roman" w:hAnsi="Times New Roman" w:eastAsia="仿宋"/>
          <w:bCs/>
          <w:color w:val="auto"/>
          <w:sz w:val="24"/>
          <w:szCs w:val="24"/>
          <w:highlight w:val="none"/>
          <w:lang w:val="en-US" w:eastAsia="zh-CN"/>
        </w:rPr>
        <w:t>各</w:t>
      </w:r>
      <w:r>
        <w:rPr>
          <w:rFonts w:hint="eastAsia" w:ascii="Times New Roman" w:hAnsi="Times New Roman" w:eastAsia="仿宋"/>
          <w:bCs/>
          <w:color w:val="auto"/>
          <w:sz w:val="24"/>
          <w:szCs w:val="24"/>
          <w:highlight w:val="none"/>
        </w:rPr>
        <w:t>分开密封，与投标文件同时递交，逾期不予接收，视为无效投标。</w:t>
      </w:r>
    </w:p>
    <w:p w14:paraId="324A011C">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21.5投标人未按上述要求密封、标记的，采购代理机构有权拒收。</w:t>
      </w:r>
    </w:p>
    <w:p w14:paraId="234253F7">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w:t>
      </w:r>
      <w:r>
        <w:rPr>
          <w:rFonts w:hint="eastAsia" w:ascii="Times New Roman" w:hAnsi="Times New Roman" w:eastAsia="仿宋"/>
          <w:bCs/>
          <w:color w:val="auto"/>
          <w:sz w:val="24"/>
          <w:szCs w:val="24"/>
          <w:highlight w:val="none"/>
          <w:lang w:val="en-US" w:eastAsia="zh-CN"/>
        </w:rPr>
        <w:t>6</w:t>
      </w:r>
      <w:r>
        <w:rPr>
          <w:rFonts w:ascii="Times New Roman" w:hAnsi="Times New Roman" w:eastAsia="仿宋"/>
          <w:bCs/>
          <w:color w:val="auto"/>
          <w:sz w:val="24"/>
          <w:szCs w:val="24"/>
          <w:highlight w:val="none"/>
        </w:rPr>
        <w:t>对于已接收的投标文件，在开启过程中出现对投标文件密封和标记是否符合招标文件规定存在分歧的，采购人和采购代理机构不承担任何责任，将交由评标委员会评定，采购代理机构现场宣布评定结果。</w:t>
      </w:r>
    </w:p>
    <w:p w14:paraId="0AB3C250">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投标文件的修改和撤回</w:t>
      </w:r>
    </w:p>
    <w:p w14:paraId="19079133">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 xml:space="preserve">在投标截止时间前，投标人可以书面形式提出修改或撤回其投标。 </w:t>
      </w:r>
    </w:p>
    <w:p w14:paraId="4B597FD9">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投标人撤回投标文件的书面材料，须加盖公章或法定代表人或授权代表签字后送达采购代理机构，同时应在材料上写明投标人名称和投标文件的撤回原因。</w:t>
      </w:r>
    </w:p>
    <w:p w14:paraId="4E34F856">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从投标截止期至投标有效期期满这段时间内，投标人不得撤销其投标。</w:t>
      </w:r>
    </w:p>
    <w:p w14:paraId="79398D0C">
      <w:pPr>
        <w:spacing w:line="460" w:lineRule="exact"/>
        <w:jc w:val="center"/>
        <w:outlineLvl w:val="1"/>
        <w:rPr>
          <w:rFonts w:eastAsia="仿宋"/>
          <w:b/>
          <w:bCs/>
          <w:color w:val="auto"/>
          <w:kern w:val="0"/>
          <w:sz w:val="24"/>
          <w:highlight w:val="none"/>
        </w:rPr>
      </w:pPr>
      <w:bookmarkStart w:id="127" w:name="_Toc19663"/>
      <w:bookmarkStart w:id="128" w:name="_Toc12489"/>
      <w:bookmarkStart w:id="129" w:name="_Toc5365"/>
      <w:bookmarkStart w:id="130" w:name="_Toc16506"/>
      <w:bookmarkStart w:id="131" w:name="_Toc9485"/>
      <w:bookmarkStart w:id="132" w:name="_Toc111018938"/>
      <w:bookmarkStart w:id="133" w:name="_Toc22486"/>
      <w:r>
        <w:rPr>
          <w:rFonts w:eastAsia="仿宋"/>
          <w:b/>
          <w:bCs/>
          <w:color w:val="auto"/>
          <w:kern w:val="0"/>
          <w:sz w:val="24"/>
          <w:highlight w:val="none"/>
        </w:rPr>
        <w:t>六、开标</w:t>
      </w:r>
      <w:bookmarkEnd w:id="127"/>
      <w:bookmarkEnd w:id="128"/>
      <w:bookmarkEnd w:id="129"/>
      <w:bookmarkEnd w:id="130"/>
      <w:bookmarkEnd w:id="131"/>
      <w:bookmarkEnd w:id="132"/>
      <w:bookmarkEnd w:id="133"/>
    </w:p>
    <w:p w14:paraId="022082EF">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w:t>
      </w:r>
    </w:p>
    <w:p w14:paraId="2A4E9313">
      <w:pPr>
        <w:tabs>
          <w:tab w:val="left" w:pos="709"/>
        </w:tabs>
        <w:spacing w:line="460" w:lineRule="exact"/>
        <w:rPr>
          <w:rFonts w:eastAsia="仿宋"/>
          <w:bCs/>
          <w:color w:val="auto"/>
          <w:kern w:val="0"/>
          <w:sz w:val="24"/>
          <w:highlight w:val="none"/>
        </w:rPr>
      </w:pPr>
      <w:r>
        <w:rPr>
          <w:rFonts w:eastAsia="仿宋"/>
          <w:bCs/>
          <w:color w:val="auto"/>
          <w:kern w:val="0"/>
          <w:sz w:val="24"/>
          <w:highlight w:val="none"/>
        </w:rPr>
        <w:t>23.1采购代理机构在</w:t>
      </w:r>
      <w:r>
        <w:rPr>
          <w:rFonts w:hint="eastAsia" w:eastAsia="仿宋"/>
          <w:bCs/>
          <w:color w:val="auto"/>
          <w:kern w:val="0"/>
          <w:sz w:val="24"/>
          <w:highlight w:val="none"/>
          <w:lang w:eastAsia="zh-CN"/>
        </w:rPr>
        <w:t>“</w:t>
      </w:r>
      <w:r>
        <w:rPr>
          <w:rFonts w:eastAsia="仿宋"/>
          <w:bCs/>
          <w:color w:val="auto"/>
          <w:kern w:val="0"/>
          <w:sz w:val="24"/>
          <w:highlight w:val="none"/>
        </w:rPr>
        <w:t>投标邀请</w:t>
      </w:r>
      <w:r>
        <w:rPr>
          <w:rFonts w:hint="eastAsia" w:eastAsia="仿宋"/>
          <w:bCs/>
          <w:color w:val="auto"/>
          <w:kern w:val="0"/>
          <w:sz w:val="24"/>
          <w:highlight w:val="none"/>
          <w:lang w:eastAsia="zh-CN"/>
        </w:rPr>
        <w:t>”</w:t>
      </w:r>
      <w:r>
        <w:rPr>
          <w:rFonts w:eastAsia="仿宋"/>
          <w:bCs/>
          <w:color w:val="auto"/>
          <w:kern w:val="0"/>
          <w:sz w:val="24"/>
          <w:highlight w:val="none"/>
        </w:rPr>
        <w:t>中约定的日期、时间和地点组织公开开标。开标时，有采购人和投标人或其推选的代表参加，参加开标的代表应签到以证明其出席。</w:t>
      </w:r>
    </w:p>
    <w:p w14:paraId="5AEC9A71">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23.2开标由采购代理机构主持并当众唱标。</w:t>
      </w:r>
    </w:p>
    <w:p w14:paraId="49E33EF0">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开标结束后，采购人或者采购代理机构依法对投标人的资格进行审查。合格投标人不足3家的，不得评标。</w:t>
      </w:r>
    </w:p>
    <w:p w14:paraId="59B502F7">
      <w:pPr>
        <w:spacing w:line="460" w:lineRule="exact"/>
        <w:jc w:val="center"/>
        <w:outlineLvl w:val="1"/>
        <w:rPr>
          <w:rFonts w:eastAsia="仿宋"/>
          <w:b/>
          <w:bCs/>
          <w:color w:val="auto"/>
          <w:kern w:val="0"/>
          <w:sz w:val="24"/>
          <w:highlight w:val="none"/>
        </w:rPr>
      </w:pPr>
      <w:bookmarkStart w:id="134" w:name="_Toc3855"/>
      <w:bookmarkStart w:id="135" w:name="_Toc111018939"/>
      <w:bookmarkStart w:id="136" w:name="_Toc21686"/>
      <w:bookmarkStart w:id="137" w:name="_Toc11796"/>
      <w:bookmarkStart w:id="138" w:name="_Toc28830"/>
      <w:bookmarkStart w:id="139" w:name="_Toc29849"/>
      <w:bookmarkStart w:id="140" w:name="_Toc26114"/>
      <w:r>
        <w:rPr>
          <w:rFonts w:eastAsia="仿宋"/>
          <w:b/>
          <w:bCs/>
          <w:color w:val="auto"/>
          <w:kern w:val="0"/>
          <w:sz w:val="24"/>
          <w:highlight w:val="none"/>
        </w:rPr>
        <w:t>七、评审原则及程序</w:t>
      </w:r>
      <w:bookmarkEnd w:id="134"/>
      <w:bookmarkEnd w:id="135"/>
      <w:bookmarkEnd w:id="136"/>
      <w:bookmarkEnd w:id="137"/>
      <w:bookmarkEnd w:id="138"/>
      <w:bookmarkEnd w:id="139"/>
      <w:bookmarkEnd w:id="140"/>
    </w:p>
    <w:p w14:paraId="75E384D9">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评标委员会的组成</w:t>
      </w:r>
    </w:p>
    <w:p w14:paraId="0762DFF5">
      <w:pPr>
        <w:tabs>
          <w:tab w:val="left" w:pos="426"/>
        </w:tabs>
        <w:spacing w:line="460" w:lineRule="exact"/>
        <w:ind w:left="283" w:leftChars="135" w:firstLine="240" w:firstLineChars="100"/>
        <w:rPr>
          <w:rFonts w:eastAsia="仿宋"/>
          <w:b/>
          <w:bCs/>
          <w:color w:val="auto"/>
          <w:kern w:val="0"/>
          <w:sz w:val="24"/>
          <w:highlight w:val="none"/>
        </w:rPr>
      </w:pPr>
      <w:r>
        <w:rPr>
          <w:rFonts w:eastAsia="仿宋"/>
          <w:bCs/>
          <w:color w:val="auto"/>
          <w:kern w:val="0"/>
          <w:sz w:val="24"/>
          <w:highlight w:val="none"/>
        </w:rPr>
        <w:t>采购代理机构在采购人委托的监督代表监督下，按有关规定从省级以上财政部门设立的政府采购评审专家库中采取随机方式抽取评审专家，依法组建评标委员会。</w:t>
      </w:r>
    </w:p>
    <w:p w14:paraId="30E0775D">
      <w:pPr>
        <w:tabs>
          <w:tab w:val="left" w:pos="426"/>
        </w:tabs>
        <w:spacing w:line="460" w:lineRule="exact"/>
        <w:rPr>
          <w:rFonts w:eastAsia="仿宋"/>
          <w:b/>
          <w:bCs/>
          <w:color w:val="auto"/>
          <w:kern w:val="0"/>
          <w:sz w:val="24"/>
          <w:highlight w:val="none"/>
        </w:rPr>
      </w:pPr>
      <w:r>
        <w:rPr>
          <w:rFonts w:eastAsia="仿宋"/>
          <w:b/>
          <w:bCs/>
          <w:color w:val="auto"/>
          <w:kern w:val="0"/>
          <w:sz w:val="24"/>
          <w:highlight w:val="none"/>
        </w:rPr>
        <w:t>26  评标原则</w:t>
      </w:r>
    </w:p>
    <w:p w14:paraId="2C762A38">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26.1评标由依照有关规定组建的评标委员会负责。</w:t>
      </w:r>
    </w:p>
    <w:p w14:paraId="4FAB5112">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 xml:space="preserve">26.2以招标文件、投标文件及相关的法律法规为评审依据。 </w:t>
      </w:r>
    </w:p>
    <w:p w14:paraId="6E0FB830">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26.3在评标过程中，投标人所进行的试图影响评标结果公正性的活动，将可能导致其中标资格被取消。</w:t>
      </w:r>
    </w:p>
    <w:p w14:paraId="22649A82">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26.4评标全过程中不允许投标人与评标委员会之间有可能影响到投标结果公正性的会面与谈话，以体现公平、公正的基本原则。</w:t>
      </w:r>
    </w:p>
    <w:p w14:paraId="40CC8AA4">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26.5评标委员会成员和有关工作人员不得透露对投标文件的评审、比较和中标候选人的推荐情况以及与评标有关的其他情况。</w:t>
      </w:r>
    </w:p>
    <w:p w14:paraId="3857611B">
      <w:pPr>
        <w:spacing w:line="460" w:lineRule="exact"/>
        <w:rPr>
          <w:rFonts w:eastAsia="仿宋"/>
          <w:b/>
          <w:bCs/>
          <w:color w:val="auto"/>
          <w:kern w:val="0"/>
          <w:sz w:val="24"/>
          <w:highlight w:val="none"/>
        </w:rPr>
      </w:pPr>
      <w:r>
        <w:rPr>
          <w:rFonts w:eastAsia="仿宋"/>
          <w:b/>
          <w:bCs/>
          <w:color w:val="auto"/>
          <w:kern w:val="0"/>
          <w:sz w:val="24"/>
          <w:highlight w:val="none"/>
        </w:rPr>
        <w:t>27评标程序</w:t>
      </w:r>
    </w:p>
    <w:p w14:paraId="04000162">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27.1投标文件符合性检查：依据招标文件的规定，从投标文件的有效性、完整性和对招标文件的响应程度进行审查，以确定是否对招标文件的实质性要求作出响应。</w:t>
      </w:r>
    </w:p>
    <w:p w14:paraId="1BE16E61">
      <w:pPr>
        <w:adjustRightInd w:val="0"/>
        <w:snapToGrid w:val="0"/>
        <w:spacing w:line="460" w:lineRule="exact"/>
        <w:ind w:firstLine="482" w:firstLineChars="200"/>
        <w:rPr>
          <w:rFonts w:eastAsia="仿宋"/>
          <w:b/>
          <w:bCs/>
          <w:color w:val="auto"/>
          <w:kern w:val="0"/>
          <w:sz w:val="24"/>
          <w:highlight w:val="none"/>
        </w:rPr>
      </w:pPr>
      <w:r>
        <w:rPr>
          <w:rFonts w:eastAsia="仿宋"/>
          <w:b/>
          <w:bCs/>
          <w:color w:val="auto"/>
          <w:kern w:val="0"/>
          <w:sz w:val="24"/>
          <w:highlight w:val="none"/>
        </w:rPr>
        <w:t>有下列情形之一未对招标文件作实质性响应的，</w:t>
      </w:r>
      <w:r>
        <w:rPr>
          <w:rFonts w:eastAsia="仿宋"/>
          <w:b/>
          <w:color w:val="auto"/>
          <w:sz w:val="24"/>
          <w:highlight w:val="none"/>
        </w:rPr>
        <w:t>视为无效投标</w:t>
      </w:r>
      <w:r>
        <w:rPr>
          <w:rFonts w:eastAsia="仿宋"/>
          <w:b/>
          <w:bCs/>
          <w:color w:val="auto"/>
          <w:kern w:val="0"/>
          <w:sz w:val="24"/>
          <w:highlight w:val="none"/>
        </w:rPr>
        <w:t>：</w:t>
      </w:r>
    </w:p>
    <w:p w14:paraId="3C522149">
      <w:pPr>
        <w:spacing w:line="460" w:lineRule="exact"/>
        <w:ind w:left="227"/>
        <w:rPr>
          <w:rFonts w:eastAsia="仿宋"/>
          <w:b/>
          <w:color w:val="auto"/>
          <w:sz w:val="24"/>
          <w:highlight w:val="none"/>
        </w:rPr>
      </w:pPr>
      <w:r>
        <w:rPr>
          <w:rFonts w:eastAsia="仿宋"/>
          <w:b/>
          <w:color w:val="auto"/>
          <w:sz w:val="24"/>
          <w:highlight w:val="none"/>
        </w:rPr>
        <w:t>（1）未按招标文件要求提供资格证明文件（详见第四章 投标文件格式</w:t>
      </w:r>
      <w:r>
        <w:rPr>
          <w:rFonts w:hint="eastAsia" w:eastAsia="仿宋"/>
          <w:b/>
          <w:color w:val="auto"/>
          <w:sz w:val="24"/>
          <w:highlight w:val="none"/>
          <w:lang w:eastAsia="zh-CN"/>
        </w:rPr>
        <w:t>“</w:t>
      </w:r>
      <w:r>
        <w:rPr>
          <w:rFonts w:eastAsia="仿宋"/>
          <w:b/>
          <w:color w:val="auto"/>
          <w:sz w:val="24"/>
          <w:highlight w:val="none"/>
        </w:rPr>
        <w:t>资格证明文件</w:t>
      </w:r>
      <w:r>
        <w:rPr>
          <w:rFonts w:hint="eastAsia" w:eastAsia="仿宋"/>
          <w:b/>
          <w:color w:val="auto"/>
          <w:sz w:val="24"/>
          <w:highlight w:val="none"/>
          <w:lang w:eastAsia="zh-CN"/>
        </w:rPr>
        <w:t>”</w:t>
      </w:r>
      <w:r>
        <w:rPr>
          <w:rFonts w:eastAsia="仿宋"/>
          <w:b/>
          <w:color w:val="auto"/>
          <w:sz w:val="24"/>
          <w:highlight w:val="none"/>
        </w:rPr>
        <w:t>）；</w:t>
      </w:r>
    </w:p>
    <w:p w14:paraId="44D599A0">
      <w:pPr>
        <w:spacing w:line="460" w:lineRule="exact"/>
        <w:ind w:left="227"/>
        <w:rPr>
          <w:rFonts w:eastAsia="仿宋"/>
          <w:b/>
          <w:color w:val="auto"/>
          <w:sz w:val="24"/>
          <w:highlight w:val="none"/>
        </w:rPr>
      </w:pPr>
      <w:r>
        <w:rPr>
          <w:rFonts w:eastAsia="仿宋"/>
          <w:b/>
          <w:color w:val="auto"/>
          <w:sz w:val="24"/>
          <w:highlight w:val="none"/>
        </w:rPr>
        <w:t>（2）投标文件未按招标文件要求签署、盖章；</w:t>
      </w:r>
    </w:p>
    <w:p w14:paraId="060676D8">
      <w:pPr>
        <w:spacing w:line="460" w:lineRule="exact"/>
        <w:ind w:left="227"/>
        <w:rPr>
          <w:rFonts w:eastAsia="仿宋"/>
          <w:b/>
          <w:color w:val="auto"/>
          <w:sz w:val="24"/>
          <w:highlight w:val="none"/>
        </w:rPr>
      </w:pPr>
      <w:r>
        <w:rPr>
          <w:rFonts w:eastAsia="仿宋"/>
          <w:b/>
          <w:color w:val="auto"/>
          <w:sz w:val="24"/>
          <w:highlight w:val="none"/>
        </w:rPr>
        <w:t>（3）非法定代表人本人参与投标，未提供有效的法定代表人授权书；</w:t>
      </w:r>
    </w:p>
    <w:p w14:paraId="4C442AD5">
      <w:pPr>
        <w:spacing w:line="460" w:lineRule="exact"/>
        <w:ind w:left="227"/>
        <w:rPr>
          <w:rFonts w:eastAsia="仿宋"/>
          <w:b/>
          <w:color w:val="auto"/>
          <w:sz w:val="24"/>
          <w:highlight w:val="none"/>
        </w:rPr>
      </w:pPr>
      <w:r>
        <w:rPr>
          <w:rFonts w:eastAsia="仿宋"/>
          <w:b/>
          <w:color w:val="auto"/>
          <w:sz w:val="24"/>
          <w:highlight w:val="none"/>
        </w:rPr>
        <w:t>（4）未按招标文件要求提交投标保证金；</w:t>
      </w:r>
    </w:p>
    <w:p w14:paraId="7647C811">
      <w:pPr>
        <w:spacing w:line="460" w:lineRule="exact"/>
        <w:ind w:left="227"/>
        <w:rPr>
          <w:rFonts w:eastAsia="仿宋"/>
          <w:b/>
          <w:color w:val="auto"/>
          <w:sz w:val="24"/>
          <w:highlight w:val="none"/>
        </w:rPr>
      </w:pPr>
      <w:r>
        <w:rPr>
          <w:rFonts w:eastAsia="仿宋"/>
          <w:b/>
          <w:color w:val="auto"/>
          <w:sz w:val="24"/>
          <w:highlight w:val="none"/>
        </w:rPr>
        <w:t>（5）未在投标文件中提供提交投标保证金的证明材料；</w:t>
      </w:r>
    </w:p>
    <w:p w14:paraId="49BF6280">
      <w:pPr>
        <w:spacing w:line="460" w:lineRule="exact"/>
        <w:ind w:left="227"/>
        <w:rPr>
          <w:rFonts w:eastAsia="仿宋"/>
          <w:b/>
          <w:color w:val="auto"/>
          <w:sz w:val="24"/>
          <w:highlight w:val="none"/>
        </w:rPr>
      </w:pPr>
      <w:r>
        <w:rPr>
          <w:rFonts w:eastAsia="仿宋"/>
          <w:b/>
          <w:color w:val="auto"/>
          <w:sz w:val="24"/>
          <w:highlight w:val="none"/>
        </w:rPr>
        <w:t>（6）报价超过招标文件中规定的</w:t>
      </w:r>
      <w:r>
        <w:rPr>
          <w:rFonts w:hint="eastAsia" w:eastAsia="仿宋"/>
          <w:b/>
          <w:color w:val="auto"/>
          <w:sz w:val="24"/>
          <w:highlight w:val="none"/>
          <w:lang w:val="en-US" w:eastAsia="zh-CN"/>
        </w:rPr>
        <w:t>预算单价或者</w:t>
      </w:r>
      <w:r>
        <w:rPr>
          <w:rFonts w:eastAsia="仿宋"/>
          <w:b/>
          <w:color w:val="auto"/>
          <w:sz w:val="24"/>
          <w:highlight w:val="none"/>
        </w:rPr>
        <w:t>预算金额或者最高限价；</w:t>
      </w:r>
    </w:p>
    <w:p w14:paraId="5DF52C10">
      <w:pPr>
        <w:spacing w:line="460" w:lineRule="exact"/>
        <w:ind w:left="227"/>
        <w:rPr>
          <w:rFonts w:eastAsia="仿宋"/>
          <w:b/>
          <w:color w:val="auto"/>
          <w:sz w:val="24"/>
          <w:highlight w:val="none"/>
        </w:rPr>
      </w:pPr>
      <w:r>
        <w:rPr>
          <w:rFonts w:eastAsia="仿宋"/>
          <w:b/>
          <w:color w:val="auto"/>
          <w:sz w:val="24"/>
          <w:highlight w:val="none"/>
        </w:rPr>
        <w:t>（7）未提供开标一览表明细；</w:t>
      </w:r>
    </w:p>
    <w:p w14:paraId="50172646">
      <w:pPr>
        <w:spacing w:line="460" w:lineRule="exact"/>
        <w:ind w:left="227"/>
        <w:rPr>
          <w:rFonts w:eastAsia="仿宋"/>
          <w:b/>
          <w:color w:val="auto"/>
          <w:sz w:val="24"/>
          <w:highlight w:val="none"/>
        </w:rPr>
      </w:pPr>
      <w:r>
        <w:rPr>
          <w:rFonts w:eastAsia="仿宋"/>
          <w:b/>
          <w:color w:val="auto"/>
          <w:sz w:val="24"/>
          <w:highlight w:val="none"/>
        </w:rPr>
        <w:t>（8）投标有效期响应不足；</w:t>
      </w:r>
    </w:p>
    <w:p w14:paraId="3F349CBA">
      <w:pPr>
        <w:spacing w:line="460" w:lineRule="exact"/>
        <w:ind w:left="227"/>
        <w:rPr>
          <w:rFonts w:eastAsia="仿宋"/>
          <w:b/>
          <w:color w:val="auto"/>
          <w:sz w:val="24"/>
          <w:highlight w:val="none"/>
        </w:rPr>
      </w:pPr>
      <w:r>
        <w:rPr>
          <w:rFonts w:eastAsia="仿宋"/>
          <w:b/>
          <w:color w:val="auto"/>
          <w:sz w:val="24"/>
          <w:highlight w:val="none"/>
        </w:rPr>
        <w:t>（9）以联合体方式参与投标；</w:t>
      </w:r>
    </w:p>
    <w:p w14:paraId="02728664">
      <w:pPr>
        <w:spacing w:line="460" w:lineRule="exact"/>
        <w:ind w:left="227"/>
        <w:rPr>
          <w:rFonts w:eastAsia="仿宋"/>
          <w:b/>
          <w:color w:val="auto"/>
          <w:sz w:val="24"/>
          <w:highlight w:val="none"/>
        </w:rPr>
      </w:pPr>
      <w:r>
        <w:rPr>
          <w:rFonts w:eastAsia="仿宋"/>
          <w:b/>
          <w:color w:val="auto"/>
          <w:sz w:val="24"/>
          <w:highlight w:val="none"/>
        </w:rPr>
        <w:t>（10）投标文件含有采购人不能接受的附加条件；</w:t>
      </w:r>
    </w:p>
    <w:p w14:paraId="7083B5CC">
      <w:pPr>
        <w:spacing w:line="460" w:lineRule="exact"/>
        <w:ind w:left="227"/>
        <w:rPr>
          <w:rFonts w:eastAsia="仿宋"/>
          <w:b/>
          <w:color w:val="auto"/>
          <w:sz w:val="24"/>
          <w:highlight w:val="none"/>
        </w:rPr>
      </w:pPr>
      <w:r>
        <w:rPr>
          <w:rFonts w:eastAsia="仿宋"/>
          <w:b/>
          <w:color w:val="auto"/>
          <w:sz w:val="24"/>
          <w:highlight w:val="none"/>
        </w:rPr>
        <w:t>（11）发现投标人以他人名义参加投标或相互之间串通，或者以其他弄虚作假方式参加投标；</w:t>
      </w:r>
    </w:p>
    <w:p w14:paraId="75A2A9AB">
      <w:pPr>
        <w:spacing w:line="460" w:lineRule="exact"/>
        <w:ind w:left="227"/>
        <w:rPr>
          <w:rFonts w:eastAsia="仿宋"/>
          <w:b/>
          <w:color w:val="auto"/>
          <w:sz w:val="24"/>
          <w:highlight w:val="none"/>
        </w:rPr>
      </w:pPr>
      <w:r>
        <w:rPr>
          <w:rFonts w:eastAsia="仿宋"/>
          <w:b/>
          <w:color w:val="auto"/>
          <w:sz w:val="24"/>
          <w:highlight w:val="none"/>
        </w:rPr>
        <w:t>（12）法律、法规和招标文件规定的其他无效情形。</w:t>
      </w:r>
    </w:p>
    <w:p w14:paraId="17C0AE59">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27.2投标文件报价出现前后不一致的，按下列规定修正：</w:t>
      </w:r>
    </w:p>
    <w:p w14:paraId="4AAB4903">
      <w:pPr>
        <w:numPr>
          <w:ilvl w:val="0"/>
          <w:numId w:val="15"/>
        </w:numPr>
        <w:spacing w:line="460" w:lineRule="exact"/>
        <w:rPr>
          <w:rFonts w:eastAsia="仿宋"/>
          <w:color w:val="auto"/>
          <w:sz w:val="24"/>
          <w:highlight w:val="none"/>
        </w:rPr>
      </w:pPr>
      <w:r>
        <w:rPr>
          <w:rFonts w:eastAsia="仿宋"/>
          <w:color w:val="auto"/>
          <w:sz w:val="24"/>
          <w:highlight w:val="none"/>
        </w:rPr>
        <w:t>投标文件中开标一览表（报价表）内容与投标文件中相应内容不一致的，以开标一览表（报价表）为准；</w:t>
      </w:r>
    </w:p>
    <w:p w14:paraId="5690195E">
      <w:pPr>
        <w:numPr>
          <w:ilvl w:val="0"/>
          <w:numId w:val="15"/>
        </w:numPr>
        <w:spacing w:line="460" w:lineRule="exact"/>
        <w:rPr>
          <w:rFonts w:eastAsia="仿宋"/>
          <w:color w:val="auto"/>
          <w:sz w:val="24"/>
          <w:highlight w:val="none"/>
        </w:rPr>
      </w:pPr>
      <w:r>
        <w:rPr>
          <w:rFonts w:eastAsia="仿宋"/>
          <w:color w:val="auto"/>
          <w:sz w:val="24"/>
          <w:highlight w:val="none"/>
        </w:rPr>
        <w:t>大写金额和小写金额不一致的，以大写金额为准；</w:t>
      </w:r>
    </w:p>
    <w:p w14:paraId="518E1BA5">
      <w:pPr>
        <w:numPr>
          <w:ilvl w:val="0"/>
          <w:numId w:val="15"/>
        </w:numPr>
        <w:spacing w:line="460" w:lineRule="exact"/>
        <w:rPr>
          <w:rFonts w:eastAsia="仿宋"/>
          <w:color w:val="auto"/>
          <w:sz w:val="24"/>
          <w:highlight w:val="none"/>
        </w:rPr>
      </w:pPr>
      <w:r>
        <w:rPr>
          <w:rFonts w:eastAsia="仿宋"/>
          <w:color w:val="auto"/>
          <w:sz w:val="24"/>
          <w:highlight w:val="none"/>
        </w:rPr>
        <w:t xml:space="preserve">单价金额小数点或者百分比有明显错位的，以开标一览表的总价为准，并修改单价；  </w:t>
      </w:r>
    </w:p>
    <w:p w14:paraId="15496266">
      <w:pPr>
        <w:numPr>
          <w:ilvl w:val="0"/>
          <w:numId w:val="15"/>
        </w:numPr>
        <w:spacing w:line="460" w:lineRule="exact"/>
        <w:rPr>
          <w:rFonts w:eastAsia="仿宋"/>
          <w:color w:val="auto"/>
          <w:sz w:val="24"/>
          <w:highlight w:val="none"/>
        </w:rPr>
      </w:pPr>
      <w:r>
        <w:rPr>
          <w:rFonts w:eastAsia="仿宋"/>
          <w:color w:val="auto"/>
          <w:sz w:val="24"/>
          <w:highlight w:val="none"/>
        </w:rPr>
        <w:t>总价金额与按单价汇总金额不一致的，以单价金额计算结果为准；</w:t>
      </w:r>
    </w:p>
    <w:p w14:paraId="5A8B0B39">
      <w:pPr>
        <w:numPr>
          <w:ilvl w:val="0"/>
          <w:numId w:val="15"/>
        </w:numPr>
        <w:spacing w:line="460" w:lineRule="exact"/>
        <w:rPr>
          <w:rFonts w:eastAsia="仿宋"/>
          <w:color w:val="auto"/>
          <w:sz w:val="24"/>
          <w:highlight w:val="none"/>
        </w:rPr>
      </w:pPr>
      <w:r>
        <w:rPr>
          <w:rFonts w:eastAsia="仿宋"/>
          <w:color w:val="auto"/>
          <w:sz w:val="24"/>
          <w:highlight w:val="none"/>
        </w:rPr>
        <w:t>同时出现两种以上不一致的，按照前款规定的顺序修正，若投标人不同意对其错误的修正，其投标无效。</w:t>
      </w:r>
    </w:p>
    <w:p w14:paraId="7F5EC124">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的代表签字，并不得超出投标文件的范围或者改变投标文件的实质性内容。</w:t>
      </w:r>
    </w:p>
    <w:p w14:paraId="76DAA4EC">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27.4根据《政府采购货物和服务招标投标管理办法》（财政部令第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3CE8A82">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27.5评标方法：</w:t>
      </w:r>
      <w:r>
        <w:rPr>
          <w:rFonts w:eastAsia="仿宋"/>
          <w:b/>
          <w:bCs/>
          <w:color w:val="auto"/>
          <w:kern w:val="0"/>
          <w:sz w:val="24"/>
          <w:highlight w:val="none"/>
        </w:rPr>
        <w:t>本项目采用综合评分法（是指投标文件满足招标文件全部实质性要求，且按照评审因素的量化指标评审得分最高的投标人为中标候选人的评标方法），</w:t>
      </w:r>
      <w:r>
        <w:rPr>
          <w:rFonts w:eastAsia="仿宋"/>
          <w:b/>
          <w:color w:val="auto"/>
          <w:kern w:val="0"/>
          <w:sz w:val="24"/>
          <w:highlight w:val="none"/>
        </w:rPr>
        <w:t>具体内容详见</w:t>
      </w:r>
      <w:r>
        <w:rPr>
          <w:rFonts w:hint="eastAsia" w:eastAsia="仿宋"/>
          <w:b/>
          <w:color w:val="auto"/>
          <w:kern w:val="0"/>
          <w:sz w:val="24"/>
          <w:highlight w:val="none"/>
          <w:lang w:eastAsia="zh-CN"/>
        </w:rPr>
        <w:t>“</w:t>
      </w:r>
      <w:r>
        <w:rPr>
          <w:rFonts w:eastAsia="仿宋"/>
          <w:b/>
          <w:color w:val="auto"/>
          <w:kern w:val="0"/>
          <w:sz w:val="24"/>
          <w:highlight w:val="none"/>
        </w:rPr>
        <w:t>第六章 评标方法</w:t>
      </w:r>
      <w:r>
        <w:rPr>
          <w:rFonts w:hint="eastAsia" w:eastAsia="仿宋"/>
          <w:b/>
          <w:color w:val="auto"/>
          <w:kern w:val="0"/>
          <w:sz w:val="24"/>
          <w:highlight w:val="none"/>
          <w:lang w:eastAsia="zh-CN"/>
        </w:rPr>
        <w:t>”</w:t>
      </w:r>
      <w:r>
        <w:rPr>
          <w:rFonts w:eastAsia="仿宋"/>
          <w:b/>
          <w:color w:val="auto"/>
          <w:kern w:val="0"/>
          <w:sz w:val="24"/>
          <w:highlight w:val="none"/>
        </w:rPr>
        <w:t>。</w:t>
      </w:r>
    </w:p>
    <w:p w14:paraId="61FA3506">
      <w:pPr>
        <w:tabs>
          <w:tab w:val="left" w:pos="0"/>
          <w:tab w:val="left" w:pos="284"/>
          <w:tab w:val="left" w:pos="709"/>
          <w:tab w:val="left" w:pos="935"/>
          <w:tab w:val="left" w:pos="993"/>
          <w:tab w:val="left" w:pos="1077"/>
          <w:tab w:val="left" w:pos="1108"/>
        </w:tabs>
        <w:spacing w:line="460" w:lineRule="exact"/>
        <w:rPr>
          <w:rFonts w:eastAsia="仿宋"/>
          <w:b/>
          <w:bCs/>
          <w:color w:val="auto"/>
          <w:kern w:val="0"/>
          <w:sz w:val="24"/>
          <w:highlight w:val="none"/>
        </w:rPr>
      </w:pPr>
      <w:r>
        <w:rPr>
          <w:rFonts w:eastAsia="仿宋"/>
          <w:bCs/>
          <w:color w:val="auto"/>
          <w:kern w:val="0"/>
          <w:sz w:val="24"/>
          <w:highlight w:val="none"/>
        </w:rPr>
        <w:t>27.6推荐中标候选人：</w:t>
      </w:r>
      <w:r>
        <w:rPr>
          <w:rFonts w:eastAsia="仿宋"/>
          <w:b/>
          <w:bCs/>
          <w:color w:val="auto"/>
          <w:kern w:val="0"/>
          <w:sz w:val="24"/>
          <w:highlight w:val="none"/>
        </w:rPr>
        <w:t>评标委员会评标结果按评审后得分由高到低顺序排列。得分相同的，按投标报价由低到高顺序排列。得分且投标报价相同的并列，由评标委员会随机抽取确定排序。投标文件满足招标文件全部实质性要求，且按照评审因素的量化指标评审得分最高的投标人为排名第一的中标候选人。</w:t>
      </w:r>
    </w:p>
    <w:p w14:paraId="3ADDE3D8">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27.7编写开标、评标记录和评标报告：将开标、评标记录和评标报告打印成纸质文件，评标委员会</w:t>
      </w:r>
      <w:r>
        <w:rPr>
          <w:rFonts w:hint="eastAsia" w:eastAsia="仿宋"/>
          <w:bCs/>
          <w:color w:val="auto"/>
          <w:kern w:val="0"/>
          <w:sz w:val="24"/>
          <w:highlight w:val="none"/>
          <w:lang w:eastAsia="zh-CN"/>
        </w:rPr>
        <w:t>对</w:t>
      </w:r>
      <w:r>
        <w:rPr>
          <w:rFonts w:eastAsia="仿宋"/>
          <w:bCs/>
          <w:color w:val="auto"/>
          <w:kern w:val="0"/>
          <w:sz w:val="24"/>
          <w:highlight w:val="none"/>
        </w:rPr>
        <w:t>评标记录和评标报告</w:t>
      </w:r>
      <w:r>
        <w:rPr>
          <w:rFonts w:hint="eastAsia" w:eastAsia="仿宋"/>
          <w:bCs/>
          <w:color w:val="auto"/>
          <w:kern w:val="0"/>
          <w:sz w:val="24"/>
          <w:highlight w:val="none"/>
          <w:lang w:eastAsia="zh-CN"/>
        </w:rPr>
        <w:t>签字。</w:t>
      </w:r>
    </w:p>
    <w:p w14:paraId="2D781EC7">
      <w:pPr>
        <w:spacing w:line="460" w:lineRule="exact"/>
        <w:jc w:val="center"/>
        <w:outlineLvl w:val="1"/>
        <w:rPr>
          <w:rFonts w:eastAsia="仿宋"/>
          <w:b/>
          <w:bCs/>
          <w:color w:val="auto"/>
          <w:kern w:val="0"/>
          <w:sz w:val="24"/>
          <w:highlight w:val="none"/>
        </w:rPr>
      </w:pPr>
      <w:bookmarkStart w:id="141" w:name="_Toc853"/>
      <w:bookmarkStart w:id="142" w:name="_Toc26617"/>
      <w:bookmarkStart w:id="143" w:name="_Toc30375"/>
      <w:bookmarkStart w:id="144" w:name="_Toc8806"/>
      <w:bookmarkStart w:id="145" w:name="_Toc4752"/>
      <w:bookmarkStart w:id="146" w:name="_Toc8768"/>
      <w:bookmarkStart w:id="147" w:name="_Toc111018940"/>
      <w:r>
        <w:rPr>
          <w:rFonts w:eastAsia="仿宋"/>
          <w:b/>
          <w:bCs/>
          <w:color w:val="auto"/>
          <w:kern w:val="0"/>
          <w:sz w:val="24"/>
          <w:highlight w:val="none"/>
        </w:rPr>
        <w:t>八、中标人的确定</w:t>
      </w:r>
      <w:bookmarkEnd w:id="141"/>
      <w:bookmarkEnd w:id="142"/>
      <w:bookmarkEnd w:id="143"/>
      <w:bookmarkEnd w:id="144"/>
      <w:bookmarkEnd w:id="145"/>
      <w:bookmarkEnd w:id="146"/>
      <w:bookmarkEnd w:id="147"/>
    </w:p>
    <w:p w14:paraId="26620BFC">
      <w:pPr>
        <w:spacing w:line="460" w:lineRule="exact"/>
        <w:rPr>
          <w:rFonts w:eastAsia="仿宋"/>
          <w:b/>
          <w:bCs/>
          <w:color w:val="auto"/>
          <w:kern w:val="0"/>
          <w:sz w:val="24"/>
          <w:highlight w:val="none"/>
        </w:rPr>
      </w:pPr>
      <w:r>
        <w:rPr>
          <w:rFonts w:eastAsia="仿宋"/>
          <w:b/>
          <w:bCs/>
          <w:color w:val="auto"/>
          <w:kern w:val="0"/>
          <w:sz w:val="24"/>
          <w:highlight w:val="none"/>
        </w:rPr>
        <w:t>28 在招标采购中，出现下列情形之一的，应予废标：</w:t>
      </w:r>
    </w:p>
    <w:p w14:paraId="13969CDE">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28.1符合专业条件的投标人或者对招标文件作实质响应的投标人不足三家的；</w:t>
      </w:r>
    </w:p>
    <w:p w14:paraId="4F2408DD">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28.2出现影响采购公正的违法、违规行为的；</w:t>
      </w:r>
    </w:p>
    <w:p w14:paraId="6842FE0F">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28.3投标人的报价均超过了采购预算，采购人不能支付的；</w:t>
      </w:r>
    </w:p>
    <w:p w14:paraId="5894E305">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28.4因重大变故，采购任务取消的。</w:t>
      </w:r>
    </w:p>
    <w:p w14:paraId="07D9E520">
      <w:pPr>
        <w:spacing w:line="460" w:lineRule="exact"/>
        <w:rPr>
          <w:rFonts w:eastAsia="仿宋"/>
          <w:b/>
          <w:bCs/>
          <w:color w:val="auto"/>
          <w:kern w:val="0"/>
          <w:sz w:val="24"/>
          <w:highlight w:val="none"/>
        </w:rPr>
      </w:pPr>
      <w:r>
        <w:rPr>
          <w:rFonts w:eastAsia="仿宋"/>
          <w:b/>
          <w:bCs/>
          <w:color w:val="auto"/>
          <w:kern w:val="0"/>
          <w:sz w:val="24"/>
          <w:highlight w:val="none"/>
        </w:rPr>
        <w:t>29 中标人的确定</w:t>
      </w:r>
    </w:p>
    <w:p w14:paraId="402E4CA9">
      <w:pPr>
        <w:tabs>
          <w:tab w:val="left" w:pos="0"/>
          <w:tab w:val="left" w:pos="284"/>
          <w:tab w:val="left" w:pos="709"/>
          <w:tab w:val="left" w:pos="935"/>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采购人应当自收到评标报告之日起5个工作日内在评标报告推荐的中标候选人名单中按顺序确定中标人。</w:t>
      </w:r>
    </w:p>
    <w:p w14:paraId="4907AC70">
      <w:pPr>
        <w:spacing w:line="460" w:lineRule="exact"/>
        <w:jc w:val="center"/>
        <w:outlineLvl w:val="1"/>
        <w:rPr>
          <w:rFonts w:eastAsia="仿宋"/>
          <w:b/>
          <w:bCs/>
          <w:color w:val="auto"/>
          <w:kern w:val="0"/>
          <w:sz w:val="24"/>
          <w:highlight w:val="none"/>
        </w:rPr>
      </w:pPr>
      <w:bookmarkStart w:id="148" w:name="_Toc1025"/>
      <w:bookmarkStart w:id="149" w:name="_Toc13930"/>
      <w:bookmarkStart w:id="150" w:name="_Toc16021"/>
      <w:bookmarkStart w:id="151" w:name="_Toc25192"/>
      <w:bookmarkStart w:id="152" w:name="_Toc13468"/>
      <w:bookmarkStart w:id="153" w:name="_Toc21649"/>
      <w:bookmarkStart w:id="154" w:name="_Toc111018941"/>
      <w:r>
        <w:rPr>
          <w:rFonts w:eastAsia="仿宋"/>
          <w:b/>
          <w:bCs/>
          <w:color w:val="auto"/>
          <w:kern w:val="0"/>
          <w:sz w:val="24"/>
          <w:highlight w:val="none"/>
        </w:rPr>
        <w:t>九、中标结果公告</w:t>
      </w:r>
      <w:bookmarkEnd w:id="148"/>
      <w:bookmarkEnd w:id="149"/>
      <w:bookmarkEnd w:id="150"/>
      <w:bookmarkEnd w:id="151"/>
      <w:bookmarkEnd w:id="152"/>
      <w:bookmarkEnd w:id="153"/>
      <w:bookmarkEnd w:id="154"/>
    </w:p>
    <w:p w14:paraId="4C4D757C">
      <w:pPr>
        <w:spacing w:line="460" w:lineRule="exact"/>
        <w:rPr>
          <w:rFonts w:eastAsia="仿宋"/>
          <w:b/>
          <w:bCs/>
          <w:color w:val="auto"/>
          <w:kern w:val="0"/>
          <w:sz w:val="24"/>
          <w:highlight w:val="none"/>
        </w:rPr>
      </w:pPr>
      <w:r>
        <w:rPr>
          <w:rFonts w:eastAsia="仿宋"/>
          <w:b/>
          <w:bCs/>
          <w:color w:val="auto"/>
          <w:kern w:val="0"/>
          <w:sz w:val="24"/>
          <w:highlight w:val="none"/>
        </w:rPr>
        <w:t>30 中标结果公告</w:t>
      </w:r>
    </w:p>
    <w:p w14:paraId="3F1CE091">
      <w:pPr>
        <w:tabs>
          <w:tab w:val="left" w:pos="0"/>
          <w:tab w:val="left" w:pos="284"/>
          <w:tab w:val="left" w:pos="709"/>
        </w:tabs>
        <w:spacing w:line="460" w:lineRule="exact"/>
        <w:jc w:val="left"/>
        <w:rPr>
          <w:rFonts w:eastAsia="仿宋"/>
          <w:bCs/>
          <w:color w:val="auto"/>
          <w:kern w:val="0"/>
          <w:sz w:val="24"/>
          <w:highlight w:val="none"/>
        </w:rPr>
      </w:pPr>
      <w:r>
        <w:rPr>
          <w:rFonts w:eastAsia="仿宋"/>
          <w:bCs/>
          <w:color w:val="auto"/>
          <w:kern w:val="0"/>
          <w:sz w:val="24"/>
          <w:highlight w:val="none"/>
        </w:rPr>
        <w:t>30.1.采购代理机构根据采购人确定的中标结果，将中标结果在中国政府采购网（http://www.ccgp.gov.cn/）发布；</w:t>
      </w:r>
    </w:p>
    <w:p w14:paraId="53FB20C8">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30.2.中标公告期限为1个工作日。</w:t>
      </w:r>
    </w:p>
    <w:p w14:paraId="2253D256">
      <w:pPr>
        <w:spacing w:line="460" w:lineRule="exact"/>
        <w:jc w:val="center"/>
        <w:outlineLvl w:val="1"/>
        <w:rPr>
          <w:rFonts w:eastAsia="仿宋"/>
          <w:b/>
          <w:bCs/>
          <w:color w:val="auto"/>
          <w:kern w:val="0"/>
          <w:sz w:val="24"/>
          <w:highlight w:val="none"/>
        </w:rPr>
      </w:pPr>
      <w:bookmarkStart w:id="155" w:name="_Toc13759"/>
      <w:bookmarkStart w:id="156" w:name="_Toc6360"/>
      <w:bookmarkStart w:id="157" w:name="_Toc1684"/>
      <w:bookmarkStart w:id="158" w:name="_Toc27217"/>
      <w:bookmarkStart w:id="159" w:name="_Toc1990"/>
      <w:bookmarkStart w:id="160" w:name="_Toc31963"/>
      <w:bookmarkStart w:id="161" w:name="_Toc111018942"/>
      <w:r>
        <w:rPr>
          <w:rFonts w:eastAsia="仿宋"/>
          <w:b/>
          <w:bCs/>
          <w:color w:val="auto"/>
          <w:kern w:val="0"/>
          <w:sz w:val="24"/>
          <w:highlight w:val="none"/>
        </w:rPr>
        <w:t>十、中标通知</w:t>
      </w:r>
      <w:bookmarkEnd w:id="155"/>
      <w:bookmarkEnd w:id="156"/>
      <w:bookmarkEnd w:id="157"/>
      <w:bookmarkEnd w:id="158"/>
      <w:bookmarkEnd w:id="159"/>
      <w:bookmarkEnd w:id="160"/>
      <w:bookmarkEnd w:id="161"/>
    </w:p>
    <w:p w14:paraId="771DCC5A">
      <w:pPr>
        <w:spacing w:line="460" w:lineRule="exact"/>
        <w:rPr>
          <w:rFonts w:eastAsia="仿宋"/>
          <w:b/>
          <w:bCs/>
          <w:color w:val="auto"/>
          <w:kern w:val="0"/>
          <w:sz w:val="24"/>
          <w:highlight w:val="none"/>
        </w:rPr>
      </w:pPr>
      <w:r>
        <w:rPr>
          <w:rFonts w:eastAsia="仿宋"/>
          <w:b/>
          <w:bCs/>
          <w:color w:val="auto"/>
          <w:kern w:val="0"/>
          <w:sz w:val="24"/>
          <w:highlight w:val="none"/>
        </w:rPr>
        <w:t>31中标通知</w:t>
      </w:r>
    </w:p>
    <w:p w14:paraId="44FA40A8">
      <w:pPr>
        <w:tabs>
          <w:tab w:val="left" w:pos="0"/>
          <w:tab w:val="left" w:pos="284"/>
          <w:tab w:val="left" w:pos="709"/>
          <w:tab w:val="left" w:pos="935"/>
          <w:tab w:val="left" w:pos="993"/>
          <w:tab w:val="left" w:pos="1108"/>
        </w:tabs>
        <w:spacing w:line="460" w:lineRule="exact"/>
        <w:ind w:firstLine="480" w:firstLineChars="200"/>
        <w:rPr>
          <w:rFonts w:eastAsia="仿宋"/>
          <w:bCs/>
          <w:strike/>
          <w:color w:val="auto"/>
          <w:kern w:val="0"/>
          <w:sz w:val="24"/>
          <w:highlight w:val="none"/>
        </w:rPr>
      </w:pPr>
      <w:r>
        <w:rPr>
          <w:rFonts w:eastAsia="仿宋"/>
          <w:bCs/>
          <w:color w:val="auto"/>
          <w:kern w:val="0"/>
          <w:sz w:val="24"/>
          <w:highlight w:val="none"/>
        </w:rPr>
        <w:t>采购代理机构向中标人发出中标通知书。</w:t>
      </w:r>
    </w:p>
    <w:p w14:paraId="315309AF">
      <w:pPr>
        <w:spacing w:line="460" w:lineRule="exact"/>
        <w:jc w:val="center"/>
        <w:outlineLvl w:val="1"/>
        <w:rPr>
          <w:rFonts w:eastAsia="仿宋"/>
          <w:b/>
          <w:bCs/>
          <w:color w:val="auto"/>
          <w:kern w:val="0"/>
          <w:sz w:val="24"/>
          <w:highlight w:val="none"/>
        </w:rPr>
      </w:pPr>
      <w:bookmarkStart w:id="162" w:name="_Toc25246"/>
      <w:bookmarkStart w:id="163" w:name="_Toc10580"/>
      <w:bookmarkStart w:id="164" w:name="_Toc5130"/>
      <w:bookmarkStart w:id="165" w:name="_Toc111018943"/>
      <w:bookmarkStart w:id="166" w:name="_Toc25102"/>
      <w:bookmarkStart w:id="167" w:name="_Toc5478"/>
      <w:bookmarkStart w:id="168" w:name="_Toc1564"/>
      <w:r>
        <w:rPr>
          <w:rFonts w:eastAsia="仿宋"/>
          <w:b/>
          <w:bCs/>
          <w:color w:val="auto"/>
          <w:kern w:val="0"/>
          <w:sz w:val="24"/>
          <w:highlight w:val="none"/>
        </w:rPr>
        <w:t>十一、签订合同</w:t>
      </w:r>
      <w:bookmarkEnd w:id="162"/>
      <w:bookmarkEnd w:id="163"/>
      <w:bookmarkEnd w:id="164"/>
      <w:bookmarkEnd w:id="165"/>
      <w:bookmarkEnd w:id="166"/>
      <w:bookmarkEnd w:id="167"/>
      <w:bookmarkEnd w:id="168"/>
    </w:p>
    <w:p w14:paraId="6B76823D">
      <w:pPr>
        <w:spacing w:line="460" w:lineRule="exact"/>
        <w:rPr>
          <w:rFonts w:eastAsia="仿宋"/>
          <w:b/>
          <w:bCs/>
          <w:color w:val="auto"/>
          <w:kern w:val="0"/>
          <w:sz w:val="24"/>
          <w:highlight w:val="none"/>
        </w:rPr>
      </w:pPr>
      <w:r>
        <w:rPr>
          <w:rFonts w:eastAsia="仿宋"/>
          <w:b/>
          <w:bCs/>
          <w:color w:val="auto"/>
          <w:kern w:val="0"/>
          <w:sz w:val="24"/>
          <w:highlight w:val="none"/>
        </w:rPr>
        <w:t>32签订合同</w:t>
      </w:r>
    </w:p>
    <w:p w14:paraId="5A13F87A">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32.1中标人在中标通知书发出之日起三十日内，按照招标文件确定的事项签订政府采购合同。</w:t>
      </w:r>
    </w:p>
    <w:p w14:paraId="27E17EEE">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32.2中标人拒绝与采购人签订合同的，采购人可以按照评审报告推荐的中标候选人名单排序，确定下一候选人为中标人，也可以重新开展政府采购活动，若中标人拒绝与采购人签订合同对采购人造成损失，中标人应承担相应的责任。</w:t>
      </w:r>
    </w:p>
    <w:p w14:paraId="46482D5D">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32.3招标文件、中标人的投标文件及评标过程中的有关澄清文件均为签订合同的依据。</w:t>
      </w:r>
    </w:p>
    <w:p w14:paraId="2344788B">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32.4合同履行中，采购人需追加与合同标的相同的货物的，在不改变合同其他条款的前提下，可以与中标人协商签订补充合同，但所有补充合同的采购金额不得超过原合同采购金额的百分之十。</w:t>
      </w:r>
    </w:p>
    <w:p w14:paraId="1390A418">
      <w:pPr>
        <w:spacing w:line="460" w:lineRule="exact"/>
        <w:jc w:val="center"/>
        <w:outlineLvl w:val="1"/>
        <w:rPr>
          <w:rFonts w:eastAsia="仿宋"/>
          <w:b/>
          <w:bCs/>
          <w:color w:val="auto"/>
          <w:kern w:val="0"/>
          <w:sz w:val="24"/>
          <w:highlight w:val="none"/>
        </w:rPr>
      </w:pPr>
      <w:bookmarkStart w:id="169" w:name="_Toc14788"/>
      <w:bookmarkStart w:id="170" w:name="_Toc23882"/>
      <w:bookmarkStart w:id="171" w:name="_Toc15342"/>
      <w:bookmarkStart w:id="172" w:name="_Toc822"/>
      <w:bookmarkStart w:id="173" w:name="_Toc111018944"/>
      <w:bookmarkStart w:id="174" w:name="_Toc28192"/>
      <w:bookmarkStart w:id="175" w:name="_Toc3254"/>
      <w:r>
        <w:rPr>
          <w:rFonts w:eastAsia="仿宋"/>
          <w:b/>
          <w:bCs/>
          <w:color w:val="auto"/>
          <w:kern w:val="0"/>
          <w:sz w:val="24"/>
          <w:highlight w:val="none"/>
        </w:rPr>
        <w:t>十二、询问、质疑和投诉</w:t>
      </w:r>
      <w:bookmarkEnd w:id="169"/>
      <w:bookmarkEnd w:id="170"/>
      <w:bookmarkEnd w:id="171"/>
      <w:bookmarkEnd w:id="172"/>
      <w:bookmarkEnd w:id="173"/>
      <w:bookmarkEnd w:id="174"/>
      <w:bookmarkEnd w:id="175"/>
    </w:p>
    <w:p w14:paraId="2615F581">
      <w:pPr>
        <w:spacing w:line="460" w:lineRule="exact"/>
        <w:rPr>
          <w:rFonts w:eastAsia="仿宋"/>
          <w:b/>
          <w:bCs/>
          <w:color w:val="auto"/>
          <w:kern w:val="0"/>
          <w:sz w:val="24"/>
          <w:highlight w:val="none"/>
        </w:rPr>
      </w:pPr>
      <w:r>
        <w:rPr>
          <w:rFonts w:eastAsia="仿宋"/>
          <w:b/>
          <w:bCs/>
          <w:color w:val="auto"/>
          <w:kern w:val="0"/>
          <w:sz w:val="24"/>
          <w:highlight w:val="none"/>
        </w:rPr>
        <w:t>33询问</w:t>
      </w:r>
    </w:p>
    <w:p w14:paraId="07B773EE">
      <w:pPr>
        <w:tabs>
          <w:tab w:val="left" w:pos="0"/>
          <w:tab w:val="left" w:pos="284"/>
          <w:tab w:val="left" w:pos="709"/>
          <w:tab w:val="left" w:pos="935"/>
        </w:tabs>
        <w:spacing w:line="460" w:lineRule="exact"/>
        <w:ind w:firstLine="480" w:firstLineChars="200"/>
        <w:rPr>
          <w:rFonts w:eastAsia="仿宋"/>
          <w:b/>
          <w:bCs/>
          <w:color w:val="auto"/>
          <w:kern w:val="0"/>
          <w:sz w:val="24"/>
          <w:highlight w:val="none"/>
        </w:rPr>
      </w:pPr>
      <w:r>
        <w:rPr>
          <w:rFonts w:eastAsia="仿宋"/>
          <w:bCs/>
          <w:color w:val="auto"/>
          <w:kern w:val="0"/>
          <w:sz w:val="24"/>
          <w:highlight w:val="none"/>
        </w:rPr>
        <w:t>投标人对政府采购活动事项有疑问的，可以向采购人或者采购代理机构提出询问，采购代理机构应当在3个工作日内对投标人依法提出询问作出答复。</w:t>
      </w:r>
    </w:p>
    <w:p w14:paraId="5AB9D52A">
      <w:pPr>
        <w:spacing w:line="460" w:lineRule="exact"/>
        <w:rPr>
          <w:rFonts w:eastAsia="仿宋"/>
          <w:b/>
          <w:bCs/>
          <w:color w:val="auto"/>
          <w:kern w:val="0"/>
          <w:sz w:val="24"/>
          <w:highlight w:val="none"/>
        </w:rPr>
      </w:pPr>
      <w:r>
        <w:rPr>
          <w:rFonts w:eastAsia="仿宋"/>
          <w:b/>
          <w:bCs/>
          <w:color w:val="auto"/>
          <w:kern w:val="0"/>
          <w:sz w:val="24"/>
          <w:highlight w:val="none"/>
        </w:rPr>
        <w:t>34质疑、投诉注意事项</w:t>
      </w:r>
    </w:p>
    <w:p w14:paraId="7AADA697">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34.1接收质疑方式</w:t>
      </w:r>
    </w:p>
    <w:p w14:paraId="731DF3B6">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34.1.1投标人如委托代理人进行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或者其授权代表签字或者盖章，并加盖公章。</w:t>
      </w:r>
    </w:p>
    <w:p w14:paraId="2DEFD977">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34.1.2采购代理机构接收询问、质疑联系方式</w:t>
      </w:r>
    </w:p>
    <w:p w14:paraId="2067941C">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接收部门：招标技术部</w:t>
      </w:r>
    </w:p>
    <w:p w14:paraId="3EB44A9E">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联系电话：0791-83978376</w:t>
      </w:r>
    </w:p>
    <w:p w14:paraId="060E386F">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通讯地址：江西省南昌市红谷滩区红谷北大道968号绿地外滩公馆写字楼19栋406室</w:t>
      </w:r>
    </w:p>
    <w:p w14:paraId="149190C5">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hint="eastAsia" w:eastAsia="仿宋"/>
          <w:bCs/>
          <w:color w:val="auto"/>
          <w:kern w:val="0"/>
          <w:sz w:val="24"/>
          <w:highlight w:val="none"/>
          <w:lang w:val="en-US" w:eastAsia="zh-CN"/>
        </w:rPr>
        <w:t xml:space="preserve">电子邮箱： jxhsh2022@163.com </w:t>
      </w:r>
    </w:p>
    <w:p w14:paraId="584D61B8">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34.1.3质疑函应包括但不限于下列内容（格式可参照中国政府采购网下载专区《政府采购供应商质疑函范本》）：</w:t>
      </w:r>
    </w:p>
    <w:p w14:paraId="07E43612">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1）投标人的姓名或者名称、地址、邮编、联系人及联系电话；</w:t>
      </w:r>
    </w:p>
    <w:p w14:paraId="1F1DBBE0">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2）质疑项目的名称、编号；</w:t>
      </w:r>
    </w:p>
    <w:p w14:paraId="454D9371">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3）具体、明确的质疑事项和与质疑事项相关的请求；</w:t>
      </w:r>
    </w:p>
    <w:p w14:paraId="4560A156">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4）事实依据；</w:t>
      </w:r>
    </w:p>
    <w:p w14:paraId="65F29FF4">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5）必要的法律依据；</w:t>
      </w:r>
    </w:p>
    <w:p w14:paraId="468EB038">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6）质疑人参加了本次政府采购活动的证明材料（如报名回执等）；</w:t>
      </w:r>
    </w:p>
    <w:p w14:paraId="75402D2E">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7）提出质疑的日期。</w:t>
      </w:r>
    </w:p>
    <w:p w14:paraId="0BFC9CE4">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34.2投标人应当在法定质疑期内一次性提出针对同一采购程序环节的质疑；提出质疑的投标人应当是参与所质疑项目采购活动的投标人。</w:t>
      </w:r>
    </w:p>
    <w:p w14:paraId="3D51A0AE">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34.3若以联合体形式参加政府采购活动的，其投诉应由组成联合体的所有投标人共同提出。</w:t>
      </w:r>
    </w:p>
    <w:p w14:paraId="0D1EB183">
      <w:pPr>
        <w:spacing w:line="460" w:lineRule="exact"/>
        <w:rPr>
          <w:rFonts w:eastAsia="仿宋"/>
          <w:b/>
          <w:bCs/>
          <w:color w:val="auto"/>
          <w:kern w:val="0"/>
          <w:sz w:val="24"/>
          <w:highlight w:val="none"/>
        </w:rPr>
      </w:pPr>
      <w:r>
        <w:rPr>
          <w:rFonts w:eastAsia="仿宋"/>
          <w:b/>
          <w:bCs/>
          <w:color w:val="auto"/>
          <w:kern w:val="0"/>
          <w:sz w:val="24"/>
          <w:highlight w:val="none"/>
        </w:rPr>
        <w:t>35质疑</w:t>
      </w:r>
    </w:p>
    <w:p w14:paraId="7CF03C5A">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35.1投标人认为招标文件、采购过程、中标结果使自己的权益受到损害的，可以在知道或者应知其权益受到损害之日起7个工作日内，以书面形式向采购人、采购代理机构提出质疑。</w:t>
      </w:r>
    </w:p>
    <w:p w14:paraId="113C3BC4">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35.2采购代理机构会在收到《质疑函》后7个工作日内作出书面答复，并以书面形式通知质疑人和其他有关投标人；必要时，采购代理机构将组织相关专家召开答疑会，并将会议内容以书面形式发给要求澄清的投标人，此类答复中不披露问题的来源，不涉及商业秘密。</w:t>
      </w:r>
    </w:p>
    <w:p w14:paraId="5F043E67">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35.3具体相关事宜按中华人民共和国财政部令第94号--《政府采购质疑和投诉办法》的规定执行。</w:t>
      </w:r>
    </w:p>
    <w:p w14:paraId="2C243DE9">
      <w:pPr>
        <w:spacing w:line="460" w:lineRule="exact"/>
        <w:rPr>
          <w:rFonts w:eastAsia="仿宋"/>
          <w:b/>
          <w:bCs/>
          <w:color w:val="auto"/>
          <w:kern w:val="0"/>
          <w:sz w:val="24"/>
          <w:highlight w:val="none"/>
        </w:rPr>
      </w:pPr>
      <w:r>
        <w:rPr>
          <w:rFonts w:eastAsia="仿宋"/>
          <w:b/>
          <w:bCs/>
          <w:color w:val="auto"/>
          <w:kern w:val="0"/>
          <w:sz w:val="24"/>
          <w:highlight w:val="none"/>
        </w:rPr>
        <w:t>36投诉</w:t>
      </w:r>
    </w:p>
    <w:p w14:paraId="23283AAC">
      <w:pPr>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提出质疑后对采购代理机构答复不满意或采购代理机构未在规定时间内作出书面答复的，可在采购代理机构发出质疑答复函之日起或答复期满15个工作日内向同级财政部门提出投诉。投诉事项及程序按中华人民共和国财政部令第94号--《政府采购质疑和投诉办法》的规定执行。</w:t>
      </w:r>
    </w:p>
    <w:p w14:paraId="431CB125">
      <w:pPr>
        <w:spacing w:line="460" w:lineRule="exact"/>
        <w:jc w:val="center"/>
        <w:outlineLvl w:val="1"/>
        <w:rPr>
          <w:rFonts w:eastAsia="仿宋"/>
          <w:b/>
          <w:bCs/>
          <w:color w:val="auto"/>
          <w:kern w:val="0"/>
          <w:sz w:val="24"/>
          <w:highlight w:val="none"/>
        </w:rPr>
      </w:pPr>
      <w:bookmarkStart w:id="176" w:name="_Toc111018945"/>
      <w:bookmarkStart w:id="177" w:name="_Toc9145"/>
      <w:bookmarkStart w:id="178" w:name="_Toc31413"/>
      <w:bookmarkStart w:id="179" w:name="_Toc22628"/>
      <w:bookmarkStart w:id="180" w:name="_Toc21096"/>
      <w:bookmarkStart w:id="181" w:name="_Toc23127"/>
      <w:bookmarkStart w:id="182" w:name="_Toc23568"/>
      <w:r>
        <w:rPr>
          <w:rFonts w:eastAsia="仿宋"/>
          <w:b/>
          <w:bCs/>
          <w:color w:val="auto"/>
          <w:kern w:val="0"/>
          <w:sz w:val="24"/>
          <w:highlight w:val="none"/>
        </w:rPr>
        <w:t>十三、其他事项</w:t>
      </w:r>
      <w:bookmarkEnd w:id="176"/>
      <w:bookmarkEnd w:id="177"/>
      <w:bookmarkEnd w:id="178"/>
      <w:bookmarkEnd w:id="179"/>
      <w:bookmarkEnd w:id="180"/>
      <w:bookmarkEnd w:id="181"/>
      <w:bookmarkEnd w:id="182"/>
    </w:p>
    <w:p w14:paraId="0F642E9F">
      <w:pPr>
        <w:spacing w:line="460" w:lineRule="exact"/>
        <w:rPr>
          <w:rFonts w:eastAsia="仿宋"/>
          <w:b/>
          <w:bCs/>
          <w:color w:val="auto"/>
          <w:kern w:val="0"/>
          <w:sz w:val="24"/>
          <w:highlight w:val="none"/>
        </w:rPr>
      </w:pPr>
      <w:r>
        <w:rPr>
          <w:rFonts w:eastAsia="仿宋"/>
          <w:b/>
          <w:bCs/>
          <w:color w:val="auto"/>
          <w:kern w:val="0"/>
          <w:sz w:val="24"/>
          <w:highlight w:val="none"/>
        </w:rPr>
        <w:t>37代理服务费</w:t>
      </w:r>
    </w:p>
    <w:p w14:paraId="6CD55F88">
      <w:pPr>
        <w:tabs>
          <w:tab w:val="left" w:pos="0"/>
          <w:tab w:val="left" w:pos="284"/>
          <w:tab w:val="left" w:pos="709"/>
          <w:tab w:val="left" w:pos="993"/>
          <w:tab w:val="left" w:pos="1108"/>
        </w:tabs>
        <w:spacing w:line="460" w:lineRule="exact"/>
        <w:ind w:firstLine="480" w:firstLineChars="200"/>
        <w:rPr>
          <w:rFonts w:eastAsia="仿宋"/>
          <w:color w:val="auto"/>
          <w:sz w:val="24"/>
          <w:highlight w:val="none"/>
        </w:rPr>
      </w:pPr>
      <w:r>
        <w:rPr>
          <w:rFonts w:eastAsia="仿宋"/>
          <w:bCs/>
          <w:color w:val="auto"/>
          <w:kern w:val="0"/>
          <w:sz w:val="24"/>
          <w:highlight w:val="none"/>
        </w:rPr>
        <w:t>中标人领取中标通知书时，应向采购代理机构一次性付清代理服务费。</w:t>
      </w:r>
      <w:r>
        <w:rPr>
          <w:rFonts w:eastAsia="仿宋"/>
          <w:color w:val="auto"/>
          <w:sz w:val="24"/>
          <w:highlight w:val="none"/>
        </w:rPr>
        <w:t>收费标准：</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color w:val="auto"/>
          <w:sz w:val="24"/>
          <w:highlight w:val="none"/>
          <w:u w:val="single"/>
          <w:lang w:eastAsia="zh-CN"/>
        </w:rPr>
        <w:t>”</w:t>
      </w:r>
      <w:r>
        <w:rPr>
          <w:rFonts w:eastAsia="仿宋"/>
          <w:bCs/>
          <w:color w:val="auto"/>
          <w:kern w:val="0"/>
          <w:sz w:val="24"/>
          <w:highlight w:val="none"/>
        </w:rPr>
        <w:t>。</w:t>
      </w:r>
    </w:p>
    <w:p w14:paraId="709DCD87">
      <w:pPr>
        <w:spacing w:line="460" w:lineRule="exact"/>
        <w:rPr>
          <w:rFonts w:eastAsia="仿宋"/>
          <w:b/>
          <w:bCs/>
          <w:color w:val="auto"/>
          <w:kern w:val="0"/>
          <w:sz w:val="24"/>
          <w:highlight w:val="none"/>
        </w:rPr>
      </w:pPr>
      <w:r>
        <w:rPr>
          <w:rFonts w:eastAsia="仿宋"/>
          <w:b/>
          <w:bCs/>
          <w:color w:val="auto"/>
          <w:kern w:val="0"/>
          <w:sz w:val="24"/>
          <w:highlight w:val="none"/>
        </w:rPr>
        <w:t>38适用法律</w:t>
      </w:r>
    </w:p>
    <w:p w14:paraId="732D91E0">
      <w:pPr>
        <w:pStyle w:val="20"/>
        <w:spacing w:line="460" w:lineRule="exact"/>
        <w:ind w:firstLine="480" w:firstLineChars="200"/>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采购代理机构及投标人的一切招标投标活动均适用于《中华人民共和国政府采购法》及相关规定。</w:t>
      </w:r>
    </w:p>
    <w:p w14:paraId="52099C46">
      <w:pPr>
        <w:spacing w:line="460" w:lineRule="exact"/>
        <w:rPr>
          <w:rFonts w:eastAsia="仿宋"/>
          <w:b/>
          <w:bCs/>
          <w:color w:val="auto"/>
          <w:kern w:val="0"/>
          <w:sz w:val="24"/>
          <w:highlight w:val="none"/>
        </w:rPr>
      </w:pPr>
      <w:r>
        <w:rPr>
          <w:rFonts w:eastAsia="仿宋"/>
          <w:b/>
          <w:bCs/>
          <w:color w:val="auto"/>
          <w:kern w:val="0"/>
          <w:sz w:val="24"/>
          <w:highlight w:val="none"/>
        </w:rPr>
        <w:t>39解释权</w:t>
      </w:r>
    </w:p>
    <w:p w14:paraId="08AF4C48">
      <w:pPr>
        <w:pStyle w:val="20"/>
        <w:spacing w:line="460" w:lineRule="exact"/>
        <w:ind w:firstLine="480" w:firstLineChars="200"/>
        <w:rPr>
          <w:rFonts w:ascii="Times New Roman" w:hAnsi="Times New Roman" w:eastAsia="仿宋"/>
          <w:color w:val="auto"/>
          <w:sz w:val="24"/>
          <w:szCs w:val="24"/>
          <w:highlight w:val="none"/>
        </w:rPr>
      </w:pPr>
      <w:r>
        <w:rPr>
          <w:rFonts w:ascii="Times New Roman" w:hAnsi="Times New Roman" w:eastAsia="仿宋"/>
          <w:bCs/>
          <w:color w:val="auto"/>
          <w:sz w:val="24"/>
          <w:szCs w:val="24"/>
          <w:highlight w:val="none"/>
        </w:rPr>
        <w:t>本招标文件是根据国家有关法律、法规以及政府采购管理有关规定编制，</w:t>
      </w:r>
      <w:r>
        <w:rPr>
          <w:rFonts w:ascii="Times New Roman" w:hAnsi="Times New Roman" w:eastAsia="仿宋"/>
          <w:color w:val="auto"/>
          <w:sz w:val="24"/>
          <w:szCs w:val="24"/>
          <w:highlight w:val="none"/>
        </w:rPr>
        <w:t>招标文件的最终解释权属于采购代理机构。</w:t>
      </w:r>
    </w:p>
    <w:p w14:paraId="7FB1E931">
      <w:pPr>
        <w:pStyle w:val="20"/>
        <w:spacing w:line="460" w:lineRule="exact"/>
        <w:ind w:firstLine="480" w:firstLineChars="200"/>
        <w:rPr>
          <w:rFonts w:ascii="Times New Roman" w:hAnsi="Times New Roman" w:eastAsia="仿宋"/>
          <w:bCs/>
          <w:strike/>
          <w:color w:val="auto"/>
          <w:sz w:val="24"/>
          <w:szCs w:val="24"/>
          <w:highlight w:val="none"/>
        </w:rPr>
      </w:pPr>
    </w:p>
    <w:p w14:paraId="75FA6C70">
      <w:pPr>
        <w:pStyle w:val="3"/>
        <w:jc w:val="center"/>
        <w:rPr>
          <w:rFonts w:ascii="Times New Roman" w:eastAsia="仿宋"/>
          <w:color w:val="auto"/>
          <w:szCs w:val="44"/>
          <w:highlight w:val="none"/>
        </w:rPr>
      </w:pPr>
      <w:r>
        <w:rPr>
          <w:rFonts w:ascii="Times New Roman" w:eastAsia="仿宋"/>
          <w:color w:val="auto"/>
          <w:szCs w:val="44"/>
          <w:highlight w:val="none"/>
        </w:rPr>
        <w:br w:type="page"/>
      </w:r>
      <w:bookmarkStart w:id="183" w:name="_Toc25122"/>
      <w:bookmarkStart w:id="184" w:name="_Toc495396671"/>
      <w:bookmarkStart w:id="185" w:name="_Toc18411"/>
      <w:bookmarkStart w:id="186" w:name="_Toc111018946"/>
      <w:bookmarkStart w:id="187" w:name="_Toc23086"/>
      <w:bookmarkStart w:id="188" w:name="_Toc31617"/>
      <w:bookmarkStart w:id="189" w:name="_Toc20123"/>
      <w:bookmarkStart w:id="190" w:name="_Toc12601"/>
      <w:bookmarkStart w:id="191" w:name="_Toc413657137"/>
      <w:r>
        <w:rPr>
          <w:rFonts w:ascii="Times New Roman" w:eastAsia="仿宋"/>
          <w:b/>
          <w:bCs/>
          <w:color w:val="auto"/>
          <w:kern w:val="44"/>
          <w:sz w:val="44"/>
          <w:szCs w:val="44"/>
          <w:highlight w:val="none"/>
        </w:rPr>
        <w:t>第三章 合同文本</w:t>
      </w:r>
      <w:bookmarkEnd w:id="183"/>
      <w:bookmarkEnd w:id="184"/>
      <w:bookmarkEnd w:id="185"/>
      <w:bookmarkEnd w:id="186"/>
      <w:bookmarkEnd w:id="187"/>
      <w:bookmarkEnd w:id="188"/>
      <w:bookmarkEnd w:id="189"/>
      <w:bookmarkEnd w:id="190"/>
    </w:p>
    <w:p w14:paraId="14A48C27">
      <w:pPr>
        <w:rPr>
          <w:rFonts w:eastAsia="仿宋"/>
          <w:color w:val="auto"/>
          <w:highlight w:val="none"/>
        </w:rPr>
      </w:pPr>
    </w:p>
    <w:p w14:paraId="232C185F">
      <w:pPr>
        <w:rPr>
          <w:rFonts w:ascii="仿宋" w:hAnsi="仿宋" w:eastAsia="仿宋"/>
          <w:color w:val="auto"/>
          <w:highlight w:val="none"/>
        </w:rPr>
      </w:pPr>
    </w:p>
    <w:p w14:paraId="629BA03E">
      <w:pPr>
        <w:ind w:firstLine="6023" w:firstLineChars="2500"/>
        <w:rPr>
          <w:rFonts w:ascii="仿宋" w:hAnsi="仿宋" w:eastAsia="仿宋"/>
          <w:b/>
          <w:bCs/>
          <w:color w:val="auto"/>
          <w:sz w:val="24"/>
          <w:highlight w:val="none"/>
        </w:rPr>
      </w:pPr>
      <w:r>
        <w:rPr>
          <w:rFonts w:hint="eastAsia" w:ascii="仿宋" w:hAnsi="仿宋" w:eastAsia="仿宋"/>
          <w:b/>
          <w:bCs/>
          <w:color w:val="auto"/>
          <w:sz w:val="24"/>
          <w:highlight w:val="none"/>
        </w:rPr>
        <w:t>合同编号：</w:t>
      </w:r>
    </w:p>
    <w:p w14:paraId="21B368C3">
      <w:pPr>
        <w:spacing w:line="360" w:lineRule="auto"/>
        <w:jc w:val="center"/>
        <w:rPr>
          <w:rFonts w:ascii="仿宋" w:hAnsi="仿宋" w:eastAsia="仿宋" w:cs="宋体"/>
          <w:b/>
          <w:color w:val="auto"/>
          <w:sz w:val="44"/>
          <w:szCs w:val="48"/>
          <w:highlight w:val="none"/>
        </w:rPr>
      </w:pPr>
    </w:p>
    <w:p w14:paraId="2C9303CB">
      <w:pPr>
        <w:pStyle w:val="14"/>
        <w:rPr>
          <w:color w:val="auto"/>
          <w:highlight w:val="none"/>
          <w:lang w:val="en-US" w:bidi="ar-SA"/>
        </w:rPr>
      </w:pPr>
    </w:p>
    <w:p w14:paraId="3692C080">
      <w:pPr>
        <w:spacing w:line="360" w:lineRule="auto"/>
        <w:jc w:val="center"/>
        <w:rPr>
          <w:rFonts w:hint="eastAsia" w:ascii="仿宋" w:hAnsi="仿宋" w:eastAsia="仿宋"/>
          <w:b/>
          <w:color w:val="auto"/>
          <w:sz w:val="44"/>
          <w:szCs w:val="48"/>
          <w:highlight w:val="none"/>
          <w:lang w:eastAsia="zh-CN"/>
        </w:rPr>
      </w:pPr>
      <w:r>
        <w:rPr>
          <w:rFonts w:hint="eastAsia" w:ascii="仿宋" w:hAnsi="仿宋" w:eastAsia="仿宋"/>
          <w:b/>
          <w:color w:val="auto"/>
          <w:sz w:val="44"/>
          <w:szCs w:val="48"/>
          <w:highlight w:val="none"/>
          <w:lang w:eastAsia="zh-CN"/>
        </w:rPr>
        <w:t>江西省消防救援总队自然灾害应急能力提升工程装备配备项目（车辆类）</w:t>
      </w:r>
    </w:p>
    <w:p w14:paraId="17E9A2C7">
      <w:pPr>
        <w:pStyle w:val="14"/>
        <w:rPr>
          <w:color w:val="auto"/>
          <w:highlight w:val="none"/>
        </w:rPr>
      </w:pPr>
    </w:p>
    <w:p w14:paraId="4B27D745">
      <w:pPr>
        <w:rPr>
          <w:color w:val="auto"/>
          <w:highlight w:val="none"/>
          <w:lang w:val="zh-CN" w:bidi="zh-CN"/>
        </w:rPr>
      </w:pPr>
    </w:p>
    <w:p w14:paraId="2E1E3CB1">
      <w:pPr>
        <w:pStyle w:val="14"/>
        <w:rPr>
          <w:color w:val="auto"/>
          <w:highlight w:val="none"/>
        </w:rPr>
      </w:pPr>
    </w:p>
    <w:p w14:paraId="1E47A8CA">
      <w:pPr>
        <w:rPr>
          <w:color w:val="auto"/>
          <w:highlight w:val="none"/>
          <w:lang w:val="zh-CN" w:bidi="zh-CN"/>
        </w:rPr>
      </w:pPr>
    </w:p>
    <w:p w14:paraId="45A05C63">
      <w:pPr>
        <w:pStyle w:val="14"/>
        <w:rPr>
          <w:color w:val="auto"/>
          <w:highlight w:val="none"/>
        </w:rPr>
      </w:pPr>
    </w:p>
    <w:p w14:paraId="5CCD3501">
      <w:pPr>
        <w:pStyle w:val="14"/>
        <w:rPr>
          <w:color w:val="auto"/>
          <w:highlight w:val="none"/>
        </w:rPr>
      </w:pPr>
    </w:p>
    <w:p w14:paraId="59938017">
      <w:pPr>
        <w:spacing w:line="360" w:lineRule="auto"/>
        <w:jc w:val="center"/>
        <w:rPr>
          <w:rFonts w:ascii="仿宋" w:hAnsi="仿宋" w:eastAsia="仿宋"/>
          <w:b/>
          <w:color w:val="auto"/>
          <w:sz w:val="48"/>
          <w:szCs w:val="48"/>
          <w:highlight w:val="none"/>
        </w:rPr>
      </w:pPr>
      <w:r>
        <w:rPr>
          <w:rFonts w:hint="eastAsia" w:ascii="仿宋" w:hAnsi="仿宋" w:eastAsia="仿宋"/>
          <w:b/>
          <w:color w:val="auto"/>
          <w:sz w:val="48"/>
          <w:szCs w:val="48"/>
          <w:highlight w:val="none"/>
        </w:rPr>
        <w:t>合  同  书</w:t>
      </w:r>
    </w:p>
    <w:p w14:paraId="4E1A53FB">
      <w:pPr>
        <w:spacing w:line="360" w:lineRule="auto"/>
        <w:rPr>
          <w:rFonts w:ascii="仿宋" w:hAnsi="仿宋" w:eastAsia="仿宋"/>
          <w:color w:val="auto"/>
          <w:highlight w:val="none"/>
        </w:rPr>
      </w:pPr>
    </w:p>
    <w:p w14:paraId="43EBCCD0">
      <w:pPr>
        <w:pStyle w:val="14"/>
        <w:rPr>
          <w:color w:val="auto"/>
          <w:highlight w:val="none"/>
        </w:rPr>
      </w:pPr>
    </w:p>
    <w:p w14:paraId="250B67BA">
      <w:pPr>
        <w:spacing w:line="360" w:lineRule="auto"/>
        <w:rPr>
          <w:rFonts w:ascii="仿宋" w:hAnsi="仿宋" w:eastAsia="仿宋"/>
          <w:color w:val="auto"/>
          <w:highlight w:val="none"/>
        </w:rPr>
      </w:pPr>
    </w:p>
    <w:p w14:paraId="37765A3B">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采购编号：</w:t>
      </w:r>
    </w:p>
    <w:p w14:paraId="1768CE63">
      <w:pPr>
        <w:spacing w:line="360" w:lineRule="auto"/>
        <w:ind w:left="850" w:leftChars="405"/>
        <w:rPr>
          <w:rFonts w:ascii="仿宋" w:hAnsi="仿宋" w:eastAsia="仿宋"/>
          <w:b/>
          <w:bCs/>
          <w:color w:val="auto"/>
          <w:kern w:val="0"/>
          <w:sz w:val="30"/>
          <w:szCs w:val="30"/>
          <w:highlight w:val="none"/>
          <w:u w:val="single"/>
        </w:rPr>
      </w:pPr>
      <w:r>
        <w:rPr>
          <w:rFonts w:hint="eastAsia" w:ascii="仿宋" w:hAnsi="仿宋" w:eastAsia="仿宋"/>
          <w:color w:val="auto"/>
          <w:sz w:val="32"/>
          <w:szCs w:val="32"/>
          <w:highlight w:val="none"/>
        </w:rPr>
        <w:t>合同编号：</w:t>
      </w:r>
    </w:p>
    <w:p w14:paraId="1E22A300">
      <w:pPr>
        <w:spacing w:line="360" w:lineRule="auto"/>
        <w:ind w:left="850" w:leftChars="405"/>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包    号：</w:t>
      </w:r>
    </w:p>
    <w:p w14:paraId="7EE7381F">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合同买方：</w:t>
      </w:r>
    </w:p>
    <w:p w14:paraId="1F37CA28">
      <w:pPr>
        <w:spacing w:line="360" w:lineRule="auto"/>
        <w:ind w:left="850" w:leftChars="405"/>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合同卖方：</w:t>
      </w:r>
    </w:p>
    <w:p w14:paraId="2B0CC16C">
      <w:pPr>
        <w:spacing w:line="360" w:lineRule="auto"/>
        <w:ind w:left="850" w:leftChars="405"/>
        <w:rPr>
          <w:rFonts w:ascii="仿宋" w:hAnsi="仿宋" w:eastAsia="仿宋"/>
          <w:color w:val="auto"/>
          <w:sz w:val="32"/>
          <w:szCs w:val="32"/>
          <w:highlight w:val="none"/>
        </w:rPr>
      </w:pPr>
    </w:p>
    <w:p w14:paraId="7D5AA1F6">
      <w:pPr>
        <w:rPr>
          <w:rFonts w:ascii="仿宋" w:hAnsi="仿宋" w:eastAsia="仿宋"/>
          <w:color w:val="auto"/>
          <w:sz w:val="32"/>
          <w:szCs w:val="32"/>
          <w:highlight w:val="none"/>
        </w:rPr>
      </w:pPr>
    </w:p>
    <w:p w14:paraId="26143CB7">
      <w:pPr>
        <w:rPr>
          <w:rFonts w:ascii="仿宋" w:hAnsi="仿宋" w:eastAsia="仿宋"/>
          <w:color w:val="auto"/>
          <w:sz w:val="32"/>
          <w:szCs w:val="32"/>
          <w:highlight w:val="none"/>
        </w:rPr>
      </w:pPr>
    </w:p>
    <w:p w14:paraId="487B8CD8">
      <w:pPr>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二○二</w:t>
      </w:r>
      <w:r>
        <w:rPr>
          <w:rFonts w:hint="eastAsia" w:ascii="仿宋" w:hAnsi="仿宋" w:eastAsia="仿宋"/>
          <w:color w:val="auto"/>
          <w:sz w:val="32"/>
          <w:szCs w:val="32"/>
          <w:highlight w:val="none"/>
          <w:lang w:val="en-US" w:eastAsia="zh-CN"/>
        </w:rPr>
        <w:t>四</w:t>
      </w:r>
      <w:r>
        <w:rPr>
          <w:rFonts w:hint="eastAsia" w:ascii="仿宋" w:hAnsi="仿宋" w:eastAsia="仿宋"/>
          <w:color w:val="auto"/>
          <w:sz w:val="32"/>
          <w:szCs w:val="32"/>
          <w:highlight w:val="none"/>
        </w:rPr>
        <w:t>年  月</w:t>
      </w:r>
    </w:p>
    <w:p w14:paraId="474F4423">
      <w:pPr>
        <w:ind w:firstLine="560"/>
        <w:rPr>
          <w:rFonts w:ascii="仿宋" w:hAnsi="仿宋" w:eastAsia="仿宋"/>
          <w:color w:val="auto"/>
          <w:highlight w:val="none"/>
        </w:rPr>
      </w:pPr>
    </w:p>
    <w:p w14:paraId="30B12BF4">
      <w:pPr>
        <w:widowControl/>
        <w:rPr>
          <w:rFonts w:ascii="仿宋" w:hAnsi="仿宋" w:eastAsia="仿宋"/>
          <w:color w:val="auto"/>
          <w:highlight w:val="none"/>
        </w:rPr>
        <w:sectPr>
          <w:footerReference r:id="rId9" w:type="default"/>
          <w:pgSz w:w="11906" w:h="16838"/>
          <w:pgMar w:top="1361" w:right="1417" w:bottom="1361" w:left="1418" w:header="851" w:footer="973" w:gutter="0"/>
          <w:pgNumType w:fmt="decimal"/>
          <w:cols w:space="720" w:num="1"/>
        </w:sectPr>
      </w:pPr>
    </w:p>
    <w:p w14:paraId="7BFCB935">
      <w:pPr>
        <w:adjustRightInd w:val="0"/>
        <w:snapToGrid w:val="0"/>
        <w:spacing w:line="460" w:lineRule="exact"/>
        <w:rPr>
          <w:rFonts w:ascii="仿宋" w:hAnsi="仿宋" w:eastAsia="仿宋"/>
          <w:color w:val="auto"/>
          <w:sz w:val="24"/>
          <w:highlight w:val="none"/>
          <w:u w:val="single"/>
        </w:rPr>
      </w:pPr>
      <w:r>
        <w:rPr>
          <w:rFonts w:hint="eastAsia" w:ascii="仿宋" w:hAnsi="仿宋" w:eastAsia="仿宋"/>
          <w:color w:val="auto"/>
          <w:sz w:val="24"/>
          <w:highlight w:val="none"/>
        </w:rPr>
        <w:t>买方：</w:t>
      </w:r>
    </w:p>
    <w:p w14:paraId="29CF53AD">
      <w:pPr>
        <w:adjustRightInd w:val="0"/>
        <w:snapToGrid w:val="0"/>
        <w:spacing w:line="460" w:lineRule="exact"/>
        <w:rPr>
          <w:rFonts w:ascii="仿宋" w:hAnsi="仿宋" w:eastAsia="仿宋"/>
          <w:color w:val="auto"/>
          <w:sz w:val="24"/>
          <w:highlight w:val="none"/>
          <w:u w:val="single"/>
        </w:rPr>
      </w:pPr>
      <w:r>
        <w:rPr>
          <w:rFonts w:hint="eastAsia" w:ascii="仿宋" w:hAnsi="仿宋" w:eastAsia="仿宋"/>
          <w:color w:val="auto"/>
          <w:sz w:val="24"/>
          <w:highlight w:val="none"/>
        </w:rPr>
        <w:t>卖方：</w:t>
      </w:r>
    </w:p>
    <w:p w14:paraId="5A2465CB">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买、卖双方同意按照下面条款和条件，签署本合同。</w:t>
      </w:r>
    </w:p>
    <w:p w14:paraId="53DF74F1">
      <w:pPr>
        <w:tabs>
          <w:tab w:val="left" w:pos="2913"/>
        </w:tabs>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一、合同文件</w:t>
      </w:r>
      <w:r>
        <w:rPr>
          <w:rFonts w:ascii="仿宋" w:hAnsi="仿宋" w:eastAsia="仿宋"/>
          <w:b/>
          <w:bCs/>
          <w:color w:val="auto"/>
          <w:sz w:val="24"/>
          <w:highlight w:val="none"/>
        </w:rPr>
        <w:tab/>
      </w:r>
    </w:p>
    <w:p w14:paraId="2C9204BD">
      <w:pPr>
        <w:adjustRightInd w:val="0"/>
        <w:snapToGrid w:val="0"/>
        <w:spacing w:line="460" w:lineRule="exact"/>
        <w:ind w:left="521" w:leftChars="134" w:hanging="240" w:hangingChars="100"/>
        <w:rPr>
          <w:rFonts w:ascii="仿宋" w:hAnsi="仿宋" w:eastAsia="仿宋"/>
          <w:color w:val="auto"/>
          <w:sz w:val="24"/>
          <w:highlight w:val="none"/>
        </w:rPr>
      </w:pPr>
      <w:r>
        <w:rPr>
          <w:rFonts w:hint="eastAsia" w:ascii="仿宋" w:hAnsi="仿宋" w:eastAsia="仿宋"/>
          <w:color w:val="auto"/>
          <w:sz w:val="24"/>
          <w:highlight w:val="none"/>
        </w:rPr>
        <w:t>下列文件构成本合同的组成部分：</w:t>
      </w:r>
    </w:p>
    <w:p w14:paraId="6620BED7">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（一）中标通知书</w:t>
      </w:r>
    </w:p>
    <w:p w14:paraId="16AD7603">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（二）合同主要条款</w:t>
      </w:r>
    </w:p>
    <w:p w14:paraId="2D8177E2">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（三）招投标文件</w:t>
      </w:r>
    </w:p>
    <w:p w14:paraId="11533344">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w:t>
      </w:r>
      <w:r>
        <w:rPr>
          <w:rFonts w:hint="eastAsia" w:eastAsia="仿宋"/>
          <w:color w:val="auto"/>
          <w:sz w:val="24"/>
          <w:highlight w:val="none"/>
          <w:lang w:val="en-US" w:eastAsia="zh-CN"/>
        </w:rPr>
        <w:t>四</w:t>
      </w:r>
      <w:r>
        <w:rPr>
          <w:rFonts w:eastAsia="仿宋"/>
          <w:color w:val="auto"/>
          <w:sz w:val="24"/>
          <w:highlight w:val="none"/>
        </w:rPr>
        <w:t>）卖方承诺函</w:t>
      </w:r>
    </w:p>
    <w:p w14:paraId="1AE3D510">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w:t>
      </w:r>
      <w:r>
        <w:rPr>
          <w:rFonts w:hint="eastAsia" w:eastAsia="仿宋"/>
          <w:color w:val="auto"/>
          <w:sz w:val="24"/>
          <w:highlight w:val="none"/>
          <w:lang w:val="en-US" w:eastAsia="zh-CN"/>
        </w:rPr>
        <w:t>五</w:t>
      </w:r>
      <w:r>
        <w:rPr>
          <w:rFonts w:eastAsia="仿宋"/>
          <w:color w:val="auto"/>
          <w:sz w:val="24"/>
          <w:highlight w:val="none"/>
        </w:rPr>
        <w:t>）合同补充条款或说明（如有）。</w:t>
      </w:r>
    </w:p>
    <w:p w14:paraId="3413987D">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二、合同总价</w:t>
      </w:r>
    </w:p>
    <w:p w14:paraId="6F26CA4B">
      <w:pPr>
        <w:adjustRightInd w:val="0"/>
        <w:snapToGrid w:val="0"/>
        <w:spacing w:line="360" w:lineRule="exact"/>
        <w:ind w:firstLine="723" w:firstLineChars="300"/>
        <w:jc w:val="left"/>
        <w:rPr>
          <w:b/>
          <w:bCs/>
          <w:color w:val="auto"/>
          <w:sz w:val="24"/>
          <w:highlight w:val="none"/>
        </w:rPr>
      </w:pPr>
      <w:r>
        <w:rPr>
          <w:rFonts w:eastAsia="仿宋"/>
          <w:b/>
          <w:bCs/>
          <w:color w:val="auto"/>
          <w:sz w:val="24"/>
          <w:highlight w:val="none"/>
        </w:rPr>
        <w:t>本合同总价为¥</w:t>
      </w:r>
      <w:r>
        <w:rPr>
          <w:rFonts w:hint="eastAsia" w:eastAsia="仿宋"/>
          <w:b/>
          <w:bCs/>
          <w:color w:val="auto"/>
          <w:sz w:val="24"/>
          <w:highlight w:val="none"/>
          <w:u w:val="single"/>
          <w:lang w:val="en-US" w:eastAsia="zh-CN"/>
        </w:rPr>
        <w:t xml:space="preserve">  </w:t>
      </w:r>
      <w:r>
        <w:rPr>
          <w:rFonts w:eastAsia="仿宋"/>
          <w:b/>
          <w:bCs/>
          <w:color w:val="auto"/>
          <w:sz w:val="24"/>
          <w:highlight w:val="none"/>
          <w:u w:val="single"/>
        </w:rPr>
        <w:t>元</w:t>
      </w:r>
      <w:r>
        <w:rPr>
          <w:rFonts w:eastAsia="仿宋"/>
          <w:b/>
          <w:bCs/>
          <w:color w:val="auto"/>
          <w:sz w:val="24"/>
          <w:highlight w:val="none"/>
        </w:rPr>
        <w:t>。</w:t>
      </w:r>
    </w:p>
    <w:p w14:paraId="2616AA01">
      <w:pPr>
        <w:adjustRightInd w:val="0"/>
        <w:snapToGrid w:val="0"/>
        <w:spacing w:line="460" w:lineRule="exact"/>
        <w:ind w:firstLine="723" w:firstLineChars="300"/>
        <w:jc w:val="left"/>
        <w:rPr>
          <w:color w:val="auto"/>
          <w:sz w:val="24"/>
          <w:highlight w:val="none"/>
        </w:rPr>
      </w:pPr>
      <w:r>
        <w:rPr>
          <w:rFonts w:eastAsia="仿宋"/>
          <w:b/>
          <w:bCs/>
          <w:color w:val="auto"/>
          <w:sz w:val="24"/>
          <w:highlight w:val="none"/>
        </w:rPr>
        <w:t>人民币</w:t>
      </w:r>
      <w:r>
        <w:rPr>
          <w:rFonts w:eastAsia="仿宋"/>
          <w:b/>
          <w:bCs/>
          <w:color w:val="auto"/>
          <w:sz w:val="24"/>
          <w:highlight w:val="none"/>
          <w:u w:val="single"/>
        </w:rPr>
        <w:t>（</w:t>
      </w:r>
      <w:r>
        <w:rPr>
          <w:rFonts w:eastAsia="仿宋"/>
          <w:b/>
          <w:bCs/>
          <w:color w:val="auto"/>
          <w:sz w:val="24"/>
          <w:highlight w:val="none"/>
        </w:rPr>
        <w:t>大写）</w:t>
      </w:r>
      <w:r>
        <w:rPr>
          <w:rFonts w:hint="eastAsia" w:eastAsia="仿宋"/>
          <w:b/>
          <w:bCs/>
          <w:color w:val="auto"/>
          <w:sz w:val="24"/>
          <w:highlight w:val="none"/>
          <w:u w:val="single"/>
          <w:lang w:val="en-US" w:eastAsia="zh-CN"/>
        </w:rPr>
        <w:t xml:space="preserve">    </w:t>
      </w:r>
      <w:r>
        <w:rPr>
          <w:rFonts w:eastAsia="仿宋"/>
          <w:b/>
          <w:bCs/>
          <w:color w:val="auto"/>
          <w:sz w:val="24"/>
          <w:highlight w:val="none"/>
          <w:u w:val="single"/>
        </w:rPr>
        <w:t>整</w:t>
      </w:r>
      <w:r>
        <w:rPr>
          <w:rFonts w:eastAsia="仿宋"/>
          <w:b/>
          <w:bCs/>
          <w:color w:val="auto"/>
          <w:sz w:val="24"/>
          <w:highlight w:val="none"/>
        </w:rPr>
        <w:t>。</w:t>
      </w:r>
      <w:r>
        <w:rPr>
          <w:rFonts w:eastAsia="仿宋"/>
          <w:bCs/>
          <w:color w:val="auto"/>
          <w:sz w:val="24"/>
          <w:highlight w:val="none"/>
        </w:rPr>
        <w:t>（合同总价包含所有货物、材料、运输、转运、辅材、安装、施工、调试、验收、培训、现场回访、实地巡检、税金、招标代理服务费等费用，除此之外，买方无须支付任何费用。）</w:t>
      </w:r>
    </w:p>
    <w:p w14:paraId="7E37DF85">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三、付款方式</w:t>
      </w:r>
    </w:p>
    <w:p w14:paraId="14DE87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签订后，买方先支付合同金额30%的进度款（卖方须提供同等金额支付凭据），待交货验收、结算审计等相关手续履行完毕后，买方根据验收单和全额发票（合同金额）支付剩余购置款（剩余购置款金额=结算审计金额-合同金额30%的进度款），如中标人未开具符合买方要求的合格、正式的发票，买方有权拒付购置款。</w:t>
      </w:r>
    </w:p>
    <w:p w14:paraId="089718AB">
      <w:pPr>
        <w:adjustRightInd w:val="0"/>
        <w:snapToGrid w:val="0"/>
        <w:spacing w:line="460" w:lineRule="exact"/>
        <w:ind w:left="0" w:firstLine="482" w:firstLineChars="200"/>
        <w:jc w:val="left"/>
        <w:rPr>
          <w:rFonts w:ascii="仿宋" w:hAnsi="仿宋" w:eastAsia="仿宋"/>
          <w:b/>
          <w:color w:val="auto"/>
          <w:sz w:val="24"/>
          <w:highlight w:val="none"/>
        </w:rPr>
      </w:pPr>
      <w:r>
        <w:rPr>
          <w:rFonts w:hint="eastAsia" w:ascii="仿宋" w:hAnsi="仿宋" w:eastAsia="仿宋"/>
          <w:b/>
          <w:bCs/>
          <w:color w:val="auto"/>
          <w:sz w:val="24"/>
          <w:highlight w:val="none"/>
        </w:rPr>
        <w:t>四、</w:t>
      </w:r>
      <w:r>
        <w:rPr>
          <w:rFonts w:hint="eastAsia" w:ascii="仿宋" w:hAnsi="仿宋" w:eastAsia="仿宋"/>
          <w:b/>
          <w:color w:val="auto"/>
          <w:sz w:val="24"/>
          <w:highlight w:val="none"/>
        </w:rPr>
        <w:t>履约保证金</w:t>
      </w:r>
    </w:p>
    <w:p w14:paraId="484A0719">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履约保证金在质保期满后，无任何问题，且无合同纠纷的，</w:t>
      </w:r>
      <w:r>
        <w:rPr>
          <w:rFonts w:hint="eastAsia" w:ascii="仿宋" w:hAnsi="仿宋" w:eastAsia="仿宋"/>
          <w:color w:val="auto"/>
          <w:sz w:val="24"/>
          <w:highlight w:val="none"/>
          <w:lang w:eastAsia="zh-CN"/>
        </w:rPr>
        <w:t>经卖方书面申请，</w:t>
      </w:r>
      <w:r>
        <w:rPr>
          <w:rFonts w:eastAsia="仿宋"/>
          <w:color w:val="auto"/>
          <w:sz w:val="24"/>
          <w:highlight w:val="none"/>
        </w:rPr>
        <w:t>无息退还履约保证金（质保期以卖方实际响应为准）</w:t>
      </w:r>
      <w:r>
        <w:rPr>
          <w:rFonts w:hint="eastAsia" w:eastAsia="仿宋"/>
          <w:color w:val="auto"/>
          <w:sz w:val="24"/>
          <w:highlight w:val="none"/>
        </w:rPr>
        <w:t>。</w:t>
      </w:r>
      <w:r>
        <w:rPr>
          <w:rFonts w:eastAsia="仿宋"/>
          <w:color w:val="auto"/>
          <w:sz w:val="24"/>
          <w:highlight w:val="none"/>
        </w:rPr>
        <w:t>以保函形式递交履约保证金的，保函有效期需至质保期结束，质保期结束后保函自动作废，但卖方尚应配合买方履行书面手续，为买方财务部门及时处理账务提供书面依据。</w:t>
      </w:r>
    </w:p>
    <w:p w14:paraId="40C87998">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五、运输及保险</w:t>
      </w:r>
    </w:p>
    <w:p w14:paraId="38623EF6">
      <w:pPr>
        <w:adjustRightInd w:val="0"/>
        <w:snapToGrid w:val="0"/>
        <w:spacing w:line="360" w:lineRule="exact"/>
        <w:ind w:firstLine="480" w:firstLineChars="200"/>
        <w:jc w:val="left"/>
        <w:rPr>
          <w:rFonts w:eastAsia="仿宋"/>
          <w:b/>
          <w:bCs/>
          <w:color w:val="auto"/>
          <w:sz w:val="24"/>
          <w:highlight w:val="none"/>
        </w:rPr>
      </w:pPr>
      <w:r>
        <w:rPr>
          <w:rFonts w:hint="eastAsia" w:eastAsia="仿宋"/>
          <w:bCs/>
          <w:color w:val="auto"/>
          <w:sz w:val="24"/>
          <w:highlight w:val="none"/>
        </w:rPr>
        <w:t>货物</w:t>
      </w:r>
      <w:r>
        <w:rPr>
          <w:rFonts w:eastAsia="仿宋"/>
          <w:bCs/>
          <w:color w:val="auto"/>
          <w:sz w:val="24"/>
          <w:highlight w:val="none"/>
        </w:rPr>
        <w:t>包装应防潮、防水、防锈、防尘、防震、隔热、贴体，货物运输方式不限，运输、搬运及保险所有费用均</w:t>
      </w:r>
      <w:r>
        <w:rPr>
          <w:rFonts w:hint="eastAsia" w:eastAsia="仿宋"/>
          <w:bCs/>
          <w:color w:val="auto"/>
          <w:sz w:val="24"/>
          <w:highlight w:val="none"/>
        </w:rPr>
        <w:t>由</w:t>
      </w:r>
      <w:r>
        <w:rPr>
          <w:rFonts w:eastAsia="仿宋"/>
          <w:bCs/>
          <w:color w:val="auto"/>
          <w:sz w:val="24"/>
          <w:highlight w:val="none"/>
        </w:rPr>
        <w:t>卖方承担。</w:t>
      </w:r>
    </w:p>
    <w:p w14:paraId="5D3576F8">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六、交货期限及地点</w:t>
      </w:r>
    </w:p>
    <w:p w14:paraId="1152A1F2">
      <w:pPr>
        <w:adjustRightInd w:val="0"/>
        <w:snapToGrid w:val="0"/>
        <w:spacing w:line="460" w:lineRule="exact"/>
        <w:ind w:firstLine="480" w:firstLineChars="200"/>
        <w:jc w:val="left"/>
        <w:rPr>
          <w:color w:val="auto"/>
          <w:highlight w:val="none"/>
        </w:rPr>
      </w:pPr>
      <w:r>
        <w:rPr>
          <w:rFonts w:hint="eastAsia" w:eastAsia="仿宋"/>
          <w:color w:val="auto"/>
          <w:sz w:val="24"/>
          <w:highlight w:val="none"/>
        </w:rPr>
        <w:t>时间：</w:t>
      </w:r>
      <w:r>
        <w:rPr>
          <w:rFonts w:hint="eastAsia" w:eastAsia="仿宋"/>
          <w:color w:val="auto"/>
          <w:sz w:val="24"/>
          <w:highlight w:val="none"/>
          <w:lang w:eastAsia="zh-CN"/>
        </w:rPr>
        <w:t xml:space="preserve">自合同签订生效之日起 </w:t>
      </w:r>
      <w:r>
        <w:rPr>
          <w:rFonts w:hint="eastAsia" w:eastAsia="仿宋"/>
          <w:color w:val="auto"/>
          <w:sz w:val="24"/>
          <w:highlight w:val="none"/>
          <w:lang w:val="en-US" w:eastAsia="zh-CN"/>
        </w:rPr>
        <w:t>5</w:t>
      </w:r>
      <w:r>
        <w:rPr>
          <w:rFonts w:hint="eastAsia" w:eastAsia="仿宋"/>
          <w:color w:val="auto"/>
          <w:sz w:val="24"/>
          <w:highlight w:val="none"/>
          <w:lang w:eastAsia="zh-CN"/>
        </w:rPr>
        <w:t xml:space="preserve"> 个月</w:t>
      </w:r>
      <w:r>
        <w:rPr>
          <w:rFonts w:hint="eastAsia" w:eastAsia="仿宋"/>
          <w:color w:val="auto"/>
          <w:sz w:val="24"/>
          <w:highlight w:val="none"/>
        </w:rPr>
        <w:t>内必须将所投</w:t>
      </w:r>
      <w:r>
        <w:rPr>
          <w:rFonts w:hint="eastAsia" w:eastAsia="仿宋"/>
          <w:color w:val="auto"/>
          <w:sz w:val="24"/>
          <w:highlight w:val="none"/>
          <w:lang w:val="en-US" w:eastAsia="zh-CN"/>
        </w:rPr>
        <w:t>车辆</w:t>
      </w:r>
      <w:r>
        <w:rPr>
          <w:rFonts w:hint="eastAsia" w:eastAsia="仿宋"/>
          <w:color w:val="auto"/>
          <w:sz w:val="24"/>
          <w:highlight w:val="none"/>
        </w:rPr>
        <w:t>送到江西省消防救援总队指定地点（以</w:t>
      </w:r>
      <w:r>
        <w:rPr>
          <w:rFonts w:hint="eastAsia" w:eastAsia="仿宋"/>
          <w:color w:val="auto"/>
          <w:sz w:val="24"/>
          <w:highlight w:val="none"/>
          <w:lang w:val="en-US" w:eastAsia="zh-CN"/>
        </w:rPr>
        <w:t>买方</w:t>
      </w:r>
      <w:r>
        <w:rPr>
          <w:rFonts w:hint="eastAsia" w:eastAsia="仿宋"/>
          <w:color w:val="auto"/>
          <w:sz w:val="24"/>
          <w:highlight w:val="none"/>
        </w:rPr>
        <w:t>到货签收时间作为交货时间），验收合格后由</w:t>
      </w:r>
      <w:r>
        <w:rPr>
          <w:rFonts w:hint="eastAsia" w:eastAsia="仿宋"/>
          <w:color w:val="auto"/>
          <w:sz w:val="24"/>
          <w:highlight w:val="none"/>
          <w:lang w:val="en-US" w:eastAsia="zh-CN"/>
        </w:rPr>
        <w:t>卖方</w:t>
      </w:r>
      <w:r>
        <w:rPr>
          <w:rFonts w:hint="eastAsia" w:eastAsia="仿宋"/>
          <w:color w:val="auto"/>
          <w:sz w:val="24"/>
          <w:highlight w:val="none"/>
        </w:rPr>
        <w:t>配送至各消防救援支队或消防救援大队指定地点。</w:t>
      </w:r>
    </w:p>
    <w:p w14:paraId="0A524227">
      <w:pPr>
        <w:adjustRightInd w:val="0"/>
        <w:snapToGrid w:val="0"/>
        <w:spacing w:line="460" w:lineRule="exact"/>
        <w:ind w:firstLine="480" w:firstLineChars="200"/>
        <w:jc w:val="left"/>
        <w:rPr>
          <w:rFonts w:hint="eastAsia" w:eastAsia="仿宋"/>
          <w:color w:val="auto"/>
          <w:sz w:val="24"/>
          <w:highlight w:val="none"/>
          <w:lang w:eastAsia="zh-CN"/>
        </w:rPr>
      </w:pPr>
      <w:r>
        <w:rPr>
          <w:rFonts w:hint="eastAsia" w:eastAsia="仿宋"/>
          <w:color w:val="auto"/>
          <w:sz w:val="24"/>
          <w:highlight w:val="none"/>
        </w:rPr>
        <w:t>地点：先送到江西省消防救援总队指定地点进行验收，验收通过后再配送至各消防救援支队或消防救援大队指定地点。</w:t>
      </w:r>
    </w:p>
    <w:p w14:paraId="5D7033A9">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卖方联系人：</w:t>
      </w:r>
    </w:p>
    <w:p w14:paraId="7D53404A">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七、合同生效</w:t>
      </w:r>
    </w:p>
    <w:p w14:paraId="2D39E1DA">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本合同经双方授权代表签</w:t>
      </w:r>
      <w:r>
        <w:rPr>
          <w:rFonts w:hint="eastAsia" w:ascii="仿宋" w:hAnsi="仿宋" w:eastAsia="仿宋"/>
          <w:color w:val="auto"/>
          <w:sz w:val="24"/>
          <w:highlight w:val="none"/>
          <w:lang w:val="en-US" w:eastAsia="zh-CN"/>
        </w:rPr>
        <w:t>字并盖章之日起</w:t>
      </w:r>
      <w:r>
        <w:rPr>
          <w:rFonts w:hint="eastAsia" w:ascii="仿宋" w:hAnsi="仿宋" w:eastAsia="仿宋"/>
          <w:color w:val="auto"/>
          <w:sz w:val="24"/>
          <w:highlight w:val="none"/>
        </w:rPr>
        <w:t>生效。</w:t>
      </w:r>
    </w:p>
    <w:p w14:paraId="41047E98">
      <w:pPr>
        <w:pStyle w:val="14"/>
        <w:spacing w:line="460" w:lineRule="exact"/>
        <w:ind w:left="1260" w:hanging="420"/>
        <w:rPr>
          <w:color w:val="auto"/>
          <w:highlight w:val="none"/>
        </w:rPr>
      </w:pPr>
    </w:p>
    <w:p w14:paraId="7BCC4051">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买方：（盖章）                            卖方：（盖章）</w:t>
      </w:r>
    </w:p>
    <w:p w14:paraId="7C5C1C23">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授权代表：（签字）                        授权代表：（签字）</w:t>
      </w:r>
    </w:p>
    <w:p w14:paraId="59EEDEE9">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地址：江西省南昌市西湖区洪城路966号      地址：</w:t>
      </w:r>
    </w:p>
    <w:p w14:paraId="3A16553D">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邮政编码：330009                          邮政编码：</w:t>
      </w:r>
    </w:p>
    <w:p w14:paraId="2E40645C">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电话：0791-86558420                       电话：</w:t>
      </w:r>
    </w:p>
    <w:p w14:paraId="17029B43">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传真：0791-86558777                       传真：</w:t>
      </w:r>
    </w:p>
    <w:p w14:paraId="525064B4">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开户银行：中国银行南昌市大桥支行          开户银行：</w:t>
      </w:r>
    </w:p>
    <w:p w14:paraId="236E5E49">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开户名称：江西省消防救援总队              开户名称：</w:t>
      </w:r>
    </w:p>
    <w:p w14:paraId="1ACEC70B">
      <w:pPr>
        <w:adjustRightInd w:val="0"/>
        <w:snapToGrid w:val="0"/>
        <w:spacing w:line="460" w:lineRule="exact"/>
        <w:rPr>
          <w:rFonts w:hint="eastAsia" w:ascii="仿宋" w:hAnsi="仿宋" w:eastAsia="仿宋"/>
          <w:color w:val="auto"/>
          <w:sz w:val="24"/>
          <w:highlight w:val="none"/>
        </w:rPr>
      </w:pPr>
      <w:r>
        <w:rPr>
          <w:rFonts w:hint="eastAsia" w:ascii="仿宋" w:hAnsi="仿宋" w:eastAsia="仿宋"/>
          <w:color w:val="auto"/>
          <w:sz w:val="24"/>
          <w:highlight w:val="none"/>
        </w:rPr>
        <w:t>帐号：200706347965                        帐号：</w:t>
      </w:r>
    </w:p>
    <w:p w14:paraId="42C6DBF5">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日期：     年   月   日                   日期：     年   月   日</w:t>
      </w:r>
    </w:p>
    <w:p w14:paraId="53D3F85C">
      <w:pPr>
        <w:widowControl/>
        <w:spacing w:line="500" w:lineRule="atLeast"/>
        <w:rPr>
          <w:rFonts w:ascii="仿宋" w:hAnsi="仿宋" w:eastAsia="仿宋"/>
          <w:b/>
          <w:bCs/>
          <w:snapToGrid w:val="0"/>
          <w:color w:val="auto"/>
          <w:kern w:val="0"/>
          <w:sz w:val="28"/>
          <w:szCs w:val="28"/>
          <w:highlight w:val="none"/>
        </w:rPr>
        <w:sectPr>
          <w:footerReference r:id="rId10" w:type="default"/>
          <w:pgSz w:w="11906" w:h="16838"/>
          <w:pgMar w:top="1361" w:right="1417" w:bottom="1361" w:left="1418" w:header="851" w:footer="973" w:gutter="0"/>
          <w:pgNumType w:fmt="decimal"/>
          <w:cols w:space="720" w:num="1"/>
        </w:sectPr>
      </w:pPr>
    </w:p>
    <w:p w14:paraId="72D26D9A">
      <w:pPr>
        <w:spacing w:line="560" w:lineRule="atLeast"/>
        <w:jc w:val="center"/>
        <w:rPr>
          <w:rFonts w:ascii="仿宋" w:hAnsi="仿宋" w:eastAsia="仿宋"/>
          <w:b/>
          <w:bCs/>
          <w:snapToGrid w:val="0"/>
          <w:color w:val="auto"/>
          <w:sz w:val="28"/>
          <w:szCs w:val="28"/>
          <w:highlight w:val="none"/>
        </w:rPr>
      </w:pPr>
      <w:r>
        <w:rPr>
          <w:rFonts w:hint="eastAsia" w:ascii="仿宋" w:hAnsi="仿宋" w:eastAsia="仿宋"/>
          <w:b/>
          <w:bCs/>
          <w:snapToGrid w:val="0"/>
          <w:color w:val="auto"/>
          <w:sz w:val="28"/>
          <w:szCs w:val="28"/>
          <w:highlight w:val="none"/>
        </w:rPr>
        <w:t>购置合同主要条款</w:t>
      </w:r>
    </w:p>
    <w:p w14:paraId="152ACCA2">
      <w:pPr>
        <w:spacing w:line="460" w:lineRule="exact"/>
        <w:rPr>
          <w:rFonts w:ascii="仿宋" w:hAnsi="仿宋" w:eastAsia="仿宋"/>
          <w:b/>
          <w:bCs/>
          <w:snapToGrid w:val="0"/>
          <w:color w:val="auto"/>
          <w:sz w:val="24"/>
          <w:highlight w:val="none"/>
        </w:rPr>
      </w:pPr>
      <w:r>
        <w:rPr>
          <w:rFonts w:hint="eastAsia" w:ascii="仿宋" w:hAnsi="仿宋" w:eastAsia="仿宋"/>
          <w:b/>
          <w:bCs/>
          <w:snapToGrid w:val="0"/>
          <w:color w:val="auto"/>
          <w:sz w:val="24"/>
          <w:highlight w:val="none"/>
        </w:rPr>
        <w:t>一、</w:t>
      </w:r>
      <w:r>
        <w:rPr>
          <w:rFonts w:hint="eastAsia" w:eastAsia="仿宋"/>
          <w:b/>
          <w:color w:val="auto"/>
          <w:sz w:val="24"/>
          <w:highlight w:val="none"/>
        </w:rPr>
        <w:t>品目</w:t>
      </w:r>
      <w:r>
        <w:rPr>
          <w:rFonts w:eastAsia="仿宋"/>
          <w:b/>
          <w:color w:val="auto"/>
          <w:sz w:val="24"/>
          <w:highlight w:val="none"/>
        </w:rPr>
        <w:t>名称、型号、单价及金额等一览表</w:t>
      </w:r>
    </w:p>
    <w:tbl>
      <w:tblPr>
        <w:tblStyle w:val="44"/>
        <w:tblpPr w:leftFromText="180" w:rightFromText="180" w:vertAnchor="text" w:horzAnchor="margin" w:tblpXSpec="center" w:tblpY="309"/>
        <w:tblOverlap w:val="neve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2034"/>
        <w:gridCol w:w="1163"/>
        <w:gridCol w:w="1545"/>
        <w:gridCol w:w="2466"/>
        <w:gridCol w:w="1520"/>
      </w:tblGrid>
      <w:tr w14:paraId="01509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1127" w:type="dxa"/>
            <w:vAlign w:val="center"/>
          </w:tcPr>
          <w:p w14:paraId="19B5CE3D">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包号</w:t>
            </w:r>
          </w:p>
        </w:tc>
        <w:tc>
          <w:tcPr>
            <w:tcW w:w="2034" w:type="dxa"/>
            <w:vAlign w:val="center"/>
          </w:tcPr>
          <w:p w14:paraId="06735180">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品目名称</w:t>
            </w:r>
          </w:p>
        </w:tc>
        <w:tc>
          <w:tcPr>
            <w:tcW w:w="1163" w:type="dxa"/>
            <w:vAlign w:val="center"/>
          </w:tcPr>
          <w:p w14:paraId="68403518">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数量</w:t>
            </w:r>
          </w:p>
        </w:tc>
        <w:tc>
          <w:tcPr>
            <w:tcW w:w="1545" w:type="dxa"/>
            <w:vAlign w:val="center"/>
          </w:tcPr>
          <w:p w14:paraId="178EA787">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单价（元）</w:t>
            </w:r>
          </w:p>
        </w:tc>
        <w:tc>
          <w:tcPr>
            <w:tcW w:w="2466" w:type="dxa"/>
            <w:vAlign w:val="center"/>
          </w:tcPr>
          <w:p w14:paraId="1CC43D6C">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品牌/型号</w:t>
            </w:r>
          </w:p>
        </w:tc>
        <w:tc>
          <w:tcPr>
            <w:tcW w:w="1520" w:type="dxa"/>
            <w:vAlign w:val="center"/>
          </w:tcPr>
          <w:p w14:paraId="026733D1">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金额（元）</w:t>
            </w:r>
          </w:p>
        </w:tc>
      </w:tr>
      <w:tr w14:paraId="551B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27" w:type="dxa"/>
            <w:vAlign w:val="center"/>
          </w:tcPr>
          <w:p w14:paraId="11A57E91">
            <w:pPr>
              <w:spacing w:line="460" w:lineRule="exact"/>
              <w:jc w:val="center"/>
              <w:rPr>
                <w:rFonts w:ascii="仿宋" w:hAnsi="仿宋" w:eastAsia="仿宋"/>
                <w:bCs/>
                <w:color w:val="auto"/>
                <w:sz w:val="24"/>
                <w:highlight w:val="none"/>
              </w:rPr>
            </w:pPr>
          </w:p>
        </w:tc>
        <w:tc>
          <w:tcPr>
            <w:tcW w:w="2034" w:type="dxa"/>
            <w:vAlign w:val="center"/>
          </w:tcPr>
          <w:p w14:paraId="11C59509">
            <w:pPr>
              <w:spacing w:line="460" w:lineRule="exact"/>
              <w:jc w:val="center"/>
              <w:rPr>
                <w:rFonts w:ascii="仿宋" w:hAnsi="仿宋" w:eastAsia="仿宋"/>
                <w:bCs/>
                <w:color w:val="auto"/>
                <w:sz w:val="24"/>
                <w:highlight w:val="none"/>
              </w:rPr>
            </w:pPr>
          </w:p>
        </w:tc>
        <w:tc>
          <w:tcPr>
            <w:tcW w:w="1163" w:type="dxa"/>
            <w:vAlign w:val="center"/>
          </w:tcPr>
          <w:p w14:paraId="6E48EABE">
            <w:pPr>
              <w:spacing w:line="460" w:lineRule="exact"/>
              <w:jc w:val="center"/>
              <w:rPr>
                <w:rFonts w:ascii="仿宋" w:hAnsi="仿宋" w:eastAsia="仿宋"/>
                <w:bCs/>
                <w:color w:val="auto"/>
                <w:sz w:val="24"/>
                <w:highlight w:val="none"/>
              </w:rPr>
            </w:pPr>
          </w:p>
        </w:tc>
        <w:tc>
          <w:tcPr>
            <w:tcW w:w="1545" w:type="dxa"/>
            <w:vAlign w:val="center"/>
          </w:tcPr>
          <w:p w14:paraId="18D5FC21">
            <w:pPr>
              <w:spacing w:line="460" w:lineRule="exact"/>
              <w:jc w:val="center"/>
              <w:rPr>
                <w:rFonts w:ascii="仿宋" w:hAnsi="仿宋" w:eastAsia="仿宋"/>
                <w:bCs/>
                <w:color w:val="auto"/>
                <w:sz w:val="24"/>
                <w:highlight w:val="none"/>
              </w:rPr>
            </w:pPr>
          </w:p>
        </w:tc>
        <w:tc>
          <w:tcPr>
            <w:tcW w:w="2466" w:type="dxa"/>
            <w:vAlign w:val="center"/>
          </w:tcPr>
          <w:p w14:paraId="29EBA3D1">
            <w:pPr>
              <w:spacing w:line="460" w:lineRule="exact"/>
              <w:jc w:val="center"/>
              <w:rPr>
                <w:rFonts w:ascii="仿宋" w:hAnsi="仿宋" w:eastAsia="仿宋"/>
                <w:bCs/>
                <w:color w:val="auto"/>
                <w:sz w:val="24"/>
                <w:highlight w:val="none"/>
              </w:rPr>
            </w:pPr>
          </w:p>
        </w:tc>
        <w:tc>
          <w:tcPr>
            <w:tcW w:w="1520" w:type="dxa"/>
            <w:vAlign w:val="center"/>
          </w:tcPr>
          <w:p w14:paraId="5000EA4E">
            <w:pPr>
              <w:spacing w:line="460" w:lineRule="exact"/>
              <w:jc w:val="center"/>
              <w:rPr>
                <w:rFonts w:ascii="仿宋" w:hAnsi="仿宋" w:eastAsia="仿宋"/>
                <w:bCs/>
                <w:color w:val="auto"/>
                <w:sz w:val="24"/>
                <w:highlight w:val="none"/>
              </w:rPr>
            </w:pPr>
          </w:p>
        </w:tc>
      </w:tr>
      <w:tr w14:paraId="23A9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855" w:type="dxa"/>
            <w:gridSpan w:val="6"/>
            <w:vAlign w:val="center"/>
          </w:tcPr>
          <w:p w14:paraId="6A78A438">
            <w:pPr>
              <w:spacing w:line="460" w:lineRule="exact"/>
              <w:rPr>
                <w:rFonts w:ascii="仿宋" w:hAnsi="仿宋" w:eastAsia="仿宋"/>
                <w:b/>
                <w:bCs/>
                <w:color w:val="auto"/>
                <w:sz w:val="24"/>
                <w:highlight w:val="none"/>
              </w:rPr>
            </w:pPr>
            <w:r>
              <w:rPr>
                <w:rFonts w:hint="eastAsia" w:ascii="仿宋" w:hAnsi="仿宋" w:eastAsia="仿宋"/>
                <w:b/>
                <w:bCs/>
                <w:color w:val="auto"/>
                <w:sz w:val="24"/>
                <w:highlight w:val="none"/>
              </w:rPr>
              <w:t>合计金额：元（元整）</w:t>
            </w:r>
          </w:p>
        </w:tc>
      </w:tr>
    </w:tbl>
    <w:p w14:paraId="089BB2D1">
      <w:pPr>
        <w:spacing w:line="460" w:lineRule="exact"/>
        <w:rPr>
          <w:rFonts w:ascii="仿宋" w:hAnsi="仿宋" w:eastAsia="仿宋"/>
          <w:bCs/>
          <w:color w:val="auto"/>
          <w:sz w:val="24"/>
          <w:highlight w:val="none"/>
        </w:rPr>
      </w:pPr>
      <w:r>
        <w:rPr>
          <w:rFonts w:hint="eastAsia" w:ascii="仿宋" w:hAnsi="仿宋" w:eastAsia="仿宋"/>
          <w:bCs/>
          <w:color w:val="auto"/>
          <w:sz w:val="24"/>
          <w:highlight w:val="none"/>
          <w:lang w:eastAsia="zh-CN"/>
        </w:rPr>
        <w:t>▲</w:t>
      </w:r>
      <w:r>
        <w:rPr>
          <w:rFonts w:hint="eastAsia" w:ascii="仿宋" w:hAnsi="仿宋" w:eastAsia="仿宋"/>
          <w:bCs/>
          <w:color w:val="auto"/>
          <w:sz w:val="24"/>
          <w:highlight w:val="none"/>
          <w:lang w:val="en-US" w:eastAsia="zh-CN"/>
        </w:rPr>
        <w:t>车辆</w:t>
      </w:r>
      <w:r>
        <w:rPr>
          <w:rFonts w:hint="eastAsia" w:ascii="仿宋" w:hAnsi="仿宋" w:eastAsia="仿宋"/>
          <w:bCs/>
          <w:color w:val="auto"/>
          <w:sz w:val="24"/>
          <w:highlight w:val="none"/>
        </w:rPr>
        <w:t>的技术参数以招标文件和投标文件为准。</w:t>
      </w:r>
    </w:p>
    <w:p w14:paraId="61F331D3">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二、质量标准和保证</w:t>
      </w:r>
    </w:p>
    <w:p w14:paraId="5F7FD313">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（一）卖方提供的</w:t>
      </w:r>
      <w:r>
        <w:rPr>
          <w:rFonts w:hint="eastAsia" w:ascii="仿宋" w:hAnsi="仿宋" w:eastAsia="仿宋"/>
          <w:bCs/>
          <w:color w:val="auto"/>
          <w:sz w:val="24"/>
          <w:highlight w:val="none"/>
          <w:lang w:val="en-US" w:eastAsia="zh-CN"/>
        </w:rPr>
        <w:t>车辆</w:t>
      </w:r>
      <w:r>
        <w:rPr>
          <w:rFonts w:hint="eastAsia" w:ascii="仿宋" w:hAnsi="仿宋" w:eastAsia="仿宋"/>
          <w:color w:val="auto"/>
          <w:sz w:val="24"/>
          <w:highlight w:val="none"/>
        </w:rPr>
        <w:t>必须符合国家颁布的质量标准和产品名称、规格型号、技术要求（详见招标文件和投标文件）。</w:t>
      </w:r>
    </w:p>
    <w:p w14:paraId="75ADFC87">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（二）卖方所提供的</w:t>
      </w:r>
      <w:r>
        <w:rPr>
          <w:rFonts w:hint="eastAsia" w:ascii="仿宋" w:hAnsi="仿宋" w:eastAsia="仿宋"/>
          <w:bCs/>
          <w:color w:val="auto"/>
          <w:sz w:val="24"/>
          <w:highlight w:val="none"/>
          <w:lang w:val="en-US" w:eastAsia="zh-CN"/>
        </w:rPr>
        <w:t>车辆</w:t>
      </w:r>
      <w:r>
        <w:rPr>
          <w:rFonts w:hint="eastAsia" w:ascii="仿宋" w:hAnsi="仿宋" w:eastAsia="仿宋"/>
          <w:color w:val="auto"/>
          <w:sz w:val="24"/>
          <w:highlight w:val="none"/>
        </w:rPr>
        <w:t>保证是全新的、未使用过的，完全符合合同规定的质量、规格和性能要求。</w:t>
      </w:r>
    </w:p>
    <w:p w14:paraId="0B26256E">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三、质保期及售后服务</w:t>
      </w:r>
    </w:p>
    <w:p w14:paraId="2D662C45">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（一）售后服务要求</w:t>
      </w:r>
    </w:p>
    <w:p w14:paraId="2CF1472E">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1、卖方应主动协助使用方对</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进行检验，包括查验车辆发动机号、底盘号，交付所有证件、工具和主、副钥匙，并提供足以保证车辆能行驶至附近加油站的油料。</w:t>
      </w:r>
    </w:p>
    <w:p w14:paraId="449FD6EB">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2、卖方承诺在质保期内对所提供</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实施运行监督、维修，但该服务并不能免除卖方在质保期内应承担的义务；在质保期与保修期内，卖方必须提供至少</w:t>
      </w:r>
      <w:r>
        <w:rPr>
          <w:rFonts w:hint="eastAsia" w:ascii="仿宋" w:hAnsi="仿宋" w:eastAsia="仿宋"/>
          <w:color w:val="auto"/>
          <w:sz w:val="24"/>
          <w:highlight w:val="none"/>
          <w:lang w:val="en-US" w:eastAsia="zh-CN"/>
        </w:rPr>
        <w:t>1</w:t>
      </w:r>
      <w:r>
        <w:rPr>
          <w:rFonts w:ascii="仿宋" w:hAnsi="仿宋" w:eastAsia="仿宋"/>
          <w:color w:val="auto"/>
          <w:sz w:val="24"/>
          <w:highlight w:val="none"/>
        </w:rPr>
        <w:t>次免费上门首保服务,主动协助买方做好</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的保养（包括车辆走合等）。提供7×24小时服务电话，车辆发生质量、故障、事故问题时，在</w:t>
      </w:r>
      <w:r>
        <w:rPr>
          <w:rFonts w:hint="eastAsia" w:ascii="仿宋" w:hAnsi="仿宋" w:eastAsia="仿宋"/>
          <w:color w:val="auto"/>
          <w:sz w:val="24"/>
          <w:highlight w:val="none"/>
        </w:rPr>
        <w:t>4</w:t>
      </w:r>
      <w:r>
        <w:rPr>
          <w:rFonts w:ascii="仿宋" w:hAnsi="仿宋" w:eastAsia="仿宋"/>
          <w:color w:val="auto"/>
          <w:sz w:val="24"/>
          <w:highlight w:val="none"/>
        </w:rPr>
        <w:t>小时内做出回应，维修人员在</w:t>
      </w:r>
      <w:r>
        <w:rPr>
          <w:rFonts w:hint="eastAsia" w:ascii="仿宋" w:hAnsi="仿宋" w:eastAsia="仿宋"/>
          <w:color w:val="auto"/>
          <w:sz w:val="24"/>
          <w:highlight w:val="none"/>
        </w:rPr>
        <w:t>24</w:t>
      </w:r>
      <w:r>
        <w:rPr>
          <w:rFonts w:ascii="仿宋" w:hAnsi="仿宋" w:eastAsia="仿宋"/>
          <w:color w:val="auto"/>
          <w:sz w:val="24"/>
          <w:highlight w:val="none"/>
        </w:rPr>
        <w:t>小时内到达现场并解决问题，并应主动与生产厂</w:t>
      </w:r>
      <w:r>
        <w:rPr>
          <w:rFonts w:hint="eastAsia" w:ascii="仿宋" w:hAnsi="仿宋" w:eastAsia="仿宋"/>
          <w:color w:val="auto"/>
          <w:sz w:val="24"/>
          <w:highlight w:val="none"/>
          <w:lang w:val="en-US" w:eastAsia="zh-CN"/>
        </w:rPr>
        <w:t>家</w:t>
      </w:r>
      <w:r>
        <w:rPr>
          <w:rFonts w:ascii="仿宋" w:hAnsi="仿宋" w:eastAsia="仿宋"/>
          <w:color w:val="auto"/>
          <w:sz w:val="24"/>
          <w:highlight w:val="none"/>
        </w:rPr>
        <w:t>联系解决索赔问题。如卖方未在约定的时间内作出回应或解决</w:t>
      </w:r>
      <w:r>
        <w:rPr>
          <w:rFonts w:hint="eastAsia" w:ascii="仿宋" w:hAnsi="仿宋" w:eastAsia="仿宋"/>
          <w:color w:val="auto"/>
          <w:sz w:val="24"/>
          <w:highlight w:val="none"/>
        </w:rPr>
        <w:t>问题</w:t>
      </w:r>
      <w:r>
        <w:rPr>
          <w:rFonts w:ascii="仿宋" w:hAnsi="仿宋" w:eastAsia="仿宋"/>
          <w:color w:val="auto"/>
          <w:sz w:val="24"/>
          <w:highlight w:val="none"/>
        </w:rPr>
        <w:t>，买方有权委托第三方处理，因此产生的费用或给买方造成的损失由卖方承担。</w:t>
      </w:r>
    </w:p>
    <w:p w14:paraId="147EA24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在使用过程中如零部件发生丢失和损坏，卖方须负责</w:t>
      </w:r>
      <w:r>
        <w:rPr>
          <w:rFonts w:hint="eastAsia" w:ascii="仿宋" w:hAnsi="仿宋" w:eastAsia="仿宋"/>
          <w:color w:val="auto"/>
          <w:sz w:val="24"/>
          <w:highlight w:val="none"/>
          <w:lang w:val="en-US" w:eastAsia="zh-CN"/>
        </w:rPr>
        <w:t>为</w:t>
      </w:r>
      <w:r>
        <w:rPr>
          <w:rFonts w:ascii="仿宋" w:hAnsi="仿宋" w:eastAsia="仿宋"/>
          <w:color w:val="auto"/>
          <w:sz w:val="24"/>
          <w:highlight w:val="none"/>
        </w:rPr>
        <w:t>买方按优惠价格配到原厂生产的优质零部件。</w:t>
      </w:r>
    </w:p>
    <w:p w14:paraId="04EA792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4、卖方在质保期内收到买方维修通知后，负责对</w:t>
      </w:r>
      <w:r>
        <w:rPr>
          <w:rFonts w:hint="eastAsia" w:ascii="仿宋" w:hAnsi="仿宋" w:eastAsia="仿宋"/>
          <w:color w:val="auto"/>
          <w:sz w:val="24"/>
          <w:highlight w:val="none"/>
          <w:lang w:val="en-US" w:eastAsia="zh-CN"/>
        </w:rPr>
        <w:t>车辆</w:t>
      </w:r>
      <w:r>
        <w:rPr>
          <w:rFonts w:ascii="仿宋" w:hAnsi="仿宋" w:eastAsia="仿宋"/>
          <w:color w:val="auto"/>
          <w:sz w:val="24"/>
          <w:highlight w:val="none"/>
        </w:rPr>
        <w:t>进行免费维修、更换有缺陷的零部件、直至更换</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w:t>
      </w:r>
    </w:p>
    <w:p w14:paraId="0A2E679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5、如果卖方在质保期内收到维修通知后，没有为买方弥补缺陷、更换零部件，买方可采取必要的补救措施，但风险和费用将由卖方承担。</w:t>
      </w:r>
    </w:p>
    <w:p w14:paraId="0940A015">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lang w:val="en-US" w:eastAsia="zh-CN"/>
        </w:rPr>
        <w:t>6</w:t>
      </w:r>
      <w:r>
        <w:rPr>
          <w:rFonts w:ascii="仿宋" w:hAnsi="仿宋" w:eastAsia="仿宋"/>
          <w:color w:val="auto"/>
          <w:sz w:val="24"/>
          <w:highlight w:val="none"/>
        </w:rPr>
        <w:t>、</w:t>
      </w:r>
      <w:r>
        <w:rPr>
          <w:rFonts w:hint="eastAsia" w:ascii="仿宋" w:hAnsi="仿宋" w:eastAsia="仿宋"/>
          <w:bCs/>
          <w:color w:val="auto"/>
          <w:sz w:val="24"/>
          <w:highlight w:val="none"/>
          <w:lang w:val="en-US" w:eastAsia="zh-CN"/>
        </w:rPr>
        <w:t>车辆交货时</w:t>
      </w:r>
      <w:r>
        <w:rPr>
          <w:rFonts w:ascii="仿宋" w:hAnsi="仿宋" w:eastAsia="仿宋"/>
          <w:color w:val="auto"/>
          <w:sz w:val="24"/>
          <w:highlight w:val="none"/>
        </w:rPr>
        <w:t>必须配有中文说明书</w:t>
      </w:r>
      <w:r>
        <w:rPr>
          <w:rFonts w:hint="eastAsia" w:ascii="仿宋" w:hAnsi="仿宋" w:eastAsia="仿宋"/>
          <w:color w:val="auto"/>
          <w:sz w:val="24"/>
          <w:highlight w:val="none"/>
          <w:lang w:eastAsia="zh-CN"/>
        </w:rPr>
        <w:t>，</w:t>
      </w:r>
      <w:r>
        <w:rPr>
          <w:rFonts w:ascii="仿宋" w:hAnsi="仿宋" w:eastAsia="仿宋"/>
          <w:color w:val="auto"/>
          <w:sz w:val="24"/>
          <w:highlight w:val="none"/>
        </w:rPr>
        <w:t>并提供电子版文档。说明书应包括</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周期性检查及维护保养的详细说明，并提供</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操作使用和检查维护的音视频资料。同时提供全寿命周期易损件、消耗品、随车器材、工具等型号规格清单。</w:t>
      </w:r>
      <w:r>
        <w:rPr>
          <w:rFonts w:hint="eastAsia" w:ascii="仿宋" w:hAnsi="仿宋" w:eastAsia="仿宋" w:cs="仿宋"/>
          <w:color w:val="auto"/>
          <w:kern w:val="0"/>
          <w:sz w:val="24"/>
          <w:highlight w:val="none"/>
        </w:rPr>
        <w:t>相关资料要归档编制目录，并做好档案保管和移交等工作。</w:t>
      </w:r>
    </w:p>
    <w:p w14:paraId="5EFF12E3">
      <w:pPr>
        <w:spacing w:line="460" w:lineRule="exact"/>
        <w:rPr>
          <w:rFonts w:ascii="仿宋" w:hAnsi="仿宋" w:eastAsia="仿宋"/>
          <w:color w:val="auto"/>
          <w:sz w:val="24"/>
          <w:highlight w:val="none"/>
        </w:rPr>
      </w:pPr>
      <w:r>
        <w:rPr>
          <w:rFonts w:hint="eastAsia" w:ascii="仿宋" w:hAnsi="仿宋" w:eastAsia="仿宋"/>
          <w:b/>
          <w:color w:val="auto"/>
          <w:sz w:val="24"/>
          <w:highlight w:val="none"/>
        </w:rPr>
        <w:t>（二）质量保证和保修</w:t>
      </w:r>
    </w:p>
    <w:p w14:paraId="5F5DC59C">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1、卖方提供的</w:t>
      </w:r>
      <w:r>
        <w:rPr>
          <w:rFonts w:hint="eastAsia" w:ascii="仿宋" w:hAnsi="仿宋" w:eastAsia="仿宋"/>
          <w:bCs/>
          <w:color w:val="auto"/>
          <w:sz w:val="24"/>
          <w:highlight w:val="none"/>
          <w:lang w:val="en-US" w:eastAsia="zh-CN"/>
        </w:rPr>
        <w:t>车辆</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含底盘）</w:t>
      </w:r>
      <w:r>
        <w:rPr>
          <w:rFonts w:ascii="仿宋" w:hAnsi="仿宋" w:eastAsia="仿宋"/>
          <w:color w:val="auto"/>
          <w:sz w:val="24"/>
          <w:highlight w:val="none"/>
        </w:rPr>
        <w:t>须提供整体</w:t>
      </w:r>
      <w:r>
        <w:rPr>
          <w:rFonts w:ascii="仿宋" w:hAnsi="仿宋" w:eastAsia="仿宋"/>
          <w:color w:val="auto"/>
          <w:sz w:val="24"/>
          <w:highlight w:val="none"/>
          <w:u w:val="single"/>
        </w:rPr>
        <w:t>不少于</w:t>
      </w:r>
      <w:r>
        <w:rPr>
          <w:rFonts w:hint="eastAsia" w:ascii="仿宋" w:hAnsi="仿宋" w:eastAsia="仿宋"/>
          <w:color w:val="auto"/>
          <w:sz w:val="24"/>
          <w:highlight w:val="none"/>
          <w:u w:val="single"/>
        </w:rPr>
        <w:t>3</w:t>
      </w:r>
      <w:r>
        <w:rPr>
          <w:rFonts w:ascii="仿宋" w:hAnsi="仿宋" w:eastAsia="仿宋"/>
          <w:color w:val="auto"/>
          <w:sz w:val="24"/>
          <w:highlight w:val="none"/>
        </w:rPr>
        <w:t>年质保期（以实际响应为准），车辆按保养手册执行。完全符合合同规定的质量、规格和性能的要求。保证所提供的</w:t>
      </w:r>
      <w:r>
        <w:rPr>
          <w:rFonts w:hint="eastAsia" w:ascii="仿宋" w:hAnsi="仿宋" w:eastAsia="仿宋"/>
          <w:bCs/>
          <w:color w:val="auto"/>
          <w:sz w:val="24"/>
          <w:highlight w:val="none"/>
          <w:lang w:val="en-US" w:eastAsia="zh-CN"/>
        </w:rPr>
        <w:t>车辆</w:t>
      </w:r>
      <w:r>
        <w:rPr>
          <w:rFonts w:ascii="仿宋" w:hAnsi="仿宋" w:eastAsia="仿宋"/>
          <w:color w:val="auto"/>
          <w:sz w:val="24"/>
          <w:highlight w:val="none"/>
        </w:rPr>
        <w:t>经正确安装、正常运转和保养，在其使用寿命期内应具有使买方满意的性能，并且确保一次性通过各项检验和测试。</w:t>
      </w:r>
      <w:r>
        <w:rPr>
          <w:rFonts w:hint="eastAsia" w:ascii="仿宋" w:hAnsi="仿宋" w:eastAsia="仿宋"/>
          <w:color w:val="auto"/>
          <w:sz w:val="24"/>
          <w:highlight w:val="none"/>
          <w:lang w:val="en-US" w:eastAsia="zh-CN"/>
        </w:rPr>
        <w:t>车辆</w:t>
      </w:r>
      <w:r>
        <w:rPr>
          <w:rFonts w:ascii="仿宋" w:hAnsi="仿宋" w:eastAsia="仿宋"/>
          <w:color w:val="auto"/>
          <w:sz w:val="24"/>
          <w:highlight w:val="none"/>
        </w:rPr>
        <w:t>最终验收后，在质保期内，卖方应对由于设计、工艺或材料的缺陷而发生的任何不足或故障负责，费用由卖方负担。</w:t>
      </w:r>
    </w:p>
    <w:p w14:paraId="66E9F96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2、车辆车身漆面应清洁光亮，不得有脱漆、划痕和</w:t>
      </w:r>
      <w:r>
        <w:rPr>
          <w:rFonts w:hint="eastAsia" w:ascii="仿宋" w:hAnsi="仿宋" w:eastAsia="仿宋"/>
          <w:color w:val="auto"/>
          <w:sz w:val="24"/>
          <w:highlight w:val="none"/>
        </w:rPr>
        <w:t>瘪窝。</w:t>
      </w:r>
    </w:p>
    <w:p w14:paraId="4E3B7E5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车辆内部的座椅及其他内饰件应完整清洁，不得有划伤、污点，使用时应方便灵活；车辆内、外部的灯光应齐全、有效；效果应达到国家标准；车辆在行驶过程中不得有异常响声，制动（包括手制动）、转向应灵活、有效；汽车的动力性能和经济性能应符合设计要求；尾气排放应符合国家标准。</w:t>
      </w:r>
    </w:p>
    <w:p w14:paraId="15221D8B">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w:t>
      </w:r>
      <w:r>
        <w:rPr>
          <w:rFonts w:hint="eastAsia" w:ascii="仿宋" w:hAnsi="仿宋" w:eastAsia="仿宋"/>
          <w:color w:val="auto"/>
          <w:sz w:val="24"/>
          <w:highlight w:val="none"/>
        </w:rPr>
        <w:t>在质保期内，如果</w:t>
      </w:r>
      <w:r>
        <w:rPr>
          <w:rFonts w:hint="eastAsia" w:ascii="仿宋" w:hAnsi="仿宋" w:eastAsia="仿宋"/>
          <w:bCs/>
          <w:color w:val="auto"/>
          <w:sz w:val="24"/>
          <w:highlight w:val="none"/>
          <w:lang w:val="en-US" w:eastAsia="zh-CN"/>
        </w:rPr>
        <w:t>车辆</w:t>
      </w:r>
      <w:r>
        <w:rPr>
          <w:rFonts w:hint="eastAsia" w:ascii="仿宋" w:hAnsi="仿宋" w:eastAsia="仿宋"/>
          <w:color w:val="auto"/>
          <w:sz w:val="24"/>
          <w:highlight w:val="none"/>
        </w:rPr>
        <w:t>质量存在有缺陷的，包括潜在的缺陷或使用不符合要求的材料等，买方应在10个工作日</w:t>
      </w:r>
      <w:r>
        <w:rPr>
          <w:rFonts w:hint="eastAsia" w:ascii="仿宋" w:hAnsi="仿宋" w:eastAsia="仿宋"/>
          <w:color w:val="auto"/>
          <w:sz w:val="24"/>
          <w:highlight w:val="none"/>
          <w:lang w:val="en-US" w:eastAsia="zh-CN"/>
        </w:rPr>
        <w:t>内</w:t>
      </w:r>
      <w:r>
        <w:rPr>
          <w:rFonts w:hint="eastAsia" w:ascii="仿宋" w:hAnsi="仿宋" w:eastAsia="仿宋"/>
          <w:color w:val="auto"/>
          <w:sz w:val="24"/>
          <w:highlight w:val="none"/>
        </w:rPr>
        <w:t>以书面形式通知卖方，提出索赔。对于小型缺陷，卖方在收到通知后，应在</w:t>
      </w:r>
      <w:r>
        <w:rPr>
          <w:rFonts w:ascii="仿宋" w:hAnsi="仿宋" w:eastAsia="仿宋"/>
          <w:color w:val="auto"/>
          <w:sz w:val="24"/>
          <w:highlight w:val="none"/>
        </w:rPr>
        <w:t>7</w:t>
      </w:r>
      <w:r>
        <w:rPr>
          <w:rFonts w:hint="eastAsia" w:ascii="仿宋" w:hAnsi="仿宋" w:eastAsia="仿宋"/>
          <w:color w:val="auto"/>
          <w:sz w:val="24"/>
          <w:highlight w:val="none"/>
        </w:rPr>
        <w:t>日内，用与投标时采用的零件、部件或材料来更换有缺陷的或不符合要求的零件、部件或材料，同时相应延长质保期；对于重大缺陷，卖方在收到通知后，应在</w:t>
      </w:r>
      <w:r>
        <w:rPr>
          <w:rFonts w:ascii="仿宋" w:hAnsi="仿宋" w:eastAsia="仿宋"/>
          <w:color w:val="auto"/>
          <w:sz w:val="24"/>
          <w:highlight w:val="none"/>
        </w:rPr>
        <w:t>7</w:t>
      </w:r>
      <w:r>
        <w:rPr>
          <w:rFonts w:hint="eastAsia" w:ascii="仿宋" w:hAnsi="仿宋" w:eastAsia="仿宋"/>
          <w:color w:val="auto"/>
          <w:sz w:val="24"/>
          <w:highlight w:val="none"/>
        </w:rPr>
        <w:t>日内，更换合格的</w:t>
      </w:r>
      <w:r>
        <w:rPr>
          <w:rFonts w:hint="eastAsia" w:ascii="仿宋" w:hAnsi="仿宋" w:eastAsia="仿宋"/>
          <w:color w:val="auto"/>
          <w:sz w:val="24"/>
          <w:highlight w:val="none"/>
          <w:lang w:eastAsia="zh-CN"/>
        </w:rPr>
        <w:t>产品</w:t>
      </w:r>
      <w:r>
        <w:rPr>
          <w:rFonts w:hint="eastAsia" w:ascii="仿宋" w:hAnsi="仿宋" w:eastAsia="仿宋"/>
          <w:color w:val="auto"/>
          <w:sz w:val="24"/>
          <w:highlight w:val="none"/>
        </w:rPr>
        <w:t>（同时相应延长质保期）或做退货处理，并承担给买方造成的损失。</w:t>
      </w:r>
    </w:p>
    <w:p w14:paraId="3F834FBA">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5、质保期限以外</w:t>
      </w:r>
      <w:r>
        <w:rPr>
          <w:rFonts w:hint="eastAsia" w:ascii="仿宋" w:hAnsi="仿宋" w:eastAsia="仿宋"/>
          <w:color w:val="auto"/>
          <w:sz w:val="24"/>
          <w:highlight w:val="none"/>
        </w:rPr>
        <w:t>，</w:t>
      </w:r>
      <w:r>
        <w:rPr>
          <w:rFonts w:ascii="仿宋" w:hAnsi="仿宋" w:eastAsia="仿宋"/>
          <w:color w:val="auto"/>
          <w:sz w:val="24"/>
          <w:highlight w:val="none"/>
        </w:rPr>
        <w:t>卖方为</w:t>
      </w:r>
      <w:r>
        <w:rPr>
          <w:rFonts w:hint="default" w:ascii="仿宋" w:hAnsi="仿宋" w:eastAsia="仿宋"/>
          <w:color w:val="auto"/>
          <w:sz w:val="24"/>
          <w:highlight w:val="none"/>
          <w:lang w:val="en-US"/>
        </w:rPr>
        <w:t>所</w:t>
      </w:r>
      <w:r>
        <w:rPr>
          <w:rFonts w:hint="eastAsia" w:ascii="仿宋" w:hAnsi="仿宋" w:eastAsia="仿宋"/>
          <w:color w:val="auto"/>
          <w:sz w:val="24"/>
          <w:highlight w:val="none"/>
          <w:lang w:val="en-US" w:eastAsia="zh-CN"/>
        </w:rPr>
        <w:t>提供的</w:t>
      </w:r>
      <w:r>
        <w:rPr>
          <w:rFonts w:hint="eastAsia" w:ascii="仿宋" w:hAnsi="仿宋" w:eastAsia="仿宋"/>
          <w:bCs/>
          <w:color w:val="auto"/>
          <w:sz w:val="24"/>
          <w:highlight w:val="none"/>
          <w:lang w:val="en-US" w:eastAsia="zh-CN"/>
        </w:rPr>
        <w:t>车辆</w:t>
      </w:r>
      <w:r>
        <w:rPr>
          <w:rFonts w:hint="default" w:ascii="仿宋" w:hAnsi="仿宋" w:eastAsia="仿宋"/>
          <w:color w:val="auto"/>
          <w:sz w:val="24"/>
          <w:highlight w:val="none"/>
          <w:lang w:eastAsia="zh-CN"/>
        </w:rPr>
        <w:t>（</w:t>
      </w:r>
      <w:r>
        <w:rPr>
          <w:rFonts w:hint="default" w:ascii="仿宋" w:hAnsi="仿宋" w:eastAsia="仿宋"/>
          <w:color w:val="auto"/>
          <w:sz w:val="24"/>
          <w:highlight w:val="none"/>
          <w:lang w:val="en-US" w:eastAsia="zh-CN"/>
        </w:rPr>
        <w:t>含底盘）</w:t>
      </w:r>
      <w:r>
        <w:rPr>
          <w:rFonts w:hint="eastAsia" w:ascii="仿宋" w:hAnsi="仿宋" w:eastAsia="仿宋"/>
          <w:color w:val="auto"/>
          <w:sz w:val="24"/>
          <w:highlight w:val="none"/>
        </w:rPr>
        <w:t>提供</w:t>
      </w:r>
      <w:r>
        <w:rPr>
          <w:rFonts w:hint="eastAsia" w:ascii="仿宋" w:hAnsi="仿宋" w:eastAsia="仿宋"/>
          <w:color w:val="auto"/>
          <w:sz w:val="24"/>
          <w:highlight w:val="none"/>
          <w:u w:val="single"/>
        </w:rPr>
        <w:t>不少于5年</w:t>
      </w:r>
      <w:r>
        <w:rPr>
          <w:rFonts w:hint="eastAsia" w:ascii="仿宋" w:hAnsi="仿宋" w:eastAsia="仿宋"/>
          <w:color w:val="auto"/>
          <w:sz w:val="24"/>
          <w:highlight w:val="none"/>
        </w:rPr>
        <w:t>的保修期（以实际响应为准），提供全寿命周期的主要耗损件、易损件及更换总成的目录和年度价格清单，保证供应且价格合理</w:t>
      </w:r>
      <w:r>
        <w:rPr>
          <w:rFonts w:hint="eastAsia" w:ascii="仿宋" w:hAnsi="仿宋" w:eastAsia="仿宋"/>
          <w:color w:val="auto"/>
          <w:sz w:val="24"/>
          <w:highlight w:val="none"/>
          <w:lang w:eastAsia="zh-CN"/>
        </w:rPr>
        <w:t>。保修期内，</w:t>
      </w:r>
      <w:r>
        <w:rPr>
          <w:rFonts w:hint="eastAsia" w:ascii="仿宋" w:hAnsi="仿宋" w:eastAsia="仿宋"/>
          <w:color w:val="auto"/>
          <w:sz w:val="24"/>
          <w:highlight w:val="none"/>
        </w:rPr>
        <w:t>卖方</w:t>
      </w:r>
      <w:r>
        <w:rPr>
          <w:rFonts w:hint="eastAsia" w:ascii="仿宋" w:hAnsi="仿宋" w:eastAsia="仿宋"/>
          <w:color w:val="auto"/>
          <w:sz w:val="24"/>
          <w:highlight w:val="none"/>
          <w:lang w:eastAsia="zh-CN"/>
        </w:rPr>
        <w:t>所做的维修只收取所</w:t>
      </w:r>
      <w:r>
        <w:rPr>
          <w:rFonts w:hint="eastAsia" w:ascii="仿宋" w:hAnsi="仿宋" w:eastAsia="仿宋"/>
          <w:color w:val="auto"/>
          <w:sz w:val="24"/>
          <w:highlight w:val="none"/>
        </w:rPr>
        <w:t>更换</w:t>
      </w:r>
      <w:r>
        <w:rPr>
          <w:rFonts w:hint="eastAsia" w:ascii="仿宋" w:hAnsi="仿宋" w:eastAsia="仿宋"/>
          <w:color w:val="auto"/>
          <w:sz w:val="24"/>
          <w:highlight w:val="none"/>
          <w:lang w:eastAsia="zh-CN"/>
        </w:rPr>
        <w:t>的</w:t>
      </w:r>
      <w:r>
        <w:rPr>
          <w:rFonts w:hint="eastAsia" w:ascii="仿宋" w:hAnsi="仿宋" w:eastAsia="仿宋"/>
          <w:color w:val="auto"/>
          <w:sz w:val="24"/>
          <w:highlight w:val="none"/>
        </w:rPr>
        <w:t>零部件费用和升级费用</w:t>
      </w:r>
      <w:r>
        <w:rPr>
          <w:rFonts w:hint="eastAsia" w:ascii="仿宋" w:hAnsi="仿宋" w:eastAsia="仿宋"/>
          <w:color w:val="auto"/>
          <w:sz w:val="24"/>
          <w:highlight w:val="none"/>
          <w:lang w:eastAsia="zh-CN"/>
        </w:rPr>
        <w:t>，不收取维修服务费</w:t>
      </w:r>
      <w:r>
        <w:rPr>
          <w:rFonts w:hint="eastAsia" w:ascii="仿宋" w:hAnsi="仿宋" w:eastAsia="仿宋"/>
          <w:color w:val="auto"/>
          <w:sz w:val="24"/>
          <w:highlight w:val="none"/>
        </w:rPr>
        <w:t>。在超出保修服务期限后的每次售后服务，卖方可以按照一定标准收取相应的维修费用、更换零部件费用和升级费用。售后服务结束两个星期后，买方确认签字，完成本次售后服务。超出保修期</w:t>
      </w:r>
      <w:r>
        <w:rPr>
          <w:rFonts w:hint="eastAsia" w:ascii="仿宋" w:hAnsi="仿宋" w:eastAsia="仿宋"/>
          <w:bCs/>
          <w:color w:val="auto"/>
          <w:sz w:val="24"/>
          <w:highlight w:val="none"/>
          <w:lang w:val="en-US" w:eastAsia="zh-CN"/>
        </w:rPr>
        <w:t>车辆</w:t>
      </w:r>
      <w:r>
        <w:rPr>
          <w:rFonts w:hint="eastAsia" w:ascii="仿宋" w:hAnsi="仿宋" w:eastAsia="仿宋"/>
          <w:color w:val="auto"/>
          <w:sz w:val="24"/>
          <w:highlight w:val="none"/>
        </w:rPr>
        <w:t>作出的收费维修部分的保修期</w:t>
      </w:r>
      <w:r>
        <w:rPr>
          <w:rFonts w:hint="eastAsia" w:ascii="仿宋" w:hAnsi="仿宋" w:eastAsia="仿宋"/>
          <w:color w:val="auto"/>
          <w:sz w:val="24"/>
          <w:highlight w:val="none"/>
          <w:u w:val="single"/>
        </w:rPr>
        <w:t>不应低于</w:t>
      </w:r>
      <w:r>
        <w:rPr>
          <w:rFonts w:ascii="仿宋" w:hAnsi="仿宋" w:eastAsia="仿宋"/>
          <w:color w:val="auto"/>
          <w:sz w:val="24"/>
          <w:highlight w:val="none"/>
          <w:u w:val="single"/>
        </w:rPr>
        <w:t>12个月</w:t>
      </w:r>
      <w:r>
        <w:rPr>
          <w:rFonts w:ascii="仿宋" w:hAnsi="仿宋" w:eastAsia="仿宋"/>
          <w:color w:val="auto"/>
          <w:sz w:val="24"/>
          <w:highlight w:val="none"/>
        </w:rPr>
        <w:t>。</w:t>
      </w:r>
    </w:p>
    <w:p w14:paraId="2AC66F4E">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（三）培训与监督</w:t>
      </w:r>
    </w:p>
    <w:p w14:paraId="11827402">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1、</w:t>
      </w:r>
      <w:r>
        <w:rPr>
          <w:rFonts w:hint="default" w:ascii="Times New Roman" w:hAnsi="Times New Roman" w:eastAsia="仿宋" w:cs="Times New Roman"/>
          <w:color w:val="auto"/>
          <w:sz w:val="24"/>
          <w:highlight w:val="none"/>
          <w:lang w:eastAsia="zh-CN"/>
        </w:rPr>
        <w:t>卖方</w:t>
      </w:r>
      <w:r>
        <w:rPr>
          <w:rFonts w:hint="default" w:ascii="Times New Roman" w:hAnsi="Times New Roman" w:eastAsia="仿宋" w:cs="Times New Roman"/>
          <w:color w:val="auto"/>
          <w:sz w:val="24"/>
          <w:highlight w:val="none"/>
        </w:rPr>
        <w:t>应</w:t>
      </w:r>
      <w:r>
        <w:rPr>
          <w:rFonts w:hint="default" w:ascii="Times New Roman" w:hAnsi="Times New Roman" w:eastAsia="仿宋" w:cs="Times New Roman"/>
          <w:color w:val="auto"/>
          <w:kern w:val="2"/>
          <w:sz w:val="24"/>
          <w:highlight w:val="none"/>
        </w:rPr>
        <w:t>提供</w:t>
      </w:r>
      <w:r>
        <w:rPr>
          <w:rFonts w:hint="eastAsia" w:ascii="仿宋" w:hAnsi="仿宋" w:eastAsia="仿宋"/>
          <w:bCs/>
          <w:color w:val="auto"/>
          <w:sz w:val="24"/>
          <w:highlight w:val="none"/>
          <w:lang w:val="en-US" w:eastAsia="zh-CN"/>
        </w:rPr>
        <w:t>车辆</w:t>
      </w:r>
      <w:r>
        <w:rPr>
          <w:rFonts w:hint="default" w:ascii="Times New Roman" w:hAnsi="Times New Roman" w:eastAsia="仿宋" w:cs="Times New Roman"/>
          <w:color w:val="auto"/>
          <w:kern w:val="2"/>
          <w:sz w:val="24"/>
          <w:highlight w:val="none"/>
        </w:rPr>
        <w:t>的功能、使用方法、技术参数、常见问题解决方法等书面材料，并确保用户获知产品序列号、型号名称、版本号以及配合使用的主要设备品牌、型号和版本等信息。</w:t>
      </w:r>
    </w:p>
    <w:p w14:paraId="1E2BA4CE">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2、</w:t>
      </w:r>
      <w:r>
        <w:rPr>
          <w:rFonts w:hint="eastAsia" w:eastAsia="仿宋" w:cs="Times New Roman"/>
          <w:color w:val="auto"/>
          <w:kern w:val="2"/>
          <w:sz w:val="24"/>
          <w:highlight w:val="none"/>
          <w:lang w:val="en-US" w:eastAsia="zh-CN"/>
        </w:rPr>
        <w:t>配送至指定单位后</w:t>
      </w:r>
      <w:r>
        <w:rPr>
          <w:rFonts w:hint="default" w:ascii="Times New Roman" w:hAnsi="Times New Roman" w:eastAsia="仿宋" w:cs="Times New Roman"/>
          <w:color w:val="auto"/>
          <w:kern w:val="2"/>
          <w:sz w:val="24"/>
          <w:highlight w:val="none"/>
        </w:rPr>
        <w:t>，</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应免费组织用户开展操作使用培训，使之熟练掌握操作规程、使用方法和注意事项，并经</w:t>
      </w:r>
      <w:r>
        <w:rPr>
          <w:rFonts w:hint="eastAsia" w:eastAsia="仿宋" w:cs="Times New Roman"/>
          <w:color w:val="auto"/>
          <w:kern w:val="2"/>
          <w:sz w:val="24"/>
          <w:highlight w:val="none"/>
          <w:lang w:val="en-US" w:eastAsia="zh-CN"/>
        </w:rPr>
        <w:t>相关单位</w:t>
      </w:r>
      <w:r>
        <w:rPr>
          <w:rFonts w:hint="default" w:ascii="Times New Roman" w:hAnsi="Times New Roman" w:eastAsia="仿宋" w:cs="Times New Roman"/>
          <w:color w:val="auto"/>
          <w:kern w:val="2"/>
          <w:sz w:val="24"/>
          <w:highlight w:val="none"/>
        </w:rPr>
        <w:t>签字确认后方可移交。</w:t>
      </w:r>
    </w:p>
    <w:p w14:paraId="5211EECC">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3、</w:t>
      </w:r>
      <w:r>
        <w:rPr>
          <w:rFonts w:hint="eastAsia" w:eastAsia="仿宋" w:cs="Times New Roman"/>
          <w:color w:val="auto"/>
          <w:kern w:val="2"/>
          <w:sz w:val="24"/>
          <w:highlight w:val="none"/>
          <w:lang w:val="en-US" w:eastAsia="zh-CN"/>
        </w:rPr>
        <w:t>卖方</w:t>
      </w:r>
      <w:r>
        <w:rPr>
          <w:rFonts w:hint="default" w:ascii="Times New Roman" w:hAnsi="Times New Roman" w:eastAsia="仿宋" w:cs="Times New Roman"/>
          <w:color w:val="auto"/>
          <w:kern w:val="2"/>
          <w:sz w:val="24"/>
          <w:highlight w:val="none"/>
        </w:rPr>
        <w:t>每年</w:t>
      </w:r>
      <w:r>
        <w:rPr>
          <w:rFonts w:hint="eastAsia" w:eastAsia="仿宋" w:cs="Times New Roman"/>
          <w:color w:val="auto"/>
          <w:kern w:val="2"/>
          <w:sz w:val="24"/>
          <w:highlight w:val="none"/>
          <w:lang w:val="en-US" w:eastAsia="zh-CN"/>
        </w:rPr>
        <w:t>提供</w:t>
      </w:r>
      <w:r>
        <w:rPr>
          <w:rFonts w:hint="default" w:ascii="Times New Roman" w:hAnsi="Times New Roman" w:eastAsia="仿宋" w:cs="Times New Roman"/>
          <w:color w:val="auto"/>
          <w:kern w:val="2"/>
          <w:sz w:val="24"/>
          <w:highlight w:val="none"/>
          <w:u w:val="single"/>
        </w:rPr>
        <w:t>不少于</w:t>
      </w:r>
      <w:r>
        <w:rPr>
          <w:rFonts w:hint="default" w:ascii="Times New Roman" w:hAnsi="Times New Roman" w:eastAsia="仿宋" w:cs="Times New Roman"/>
          <w:color w:val="auto"/>
          <w:kern w:val="2"/>
          <w:sz w:val="24"/>
          <w:highlight w:val="none"/>
          <w:u w:val="single"/>
          <w:lang w:val="en-US" w:eastAsia="zh-CN"/>
        </w:rPr>
        <w:t>1</w:t>
      </w:r>
      <w:r>
        <w:rPr>
          <w:rFonts w:hint="default" w:ascii="Times New Roman" w:hAnsi="Times New Roman" w:eastAsia="仿宋" w:cs="Times New Roman"/>
          <w:color w:val="auto"/>
          <w:kern w:val="2"/>
          <w:sz w:val="24"/>
          <w:highlight w:val="none"/>
          <w:u w:val="single"/>
        </w:rPr>
        <w:t>次</w:t>
      </w:r>
      <w:r>
        <w:rPr>
          <w:rFonts w:hint="default" w:ascii="Times New Roman" w:hAnsi="Times New Roman" w:eastAsia="仿宋" w:cs="Times New Roman"/>
          <w:color w:val="auto"/>
          <w:kern w:val="2"/>
          <w:sz w:val="24"/>
          <w:highlight w:val="none"/>
        </w:rPr>
        <w:t>实地巡检，及时掌握</w:t>
      </w:r>
      <w:r>
        <w:rPr>
          <w:rFonts w:hint="eastAsia" w:eastAsia="仿宋" w:cs="Times New Roman"/>
          <w:color w:val="auto"/>
          <w:kern w:val="2"/>
          <w:sz w:val="24"/>
          <w:highlight w:val="none"/>
          <w:lang w:val="en-US" w:eastAsia="zh-CN"/>
        </w:rPr>
        <w:t>车辆</w:t>
      </w:r>
      <w:r>
        <w:rPr>
          <w:rFonts w:hint="default" w:ascii="Times New Roman" w:hAnsi="Times New Roman" w:eastAsia="仿宋" w:cs="Times New Roman"/>
          <w:color w:val="auto"/>
          <w:kern w:val="2"/>
          <w:sz w:val="24"/>
          <w:highlight w:val="none"/>
        </w:rPr>
        <w:t>使用情况，以及</w:t>
      </w:r>
      <w:r>
        <w:rPr>
          <w:rFonts w:hint="eastAsia" w:eastAsia="仿宋" w:cs="Times New Roman"/>
          <w:color w:val="auto"/>
          <w:kern w:val="2"/>
          <w:sz w:val="24"/>
          <w:highlight w:val="none"/>
          <w:lang w:val="en-US" w:eastAsia="zh-CN"/>
        </w:rPr>
        <w:t>车辆</w:t>
      </w:r>
      <w:r>
        <w:rPr>
          <w:rFonts w:hint="default" w:ascii="Times New Roman" w:hAnsi="Times New Roman" w:eastAsia="仿宋" w:cs="Times New Roman"/>
          <w:color w:val="auto"/>
          <w:kern w:val="2"/>
          <w:sz w:val="24"/>
          <w:highlight w:val="none"/>
        </w:rPr>
        <w:t>的故障、缺陷情况，及时给予维修保养，并建立预警系统，保证售后服务及时性。</w:t>
      </w:r>
    </w:p>
    <w:p w14:paraId="0AADDD42">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sz w:val="24"/>
          <w:highlight w:val="none"/>
          <w:lang w:val="en-US" w:eastAsia="zh-CN"/>
        </w:rPr>
        <w:t>4、</w:t>
      </w:r>
      <w:r>
        <w:rPr>
          <w:rFonts w:hint="default" w:ascii="Times New Roman" w:hAnsi="Times New Roman" w:eastAsia="仿宋" w:cs="Times New Roman"/>
          <w:color w:val="auto"/>
          <w:sz w:val="24"/>
          <w:highlight w:val="none"/>
          <w:lang w:eastAsia="zh-CN"/>
        </w:rPr>
        <w:t>卖方</w:t>
      </w:r>
      <w:r>
        <w:rPr>
          <w:rFonts w:hint="default" w:ascii="Times New Roman" w:hAnsi="Times New Roman" w:eastAsia="仿宋" w:cs="Times New Roman"/>
          <w:color w:val="auto"/>
          <w:sz w:val="24"/>
          <w:highlight w:val="none"/>
        </w:rPr>
        <w:t>应主动与</w:t>
      </w:r>
      <w:r>
        <w:rPr>
          <w:rFonts w:hint="default" w:ascii="Times New Roman" w:hAnsi="Times New Roman" w:eastAsia="仿宋" w:cs="Times New Roman"/>
          <w:color w:val="auto"/>
          <w:sz w:val="24"/>
          <w:highlight w:val="none"/>
          <w:lang w:eastAsia="zh-CN"/>
        </w:rPr>
        <w:t>买方</w:t>
      </w:r>
      <w:r>
        <w:rPr>
          <w:rFonts w:hint="default" w:ascii="Times New Roman" w:hAnsi="Times New Roman" w:eastAsia="仿宋" w:cs="Times New Roman"/>
          <w:color w:val="auto"/>
          <w:sz w:val="24"/>
          <w:highlight w:val="none"/>
        </w:rPr>
        <w:t>建立联勤联动机制，</w:t>
      </w:r>
      <w:r>
        <w:rPr>
          <w:rFonts w:hint="default" w:ascii="Times New Roman" w:hAnsi="Times New Roman" w:eastAsia="仿宋" w:cs="Times New Roman"/>
          <w:color w:val="auto"/>
          <w:kern w:val="2"/>
          <w:sz w:val="24"/>
          <w:highlight w:val="none"/>
        </w:rPr>
        <w:t>遇有重大灾害事故处置，要快速响应，选派素质好、业务精的人员遂行技术保障，提供技术支持、现场抢修等应急技术服务。（注：</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参与</w:t>
      </w:r>
      <w:r>
        <w:rPr>
          <w:rFonts w:hint="default" w:ascii="Times New Roman" w:hAnsi="Times New Roman" w:eastAsia="仿宋" w:cs="Times New Roman"/>
          <w:color w:val="auto"/>
          <w:kern w:val="2"/>
          <w:sz w:val="24"/>
          <w:highlight w:val="none"/>
          <w:lang w:eastAsia="zh-CN"/>
        </w:rPr>
        <w:t>买方</w:t>
      </w:r>
      <w:r>
        <w:rPr>
          <w:rFonts w:hint="default" w:ascii="Times New Roman" w:hAnsi="Times New Roman" w:eastAsia="仿宋" w:cs="Times New Roman"/>
          <w:color w:val="auto"/>
          <w:kern w:val="2"/>
          <w:sz w:val="24"/>
          <w:highlight w:val="none"/>
        </w:rPr>
        <w:t>联勤联动行动所产生的费用支出由</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自理）</w:t>
      </w:r>
    </w:p>
    <w:p w14:paraId="7998D5A2">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5、</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应提供服务技术规范，</w:t>
      </w:r>
      <w:r>
        <w:rPr>
          <w:rFonts w:hint="default" w:ascii="Times New Roman" w:hAnsi="Times New Roman" w:eastAsia="仿宋" w:cs="Times New Roman"/>
          <w:color w:val="auto"/>
          <w:kern w:val="2"/>
          <w:sz w:val="24"/>
          <w:highlight w:val="none"/>
          <w:lang w:eastAsia="zh-CN"/>
        </w:rPr>
        <w:t>买方</w:t>
      </w:r>
      <w:r>
        <w:rPr>
          <w:rFonts w:hint="default" w:ascii="Times New Roman" w:hAnsi="Times New Roman" w:eastAsia="仿宋" w:cs="Times New Roman"/>
          <w:color w:val="auto"/>
          <w:kern w:val="2"/>
          <w:sz w:val="24"/>
          <w:highlight w:val="none"/>
        </w:rPr>
        <w:t>可获得有关维修等级、所需时间、工时计算项目、配件价格的信息。</w:t>
      </w:r>
    </w:p>
    <w:p w14:paraId="778F23A8">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四、履约保证金</w:t>
      </w:r>
    </w:p>
    <w:p w14:paraId="69C3AEDE">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（一）履约保证金缴纳金额：合同总价</w:t>
      </w:r>
      <w:r>
        <w:rPr>
          <w:rFonts w:hint="eastAsia" w:eastAsia="仿宋"/>
          <w:color w:val="auto"/>
          <w:sz w:val="24"/>
          <w:highlight w:val="none"/>
          <w:lang w:val="en-US" w:eastAsia="zh-CN"/>
        </w:rPr>
        <w:t>7</w:t>
      </w:r>
      <w:r>
        <w:rPr>
          <w:rFonts w:eastAsia="仿宋"/>
          <w:color w:val="auto"/>
          <w:sz w:val="24"/>
          <w:highlight w:val="none"/>
        </w:rPr>
        <w:t>%作为履约保证金。</w:t>
      </w:r>
    </w:p>
    <w:p w14:paraId="61A1C258">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（二）履约保证金缴纳方式和时间：</w:t>
      </w:r>
    </w:p>
    <w:p w14:paraId="73764BE9">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公对公转账方式：在</w:t>
      </w:r>
      <w:r>
        <w:rPr>
          <w:rFonts w:hint="eastAsia" w:eastAsia="仿宋"/>
          <w:color w:val="auto"/>
          <w:sz w:val="24"/>
          <w:highlight w:val="none"/>
        </w:rPr>
        <w:t>合同签订</w:t>
      </w:r>
      <w:r>
        <w:rPr>
          <w:rFonts w:eastAsia="仿宋"/>
          <w:color w:val="auto"/>
          <w:sz w:val="24"/>
          <w:highlight w:val="none"/>
        </w:rPr>
        <w:t>后7个工作日之内卖方将履约保证金递交至买方指定账户；</w:t>
      </w:r>
    </w:p>
    <w:p w14:paraId="49A9D23A">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2</w:t>
      </w:r>
      <w:r>
        <w:rPr>
          <w:rFonts w:hint="eastAsia" w:eastAsia="仿宋"/>
          <w:color w:val="auto"/>
          <w:sz w:val="24"/>
          <w:highlight w:val="none"/>
        </w:rPr>
        <w:t>、</w:t>
      </w:r>
      <w:r>
        <w:rPr>
          <w:rFonts w:eastAsia="仿宋"/>
          <w:color w:val="auto"/>
          <w:sz w:val="24"/>
          <w:highlight w:val="none"/>
        </w:rPr>
        <w:t>银行保函方式：在</w:t>
      </w:r>
      <w:r>
        <w:rPr>
          <w:rFonts w:hint="eastAsia" w:eastAsia="仿宋"/>
          <w:color w:val="auto"/>
          <w:sz w:val="24"/>
          <w:highlight w:val="none"/>
        </w:rPr>
        <w:t>合同签订</w:t>
      </w:r>
      <w:r>
        <w:rPr>
          <w:rFonts w:eastAsia="仿宋"/>
          <w:color w:val="auto"/>
          <w:sz w:val="24"/>
          <w:highlight w:val="none"/>
        </w:rPr>
        <w:t>后30日之内递交至买方</w:t>
      </w:r>
      <w:r>
        <w:rPr>
          <w:rFonts w:hint="eastAsia" w:eastAsia="仿宋"/>
          <w:color w:val="auto"/>
          <w:sz w:val="24"/>
          <w:highlight w:val="none"/>
          <w:lang w:eastAsia="zh-CN"/>
        </w:rPr>
        <w:t>，</w:t>
      </w:r>
      <w:r>
        <w:rPr>
          <w:rFonts w:eastAsia="仿宋"/>
          <w:color w:val="auto"/>
          <w:sz w:val="24"/>
          <w:highlight w:val="none"/>
        </w:rPr>
        <w:t>保函有效期需与质保期到期时间一致。</w:t>
      </w:r>
    </w:p>
    <w:p w14:paraId="252D5EAC">
      <w:pPr>
        <w:adjustRightInd w:val="0"/>
        <w:snapToGrid w:val="0"/>
        <w:spacing w:line="460" w:lineRule="exact"/>
        <w:ind w:firstLine="482" w:firstLineChars="200"/>
        <w:jc w:val="left"/>
        <w:rPr>
          <w:rFonts w:eastAsia="仿宋"/>
          <w:color w:val="auto"/>
          <w:sz w:val="24"/>
          <w:highlight w:val="none"/>
        </w:rPr>
      </w:pPr>
      <w:r>
        <w:rPr>
          <w:rFonts w:eastAsia="仿宋"/>
          <w:b/>
          <w:bCs/>
          <w:color w:val="auto"/>
          <w:sz w:val="24"/>
          <w:highlight w:val="none"/>
        </w:rPr>
        <w:t>注：</w:t>
      </w:r>
      <w:r>
        <w:rPr>
          <w:rFonts w:eastAsia="仿宋"/>
          <w:color w:val="auto"/>
          <w:sz w:val="24"/>
          <w:highlight w:val="none"/>
        </w:rPr>
        <w:t>1.保函类型为</w:t>
      </w:r>
      <w:r>
        <w:rPr>
          <w:rFonts w:hint="eastAsia" w:eastAsia="仿宋"/>
          <w:color w:val="auto"/>
          <w:sz w:val="24"/>
          <w:highlight w:val="none"/>
          <w:lang w:val="en-US" w:eastAsia="zh-CN"/>
        </w:rPr>
        <w:t>国有</w:t>
      </w:r>
      <w:r>
        <w:rPr>
          <w:rFonts w:eastAsia="仿宋"/>
          <w:color w:val="auto"/>
          <w:sz w:val="24"/>
          <w:highlight w:val="none"/>
        </w:rPr>
        <w:t>银行保函；2.保函需载明以下内容：①见索即付；②收到买方法定代表人或授权委托代理人签字确认并加盖公章的书面索赔通知后即应不争辩、不挑剔、不可撤销地向买方支付索赔款，直至最高担保金额；③担保金额为合同金额的</w:t>
      </w:r>
      <w:r>
        <w:rPr>
          <w:rFonts w:hint="eastAsia" w:eastAsia="仿宋"/>
          <w:color w:val="auto"/>
          <w:sz w:val="24"/>
          <w:highlight w:val="none"/>
          <w:lang w:val="en-US" w:eastAsia="zh-CN"/>
        </w:rPr>
        <w:t>7</w:t>
      </w:r>
      <w:r>
        <w:rPr>
          <w:rFonts w:eastAsia="仿宋"/>
          <w:color w:val="auto"/>
          <w:sz w:val="24"/>
          <w:highlight w:val="none"/>
        </w:rPr>
        <w:t>%；④如卖方提供的保函未载明前述内容的，买方可以拒收该保函，并要求卖方以银行转账的方式提供履约保证金。</w:t>
      </w:r>
    </w:p>
    <w:p w14:paraId="1EA11FD3">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(三)履约保证金在质保期满后，无任何问题，且无合同纠纷的，</w:t>
      </w:r>
      <w:r>
        <w:rPr>
          <w:rFonts w:hint="eastAsia" w:eastAsia="仿宋"/>
          <w:color w:val="auto"/>
          <w:sz w:val="24"/>
          <w:highlight w:val="none"/>
          <w:lang w:val="en-US" w:eastAsia="zh-CN"/>
        </w:rPr>
        <w:t>经卖方书面申请，</w:t>
      </w:r>
      <w:r>
        <w:rPr>
          <w:rFonts w:eastAsia="仿宋"/>
          <w:color w:val="auto"/>
          <w:sz w:val="24"/>
          <w:highlight w:val="none"/>
        </w:rPr>
        <w:t>无息退还履约保证金</w:t>
      </w:r>
      <w:r>
        <w:rPr>
          <w:rFonts w:hint="eastAsia" w:eastAsia="仿宋"/>
          <w:color w:val="auto"/>
          <w:sz w:val="24"/>
          <w:highlight w:val="none"/>
        </w:rPr>
        <w:t>。</w:t>
      </w:r>
      <w:r>
        <w:rPr>
          <w:rFonts w:eastAsia="仿宋"/>
          <w:color w:val="auto"/>
          <w:sz w:val="24"/>
          <w:highlight w:val="none"/>
        </w:rPr>
        <w:t>以保函形式递交履约保证金的，</w:t>
      </w:r>
      <w:r>
        <w:rPr>
          <w:rFonts w:hint="eastAsia" w:eastAsia="仿宋"/>
          <w:color w:val="auto"/>
          <w:sz w:val="24"/>
          <w:highlight w:val="none"/>
          <w:lang w:val="en-US" w:eastAsia="zh-CN"/>
        </w:rPr>
        <w:t>到</w:t>
      </w:r>
      <w:r>
        <w:rPr>
          <w:rFonts w:eastAsia="仿宋"/>
          <w:color w:val="auto"/>
          <w:sz w:val="24"/>
          <w:highlight w:val="none"/>
        </w:rPr>
        <w:t>期后保函自动作废，但卖方尚应配合买方履行书面手续，为买方财务部门及时处理账务提供书面依据。</w:t>
      </w:r>
    </w:p>
    <w:p w14:paraId="79D3A2BF">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五、安装及调试、验收</w:t>
      </w:r>
    </w:p>
    <w:p w14:paraId="2DA80DD4">
      <w:pPr>
        <w:spacing w:line="460" w:lineRule="exact"/>
        <w:ind w:firstLine="482" w:firstLineChars="200"/>
        <w:rPr>
          <w:color w:val="auto"/>
          <w:highlight w:val="none"/>
        </w:rPr>
      </w:pPr>
      <w:r>
        <w:rPr>
          <w:rFonts w:hint="eastAsia" w:ascii="仿宋" w:hAnsi="仿宋" w:eastAsia="仿宋"/>
          <w:b/>
          <w:color w:val="auto"/>
          <w:sz w:val="24"/>
          <w:highlight w:val="none"/>
        </w:rPr>
        <w:t>（一）安装及调试</w:t>
      </w:r>
    </w:p>
    <w:p w14:paraId="41503912">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卖方</w:t>
      </w:r>
      <w:r>
        <w:rPr>
          <w:rFonts w:hint="eastAsia" w:eastAsia="仿宋"/>
          <w:color w:val="auto"/>
          <w:sz w:val="24"/>
          <w:highlight w:val="none"/>
        </w:rPr>
        <w:t>应</w:t>
      </w:r>
      <w:r>
        <w:rPr>
          <w:rFonts w:eastAsia="仿宋"/>
          <w:color w:val="auto"/>
          <w:sz w:val="24"/>
          <w:highlight w:val="none"/>
        </w:rPr>
        <w:t>派经买方认可的有经验和能力、具有相应资质的技术人员，负责</w:t>
      </w:r>
      <w:r>
        <w:rPr>
          <w:rFonts w:hint="eastAsia" w:eastAsia="仿宋"/>
          <w:color w:val="auto"/>
          <w:sz w:val="24"/>
          <w:highlight w:val="none"/>
          <w:lang w:val="en-US" w:eastAsia="zh-CN"/>
        </w:rPr>
        <w:t>车辆</w:t>
      </w:r>
      <w:r>
        <w:rPr>
          <w:rFonts w:eastAsia="仿宋"/>
          <w:color w:val="auto"/>
          <w:sz w:val="24"/>
          <w:highlight w:val="none"/>
        </w:rPr>
        <w:t>安装、调试工作，在</w:t>
      </w:r>
      <w:r>
        <w:rPr>
          <w:rFonts w:hint="eastAsia" w:eastAsia="仿宋"/>
          <w:color w:val="auto"/>
          <w:sz w:val="24"/>
          <w:highlight w:val="none"/>
          <w:lang w:val="en-US" w:eastAsia="zh-CN"/>
        </w:rPr>
        <w:t>车辆</w:t>
      </w:r>
      <w:r>
        <w:rPr>
          <w:rFonts w:eastAsia="仿宋"/>
          <w:color w:val="auto"/>
          <w:sz w:val="24"/>
          <w:highlight w:val="none"/>
        </w:rPr>
        <w:t>安装</w:t>
      </w:r>
      <w:r>
        <w:rPr>
          <w:rFonts w:hint="eastAsia" w:eastAsia="仿宋"/>
          <w:color w:val="auto"/>
          <w:sz w:val="24"/>
          <w:highlight w:val="none"/>
          <w:lang w:eastAsia="zh-CN"/>
        </w:rPr>
        <w:t>、</w:t>
      </w:r>
      <w:r>
        <w:rPr>
          <w:rFonts w:hint="eastAsia" w:eastAsia="仿宋"/>
          <w:color w:val="auto"/>
          <w:sz w:val="24"/>
          <w:highlight w:val="none"/>
          <w:lang w:val="en-US" w:eastAsia="zh-CN"/>
        </w:rPr>
        <w:t>调试</w:t>
      </w:r>
      <w:r>
        <w:rPr>
          <w:rFonts w:eastAsia="仿宋"/>
          <w:color w:val="auto"/>
          <w:sz w:val="24"/>
          <w:highlight w:val="none"/>
        </w:rPr>
        <w:t>期间应充分了解安装、调试进度要求，解决安装、调试中出现的技术问题。</w:t>
      </w:r>
    </w:p>
    <w:p w14:paraId="6C48A3EC">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2、</w:t>
      </w:r>
      <w:r>
        <w:rPr>
          <w:rFonts w:eastAsia="仿宋"/>
          <w:color w:val="auto"/>
          <w:sz w:val="24"/>
          <w:highlight w:val="none"/>
        </w:rPr>
        <w:t>安装、调试所需专用工具设施物料由卖方自备、自费运到现场，完工后自费搬走。</w:t>
      </w:r>
    </w:p>
    <w:p w14:paraId="70E84CFF">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3、</w:t>
      </w:r>
      <w:r>
        <w:rPr>
          <w:rFonts w:hint="eastAsia" w:eastAsia="仿宋"/>
          <w:color w:val="auto"/>
          <w:sz w:val="24"/>
          <w:highlight w:val="none"/>
          <w:lang w:val="en-US" w:eastAsia="zh-CN"/>
        </w:rPr>
        <w:t>车辆</w:t>
      </w:r>
      <w:r>
        <w:rPr>
          <w:rFonts w:eastAsia="仿宋"/>
          <w:color w:val="auto"/>
          <w:sz w:val="24"/>
          <w:highlight w:val="none"/>
        </w:rPr>
        <w:t>的拆箱、通电、调试等各项工作由卖方负责，但必须在买方指定人员的参与下进行</w:t>
      </w:r>
      <w:r>
        <w:rPr>
          <w:rFonts w:hint="eastAsia" w:eastAsia="仿宋"/>
          <w:color w:val="auto"/>
          <w:sz w:val="24"/>
          <w:highlight w:val="none"/>
        </w:rPr>
        <w:t>，</w:t>
      </w:r>
      <w:r>
        <w:rPr>
          <w:rFonts w:eastAsia="仿宋"/>
          <w:color w:val="auto"/>
          <w:sz w:val="24"/>
          <w:highlight w:val="none"/>
        </w:rPr>
        <w:t>在实际实施前必须先经买方同意。</w:t>
      </w:r>
    </w:p>
    <w:p w14:paraId="69B99CC5">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4</w:t>
      </w:r>
      <w:r>
        <w:rPr>
          <w:rFonts w:hint="eastAsia" w:eastAsia="仿宋"/>
          <w:color w:val="auto"/>
          <w:sz w:val="24"/>
          <w:highlight w:val="none"/>
        </w:rPr>
        <w:t>、</w:t>
      </w:r>
      <w:r>
        <w:rPr>
          <w:rFonts w:hint="eastAsia" w:eastAsia="仿宋"/>
          <w:color w:val="auto"/>
          <w:sz w:val="24"/>
          <w:highlight w:val="none"/>
          <w:lang w:val="en-US" w:eastAsia="zh-CN"/>
        </w:rPr>
        <w:t>车辆及车载设备应</w:t>
      </w:r>
      <w:r>
        <w:rPr>
          <w:rFonts w:eastAsia="仿宋"/>
          <w:color w:val="auto"/>
          <w:sz w:val="24"/>
          <w:highlight w:val="none"/>
        </w:rPr>
        <w:t>按照国家有关技术标准在制造厂检查和试验合格</w:t>
      </w:r>
      <w:r>
        <w:rPr>
          <w:rFonts w:hint="eastAsia" w:ascii="仿宋" w:hAnsi="仿宋" w:eastAsia="仿宋" w:cs="仿宋"/>
          <w:b/>
          <w:color w:val="auto"/>
          <w:kern w:val="0"/>
          <w:sz w:val="24"/>
          <w:highlight w:val="none"/>
        </w:rPr>
        <w:t>（须具有</w:t>
      </w:r>
      <w:r>
        <w:rPr>
          <w:rFonts w:hint="eastAsia" w:ascii="仿宋" w:hAnsi="仿宋" w:eastAsia="仿宋" w:cs="仿宋"/>
          <w:b/>
          <w:color w:val="auto"/>
          <w:kern w:val="0"/>
          <w:sz w:val="24"/>
          <w:highlight w:val="none"/>
          <w:lang w:val="en-US" w:eastAsia="zh-CN"/>
        </w:rPr>
        <w:t>车辆</w:t>
      </w:r>
      <w:r>
        <w:rPr>
          <w:rFonts w:hint="eastAsia" w:ascii="仿宋" w:hAnsi="仿宋" w:eastAsia="仿宋" w:cs="仿宋"/>
          <w:b/>
          <w:color w:val="auto"/>
          <w:kern w:val="0"/>
          <w:sz w:val="24"/>
          <w:highlight w:val="none"/>
        </w:rPr>
        <w:t>出厂合格证）</w:t>
      </w:r>
      <w:r>
        <w:rPr>
          <w:rFonts w:eastAsia="仿宋"/>
          <w:color w:val="auto"/>
          <w:sz w:val="24"/>
          <w:highlight w:val="none"/>
        </w:rPr>
        <w:t>，以表明其运行性能、安全性能以及设备材料和结构在电气、机械上的完整性。</w:t>
      </w:r>
    </w:p>
    <w:p w14:paraId="6751C861">
      <w:pPr>
        <w:spacing w:line="460" w:lineRule="exact"/>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（二）验收</w:t>
      </w:r>
    </w:p>
    <w:p w14:paraId="3A9BE687">
      <w:pPr>
        <w:spacing w:line="460" w:lineRule="exact"/>
        <w:ind w:firstLine="600" w:firstLineChars="250"/>
        <w:rPr>
          <w:rFonts w:hint="eastAsia" w:ascii="仿宋" w:hAnsi="仿宋" w:eastAsia="仿宋"/>
          <w:color w:val="auto"/>
          <w:sz w:val="24"/>
          <w:highlight w:val="none"/>
        </w:rPr>
      </w:pPr>
      <w:r>
        <w:rPr>
          <w:rFonts w:hint="eastAsia" w:ascii="仿宋" w:hAnsi="仿宋" w:eastAsia="仿宋"/>
          <w:color w:val="auto"/>
          <w:sz w:val="24"/>
          <w:highlight w:val="none"/>
        </w:rPr>
        <w:t>严格按照国家有关规范标准及江西省消防救援总队装备验收的要求组织验收，江西省消防救援总队装备验收的要求详见合同附件。</w:t>
      </w:r>
    </w:p>
    <w:p w14:paraId="04AEF093">
      <w:pPr>
        <w:keepNext w:val="0"/>
        <w:keepLines w:val="0"/>
        <w:adjustRightInd w:val="0"/>
        <w:snapToGrid w:val="0"/>
        <w:spacing w:line="480" w:lineRule="exact"/>
        <w:ind w:firstLine="480" w:firstLineChars="200"/>
        <w:jc w:val="left"/>
        <w:rPr>
          <w:color w:val="auto"/>
          <w:highlight w:val="none"/>
        </w:rPr>
      </w:pPr>
      <w:r>
        <w:rPr>
          <w:rFonts w:hint="eastAsia" w:ascii="仿宋" w:hAnsi="仿宋" w:eastAsia="仿宋"/>
          <w:color w:val="auto"/>
          <w:sz w:val="24"/>
          <w:highlight w:val="none"/>
          <w:lang w:eastAsia="zh-CN"/>
        </w:rPr>
        <w:t>买方有权根据实际开展验收，卖方应认可</w:t>
      </w:r>
      <w:r>
        <w:rPr>
          <w:rFonts w:hint="eastAsia" w:ascii="仿宋" w:hAnsi="仿宋" w:eastAsia="仿宋"/>
          <w:color w:val="auto"/>
          <w:sz w:val="24"/>
          <w:highlight w:val="none"/>
        </w:rPr>
        <w:t>江西省消防救援总队装备验收</w:t>
      </w:r>
      <w:r>
        <w:rPr>
          <w:rFonts w:hint="eastAsia" w:ascii="仿宋" w:hAnsi="仿宋" w:eastAsia="仿宋"/>
          <w:color w:val="auto"/>
          <w:sz w:val="24"/>
          <w:highlight w:val="none"/>
          <w:lang w:eastAsia="zh-CN"/>
        </w:rPr>
        <w:t>的时间、程序和方式。</w:t>
      </w:r>
    </w:p>
    <w:p w14:paraId="3EE06EB5">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六、违约赔偿</w:t>
      </w:r>
    </w:p>
    <w:p w14:paraId="3229592C">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（一）在履行合同过程中，如果卖方遇到不能按期交货和提供服务情况，应及时以书面形式将不能按时交货的理由、可能延误的时间通知买方</w:t>
      </w:r>
      <w:r>
        <w:rPr>
          <w:rFonts w:hint="eastAsia" w:eastAsia="仿宋"/>
          <w:color w:val="auto"/>
          <w:sz w:val="24"/>
          <w:highlight w:val="none"/>
          <w:lang w:eastAsia="zh-CN"/>
        </w:rPr>
        <w:t>，</w:t>
      </w:r>
      <w:r>
        <w:rPr>
          <w:rFonts w:hint="eastAsia" w:eastAsia="仿宋"/>
          <w:color w:val="auto"/>
          <w:sz w:val="24"/>
          <w:highlight w:val="none"/>
          <w:lang w:val="en-US" w:eastAsia="zh-CN"/>
        </w:rPr>
        <w:t>经买方书面同意后可延期交货或提供服务</w:t>
      </w:r>
      <w:r>
        <w:rPr>
          <w:rFonts w:eastAsia="仿宋"/>
          <w:color w:val="auto"/>
          <w:sz w:val="24"/>
          <w:highlight w:val="none"/>
        </w:rPr>
        <w:t>。</w:t>
      </w:r>
    </w:p>
    <w:p w14:paraId="15F3BE23">
      <w:pPr>
        <w:spacing w:line="460" w:lineRule="exact"/>
        <w:ind w:firstLine="480" w:firstLineChars="200"/>
        <w:jc w:val="left"/>
        <w:rPr>
          <w:rFonts w:eastAsia="仿宋"/>
          <w:color w:val="auto"/>
          <w:sz w:val="24"/>
          <w:highlight w:val="none"/>
        </w:rPr>
      </w:pPr>
      <w:r>
        <w:rPr>
          <w:rFonts w:eastAsia="仿宋"/>
          <w:color w:val="auto"/>
          <w:sz w:val="24"/>
          <w:highlight w:val="none"/>
        </w:rPr>
        <w:t>（二）如果卖方毫无理由拖延交货，将受到加收违约损失赔偿的制裁或终止合同。</w:t>
      </w:r>
    </w:p>
    <w:p w14:paraId="3EF7CFCA">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（三）</w:t>
      </w:r>
      <w:r>
        <w:rPr>
          <w:rFonts w:hint="eastAsia" w:eastAsia="仿宋"/>
          <w:color w:val="auto"/>
          <w:sz w:val="24"/>
          <w:highlight w:val="none"/>
          <w:lang w:val="en-US" w:eastAsia="zh-CN"/>
        </w:rPr>
        <w:t>除不可抗力外，如果卖方没有按照合同规定的时间交货、提供服务，每延误1天（不足24小时按1天计算），买方按迟交车辆交货价或未提供服务费用的百分之零点二五（0.25%）计收延期交付赔偿金，最高限额为合同总价的百分之五（5%）。一旦达到最高限额，买方可终止合同。在交货阶段，买方若因延期交付赔偿金达到限额或无法提供合格产品终止合同，卖方需按合同总价的5%向买方支付赔偿金，由此给买方造成损失的，卖方还应承担全部赔偿责任。</w:t>
      </w:r>
    </w:p>
    <w:p w14:paraId="0C80760D">
      <w:pPr>
        <w:adjustRightInd w:val="0"/>
        <w:snapToGrid w:val="0"/>
        <w:spacing w:line="480" w:lineRule="exact"/>
        <w:ind w:firstLine="480" w:firstLineChars="200"/>
        <w:jc w:val="left"/>
        <w:rPr>
          <w:rFonts w:eastAsia="仿宋"/>
          <w:color w:val="auto"/>
          <w:sz w:val="24"/>
          <w:highlight w:val="none"/>
        </w:rPr>
      </w:pPr>
      <w:r>
        <w:rPr>
          <w:rFonts w:hint="eastAsia" w:eastAsia="仿宋"/>
          <w:color w:val="auto"/>
          <w:sz w:val="24"/>
          <w:highlight w:val="none"/>
        </w:rPr>
        <w:t>（四）</w:t>
      </w:r>
      <w:r>
        <w:rPr>
          <w:rFonts w:hint="eastAsia" w:ascii="Times New Roman" w:hAnsi="Times New Roman" w:eastAsia="仿宋" w:cs="Times New Roman"/>
          <w:color w:val="auto"/>
          <w:sz w:val="24"/>
          <w:szCs w:val="20"/>
          <w:highlight w:val="none"/>
          <w:lang w:val="en-US" w:eastAsia="zh-CN"/>
        </w:rPr>
        <w:t>验收时，买方判定卖方交付车辆的品质、性能、技术标准、质量要求等不符合合同约定的，买方将判定为验收不通过。卖方应立即对验收中存在的问题进行返厂整改，整改时间不得超过30日，整改完成后向买方提出复验申请并将车辆停放至买方指定位置。30日内未完成整改的，每超出1天（不足24小时按1天计算）</w:t>
      </w:r>
      <w:r>
        <w:rPr>
          <w:rFonts w:hint="eastAsia" w:ascii="Times New Roman" w:hAnsi="Times New Roman" w:eastAsia="仿宋" w:cs="Times New Roman"/>
          <w:color w:val="auto"/>
          <w:spacing w:val="0"/>
          <w:sz w:val="24"/>
          <w:szCs w:val="20"/>
          <w:highlight w:val="none"/>
          <w:lang w:val="en-US" w:eastAsia="zh-CN"/>
        </w:rPr>
        <w:t>，买方按合同总价百分之零点二（0.2%）计收延期整改赔偿金，最高限额为合同总价的百分之二（2%）（注：在不终止合同的前提下，延期交付赔偿金与延期整改赔偿金相互独立，分别计收），一旦达到最高限额，买方可终止合同。若在整改阶段，买方因卖方延期整改超过（含）10天或复验不合格而终止合同，卖方应按合同总价的7%向买方支付赔偿金（无论交货延期时长），由此给买方造成损失的，卖方还应承担全部赔偿责任。</w:t>
      </w:r>
    </w:p>
    <w:p w14:paraId="2C783FAB">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（五）卖方偿付的违约金不足以弥补买方损失的，还应按买方损失尚未弥补的部分，支付赔偿金给买方。</w:t>
      </w:r>
    </w:p>
    <w:p w14:paraId="26FE11D6">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（六）买方有权从卖方交付的履约保证金中扣除卖方应偿付的违约金。</w:t>
      </w:r>
    </w:p>
    <w:p w14:paraId="515D4032">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七）对于卖方应承担的违约责任，买方有权直接使用履约保证金进行抵扣或向出具独立保函的金融机构主张索赔。卖方应当自履约保证金抵扣发生之日起二日内向买方补足履约保证金或要求提供保函的金融机构出具补充保函。</w:t>
      </w:r>
    </w:p>
    <w:p w14:paraId="6E4EB0CD">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（八）卖方保证本合同项下</w:t>
      </w:r>
      <w:r>
        <w:rPr>
          <w:rFonts w:hint="eastAsia" w:eastAsia="仿宋"/>
          <w:color w:val="auto"/>
          <w:sz w:val="24"/>
          <w:highlight w:val="none"/>
          <w:lang w:val="en-US" w:eastAsia="zh-CN"/>
        </w:rPr>
        <w:t>车辆及车载设备</w:t>
      </w:r>
      <w:r>
        <w:rPr>
          <w:rFonts w:eastAsia="仿宋"/>
          <w:color w:val="auto"/>
          <w:sz w:val="24"/>
          <w:highlight w:val="none"/>
        </w:rPr>
        <w:t>的权利无瑕疵，包括所有权及知识产权等权利无瑕疵，因此引起的任何纠纷及责任由卖方承担，且不得损害买方利益。如任何第三方经法院（或仲裁机构）裁决有权对上述</w:t>
      </w:r>
      <w:r>
        <w:rPr>
          <w:rFonts w:hint="eastAsia" w:eastAsia="仿宋"/>
          <w:color w:val="auto"/>
          <w:sz w:val="24"/>
          <w:highlight w:val="none"/>
          <w:lang w:eastAsia="zh-CN"/>
        </w:rPr>
        <w:t>产品</w:t>
      </w:r>
      <w:r>
        <w:rPr>
          <w:rFonts w:eastAsia="仿宋"/>
          <w:color w:val="auto"/>
          <w:sz w:val="24"/>
          <w:highlight w:val="none"/>
        </w:rPr>
        <w:t>主张权利或国家机关依法对</w:t>
      </w:r>
      <w:r>
        <w:rPr>
          <w:rFonts w:hint="eastAsia" w:eastAsia="仿宋"/>
          <w:color w:val="auto"/>
          <w:sz w:val="24"/>
          <w:highlight w:val="none"/>
          <w:lang w:eastAsia="zh-CN"/>
        </w:rPr>
        <w:t>产品</w:t>
      </w:r>
      <w:r>
        <w:rPr>
          <w:rFonts w:eastAsia="仿宋"/>
          <w:color w:val="auto"/>
          <w:sz w:val="24"/>
          <w:highlight w:val="none"/>
        </w:rPr>
        <w:t>进行没收查处的，卖方应按合同总价的10%向买方支付的违约金并赔偿因此给买方造成的一切损失。</w:t>
      </w:r>
    </w:p>
    <w:p w14:paraId="2AA8E0C8">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（九）在质</w:t>
      </w:r>
      <w:r>
        <w:rPr>
          <w:rFonts w:hint="eastAsia" w:eastAsia="仿宋"/>
          <w:color w:val="auto"/>
          <w:sz w:val="24"/>
          <w:highlight w:val="none"/>
          <w:lang w:eastAsia="zh-CN"/>
        </w:rPr>
        <w:t>保</w:t>
      </w:r>
      <w:r>
        <w:rPr>
          <w:rFonts w:eastAsia="仿宋"/>
          <w:color w:val="auto"/>
          <w:sz w:val="24"/>
          <w:highlight w:val="none"/>
        </w:rPr>
        <w:t>期内，卖方不按照合同要求提供售后服务，买方可以从履约保证金中扣除相应费用，费用超出履约保证金金额的，买方向卖方进行索赔。</w:t>
      </w:r>
    </w:p>
    <w:p w14:paraId="47886C41">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（十）买方在卖方违约的情况下，如果发生下列情况之一，可终止合同：</w:t>
      </w:r>
    </w:p>
    <w:p w14:paraId="221B19E3">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卖方未能在合同规定的期限内提供合同约定的</w:t>
      </w:r>
      <w:r>
        <w:rPr>
          <w:rFonts w:hint="eastAsia" w:eastAsia="仿宋"/>
          <w:color w:val="auto"/>
          <w:sz w:val="24"/>
          <w:highlight w:val="none"/>
          <w:lang w:eastAsia="zh-CN"/>
        </w:rPr>
        <w:t>产品</w:t>
      </w:r>
      <w:r>
        <w:rPr>
          <w:rFonts w:eastAsia="仿宋"/>
          <w:color w:val="auto"/>
          <w:sz w:val="24"/>
          <w:highlight w:val="none"/>
        </w:rPr>
        <w:t>。</w:t>
      </w:r>
    </w:p>
    <w:p w14:paraId="54A5E063">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2</w:t>
      </w:r>
      <w:r>
        <w:rPr>
          <w:rFonts w:hint="eastAsia" w:eastAsia="仿宋"/>
          <w:color w:val="auto"/>
          <w:sz w:val="24"/>
          <w:highlight w:val="none"/>
        </w:rPr>
        <w:t>、</w:t>
      </w:r>
      <w:r>
        <w:rPr>
          <w:rFonts w:eastAsia="仿宋"/>
          <w:color w:val="auto"/>
          <w:sz w:val="24"/>
          <w:highlight w:val="none"/>
        </w:rPr>
        <w:t>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14:paraId="53B94C41">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w:t>
      </w:r>
      <w:r>
        <w:rPr>
          <w:rFonts w:hint="eastAsia" w:eastAsia="仿宋"/>
          <w:color w:val="auto"/>
          <w:sz w:val="24"/>
          <w:highlight w:val="none"/>
          <w:lang w:eastAsia="zh-CN"/>
        </w:rPr>
        <w:t>一</w:t>
      </w:r>
      <w:r>
        <w:rPr>
          <w:rFonts w:eastAsia="仿宋"/>
          <w:color w:val="auto"/>
          <w:sz w:val="24"/>
          <w:highlight w:val="none"/>
        </w:rPr>
        <w:t>）卖方未经买方书面同意，不得将买方提供的资料或者因本合同所知悉的买方的相关秘密向任何第三方出示、泄露或提供，也不得将上述资料或者秘密用于非本合同的其它领域，否则，由卖方赔偿合同总金额30%的赔偿金，若该行为给买方造成的损失高于上述违约金的以给买方造成的损失为准。</w:t>
      </w:r>
    </w:p>
    <w:p w14:paraId="5BA64764">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w:t>
      </w:r>
      <w:r>
        <w:rPr>
          <w:rFonts w:hint="eastAsia" w:eastAsia="仿宋"/>
          <w:color w:val="auto"/>
          <w:sz w:val="24"/>
          <w:highlight w:val="none"/>
          <w:lang w:eastAsia="zh-CN"/>
        </w:rPr>
        <w:t>二</w:t>
      </w:r>
      <w:r>
        <w:rPr>
          <w:rFonts w:eastAsia="仿宋"/>
          <w:color w:val="auto"/>
          <w:sz w:val="24"/>
          <w:highlight w:val="none"/>
        </w:rPr>
        <w:t>）如果双方中任何一方由于战争、严重火灾、水灾、台风和地震以及其它经双方同意属不可抗力的事故，致使合同履行受阻时，履行合同期限应予延长，延长时限应相当于事故所影响的时间，或双方协商解决。</w:t>
      </w:r>
    </w:p>
    <w:p w14:paraId="7F679C76">
      <w:pPr>
        <w:adjustRightInd w:val="0"/>
        <w:snapToGrid w:val="0"/>
        <w:spacing w:line="460" w:lineRule="exact"/>
        <w:ind w:firstLine="480" w:firstLineChars="200"/>
        <w:jc w:val="left"/>
        <w:rPr>
          <w:rFonts w:hint="default" w:eastAsia="仿宋"/>
          <w:color w:val="auto"/>
          <w:sz w:val="24"/>
          <w:highlight w:val="none"/>
          <w:lang w:val="en-US" w:eastAsia="zh-CN"/>
        </w:rPr>
      </w:pPr>
      <w:r>
        <w:rPr>
          <w:rFonts w:hint="eastAsia" w:eastAsia="仿宋"/>
          <w:color w:val="auto"/>
          <w:sz w:val="24"/>
          <w:highlight w:val="none"/>
          <w:lang w:eastAsia="zh-CN"/>
        </w:rPr>
        <w:t>（</w:t>
      </w:r>
      <w:r>
        <w:rPr>
          <w:rFonts w:hint="eastAsia" w:eastAsia="仿宋"/>
          <w:color w:val="auto"/>
          <w:sz w:val="24"/>
          <w:highlight w:val="none"/>
          <w:lang w:val="en-US" w:eastAsia="zh-CN"/>
        </w:rPr>
        <w:t>十三</w:t>
      </w:r>
      <w:r>
        <w:rPr>
          <w:rFonts w:hint="eastAsia" w:eastAsia="仿宋"/>
          <w:color w:val="auto"/>
          <w:sz w:val="24"/>
          <w:highlight w:val="none"/>
          <w:lang w:eastAsia="zh-CN"/>
        </w:rPr>
        <w:t>）</w:t>
      </w:r>
      <w:r>
        <w:rPr>
          <w:rFonts w:hint="eastAsia" w:eastAsia="仿宋"/>
          <w:color w:val="auto"/>
          <w:sz w:val="24"/>
          <w:highlight w:val="none"/>
          <w:lang w:val="en-US" w:eastAsia="zh-CN"/>
        </w:rPr>
        <w:t>卖方不按照与买方订立的合同履行义务，情节严重的，取消其二年至五年在江西省消防救援总队一切销售资格，并通告应急管理部、国家消防救援局。</w:t>
      </w:r>
    </w:p>
    <w:p w14:paraId="300E662D">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七、争议解决方式</w:t>
      </w:r>
    </w:p>
    <w:p w14:paraId="629B1F1F">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双方在履行合同中所发生的一切争议，应通过协商解决。如协商不成，</w:t>
      </w:r>
      <w:r>
        <w:rPr>
          <w:rFonts w:hint="eastAsia" w:ascii="仿宋" w:hAnsi="仿宋" w:eastAsia="仿宋"/>
          <w:color w:val="auto"/>
          <w:sz w:val="24"/>
          <w:highlight w:val="none"/>
          <w:lang w:eastAsia="zh-CN"/>
        </w:rPr>
        <w:t>应当</w:t>
      </w:r>
      <w:r>
        <w:rPr>
          <w:rFonts w:hint="eastAsia" w:ascii="仿宋" w:hAnsi="仿宋" w:eastAsia="仿宋"/>
          <w:color w:val="auto"/>
          <w:sz w:val="24"/>
          <w:highlight w:val="none"/>
        </w:rPr>
        <w:t>向买方所在地人民法院提起诉讼。</w:t>
      </w:r>
    </w:p>
    <w:p w14:paraId="0AD99A91">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八、合同签订</w:t>
      </w:r>
    </w:p>
    <w:p w14:paraId="018D54E1">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本合同一式四份，双方法定代表人或委托代理人签字并盖章，</w:t>
      </w:r>
      <w:r>
        <w:rPr>
          <w:rFonts w:hint="eastAsia" w:ascii="仿宋" w:hAnsi="仿宋" w:eastAsia="仿宋"/>
          <w:color w:val="auto"/>
          <w:sz w:val="24"/>
          <w:highlight w:val="none"/>
          <w:lang w:val="en-US" w:eastAsia="zh-CN"/>
        </w:rPr>
        <w:t>买</w:t>
      </w:r>
      <w:r>
        <w:rPr>
          <w:rFonts w:hint="eastAsia" w:ascii="仿宋" w:hAnsi="仿宋" w:eastAsia="仿宋"/>
          <w:color w:val="auto"/>
          <w:sz w:val="24"/>
          <w:highlight w:val="none"/>
        </w:rPr>
        <w:t>方</w:t>
      </w:r>
      <w:r>
        <w:rPr>
          <w:rFonts w:hint="eastAsia" w:ascii="仿宋" w:hAnsi="仿宋" w:eastAsia="仿宋"/>
          <w:color w:val="auto"/>
          <w:sz w:val="24"/>
          <w:highlight w:val="none"/>
          <w:lang w:val="en-US" w:eastAsia="zh-CN"/>
        </w:rPr>
        <w:t>执两</w:t>
      </w:r>
      <w:r>
        <w:rPr>
          <w:rFonts w:hint="eastAsia" w:ascii="仿宋" w:hAnsi="仿宋" w:eastAsia="仿宋"/>
          <w:color w:val="auto"/>
          <w:sz w:val="24"/>
          <w:highlight w:val="none"/>
        </w:rPr>
        <w:t>份、</w:t>
      </w:r>
      <w:r>
        <w:rPr>
          <w:rFonts w:hint="eastAsia" w:ascii="仿宋" w:hAnsi="仿宋" w:eastAsia="仿宋"/>
          <w:color w:val="auto"/>
          <w:sz w:val="24"/>
          <w:highlight w:val="none"/>
          <w:lang w:val="en-US" w:eastAsia="zh-CN"/>
        </w:rPr>
        <w:t>卖方执一份、</w:t>
      </w:r>
      <w:r>
        <w:rPr>
          <w:rFonts w:hint="eastAsia" w:ascii="仿宋" w:hAnsi="仿宋" w:eastAsia="仿宋"/>
          <w:color w:val="auto"/>
          <w:sz w:val="24"/>
          <w:highlight w:val="none"/>
        </w:rPr>
        <w:t>采购代理机构执一份。</w:t>
      </w:r>
    </w:p>
    <w:p w14:paraId="03B3DC49">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合同履行中，如需修改或补充合同内容，由双方协商另签署书面修改或补充协议并经双方确认后作为主合同不可分割的一部分。</w:t>
      </w:r>
    </w:p>
    <w:p w14:paraId="7C5DA6D0">
      <w:pPr>
        <w:spacing w:line="460" w:lineRule="exact"/>
        <w:rPr>
          <w:rFonts w:ascii="仿宋" w:hAnsi="仿宋" w:eastAsia="仿宋"/>
          <w:b/>
          <w:color w:val="auto"/>
          <w:sz w:val="24"/>
          <w:highlight w:val="none"/>
        </w:rPr>
      </w:pPr>
      <w:r>
        <w:rPr>
          <w:rFonts w:hint="eastAsia" w:ascii="仿宋" w:hAnsi="仿宋" w:eastAsia="仿宋"/>
          <w:b/>
          <w:color w:val="auto"/>
          <w:sz w:val="24"/>
          <w:highlight w:val="none"/>
          <w:lang w:eastAsia="zh-CN"/>
        </w:rPr>
        <w:t>九</w:t>
      </w:r>
      <w:r>
        <w:rPr>
          <w:rFonts w:hint="eastAsia" w:ascii="仿宋" w:hAnsi="仿宋" w:eastAsia="仿宋"/>
          <w:b/>
          <w:color w:val="auto"/>
          <w:sz w:val="24"/>
          <w:highlight w:val="none"/>
        </w:rPr>
        <w:t>、其他</w:t>
      </w:r>
    </w:p>
    <w:p w14:paraId="0AC8AD27">
      <w:pPr>
        <w:adjustRightInd w:val="0"/>
        <w:snapToGrid w:val="0"/>
        <w:spacing w:line="460" w:lineRule="exact"/>
        <w:ind w:firstLine="480" w:firstLineChars="200"/>
        <w:jc w:val="left"/>
        <w:rPr>
          <w:rFonts w:hint="eastAsia" w:eastAsia="仿宋"/>
          <w:color w:val="auto"/>
          <w:sz w:val="24"/>
          <w:highlight w:val="none"/>
        </w:rPr>
      </w:pPr>
      <w:r>
        <w:rPr>
          <w:rFonts w:hint="eastAsia" w:eastAsia="仿宋"/>
          <w:color w:val="auto"/>
          <w:sz w:val="24"/>
          <w:highlight w:val="none"/>
        </w:rPr>
        <w:t>本合同未尽事宜，均按招标文件及</w:t>
      </w:r>
      <w:r>
        <w:rPr>
          <w:rFonts w:hint="eastAsia" w:eastAsia="仿宋"/>
          <w:color w:val="auto"/>
          <w:sz w:val="24"/>
          <w:highlight w:val="none"/>
          <w:lang w:val="en-US" w:eastAsia="zh-CN"/>
        </w:rPr>
        <w:t>卖方</w:t>
      </w:r>
      <w:r>
        <w:rPr>
          <w:rFonts w:hint="eastAsia" w:eastAsia="仿宋"/>
          <w:color w:val="auto"/>
          <w:sz w:val="24"/>
          <w:highlight w:val="none"/>
        </w:rPr>
        <w:t>投标文件进行执行，包含但不限于</w:t>
      </w:r>
      <w:r>
        <w:rPr>
          <w:rFonts w:hint="eastAsia" w:eastAsia="仿宋"/>
          <w:color w:val="auto"/>
          <w:sz w:val="24"/>
          <w:highlight w:val="none"/>
          <w:lang w:val="en-US" w:eastAsia="zh-CN"/>
        </w:rPr>
        <w:t>卖</w:t>
      </w:r>
      <w:r>
        <w:rPr>
          <w:rFonts w:hint="eastAsia" w:eastAsia="仿宋"/>
          <w:color w:val="auto"/>
          <w:sz w:val="24"/>
          <w:highlight w:val="none"/>
        </w:rPr>
        <w:t>方投标文件中的承诺、方案，如：产品的售后服务、操作培训、质量监督、技术支持、电话回访、实地巡检、维护保养等内容</w:t>
      </w:r>
      <w:r>
        <w:rPr>
          <w:rFonts w:hint="eastAsia" w:eastAsia="仿宋"/>
          <w:color w:val="auto"/>
          <w:sz w:val="24"/>
          <w:highlight w:val="none"/>
          <w:lang w:eastAsia="zh-CN"/>
        </w:rPr>
        <w:t>。</w:t>
      </w:r>
    </w:p>
    <w:p w14:paraId="47D1A540">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卖方应保证买方不受第三方提出侵犯其专利权、商标权和设计权的起诉。如果任何第三方提出侵权指控或赔偿要求，卖方必须与第三方交涉，并承担发生和可能发生的一切损失、费用和法律责任。</w:t>
      </w:r>
    </w:p>
    <w:p w14:paraId="011AC8CB">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在交货前，买方须在应急管理部消防救援局装备物资信息采集系统</w:t>
      </w:r>
      <w:r>
        <w:rPr>
          <w:rFonts w:eastAsia="仿宋"/>
          <w:color w:val="auto"/>
          <w:sz w:val="24"/>
          <w:highlight w:val="none"/>
        </w:rPr>
        <w:t>(http://xfzb.119.gov.cn/html/index.html)</w:t>
      </w:r>
      <w:r>
        <w:rPr>
          <w:rFonts w:hint="eastAsia" w:eastAsia="仿宋"/>
          <w:color w:val="auto"/>
          <w:sz w:val="24"/>
          <w:highlight w:val="none"/>
        </w:rPr>
        <w:t>录入装备基础信息，申请装备唯一编码，并按照应急管理部消防救援局装备物资管理的相关标准要求，赋上二维码及</w:t>
      </w:r>
      <w:r>
        <w:rPr>
          <w:rFonts w:eastAsia="仿宋"/>
          <w:color w:val="auto"/>
          <w:sz w:val="24"/>
          <w:highlight w:val="none"/>
        </w:rPr>
        <w:t>RFID</w:t>
      </w:r>
      <w:r>
        <w:rPr>
          <w:rFonts w:hint="eastAsia" w:eastAsia="仿宋"/>
          <w:color w:val="auto"/>
          <w:sz w:val="24"/>
          <w:highlight w:val="none"/>
        </w:rPr>
        <w:t>标签。</w:t>
      </w:r>
    </w:p>
    <w:p w14:paraId="108D22EE">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卖方在交货时须提供所投车辆相对应的工信部公告查询截图</w:t>
      </w:r>
      <w:r>
        <w:rPr>
          <w:rFonts w:hint="eastAsia" w:ascii="仿宋" w:hAnsi="仿宋" w:eastAsia="仿宋" w:cs="仿宋"/>
          <w:color w:val="auto"/>
          <w:sz w:val="24"/>
          <w:szCs w:val="24"/>
          <w:highlight w:val="none"/>
          <w:lang w:val="en-US" w:eastAsia="zh-CN"/>
        </w:rPr>
        <w:t>，并</w:t>
      </w:r>
      <w:r>
        <w:rPr>
          <w:rFonts w:hint="eastAsia" w:eastAsia="仿宋"/>
          <w:color w:val="auto"/>
          <w:sz w:val="24"/>
          <w:highlight w:val="none"/>
        </w:rPr>
        <w:t>配合买方完成</w:t>
      </w:r>
      <w:r>
        <w:rPr>
          <w:rFonts w:hint="eastAsia" w:ascii="仿宋" w:hAnsi="仿宋" w:eastAsia="仿宋" w:cs="仿宋"/>
          <w:color w:val="auto"/>
          <w:kern w:val="0"/>
          <w:sz w:val="24"/>
          <w:highlight w:val="none"/>
        </w:rPr>
        <w:t>应急救援专用号牌</w:t>
      </w:r>
      <w:r>
        <w:rPr>
          <w:rFonts w:hint="eastAsia" w:eastAsia="仿宋"/>
          <w:color w:val="auto"/>
          <w:sz w:val="24"/>
          <w:highlight w:val="none"/>
        </w:rPr>
        <w:t>上牌，如卖方未提供或者提供虚假材料的，买方有权终止合同，并没收其履约保证金，由此产生的费用由卖方承担，给买方造成损失的卖方还应承担全部赔偿责任。</w:t>
      </w:r>
    </w:p>
    <w:p w14:paraId="7A305AAA">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本合同项下的</w:t>
      </w:r>
      <w:r>
        <w:rPr>
          <w:rFonts w:hint="eastAsia" w:eastAsia="仿宋"/>
          <w:color w:val="auto"/>
          <w:sz w:val="24"/>
          <w:highlight w:val="none"/>
          <w:lang w:val="en-US" w:eastAsia="zh-CN"/>
        </w:rPr>
        <w:t>车辆</w:t>
      </w:r>
      <w:r>
        <w:rPr>
          <w:rFonts w:eastAsia="仿宋"/>
          <w:color w:val="auto"/>
          <w:sz w:val="24"/>
          <w:highlight w:val="none"/>
        </w:rPr>
        <w:t>严禁进行转包；未经买方书面同意，卖方不得将</w:t>
      </w:r>
      <w:r>
        <w:rPr>
          <w:rFonts w:hint="eastAsia" w:eastAsia="仿宋"/>
          <w:color w:val="auto"/>
          <w:sz w:val="24"/>
          <w:highlight w:val="none"/>
          <w:lang w:val="en-US" w:eastAsia="zh-CN"/>
        </w:rPr>
        <w:t>车辆</w:t>
      </w:r>
      <w:r>
        <w:rPr>
          <w:rFonts w:eastAsia="仿宋"/>
          <w:color w:val="auto"/>
          <w:sz w:val="24"/>
          <w:highlight w:val="none"/>
        </w:rPr>
        <w:t>进行分包。否则买方有权解除合同，并要求卖方承担该单项货款30%的违约金，同时承担由此给买方造成的一切</w:t>
      </w:r>
      <w:r>
        <w:rPr>
          <w:rFonts w:hint="eastAsia" w:eastAsia="仿宋"/>
          <w:color w:val="auto"/>
          <w:sz w:val="24"/>
          <w:highlight w:val="none"/>
          <w:lang w:val="en-US" w:eastAsia="zh-CN"/>
        </w:rPr>
        <w:t>损失</w:t>
      </w:r>
      <w:r>
        <w:rPr>
          <w:rFonts w:eastAsia="仿宋"/>
          <w:color w:val="auto"/>
          <w:sz w:val="24"/>
          <w:highlight w:val="none"/>
        </w:rPr>
        <w:t>（包括但不限于管理费、交通费、诉讼费、律师费等）。</w:t>
      </w:r>
    </w:p>
    <w:p w14:paraId="1FBF0CD7">
      <w:pPr>
        <w:adjustRightInd w:val="0"/>
        <w:snapToGrid w:val="0"/>
        <w:spacing w:line="460" w:lineRule="exact"/>
        <w:ind w:firstLine="480" w:firstLineChars="200"/>
        <w:jc w:val="left"/>
        <w:rPr>
          <w:rFonts w:hint="eastAsia" w:eastAsia="仿宋"/>
          <w:color w:val="auto"/>
          <w:sz w:val="24"/>
          <w:highlight w:val="none"/>
        </w:rPr>
      </w:pPr>
      <w:r>
        <w:rPr>
          <w:rFonts w:hint="eastAsia" w:eastAsia="仿宋"/>
          <w:color w:val="auto"/>
          <w:sz w:val="24"/>
          <w:highlight w:val="none"/>
        </w:rPr>
        <w:t>本合同项下一方对另一方的通知或请求，应按照本合同载明的联系方式(联系地址、联系电话、信函、电子邮件、微信等)进行。本合同项下的任何通知或请求送达时间如下：如果是电子邮件，则在发送当日或退件当日视为送达，如果是信函，则在挂号信或快递发出后7日或退件之日视为送达；如果是派人送达，则在收件人签收之日视为送达；如果是微信</w:t>
      </w:r>
      <w:r>
        <w:rPr>
          <w:rFonts w:hint="eastAsia" w:eastAsia="仿宋"/>
          <w:color w:val="auto"/>
          <w:sz w:val="24"/>
          <w:highlight w:val="none"/>
          <w:lang w:eastAsia="zh-CN"/>
        </w:rPr>
        <w:t>，</w:t>
      </w:r>
      <w:r>
        <w:rPr>
          <w:rFonts w:hint="eastAsia" w:eastAsia="仿宋"/>
          <w:color w:val="auto"/>
          <w:sz w:val="24"/>
          <w:highlight w:val="none"/>
        </w:rPr>
        <w:t>则在发送之日视为送达；如果同时使用几种方式通知的，则以其中较快到达接收方者为准。</w:t>
      </w:r>
    </w:p>
    <w:p w14:paraId="5D7376AD">
      <w:pPr>
        <w:adjustRightInd w:val="0"/>
        <w:snapToGrid w:val="0"/>
        <w:spacing w:line="460" w:lineRule="exact"/>
        <w:ind w:firstLine="480" w:firstLineChars="200"/>
        <w:jc w:val="left"/>
        <w:rPr>
          <w:rFonts w:hint="eastAsia" w:ascii="Times New Roman" w:hAnsi="Times New Roman" w:eastAsia="仿宋"/>
          <w:color w:val="auto"/>
          <w:sz w:val="24"/>
          <w:highlight w:val="none"/>
        </w:rPr>
      </w:pPr>
      <w:r>
        <w:rPr>
          <w:rFonts w:hint="eastAsia" w:eastAsia="仿宋"/>
          <w:color w:val="auto"/>
          <w:sz w:val="24"/>
          <w:highlight w:val="none"/>
        </w:rPr>
        <w:t>如果所投</w:t>
      </w:r>
      <w:r>
        <w:rPr>
          <w:rFonts w:hint="eastAsia" w:eastAsia="仿宋"/>
          <w:color w:val="auto"/>
          <w:sz w:val="24"/>
          <w:highlight w:val="none"/>
          <w:lang w:val="en-US" w:eastAsia="zh-CN"/>
        </w:rPr>
        <w:t>车辆</w:t>
      </w:r>
      <w:r>
        <w:rPr>
          <w:rFonts w:hint="eastAsia" w:eastAsia="仿宋"/>
          <w:color w:val="auto"/>
          <w:sz w:val="24"/>
          <w:highlight w:val="none"/>
        </w:rPr>
        <w:t>采用进口零部件，且零部件享受《关于国家综合性消防救援队伍进口税收政策的通知》（财关税〔2023〕17号），</w:t>
      </w:r>
      <w:r>
        <w:rPr>
          <w:rFonts w:hint="eastAsia" w:eastAsia="仿宋"/>
          <w:color w:val="auto"/>
          <w:sz w:val="24"/>
          <w:highlight w:val="none"/>
          <w:lang w:val="en-US" w:eastAsia="zh-CN"/>
        </w:rPr>
        <w:t>卖方</w:t>
      </w:r>
      <w:r>
        <w:rPr>
          <w:rFonts w:hint="eastAsia" w:eastAsia="仿宋"/>
          <w:color w:val="auto"/>
          <w:sz w:val="24"/>
          <w:highlight w:val="none"/>
        </w:rPr>
        <w:t>积极配合</w:t>
      </w:r>
      <w:r>
        <w:rPr>
          <w:rFonts w:hint="eastAsia" w:eastAsia="仿宋"/>
          <w:color w:val="auto"/>
          <w:sz w:val="24"/>
          <w:highlight w:val="none"/>
          <w:lang w:val="en-US" w:eastAsia="zh-CN"/>
        </w:rPr>
        <w:t>买方</w:t>
      </w:r>
      <w:r>
        <w:rPr>
          <w:rFonts w:hint="eastAsia" w:eastAsia="仿宋"/>
          <w:color w:val="auto"/>
          <w:sz w:val="24"/>
          <w:highlight w:val="none"/>
        </w:rPr>
        <w:t>办理相关免税手续，最后将免税后金额作为合同金额。</w:t>
      </w:r>
    </w:p>
    <w:p w14:paraId="4AFC3734">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本合同条款由江西省消防救援总队负责解释，</w:t>
      </w:r>
      <w:r>
        <w:rPr>
          <w:rFonts w:hint="eastAsia" w:eastAsia="仿宋"/>
          <w:color w:val="auto"/>
          <w:sz w:val="24"/>
          <w:highlight w:val="none"/>
          <w:lang w:val="en-US" w:eastAsia="zh-CN"/>
        </w:rPr>
        <w:t>本合同经双方授权代表签字并盖章</w:t>
      </w:r>
      <w:r>
        <w:rPr>
          <w:rFonts w:eastAsia="仿宋"/>
          <w:color w:val="auto"/>
          <w:sz w:val="24"/>
          <w:highlight w:val="none"/>
        </w:rPr>
        <w:t>之日起生效。</w:t>
      </w:r>
    </w:p>
    <w:p w14:paraId="01165E25">
      <w:pPr>
        <w:spacing w:line="460" w:lineRule="exact"/>
        <w:ind w:firstLine="480" w:firstLineChars="200"/>
        <w:jc w:val="left"/>
        <w:rPr>
          <w:rFonts w:ascii="仿宋" w:hAnsi="仿宋" w:eastAsia="仿宋"/>
          <w:color w:val="auto"/>
          <w:sz w:val="24"/>
          <w:highlight w:val="none"/>
        </w:rPr>
        <w:sectPr>
          <w:footerReference r:id="rId12" w:type="first"/>
          <w:footerReference r:id="rId11" w:type="default"/>
          <w:pgSz w:w="11907" w:h="16840"/>
          <w:pgMar w:top="1361" w:right="1417" w:bottom="1361" w:left="1417" w:header="425" w:footer="573" w:gutter="0"/>
          <w:pgNumType w:fmt="decimal"/>
          <w:cols w:space="720" w:num="1"/>
          <w:titlePg/>
          <w:docGrid w:linePitch="462" w:charSpace="0"/>
        </w:sectPr>
      </w:pPr>
    </w:p>
    <w:p w14:paraId="3068EB6F">
      <w:pPr>
        <w:spacing w:line="600" w:lineRule="exact"/>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附件：</w:t>
      </w:r>
    </w:p>
    <w:p w14:paraId="3A4C29B8">
      <w:pPr>
        <w:spacing w:line="600" w:lineRule="exact"/>
        <w:jc w:val="center"/>
        <w:rPr>
          <w:rFonts w:ascii="仿宋" w:hAnsi="仿宋" w:eastAsia="仿宋" w:cs="宋体"/>
          <w:b/>
          <w:bCs/>
          <w:color w:val="auto"/>
          <w:sz w:val="44"/>
          <w:szCs w:val="44"/>
          <w:highlight w:val="none"/>
        </w:rPr>
      </w:pPr>
      <w:r>
        <w:rPr>
          <w:rFonts w:hint="eastAsia" w:ascii="仿宋" w:hAnsi="仿宋" w:eastAsia="仿宋" w:cs="宋体"/>
          <w:b/>
          <w:bCs/>
          <w:color w:val="auto"/>
          <w:sz w:val="44"/>
          <w:szCs w:val="44"/>
          <w:highlight w:val="none"/>
        </w:rPr>
        <w:t>江西省消防救援总队装备验收有关要求</w:t>
      </w:r>
    </w:p>
    <w:p w14:paraId="20CF45EF">
      <w:pPr>
        <w:pStyle w:val="14"/>
        <w:rPr>
          <w:rFonts w:ascii="宋体" w:hAnsi="宋体" w:cs="宋体"/>
          <w:color w:val="auto"/>
          <w:sz w:val="28"/>
          <w:szCs w:val="28"/>
          <w:highlight w:val="none"/>
        </w:rPr>
      </w:pPr>
    </w:p>
    <w:p w14:paraId="13920044">
      <w:pPr>
        <w:spacing w:line="460" w:lineRule="exact"/>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一、验收有关事项</w:t>
      </w:r>
    </w:p>
    <w:p w14:paraId="75BBA5DC">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（一）验收主体</w:t>
      </w:r>
    </w:p>
    <w:p w14:paraId="02ABDEFC">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该项目由总队集中组织验收。</w:t>
      </w:r>
    </w:p>
    <w:p w14:paraId="081CD30F">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（二）验收程序</w:t>
      </w:r>
    </w:p>
    <w:p w14:paraId="5A165EFA">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装备验收按照提交申请、验收准备、现场实施、形成结论、出具意见、提交审计和拨发培训等程序进行。</w:t>
      </w:r>
    </w:p>
    <w:p w14:paraId="695BAB5E">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提交申请</w:t>
      </w:r>
      <w:r>
        <w:rPr>
          <w:rFonts w:hint="eastAsia" w:ascii="仿宋" w:hAnsi="仿宋" w:eastAsia="仿宋"/>
          <w:color w:val="auto"/>
          <w:sz w:val="24"/>
          <w:highlight w:val="none"/>
        </w:rPr>
        <w:t>。</w:t>
      </w:r>
      <w:r>
        <w:rPr>
          <w:rFonts w:ascii="仿宋" w:hAnsi="仿宋" w:eastAsia="仿宋"/>
          <w:color w:val="auto"/>
          <w:sz w:val="24"/>
          <w:highlight w:val="none"/>
        </w:rPr>
        <w:t>合同要求交付时间前7日，供应商填写《消防车辆（器材）验收申请表》</w:t>
      </w:r>
      <w:r>
        <w:rPr>
          <w:rFonts w:hint="eastAsia" w:ascii="仿宋" w:hAnsi="仿宋" w:eastAsia="仿宋"/>
          <w:color w:val="auto"/>
          <w:sz w:val="24"/>
          <w:highlight w:val="none"/>
        </w:rPr>
        <w:t>并向</w:t>
      </w:r>
      <w:r>
        <w:rPr>
          <w:rFonts w:ascii="仿宋" w:hAnsi="仿宋" w:eastAsia="仿宋"/>
          <w:color w:val="auto"/>
          <w:sz w:val="24"/>
          <w:highlight w:val="none"/>
        </w:rPr>
        <w:t>总队采购办</w:t>
      </w:r>
      <w:r>
        <w:rPr>
          <w:rFonts w:hint="eastAsia" w:ascii="仿宋" w:hAnsi="仿宋" w:eastAsia="仿宋"/>
          <w:color w:val="auto"/>
          <w:sz w:val="24"/>
          <w:highlight w:val="none"/>
        </w:rPr>
        <w:t>提交</w:t>
      </w:r>
      <w:r>
        <w:rPr>
          <w:rFonts w:ascii="仿宋" w:hAnsi="仿宋" w:eastAsia="仿宋"/>
          <w:color w:val="auto"/>
          <w:sz w:val="24"/>
          <w:highlight w:val="none"/>
        </w:rPr>
        <w:t>。</w:t>
      </w:r>
    </w:p>
    <w:p w14:paraId="22A4AB3C">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验收准备</w:t>
      </w:r>
      <w:r>
        <w:rPr>
          <w:rFonts w:hint="eastAsia" w:ascii="仿宋" w:hAnsi="仿宋" w:eastAsia="仿宋"/>
          <w:color w:val="auto"/>
          <w:sz w:val="24"/>
          <w:highlight w:val="none"/>
        </w:rPr>
        <w:t>。装备验收组</w:t>
      </w:r>
      <w:r>
        <w:rPr>
          <w:rFonts w:ascii="仿宋" w:hAnsi="仿宋" w:eastAsia="仿宋"/>
          <w:color w:val="auto"/>
          <w:sz w:val="24"/>
          <w:highlight w:val="none"/>
        </w:rPr>
        <w:t>人员确定后，由装备</w:t>
      </w:r>
      <w:r>
        <w:rPr>
          <w:rFonts w:hint="eastAsia" w:ascii="仿宋" w:hAnsi="仿宋" w:eastAsia="仿宋"/>
          <w:color w:val="auto"/>
          <w:sz w:val="24"/>
          <w:highlight w:val="none"/>
        </w:rPr>
        <w:t>验收组</w:t>
      </w:r>
      <w:r>
        <w:rPr>
          <w:rFonts w:ascii="仿宋" w:hAnsi="仿宋" w:eastAsia="仿宋"/>
          <w:color w:val="auto"/>
          <w:sz w:val="24"/>
          <w:highlight w:val="none"/>
        </w:rPr>
        <w:t>长根据验收任务牵头制定验收方案按程序报批，明确验收时间、地点、任务等具体事项。确定验收时间</w:t>
      </w:r>
      <w:r>
        <w:rPr>
          <w:rFonts w:hint="eastAsia" w:ascii="仿宋" w:hAnsi="仿宋" w:eastAsia="仿宋"/>
          <w:color w:val="auto"/>
          <w:sz w:val="24"/>
          <w:highlight w:val="none"/>
        </w:rPr>
        <w:t>、地点</w:t>
      </w:r>
      <w:r>
        <w:rPr>
          <w:rFonts w:ascii="仿宋" w:hAnsi="仿宋" w:eastAsia="仿宋"/>
          <w:color w:val="auto"/>
          <w:sz w:val="24"/>
          <w:highlight w:val="none"/>
        </w:rPr>
        <w:t>后</w:t>
      </w:r>
      <w:r>
        <w:rPr>
          <w:rFonts w:hint="eastAsia" w:ascii="仿宋" w:hAnsi="仿宋" w:eastAsia="仿宋"/>
          <w:color w:val="auto"/>
          <w:sz w:val="24"/>
          <w:highlight w:val="none"/>
        </w:rPr>
        <w:t>，</w:t>
      </w:r>
      <w:r>
        <w:rPr>
          <w:rFonts w:ascii="仿宋" w:hAnsi="仿宋" w:eastAsia="仿宋"/>
          <w:color w:val="auto"/>
          <w:sz w:val="24"/>
          <w:highlight w:val="none"/>
        </w:rPr>
        <w:t>采购办通知供应商，项目负责人和技术人员携带相关技术</w:t>
      </w:r>
      <w:r>
        <w:rPr>
          <w:rFonts w:hint="eastAsia" w:ascii="仿宋" w:hAnsi="仿宋" w:eastAsia="仿宋"/>
          <w:color w:val="auto"/>
          <w:sz w:val="24"/>
          <w:highlight w:val="none"/>
        </w:rPr>
        <w:t>档案</w:t>
      </w:r>
      <w:r>
        <w:rPr>
          <w:rFonts w:ascii="仿宋" w:hAnsi="仿宋" w:eastAsia="仿宋"/>
          <w:color w:val="auto"/>
          <w:sz w:val="24"/>
          <w:highlight w:val="none"/>
        </w:rPr>
        <w:t>、证明材料原件等资料按时到场配合验收工作</w:t>
      </w:r>
      <w:r>
        <w:rPr>
          <w:rFonts w:hint="eastAsia" w:ascii="仿宋" w:hAnsi="仿宋" w:eastAsia="仿宋"/>
          <w:color w:val="auto"/>
          <w:sz w:val="24"/>
          <w:highlight w:val="none"/>
        </w:rPr>
        <w:t>。</w:t>
      </w:r>
    </w:p>
    <w:p w14:paraId="472FFB4A">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现场实施</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按照标准要求组织开展验收。</w:t>
      </w:r>
    </w:p>
    <w:p w14:paraId="69DB6FD3">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4.</w:t>
      </w:r>
      <w:r>
        <w:rPr>
          <w:rFonts w:ascii="仿宋" w:hAnsi="仿宋" w:eastAsia="仿宋"/>
          <w:color w:val="auto"/>
          <w:sz w:val="24"/>
          <w:highlight w:val="none"/>
        </w:rPr>
        <w:t>形成结论</w:t>
      </w:r>
      <w:r>
        <w:rPr>
          <w:rFonts w:hint="eastAsia" w:ascii="仿宋" w:hAnsi="仿宋" w:eastAsia="仿宋"/>
          <w:color w:val="auto"/>
          <w:sz w:val="24"/>
          <w:highlight w:val="none"/>
        </w:rPr>
        <w:t>。</w:t>
      </w:r>
      <w:r>
        <w:rPr>
          <w:rFonts w:ascii="仿宋" w:hAnsi="仿宋" w:eastAsia="仿宋"/>
          <w:color w:val="auto"/>
          <w:sz w:val="24"/>
          <w:highlight w:val="none"/>
        </w:rPr>
        <w:t>验收结束后，由总队</w:t>
      </w:r>
      <w:r>
        <w:rPr>
          <w:rFonts w:hint="eastAsia" w:ascii="仿宋" w:hAnsi="仿宋" w:eastAsia="仿宋"/>
          <w:color w:val="auto"/>
          <w:sz w:val="24"/>
          <w:highlight w:val="none"/>
        </w:rPr>
        <w:t>装备验收组</w:t>
      </w:r>
      <w:r>
        <w:rPr>
          <w:rFonts w:ascii="仿宋" w:hAnsi="仿宋" w:eastAsia="仿宋"/>
          <w:color w:val="auto"/>
          <w:sz w:val="24"/>
          <w:highlight w:val="none"/>
        </w:rPr>
        <w:t>统一汇总支</w:t>
      </w:r>
      <w:r>
        <w:rPr>
          <w:rFonts w:hint="eastAsia" w:ascii="仿宋" w:hAnsi="仿宋" w:eastAsia="仿宋"/>
          <w:color w:val="auto"/>
          <w:sz w:val="24"/>
          <w:highlight w:val="none"/>
        </w:rPr>
        <w:t>、</w:t>
      </w:r>
      <w:r>
        <w:rPr>
          <w:rFonts w:ascii="仿宋" w:hAnsi="仿宋" w:eastAsia="仿宋"/>
          <w:color w:val="auto"/>
          <w:sz w:val="24"/>
          <w:highlight w:val="none"/>
        </w:rPr>
        <w:t>总队验收情况，形成验收结论报告，</w:t>
      </w:r>
      <w:r>
        <w:rPr>
          <w:rFonts w:hint="eastAsia" w:ascii="仿宋" w:hAnsi="仿宋" w:eastAsia="仿宋"/>
          <w:color w:val="auto"/>
          <w:sz w:val="24"/>
          <w:highlight w:val="none"/>
        </w:rPr>
        <w:t>按程序</w:t>
      </w:r>
      <w:r>
        <w:rPr>
          <w:rFonts w:ascii="仿宋" w:hAnsi="仿宋" w:eastAsia="仿宋"/>
          <w:color w:val="auto"/>
          <w:sz w:val="24"/>
          <w:highlight w:val="none"/>
        </w:rPr>
        <w:t>提交总队</w:t>
      </w:r>
      <w:r>
        <w:rPr>
          <w:rFonts w:hint="eastAsia" w:ascii="仿宋" w:hAnsi="仿宋" w:eastAsia="仿宋"/>
          <w:color w:val="auto"/>
          <w:sz w:val="24"/>
          <w:highlight w:val="none"/>
        </w:rPr>
        <w:t>采购领导小组</w:t>
      </w:r>
      <w:r>
        <w:rPr>
          <w:rFonts w:ascii="仿宋" w:hAnsi="仿宋" w:eastAsia="仿宋"/>
          <w:color w:val="auto"/>
          <w:sz w:val="24"/>
          <w:highlight w:val="none"/>
        </w:rPr>
        <w:t>审批。</w:t>
      </w:r>
    </w:p>
    <w:p w14:paraId="0D2BBF16">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5.</w:t>
      </w:r>
      <w:r>
        <w:rPr>
          <w:rFonts w:ascii="仿宋" w:hAnsi="仿宋" w:eastAsia="仿宋"/>
          <w:color w:val="auto"/>
          <w:sz w:val="24"/>
          <w:highlight w:val="none"/>
        </w:rPr>
        <w:t>出具意见</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根据总队审批结果，下达意见书。一致性验收的，由总队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出具《消防车辆（器材）一致性验收意见书》《消防车辆（器材）一致性验收整改意见书》；质量性能验收的，由</w:t>
      </w:r>
      <w:r>
        <w:rPr>
          <w:rFonts w:hint="eastAsia" w:ascii="仿宋" w:hAnsi="仿宋" w:eastAsia="仿宋"/>
          <w:color w:val="auto"/>
          <w:sz w:val="24"/>
          <w:highlight w:val="none"/>
          <w:lang w:val="en-US" w:eastAsia="zh-CN"/>
        </w:rPr>
        <w:t>总（</w:t>
      </w:r>
      <w:r>
        <w:rPr>
          <w:rFonts w:ascii="仿宋" w:hAnsi="仿宋" w:eastAsia="仿宋"/>
          <w:color w:val="auto"/>
          <w:sz w:val="24"/>
          <w:highlight w:val="none"/>
        </w:rPr>
        <w:t>支</w:t>
      </w:r>
      <w:r>
        <w:rPr>
          <w:rFonts w:hint="eastAsia" w:ascii="仿宋" w:hAnsi="仿宋" w:eastAsia="仿宋"/>
          <w:color w:val="auto"/>
          <w:sz w:val="24"/>
          <w:highlight w:val="none"/>
          <w:lang w:eastAsia="zh-CN"/>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出具《消防车辆（器材）质量性能验收意见书》《消防车辆（器材）质量性能验收整改意见书》。</w:t>
      </w:r>
    </w:p>
    <w:p w14:paraId="59CD2AAF">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6.</w:t>
      </w:r>
      <w:r>
        <w:rPr>
          <w:rFonts w:ascii="仿宋" w:hAnsi="仿宋" w:eastAsia="仿宋"/>
          <w:color w:val="auto"/>
          <w:sz w:val="24"/>
          <w:highlight w:val="none"/>
        </w:rPr>
        <w:t>提交审计</w:t>
      </w:r>
      <w:r>
        <w:rPr>
          <w:rFonts w:hint="eastAsia" w:ascii="仿宋" w:hAnsi="仿宋" w:eastAsia="仿宋"/>
          <w:color w:val="auto"/>
          <w:sz w:val="24"/>
          <w:highlight w:val="none"/>
        </w:rPr>
        <w:t>。</w:t>
      </w:r>
      <w:r>
        <w:rPr>
          <w:rFonts w:ascii="仿宋" w:hAnsi="仿宋" w:eastAsia="仿宋"/>
          <w:color w:val="auto"/>
          <w:sz w:val="24"/>
          <w:highlight w:val="none"/>
        </w:rPr>
        <w:t>总队</w:t>
      </w:r>
      <w:r>
        <w:rPr>
          <w:rFonts w:hint="eastAsia" w:ascii="仿宋" w:hAnsi="仿宋" w:eastAsia="仿宋"/>
          <w:color w:val="auto"/>
          <w:sz w:val="24"/>
          <w:highlight w:val="none"/>
        </w:rPr>
        <w:t>装备验收组</w:t>
      </w:r>
      <w:r>
        <w:rPr>
          <w:rFonts w:ascii="仿宋" w:hAnsi="仿宋" w:eastAsia="仿宋"/>
          <w:color w:val="auto"/>
          <w:sz w:val="24"/>
          <w:highlight w:val="none"/>
        </w:rPr>
        <w:t>将验收档案资料提交总队审计室开展结算审计。总队</w:t>
      </w:r>
      <w:r>
        <w:rPr>
          <w:rFonts w:hint="eastAsia" w:ascii="仿宋" w:hAnsi="仿宋" w:eastAsia="仿宋"/>
          <w:color w:val="auto"/>
          <w:sz w:val="24"/>
          <w:highlight w:val="none"/>
        </w:rPr>
        <w:t>装备验收组</w:t>
      </w:r>
      <w:r>
        <w:rPr>
          <w:rFonts w:ascii="仿宋" w:hAnsi="仿宋" w:eastAsia="仿宋"/>
          <w:color w:val="auto"/>
          <w:sz w:val="24"/>
          <w:highlight w:val="none"/>
        </w:rPr>
        <w:t>根据项目结算审计报告下发调拨单。</w:t>
      </w:r>
    </w:p>
    <w:p w14:paraId="3791BC8A">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7.</w:t>
      </w:r>
      <w:r>
        <w:rPr>
          <w:rFonts w:ascii="仿宋" w:hAnsi="仿宋" w:eastAsia="仿宋"/>
          <w:color w:val="auto"/>
          <w:sz w:val="24"/>
          <w:highlight w:val="none"/>
        </w:rPr>
        <w:t>拨发培训</w:t>
      </w:r>
      <w:r>
        <w:rPr>
          <w:rFonts w:hint="eastAsia" w:ascii="仿宋" w:hAnsi="仿宋" w:eastAsia="仿宋"/>
          <w:color w:val="auto"/>
          <w:sz w:val="24"/>
          <w:highlight w:val="none"/>
        </w:rPr>
        <w:t>。</w:t>
      </w:r>
      <w:r>
        <w:rPr>
          <w:rFonts w:ascii="仿宋" w:hAnsi="仿宋" w:eastAsia="仿宋"/>
          <w:color w:val="auto"/>
          <w:sz w:val="24"/>
          <w:highlight w:val="none"/>
        </w:rPr>
        <w:t>装备拨发至基层队站后，供应商应在3天内组织开展操作和维护保养培训。其中，普通消防车辆操作和维护保养培训时间不少于1天，新型车辆、特种车辆操作和维护保养培训时间不少于2天；普通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时间不少于半天，新型器材、操作复杂的器材操作和维护保养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时间不少于1天。</w:t>
      </w:r>
    </w:p>
    <w:p w14:paraId="2E2E16F4">
      <w:pPr>
        <w:spacing w:line="460" w:lineRule="exact"/>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二、验收内容</w:t>
      </w:r>
    </w:p>
    <w:p w14:paraId="7DC1DDC5">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（一）消防</w:t>
      </w:r>
      <w:r>
        <w:rPr>
          <w:rFonts w:ascii="仿宋" w:hAnsi="仿宋" w:eastAsia="仿宋"/>
          <w:color w:val="auto"/>
          <w:sz w:val="24"/>
          <w:highlight w:val="none"/>
        </w:rPr>
        <w:t>车辆验收</w:t>
      </w:r>
    </w:p>
    <w:p w14:paraId="1F0CCF3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消防车辆的一致性验收和质量性能验收采取逐辆验收的方法进行</w:t>
      </w:r>
      <w:r>
        <w:rPr>
          <w:rFonts w:hint="eastAsia" w:ascii="仿宋" w:hAnsi="仿宋" w:eastAsia="仿宋"/>
          <w:color w:val="auto"/>
          <w:sz w:val="24"/>
          <w:highlight w:val="none"/>
        </w:rPr>
        <w:t>，</w:t>
      </w:r>
      <w:r>
        <w:rPr>
          <w:rFonts w:ascii="仿宋" w:hAnsi="仿宋" w:eastAsia="仿宋"/>
          <w:color w:val="auto"/>
          <w:sz w:val="24"/>
          <w:highlight w:val="none"/>
        </w:rPr>
        <w:t>批量采购的</w:t>
      </w:r>
      <w:r>
        <w:rPr>
          <w:rFonts w:hint="eastAsia" w:ascii="仿宋" w:hAnsi="仿宋" w:eastAsia="仿宋"/>
          <w:color w:val="auto"/>
          <w:sz w:val="24"/>
          <w:highlight w:val="none"/>
        </w:rPr>
        <w:t>消防车辆</w:t>
      </w:r>
      <w:r>
        <w:rPr>
          <w:rFonts w:ascii="仿宋" w:hAnsi="仿宋" w:eastAsia="仿宋"/>
          <w:color w:val="auto"/>
          <w:sz w:val="24"/>
          <w:highlight w:val="none"/>
        </w:rPr>
        <w:t>可视情进行生产过程检查。</w:t>
      </w:r>
    </w:p>
    <w:p w14:paraId="35852D89">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1.车辆一致性验收主要内容：</w:t>
      </w:r>
    </w:p>
    <w:p w14:paraId="36276354">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审查资料的齐全性、真实性、有效性、合法性等，经审查资料不合格的，不予进入外观检查、部件检查和性能测试等验收环节。主要包含工信部公告、出厂检验报告、整车合格证、底盘驾驶员操作手册、上装操作手册、底盘维修手册、保养保修手册、零件目录图册、上装维修手册、保养保修手册及云梯、水泵结构图、水管路、液压、电路配线系统图、附属外购设备和随车器材的使用说明书、维修保养手册、购车发票（一式四联、按国家规定要求的增值税发票），罐类消防车需提供总队水力性能测试站出具的水力性能检测报告。</w:t>
      </w:r>
    </w:p>
    <w:p w14:paraId="39620A89">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14:paraId="69892924">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①油漆的颜色及光亮度；</w:t>
      </w:r>
    </w:p>
    <w:p w14:paraId="6B5F93A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②外表的平整度；</w:t>
      </w:r>
    </w:p>
    <w:p w14:paraId="2A017E97">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③车门及卷帘门的密封；</w:t>
      </w:r>
    </w:p>
    <w:p w14:paraId="2A7CF998">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④车上各主要部件铭牌标牌、警示标志和重要设备操作流程图。</w:t>
      </w:r>
    </w:p>
    <w:p w14:paraId="2639BE5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（3）部件检查</w:t>
      </w:r>
    </w:p>
    <w:p w14:paraId="352CA3FB">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①底盘、泵、炮、取力器、臂架、压缩空气泡沫系统、起吊设备、牵引设备等主要部件的规格型号；</w:t>
      </w:r>
    </w:p>
    <w:p w14:paraId="1DC353DD">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 xml:space="preserve">②固定升降照明灯、固定排烟设备、警灯、警报、车灯、空调、照明、发电机、消防梯等附属设备的规格型号； </w:t>
      </w:r>
    </w:p>
    <w:p w14:paraId="6A11DFEB">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③随车器材的数量、规格和型号；</w:t>
      </w:r>
    </w:p>
    <w:p w14:paraId="651CA8D1">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④车门、卷帘门、器材箱、翻板、踏板等的材质、结构布局、紧密程度等；</w:t>
      </w:r>
    </w:p>
    <w:p w14:paraId="12C0F84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⑤其他部件的检查。</w:t>
      </w:r>
    </w:p>
    <w:p w14:paraId="35373C6E">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2.车辆质量性能验收主要内容：</w:t>
      </w:r>
    </w:p>
    <w:p w14:paraId="464C27C2">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w:t>
      </w:r>
      <w:r>
        <w:rPr>
          <w:rFonts w:hint="eastAsia" w:ascii="仿宋" w:hAnsi="仿宋" w:eastAsia="仿宋"/>
          <w:color w:val="auto"/>
          <w:sz w:val="24"/>
          <w:highlight w:val="none"/>
        </w:rPr>
        <w:t>〈</w:t>
      </w:r>
      <w:r>
        <w:rPr>
          <w:rFonts w:ascii="仿宋" w:hAnsi="仿宋" w:eastAsia="仿宋"/>
          <w:color w:val="auto"/>
          <w:sz w:val="24"/>
          <w:highlight w:val="none"/>
        </w:rPr>
        <w:t>中华人民共和国公共安全行业标准</w:t>
      </w:r>
      <w:r>
        <w:rPr>
          <w:rFonts w:hint="eastAsia" w:ascii="仿宋" w:hAnsi="仿宋" w:eastAsia="仿宋"/>
          <w:color w:val="auto"/>
          <w:sz w:val="24"/>
          <w:highlight w:val="none"/>
        </w:rPr>
        <w:t>〉</w:t>
      </w:r>
      <w:r>
        <w:rPr>
          <w:rFonts w:ascii="仿宋" w:hAnsi="仿宋" w:eastAsia="仿宋"/>
          <w:color w:val="auto"/>
          <w:sz w:val="24"/>
          <w:highlight w:val="none"/>
        </w:rPr>
        <w:t>——消防车 消防要求和试验方法（</w:t>
      </w:r>
      <w:r>
        <w:rPr>
          <w:rFonts w:hint="eastAsia" w:ascii="仿宋" w:hAnsi="仿宋" w:eastAsia="仿宋"/>
          <w:color w:val="auto"/>
          <w:sz w:val="24"/>
          <w:highlight w:val="none"/>
          <w:lang w:val="en-US" w:eastAsia="zh-CN"/>
        </w:rPr>
        <w:t>XF</w:t>
      </w:r>
      <w:r>
        <w:rPr>
          <w:rFonts w:ascii="仿宋" w:hAnsi="仿宋" w:eastAsia="仿宋"/>
          <w:color w:val="auto"/>
          <w:sz w:val="24"/>
          <w:highlight w:val="none"/>
        </w:rPr>
        <w:t xml:space="preserve"> 39-2016）》逐车进行测试和检测，主要包括吸水（泡沫）、出水（泡沫）、举升、牵引、起吊、照明等内容测试和行驶、操纵等能力测试，每辆车性能测试内容应逐个项目开展，其中长时间、抗疲劳、极限测试均必须按照相关标准及合同要求达到最短测试时长和装备部件操作极限强度。</w:t>
      </w:r>
    </w:p>
    <w:p w14:paraId="2DA306A5">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（二）消防器材</w:t>
      </w:r>
      <w:r>
        <w:rPr>
          <w:rFonts w:ascii="仿宋" w:hAnsi="仿宋" w:eastAsia="仿宋"/>
          <w:bCs/>
          <w:color w:val="auto"/>
          <w:sz w:val="24"/>
          <w:highlight w:val="none"/>
        </w:rPr>
        <w:t>验收</w:t>
      </w:r>
    </w:p>
    <w:p w14:paraId="691939EE">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1.器材一致性验收主要内容：</w:t>
      </w:r>
    </w:p>
    <w:p w14:paraId="5ACB5B68">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w:t>
      </w:r>
    </w:p>
    <w:p w14:paraId="25F4028B">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审查资料的齐全性、真实性、有效性、合法性等，经审查资料不合格的，不予进入外观检查和性能测试等验收环节。</w:t>
      </w:r>
    </w:p>
    <w:p w14:paraId="66484E0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14:paraId="45439985">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①器材外观颜色及光亮度是否符合要求；</w:t>
      </w:r>
    </w:p>
    <w:p w14:paraId="63962145">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②外表应光滑无毛刺、起毛现象；</w:t>
      </w:r>
    </w:p>
    <w:p w14:paraId="5D4D91F8">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③铭牌标牌是否与标书一致。</w:t>
      </w:r>
    </w:p>
    <w:p w14:paraId="25B62462">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2.器材质量性能验收主要内容：</w:t>
      </w:r>
    </w:p>
    <w:p w14:paraId="2F626505">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按照招投标文件、检测报告、国家行业标准组织开展性能测试，检查各组成部件是否齐全，规格型号是否与标书文件一致，并对主要性能进行测试。</w:t>
      </w:r>
    </w:p>
    <w:p w14:paraId="6B88DE16">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（三）其他装备验收</w:t>
      </w:r>
    </w:p>
    <w:p w14:paraId="7CFBBACF">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消防船艇的验收至少包括以下内容：</w:t>
      </w:r>
    </w:p>
    <w:p w14:paraId="55CA9B68">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1.船体验收：油漆、标志、船型、适用航区、主尺度是否与合同一致。</w:t>
      </w:r>
    </w:p>
    <w:p w14:paraId="1A4D94F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2.性能验收：航速、续航能力、稳性、泵炮性能、水系统、泡沫系统是否与合同一致，是否完整好用。</w:t>
      </w:r>
    </w:p>
    <w:p w14:paraId="0FC3675E">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3.船体结构验收：船体材料、结构形式、舾装、锚设备、舵设备、单臂回转吊架及工作艇、舱室设备、救生设备、消防设备、信号设备、防止船舶造成污染结构设备是否与合同一致，是否完整好用。</w:t>
      </w:r>
    </w:p>
    <w:p w14:paraId="4B9693F6">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轮机部分验收：主推进装备、轴系、机舱布置、侧推装备、对外消防系统、燃油系统、滑油及污油系统、冷却水系统、排气系统、压缩空气系统、舱底消防水系统、油污水处理系统、生活用水系统、生活污水排放系统、通风和空调系统、测深注入和透气系统、操纵监控及通信系统、机舱维修设备是否与合同一致，是否完整好用。</w:t>
      </w:r>
    </w:p>
    <w:p w14:paraId="5E47AA40">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5.电气部分验收：发电机、电动机、照明、生活娱乐设备、航行、无线电、助航设备、船通信、报警设备是否与合同一致，是否完整好用。</w:t>
      </w:r>
    </w:p>
    <w:p w14:paraId="6B74AACC">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消防飞行器的验收至少包括以下内容：</w:t>
      </w:r>
    </w:p>
    <w:p w14:paraId="17E93225">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14:paraId="046F49F9">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2.质量性能验收：导航、飞控、动力、链路、电气、发动机等主要无人机系统是否完整好用；通信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摄录</w:t>
      </w:r>
      <w:r>
        <w:rPr>
          <w:rFonts w:hint="eastAsia" w:ascii="仿宋" w:hAnsi="仿宋" w:eastAsia="仿宋"/>
          <w:color w:val="auto"/>
          <w:sz w:val="24"/>
          <w:highlight w:val="none"/>
        </w:rPr>
        <w:t>、</w:t>
      </w:r>
      <w:r>
        <w:rPr>
          <w:rFonts w:ascii="仿宋" w:hAnsi="仿宋" w:eastAsia="仿宋"/>
          <w:color w:val="auto"/>
          <w:sz w:val="24"/>
          <w:highlight w:val="none"/>
        </w:rPr>
        <w:t>灭火等功能模块是否与招标文件一致，是否完整好用；飞行半径、高度、时间是否与招标文件一致；信号接收设备等附属设备是否与招标文件一致，是否完整好用。</w:t>
      </w:r>
    </w:p>
    <w:p w14:paraId="6BC8915E">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消防机器人的验收至少包括以下内容：</w:t>
      </w:r>
    </w:p>
    <w:p w14:paraId="47EDC44F">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14:paraId="0053C38F">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2.质量性能验收：导航、遥控、动力、通信、电气、管路、泵、炮等主要系统是否完整好用；通信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侦检</w:t>
      </w:r>
      <w:r>
        <w:rPr>
          <w:rFonts w:hint="eastAsia" w:ascii="仿宋" w:hAnsi="仿宋" w:eastAsia="仿宋"/>
          <w:color w:val="auto"/>
          <w:sz w:val="24"/>
          <w:highlight w:val="none"/>
        </w:rPr>
        <w:t>、</w:t>
      </w:r>
      <w:r>
        <w:rPr>
          <w:rFonts w:ascii="仿宋" w:hAnsi="仿宋" w:eastAsia="仿宋"/>
          <w:color w:val="auto"/>
          <w:sz w:val="24"/>
          <w:highlight w:val="none"/>
        </w:rPr>
        <w:t>排烟、灭火等功能模块是否与招标文件一致，是否完整好用；转弯半径、越障能力、拖拽能力、连续工作时间是否与招标文件一致；信号接收设备等附属设备是否与招标文件一致，是否完整好用。</w:t>
      </w:r>
    </w:p>
    <w:p w14:paraId="2C35636E">
      <w:pPr>
        <w:spacing w:line="460" w:lineRule="exact"/>
        <w:ind w:firstLine="482" w:firstLineChars="200"/>
        <w:rPr>
          <w:rFonts w:ascii="仿宋" w:hAnsi="仿宋" w:eastAsia="仿宋"/>
          <w:color w:val="auto"/>
          <w:sz w:val="24"/>
          <w:highlight w:val="none"/>
        </w:rPr>
      </w:pPr>
      <w:r>
        <w:rPr>
          <w:rFonts w:hint="eastAsia" w:ascii="仿宋" w:hAnsi="仿宋" w:eastAsia="仿宋"/>
          <w:b/>
          <w:bCs/>
          <w:color w:val="auto"/>
          <w:sz w:val="24"/>
          <w:highlight w:val="none"/>
        </w:rPr>
        <w:t>三、注意事项</w:t>
      </w:r>
    </w:p>
    <w:p w14:paraId="6E729040">
      <w:pPr>
        <w:widowControl/>
        <w:snapToGrid w:val="0"/>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验收具体要求详见《</w:t>
      </w:r>
      <w:r>
        <w:rPr>
          <w:rFonts w:ascii="仿宋" w:hAnsi="仿宋" w:eastAsia="仿宋"/>
          <w:color w:val="auto"/>
          <w:sz w:val="24"/>
          <w:highlight w:val="none"/>
        </w:rPr>
        <w:t>江西省消防救援队伍灭火救援装备验收办法</w:t>
      </w:r>
      <w:r>
        <w:rPr>
          <w:rFonts w:hint="eastAsia" w:ascii="仿宋" w:hAnsi="仿宋" w:eastAsia="仿宋"/>
          <w:color w:val="auto"/>
          <w:sz w:val="24"/>
          <w:highlight w:val="none"/>
        </w:rPr>
        <w:t>（试行）</w:t>
      </w:r>
      <w:r>
        <w:rPr>
          <w:rFonts w:ascii="仿宋" w:hAnsi="仿宋" w:eastAsia="仿宋"/>
          <w:color w:val="auto"/>
          <w:sz w:val="24"/>
          <w:highlight w:val="none"/>
        </w:rPr>
        <w:t>》</w:t>
      </w:r>
      <w:r>
        <w:rPr>
          <w:rFonts w:hint="eastAsia" w:ascii="仿宋" w:hAnsi="仿宋" w:eastAsia="仿宋"/>
          <w:color w:val="auto"/>
          <w:sz w:val="24"/>
          <w:highlight w:val="none"/>
        </w:rPr>
        <w:t>。若总队印发新的文件通知或有新的实施要求，则按最新的文件通知或要求组织实施。</w:t>
      </w:r>
    </w:p>
    <w:p w14:paraId="2FE75D37">
      <w:pPr>
        <w:rPr>
          <w:highlight w:val="none"/>
        </w:rPr>
      </w:pPr>
      <w:r>
        <w:rPr>
          <w:highlight w:val="none"/>
        </w:rPr>
        <w:br w:type="page"/>
      </w:r>
    </w:p>
    <w:p w14:paraId="053F719D">
      <w:pPr>
        <w:rPr>
          <w:rFonts w:hint="eastAsia" w:ascii="仿宋" w:hAnsi="仿宋" w:eastAsia="仿宋" w:cs="仿宋"/>
          <w:b/>
          <w:bCs/>
          <w:color w:val="auto"/>
          <w:sz w:val="32"/>
          <w:szCs w:val="32"/>
          <w:highlight w:val="none"/>
          <w:lang w:val="en-US" w:eastAsia="zh-CN"/>
        </w:rPr>
      </w:pPr>
    </w:p>
    <w:p w14:paraId="7BCA3CE3">
      <w:pPr>
        <w:pStyle w:val="3"/>
        <w:jc w:val="center"/>
        <w:rPr>
          <w:rFonts w:ascii="Times New Roman" w:eastAsia="仿宋"/>
          <w:color w:val="auto"/>
          <w:szCs w:val="44"/>
          <w:highlight w:val="none"/>
        </w:rPr>
      </w:pPr>
      <w:bookmarkStart w:id="192" w:name="_Toc30422"/>
      <w:bookmarkStart w:id="193" w:name="_Toc14625"/>
      <w:bookmarkStart w:id="194" w:name="_Toc7166"/>
      <w:bookmarkStart w:id="195" w:name="_Toc11082"/>
      <w:bookmarkStart w:id="196" w:name="_Toc111018947"/>
      <w:bookmarkStart w:id="197" w:name="_Toc8951"/>
      <w:bookmarkStart w:id="198" w:name="_Toc22050"/>
      <w:r>
        <w:rPr>
          <w:rFonts w:ascii="Times New Roman" w:eastAsia="仿宋"/>
          <w:b/>
          <w:color w:val="auto"/>
          <w:sz w:val="40"/>
          <w:highlight w:val="none"/>
        </w:rPr>
        <w:t>第四章</w:t>
      </w:r>
      <w:bookmarkEnd w:id="191"/>
      <w:bookmarkStart w:id="199" w:name="_Toc432064409"/>
      <w:bookmarkStart w:id="200" w:name="_Toc413656906"/>
      <w:bookmarkStart w:id="201" w:name="_Toc413657138"/>
      <w:bookmarkStart w:id="202" w:name="_Toc432064609"/>
      <w:r>
        <w:rPr>
          <w:rFonts w:ascii="Times New Roman" w:eastAsia="仿宋"/>
          <w:b/>
          <w:color w:val="auto"/>
          <w:sz w:val="40"/>
          <w:highlight w:val="none"/>
        </w:rPr>
        <w:t xml:space="preserve"> 投标文件格式</w:t>
      </w:r>
      <w:bookmarkEnd w:id="192"/>
      <w:bookmarkEnd w:id="193"/>
      <w:bookmarkEnd w:id="194"/>
      <w:bookmarkEnd w:id="195"/>
      <w:bookmarkEnd w:id="196"/>
      <w:bookmarkEnd w:id="197"/>
      <w:bookmarkEnd w:id="198"/>
      <w:bookmarkEnd w:id="199"/>
      <w:bookmarkEnd w:id="200"/>
      <w:bookmarkEnd w:id="201"/>
      <w:bookmarkEnd w:id="202"/>
    </w:p>
    <w:p w14:paraId="21E2FDBF">
      <w:pPr>
        <w:spacing w:line="560" w:lineRule="exact"/>
        <w:jc w:val="center"/>
        <w:outlineLvl w:val="1"/>
        <w:rPr>
          <w:rFonts w:eastAsia="仿宋"/>
          <w:b/>
          <w:bCs/>
          <w:snapToGrid w:val="0"/>
          <w:color w:val="auto"/>
          <w:kern w:val="0"/>
          <w:sz w:val="28"/>
          <w:szCs w:val="28"/>
          <w:highlight w:val="none"/>
        </w:rPr>
      </w:pPr>
      <w:bookmarkStart w:id="203" w:name="_Toc111018948"/>
      <w:bookmarkStart w:id="204" w:name="_Toc23070"/>
      <w:bookmarkStart w:id="205" w:name="_Toc13045"/>
      <w:bookmarkStart w:id="206" w:name="_Toc18238"/>
      <w:bookmarkStart w:id="207" w:name="_Toc399344494"/>
      <w:bookmarkStart w:id="208" w:name="_Toc9119"/>
      <w:bookmarkStart w:id="209" w:name="_Toc21775"/>
      <w:bookmarkStart w:id="210" w:name="_Toc399344121"/>
      <w:bookmarkStart w:id="211" w:name="_Toc12098"/>
      <w:bookmarkStart w:id="212" w:name="_Toc400631655"/>
      <w:r>
        <w:rPr>
          <w:rFonts w:eastAsia="仿宋"/>
          <w:b/>
          <w:bCs/>
          <w:snapToGrid w:val="0"/>
          <w:color w:val="auto"/>
          <w:kern w:val="0"/>
          <w:sz w:val="28"/>
          <w:szCs w:val="28"/>
          <w:highlight w:val="none"/>
        </w:rPr>
        <w:t>一、投标书</w:t>
      </w:r>
      <w:bookmarkEnd w:id="203"/>
      <w:bookmarkEnd w:id="204"/>
      <w:bookmarkEnd w:id="205"/>
      <w:bookmarkEnd w:id="206"/>
      <w:bookmarkEnd w:id="207"/>
      <w:bookmarkEnd w:id="208"/>
      <w:bookmarkEnd w:id="209"/>
      <w:bookmarkEnd w:id="210"/>
      <w:bookmarkEnd w:id="211"/>
      <w:bookmarkEnd w:id="212"/>
    </w:p>
    <w:p w14:paraId="51BC3EBB">
      <w:pPr>
        <w:spacing w:line="480" w:lineRule="exact"/>
        <w:rPr>
          <w:rFonts w:eastAsia="仿宋"/>
          <w:color w:val="auto"/>
          <w:sz w:val="24"/>
          <w:highlight w:val="none"/>
          <w:u w:val="single"/>
        </w:rPr>
      </w:pPr>
      <w:r>
        <w:rPr>
          <w:rFonts w:eastAsia="仿宋"/>
          <w:color w:val="auto"/>
          <w:sz w:val="24"/>
          <w:highlight w:val="none"/>
        </w:rPr>
        <w:t>致：</w:t>
      </w:r>
      <w:r>
        <w:rPr>
          <w:rFonts w:eastAsia="仿宋"/>
          <w:b/>
          <w:color w:val="auto"/>
          <w:sz w:val="24"/>
          <w:highlight w:val="none"/>
          <w:u w:val="single"/>
        </w:rPr>
        <w:t>（</w:t>
      </w:r>
      <w:r>
        <w:rPr>
          <w:rFonts w:hint="eastAsia" w:eastAsia="仿宋"/>
          <w:b/>
          <w:color w:val="auto"/>
          <w:sz w:val="24"/>
          <w:highlight w:val="none"/>
          <w:u w:val="single"/>
          <w:lang w:eastAsia="zh-CN"/>
        </w:rPr>
        <w:t>江西合胜合招标咨询有限公司</w:t>
      </w:r>
      <w:r>
        <w:rPr>
          <w:rFonts w:eastAsia="仿宋"/>
          <w:b/>
          <w:color w:val="auto"/>
          <w:sz w:val="24"/>
          <w:highlight w:val="none"/>
          <w:u w:val="single"/>
        </w:rPr>
        <w:t>）</w:t>
      </w:r>
    </w:p>
    <w:p w14:paraId="3D33D4F9">
      <w:pPr>
        <w:spacing w:line="480" w:lineRule="exact"/>
        <w:ind w:firstLine="480" w:firstLineChars="200"/>
        <w:rPr>
          <w:rFonts w:eastAsia="仿宋"/>
          <w:color w:val="auto"/>
          <w:sz w:val="24"/>
          <w:highlight w:val="none"/>
        </w:rPr>
      </w:pPr>
      <w:bookmarkStart w:id="213" w:name="_Toc209412917"/>
      <w:bookmarkStart w:id="214" w:name="_Toc216189500"/>
      <w:r>
        <w:rPr>
          <w:rFonts w:eastAsia="仿宋"/>
          <w:color w:val="auto"/>
          <w:sz w:val="24"/>
          <w:highlight w:val="none"/>
        </w:rPr>
        <w:t>依据贵方（项目名称）项目招标采购货物及服务的投标邀请，我方代表（姓名、职务）经正式授权并代表（投标人名称）提交投标文件。</w:t>
      </w:r>
    </w:p>
    <w:p w14:paraId="0A41DAC8">
      <w:pPr>
        <w:spacing w:line="480" w:lineRule="exact"/>
        <w:ind w:firstLine="480" w:firstLineChars="200"/>
        <w:rPr>
          <w:rFonts w:eastAsia="仿宋"/>
          <w:color w:val="auto"/>
          <w:sz w:val="24"/>
          <w:highlight w:val="none"/>
        </w:rPr>
      </w:pPr>
      <w:r>
        <w:rPr>
          <w:rFonts w:eastAsia="仿宋"/>
          <w:color w:val="auto"/>
          <w:sz w:val="24"/>
          <w:highlight w:val="none"/>
        </w:rPr>
        <w:t>在此，我方声明如下：</w:t>
      </w:r>
    </w:p>
    <w:p w14:paraId="656BBBE5">
      <w:pPr>
        <w:spacing w:line="480" w:lineRule="exact"/>
        <w:ind w:firstLine="480" w:firstLineChars="200"/>
        <w:rPr>
          <w:rFonts w:eastAsia="仿宋"/>
          <w:color w:val="auto"/>
          <w:sz w:val="24"/>
          <w:highlight w:val="none"/>
        </w:rPr>
      </w:pPr>
      <w:r>
        <w:rPr>
          <w:rFonts w:eastAsia="仿宋"/>
          <w:color w:val="auto"/>
          <w:sz w:val="24"/>
          <w:highlight w:val="none"/>
        </w:rPr>
        <w:t>同意并接受招标文件的各项要求，遵守招标文件中的各项规定，按招标文件的要求提供报价。</w:t>
      </w:r>
    </w:p>
    <w:p w14:paraId="2E14D31F">
      <w:pPr>
        <w:numPr>
          <w:ilvl w:val="0"/>
          <w:numId w:val="16"/>
        </w:numPr>
        <w:spacing w:line="480" w:lineRule="exact"/>
        <w:ind w:left="567" w:hanging="283"/>
        <w:rPr>
          <w:rFonts w:eastAsia="仿宋"/>
          <w:color w:val="auto"/>
          <w:sz w:val="24"/>
          <w:highlight w:val="none"/>
        </w:rPr>
      </w:pPr>
      <w:r>
        <w:rPr>
          <w:rFonts w:eastAsia="仿宋"/>
          <w:color w:val="auto"/>
          <w:sz w:val="24"/>
          <w:highlight w:val="none"/>
        </w:rPr>
        <w:t>投标有效期自开标之日起</w:t>
      </w:r>
      <w:r>
        <w:rPr>
          <w:rFonts w:eastAsia="仿宋"/>
          <w:color w:val="auto"/>
          <w:sz w:val="24"/>
          <w:highlight w:val="none"/>
          <w:u w:val="single"/>
        </w:rPr>
        <w:t>九十</w:t>
      </w:r>
      <w:r>
        <w:rPr>
          <w:rFonts w:eastAsia="仿宋"/>
          <w:color w:val="auto"/>
          <w:sz w:val="24"/>
          <w:highlight w:val="none"/>
        </w:rPr>
        <w:t>个日历日，中标人投标有效期延至合同履行终止之日。</w:t>
      </w:r>
    </w:p>
    <w:p w14:paraId="6E4D4437">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我方已经详细地阅读了全部招标文件及其附件，包括澄清及参考文件</w:t>
      </w:r>
      <w:r>
        <w:rPr>
          <w:rFonts w:hint="eastAsia" w:eastAsia="仿宋"/>
          <w:color w:val="auto"/>
          <w:sz w:val="24"/>
          <w:highlight w:val="none"/>
          <w:lang w:eastAsia="zh-CN"/>
        </w:rPr>
        <w:t>（</w:t>
      </w:r>
      <w:r>
        <w:rPr>
          <w:rFonts w:eastAsia="仿宋"/>
          <w:color w:val="auto"/>
          <w:sz w:val="24"/>
          <w:highlight w:val="none"/>
        </w:rPr>
        <w:t>如果有</w:t>
      </w:r>
      <w:r>
        <w:rPr>
          <w:rFonts w:hint="eastAsia" w:eastAsia="仿宋"/>
          <w:color w:val="auto"/>
          <w:sz w:val="24"/>
          <w:highlight w:val="none"/>
          <w:lang w:eastAsia="zh-CN"/>
        </w:rPr>
        <w:t>）</w:t>
      </w:r>
      <w:r>
        <w:rPr>
          <w:rFonts w:eastAsia="仿宋"/>
          <w:color w:val="auto"/>
          <w:sz w:val="24"/>
          <w:highlight w:val="none"/>
        </w:rPr>
        <w:t>。我方已完全清晰理解招标文件的要求，不存在任何含糊不清和误解之处，同意放弃对这些文件所提出的异议和质疑的权利。</w:t>
      </w:r>
    </w:p>
    <w:p w14:paraId="18BF7AE6">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我方已毫无保留地向贵方提供一切所需的证明材料。</w:t>
      </w:r>
    </w:p>
    <w:p w14:paraId="5D39C773">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我方承诺在本次投标文件中提供的一切文件，无论是原件还是扫描件均为真实和准确的，绝无任何虚假、伪造和夸大的成份，否则，愿承担相应的后果和法律责任。</w:t>
      </w:r>
    </w:p>
    <w:p w14:paraId="370D889A">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我方完全服从和尊重评标委员会所作出的评审结果，同时清楚理解到报价最低并非意味着必定获得中标资格。</w:t>
      </w:r>
    </w:p>
    <w:p w14:paraId="56A835C1">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我方同意按招标文件规定向采购代理机构缴纳代理服务费。</w:t>
      </w:r>
    </w:p>
    <w:p w14:paraId="4777D897">
      <w:pPr>
        <w:spacing w:line="480" w:lineRule="exact"/>
        <w:rPr>
          <w:rFonts w:eastAsia="仿宋"/>
          <w:color w:val="auto"/>
          <w:sz w:val="24"/>
          <w:highlight w:val="none"/>
        </w:rPr>
      </w:pPr>
      <w:r>
        <w:rPr>
          <w:rFonts w:eastAsia="仿宋"/>
          <w:color w:val="auto"/>
          <w:sz w:val="24"/>
          <w:highlight w:val="none"/>
        </w:rPr>
        <w:t xml:space="preserve">投标人：                             </w:t>
      </w:r>
    </w:p>
    <w:p w14:paraId="777375DE">
      <w:pPr>
        <w:spacing w:line="480" w:lineRule="exact"/>
        <w:rPr>
          <w:rFonts w:eastAsia="仿宋"/>
          <w:color w:val="auto"/>
          <w:sz w:val="24"/>
          <w:highlight w:val="none"/>
        </w:rPr>
      </w:pPr>
      <w:r>
        <w:rPr>
          <w:rFonts w:eastAsia="仿宋"/>
          <w:color w:val="auto"/>
          <w:sz w:val="24"/>
          <w:highlight w:val="none"/>
        </w:rPr>
        <w:t xml:space="preserve">地址：                               </w:t>
      </w:r>
    </w:p>
    <w:p w14:paraId="6711C233">
      <w:pPr>
        <w:spacing w:line="480" w:lineRule="exact"/>
        <w:rPr>
          <w:rFonts w:eastAsia="仿宋"/>
          <w:color w:val="auto"/>
          <w:sz w:val="24"/>
          <w:highlight w:val="none"/>
        </w:rPr>
      </w:pPr>
      <w:r>
        <w:rPr>
          <w:rFonts w:eastAsia="仿宋"/>
          <w:color w:val="auto"/>
          <w:sz w:val="24"/>
          <w:highlight w:val="none"/>
        </w:rPr>
        <w:t xml:space="preserve">传真：                            电话：                </w:t>
      </w:r>
    </w:p>
    <w:p w14:paraId="120C4640">
      <w:pPr>
        <w:spacing w:line="460" w:lineRule="exact"/>
        <w:rPr>
          <w:rFonts w:eastAsia="仿宋"/>
          <w:color w:val="auto"/>
          <w:sz w:val="24"/>
          <w:highlight w:val="none"/>
        </w:rPr>
      </w:pPr>
      <w:r>
        <w:rPr>
          <w:rFonts w:eastAsia="仿宋"/>
          <w:color w:val="auto"/>
          <w:sz w:val="24"/>
          <w:highlight w:val="none"/>
        </w:rPr>
        <w:t>投标人名称： （加盖公章）</w:t>
      </w:r>
    </w:p>
    <w:p w14:paraId="4A545AD2">
      <w:pPr>
        <w:spacing w:line="480" w:lineRule="exact"/>
        <w:rPr>
          <w:rFonts w:eastAsia="仿宋"/>
          <w:color w:val="auto"/>
          <w:sz w:val="24"/>
          <w:highlight w:val="none"/>
        </w:rPr>
      </w:pPr>
      <w:r>
        <w:rPr>
          <w:rFonts w:eastAsia="仿宋"/>
          <w:color w:val="auto"/>
          <w:sz w:val="24"/>
          <w:highlight w:val="none"/>
        </w:rPr>
        <w:t xml:space="preserve">开户银行：                           </w:t>
      </w:r>
    </w:p>
    <w:p w14:paraId="23589507">
      <w:pPr>
        <w:spacing w:line="480" w:lineRule="exact"/>
        <w:rPr>
          <w:rFonts w:eastAsia="仿宋"/>
          <w:color w:val="auto"/>
          <w:sz w:val="24"/>
          <w:highlight w:val="none"/>
        </w:rPr>
      </w:pPr>
      <w:r>
        <w:rPr>
          <w:rFonts w:eastAsia="仿宋"/>
          <w:color w:val="auto"/>
          <w:sz w:val="24"/>
          <w:highlight w:val="none"/>
        </w:rPr>
        <w:t xml:space="preserve">帐号：                           日期：          </w:t>
      </w:r>
    </w:p>
    <w:p w14:paraId="211C135F">
      <w:pPr>
        <w:spacing w:line="560" w:lineRule="exact"/>
        <w:rPr>
          <w:rFonts w:eastAsia="仿宋"/>
          <w:b/>
          <w:bCs/>
          <w:snapToGrid w:val="0"/>
          <w:color w:val="auto"/>
          <w:kern w:val="0"/>
          <w:sz w:val="28"/>
          <w:szCs w:val="28"/>
          <w:highlight w:val="none"/>
        </w:rPr>
      </w:pPr>
      <w:r>
        <w:rPr>
          <w:rFonts w:eastAsia="仿宋"/>
          <w:b/>
          <w:color w:val="auto"/>
          <w:sz w:val="24"/>
          <w:highlight w:val="none"/>
        </w:rPr>
        <w:t>注：未按照本招标文件要求填报的投标文件将被视为非实质性响应投标，从而导致该投标被拒绝。</w:t>
      </w:r>
      <w:bookmarkEnd w:id="213"/>
      <w:bookmarkEnd w:id="214"/>
      <w:bookmarkStart w:id="215" w:name="_Toc400631656"/>
      <w:bookmarkStart w:id="216" w:name="_Toc399344122"/>
      <w:bookmarkStart w:id="217" w:name="_Toc399344495"/>
    </w:p>
    <w:p w14:paraId="1697B80F">
      <w:pPr>
        <w:spacing w:line="560" w:lineRule="exact"/>
        <w:jc w:val="center"/>
        <w:outlineLvl w:val="1"/>
        <w:rPr>
          <w:rFonts w:eastAsia="仿宋"/>
          <w:b/>
          <w:bCs/>
          <w:snapToGrid w:val="0"/>
          <w:color w:val="auto"/>
          <w:kern w:val="0"/>
          <w:sz w:val="28"/>
          <w:szCs w:val="28"/>
          <w:highlight w:val="none"/>
        </w:rPr>
      </w:pPr>
      <w:r>
        <w:rPr>
          <w:rFonts w:eastAsia="仿宋"/>
          <w:b/>
          <w:bCs/>
          <w:snapToGrid w:val="0"/>
          <w:color w:val="auto"/>
          <w:kern w:val="0"/>
          <w:sz w:val="28"/>
          <w:szCs w:val="28"/>
          <w:highlight w:val="none"/>
        </w:rPr>
        <w:br w:type="page"/>
      </w:r>
      <w:bookmarkStart w:id="218" w:name="_Toc21583"/>
      <w:bookmarkStart w:id="219" w:name="_Toc9593"/>
      <w:bookmarkStart w:id="220" w:name="_Toc4187"/>
      <w:bookmarkStart w:id="221" w:name="_Toc111018949"/>
      <w:bookmarkStart w:id="222" w:name="_Toc12732"/>
      <w:bookmarkStart w:id="223" w:name="_Toc23581"/>
      <w:bookmarkStart w:id="224" w:name="_Toc20741"/>
      <w:r>
        <w:rPr>
          <w:rFonts w:eastAsia="仿宋"/>
          <w:b/>
          <w:bCs/>
          <w:snapToGrid w:val="0"/>
          <w:color w:val="auto"/>
          <w:kern w:val="0"/>
          <w:sz w:val="28"/>
          <w:szCs w:val="28"/>
          <w:highlight w:val="none"/>
        </w:rPr>
        <w:t>二、开标一览表</w:t>
      </w:r>
      <w:bookmarkEnd w:id="215"/>
      <w:bookmarkEnd w:id="216"/>
      <w:bookmarkEnd w:id="217"/>
      <w:bookmarkEnd w:id="218"/>
      <w:bookmarkEnd w:id="219"/>
      <w:bookmarkEnd w:id="220"/>
      <w:bookmarkEnd w:id="221"/>
      <w:bookmarkEnd w:id="222"/>
      <w:bookmarkEnd w:id="223"/>
      <w:bookmarkEnd w:id="224"/>
    </w:p>
    <w:p w14:paraId="6F6C305E">
      <w:pPr>
        <w:rPr>
          <w:rFonts w:eastAsia="仿宋"/>
          <w:b/>
          <w:bCs/>
          <w:snapToGrid w:val="0"/>
          <w:color w:val="auto"/>
          <w:kern w:val="0"/>
          <w:szCs w:val="21"/>
          <w:highlight w:val="none"/>
        </w:rPr>
      </w:pPr>
    </w:p>
    <w:p w14:paraId="06CCC6CC">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eastAsia="仿宋"/>
          <w:b/>
          <w:color w:val="auto"/>
          <w:sz w:val="24"/>
          <w:highlight w:val="none"/>
        </w:rPr>
      </w:pPr>
    </w:p>
    <w:p w14:paraId="266DC4A9">
      <w:pPr>
        <w:spacing w:line="460" w:lineRule="exact"/>
        <w:ind w:left="-2" w:leftChars="-50" w:hanging="103" w:hangingChars="43"/>
        <w:rPr>
          <w:rFonts w:eastAsia="仿宋"/>
          <w:color w:val="auto"/>
          <w:sz w:val="24"/>
          <w:highlight w:val="none"/>
        </w:rPr>
      </w:pPr>
      <w:r>
        <w:rPr>
          <w:rFonts w:eastAsia="仿宋"/>
          <w:color w:val="auto"/>
          <w:sz w:val="24"/>
          <w:highlight w:val="none"/>
        </w:rPr>
        <w:t>投标人名称：</w:t>
      </w:r>
    </w:p>
    <w:p w14:paraId="317FAB5C">
      <w:pPr>
        <w:spacing w:line="460" w:lineRule="exact"/>
        <w:ind w:left="-2" w:leftChars="-50" w:hanging="103" w:hangingChars="43"/>
        <w:rPr>
          <w:rFonts w:eastAsia="仿宋"/>
          <w:color w:val="auto"/>
          <w:sz w:val="24"/>
          <w:highlight w:val="none"/>
        </w:rPr>
      </w:pPr>
      <w:r>
        <w:rPr>
          <w:rFonts w:eastAsia="仿宋"/>
          <w:color w:val="auto"/>
          <w:sz w:val="24"/>
          <w:highlight w:val="none"/>
        </w:rPr>
        <w:t>项目编号：                                       包      号：</w:t>
      </w:r>
    </w:p>
    <w:tbl>
      <w:tblPr>
        <w:tblStyle w:val="45"/>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5"/>
        <w:gridCol w:w="6360"/>
      </w:tblGrid>
      <w:tr w14:paraId="2657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1D603B65">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项目名称</w:t>
            </w:r>
          </w:p>
        </w:tc>
        <w:tc>
          <w:tcPr>
            <w:tcW w:w="6360" w:type="dxa"/>
          </w:tcPr>
          <w:p w14:paraId="25EA0275">
            <w:pPr>
              <w:widowControl/>
              <w:spacing w:line="440" w:lineRule="exact"/>
              <w:jc w:val="left"/>
              <w:rPr>
                <w:rFonts w:eastAsia="仿宋"/>
                <w:b/>
                <w:bCs/>
                <w:color w:val="auto"/>
                <w:sz w:val="24"/>
                <w:highlight w:val="none"/>
                <w:vertAlign w:val="baseline"/>
              </w:rPr>
            </w:pPr>
          </w:p>
        </w:tc>
      </w:tr>
      <w:tr w14:paraId="5EF2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329860A6">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投标保证金（人民币/元）</w:t>
            </w:r>
          </w:p>
        </w:tc>
        <w:tc>
          <w:tcPr>
            <w:tcW w:w="6360" w:type="dxa"/>
          </w:tcPr>
          <w:p w14:paraId="6AA52737">
            <w:pPr>
              <w:widowControl/>
              <w:spacing w:line="440" w:lineRule="exact"/>
              <w:jc w:val="left"/>
              <w:rPr>
                <w:rFonts w:eastAsia="仿宋"/>
                <w:b/>
                <w:bCs/>
                <w:color w:val="auto"/>
                <w:sz w:val="24"/>
                <w:highlight w:val="none"/>
                <w:vertAlign w:val="baseline"/>
              </w:rPr>
            </w:pPr>
          </w:p>
        </w:tc>
      </w:tr>
      <w:tr w14:paraId="3507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558AFC2C">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投标总报价（人民币/元）</w:t>
            </w:r>
          </w:p>
        </w:tc>
        <w:tc>
          <w:tcPr>
            <w:tcW w:w="6360" w:type="dxa"/>
          </w:tcPr>
          <w:p w14:paraId="6F5C468A">
            <w:pPr>
              <w:widowControl/>
              <w:spacing w:line="440" w:lineRule="exact"/>
              <w:jc w:val="left"/>
              <w:rPr>
                <w:rFonts w:eastAsia="仿宋"/>
                <w:b/>
                <w:bCs/>
                <w:color w:val="auto"/>
                <w:sz w:val="24"/>
                <w:highlight w:val="none"/>
                <w:vertAlign w:val="baseline"/>
              </w:rPr>
            </w:pPr>
          </w:p>
        </w:tc>
      </w:tr>
      <w:tr w14:paraId="02FE2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2935" w:type="dxa"/>
          </w:tcPr>
          <w:p w14:paraId="47AEB2FD">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投标总报价（大写）</w:t>
            </w:r>
          </w:p>
        </w:tc>
        <w:tc>
          <w:tcPr>
            <w:tcW w:w="6360" w:type="dxa"/>
          </w:tcPr>
          <w:p w14:paraId="2B9C45AA">
            <w:pPr>
              <w:widowControl/>
              <w:spacing w:line="440" w:lineRule="exact"/>
              <w:jc w:val="left"/>
              <w:rPr>
                <w:rFonts w:eastAsia="仿宋"/>
                <w:b/>
                <w:bCs/>
                <w:color w:val="auto"/>
                <w:sz w:val="24"/>
                <w:highlight w:val="none"/>
                <w:vertAlign w:val="baseline"/>
              </w:rPr>
            </w:pPr>
          </w:p>
        </w:tc>
      </w:tr>
      <w:tr w14:paraId="032D8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2935" w:type="dxa"/>
          </w:tcPr>
          <w:p w14:paraId="587F62EB">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投标单价（人民币/元）</w:t>
            </w:r>
          </w:p>
        </w:tc>
        <w:tc>
          <w:tcPr>
            <w:tcW w:w="6360" w:type="dxa"/>
          </w:tcPr>
          <w:p w14:paraId="04FA9F3D">
            <w:pPr>
              <w:widowControl/>
              <w:spacing w:line="440" w:lineRule="exact"/>
              <w:jc w:val="left"/>
            </w:pPr>
          </w:p>
        </w:tc>
      </w:tr>
      <w:tr w14:paraId="2A5EA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2935" w:type="dxa"/>
          </w:tcPr>
          <w:p w14:paraId="2436F3C8">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数量（单位）</w:t>
            </w:r>
          </w:p>
        </w:tc>
        <w:tc>
          <w:tcPr>
            <w:tcW w:w="6360" w:type="dxa"/>
          </w:tcPr>
          <w:p w14:paraId="7B416691">
            <w:pPr>
              <w:widowControl/>
              <w:spacing w:line="440" w:lineRule="exact"/>
              <w:jc w:val="left"/>
            </w:pPr>
          </w:p>
        </w:tc>
      </w:tr>
      <w:tr w14:paraId="6B15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08D8EEB1">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交货期限</w:t>
            </w:r>
          </w:p>
        </w:tc>
        <w:tc>
          <w:tcPr>
            <w:tcW w:w="6360" w:type="dxa"/>
          </w:tcPr>
          <w:p w14:paraId="57738E5D">
            <w:pPr>
              <w:widowControl/>
              <w:spacing w:line="440" w:lineRule="exact"/>
              <w:jc w:val="left"/>
              <w:rPr>
                <w:rFonts w:eastAsia="仿宋"/>
                <w:b/>
                <w:bCs/>
                <w:color w:val="auto"/>
                <w:sz w:val="24"/>
                <w:highlight w:val="none"/>
                <w:vertAlign w:val="baseline"/>
              </w:rPr>
            </w:pPr>
          </w:p>
        </w:tc>
      </w:tr>
      <w:tr w14:paraId="3F29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64EFDF6A">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车辆制造商</w:t>
            </w:r>
          </w:p>
        </w:tc>
        <w:tc>
          <w:tcPr>
            <w:tcW w:w="6360" w:type="dxa"/>
          </w:tcPr>
          <w:p w14:paraId="51D2E077">
            <w:pPr>
              <w:widowControl/>
              <w:spacing w:line="440" w:lineRule="exact"/>
              <w:jc w:val="left"/>
              <w:rPr>
                <w:rFonts w:eastAsia="仿宋"/>
                <w:b/>
                <w:bCs/>
                <w:color w:val="auto"/>
                <w:sz w:val="24"/>
                <w:highlight w:val="none"/>
                <w:vertAlign w:val="baseline"/>
              </w:rPr>
            </w:pPr>
          </w:p>
        </w:tc>
      </w:tr>
      <w:tr w14:paraId="4A89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155A1C24">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车辆品牌</w:t>
            </w:r>
          </w:p>
        </w:tc>
        <w:tc>
          <w:tcPr>
            <w:tcW w:w="6360" w:type="dxa"/>
          </w:tcPr>
          <w:p w14:paraId="1D507545">
            <w:pPr>
              <w:widowControl/>
              <w:spacing w:line="440" w:lineRule="exact"/>
              <w:jc w:val="left"/>
              <w:rPr>
                <w:rFonts w:eastAsia="仿宋"/>
                <w:b/>
                <w:bCs/>
                <w:color w:val="auto"/>
                <w:sz w:val="24"/>
                <w:highlight w:val="none"/>
                <w:vertAlign w:val="baseline"/>
              </w:rPr>
            </w:pPr>
          </w:p>
        </w:tc>
      </w:tr>
      <w:tr w14:paraId="5438E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34902695">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车辆型号</w:t>
            </w:r>
          </w:p>
        </w:tc>
        <w:tc>
          <w:tcPr>
            <w:tcW w:w="6360" w:type="dxa"/>
          </w:tcPr>
          <w:p w14:paraId="521719E0">
            <w:pPr>
              <w:widowControl/>
              <w:spacing w:line="440" w:lineRule="exact"/>
              <w:jc w:val="left"/>
              <w:rPr>
                <w:rFonts w:eastAsia="仿宋"/>
                <w:b/>
                <w:bCs/>
                <w:color w:val="auto"/>
                <w:sz w:val="24"/>
                <w:highlight w:val="none"/>
                <w:vertAlign w:val="baseline"/>
              </w:rPr>
            </w:pPr>
          </w:p>
        </w:tc>
      </w:tr>
      <w:tr w14:paraId="6848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5" w:type="dxa"/>
          </w:tcPr>
          <w:p w14:paraId="520A1110">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备注</w:t>
            </w:r>
          </w:p>
        </w:tc>
        <w:tc>
          <w:tcPr>
            <w:tcW w:w="6360" w:type="dxa"/>
          </w:tcPr>
          <w:p w14:paraId="59FD437F">
            <w:pPr>
              <w:widowControl/>
              <w:spacing w:line="440" w:lineRule="exact"/>
              <w:jc w:val="left"/>
              <w:rPr>
                <w:rFonts w:eastAsia="仿宋"/>
                <w:b/>
                <w:bCs/>
                <w:color w:val="auto"/>
                <w:sz w:val="24"/>
                <w:highlight w:val="none"/>
                <w:vertAlign w:val="baseline"/>
              </w:rPr>
            </w:pPr>
          </w:p>
        </w:tc>
      </w:tr>
    </w:tbl>
    <w:p w14:paraId="0C2109A3">
      <w:pPr>
        <w:widowControl/>
        <w:spacing w:line="440" w:lineRule="exact"/>
        <w:jc w:val="left"/>
        <w:rPr>
          <w:rFonts w:eastAsia="仿宋"/>
          <w:b/>
          <w:bCs/>
          <w:color w:val="auto"/>
          <w:sz w:val="24"/>
          <w:highlight w:val="none"/>
        </w:rPr>
      </w:pPr>
    </w:p>
    <w:p w14:paraId="1CF2060E">
      <w:pPr>
        <w:widowControl/>
        <w:spacing w:line="440" w:lineRule="exact"/>
        <w:jc w:val="left"/>
        <w:rPr>
          <w:rFonts w:eastAsia="仿宋"/>
          <w:b/>
          <w:bCs/>
          <w:color w:val="auto"/>
          <w:sz w:val="24"/>
          <w:highlight w:val="none"/>
        </w:rPr>
      </w:pPr>
      <w:r>
        <w:rPr>
          <w:rFonts w:eastAsia="仿宋"/>
          <w:b/>
          <w:bCs/>
          <w:color w:val="auto"/>
          <w:sz w:val="24"/>
          <w:highlight w:val="none"/>
        </w:rPr>
        <w:t>注</w:t>
      </w:r>
      <w:r>
        <w:rPr>
          <w:rFonts w:hint="eastAsia" w:eastAsia="仿宋"/>
          <w:b/>
          <w:bCs/>
          <w:color w:val="auto"/>
          <w:sz w:val="24"/>
          <w:highlight w:val="none"/>
          <w:lang w:eastAsia="zh-CN"/>
        </w:rPr>
        <w:t>：</w:t>
      </w:r>
      <w:r>
        <w:rPr>
          <w:rFonts w:eastAsia="仿宋"/>
          <w:b/>
          <w:bCs/>
          <w:color w:val="auto"/>
          <w:sz w:val="24"/>
          <w:highlight w:val="none"/>
        </w:rPr>
        <w:t>1、此表应按招标文件的规定与投标保证金凭证一同单独密封在一个信封中。</w:t>
      </w:r>
    </w:p>
    <w:p w14:paraId="02E087FA">
      <w:pPr>
        <w:widowControl/>
        <w:spacing w:line="440" w:lineRule="exact"/>
        <w:ind w:firstLine="482" w:firstLineChars="200"/>
        <w:jc w:val="left"/>
        <w:rPr>
          <w:rFonts w:eastAsia="仿宋"/>
          <w:b/>
          <w:bCs/>
          <w:color w:val="auto"/>
          <w:sz w:val="24"/>
          <w:highlight w:val="none"/>
        </w:rPr>
      </w:pPr>
      <w:r>
        <w:rPr>
          <w:rFonts w:eastAsia="仿宋"/>
          <w:b/>
          <w:bCs/>
          <w:color w:val="auto"/>
          <w:sz w:val="24"/>
          <w:highlight w:val="none"/>
        </w:rPr>
        <w:t>2、若投标报价的大、小写金额不同，以大写金额为准。</w:t>
      </w:r>
    </w:p>
    <w:p w14:paraId="79D0066C">
      <w:pPr>
        <w:widowControl/>
        <w:spacing w:line="440" w:lineRule="exact"/>
        <w:ind w:firstLine="482" w:firstLineChars="200"/>
        <w:jc w:val="left"/>
        <w:rPr>
          <w:rFonts w:hint="default" w:eastAsia="仿宋"/>
          <w:b/>
          <w:bCs/>
          <w:color w:val="auto"/>
          <w:sz w:val="24"/>
          <w:highlight w:val="none"/>
          <w:lang w:val="en-US" w:eastAsia="zh-CN"/>
        </w:rPr>
      </w:pPr>
      <w:r>
        <w:rPr>
          <w:rFonts w:hint="eastAsia" w:eastAsia="仿宋"/>
          <w:b/>
          <w:bCs/>
          <w:color w:val="auto"/>
          <w:sz w:val="24"/>
          <w:highlight w:val="none"/>
          <w:lang w:val="en-US" w:eastAsia="zh-CN"/>
        </w:rPr>
        <w:t>3、车辆制造商为整车制造商，车辆品牌为整车品牌，车辆型号为整车型号。</w:t>
      </w:r>
    </w:p>
    <w:p w14:paraId="6F33B698">
      <w:pPr>
        <w:spacing w:line="460" w:lineRule="exact"/>
        <w:ind w:left="-1" w:leftChars="-50" w:hanging="104" w:hangingChars="43"/>
        <w:rPr>
          <w:rFonts w:eastAsia="仿宋"/>
          <w:b/>
          <w:color w:val="auto"/>
          <w:sz w:val="24"/>
          <w:highlight w:val="none"/>
        </w:rPr>
      </w:pPr>
    </w:p>
    <w:p w14:paraId="7B2FCEFE">
      <w:pPr>
        <w:spacing w:line="460" w:lineRule="exact"/>
        <w:ind w:left="-2" w:leftChars="-50" w:hanging="103" w:hangingChars="43"/>
        <w:rPr>
          <w:rFonts w:eastAsia="仿宋"/>
          <w:color w:val="auto"/>
          <w:sz w:val="24"/>
          <w:highlight w:val="none"/>
        </w:rPr>
      </w:pPr>
    </w:p>
    <w:p w14:paraId="4784F5E3">
      <w:pPr>
        <w:spacing w:line="460" w:lineRule="exact"/>
        <w:ind w:left="-2" w:leftChars="-50" w:hanging="103" w:hangingChars="43"/>
        <w:rPr>
          <w:rFonts w:eastAsia="仿宋"/>
          <w:color w:val="auto"/>
          <w:sz w:val="24"/>
          <w:highlight w:val="none"/>
        </w:rPr>
      </w:pPr>
    </w:p>
    <w:p w14:paraId="576F726E">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投标人名称： （加盖公章）</w:t>
      </w:r>
    </w:p>
    <w:p w14:paraId="3419F872">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法定代表人（或授权代表）签字（或签章）：</w:t>
      </w:r>
    </w:p>
    <w:p w14:paraId="68FEAA9A">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日期：</w:t>
      </w:r>
    </w:p>
    <w:p w14:paraId="5FB267BE">
      <w:pPr>
        <w:rPr>
          <w:rFonts w:eastAsia="仿宋"/>
          <w:b/>
          <w:bCs/>
          <w:snapToGrid w:val="0"/>
          <w:color w:val="auto"/>
          <w:kern w:val="0"/>
          <w:sz w:val="28"/>
          <w:szCs w:val="28"/>
          <w:highlight w:val="none"/>
        </w:rPr>
        <w:sectPr>
          <w:footerReference r:id="rId14" w:type="first"/>
          <w:footerReference r:id="rId13" w:type="default"/>
          <w:pgSz w:w="11907" w:h="16840"/>
          <w:pgMar w:top="1361" w:right="1417" w:bottom="1361" w:left="1417" w:header="425" w:footer="573" w:gutter="0"/>
          <w:pgNumType w:fmt="decimal"/>
          <w:cols w:space="720" w:num="1"/>
          <w:titlePg/>
          <w:docGrid w:linePitch="462" w:charSpace="0"/>
        </w:sectPr>
      </w:pPr>
      <w:bookmarkStart w:id="225" w:name="_Toc400631658"/>
      <w:bookmarkStart w:id="226" w:name="_Toc399344497"/>
      <w:bookmarkStart w:id="227" w:name="_Toc399344124"/>
    </w:p>
    <w:p w14:paraId="1CF2AAF3">
      <w:pPr>
        <w:spacing w:line="560" w:lineRule="exact"/>
        <w:jc w:val="center"/>
        <w:outlineLvl w:val="1"/>
        <w:rPr>
          <w:rFonts w:eastAsia="仿宋"/>
          <w:b/>
          <w:bCs/>
          <w:snapToGrid w:val="0"/>
          <w:color w:val="auto"/>
          <w:kern w:val="0"/>
          <w:sz w:val="28"/>
          <w:szCs w:val="28"/>
          <w:highlight w:val="none"/>
        </w:rPr>
      </w:pPr>
      <w:bookmarkStart w:id="228" w:name="_Toc26004"/>
      <w:bookmarkStart w:id="229" w:name="_Toc17643"/>
      <w:bookmarkStart w:id="230" w:name="_Toc19263"/>
      <w:bookmarkStart w:id="231" w:name="_Toc5847"/>
      <w:bookmarkStart w:id="232" w:name="_Toc29614"/>
      <w:bookmarkStart w:id="233" w:name="_Toc111018950"/>
      <w:bookmarkStart w:id="234" w:name="_Toc105"/>
      <w:r>
        <w:rPr>
          <w:rFonts w:eastAsia="仿宋"/>
          <w:b/>
          <w:bCs/>
          <w:snapToGrid w:val="0"/>
          <w:color w:val="auto"/>
          <w:kern w:val="0"/>
          <w:sz w:val="28"/>
          <w:szCs w:val="28"/>
          <w:highlight w:val="none"/>
        </w:rPr>
        <w:t>三、</w:t>
      </w:r>
      <w:bookmarkEnd w:id="225"/>
      <w:bookmarkEnd w:id="226"/>
      <w:bookmarkEnd w:id="227"/>
      <w:bookmarkStart w:id="235" w:name="_Toc478480273"/>
      <w:bookmarkStart w:id="236" w:name="_Toc478659311"/>
      <w:r>
        <w:rPr>
          <w:rFonts w:eastAsia="仿宋"/>
          <w:b/>
          <w:bCs/>
          <w:snapToGrid w:val="0"/>
          <w:color w:val="auto"/>
          <w:kern w:val="0"/>
          <w:sz w:val="28"/>
          <w:szCs w:val="28"/>
          <w:highlight w:val="none"/>
        </w:rPr>
        <w:t>开标一览表明细</w:t>
      </w:r>
      <w:bookmarkEnd w:id="228"/>
      <w:bookmarkEnd w:id="229"/>
      <w:bookmarkEnd w:id="230"/>
      <w:bookmarkEnd w:id="231"/>
      <w:bookmarkEnd w:id="232"/>
      <w:bookmarkEnd w:id="233"/>
      <w:bookmarkEnd w:id="234"/>
      <w:bookmarkEnd w:id="235"/>
      <w:bookmarkEnd w:id="236"/>
    </w:p>
    <w:p w14:paraId="00E9C084">
      <w:pPr>
        <w:spacing w:line="460" w:lineRule="exact"/>
        <w:ind w:left="-2" w:leftChars="-50" w:hanging="103" w:hangingChars="43"/>
        <w:rPr>
          <w:rFonts w:eastAsia="仿宋"/>
          <w:color w:val="auto"/>
          <w:sz w:val="24"/>
          <w:highlight w:val="none"/>
        </w:rPr>
      </w:pPr>
      <w:bookmarkStart w:id="237" w:name="_Toc399344498"/>
      <w:bookmarkStart w:id="238" w:name="_Toc399344125"/>
      <w:bookmarkStart w:id="239" w:name="_Toc400631659"/>
      <w:r>
        <w:rPr>
          <w:rFonts w:eastAsia="仿宋"/>
          <w:color w:val="auto"/>
          <w:sz w:val="24"/>
          <w:highlight w:val="none"/>
        </w:rPr>
        <w:t>投标人名称：</w:t>
      </w:r>
    </w:p>
    <w:p w14:paraId="315B8B28">
      <w:pPr>
        <w:spacing w:line="460" w:lineRule="exact"/>
        <w:ind w:left="-2" w:leftChars="-50" w:hanging="103" w:hangingChars="43"/>
        <w:rPr>
          <w:rFonts w:eastAsia="仿宋"/>
          <w:color w:val="auto"/>
          <w:sz w:val="24"/>
          <w:highlight w:val="none"/>
        </w:rPr>
      </w:pPr>
      <w:r>
        <w:rPr>
          <w:rFonts w:eastAsia="仿宋"/>
          <w:color w:val="auto"/>
          <w:sz w:val="24"/>
          <w:highlight w:val="none"/>
        </w:rPr>
        <w:t>项目编号：                                                                        包      号：</w:t>
      </w:r>
    </w:p>
    <w:tbl>
      <w:tblPr>
        <w:tblStyle w:val="44"/>
        <w:tblW w:w="1503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0"/>
        <w:gridCol w:w="1962"/>
        <w:gridCol w:w="826"/>
        <w:gridCol w:w="814"/>
        <w:gridCol w:w="720"/>
        <w:gridCol w:w="1346"/>
        <w:gridCol w:w="827"/>
        <w:gridCol w:w="853"/>
        <w:gridCol w:w="817"/>
        <w:gridCol w:w="1579"/>
        <w:gridCol w:w="1666"/>
        <w:gridCol w:w="1762"/>
        <w:gridCol w:w="1127"/>
        <w:gridCol w:w="23"/>
      </w:tblGrid>
      <w:tr w14:paraId="19890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tcBorders>
              <w:top w:val="single" w:color="auto" w:sz="12" w:space="0"/>
            </w:tcBorders>
            <w:vAlign w:val="center"/>
          </w:tcPr>
          <w:p w14:paraId="4C9A42AE">
            <w:pPr>
              <w:spacing w:line="360" w:lineRule="exact"/>
              <w:jc w:val="center"/>
              <w:rPr>
                <w:rFonts w:eastAsia="仿宋"/>
                <w:color w:val="auto"/>
                <w:sz w:val="24"/>
                <w:szCs w:val="22"/>
                <w:highlight w:val="none"/>
              </w:rPr>
            </w:pPr>
            <w:r>
              <w:rPr>
                <w:rFonts w:eastAsia="仿宋"/>
                <w:color w:val="auto"/>
                <w:sz w:val="24"/>
                <w:szCs w:val="22"/>
                <w:highlight w:val="none"/>
              </w:rPr>
              <w:t>序号</w:t>
            </w:r>
          </w:p>
        </w:tc>
        <w:tc>
          <w:tcPr>
            <w:tcW w:w="1962" w:type="dxa"/>
            <w:tcBorders>
              <w:top w:val="single" w:color="auto" w:sz="12" w:space="0"/>
            </w:tcBorders>
            <w:vAlign w:val="center"/>
          </w:tcPr>
          <w:p w14:paraId="5404724D">
            <w:pPr>
              <w:spacing w:line="360" w:lineRule="exact"/>
              <w:jc w:val="center"/>
              <w:rPr>
                <w:rFonts w:eastAsia="仿宋"/>
                <w:color w:val="auto"/>
                <w:sz w:val="24"/>
                <w:szCs w:val="22"/>
                <w:highlight w:val="none"/>
              </w:rPr>
            </w:pPr>
            <w:r>
              <w:rPr>
                <w:rFonts w:eastAsia="仿宋"/>
                <w:color w:val="auto"/>
                <w:sz w:val="24"/>
                <w:szCs w:val="22"/>
                <w:highlight w:val="none"/>
              </w:rPr>
              <w:t>货物名称</w:t>
            </w:r>
          </w:p>
        </w:tc>
        <w:tc>
          <w:tcPr>
            <w:tcW w:w="826" w:type="dxa"/>
            <w:tcBorders>
              <w:top w:val="single" w:color="auto" w:sz="12" w:space="0"/>
            </w:tcBorders>
            <w:vAlign w:val="center"/>
          </w:tcPr>
          <w:p w14:paraId="7B2E42AE">
            <w:pPr>
              <w:spacing w:line="360" w:lineRule="exact"/>
              <w:jc w:val="center"/>
              <w:rPr>
                <w:rFonts w:eastAsia="仿宋"/>
                <w:color w:val="auto"/>
                <w:sz w:val="24"/>
                <w:szCs w:val="22"/>
                <w:highlight w:val="none"/>
              </w:rPr>
            </w:pPr>
            <w:r>
              <w:rPr>
                <w:rFonts w:eastAsia="仿宋"/>
                <w:color w:val="auto"/>
                <w:sz w:val="24"/>
                <w:szCs w:val="22"/>
                <w:highlight w:val="none"/>
              </w:rPr>
              <w:t>数量/单位</w:t>
            </w:r>
          </w:p>
        </w:tc>
        <w:tc>
          <w:tcPr>
            <w:tcW w:w="814" w:type="dxa"/>
            <w:tcBorders>
              <w:top w:val="single" w:color="auto" w:sz="12" w:space="0"/>
              <w:right w:val="single" w:color="auto" w:sz="4" w:space="0"/>
            </w:tcBorders>
            <w:vAlign w:val="center"/>
          </w:tcPr>
          <w:p w14:paraId="00141DBF">
            <w:pPr>
              <w:spacing w:line="360" w:lineRule="exact"/>
              <w:jc w:val="center"/>
              <w:rPr>
                <w:rFonts w:eastAsia="仿宋"/>
                <w:color w:val="auto"/>
                <w:sz w:val="24"/>
                <w:szCs w:val="22"/>
                <w:highlight w:val="none"/>
              </w:rPr>
            </w:pPr>
            <w:r>
              <w:rPr>
                <w:rFonts w:eastAsia="仿宋"/>
                <w:color w:val="auto"/>
                <w:sz w:val="24"/>
                <w:szCs w:val="22"/>
                <w:highlight w:val="none"/>
              </w:rPr>
              <w:t>品牌</w:t>
            </w:r>
          </w:p>
        </w:tc>
        <w:tc>
          <w:tcPr>
            <w:tcW w:w="720" w:type="dxa"/>
            <w:tcBorders>
              <w:top w:val="single" w:color="auto" w:sz="12" w:space="0"/>
              <w:left w:val="single" w:color="auto" w:sz="4" w:space="0"/>
            </w:tcBorders>
            <w:vAlign w:val="center"/>
          </w:tcPr>
          <w:p w14:paraId="51AFD11D">
            <w:pPr>
              <w:spacing w:line="360" w:lineRule="exact"/>
              <w:jc w:val="center"/>
              <w:rPr>
                <w:rFonts w:eastAsia="仿宋"/>
                <w:strike/>
                <w:color w:val="auto"/>
                <w:sz w:val="24"/>
                <w:szCs w:val="22"/>
                <w:highlight w:val="none"/>
              </w:rPr>
            </w:pPr>
            <w:r>
              <w:rPr>
                <w:rFonts w:eastAsia="仿宋"/>
                <w:color w:val="auto"/>
                <w:sz w:val="24"/>
                <w:szCs w:val="22"/>
                <w:highlight w:val="none"/>
              </w:rPr>
              <w:t>规格</w:t>
            </w:r>
          </w:p>
          <w:p w14:paraId="1F433936">
            <w:pPr>
              <w:spacing w:line="360" w:lineRule="exact"/>
              <w:jc w:val="center"/>
              <w:rPr>
                <w:rFonts w:eastAsia="仿宋"/>
                <w:color w:val="auto"/>
                <w:sz w:val="24"/>
                <w:szCs w:val="22"/>
                <w:highlight w:val="none"/>
              </w:rPr>
            </w:pPr>
            <w:r>
              <w:rPr>
                <w:rFonts w:eastAsia="仿宋"/>
                <w:color w:val="auto"/>
                <w:sz w:val="24"/>
                <w:szCs w:val="22"/>
                <w:highlight w:val="none"/>
              </w:rPr>
              <w:t>型号</w:t>
            </w:r>
          </w:p>
        </w:tc>
        <w:tc>
          <w:tcPr>
            <w:tcW w:w="1346" w:type="dxa"/>
            <w:tcBorders>
              <w:top w:val="single" w:color="auto" w:sz="12" w:space="0"/>
            </w:tcBorders>
            <w:vAlign w:val="center"/>
          </w:tcPr>
          <w:p w14:paraId="6556ED0C">
            <w:pPr>
              <w:spacing w:line="360" w:lineRule="exact"/>
              <w:jc w:val="center"/>
              <w:rPr>
                <w:rFonts w:eastAsia="仿宋"/>
                <w:color w:val="auto"/>
                <w:sz w:val="24"/>
                <w:szCs w:val="22"/>
                <w:highlight w:val="none"/>
              </w:rPr>
            </w:pPr>
            <w:r>
              <w:rPr>
                <w:rFonts w:eastAsia="仿宋"/>
                <w:color w:val="auto"/>
                <w:sz w:val="24"/>
                <w:szCs w:val="22"/>
                <w:highlight w:val="none"/>
              </w:rPr>
              <w:t>制造商名称</w:t>
            </w:r>
          </w:p>
        </w:tc>
        <w:tc>
          <w:tcPr>
            <w:tcW w:w="827" w:type="dxa"/>
            <w:tcBorders>
              <w:top w:val="single" w:color="auto" w:sz="12" w:space="0"/>
              <w:right w:val="single" w:color="auto" w:sz="4" w:space="0"/>
            </w:tcBorders>
            <w:vAlign w:val="center"/>
          </w:tcPr>
          <w:p w14:paraId="03039C1E">
            <w:pPr>
              <w:spacing w:line="360" w:lineRule="exact"/>
              <w:jc w:val="center"/>
              <w:rPr>
                <w:rFonts w:eastAsia="仿宋"/>
                <w:color w:val="auto"/>
                <w:sz w:val="24"/>
                <w:szCs w:val="22"/>
                <w:highlight w:val="none"/>
              </w:rPr>
            </w:pPr>
            <w:r>
              <w:rPr>
                <w:rFonts w:eastAsia="仿宋"/>
                <w:color w:val="auto"/>
                <w:sz w:val="24"/>
                <w:szCs w:val="22"/>
                <w:highlight w:val="none"/>
              </w:rPr>
              <w:t>产地</w:t>
            </w:r>
          </w:p>
        </w:tc>
        <w:tc>
          <w:tcPr>
            <w:tcW w:w="853" w:type="dxa"/>
            <w:tcBorders>
              <w:top w:val="single" w:color="auto" w:sz="12" w:space="0"/>
              <w:left w:val="single" w:color="auto" w:sz="4" w:space="0"/>
              <w:right w:val="single" w:color="auto" w:sz="4" w:space="0"/>
            </w:tcBorders>
            <w:vAlign w:val="center"/>
          </w:tcPr>
          <w:p w14:paraId="3F8C76AA">
            <w:pPr>
              <w:spacing w:line="360" w:lineRule="exact"/>
              <w:jc w:val="cente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质保期限</w:t>
            </w:r>
          </w:p>
        </w:tc>
        <w:tc>
          <w:tcPr>
            <w:tcW w:w="817" w:type="dxa"/>
            <w:tcBorders>
              <w:top w:val="single" w:color="auto" w:sz="12" w:space="0"/>
              <w:left w:val="single" w:color="auto" w:sz="4" w:space="0"/>
            </w:tcBorders>
            <w:vAlign w:val="center"/>
          </w:tcPr>
          <w:p w14:paraId="69DC3305">
            <w:pPr>
              <w:spacing w:line="360" w:lineRule="exact"/>
              <w:jc w:val="cente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保修期限</w:t>
            </w:r>
          </w:p>
        </w:tc>
        <w:tc>
          <w:tcPr>
            <w:tcW w:w="1579" w:type="dxa"/>
            <w:tcBorders>
              <w:top w:val="single" w:color="auto" w:sz="12" w:space="0"/>
            </w:tcBorders>
            <w:vAlign w:val="center"/>
          </w:tcPr>
          <w:p w14:paraId="5E2897A7">
            <w:pPr>
              <w:spacing w:line="360" w:lineRule="exact"/>
              <w:jc w:val="center"/>
              <w:rPr>
                <w:rFonts w:eastAsia="仿宋"/>
                <w:color w:val="auto"/>
                <w:sz w:val="24"/>
                <w:szCs w:val="22"/>
                <w:highlight w:val="none"/>
              </w:rPr>
            </w:pPr>
            <w:r>
              <w:rPr>
                <w:rFonts w:eastAsia="仿宋"/>
                <w:color w:val="auto"/>
                <w:sz w:val="24"/>
                <w:szCs w:val="22"/>
                <w:highlight w:val="none"/>
              </w:rPr>
              <w:t>单价</w:t>
            </w:r>
          </w:p>
          <w:p w14:paraId="3DCEC447">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666" w:type="dxa"/>
            <w:tcBorders>
              <w:top w:val="single" w:color="auto" w:sz="12" w:space="0"/>
            </w:tcBorders>
            <w:vAlign w:val="center"/>
          </w:tcPr>
          <w:p w14:paraId="553624A2">
            <w:pPr>
              <w:spacing w:line="360" w:lineRule="exact"/>
              <w:jc w:val="center"/>
              <w:rPr>
                <w:rFonts w:eastAsia="仿宋"/>
                <w:color w:val="auto"/>
                <w:sz w:val="24"/>
                <w:szCs w:val="22"/>
                <w:highlight w:val="none"/>
              </w:rPr>
            </w:pPr>
            <w:r>
              <w:rPr>
                <w:rFonts w:eastAsia="仿宋"/>
                <w:color w:val="auto"/>
                <w:sz w:val="24"/>
                <w:szCs w:val="22"/>
                <w:highlight w:val="none"/>
              </w:rPr>
              <w:t>总价</w:t>
            </w:r>
          </w:p>
          <w:p w14:paraId="001A8EB9">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762" w:type="dxa"/>
            <w:tcBorders>
              <w:top w:val="single" w:color="auto" w:sz="12" w:space="0"/>
            </w:tcBorders>
            <w:vAlign w:val="center"/>
          </w:tcPr>
          <w:p w14:paraId="6C6C26B7">
            <w:pPr>
              <w:spacing w:line="360" w:lineRule="exact"/>
              <w:jc w:val="center"/>
              <w:rPr>
                <w:rFonts w:eastAsia="仿宋"/>
                <w:color w:val="auto"/>
                <w:sz w:val="24"/>
                <w:szCs w:val="22"/>
                <w:highlight w:val="none"/>
              </w:rPr>
            </w:pPr>
            <w:r>
              <w:rPr>
                <w:rFonts w:eastAsia="仿宋"/>
                <w:color w:val="auto"/>
                <w:sz w:val="24"/>
                <w:szCs w:val="22"/>
                <w:highlight w:val="none"/>
              </w:rPr>
              <w:t>是否属于品目清单内的节能、环保产品</w:t>
            </w:r>
          </w:p>
        </w:tc>
        <w:tc>
          <w:tcPr>
            <w:tcW w:w="1150" w:type="dxa"/>
            <w:gridSpan w:val="2"/>
            <w:tcBorders>
              <w:top w:val="single" w:color="auto" w:sz="12" w:space="0"/>
            </w:tcBorders>
            <w:vAlign w:val="center"/>
          </w:tcPr>
          <w:p w14:paraId="0ABB85FA">
            <w:pPr>
              <w:spacing w:line="360" w:lineRule="exact"/>
              <w:jc w:val="center"/>
              <w:rPr>
                <w:rFonts w:eastAsia="仿宋"/>
                <w:color w:val="auto"/>
                <w:sz w:val="24"/>
                <w:szCs w:val="22"/>
                <w:highlight w:val="none"/>
              </w:rPr>
            </w:pPr>
            <w:r>
              <w:rPr>
                <w:rFonts w:eastAsia="仿宋"/>
                <w:color w:val="auto"/>
                <w:sz w:val="24"/>
                <w:szCs w:val="22"/>
                <w:highlight w:val="none"/>
              </w:rPr>
              <w:t>备注</w:t>
            </w:r>
          </w:p>
        </w:tc>
      </w:tr>
      <w:tr w14:paraId="5B80F4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14:paraId="7249AD3E">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1962" w:type="dxa"/>
          </w:tcPr>
          <w:p w14:paraId="23C07E7B">
            <w:pPr>
              <w:spacing w:line="460" w:lineRule="atLeast"/>
              <w:jc w:val="center"/>
              <w:rPr>
                <w:rFonts w:eastAsia="仿宋"/>
                <w:color w:val="auto"/>
                <w:sz w:val="24"/>
                <w:szCs w:val="22"/>
                <w:highlight w:val="none"/>
              </w:rPr>
            </w:pPr>
          </w:p>
        </w:tc>
        <w:tc>
          <w:tcPr>
            <w:tcW w:w="826" w:type="dxa"/>
          </w:tcPr>
          <w:p w14:paraId="65912841">
            <w:pPr>
              <w:spacing w:line="460" w:lineRule="atLeast"/>
              <w:jc w:val="center"/>
              <w:rPr>
                <w:rFonts w:eastAsia="仿宋"/>
                <w:color w:val="auto"/>
                <w:sz w:val="24"/>
                <w:szCs w:val="22"/>
                <w:highlight w:val="none"/>
              </w:rPr>
            </w:pPr>
          </w:p>
        </w:tc>
        <w:tc>
          <w:tcPr>
            <w:tcW w:w="814" w:type="dxa"/>
            <w:tcBorders>
              <w:right w:val="single" w:color="auto" w:sz="4" w:space="0"/>
            </w:tcBorders>
            <w:vAlign w:val="center"/>
          </w:tcPr>
          <w:p w14:paraId="5866B3D2">
            <w:pPr>
              <w:spacing w:line="460" w:lineRule="exact"/>
              <w:jc w:val="center"/>
              <w:rPr>
                <w:rFonts w:eastAsia="仿宋"/>
                <w:color w:val="auto"/>
                <w:sz w:val="24"/>
                <w:szCs w:val="22"/>
                <w:highlight w:val="none"/>
              </w:rPr>
            </w:pPr>
          </w:p>
        </w:tc>
        <w:tc>
          <w:tcPr>
            <w:tcW w:w="720" w:type="dxa"/>
            <w:tcBorders>
              <w:left w:val="single" w:color="auto" w:sz="4" w:space="0"/>
            </w:tcBorders>
            <w:vAlign w:val="center"/>
          </w:tcPr>
          <w:p w14:paraId="3F331613">
            <w:pPr>
              <w:spacing w:line="460" w:lineRule="exact"/>
              <w:jc w:val="center"/>
              <w:rPr>
                <w:rFonts w:eastAsia="仿宋"/>
                <w:color w:val="auto"/>
                <w:sz w:val="24"/>
                <w:szCs w:val="22"/>
                <w:highlight w:val="none"/>
              </w:rPr>
            </w:pPr>
          </w:p>
        </w:tc>
        <w:tc>
          <w:tcPr>
            <w:tcW w:w="1346" w:type="dxa"/>
          </w:tcPr>
          <w:p w14:paraId="3E1DA09C">
            <w:pPr>
              <w:spacing w:line="460" w:lineRule="exact"/>
              <w:jc w:val="center"/>
              <w:rPr>
                <w:rFonts w:eastAsia="仿宋"/>
                <w:color w:val="auto"/>
                <w:sz w:val="24"/>
                <w:szCs w:val="22"/>
                <w:highlight w:val="none"/>
              </w:rPr>
            </w:pPr>
          </w:p>
        </w:tc>
        <w:tc>
          <w:tcPr>
            <w:tcW w:w="827" w:type="dxa"/>
            <w:tcBorders>
              <w:right w:val="single" w:color="auto" w:sz="4" w:space="0"/>
            </w:tcBorders>
            <w:vAlign w:val="center"/>
          </w:tcPr>
          <w:p w14:paraId="17AA58D5">
            <w:pPr>
              <w:spacing w:line="460" w:lineRule="exact"/>
              <w:jc w:val="center"/>
              <w:rPr>
                <w:rFonts w:eastAsia="仿宋"/>
                <w:color w:val="auto"/>
                <w:sz w:val="24"/>
                <w:szCs w:val="22"/>
                <w:highlight w:val="none"/>
              </w:rPr>
            </w:pPr>
          </w:p>
        </w:tc>
        <w:tc>
          <w:tcPr>
            <w:tcW w:w="853" w:type="dxa"/>
            <w:tcBorders>
              <w:left w:val="single" w:color="auto" w:sz="4" w:space="0"/>
              <w:right w:val="single" w:color="auto" w:sz="4" w:space="0"/>
            </w:tcBorders>
            <w:vAlign w:val="center"/>
          </w:tcPr>
          <w:p w14:paraId="7170D7EB">
            <w:pPr>
              <w:spacing w:line="460" w:lineRule="exact"/>
              <w:jc w:val="center"/>
              <w:rPr>
                <w:rFonts w:eastAsia="仿宋"/>
                <w:color w:val="auto"/>
                <w:sz w:val="24"/>
                <w:szCs w:val="22"/>
                <w:highlight w:val="none"/>
              </w:rPr>
            </w:pPr>
          </w:p>
        </w:tc>
        <w:tc>
          <w:tcPr>
            <w:tcW w:w="817" w:type="dxa"/>
            <w:tcBorders>
              <w:left w:val="single" w:color="auto" w:sz="4" w:space="0"/>
            </w:tcBorders>
            <w:vAlign w:val="center"/>
          </w:tcPr>
          <w:p w14:paraId="388FE857">
            <w:pPr>
              <w:spacing w:line="460" w:lineRule="exact"/>
              <w:jc w:val="center"/>
              <w:rPr>
                <w:rFonts w:eastAsia="仿宋"/>
                <w:color w:val="auto"/>
                <w:sz w:val="24"/>
                <w:szCs w:val="22"/>
                <w:highlight w:val="none"/>
              </w:rPr>
            </w:pPr>
          </w:p>
        </w:tc>
        <w:tc>
          <w:tcPr>
            <w:tcW w:w="1579" w:type="dxa"/>
            <w:vAlign w:val="center"/>
          </w:tcPr>
          <w:p w14:paraId="1F434701">
            <w:pPr>
              <w:spacing w:line="460" w:lineRule="exact"/>
              <w:jc w:val="center"/>
              <w:rPr>
                <w:rFonts w:eastAsia="仿宋"/>
                <w:color w:val="auto"/>
                <w:sz w:val="24"/>
                <w:szCs w:val="22"/>
                <w:highlight w:val="none"/>
              </w:rPr>
            </w:pPr>
          </w:p>
        </w:tc>
        <w:tc>
          <w:tcPr>
            <w:tcW w:w="1666" w:type="dxa"/>
            <w:vAlign w:val="center"/>
          </w:tcPr>
          <w:p w14:paraId="4756FE75">
            <w:pPr>
              <w:spacing w:line="460" w:lineRule="exact"/>
              <w:jc w:val="center"/>
              <w:rPr>
                <w:rFonts w:eastAsia="仿宋"/>
                <w:color w:val="auto"/>
                <w:sz w:val="24"/>
                <w:szCs w:val="22"/>
                <w:highlight w:val="none"/>
              </w:rPr>
            </w:pPr>
          </w:p>
        </w:tc>
        <w:tc>
          <w:tcPr>
            <w:tcW w:w="1762" w:type="dxa"/>
          </w:tcPr>
          <w:p w14:paraId="04DD01A6">
            <w:pPr>
              <w:spacing w:line="460" w:lineRule="exact"/>
              <w:jc w:val="center"/>
              <w:rPr>
                <w:rFonts w:eastAsia="仿宋"/>
                <w:color w:val="auto"/>
                <w:sz w:val="24"/>
                <w:szCs w:val="22"/>
                <w:highlight w:val="none"/>
              </w:rPr>
            </w:pPr>
          </w:p>
        </w:tc>
        <w:tc>
          <w:tcPr>
            <w:tcW w:w="1150" w:type="dxa"/>
            <w:gridSpan w:val="2"/>
            <w:vAlign w:val="center"/>
          </w:tcPr>
          <w:p w14:paraId="08F64F5A">
            <w:pPr>
              <w:spacing w:line="460" w:lineRule="exact"/>
              <w:jc w:val="center"/>
              <w:rPr>
                <w:rFonts w:eastAsia="仿宋"/>
                <w:color w:val="auto"/>
                <w:sz w:val="24"/>
                <w:szCs w:val="22"/>
                <w:highlight w:val="none"/>
              </w:rPr>
            </w:pPr>
          </w:p>
        </w:tc>
      </w:tr>
      <w:tr w14:paraId="50942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14:paraId="63EF2BB5">
            <w:pPr>
              <w:spacing w:line="460" w:lineRule="exact"/>
              <w:jc w:val="center"/>
              <w:rPr>
                <w:rFonts w:eastAsia="仿宋"/>
                <w:color w:val="auto"/>
                <w:sz w:val="24"/>
                <w:szCs w:val="22"/>
                <w:highlight w:val="none"/>
              </w:rPr>
            </w:pPr>
            <w:r>
              <w:rPr>
                <w:rFonts w:eastAsia="仿宋"/>
                <w:color w:val="auto"/>
                <w:sz w:val="24"/>
                <w:szCs w:val="22"/>
                <w:highlight w:val="none"/>
              </w:rPr>
              <w:t>…</w:t>
            </w:r>
          </w:p>
        </w:tc>
        <w:tc>
          <w:tcPr>
            <w:tcW w:w="1962" w:type="dxa"/>
          </w:tcPr>
          <w:p w14:paraId="7F62AAB0">
            <w:pPr>
              <w:spacing w:line="460" w:lineRule="atLeast"/>
              <w:jc w:val="center"/>
              <w:rPr>
                <w:rFonts w:eastAsia="仿宋"/>
                <w:color w:val="auto"/>
                <w:sz w:val="24"/>
                <w:szCs w:val="22"/>
                <w:highlight w:val="none"/>
              </w:rPr>
            </w:pPr>
            <w:r>
              <w:rPr>
                <w:rFonts w:eastAsia="仿宋"/>
                <w:color w:val="auto"/>
                <w:sz w:val="24"/>
                <w:szCs w:val="22"/>
                <w:highlight w:val="none"/>
              </w:rPr>
              <w:t>…</w:t>
            </w:r>
          </w:p>
        </w:tc>
        <w:tc>
          <w:tcPr>
            <w:tcW w:w="826" w:type="dxa"/>
            <w:vAlign w:val="center"/>
          </w:tcPr>
          <w:p w14:paraId="7E07E181">
            <w:pPr>
              <w:spacing w:line="460" w:lineRule="atLeast"/>
              <w:jc w:val="center"/>
              <w:rPr>
                <w:rFonts w:eastAsia="仿宋"/>
                <w:color w:val="auto"/>
                <w:sz w:val="24"/>
                <w:szCs w:val="22"/>
                <w:highlight w:val="none"/>
              </w:rPr>
            </w:pPr>
          </w:p>
        </w:tc>
        <w:tc>
          <w:tcPr>
            <w:tcW w:w="814" w:type="dxa"/>
            <w:tcBorders>
              <w:right w:val="single" w:color="auto" w:sz="4" w:space="0"/>
            </w:tcBorders>
            <w:vAlign w:val="center"/>
          </w:tcPr>
          <w:p w14:paraId="5AA155E3">
            <w:pPr>
              <w:spacing w:line="460" w:lineRule="exact"/>
              <w:jc w:val="center"/>
              <w:rPr>
                <w:rFonts w:eastAsia="仿宋"/>
                <w:color w:val="auto"/>
                <w:sz w:val="24"/>
                <w:szCs w:val="22"/>
                <w:highlight w:val="none"/>
              </w:rPr>
            </w:pPr>
          </w:p>
        </w:tc>
        <w:tc>
          <w:tcPr>
            <w:tcW w:w="720" w:type="dxa"/>
            <w:tcBorders>
              <w:left w:val="single" w:color="auto" w:sz="4" w:space="0"/>
            </w:tcBorders>
            <w:vAlign w:val="center"/>
          </w:tcPr>
          <w:p w14:paraId="57091FF3">
            <w:pPr>
              <w:spacing w:line="460" w:lineRule="exact"/>
              <w:jc w:val="center"/>
              <w:rPr>
                <w:rFonts w:eastAsia="仿宋"/>
                <w:color w:val="auto"/>
                <w:sz w:val="24"/>
                <w:szCs w:val="22"/>
                <w:highlight w:val="none"/>
              </w:rPr>
            </w:pPr>
          </w:p>
        </w:tc>
        <w:tc>
          <w:tcPr>
            <w:tcW w:w="1346" w:type="dxa"/>
          </w:tcPr>
          <w:p w14:paraId="30193109">
            <w:pPr>
              <w:spacing w:line="460" w:lineRule="exact"/>
              <w:jc w:val="center"/>
              <w:rPr>
                <w:rFonts w:eastAsia="仿宋"/>
                <w:color w:val="auto"/>
                <w:sz w:val="24"/>
                <w:szCs w:val="22"/>
                <w:highlight w:val="none"/>
              </w:rPr>
            </w:pPr>
          </w:p>
        </w:tc>
        <w:tc>
          <w:tcPr>
            <w:tcW w:w="827" w:type="dxa"/>
            <w:tcBorders>
              <w:right w:val="single" w:color="auto" w:sz="4" w:space="0"/>
            </w:tcBorders>
            <w:vAlign w:val="center"/>
          </w:tcPr>
          <w:p w14:paraId="62E7A5D7">
            <w:pPr>
              <w:spacing w:line="460" w:lineRule="exact"/>
              <w:jc w:val="center"/>
              <w:rPr>
                <w:rFonts w:eastAsia="仿宋"/>
                <w:color w:val="auto"/>
                <w:sz w:val="24"/>
                <w:szCs w:val="22"/>
                <w:highlight w:val="none"/>
              </w:rPr>
            </w:pPr>
          </w:p>
        </w:tc>
        <w:tc>
          <w:tcPr>
            <w:tcW w:w="853" w:type="dxa"/>
            <w:tcBorders>
              <w:left w:val="single" w:color="auto" w:sz="4" w:space="0"/>
              <w:right w:val="single" w:color="auto" w:sz="4" w:space="0"/>
            </w:tcBorders>
            <w:vAlign w:val="center"/>
          </w:tcPr>
          <w:p w14:paraId="59495388">
            <w:pPr>
              <w:spacing w:line="460" w:lineRule="exact"/>
              <w:jc w:val="center"/>
              <w:rPr>
                <w:rFonts w:eastAsia="仿宋"/>
                <w:color w:val="auto"/>
                <w:sz w:val="24"/>
                <w:szCs w:val="22"/>
                <w:highlight w:val="none"/>
              </w:rPr>
            </w:pPr>
          </w:p>
        </w:tc>
        <w:tc>
          <w:tcPr>
            <w:tcW w:w="817" w:type="dxa"/>
            <w:tcBorders>
              <w:left w:val="single" w:color="auto" w:sz="4" w:space="0"/>
            </w:tcBorders>
            <w:vAlign w:val="center"/>
          </w:tcPr>
          <w:p w14:paraId="3639D94E">
            <w:pPr>
              <w:spacing w:line="460" w:lineRule="exact"/>
              <w:jc w:val="center"/>
              <w:rPr>
                <w:rFonts w:eastAsia="仿宋"/>
                <w:color w:val="auto"/>
                <w:sz w:val="24"/>
                <w:szCs w:val="22"/>
                <w:highlight w:val="none"/>
              </w:rPr>
            </w:pPr>
          </w:p>
        </w:tc>
        <w:tc>
          <w:tcPr>
            <w:tcW w:w="1579" w:type="dxa"/>
            <w:vAlign w:val="center"/>
          </w:tcPr>
          <w:p w14:paraId="3FD4D612">
            <w:pPr>
              <w:spacing w:line="460" w:lineRule="exact"/>
              <w:jc w:val="center"/>
              <w:rPr>
                <w:rFonts w:eastAsia="仿宋"/>
                <w:color w:val="auto"/>
                <w:sz w:val="24"/>
                <w:szCs w:val="22"/>
                <w:highlight w:val="none"/>
              </w:rPr>
            </w:pPr>
          </w:p>
        </w:tc>
        <w:tc>
          <w:tcPr>
            <w:tcW w:w="1666" w:type="dxa"/>
            <w:vAlign w:val="center"/>
          </w:tcPr>
          <w:p w14:paraId="324EC5D5">
            <w:pPr>
              <w:spacing w:line="460" w:lineRule="exact"/>
              <w:jc w:val="center"/>
              <w:rPr>
                <w:rFonts w:eastAsia="仿宋"/>
                <w:color w:val="auto"/>
                <w:sz w:val="24"/>
                <w:szCs w:val="22"/>
                <w:highlight w:val="none"/>
              </w:rPr>
            </w:pPr>
          </w:p>
        </w:tc>
        <w:tc>
          <w:tcPr>
            <w:tcW w:w="1762" w:type="dxa"/>
          </w:tcPr>
          <w:p w14:paraId="2B09AA66">
            <w:pPr>
              <w:spacing w:line="460" w:lineRule="exact"/>
              <w:jc w:val="center"/>
              <w:rPr>
                <w:rFonts w:eastAsia="仿宋"/>
                <w:color w:val="auto"/>
                <w:sz w:val="24"/>
                <w:szCs w:val="22"/>
                <w:highlight w:val="none"/>
              </w:rPr>
            </w:pPr>
          </w:p>
        </w:tc>
        <w:tc>
          <w:tcPr>
            <w:tcW w:w="1150" w:type="dxa"/>
            <w:gridSpan w:val="2"/>
            <w:vAlign w:val="center"/>
          </w:tcPr>
          <w:p w14:paraId="3A510CAF">
            <w:pPr>
              <w:spacing w:line="460" w:lineRule="exact"/>
              <w:jc w:val="center"/>
              <w:rPr>
                <w:rFonts w:eastAsia="仿宋"/>
                <w:color w:val="auto"/>
                <w:sz w:val="24"/>
                <w:szCs w:val="22"/>
                <w:highlight w:val="none"/>
              </w:rPr>
            </w:pPr>
          </w:p>
        </w:tc>
      </w:tr>
      <w:tr w14:paraId="46037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23" w:type="dxa"/>
        </w:trPr>
        <w:tc>
          <w:tcPr>
            <w:tcW w:w="15009" w:type="dxa"/>
            <w:gridSpan w:val="13"/>
            <w:tcBorders>
              <w:bottom w:val="single" w:color="auto" w:sz="12" w:space="0"/>
            </w:tcBorders>
          </w:tcPr>
          <w:p w14:paraId="7CC83BE0">
            <w:pPr>
              <w:spacing w:line="460" w:lineRule="exact"/>
              <w:jc w:val="left"/>
              <w:rPr>
                <w:rFonts w:eastAsia="仿宋"/>
                <w:color w:val="auto"/>
                <w:sz w:val="24"/>
                <w:szCs w:val="22"/>
                <w:highlight w:val="none"/>
              </w:rPr>
            </w:pPr>
            <w:r>
              <w:rPr>
                <w:rFonts w:eastAsia="仿宋"/>
                <w:color w:val="auto"/>
                <w:sz w:val="24"/>
                <w:szCs w:val="22"/>
                <w:highlight w:val="none"/>
              </w:rPr>
              <w:t>合计：（大写）           ￥：（小写）</w:t>
            </w:r>
          </w:p>
        </w:tc>
      </w:tr>
    </w:tbl>
    <w:p w14:paraId="54B6693B">
      <w:pPr>
        <w:spacing w:line="460" w:lineRule="exact"/>
        <w:rPr>
          <w:rFonts w:eastAsia="仿宋"/>
          <w:color w:val="auto"/>
          <w:sz w:val="24"/>
          <w:szCs w:val="24"/>
          <w:highlight w:val="none"/>
        </w:rPr>
      </w:pPr>
      <w:r>
        <w:rPr>
          <w:rFonts w:eastAsia="仿宋"/>
          <w:color w:val="auto"/>
          <w:sz w:val="24"/>
          <w:highlight w:val="none"/>
        </w:rPr>
        <w:t>注：</w:t>
      </w:r>
      <w:r>
        <w:rPr>
          <w:rFonts w:eastAsia="仿宋"/>
          <w:color w:val="auto"/>
          <w:sz w:val="24"/>
          <w:szCs w:val="24"/>
          <w:highlight w:val="none"/>
        </w:rPr>
        <w:t>1.</w:t>
      </w:r>
      <w:r>
        <w:rPr>
          <w:rFonts w:hint="eastAsia" w:eastAsia="仿宋"/>
          <w:color w:val="auto"/>
          <w:sz w:val="24"/>
          <w:szCs w:val="24"/>
          <w:highlight w:val="none"/>
        </w:rPr>
        <w:t>中、小、微企业、监狱或残疾人福利性单位产品须在明细表中注明，并在投标文件中提供相应证明材料，否则产生的一切后果由 投标人承担。</w:t>
      </w:r>
    </w:p>
    <w:p w14:paraId="3EA3F3C1">
      <w:pPr>
        <w:spacing w:line="460" w:lineRule="exac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2.</w:t>
      </w:r>
      <w:r>
        <w:rPr>
          <w:rFonts w:eastAsia="仿宋"/>
          <w:color w:val="auto"/>
          <w:sz w:val="24"/>
          <w:szCs w:val="24"/>
          <w:highlight w:val="none"/>
        </w:rPr>
        <w:t>属于《节能产品政府采购品目清单》、《环境标志产品政府采购品目清单》的产品需注明，并提供国家确定的认证机构出具的有效认证证书扫描件，否则产生的一切后果由投标人承担。（不属于节能产品、环境标志产品的不需提供）。</w:t>
      </w:r>
    </w:p>
    <w:p w14:paraId="1EBBC06F">
      <w:pPr>
        <w:spacing w:line="460" w:lineRule="exac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3</w:t>
      </w:r>
      <w:r>
        <w:rPr>
          <w:rFonts w:eastAsia="仿宋"/>
          <w:color w:val="auto"/>
          <w:sz w:val="24"/>
          <w:szCs w:val="24"/>
          <w:highlight w:val="none"/>
        </w:rPr>
        <w:t>.招标文件对节能、环保产品另有规定的从其规定。</w:t>
      </w:r>
    </w:p>
    <w:p w14:paraId="0C5C6CC7">
      <w:pPr>
        <w:spacing w:line="460" w:lineRule="exact"/>
        <w:ind w:firstLine="480" w:firstLineChars="200"/>
        <w:rPr>
          <w:rFonts w:hint="default" w:eastAsia="仿宋"/>
          <w:b w:val="0"/>
          <w:bCs/>
          <w:color w:val="auto"/>
          <w:sz w:val="24"/>
          <w:szCs w:val="24"/>
          <w:highlight w:val="none"/>
          <w:lang w:val="en-US" w:eastAsia="zh-CN"/>
        </w:rPr>
      </w:pPr>
      <w:r>
        <w:rPr>
          <w:rFonts w:hint="eastAsia" w:eastAsia="仿宋"/>
          <w:b w:val="0"/>
          <w:bCs/>
          <w:color w:val="auto"/>
          <w:sz w:val="24"/>
          <w:szCs w:val="24"/>
          <w:highlight w:val="none"/>
          <w:lang w:val="en-US" w:eastAsia="zh-CN"/>
        </w:rPr>
        <w:t>4</w:t>
      </w:r>
      <w:r>
        <w:rPr>
          <w:rFonts w:eastAsia="仿宋"/>
          <w:b w:val="0"/>
          <w:bCs/>
          <w:color w:val="auto"/>
          <w:sz w:val="24"/>
          <w:szCs w:val="24"/>
          <w:highlight w:val="none"/>
        </w:rPr>
        <w:t>.</w:t>
      </w:r>
      <w:r>
        <w:rPr>
          <w:rFonts w:hint="eastAsia" w:eastAsia="仿宋"/>
          <w:b w:val="0"/>
          <w:bCs/>
          <w:color w:val="auto"/>
          <w:sz w:val="24"/>
          <w:szCs w:val="24"/>
          <w:highlight w:val="none"/>
          <w:lang w:val="en-US" w:eastAsia="zh-CN"/>
        </w:rPr>
        <w:t>须在开标一览表明细中明确车辆整车构成的组成部分，并在表中填写车辆组成部分的数量、品牌、规格型号、制造商名称、产地、单价、总价。</w:t>
      </w:r>
    </w:p>
    <w:p w14:paraId="67773C52">
      <w:pPr>
        <w:spacing w:line="460" w:lineRule="exact"/>
        <w:ind w:firstLine="480" w:firstLineChars="200"/>
        <w:rPr>
          <w:rFonts w:eastAsia="仿宋"/>
          <w:b/>
          <w:color w:val="auto"/>
          <w:sz w:val="24"/>
          <w:highlight w:val="none"/>
        </w:rPr>
      </w:pPr>
      <w:r>
        <w:rPr>
          <w:rFonts w:hint="eastAsia" w:eastAsia="仿宋"/>
          <w:b w:val="0"/>
          <w:bCs/>
          <w:color w:val="auto"/>
          <w:sz w:val="24"/>
          <w:szCs w:val="24"/>
          <w:highlight w:val="none"/>
          <w:lang w:val="en-US" w:eastAsia="zh-CN"/>
        </w:rPr>
        <w:t>5</w:t>
      </w:r>
      <w:r>
        <w:rPr>
          <w:rFonts w:hint="eastAsia" w:eastAsia="仿宋"/>
          <w:b/>
          <w:color w:val="auto"/>
          <w:sz w:val="24"/>
          <w:szCs w:val="24"/>
          <w:highlight w:val="none"/>
          <w:lang w:val="en-US" w:eastAsia="zh-CN"/>
        </w:rPr>
        <w:t>.</w:t>
      </w:r>
      <w:r>
        <w:rPr>
          <w:rFonts w:eastAsia="仿宋"/>
          <w:b/>
          <w:color w:val="auto"/>
          <w:sz w:val="24"/>
          <w:szCs w:val="24"/>
          <w:highlight w:val="none"/>
        </w:rPr>
        <w:t>此表应按招标文件的规定与开标一览表一同单独密封在一个信封中。</w:t>
      </w:r>
    </w:p>
    <w:p w14:paraId="6F56BC4B">
      <w:pPr>
        <w:spacing w:line="460" w:lineRule="exact"/>
        <w:ind w:left="690"/>
        <w:rPr>
          <w:rFonts w:eastAsia="仿宋"/>
          <w:color w:val="auto"/>
          <w:sz w:val="24"/>
          <w:highlight w:val="none"/>
        </w:rPr>
      </w:pPr>
      <w:r>
        <w:rPr>
          <w:rFonts w:eastAsia="仿宋"/>
          <w:color w:val="auto"/>
          <w:sz w:val="24"/>
          <w:highlight w:val="none"/>
        </w:rPr>
        <w:t>投标人名称： （加盖公章）</w:t>
      </w:r>
    </w:p>
    <w:p w14:paraId="4E5054F6">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27FA29B8">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14:paraId="07B17BB6">
      <w:pPr>
        <w:spacing w:line="360" w:lineRule="auto"/>
        <w:rPr>
          <w:rFonts w:eastAsia="仿宋"/>
          <w:color w:val="auto"/>
          <w:sz w:val="24"/>
          <w:highlight w:val="none"/>
        </w:rPr>
        <w:sectPr>
          <w:pgSz w:w="16840" w:h="11907" w:orient="landscape"/>
          <w:pgMar w:top="1134" w:right="1111" w:bottom="1134" w:left="936" w:header="425" w:footer="573" w:gutter="0"/>
          <w:pgNumType w:fmt="decimal"/>
          <w:cols w:space="720" w:num="1"/>
          <w:titlePg/>
          <w:docGrid w:linePitch="462" w:charSpace="0"/>
        </w:sectPr>
      </w:pPr>
    </w:p>
    <w:p w14:paraId="242FF600">
      <w:pPr>
        <w:spacing w:line="560" w:lineRule="exact"/>
        <w:jc w:val="center"/>
        <w:outlineLvl w:val="1"/>
        <w:rPr>
          <w:rFonts w:eastAsia="仿宋"/>
          <w:b/>
          <w:bCs/>
          <w:snapToGrid w:val="0"/>
          <w:color w:val="auto"/>
          <w:kern w:val="0"/>
          <w:sz w:val="28"/>
          <w:szCs w:val="28"/>
          <w:highlight w:val="none"/>
        </w:rPr>
      </w:pPr>
      <w:bookmarkStart w:id="240" w:name="_Toc7246"/>
      <w:bookmarkStart w:id="241" w:name="_Toc19481"/>
      <w:bookmarkStart w:id="242" w:name="_Toc1999"/>
      <w:bookmarkStart w:id="243" w:name="_Toc14883"/>
      <w:bookmarkStart w:id="244" w:name="_Toc11339"/>
      <w:bookmarkStart w:id="245" w:name="_Toc111018951"/>
      <w:bookmarkStart w:id="246" w:name="_Toc6950"/>
      <w:r>
        <w:rPr>
          <w:rFonts w:eastAsia="仿宋"/>
          <w:b/>
          <w:bCs/>
          <w:snapToGrid w:val="0"/>
          <w:color w:val="auto"/>
          <w:kern w:val="0"/>
          <w:sz w:val="28"/>
          <w:szCs w:val="28"/>
          <w:highlight w:val="none"/>
        </w:rPr>
        <w:t>四、技术条款响应表</w:t>
      </w:r>
      <w:bookmarkEnd w:id="237"/>
      <w:bookmarkEnd w:id="238"/>
      <w:bookmarkEnd w:id="239"/>
      <w:bookmarkEnd w:id="240"/>
      <w:bookmarkEnd w:id="241"/>
      <w:bookmarkEnd w:id="242"/>
      <w:bookmarkEnd w:id="243"/>
      <w:bookmarkEnd w:id="244"/>
      <w:bookmarkEnd w:id="245"/>
      <w:bookmarkEnd w:id="246"/>
    </w:p>
    <w:p w14:paraId="494EE7EC">
      <w:pPr>
        <w:spacing w:line="360" w:lineRule="auto"/>
        <w:rPr>
          <w:rFonts w:eastAsia="仿宋"/>
          <w:color w:val="auto"/>
          <w:sz w:val="24"/>
          <w:highlight w:val="none"/>
        </w:rPr>
      </w:pPr>
      <w:r>
        <w:rPr>
          <w:rFonts w:eastAsia="仿宋"/>
          <w:color w:val="auto"/>
          <w:sz w:val="24"/>
          <w:highlight w:val="none"/>
        </w:rPr>
        <w:t>投标人名称：</w:t>
      </w:r>
    </w:p>
    <w:p w14:paraId="76DAA490">
      <w:pPr>
        <w:spacing w:line="360" w:lineRule="auto"/>
        <w:rPr>
          <w:rFonts w:hint="eastAsia"/>
          <w:color w:val="auto"/>
          <w:highlight w:val="none"/>
          <w:lang w:val="en-US" w:eastAsia="zh-CN"/>
        </w:rPr>
      </w:pPr>
      <w:r>
        <w:rPr>
          <w:rFonts w:eastAsia="仿宋"/>
          <w:color w:val="auto"/>
          <w:sz w:val="24"/>
          <w:highlight w:val="none"/>
        </w:rPr>
        <w:t>项目编号：                                            包号：</w:t>
      </w:r>
    </w:p>
    <w:tbl>
      <w:tblPr>
        <w:tblStyle w:val="44"/>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19"/>
        <w:gridCol w:w="2863"/>
        <w:gridCol w:w="1627"/>
        <w:gridCol w:w="1096"/>
      </w:tblGrid>
      <w:tr w14:paraId="584E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79" w:type="dxa"/>
            <w:vAlign w:val="center"/>
          </w:tcPr>
          <w:p w14:paraId="444CCE98">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819" w:type="dxa"/>
            <w:vAlign w:val="center"/>
          </w:tcPr>
          <w:p w14:paraId="52246B08">
            <w:pPr>
              <w:spacing w:line="360" w:lineRule="auto"/>
              <w:jc w:val="center"/>
              <w:rPr>
                <w:rFonts w:eastAsia="仿宋"/>
                <w:color w:val="auto"/>
                <w:sz w:val="24"/>
                <w:szCs w:val="22"/>
                <w:highlight w:val="none"/>
              </w:rPr>
            </w:pPr>
            <w:r>
              <w:rPr>
                <w:rFonts w:eastAsia="仿宋"/>
                <w:color w:val="auto"/>
                <w:sz w:val="24"/>
                <w:szCs w:val="22"/>
                <w:highlight w:val="none"/>
              </w:rPr>
              <w:t>招标文件技术条款</w:t>
            </w:r>
          </w:p>
        </w:tc>
        <w:tc>
          <w:tcPr>
            <w:tcW w:w="2863" w:type="dxa"/>
            <w:vAlign w:val="center"/>
          </w:tcPr>
          <w:p w14:paraId="59CF49E1">
            <w:pPr>
              <w:spacing w:line="360" w:lineRule="auto"/>
              <w:jc w:val="center"/>
              <w:rPr>
                <w:rFonts w:eastAsia="仿宋"/>
                <w:color w:val="auto"/>
                <w:sz w:val="24"/>
                <w:szCs w:val="22"/>
                <w:highlight w:val="none"/>
              </w:rPr>
            </w:pPr>
            <w:r>
              <w:rPr>
                <w:rFonts w:eastAsia="仿宋"/>
                <w:color w:val="auto"/>
                <w:sz w:val="24"/>
                <w:szCs w:val="22"/>
                <w:highlight w:val="none"/>
              </w:rPr>
              <w:t>投标人响应技术条款</w:t>
            </w:r>
          </w:p>
        </w:tc>
        <w:tc>
          <w:tcPr>
            <w:tcW w:w="1627" w:type="dxa"/>
            <w:vAlign w:val="center"/>
          </w:tcPr>
          <w:p w14:paraId="3A4DB7E8">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1096" w:type="dxa"/>
            <w:vAlign w:val="center"/>
          </w:tcPr>
          <w:p w14:paraId="0A4C22BF">
            <w:pPr>
              <w:spacing w:line="360" w:lineRule="auto"/>
              <w:jc w:val="center"/>
              <w:rPr>
                <w:rFonts w:eastAsia="仿宋"/>
                <w:color w:val="auto"/>
                <w:sz w:val="24"/>
                <w:szCs w:val="22"/>
                <w:highlight w:val="none"/>
              </w:rPr>
            </w:pPr>
            <w:r>
              <w:rPr>
                <w:rFonts w:eastAsia="仿宋"/>
                <w:color w:val="auto"/>
                <w:sz w:val="24"/>
                <w:szCs w:val="22"/>
                <w:highlight w:val="none"/>
              </w:rPr>
              <w:t>说明</w:t>
            </w:r>
          </w:p>
        </w:tc>
      </w:tr>
      <w:tr w14:paraId="047FB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1C791CE">
            <w:pPr>
              <w:spacing w:line="312" w:lineRule="auto"/>
              <w:jc w:val="center"/>
              <w:rPr>
                <w:rFonts w:eastAsia="仿宋"/>
                <w:color w:val="auto"/>
                <w:sz w:val="24"/>
                <w:szCs w:val="22"/>
                <w:highlight w:val="none"/>
              </w:rPr>
            </w:pPr>
          </w:p>
        </w:tc>
        <w:tc>
          <w:tcPr>
            <w:tcW w:w="2819" w:type="dxa"/>
          </w:tcPr>
          <w:p w14:paraId="3D88C0F1">
            <w:pPr>
              <w:spacing w:line="360" w:lineRule="auto"/>
              <w:rPr>
                <w:rFonts w:eastAsia="仿宋"/>
                <w:color w:val="auto"/>
                <w:sz w:val="24"/>
                <w:szCs w:val="22"/>
                <w:highlight w:val="none"/>
              </w:rPr>
            </w:pPr>
          </w:p>
        </w:tc>
        <w:tc>
          <w:tcPr>
            <w:tcW w:w="2863" w:type="dxa"/>
          </w:tcPr>
          <w:p w14:paraId="116373B1">
            <w:pPr>
              <w:spacing w:line="360" w:lineRule="auto"/>
              <w:rPr>
                <w:rFonts w:eastAsia="仿宋"/>
                <w:color w:val="auto"/>
                <w:sz w:val="24"/>
                <w:szCs w:val="22"/>
                <w:highlight w:val="none"/>
              </w:rPr>
            </w:pPr>
          </w:p>
        </w:tc>
        <w:tc>
          <w:tcPr>
            <w:tcW w:w="1627" w:type="dxa"/>
          </w:tcPr>
          <w:p w14:paraId="39F1D840">
            <w:pPr>
              <w:spacing w:line="360" w:lineRule="auto"/>
              <w:rPr>
                <w:rFonts w:eastAsia="仿宋"/>
                <w:color w:val="auto"/>
                <w:sz w:val="24"/>
                <w:szCs w:val="22"/>
                <w:highlight w:val="none"/>
              </w:rPr>
            </w:pPr>
          </w:p>
        </w:tc>
        <w:tc>
          <w:tcPr>
            <w:tcW w:w="1096" w:type="dxa"/>
          </w:tcPr>
          <w:p w14:paraId="3646B8C0">
            <w:pPr>
              <w:spacing w:line="360" w:lineRule="auto"/>
              <w:rPr>
                <w:rFonts w:eastAsia="仿宋"/>
                <w:color w:val="auto"/>
                <w:sz w:val="24"/>
                <w:szCs w:val="22"/>
                <w:highlight w:val="none"/>
              </w:rPr>
            </w:pPr>
          </w:p>
        </w:tc>
      </w:tr>
      <w:tr w14:paraId="7F7C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1E994008">
            <w:pPr>
              <w:spacing w:line="312" w:lineRule="auto"/>
              <w:jc w:val="center"/>
              <w:rPr>
                <w:rFonts w:eastAsia="仿宋"/>
                <w:color w:val="auto"/>
                <w:sz w:val="24"/>
                <w:szCs w:val="22"/>
                <w:highlight w:val="none"/>
              </w:rPr>
            </w:pPr>
          </w:p>
        </w:tc>
        <w:tc>
          <w:tcPr>
            <w:tcW w:w="2819" w:type="dxa"/>
          </w:tcPr>
          <w:p w14:paraId="411344BF">
            <w:pPr>
              <w:spacing w:line="360" w:lineRule="auto"/>
              <w:rPr>
                <w:rFonts w:eastAsia="仿宋"/>
                <w:color w:val="auto"/>
                <w:sz w:val="24"/>
                <w:szCs w:val="22"/>
                <w:highlight w:val="none"/>
              </w:rPr>
            </w:pPr>
          </w:p>
        </w:tc>
        <w:tc>
          <w:tcPr>
            <w:tcW w:w="2863" w:type="dxa"/>
          </w:tcPr>
          <w:p w14:paraId="6D2F4823">
            <w:pPr>
              <w:spacing w:line="360" w:lineRule="auto"/>
              <w:rPr>
                <w:rFonts w:eastAsia="仿宋"/>
                <w:color w:val="auto"/>
                <w:sz w:val="24"/>
                <w:szCs w:val="22"/>
                <w:highlight w:val="none"/>
              </w:rPr>
            </w:pPr>
          </w:p>
        </w:tc>
        <w:tc>
          <w:tcPr>
            <w:tcW w:w="1627" w:type="dxa"/>
          </w:tcPr>
          <w:p w14:paraId="42C0FF55">
            <w:pPr>
              <w:spacing w:line="360" w:lineRule="auto"/>
              <w:rPr>
                <w:rFonts w:eastAsia="仿宋"/>
                <w:color w:val="auto"/>
                <w:sz w:val="24"/>
                <w:szCs w:val="22"/>
                <w:highlight w:val="none"/>
              </w:rPr>
            </w:pPr>
          </w:p>
        </w:tc>
        <w:tc>
          <w:tcPr>
            <w:tcW w:w="1096" w:type="dxa"/>
          </w:tcPr>
          <w:p w14:paraId="52B19A64">
            <w:pPr>
              <w:spacing w:line="360" w:lineRule="auto"/>
              <w:rPr>
                <w:rFonts w:eastAsia="仿宋"/>
                <w:color w:val="auto"/>
                <w:sz w:val="24"/>
                <w:szCs w:val="22"/>
                <w:highlight w:val="none"/>
              </w:rPr>
            </w:pPr>
          </w:p>
        </w:tc>
      </w:tr>
      <w:tr w14:paraId="37DB5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757C6FB0">
            <w:pPr>
              <w:spacing w:line="312" w:lineRule="auto"/>
              <w:jc w:val="center"/>
              <w:rPr>
                <w:rFonts w:eastAsia="仿宋"/>
                <w:color w:val="auto"/>
                <w:sz w:val="24"/>
                <w:szCs w:val="22"/>
                <w:highlight w:val="none"/>
              </w:rPr>
            </w:pPr>
          </w:p>
        </w:tc>
        <w:tc>
          <w:tcPr>
            <w:tcW w:w="2819" w:type="dxa"/>
          </w:tcPr>
          <w:p w14:paraId="242C45BB">
            <w:pPr>
              <w:spacing w:line="360" w:lineRule="auto"/>
              <w:rPr>
                <w:rFonts w:eastAsia="仿宋"/>
                <w:color w:val="auto"/>
                <w:sz w:val="24"/>
                <w:szCs w:val="22"/>
                <w:highlight w:val="none"/>
              </w:rPr>
            </w:pPr>
          </w:p>
        </w:tc>
        <w:tc>
          <w:tcPr>
            <w:tcW w:w="2863" w:type="dxa"/>
          </w:tcPr>
          <w:p w14:paraId="08AF2A9E">
            <w:pPr>
              <w:spacing w:line="360" w:lineRule="auto"/>
              <w:rPr>
                <w:rFonts w:eastAsia="仿宋"/>
                <w:color w:val="auto"/>
                <w:sz w:val="24"/>
                <w:szCs w:val="22"/>
                <w:highlight w:val="none"/>
              </w:rPr>
            </w:pPr>
          </w:p>
        </w:tc>
        <w:tc>
          <w:tcPr>
            <w:tcW w:w="1627" w:type="dxa"/>
          </w:tcPr>
          <w:p w14:paraId="2357A023">
            <w:pPr>
              <w:spacing w:line="360" w:lineRule="auto"/>
              <w:rPr>
                <w:rFonts w:eastAsia="仿宋"/>
                <w:color w:val="auto"/>
                <w:sz w:val="24"/>
                <w:szCs w:val="22"/>
                <w:highlight w:val="none"/>
              </w:rPr>
            </w:pPr>
          </w:p>
        </w:tc>
        <w:tc>
          <w:tcPr>
            <w:tcW w:w="1096" w:type="dxa"/>
          </w:tcPr>
          <w:p w14:paraId="35573B1F">
            <w:pPr>
              <w:spacing w:line="360" w:lineRule="auto"/>
              <w:rPr>
                <w:rFonts w:eastAsia="仿宋"/>
                <w:color w:val="auto"/>
                <w:sz w:val="24"/>
                <w:szCs w:val="22"/>
                <w:highlight w:val="none"/>
              </w:rPr>
            </w:pPr>
          </w:p>
        </w:tc>
      </w:tr>
      <w:tr w14:paraId="14C7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6B02F7D8">
            <w:pPr>
              <w:spacing w:line="312" w:lineRule="auto"/>
              <w:jc w:val="center"/>
              <w:rPr>
                <w:rFonts w:eastAsia="仿宋"/>
                <w:color w:val="auto"/>
                <w:sz w:val="24"/>
                <w:szCs w:val="22"/>
                <w:highlight w:val="none"/>
              </w:rPr>
            </w:pPr>
          </w:p>
        </w:tc>
        <w:tc>
          <w:tcPr>
            <w:tcW w:w="2819" w:type="dxa"/>
          </w:tcPr>
          <w:p w14:paraId="47D8BA86">
            <w:pPr>
              <w:spacing w:line="360" w:lineRule="auto"/>
              <w:rPr>
                <w:rFonts w:eastAsia="仿宋"/>
                <w:color w:val="auto"/>
                <w:sz w:val="24"/>
                <w:szCs w:val="22"/>
                <w:highlight w:val="none"/>
              </w:rPr>
            </w:pPr>
          </w:p>
        </w:tc>
        <w:tc>
          <w:tcPr>
            <w:tcW w:w="2863" w:type="dxa"/>
          </w:tcPr>
          <w:p w14:paraId="307BF63E">
            <w:pPr>
              <w:spacing w:line="360" w:lineRule="auto"/>
              <w:rPr>
                <w:rFonts w:eastAsia="仿宋"/>
                <w:color w:val="auto"/>
                <w:sz w:val="24"/>
                <w:szCs w:val="22"/>
                <w:highlight w:val="none"/>
              </w:rPr>
            </w:pPr>
          </w:p>
        </w:tc>
        <w:tc>
          <w:tcPr>
            <w:tcW w:w="1627" w:type="dxa"/>
          </w:tcPr>
          <w:p w14:paraId="21B4136E">
            <w:pPr>
              <w:spacing w:line="360" w:lineRule="auto"/>
              <w:rPr>
                <w:rFonts w:eastAsia="仿宋"/>
                <w:color w:val="auto"/>
                <w:sz w:val="24"/>
                <w:szCs w:val="22"/>
                <w:highlight w:val="none"/>
              </w:rPr>
            </w:pPr>
          </w:p>
        </w:tc>
        <w:tc>
          <w:tcPr>
            <w:tcW w:w="1096" w:type="dxa"/>
          </w:tcPr>
          <w:p w14:paraId="0014979E">
            <w:pPr>
              <w:spacing w:line="360" w:lineRule="auto"/>
              <w:rPr>
                <w:rFonts w:eastAsia="仿宋"/>
                <w:color w:val="auto"/>
                <w:sz w:val="24"/>
                <w:szCs w:val="22"/>
                <w:highlight w:val="none"/>
              </w:rPr>
            </w:pPr>
          </w:p>
        </w:tc>
      </w:tr>
      <w:tr w14:paraId="6BAA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37B4105E">
            <w:pPr>
              <w:spacing w:line="312" w:lineRule="auto"/>
              <w:jc w:val="center"/>
              <w:rPr>
                <w:rFonts w:eastAsia="仿宋"/>
                <w:color w:val="auto"/>
                <w:sz w:val="24"/>
                <w:szCs w:val="22"/>
                <w:highlight w:val="none"/>
              </w:rPr>
            </w:pPr>
          </w:p>
        </w:tc>
        <w:tc>
          <w:tcPr>
            <w:tcW w:w="2819" w:type="dxa"/>
          </w:tcPr>
          <w:p w14:paraId="1D24291F">
            <w:pPr>
              <w:spacing w:line="360" w:lineRule="auto"/>
              <w:rPr>
                <w:rFonts w:eastAsia="仿宋"/>
                <w:color w:val="auto"/>
                <w:sz w:val="24"/>
                <w:szCs w:val="22"/>
                <w:highlight w:val="none"/>
              </w:rPr>
            </w:pPr>
          </w:p>
        </w:tc>
        <w:tc>
          <w:tcPr>
            <w:tcW w:w="2863" w:type="dxa"/>
          </w:tcPr>
          <w:p w14:paraId="1CBFAF89">
            <w:pPr>
              <w:spacing w:line="360" w:lineRule="auto"/>
              <w:rPr>
                <w:rFonts w:eastAsia="仿宋"/>
                <w:color w:val="auto"/>
                <w:sz w:val="24"/>
                <w:szCs w:val="22"/>
                <w:highlight w:val="none"/>
              </w:rPr>
            </w:pPr>
          </w:p>
        </w:tc>
        <w:tc>
          <w:tcPr>
            <w:tcW w:w="1627" w:type="dxa"/>
          </w:tcPr>
          <w:p w14:paraId="2AFE690F">
            <w:pPr>
              <w:spacing w:line="360" w:lineRule="auto"/>
              <w:rPr>
                <w:rFonts w:eastAsia="仿宋"/>
                <w:color w:val="auto"/>
                <w:sz w:val="24"/>
                <w:szCs w:val="22"/>
                <w:highlight w:val="none"/>
              </w:rPr>
            </w:pPr>
          </w:p>
        </w:tc>
        <w:tc>
          <w:tcPr>
            <w:tcW w:w="1096" w:type="dxa"/>
          </w:tcPr>
          <w:p w14:paraId="7B8D470D">
            <w:pPr>
              <w:spacing w:line="360" w:lineRule="auto"/>
              <w:rPr>
                <w:rFonts w:eastAsia="仿宋"/>
                <w:color w:val="auto"/>
                <w:sz w:val="24"/>
                <w:szCs w:val="22"/>
                <w:highlight w:val="none"/>
              </w:rPr>
            </w:pPr>
          </w:p>
        </w:tc>
      </w:tr>
      <w:tr w14:paraId="1013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6139DD66">
            <w:pPr>
              <w:spacing w:line="312" w:lineRule="auto"/>
              <w:jc w:val="center"/>
              <w:rPr>
                <w:rFonts w:eastAsia="仿宋"/>
                <w:color w:val="auto"/>
                <w:sz w:val="24"/>
                <w:szCs w:val="22"/>
                <w:highlight w:val="none"/>
              </w:rPr>
            </w:pPr>
          </w:p>
        </w:tc>
        <w:tc>
          <w:tcPr>
            <w:tcW w:w="2819" w:type="dxa"/>
          </w:tcPr>
          <w:p w14:paraId="286AA4B1">
            <w:pPr>
              <w:spacing w:line="360" w:lineRule="auto"/>
              <w:rPr>
                <w:rFonts w:eastAsia="仿宋"/>
                <w:color w:val="auto"/>
                <w:sz w:val="24"/>
                <w:szCs w:val="22"/>
                <w:highlight w:val="none"/>
              </w:rPr>
            </w:pPr>
          </w:p>
        </w:tc>
        <w:tc>
          <w:tcPr>
            <w:tcW w:w="2863" w:type="dxa"/>
          </w:tcPr>
          <w:p w14:paraId="5316411C">
            <w:pPr>
              <w:spacing w:line="360" w:lineRule="auto"/>
              <w:rPr>
                <w:rFonts w:eastAsia="仿宋"/>
                <w:color w:val="auto"/>
                <w:sz w:val="24"/>
                <w:szCs w:val="22"/>
                <w:highlight w:val="none"/>
              </w:rPr>
            </w:pPr>
          </w:p>
        </w:tc>
        <w:tc>
          <w:tcPr>
            <w:tcW w:w="1627" w:type="dxa"/>
          </w:tcPr>
          <w:p w14:paraId="57C9B78F">
            <w:pPr>
              <w:spacing w:line="360" w:lineRule="auto"/>
              <w:rPr>
                <w:rFonts w:eastAsia="仿宋"/>
                <w:color w:val="auto"/>
                <w:sz w:val="24"/>
                <w:szCs w:val="22"/>
                <w:highlight w:val="none"/>
              </w:rPr>
            </w:pPr>
          </w:p>
        </w:tc>
        <w:tc>
          <w:tcPr>
            <w:tcW w:w="1096" w:type="dxa"/>
          </w:tcPr>
          <w:p w14:paraId="7A2708DA">
            <w:pPr>
              <w:spacing w:line="360" w:lineRule="auto"/>
              <w:rPr>
                <w:rFonts w:eastAsia="仿宋"/>
                <w:color w:val="auto"/>
                <w:sz w:val="24"/>
                <w:szCs w:val="22"/>
                <w:highlight w:val="none"/>
              </w:rPr>
            </w:pPr>
          </w:p>
        </w:tc>
      </w:tr>
      <w:tr w14:paraId="7807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11430F9A">
            <w:pPr>
              <w:spacing w:line="312" w:lineRule="auto"/>
              <w:jc w:val="center"/>
              <w:rPr>
                <w:rFonts w:eastAsia="仿宋"/>
                <w:color w:val="auto"/>
                <w:sz w:val="24"/>
                <w:szCs w:val="22"/>
                <w:highlight w:val="none"/>
              </w:rPr>
            </w:pPr>
          </w:p>
        </w:tc>
        <w:tc>
          <w:tcPr>
            <w:tcW w:w="2819" w:type="dxa"/>
          </w:tcPr>
          <w:p w14:paraId="1535895F">
            <w:pPr>
              <w:spacing w:line="360" w:lineRule="auto"/>
              <w:rPr>
                <w:rFonts w:eastAsia="仿宋"/>
                <w:color w:val="auto"/>
                <w:sz w:val="24"/>
                <w:szCs w:val="22"/>
                <w:highlight w:val="none"/>
              </w:rPr>
            </w:pPr>
          </w:p>
        </w:tc>
        <w:tc>
          <w:tcPr>
            <w:tcW w:w="2863" w:type="dxa"/>
          </w:tcPr>
          <w:p w14:paraId="142A69B8">
            <w:pPr>
              <w:spacing w:line="360" w:lineRule="auto"/>
              <w:rPr>
                <w:rFonts w:eastAsia="仿宋"/>
                <w:color w:val="auto"/>
                <w:sz w:val="24"/>
                <w:szCs w:val="22"/>
                <w:highlight w:val="none"/>
              </w:rPr>
            </w:pPr>
          </w:p>
        </w:tc>
        <w:tc>
          <w:tcPr>
            <w:tcW w:w="1627" w:type="dxa"/>
          </w:tcPr>
          <w:p w14:paraId="7913ACCB">
            <w:pPr>
              <w:spacing w:line="360" w:lineRule="auto"/>
              <w:rPr>
                <w:rFonts w:eastAsia="仿宋"/>
                <w:color w:val="auto"/>
                <w:sz w:val="24"/>
                <w:szCs w:val="22"/>
                <w:highlight w:val="none"/>
              </w:rPr>
            </w:pPr>
          </w:p>
        </w:tc>
        <w:tc>
          <w:tcPr>
            <w:tcW w:w="1096" w:type="dxa"/>
          </w:tcPr>
          <w:p w14:paraId="71A7F44B">
            <w:pPr>
              <w:spacing w:line="360" w:lineRule="auto"/>
              <w:rPr>
                <w:rFonts w:eastAsia="仿宋"/>
                <w:color w:val="auto"/>
                <w:sz w:val="24"/>
                <w:szCs w:val="22"/>
                <w:highlight w:val="none"/>
              </w:rPr>
            </w:pPr>
          </w:p>
        </w:tc>
      </w:tr>
      <w:tr w14:paraId="66EA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AFEFBDE">
            <w:pPr>
              <w:spacing w:line="312" w:lineRule="auto"/>
              <w:jc w:val="center"/>
              <w:rPr>
                <w:rFonts w:eastAsia="仿宋"/>
                <w:color w:val="auto"/>
                <w:sz w:val="24"/>
                <w:szCs w:val="22"/>
                <w:highlight w:val="none"/>
              </w:rPr>
            </w:pPr>
          </w:p>
        </w:tc>
        <w:tc>
          <w:tcPr>
            <w:tcW w:w="2819" w:type="dxa"/>
          </w:tcPr>
          <w:p w14:paraId="1B87FAD0">
            <w:pPr>
              <w:spacing w:line="360" w:lineRule="auto"/>
              <w:rPr>
                <w:rFonts w:eastAsia="仿宋"/>
                <w:color w:val="auto"/>
                <w:sz w:val="24"/>
                <w:szCs w:val="22"/>
                <w:highlight w:val="none"/>
              </w:rPr>
            </w:pPr>
          </w:p>
        </w:tc>
        <w:tc>
          <w:tcPr>
            <w:tcW w:w="2863" w:type="dxa"/>
          </w:tcPr>
          <w:p w14:paraId="10CCC6B4">
            <w:pPr>
              <w:spacing w:line="360" w:lineRule="auto"/>
              <w:rPr>
                <w:rFonts w:eastAsia="仿宋"/>
                <w:color w:val="auto"/>
                <w:sz w:val="24"/>
                <w:szCs w:val="22"/>
                <w:highlight w:val="none"/>
              </w:rPr>
            </w:pPr>
          </w:p>
        </w:tc>
        <w:tc>
          <w:tcPr>
            <w:tcW w:w="1627" w:type="dxa"/>
          </w:tcPr>
          <w:p w14:paraId="0F9D934C">
            <w:pPr>
              <w:spacing w:line="360" w:lineRule="auto"/>
              <w:rPr>
                <w:rFonts w:eastAsia="仿宋"/>
                <w:color w:val="auto"/>
                <w:sz w:val="24"/>
                <w:szCs w:val="22"/>
                <w:highlight w:val="none"/>
              </w:rPr>
            </w:pPr>
          </w:p>
        </w:tc>
        <w:tc>
          <w:tcPr>
            <w:tcW w:w="1096" w:type="dxa"/>
          </w:tcPr>
          <w:p w14:paraId="05E70F9F">
            <w:pPr>
              <w:spacing w:line="360" w:lineRule="auto"/>
              <w:rPr>
                <w:rFonts w:eastAsia="仿宋"/>
                <w:color w:val="auto"/>
                <w:sz w:val="24"/>
                <w:szCs w:val="22"/>
                <w:highlight w:val="none"/>
              </w:rPr>
            </w:pPr>
          </w:p>
        </w:tc>
      </w:tr>
      <w:tr w14:paraId="1F55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B899306">
            <w:pPr>
              <w:spacing w:line="312" w:lineRule="auto"/>
              <w:jc w:val="center"/>
              <w:rPr>
                <w:rFonts w:eastAsia="仿宋"/>
                <w:color w:val="auto"/>
                <w:sz w:val="24"/>
                <w:szCs w:val="22"/>
                <w:highlight w:val="none"/>
              </w:rPr>
            </w:pPr>
          </w:p>
        </w:tc>
        <w:tc>
          <w:tcPr>
            <w:tcW w:w="2819" w:type="dxa"/>
          </w:tcPr>
          <w:p w14:paraId="73F6E59E">
            <w:pPr>
              <w:spacing w:line="360" w:lineRule="auto"/>
              <w:rPr>
                <w:rFonts w:eastAsia="仿宋"/>
                <w:color w:val="auto"/>
                <w:sz w:val="24"/>
                <w:szCs w:val="22"/>
                <w:highlight w:val="none"/>
              </w:rPr>
            </w:pPr>
          </w:p>
        </w:tc>
        <w:tc>
          <w:tcPr>
            <w:tcW w:w="2863" w:type="dxa"/>
          </w:tcPr>
          <w:p w14:paraId="2E432DE0">
            <w:pPr>
              <w:spacing w:line="360" w:lineRule="auto"/>
              <w:rPr>
                <w:rFonts w:eastAsia="仿宋"/>
                <w:color w:val="auto"/>
                <w:sz w:val="24"/>
                <w:szCs w:val="22"/>
                <w:highlight w:val="none"/>
              </w:rPr>
            </w:pPr>
          </w:p>
        </w:tc>
        <w:tc>
          <w:tcPr>
            <w:tcW w:w="1627" w:type="dxa"/>
          </w:tcPr>
          <w:p w14:paraId="12A6A227">
            <w:pPr>
              <w:spacing w:line="360" w:lineRule="auto"/>
              <w:rPr>
                <w:rFonts w:eastAsia="仿宋"/>
                <w:color w:val="auto"/>
                <w:sz w:val="24"/>
                <w:szCs w:val="22"/>
                <w:highlight w:val="none"/>
              </w:rPr>
            </w:pPr>
          </w:p>
        </w:tc>
        <w:tc>
          <w:tcPr>
            <w:tcW w:w="1096" w:type="dxa"/>
          </w:tcPr>
          <w:p w14:paraId="240E2CB2">
            <w:pPr>
              <w:spacing w:line="360" w:lineRule="auto"/>
              <w:rPr>
                <w:rFonts w:eastAsia="仿宋"/>
                <w:color w:val="auto"/>
                <w:sz w:val="24"/>
                <w:szCs w:val="22"/>
                <w:highlight w:val="none"/>
              </w:rPr>
            </w:pPr>
          </w:p>
        </w:tc>
      </w:tr>
      <w:tr w14:paraId="45B4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79" w:type="dxa"/>
            <w:vAlign w:val="center"/>
          </w:tcPr>
          <w:p w14:paraId="648D1E4B">
            <w:pPr>
              <w:spacing w:line="312" w:lineRule="auto"/>
              <w:jc w:val="center"/>
              <w:rPr>
                <w:rFonts w:eastAsia="仿宋"/>
                <w:color w:val="auto"/>
                <w:sz w:val="24"/>
                <w:szCs w:val="22"/>
                <w:highlight w:val="none"/>
              </w:rPr>
            </w:pPr>
          </w:p>
        </w:tc>
        <w:tc>
          <w:tcPr>
            <w:tcW w:w="2819" w:type="dxa"/>
          </w:tcPr>
          <w:p w14:paraId="17533783">
            <w:pPr>
              <w:spacing w:line="360" w:lineRule="auto"/>
              <w:rPr>
                <w:rFonts w:eastAsia="仿宋"/>
                <w:color w:val="auto"/>
                <w:sz w:val="24"/>
                <w:szCs w:val="22"/>
                <w:highlight w:val="none"/>
              </w:rPr>
            </w:pPr>
          </w:p>
        </w:tc>
        <w:tc>
          <w:tcPr>
            <w:tcW w:w="2863" w:type="dxa"/>
          </w:tcPr>
          <w:p w14:paraId="06B44689">
            <w:pPr>
              <w:spacing w:line="360" w:lineRule="auto"/>
              <w:rPr>
                <w:rFonts w:eastAsia="仿宋"/>
                <w:color w:val="auto"/>
                <w:sz w:val="24"/>
                <w:szCs w:val="22"/>
                <w:highlight w:val="none"/>
              </w:rPr>
            </w:pPr>
          </w:p>
        </w:tc>
        <w:tc>
          <w:tcPr>
            <w:tcW w:w="1627" w:type="dxa"/>
          </w:tcPr>
          <w:p w14:paraId="02710D32">
            <w:pPr>
              <w:spacing w:line="360" w:lineRule="auto"/>
              <w:rPr>
                <w:rFonts w:eastAsia="仿宋"/>
                <w:color w:val="auto"/>
                <w:sz w:val="24"/>
                <w:szCs w:val="22"/>
                <w:highlight w:val="none"/>
              </w:rPr>
            </w:pPr>
          </w:p>
        </w:tc>
        <w:tc>
          <w:tcPr>
            <w:tcW w:w="1096" w:type="dxa"/>
          </w:tcPr>
          <w:p w14:paraId="2C5163BF">
            <w:pPr>
              <w:spacing w:line="360" w:lineRule="auto"/>
              <w:rPr>
                <w:rFonts w:eastAsia="仿宋"/>
                <w:color w:val="auto"/>
                <w:sz w:val="24"/>
                <w:szCs w:val="22"/>
                <w:highlight w:val="none"/>
              </w:rPr>
            </w:pPr>
          </w:p>
        </w:tc>
      </w:tr>
      <w:tr w14:paraId="7D0D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13D9193">
            <w:pPr>
              <w:spacing w:line="312" w:lineRule="auto"/>
              <w:jc w:val="center"/>
              <w:rPr>
                <w:rFonts w:eastAsia="仿宋"/>
                <w:color w:val="auto"/>
                <w:sz w:val="24"/>
                <w:szCs w:val="22"/>
                <w:highlight w:val="none"/>
              </w:rPr>
            </w:pPr>
          </w:p>
        </w:tc>
        <w:tc>
          <w:tcPr>
            <w:tcW w:w="2819" w:type="dxa"/>
          </w:tcPr>
          <w:p w14:paraId="7A293680">
            <w:pPr>
              <w:spacing w:line="360" w:lineRule="auto"/>
              <w:rPr>
                <w:rFonts w:eastAsia="仿宋"/>
                <w:color w:val="auto"/>
                <w:sz w:val="24"/>
                <w:szCs w:val="22"/>
                <w:highlight w:val="none"/>
              </w:rPr>
            </w:pPr>
          </w:p>
        </w:tc>
        <w:tc>
          <w:tcPr>
            <w:tcW w:w="2863" w:type="dxa"/>
          </w:tcPr>
          <w:p w14:paraId="55F98733">
            <w:pPr>
              <w:spacing w:line="360" w:lineRule="auto"/>
              <w:rPr>
                <w:rFonts w:eastAsia="仿宋"/>
                <w:color w:val="auto"/>
                <w:sz w:val="24"/>
                <w:szCs w:val="22"/>
                <w:highlight w:val="none"/>
              </w:rPr>
            </w:pPr>
          </w:p>
        </w:tc>
        <w:tc>
          <w:tcPr>
            <w:tcW w:w="1627" w:type="dxa"/>
          </w:tcPr>
          <w:p w14:paraId="134193DE">
            <w:pPr>
              <w:spacing w:line="360" w:lineRule="auto"/>
              <w:rPr>
                <w:rFonts w:eastAsia="仿宋"/>
                <w:color w:val="auto"/>
                <w:sz w:val="24"/>
                <w:szCs w:val="22"/>
                <w:highlight w:val="none"/>
              </w:rPr>
            </w:pPr>
          </w:p>
        </w:tc>
        <w:tc>
          <w:tcPr>
            <w:tcW w:w="1096" w:type="dxa"/>
          </w:tcPr>
          <w:p w14:paraId="1DF8D64A">
            <w:pPr>
              <w:spacing w:line="360" w:lineRule="auto"/>
              <w:rPr>
                <w:rFonts w:eastAsia="仿宋"/>
                <w:color w:val="auto"/>
                <w:sz w:val="24"/>
                <w:szCs w:val="22"/>
                <w:highlight w:val="none"/>
              </w:rPr>
            </w:pPr>
          </w:p>
        </w:tc>
      </w:tr>
    </w:tbl>
    <w:p w14:paraId="7572D762">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投标文件响应技术条款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招标文件~第五章~招标项目需求~技术要求</w:t>
      </w:r>
      <w:r>
        <w:rPr>
          <w:rFonts w:hint="eastAsia" w:eastAsia="仿宋"/>
          <w:b/>
          <w:color w:val="auto"/>
          <w:sz w:val="24"/>
          <w:szCs w:val="24"/>
          <w:highlight w:val="none"/>
          <w:lang w:eastAsia="zh-CN"/>
        </w:rPr>
        <w:t>”</w:t>
      </w:r>
      <w:r>
        <w:rPr>
          <w:rFonts w:eastAsia="仿宋"/>
          <w:b/>
          <w:color w:val="auto"/>
          <w:sz w:val="24"/>
          <w:szCs w:val="24"/>
          <w:highlight w:val="none"/>
        </w:rPr>
        <w:t>。</w:t>
      </w:r>
    </w:p>
    <w:p w14:paraId="6F20F36B">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，可在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r>
        <w:rPr>
          <w:rFonts w:hint="eastAsia" w:eastAsia="仿宋"/>
          <w:b/>
          <w:color w:val="auto"/>
          <w:sz w:val="24"/>
          <w:szCs w:val="24"/>
          <w:highlight w:val="none"/>
          <w:lang w:eastAsia="zh-CN"/>
        </w:rPr>
        <w:t>，</w:t>
      </w:r>
      <w:r>
        <w:rPr>
          <w:rFonts w:hint="eastAsia" w:eastAsia="仿宋"/>
          <w:b/>
          <w:color w:val="auto"/>
          <w:sz w:val="24"/>
          <w:szCs w:val="24"/>
          <w:highlight w:val="none"/>
          <w:lang w:val="en-US" w:eastAsia="zh-CN"/>
        </w:rPr>
        <w:t>并说明佐证材料所在标书中对应页码</w:t>
      </w:r>
      <w:r>
        <w:rPr>
          <w:rFonts w:eastAsia="仿宋"/>
          <w:b/>
          <w:color w:val="auto"/>
          <w:sz w:val="24"/>
          <w:szCs w:val="24"/>
          <w:highlight w:val="none"/>
        </w:rPr>
        <w:t>。</w:t>
      </w:r>
    </w:p>
    <w:p w14:paraId="63442D4E">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14:paraId="5DD6C2A4">
      <w:pPr>
        <w:spacing w:line="460" w:lineRule="exact"/>
        <w:rPr>
          <w:rFonts w:eastAsia="仿宋"/>
          <w:color w:val="auto"/>
          <w:sz w:val="24"/>
          <w:highlight w:val="none"/>
        </w:rPr>
      </w:pPr>
      <w:bookmarkStart w:id="247" w:name="_Toc400631660"/>
      <w:bookmarkStart w:id="248" w:name="_Toc399344499"/>
      <w:bookmarkStart w:id="249" w:name="_Toc399344126"/>
    </w:p>
    <w:p w14:paraId="57A484C6">
      <w:pPr>
        <w:spacing w:line="460" w:lineRule="exact"/>
        <w:ind w:left="690"/>
        <w:rPr>
          <w:rFonts w:eastAsia="仿宋"/>
          <w:color w:val="auto"/>
          <w:sz w:val="24"/>
          <w:highlight w:val="none"/>
        </w:rPr>
      </w:pPr>
      <w:r>
        <w:rPr>
          <w:rFonts w:eastAsia="仿宋"/>
          <w:color w:val="auto"/>
          <w:sz w:val="24"/>
          <w:highlight w:val="none"/>
        </w:rPr>
        <w:t>投标人名称： （加盖公章）</w:t>
      </w:r>
    </w:p>
    <w:p w14:paraId="2AFD86E5">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326DF9B6">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14:paraId="23CCC73A">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250" w:name="_Toc111018952"/>
      <w:bookmarkStart w:id="251" w:name="_Toc5625"/>
      <w:bookmarkStart w:id="252" w:name="_Toc8600"/>
      <w:bookmarkStart w:id="253" w:name="_Toc13208"/>
      <w:bookmarkStart w:id="254" w:name="_Toc15553"/>
      <w:bookmarkStart w:id="255" w:name="_Toc32040"/>
      <w:bookmarkStart w:id="256" w:name="_Toc23397"/>
      <w:r>
        <w:rPr>
          <w:rFonts w:eastAsia="仿宋"/>
          <w:b/>
          <w:bCs/>
          <w:snapToGrid w:val="0"/>
          <w:color w:val="auto"/>
          <w:kern w:val="0"/>
          <w:sz w:val="28"/>
          <w:szCs w:val="28"/>
          <w:highlight w:val="none"/>
        </w:rPr>
        <w:t>五、商务条款响应表</w:t>
      </w:r>
      <w:bookmarkEnd w:id="247"/>
      <w:bookmarkEnd w:id="248"/>
      <w:bookmarkEnd w:id="249"/>
      <w:bookmarkEnd w:id="250"/>
      <w:bookmarkEnd w:id="251"/>
      <w:bookmarkEnd w:id="252"/>
      <w:bookmarkEnd w:id="253"/>
      <w:bookmarkEnd w:id="254"/>
      <w:bookmarkEnd w:id="255"/>
      <w:bookmarkEnd w:id="256"/>
    </w:p>
    <w:p w14:paraId="081384D8">
      <w:pPr>
        <w:spacing w:line="360" w:lineRule="auto"/>
        <w:rPr>
          <w:rFonts w:eastAsia="仿宋"/>
          <w:color w:val="auto"/>
          <w:sz w:val="24"/>
          <w:highlight w:val="none"/>
        </w:rPr>
      </w:pPr>
      <w:r>
        <w:rPr>
          <w:rFonts w:eastAsia="仿宋"/>
          <w:color w:val="auto"/>
          <w:sz w:val="24"/>
          <w:highlight w:val="none"/>
        </w:rPr>
        <w:t>投标人名称：</w:t>
      </w:r>
    </w:p>
    <w:p w14:paraId="2491FF8E">
      <w:pPr>
        <w:spacing w:line="360" w:lineRule="auto"/>
        <w:rPr>
          <w:rFonts w:hint="eastAsia"/>
          <w:color w:val="auto"/>
          <w:highlight w:val="none"/>
          <w:lang w:val="en-US" w:eastAsia="zh-CN"/>
        </w:rPr>
      </w:pPr>
      <w:r>
        <w:rPr>
          <w:rFonts w:eastAsia="仿宋"/>
          <w:color w:val="auto"/>
          <w:sz w:val="24"/>
          <w:highlight w:val="none"/>
        </w:rPr>
        <w:t>项目编号：                                            包号：</w:t>
      </w:r>
    </w:p>
    <w:tbl>
      <w:tblPr>
        <w:tblStyle w:val="44"/>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553"/>
        <w:gridCol w:w="2686"/>
        <w:gridCol w:w="1842"/>
        <w:gridCol w:w="962"/>
      </w:tblGrid>
      <w:tr w14:paraId="26C4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70AA1D5C">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553" w:type="dxa"/>
            <w:vAlign w:val="center"/>
          </w:tcPr>
          <w:p w14:paraId="48650888">
            <w:pPr>
              <w:spacing w:line="360" w:lineRule="auto"/>
              <w:jc w:val="center"/>
              <w:rPr>
                <w:rFonts w:eastAsia="仿宋"/>
                <w:color w:val="auto"/>
                <w:sz w:val="24"/>
                <w:szCs w:val="22"/>
                <w:highlight w:val="none"/>
              </w:rPr>
            </w:pPr>
            <w:r>
              <w:rPr>
                <w:rFonts w:eastAsia="仿宋"/>
                <w:color w:val="auto"/>
                <w:sz w:val="24"/>
                <w:szCs w:val="22"/>
                <w:highlight w:val="none"/>
              </w:rPr>
              <w:t>招标文件商务条款</w:t>
            </w:r>
          </w:p>
        </w:tc>
        <w:tc>
          <w:tcPr>
            <w:tcW w:w="2686" w:type="dxa"/>
            <w:vAlign w:val="center"/>
          </w:tcPr>
          <w:p w14:paraId="0D91F63A">
            <w:pPr>
              <w:spacing w:line="360" w:lineRule="auto"/>
              <w:jc w:val="center"/>
              <w:rPr>
                <w:rFonts w:eastAsia="仿宋"/>
                <w:color w:val="auto"/>
                <w:sz w:val="24"/>
                <w:szCs w:val="22"/>
                <w:highlight w:val="none"/>
              </w:rPr>
            </w:pPr>
            <w:r>
              <w:rPr>
                <w:rFonts w:eastAsia="仿宋"/>
                <w:color w:val="auto"/>
                <w:sz w:val="24"/>
                <w:szCs w:val="22"/>
                <w:highlight w:val="none"/>
              </w:rPr>
              <w:t>投标文件响应商务条款</w:t>
            </w:r>
          </w:p>
        </w:tc>
        <w:tc>
          <w:tcPr>
            <w:tcW w:w="1842" w:type="dxa"/>
            <w:vAlign w:val="center"/>
          </w:tcPr>
          <w:p w14:paraId="2A160DFA">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962" w:type="dxa"/>
            <w:vAlign w:val="center"/>
          </w:tcPr>
          <w:p w14:paraId="39DF1D8A">
            <w:pPr>
              <w:spacing w:line="360" w:lineRule="auto"/>
              <w:jc w:val="center"/>
              <w:rPr>
                <w:rFonts w:eastAsia="仿宋"/>
                <w:color w:val="auto"/>
                <w:sz w:val="24"/>
                <w:szCs w:val="22"/>
                <w:highlight w:val="none"/>
              </w:rPr>
            </w:pPr>
            <w:r>
              <w:rPr>
                <w:rFonts w:eastAsia="仿宋"/>
                <w:color w:val="auto"/>
                <w:sz w:val="24"/>
                <w:szCs w:val="22"/>
                <w:highlight w:val="none"/>
              </w:rPr>
              <w:t>说明</w:t>
            </w:r>
          </w:p>
        </w:tc>
      </w:tr>
      <w:tr w14:paraId="04FC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67021DFD">
            <w:pPr>
              <w:spacing w:line="360" w:lineRule="exact"/>
              <w:jc w:val="center"/>
              <w:rPr>
                <w:rFonts w:eastAsia="仿宋"/>
                <w:color w:val="auto"/>
                <w:sz w:val="24"/>
                <w:szCs w:val="22"/>
                <w:highlight w:val="none"/>
              </w:rPr>
            </w:pPr>
          </w:p>
        </w:tc>
        <w:tc>
          <w:tcPr>
            <w:tcW w:w="2553" w:type="dxa"/>
            <w:vAlign w:val="center"/>
          </w:tcPr>
          <w:p w14:paraId="6D6B6EA1">
            <w:pPr>
              <w:spacing w:line="360" w:lineRule="exact"/>
              <w:rPr>
                <w:rFonts w:eastAsia="仿宋"/>
                <w:color w:val="auto"/>
                <w:sz w:val="24"/>
                <w:szCs w:val="22"/>
                <w:highlight w:val="none"/>
              </w:rPr>
            </w:pPr>
          </w:p>
        </w:tc>
        <w:tc>
          <w:tcPr>
            <w:tcW w:w="2686" w:type="dxa"/>
            <w:vAlign w:val="center"/>
          </w:tcPr>
          <w:p w14:paraId="7D07B30A">
            <w:pPr>
              <w:spacing w:line="360" w:lineRule="exact"/>
              <w:ind w:left="252" w:leftChars="120"/>
              <w:rPr>
                <w:rFonts w:eastAsia="仿宋"/>
                <w:color w:val="auto"/>
                <w:sz w:val="24"/>
                <w:szCs w:val="22"/>
                <w:highlight w:val="none"/>
              </w:rPr>
            </w:pPr>
          </w:p>
        </w:tc>
        <w:tc>
          <w:tcPr>
            <w:tcW w:w="1842" w:type="dxa"/>
            <w:vAlign w:val="center"/>
          </w:tcPr>
          <w:p w14:paraId="7119EB29">
            <w:pPr>
              <w:spacing w:line="360" w:lineRule="exact"/>
              <w:ind w:left="252" w:leftChars="120"/>
              <w:rPr>
                <w:rFonts w:eastAsia="仿宋"/>
                <w:color w:val="auto"/>
                <w:sz w:val="24"/>
                <w:szCs w:val="22"/>
                <w:highlight w:val="none"/>
              </w:rPr>
            </w:pPr>
          </w:p>
        </w:tc>
        <w:tc>
          <w:tcPr>
            <w:tcW w:w="962" w:type="dxa"/>
          </w:tcPr>
          <w:p w14:paraId="22AB2FC3">
            <w:pPr>
              <w:spacing w:line="400" w:lineRule="exact"/>
              <w:rPr>
                <w:rFonts w:eastAsia="仿宋"/>
                <w:color w:val="auto"/>
                <w:sz w:val="24"/>
                <w:szCs w:val="22"/>
                <w:highlight w:val="none"/>
              </w:rPr>
            </w:pPr>
          </w:p>
        </w:tc>
      </w:tr>
      <w:tr w14:paraId="3BD8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703D70E7">
            <w:pPr>
              <w:spacing w:line="360" w:lineRule="exact"/>
              <w:jc w:val="center"/>
              <w:rPr>
                <w:rFonts w:eastAsia="仿宋"/>
                <w:color w:val="auto"/>
                <w:sz w:val="24"/>
                <w:szCs w:val="22"/>
                <w:highlight w:val="none"/>
              </w:rPr>
            </w:pPr>
          </w:p>
        </w:tc>
        <w:tc>
          <w:tcPr>
            <w:tcW w:w="2553" w:type="dxa"/>
            <w:vAlign w:val="center"/>
          </w:tcPr>
          <w:p w14:paraId="1DA5CEC1">
            <w:pPr>
              <w:spacing w:line="360" w:lineRule="exact"/>
              <w:rPr>
                <w:rFonts w:eastAsia="仿宋"/>
                <w:color w:val="auto"/>
                <w:sz w:val="24"/>
                <w:szCs w:val="22"/>
                <w:highlight w:val="none"/>
              </w:rPr>
            </w:pPr>
          </w:p>
        </w:tc>
        <w:tc>
          <w:tcPr>
            <w:tcW w:w="2686" w:type="dxa"/>
            <w:vAlign w:val="center"/>
          </w:tcPr>
          <w:p w14:paraId="61F79FB8">
            <w:pPr>
              <w:spacing w:line="360" w:lineRule="exact"/>
              <w:rPr>
                <w:rFonts w:eastAsia="仿宋"/>
                <w:color w:val="auto"/>
                <w:sz w:val="24"/>
                <w:szCs w:val="22"/>
                <w:highlight w:val="none"/>
              </w:rPr>
            </w:pPr>
          </w:p>
        </w:tc>
        <w:tc>
          <w:tcPr>
            <w:tcW w:w="1842" w:type="dxa"/>
            <w:vAlign w:val="center"/>
          </w:tcPr>
          <w:p w14:paraId="1B9E0506">
            <w:pPr>
              <w:spacing w:line="360" w:lineRule="exact"/>
              <w:rPr>
                <w:rFonts w:eastAsia="仿宋"/>
                <w:color w:val="auto"/>
                <w:sz w:val="24"/>
                <w:szCs w:val="22"/>
                <w:highlight w:val="none"/>
              </w:rPr>
            </w:pPr>
          </w:p>
        </w:tc>
        <w:tc>
          <w:tcPr>
            <w:tcW w:w="962" w:type="dxa"/>
          </w:tcPr>
          <w:p w14:paraId="2B6B1B42">
            <w:pPr>
              <w:spacing w:line="400" w:lineRule="exact"/>
              <w:rPr>
                <w:rFonts w:eastAsia="仿宋"/>
                <w:color w:val="auto"/>
                <w:sz w:val="24"/>
                <w:szCs w:val="22"/>
                <w:highlight w:val="none"/>
              </w:rPr>
            </w:pPr>
          </w:p>
        </w:tc>
      </w:tr>
      <w:tr w14:paraId="1C5DB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6F0BE604">
            <w:pPr>
              <w:spacing w:line="360" w:lineRule="exact"/>
              <w:jc w:val="center"/>
              <w:rPr>
                <w:rFonts w:eastAsia="仿宋"/>
                <w:color w:val="auto"/>
                <w:sz w:val="24"/>
                <w:szCs w:val="22"/>
                <w:highlight w:val="none"/>
              </w:rPr>
            </w:pPr>
          </w:p>
        </w:tc>
        <w:tc>
          <w:tcPr>
            <w:tcW w:w="2553" w:type="dxa"/>
            <w:vAlign w:val="center"/>
          </w:tcPr>
          <w:p w14:paraId="05CB8DD8">
            <w:pPr>
              <w:spacing w:line="360" w:lineRule="exact"/>
              <w:rPr>
                <w:rFonts w:eastAsia="仿宋"/>
                <w:color w:val="auto"/>
                <w:sz w:val="24"/>
                <w:szCs w:val="22"/>
                <w:highlight w:val="none"/>
              </w:rPr>
            </w:pPr>
          </w:p>
        </w:tc>
        <w:tc>
          <w:tcPr>
            <w:tcW w:w="2686" w:type="dxa"/>
            <w:vAlign w:val="center"/>
          </w:tcPr>
          <w:p w14:paraId="5487EBDC">
            <w:pPr>
              <w:spacing w:line="360" w:lineRule="exact"/>
              <w:rPr>
                <w:rFonts w:eastAsia="仿宋"/>
                <w:color w:val="auto"/>
                <w:sz w:val="24"/>
                <w:szCs w:val="22"/>
                <w:highlight w:val="none"/>
              </w:rPr>
            </w:pPr>
            <w:r>
              <w:rPr>
                <w:rFonts w:eastAsia="仿宋"/>
                <w:color w:val="auto"/>
                <w:sz w:val="24"/>
                <w:szCs w:val="22"/>
                <w:highlight w:val="none"/>
              </w:rPr>
              <w:t>　</w:t>
            </w:r>
          </w:p>
        </w:tc>
        <w:tc>
          <w:tcPr>
            <w:tcW w:w="1842" w:type="dxa"/>
            <w:vAlign w:val="center"/>
          </w:tcPr>
          <w:p w14:paraId="1AA72616">
            <w:pPr>
              <w:spacing w:line="360" w:lineRule="exact"/>
              <w:rPr>
                <w:rFonts w:eastAsia="仿宋"/>
                <w:color w:val="auto"/>
                <w:sz w:val="24"/>
                <w:szCs w:val="22"/>
                <w:highlight w:val="none"/>
              </w:rPr>
            </w:pPr>
          </w:p>
        </w:tc>
        <w:tc>
          <w:tcPr>
            <w:tcW w:w="962" w:type="dxa"/>
          </w:tcPr>
          <w:p w14:paraId="127A1059">
            <w:pPr>
              <w:spacing w:line="400" w:lineRule="exact"/>
              <w:rPr>
                <w:rFonts w:eastAsia="仿宋"/>
                <w:color w:val="auto"/>
                <w:sz w:val="24"/>
                <w:szCs w:val="22"/>
                <w:highlight w:val="none"/>
              </w:rPr>
            </w:pPr>
          </w:p>
        </w:tc>
      </w:tr>
      <w:tr w14:paraId="4621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48EDE7B6">
            <w:pPr>
              <w:spacing w:line="360" w:lineRule="exact"/>
              <w:jc w:val="center"/>
              <w:rPr>
                <w:rFonts w:eastAsia="仿宋"/>
                <w:color w:val="auto"/>
                <w:sz w:val="24"/>
                <w:szCs w:val="22"/>
                <w:highlight w:val="none"/>
              </w:rPr>
            </w:pPr>
          </w:p>
        </w:tc>
        <w:tc>
          <w:tcPr>
            <w:tcW w:w="2553" w:type="dxa"/>
            <w:vAlign w:val="center"/>
          </w:tcPr>
          <w:p w14:paraId="22E20D23">
            <w:pPr>
              <w:spacing w:line="360" w:lineRule="exact"/>
              <w:rPr>
                <w:rFonts w:eastAsia="仿宋"/>
                <w:color w:val="auto"/>
                <w:sz w:val="24"/>
                <w:szCs w:val="22"/>
                <w:highlight w:val="none"/>
              </w:rPr>
            </w:pPr>
          </w:p>
        </w:tc>
        <w:tc>
          <w:tcPr>
            <w:tcW w:w="2686" w:type="dxa"/>
            <w:vAlign w:val="center"/>
          </w:tcPr>
          <w:p w14:paraId="5BCAAD10">
            <w:pPr>
              <w:spacing w:line="360" w:lineRule="exact"/>
              <w:rPr>
                <w:rFonts w:eastAsia="仿宋"/>
                <w:color w:val="auto"/>
                <w:sz w:val="24"/>
                <w:szCs w:val="22"/>
                <w:highlight w:val="none"/>
              </w:rPr>
            </w:pPr>
          </w:p>
        </w:tc>
        <w:tc>
          <w:tcPr>
            <w:tcW w:w="1842" w:type="dxa"/>
            <w:vAlign w:val="center"/>
          </w:tcPr>
          <w:p w14:paraId="67E6D130">
            <w:pPr>
              <w:spacing w:line="360" w:lineRule="exact"/>
              <w:rPr>
                <w:rFonts w:eastAsia="仿宋"/>
                <w:color w:val="auto"/>
                <w:sz w:val="24"/>
                <w:szCs w:val="22"/>
                <w:highlight w:val="none"/>
              </w:rPr>
            </w:pPr>
          </w:p>
        </w:tc>
        <w:tc>
          <w:tcPr>
            <w:tcW w:w="962" w:type="dxa"/>
          </w:tcPr>
          <w:p w14:paraId="4180EBC1">
            <w:pPr>
              <w:spacing w:line="400" w:lineRule="exact"/>
              <w:rPr>
                <w:rFonts w:eastAsia="仿宋"/>
                <w:color w:val="auto"/>
                <w:sz w:val="24"/>
                <w:szCs w:val="22"/>
                <w:highlight w:val="none"/>
              </w:rPr>
            </w:pPr>
          </w:p>
        </w:tc>
      </w:tr>
      <w:tr w14:paraId="6348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36E4874A">
            <w:pPr>
              <w:spacing w:line="360" w:lineRule="exact"/>
              <w:jc w:val="center"/>
              <w:rPr>
                <w:rFonts w:eastAsia="仿宋"/>
                <w:color w:val="auto"/>
                <w:sz w:val="24"/>
                <w:szCs w:val="22"/>
                <w:highlight w:val="none"/>
              </w:rPr>
            </w:pPr>
          </w:p>
        </w:tc>
        <w:tc>
          <w:tcPr>
            <w:tcW w:w="2553" w:type="dxa"/>
            <w:vAlign w:val="center"/>
          </w:tcPr>
          <w:p w14:paraId="73A1FC91">
            <w:pPr>
              <w:spacing w:line="360" w:lineRule="exact"/>
              <w:rPr>
                <w:rFonts w:eastAsia="仿宋"/>
                <w:color w:val="auto"/>
                <w:sz w:val="24"/>
                <w:szCs w:val="22"/>
                <w:highlight w:val="none"/>
              </w:rPr>
            </w:pPr>
          </w:p>
        </w:tc>
        <w:tc>
          <w:tcPr>
            <w:tcW w:w="2686" w:type="dxa"/>
            <w:vAlign w:val="center"/>
          </w:tcPr>
          <w:p w14:paraId="3283A843">
            <w:pPr>
              <w:spacing w:line="360" w:lineRule="exact"/>
              <w:rPr>
                <w:rFonts w:eastAsia="仿宋"/>
                <w:color w:val="auto"/>
                <w:sz w:val="24"/>
                <w:szCs w:val="22"/>
                <w:highlight w:val="none"/>
              </w:rPr>
            </w:pPr>
          </w:p>
        </w:tc>
        <w:tc>
          <w:tcPr>
            <w:tcW w:w="1842" w:type="dxa"/>
            <w:vAlign w:val="center"/>
          </w:tcPr>
          <w:p w14:paraId="4EB237C3">
            <w:pPr>
              <w:spacing w:line="360" w:lineRule="exact"/>
              <w:rPr>
                <w:rFonts w:eastAsia="仿宋"/>
                <w:color w:val="auto"/>
                <w:sz w:val="24"/>
                <w:szCs w:val="22"/>
                <w:highlight w:val="none"/>
              </w:rPr>
            </w:pPr>
          </w:p>
        </w:tc>
        <w:tc>
          <w:tcPr>
            <w:tcW w:w="962" w:type="dxa"/>
          </w:tcPr>
          <w:p w14:paraId="57B6A75F">
            <w:pPr>
              <w:spacing w:line="400" w:lineRule="exact"/>
              <w:rPr>
                <w:rFonts w:eastAsia="仿宋"/>
                <w:color w:val="auto"/>
                <w:sz w:val="24"/>
                <w:szCs w:val="22"/>
                <w:highlight w:val="none"/>
              </w:rPr>
            </w:pPr>
          </w:p>
        </w:tc>
      </w:tr>
      <w:tr w14:paraId="5796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5EC1D2E3">
            <w:pPr>
              <w:spacing w:line="360" w:lineRule="exact"/>
              <w:jc w:val="center"/>
              <w:rPr>
                <w:rFonts w:eastAsia="仿宋"/>
                <w:color w:val="auto"/>
                <w:sz w:val="24"/>
                <w:szCs w:val="22"/>
                <w:highlight w:val="none"/>
              </w:rPr>
            </w:pPr>
          </w:p>
        </w:tc>
        <w:tc>
          <w:tcPr>
            <w:tcW w:w="2553" w:type="dxa"/>
            <w:vAlign w:val="center"/>
          </w:tcPr>
          <w:p w14:paraId="50B1F9FC">
            <w:pPr>
              <w:spacing w:line="360" w:lineRule="exact"/>
              <w:rPr>
                <w:rFonts w:eastAsia="仿宋"/>
                <w:color w:val="auto"/>
                <w:sz w:val="24"/>
                <w:szCs w:val="22"/>
                <w:highlight w:val="none"/>
              </w:rPr>
            </w:pPr>
          </w:p>
        </w:tc>
        <w:tc>
          <w:tcPr>
            <w:tcW w:w="2686" w:type="dxa"/>
            <w:vAlign w:val="center"/>
          </w:tcPr>
          <w:p w14:paraId="7D1D3CB5">
            <w:pPr>
              <w:rPr>
                <w:rFonts w:eastAsia="仿宋"/>
                <w:color w:val="auto"/>
                <w:sz w:val="24"/>
                <w:szCs w:val="22"/>
                <w:highlight w:val="none"/>
              </w:rPr>
            </w:pPr>
          </w:p>
        </w:tc>
        <w:tc>
          <w:tcPr>
            <w:tcW w:w="1842" w:type="dxa"/>
            <w:vAlign w:val="center"/>
          </w:tcPr>
          <w:p w14:paraId="6746BE6D">
            <w:pPr>
              <w:rPr>
                <w:rFonts w:eastAsia="仿宋"/>
                <w:color w:val="auto"/>
                <w:sz w:val="24"/>
                <w:szCs w:val="22"/>
                <w:highlight w:val="none"/>
              </w:rPr>
            </w:pPr>
          </w:p>
        </w:tc>
        <w:tc>
          <w:tcPr>
            <w:tcW w:w="962" w:type="dxa"/>
          </w:tcPr>
          <w:p w14:paraId="2BA2BCF9">
            <w:pPr>
              <w:spacing w:line="400" w:lineRule="exact"/>
              <w:rPr>
                <w:rFonts w:eastAsia="仿宋"/>
                <w:color w:val="auto"/>
                <w:sz w:val="24"/>
                <w:szCs w:val="22"/>
                <w:highlight w:val="none"/>
              </w:rPr>
            </w:pPr>
          </w:p>
        </w:tc>
      </w:tr>
      <w:tr w14:paraId="1CDF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02DD09F0">
            <w:pPr>
              <w:spacing w:line="360" w:lineRule="exact"/>
              <w:jc w:val="center"/>
              <w:rPr>
                <w:rFonts w:eastAsia="仿宋"/>
                <w:color w:val="auto"/>
                <w:sz w:val="24"/>
                <w:szCs w:val="22"/>
                <w:highlight w:val="none"/>
              </w:rPr>
            </w:pPr>
          </w:p>
        </w:tc>
        <w:tc>
          <w:tcPr>
            <w:tcW w:w="2553" w:type="dxa"/>
            <w:vAlign w:val="center"/>
          </w:tcPr>
          <w:p w14:paraId="72899778">
            <w:pPr>
              <w:spacing w:line="360" w:lineRule="exact"/>
              <w:rPr>
                <w:rFonts w:eastAsia="仿宋"/>
                <w:color w:val="auto"/>
                <w:sz w:val="24"/>
                <w:szCs w:val="22"/>
                <w:highlight w:val="none"/>
              </w:rPr>
            </w:pPr>
          </w:p>
        </w:tc>
        <w:tc>
          <w:tcPr>
            <w:tcW w:w="2686" w:type="dxa"/>
            <w:vAlign w:val="center"/>
          </w:tcPr>
          <w:p w14:paraId="3E54FD8B">
            <w:pPr>
              <w:spacing w:line="360" w:lineRule="exact"/>
              <w:rPr>
                <w:rFonts w:eastAsia="仿宋"/>
                <w:color w:val="auto"/>
                <w:sz w:val="24"/>
                <w:szCs w:val="22"/>
                <w:highlight w:val="none"/>
              </w:rPr>
            </w:pPr>
          </w:p>
        </w:tc>
        <w:tc>
          <w:tcPr>
            <w:tcW w:w="1842" w:type="dxa"/>
            <w:vAlign w:val="center"/>
          </w:tcPr>
          <w:p w14:paraId="2542ADD6">
            <w:pPr>
              <w:spacing w:line="360" w:lineRule="exact"/>
              <w:rPr>
                <w:rFonts w:eastAsia="仿宋"/>
                <w:color w:val="auto"/>
                <w:sz w:val="24"/>
                <w:szCs w:val="22"/>
                <w:highlight w:val="none"/>
              </w:rPr>
            </w:pPr>
          </w:p>
        </w:tc>
        <w:tc>
          <w:tcPr>
            <w:tcW w:w="962" w:type="dxa"/>
          </w:tcPr>
          <w:p w14:paraId="27E4210F">
            <w:pPr>
              <w:spacing w:line="400" w:lineRule="exact"/>
              <w:rPr>
                <w:rFonts w:eastAsia="仿宋"/>
                <w:color w:val="auto"/>
                <w:sz w:val="24"/>
                <w:szCs w:val="22"/>
                <w:highlight w:val="none"/>
              </w:rPr>
            </w:pPr>
          </w:p>
        </w:tc>
      </w:tr>
      <w:tr w14:paraId="1B91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6521B891">
            <w:pPr>
              <w:spacing w:line="360" w:lineRule="exact"/>
              <w:jc w:val="center"/>
              <w:rPr>
                <w:rFonts w:eastAsia="仿宋"/>
                <w:color w:val="auto"/>
                <w:sz w:val="24"/>
                <w:szCs w:val="22"/>
                <w:highlight w:val="none"/>
              </w:rPr>
            </w:pPr>
          </w:p>
        </w:tc>
        <w:tc>
          <w:tcPr>
            <w:tcW w:w="2553" w:type="dxa"/>
            <w:vAlign w:val="center"/>
          </w:tcPr>
          <w:p w14:paraId="4C4B5D76">
            <w:pPr>
              <w:spacing w:line="360" w:lineRule="exact"/>
              <w:rPr>
                <w:rFonts w:eastAsia="仿宋"/>
                <w:color w:val="auto"/>
                <w:sz w:val="24"/>
                <w:szCs w:val="22"/>
                <w:highlight w:val="none"/>
              </w:rPr>
            </w:pPr>
          </w:p>
        </w:tc>
        <w:tc>
          <w:tcPr>
            <w:tcW w:w="2686" w:type="dxa"/>
            <w:vAlign w:val="center"/>
          </w:tcPr>
          <w:p w14:paraId="4FF11F78">
            <w:pPr>
              <w:spacing w:line="360" w:lineRule="exact"/>
              <w:rPr>
                <w:rFonts w:eastAsia="仿宋"/>
                <w:color w:val="auto"/>
                <w:sz w:val="24"/>
                <w:szCs w:val="22"/>
                <w:highlight w:val="none"/>
              </w:rPr>
            </w:pPr>
          </w:p>
        </w:tc>
        <w:tc>
          <w:tcPr>
            <w:tcW w:w="1842" w:type="dxa"/>
            <w:vAlign w:val="center"/>
          </w:tcPr>
          <w:p w14:paraId="0D30AC38">
            <w:pPr>
              <w:spacing w:line="360" w:lineRule="exact"/>
              <w:rPr>
                <w:rFonts w:eastAsia="仿宋"/>
                <w:color w:val="auto"/>
                <w:sz w:val="24"/>
                <w:szCs w:val="22"/>
                <w:highlight w:val="none"/>
              </w:rPr>
            </w:pPr>
          </w:p>
        </w:tc>
        <w:tc>
          <w:tcPr>
            <w:tcW w:w="962" w:type="dxa"/>
          </w:tcPr>
          <w:p w14:paraId="127FCE6D">
            <w:pPr>
              <w:spacing w:line="400" w:lineRule="exact"/>
              <w:rPr>
                <w:rFonts w:eastAsia="仿宋"/>
                <w:color w:val="auto"/>
                <w:sz w:val="24"/>
                <w:szCs w:val="22"/>
                <w:highlight w:val="none"/>
              </w:rPr>
            </w:pPr>
          </w:p>
        </w:tc>
      </w:tr>
      <w:tr w14:paraId="72C9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35BC6E9C">
            <w:pPr>
              <w:spacing w:line="360" w:lineRule="exact"/>
              <w:jc w:val="center"/>
              <w:rPr>
                <w:rFonts w:eastAsia="仿宋"/>
                <w:color w:val="auto"/>
                <w:sz w:val="24"/>
                <w:szCs w:val="22"/>
                <w:highlight w:val="none"/>
              </w:rPr>
            </w:pPr>
          </w:p>
        </w:tc>
        <w:tc>
          <w:tcPr>
            <w:tcW w:w="2553" w:type="dxa"/>
            <w:vAlign w:val="center"/>
          </w:tcPr>
          <w:p w14:paraId="7F9C2FAB">
            <w:pPr>
              <w:spacing w:line="360" w:lineRule="exact"/>
              <w:rPr>
                <w:rFonts w:eastAsia="仿宋"/>
                <w:color w:val="auto"/>
                <w:sz w:val="24"/>
                <w:szCs w:val="22"/>
                <w:highlight w:val="none"/>
              </w:rPr>
            </w:pPr>
          </w:p>
        </w:tc>
        <w:tc>
          <w:tcPr>
            <w:tcW w:w="2686" w:type="dxa"/>
            <w:vAlign w:val="center"/>
          </w:tcPr>
          <w:p w14:paraId="3ABFE6EE">
            <w:pPr>
              <w:spacing w:line="360" w:lineRule="exact"/>
              <w:rPr>
                <w:rFonts w:eastAsia="仿宋"/>
                <w:color w:val="auto"/>
                <w:sz w:val="24"/>
                <w:szCs w:val="22"/>
                <w:highlight w:val="none"/>
              </w:rPr>
            </w:pPr>
          </w:p>
        </w:tc>
        <w:tc>
          <w:tcPr>
            <w:tcW w:w="1842" w:type="dxa"/>
            <w:vAlign w:val="center"/>
          </w:tcPr>
          <w:p w14:paraId="043529CB">
            <w:pPr>
              <w:spacing w:line="360" w:lineRule="exact"/>
              <w:rPr>
                <w:rFonts w:eastAsia="仿宋"/>
                <w:color w:val="auto"/>
                <w:sz w:val="24"/>
                <w:szCs w:val="22"/>
                <w:highlight w:val="none"/>
              </w:rPr>
            </w:pPr>
          </w:p>
        </w:tc>
        <w:tc>
          <w:tcPr>
            <w:tcW w:w="962" w:type="dxa"/>
          </w:tcPr>
          <w:p w14:paraId="75E86DC5">
            <w:pPr>
              <w:spacing w:line="400" w:lineRule="exact"/>
              <w:rPr>
                <w:rFonts w:eastAsia="仿宋"/>
                <w:color w:val="auto"/>
                <w:sz w:val="24"/>
                <w:szCs w:val="22"/>
                <w:highlight w:val="none"/>
              </w:rPr>
            </w:pPr>
          </w:p>
        </w:tc>
      </w:tr>
      <w:tr w14:paraId="7C4D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26735435">
            <w:pPr>
              <w:spacing w:line="360" w:lineRule="exact"/>
              <w:jc w:val="center"/>
              <w:rPr>
                <w:rFonts w:eastAsia="仿宋"/>
                <w:color w:val="auto"/>
                <w:sz w:val="24"/>
                <w:szCs w:val="22"/>
                <w:highlight w:val="none"/>
              </w:rPr>
            </w:pPr>
          </w:p>
        </w:tc>
        <w:tc>
          <w:tcPr>
            <w:tcW w:w="2553" w:type="dxa"/>
            <w:vAlign w:val="center"/>
          </w:tcPr>
          <w:p w14:paraId="46DD4F31">
            <w:pPr>
              <w:spacing w:line="360" w:lineRule="exact"/>
              <w:rPr>
                <w:rFonts w:eastAsia="仿宋"/>
                <w:color w:val="auto"/>
                <w:sz w:val="24"/>
                <w:szCs w:val="22"/>
                <w:highlight w:val="none"/>
              </w:rPr>
            </w:pPr>
          </w:p>
        </w:tc>
        <w:tc>
          <w:tcPr>
            <w:tcW w:w="2686" w:type="dxa"/>
            <w:vAlign w:val="center"/>
          </w:tcPr>
          <w:p w14:paraId="2CBEBDA4">
            <w:pPr>
              <w:spacing w:line="360" w:lineRule="exact"/>
              <w:rPr>
                <w:rFonts w:eastAsia="仿宋"/>
                <w:color w:val="auto"/>
                <w:sz w:val="24"/>
                <w:szCs w:val="22"/>
                <w:highlight w:val="none"/>
              </w:rPr>
            </w:pPr>
          </w:p>
        </w:tc>
        <w:tc>
          <w:tcPr>
            <w:tcW w:w="1842" w:type="dxa"/>
            <w:vAlign w:val="center"/>
          </w:tcPr>
          <w:p w14:paraId="1788AA26">
            <w:pPr>
              <w:spacing w:line="360" w:lineRule="exact"/>
              <w:rPr>
                <w:rFonts w:eastAsia="仿宋"/>
                <w:color w:val="auto"/>
                <w:sz w:val="24"/>
                <w:szCs w:val="22"/>
                <w:highlight w:val="none"/>
              </w:rPr>
            </w:pPr>
          </w:p>
        </w:tc>
        <w:tc>
          <w:tcPr>
            <w:tcW w:w="962" w:type="dxa"/>
          </w:tcPr>
          <w:p w14:paraId="44F6BA6B">
            <w:pPr>
              <w:spacing w:line="400" w:lineRule="exact"/>
              <w:rPr>
                <w:rFonts w:eastAsia="仿宋"/>
                <w:color w:val="auto"/>
                <w:sz w:val="24"/>
                <w:szCs w:val="22"/>
                <w:highlight w:val="none"/>
              </w:rPr>
            </w:pPr>
          </w:p>
        </w:tc>
      </w:tr>
      <w:tr w14:paraId="48D8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6A065696">
            <w:pPr>
              <w:spacing w:line="360" w:lineRule="exact"/>
              <w:jc w:val="center"/>
              <w:rPr>
                <w:rFonts w:eastAsia="仿宋"/>
                <w:color w:val="auto"/>
                <w:sz w:val="24"/>
                <w:szCs w:val="22"/>
                <w:highlight w:val="none"/>
              </w:rPr>
            </w:pPr>
          </w:p>
        </w:tc>
        <w:tc>
          <w:tcPr>
            <w:tcW w:w="2553" w:type="dxa"/>
            <w:vAlign w:val="center"/>
          </w:tcPr>
          <w:p w14:paraId="61B7ABAB">
            <w:pPr>
              <w:spacing w:line="360" w:lineRule="exact"/>
              <w:rPr>
                <w:rFonts w:eastAsia="仿宋"/>
                <w:color w:val="auto"/>
                <w:sz w:val="24"/>
                <w:szCs w:val="22"/>
                <w:highlight w:val="none"/>
              </w:rPr>
            </w:pPr>
          </w:p>
        </w:tc>
        <w:tc>
          <w:tcPr>
            <w:tcW w:w="2686" w:type="dxa"/>
            <w:vAlign w:val="center"/>
          </w:tcPr>
          <w:p w14:paraId="4482A922">
            <w:pPr>
              <w:spacing w:line="360" w:lineRule="exact"/>
              <w:rPr>
                <w:rFonts w:eastAsia="仿宋"/>
                <w:color w:val="auto"/>
                <w:sz w:val="24"/>
                <w:szCs w:val="22"/>
                <w:highlight w:val="none"/>
              </w:rPr>
            </w:pPr>
          </w:p>
        </w:tc>
        <w:tc>
          <w:tcPr>
            <w:tcW w:w="1842" w:type="dxa"/>
            <w:vAlign w:val="center"/>
          </w:tcPr>
          <w:p w14:paraId="59A0D714">
            <w:pPr>
              <w:spacing w:line="360" w:lineRule="exact"/>
              <w:rPr>
                <w:rFonts w:eastAsia="仿宋"/>
                <w:color w:val="auto"/>
                <w:sz w:val="24"/>
                <w:szCs w:val="22"/>
                <w:highlight w:val="none"/>
              </w:rPr>
            </w:pPr>
          </w:p>
        </w:tc>
        <w:tc>
          <w:tcPr>
            <w:tcW w:w="962" w:type="dxa"/>
          </w:tcPr>
          <w:p w14:paraId="1017A168">
            <w:pPr>
              <w:spacing w:line="400" w:lineRule="exact"/>
              <w:rPr>
                <w:rFonts w:eastAsia="仿宋"/>
                <w:color w:val="auto"/>
                <w:sz w:val="24"/>
                <w:szCs w:val="22"/>
                <w:highlight w:val="none"/>
              </w:rPr>
            </w:pPr>
          </w:p>
        </w:tc>
      </w:tr>
    </w:tbl>
    <w:p w14:paraId="457D3A3F">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投标文件响应商务条款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招标文件~第五章~招标项目需求~商务要求</w:t>
      </w:r>
      <w:r>
        <w:rPr>
          <w:rFonts w:hint="eastAsia" w:eastAsia="仿宋"/>
          <w:b/>
          <w:color w:val="auto"/>
          <w:sz w:val="24"/>
          <w:szCs w:val="24"/>
          <w:highlight w:val="none"/>
          <w:lang w:eastAsia="zh-CN"/>
        </w:rPr>
        <w:t>”</w:t>
      </w:r>
      <w:r>
        <w:rPr>
          <w:rFonts w:eastAsia="仿宋"/>
          <w:b/>
          <w:color w:val="auto"/>
          <w:sz w:val="24"/>
          <w:szCs w:val="24"/>
          <w:highlight w:val="none"/>
        </w:rPr>
        <w:t>。</w:t>
      </w:r>
    </w:p>
    <w:p w14:paraId="798C0448">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，可在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r>
        <w:rPr>
          <w:rFonts w:hint="eastAsia" w:eastAsia="仿宋"/>
          <w:b/>
          <w:color w:val="auto"/>
          <w:sz w:val="24"/>
          <w:szCs w:val="24"/>
          <w:highlight w:val="none"/>
          <w:lang w:eastAsia="zh-CN"/>
        </w:rPr>
        <w:t>，</w:t>
      </w:r>
      <w:r>
        <w:rPr>
          <w:rFonts w:hint="eastAsia" w:eastAsia="仿宋"/>
          <w:b/>
          <w:color w:val="auto"/>
          <w:sz w:val="24"/>
          <w:szCs w:val="24"/>
          <w:highlight w:val="none"/>
          <w:lang w:val="en-US" w:eastAsia="zh-CN"/>
        </w:rPr>
        <w:t>并说明佐证材料所在标书中对应页码</w:t>
      </w:r>
      <w:r>
        <w:rPr>
          <w:rFonts w:eastAsia="仿宋"/>
          <w:b/>
          <w:color w:val="auto"/>
          <w:sz w:val="24"/>
          <w:szCs w:val="24"/>
          <w:highlight w:val="none"/>
        </w:rPr>
        <w:t>。</w:t>
      </w:r>
    </w:p>
    <w:p w14:paraId="28344446">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14:paraId="758C09DA">
      <w:pPr>
        <w:spacing w:line="460" w:lineRule="exact"/>
        <w:rPr>
          <w:rFonts w:eastAsia="仿宋"/>
          <w:color w:val="auto"/>
          <w:sz w:val="24"/>
          <w:highlight w:val="none"/>
        </w:rPr>
      </w:pPr>
    </w:p>
    <w:p w14:paraId="42E937FE">
      <w:pPr>
        <w:spacing w:line="460" w:lineRule="exact"/>
        <w:ind w:left="690"/>
        <w:rPr>
          <w:rFonts w:eastAsia="仿宋"/>
          <w:color w:val="auto"/>
          <w:sz w:val="24"/>
          <w:highlight w:val="none"/>
        </w:rPr>
      </w:pPr>
      <w:bookmarkStart w:id="257" w:name="_Toc399344500"/>
      <w:bookmarkStart w:id="258" w:name="_Toc400631661"/>
      <w:bookmarkStart w:id="259" w:name="_Toc399344127"/>
      <w:r>
        <w:rPr>
          <w:rFonts w:eastAsia="仿宋"/>
          <w:color w:val="auto"/>
          <w:sz w:val="24"/>
          <w:highlight w:val="none"/>
        </w:rPr>
        <w:t>投标人名称： （加盖公章）</w:t>
      </w:r>
    </w:p>
    <w:p w14:paraId="207852A5">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1670E1ED">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14:paraId="24183E52">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u w:val="single"/>
        </w:rPr>
        <w:br w:type="page"/>
      </w:r>
      <w:bookmarkStart w:id="260" w:name="_Toc10820"/>
      <w:bookmarkStart w:id="261" w:name="_Toc4191"/>
      <w:bookmarkStart w:id="262" w:name="_Toc19358"/>
      <w:bookmarkStart w:id="263" w:name="_Toc111018953"/>
      <w:bookmarkStart w:id="264" w:name="_Toc24652"/>
      <w:bookmarkStart w:id="265" w:name="_Toc8449"/>
      <w:bookmarkStart w:id="266" w:name="_Toc1976"/>
      <w:r>
        <w:rPr>
          <w:rFonts w:eastAsia="仿宋"/>
          <w:b/>
          <w:bCs/>
          <w:snapToGrid w:val="0"/>
          <w:color w:val="auto"/>
          <w:kern w:val="0"/>
          <w:sz w:val="28"/>
          <w:szCs w:val="28"/>
          <w:highlight w:val="none"/>
        </w:rPr>
        <w:t>六、关于资格的声明函</w:t>
      </w:r>
      <w:bookmarkEnd w:id="257"/>
      <w:bookmarkEnd w:id="258"/>
      <w:bookmarkEnd w:id="259"/>
      <w:bookmarkEnd w:id="260"/>
      <w:bookmarkEnd w:id="261"/>
      <w:bookmarkEnd w:id="262"/>
      <w:bookmarkEnd w:id="263"/>
      <w:bookmarkEnd w:id="264"/>
      <w:bookmarkEnd w:id="265"/>
      <w:bookmarkEnd w:id="266"/>
    </w:p>
    <w:p w14:paraId="446A3C46">
      <w:pPr>
        <w:spacing w:line="460" w:lineRule="exact"/>
        <w:rPr>
          <w:rFonts w:eastAsia="仿宋"/>
          <w:b/>
          <w:color w:val="auto"/>
          <w:sz w:val="24"/>
          <w:highlight w:val="none"/>
        </w:rPr>
      </w:pPr>
    </w:p>
    <w:p w14:paraId="7FDE4027">
      <w:pPr>
        <w:spacing w:line="460" w:lineRule="exact"/>
        <w:rPr>
          <w:rFonts w:eastAsia="仿宋"/>
          <w:b/>
          <w:color w:val="auto"/>
          <w:sz w:val="24"/>
          <w:highlight w:val="none"/>
        </w:rPr>
      </w:pPr>
      <w:r>
        <w:rPr>
          <w:rFonts w:eastAsia="仿宋"/>
          <w:b/>
          <w:color w:val="auto"/>
          <w:sz w:val="24"/>
          <w:highlight w:val="none"/>
        </w:rPr>
        <w:t>致：</w:t>
      </w:r>
      <w:r>
        <w:rPr>
          <w:rFonts w:eastAsia="仿宋"/>
          <w:b/>
          <w:color w:val="auto"/>
          <w:sz w:val="24"/>
          <w:highlight w:val="none"/>
          <w:u w:val="single"/>
        </w:rPr>
        <w:t>（</w:t>
      </w:r>
      <w:r>
        <w:rPr>
          <w:rFonts w:hint="eastAsia" w:eastAsia="仿宋"/>
          <w:b/>
          <w:color w:val="auto"/>
          <w:sz w:val="24"/>
          <w:highlight w:val="none"/>
          <w:u w:val="single"/>
          <w:lang w:eastAsia="zh-CN"/>
        </w:rPr>
        <w:t>江西合胜合招标咨询有限公司</w:t>
      </w:r>
      <w:r>
        <w:rPr>
          <w:rFonts w:eastAsia="仿宋"/>
          <w:b/>
          <w:color w:val="auto"/>
          <w:sz w:val="24"/>
          <w:highlight w:val="none"/>
          <w:u w:val="single"/>
        </w:rPr>
        <w:t>）</w:t>
      </w:r>
    </w:p>
    <w:p w14:paraId="2C8B6701">
      <w:pPr>
        <w:spacing w:line="460" w:lineRule="exact"/>
        <w:ind w:firstLine="480" w:firstLineChars="200"/>
        <w:rPr>
          <w:rFonts w:eastAsia="仿宋"/>
          <w:color w:val="auto"/>
          <w:sz w:val="24"/>
          <w:highlight w:val="none"/>
        </w:rPr>
      </w:pPr>
      <w:r>
        <w:rPr>
          <w:rFonts w:eastAsia="仿宋"/>
          <w:color w:val="auto"/>
          <w:sz w:val="24"/>
          <w:highlight w:val="none"/>
        </w:rPr>
        <w:t>关于贵方</w:t>
      </w:r>
      <w:r>
        <w:rPr>
          <w:rFonts w:eastAsia="仿宋"/>
          <w:color w:val="auto"/>
          <w:sz w:val="24"/>
          <w:highlight w:val="none"/>
          <w:u w:val="single"/>
        </w:rPr>
        <w:t>（项目名称、项目编号、包号）</w:t>
      </w:r>
      <w:r>
        <w:rPr>
          <w:rFonts w:eastAsia="仿宋"/>
          <w:color w:val="auto"/>
          <w:sz w:val="24"/>
          <w:highlight w:val="none"/>
        </w:rPr>
        <w:t>投标邀请，本签字人愿意参加投标，提供招标文件中规定的货物和服务，并证明投标文件中所提交的所有材料和所述事项均是准确的和真实的。</w:t>
      </w:r>
    </w:p>
    <w:p w14:paraId="593D7B59">
      <w:pPr>
        <w:spacing w:line="460" w:lineRule="exact"/>
        <w:rPr>
          <w:rFonts w:eastAsia="仿宋"/>
          <w:color w:val="auto"/>
          <w:sz w:val="24"/>
          <w:highlight w:val="none"/>
        </w:rPr>
      </w:pPr>
    </w:p>
    <w:p w14:paraId="0884CB74">
      <w:pPr>
        <w:spacing w:line="460" w:lineRule="exact"/>
        <w:ind w:left="690"/>
        <w:rPr>
          <w:rFonts w:eastAsia="仿宋"/>
          <w:color w:val="auto"/>
          <w:sz w:val="24"/>
          <w:highlight w:val="none"/>
        </w:rPr>
      </w:pPr>
      <w:r>
        <w:rPr>
          <w:rFonts w:eastAsia="仿宋"/>
          <w:color w:val="auto"/>
          <w:sz w:val="24"/>
          <w:highlight w:val="none"/>
        </w:rPr>
        <w:t>投标人名称： （加盖公章）</w:t>
      </w:r>
    </w:p>
    <w:p w14:paraId="38FD7186">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17BF2A7E">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14:paraId="33ED74B2">
      <w:pPr>
        <w:spacing w:line="560" w:lineRule="exact"/>
        <w:jc w:val="center"/>
        <w:outlineLvl w:val="1"/>
        <w:rPr>
          <w:rFonts w:eastAsia="仿宋"/>
          <w:b/>
          <w:bCs/>
          <w:snapToGrid w:val="0"/>
          <w:color w:val="auto"/>
          <w:kern w:val="0"/>
          <w:sz w:val="28"/>
          <w:szCs w:val="28"/>
          <w:highlight w:val="none"/>
        </w:rPr>
      </w:pPr>
      <w:r>
        <w:rPr>
          <w:rFonts w:eastAsia="仿宋"/>
          <w:color w:val="auto"/>
          <w:szCs w:val="21"/>
          <w:highlight w:val="none"/>
          <w:u w:val="single"/>
        </w:rPr>
        <w:br w:type="page"/>
      </w:r>
      <w:bookmarkStart w:id="267" w:name="_Toc11020"/>
      <w:bookmarkStart w:id="268" w:name="_Toc21008"/>
      <w:bookmarkStart w:id="269" w:name="_Toc8250"/>
      <w:bookmarkStart w:id="270" w:name="_Toc10507"/>
      <w:bookmarkStart w:id="271" w:name="_Toc111018954"/>
      <w:bookmarkStart w:id="272" w:name="_Toc9112"/>
      <w:bookmarkStart w:id="273" w:name="_Toc9654"/>
      <w:r>
        <w:rPr>
          <w:rFonts w:eastAsia="仿宋"/>
          <w:b/>
          <w:bCs/>
          <w:snapToGrid w:val="0"/>
          <w:color w:val="auto"/>
          <w:kern w:val="0"/>
          <w:sz w:val="28"/>
          <w:szCs w:val="28"/>
          <w:highlight w:val="none"/>
        </w:rPr>
        <w:t>七、法定代表人授权书</w:t>
      </w:r>
      <w:bookmarkEnd w:id="267"/>
      <w:bookmarkEnd w:id="268"/>
      <w:bookmarkEnd w:id="269"/>
      <w:bookmarkEnd w:id="270"/>
      <w:bookmarkEnd w:id="271"/>
      <w:bookmarkEnd w:id="272"/>
      <w:bookmarkEnd w:id="273"/>
    </w:p>
    <w:p w14:paraId="75A8C848">
      <w:pPr>
        <w:spacing w:line="460" w:lineRule="exact"/>
        <w:rPr>
          <w:rFonts w:eastAsia="仿宋"/>
          <w:color w:val="auto"/>
          <w:sz w:val="24"/>
          <w:highlight w:val="none"/>
        </w:rPr>
      </w:pPr>
    </w:p>
    <w:p w14:paraId="45A6A3B6">
      <w:pPr>
        <w:spacing w:line="460" w:lineRule="exact"/>
        <w:rPr>
          <w:rFonts w:eastAsia="仿宋"/>
          <w:color w:val="auto"/>
          <w:sz w:val="24"/>
          <w:highlight w:val="none"/>
        </w:rPr>
      </w:pPr>
      <w:r>
        <w:rPr>
          <w:rFonts w:hint="eastAsia" w:eastAsia="仿宋"/>
          <w:color w:val="auto"/>
          <w:sz w:val="24"/>
          <w:highlight w:val="none"/>
          <w:lang w:eastAsia="zh-CN"/>
        </w:rPr>
        <w:t>江西合胜合招标咨询有限公司</w:t>
      </w:r>
      <w:r>
        <w:rPr>
          <w:rFonts w:eastAsia="仿宋"/>
          <w:color w:val="auto"/>
          <w:sz w:val="24"/>
          <w:highlight w:val="none"/>
        </w:rPr>
        <w:t>：</w:t>
      </w:r>
    </w:p>
    <w:p w14:paraId="69BEB6C5">
      <w:pPr>
        <w:spacing w:line="460" w:lineRule="exact"/>
        <w:ind w:firstLine="480" w:firstLineChars="200"/>
        <w:rPr>
          <w:rFonts w:eastAsia="仿宋"/>
          <w:color w:val="auto"/>
          <w:sz w:val="24"/>
          <w:highlight w:val="none"/>
          <w:u w:val="single"/>
        </w:rPr>
      </w:pPr>
      <w:r>
        <w:rPr>
          <w:rFonts w:eastAsia="仿宋"/>
          <w:color w:val="auto"/>
          <w:sz w:val="24"/>
          <w:highlight w:val="none"/>
        </w:rPr>
        <w:t>本授权委托书声明：我（姓名），系（单位名称）的法定代表人，兹授权同志，为我方签订经济合同及办理其他事务代理人，其权限是：</w:t>
      </w:r>
      <w:r>
        <w:rPr>
          <w:rFonts w:eastAsia="仿宋"/>
          <w:color w:val="auto"/>
          <w:sz w:val="24"/>
          <w:highlight w:val="none"/>
          <w:u w:val="single"/>
        </w:rPr>
        <w:t>全权代表本公司参与（项目名称、项目编号、包号）的投标，负责提供与签署确认一切文书资料，以及向贵方递交的任何补充承诺。</w:t>
      </w:r>
    </w:p>
    <w:p w14:paraId="5A6AF22F">
      <w:pPr>
        <w:spacing w:line="460" w:lineRule="exact"/>
        <w:ind w:left="690"/>
        <w:rPr>
          <w:rFonts w:eastAsia="仿宋"/>
          <w:color w:val="auto"/>
          <w:sz w:val="24"/>
          <w:highlight w:val="none"/>
        </w:rPr>
      </w:pPr>
      <w:r>
        <w:rPr>
          <w:rFonts w:eastAsia="仿宋"/>
          <w:color w:val="auto"/>
          <w:sz w:val="24"/>
          <w:highlight w:val="none"/>
        </w:rPr>
        <w:t>投标人名称： （加盖公章）</w:t>
      </w:r>
    </w:p>
    <w:p w14:paraId="49B62E37">
      <w:pPr>
        <w:spacing w:line="460" w:lineRule="exact"/>
        <w:ind w:firstLine="561"/>
        <w:rPr>
          <w:rFonts w:eastAsia="仿宋"/>
          <w:color w:val="auto"/>
          <w:sz w:val="24"/>
          <w:highlight w:val="none"/>
        </w:rPr>
      </w:pPr>
      <w:r>
        <w:rPr>
          <w:rFonts w:eastAsia="仿宋"/>
          <w:color w:val="auto"/>
          <w:sz w:val="24"/>
          <w:highlight w:val="none"/>
        </w:rPr>
        <w:t xml:space="preserve"> 法定代表人：（签字或签章）</w:t>
      </w:r>
    </w:p>
    <w:p w14:paraId="4F90A1C2">
      <w:pPr>
        <w:spacing w:line="460" w:lineRule="exact"/>
        <w:ind w:firstLine="561"/>
        <w:rPr>
          <w:rFonts w:eastAsia="仿宋"/>
          <w:color w:val="auto"/>
          <w:sz w:val="24"/>
          <w:highlight w:val="none"/>
        </w:rPr>
      </w:pPr>
      <w:r>
        <w:rPr>
          <w:rFonts w:eastAsia="仿宋"/>
          <w:color w:val="auto"/>
          <w:sz w:val="24"/>
          <w:highlight w:val="none"/>
        </w:rPr>
        <w:t>有效期限：与本公司投标文件中标注的投标有效期相同，自本单位盖公章之日起生效。</w:t>
      </w:r>
    </w:p>
    <w:p w14:paraId="2233766E">
      <w:pPr>
        <w:spacing w:line="460" w:lineRule="exact"/>
        <w:ind w:firstLine="561"/>
        <w:rPr>
          <w:rFonts w:eastAsia="仿宋"/>
          <w:color w:val="auto"/>
          <w:sz w:val="24"/>
          <w:highlight w:val="none"/>
        </w:rPr>
      </w:pPr>
      <w:r>
        <w:rPr>
          <w:rFonts w:eastAsia="仿宋"/>
          <w:color w:val="auto"/>
          <w:sz w:val="24"/>
          <w:highlight w:val="none"/>
        </w:rPr>
        <w:t>签发日期：</w:t>
      </w:r>
    </w:p>
    <w:p w14:paraId="1131DA7E">
      <w:pPr>
        <w:spacing w:line="460" w:lineRule="exact"/>
        <w:ind w:firstLine="561"/>
        <w:rPr>
          <w:rFonts w:eastAsia="仿宋"/>
          <w:color w:val="auto"/>
          <w:sz w:val="24"/>
          <w:highlight w:val="none"/>
        </w:rPr>
      </w:pPr>
      <w:r>
        <w:rPr>
          <w:rFonts w:eastAsia="仿宋"/>
          <w:color w:val="auto"/>
          <w:sz w:val="24"/>
          <w:highlight w:val="none"/>
        </w:rPr>
        <w:t xml:space="preserve">附：代理人性别：        年龄：       职务：         </w:t>
      </w:r>
    </w:p>
    <w:p w14:paraId="08F38D36">
      <w:pPr>
        <w:spacing w:line="460" w:lineRule="exact"/>
        <w:ind w:firstLine="561"/>
        <w:rPr>
          <w:rFonts w:eastAsia="仿宋"/>
          <w:color w:val="auto"/>
          <w:sz w:val="24"/>
          <w:highlight w:val="none"/>
        </w:rPr>
      </w:pPr>
      <w:r>
        <w:rPr>
          <w:rFonts w:eastAsia="仿宋"/>
          <w:color w:val="auto"/>
          <w:sz w:val="24"/>
          <w:highlight w:val="none"/>
        </w:rPr>
        <w:t>身份证号码：                     联系电话：</w:t>
      </w:r>
    </w:p>
    <w:p w14:paraId="3D82D5F4">
      <w:pPr>
        <w:spacing w:line="460" w:lineRule="exact"/>
        <w:rPr>
          <w:rFonts w:eastAsia="仿宋"/>
          <w:color w:val="auto"/>
          <w:sz w:val="24"/>
          <w:highlight w:val="none"/>
        </w:rPr>
      </w:pPr>
      <w:r>
        <w:rPr>
          <w:rFonts w:eastAsia="仿宋"/>
          <w:color w:val="auto"/>
          <w:sz w:val="24"/>
          <w:highlight w:val="none"/>
        </w:rPr>
        <w:t>说明：1.法定代表人为企业事业单位、国家机关、社会团体的主要行政负责人。</w:t>
      </w:r>
    </w:p>
    <w:p w14:paraId="2A8E3792">
      <w:pPr>
        <w:spacing w:line="460" w:lineRule="exact"/>
        <w:ind w:firstLine="708" w:firstLineChars="295"/>
        <w:rPr>
          <w:rFonts w:eastAsia="仿宋"/>
          <w:color w:val="auto"/>
          <w:sz w:val="24"/>
          <w:highlight w:val="none"/>
        </w:rPr>
      </w:pPr>
      <w:r>
        <w:rPr>
          <w:rFonts w:eastAsia="仿宋"/>
          <w:color w:val="auto"/>
          <w:sz w:val="24"/>
          <w:highlight w:val="none"/>
        </w:rPr>
        <w:t>2.内容必须填写真实、清楚、涂改无效，不得转让。</w:t>
      </w:r>
    </w:p>
    <w:p w14:paraId="7EBDEB59">
      <w:pPr>
        <w:spacing w:line="460" w:lineRule="exact"/>
        <w:ind w:firstLine="708" w:firstLineChars="295"/>
        <w:rPr>
          <w:rFonts w:eastAsia="仿宋"/>
          <w:color w:val="auto"/>
          <w:sz w:val="24"/>
          <w:highlight w:val="none"/>
        </w:rPr>
      </w:pPr>
      <w:r>
        <w:rPr>
          <w:rFonts w:eastAsia="仿宋"/>
          <w:color w:val="auto"/>
          <w:sz w:val="24"/>
          <w:highlight w:val="none"/>
        </w:rPr>
        <w:t>3.法定代表人本人参与投标，则本表不适用。</w:t>
      </w:r>
    </w:p>
    <w:tbl>
      <w:tblPr>
        <w:tblStyle w:val="4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1"/>
        <w:gridCol w:w="4645"/>
      </w:tblGrid>
      <w:tr w14:paraId="2592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trPr>
        <w:tc>
          <w:tcPr>
            <w:tcW w:w="4641" w:type="dxa"/>
            <w:vAlign w:val="center"/>
          </w:tcPr>
          <w:p w14:paraId="132100BF">
            <w:pPr>
              <w:spacing w:line="360" w:lineRule="auto"/>
              <w:jc w:val="center"/>
              <w:rPr>
                <w:rFonts w:eastAsia="仿宋"/>
                <w:color w:val="auto"/>
                <w:sz w:val="24"/>
                <w:szCs w:val="22"/>
                <w:highlight w:val="none"/>
              </w:rPr>
            </w:pPr>
            <w:r>
              <w:rPr>
                <w:rFonts w:eastAsia="仿宋"/>
                <w:color w:val="auto"/>
                <w:sz w:val="24"/>
                <w:szCs w:val="22"/>
                <w:highlight w:val="none"/>
              </w:rPr>
              <w:t>法定代表人身份证粘贴处</w:t>
            </w:r>
          </w:p>
        </w:tc>
        <w:tc>
          <w:tcPr>
            <w:tcW w:w="4645" w:type="dxa"/>
            <w:vAlign w:val="center"/>
          </w:tcPr>
          <w:p w14:paraId="4765414A">
            <w:pPr>
              <w:spacing w:line="360" w:lineRule="auto"/>
              <w:jc w:val="center"/>
              <w:rPr>
                <w:rFonts w:eastAsia="仿宋"/>
                <w:color w:val="auto"/>
                <w:sz w:val="24"/>
                <w:szCs w:val="22"/>
                <w:highlight w:val="none"/>
              </w:rPr>
            </w:pPr>
            <w:r>
              <w:rPr>
                <w:rFonts w:eastAsia="仿宋"/>
                <w:color w:val="auto"/>
                <w:sz w:val="24"/>
                <w:szCs w:val="22"/>
                <w:highlight w:val="none"/>
              </w:rPr>
              <w:t>委托人身份证粘贴处</w:t>
            </w:r>
          </w:p>
        </w:tc>
      </w:tr>
    </w:tbl>
    <w:p w14:paraId="69298349">
      <w:pPr>
        <w:rPr>
          <w:rFonts w:eastAsia="仿宋"/>
          <w:color w:val="auto"/>
          <w:highlight w:val="none"/>
        </w:rPr>
      </w:pPr>
      <w:bookmarkStart w:id="274" w:name="_Toc399344503"/>
      <w:bookmarkStart w:id="275" w:name="_Toc399344130"/>
      <w:bookmarkStart w:id="276" w:name="_Toc400631664"/>
      <w:bookmarkStart w:id="277" w:name="_Hlk25942543"/>
    </w:p>
    <w:p w14:paraId="75B4D7BC">
      <w:pPr>
        <w:spacing w:line="560" w:lineRule="exact"/>
        <w:jc w:val="center"/>
        <w:outlineLvl w:val="1"/>
        <w:rPr>
          <w:rFonts w:eastAsia="仿宋"/>
          <w:b/>
          <w:bCs/>
          <w:snapToGrid w:val="0"/>
          <w:color w:val="auto"/>
          <w:kern w:val="0"/>
          <w:sz w:val="28"/>
          <w:szCs w:val="28"/>
          <w:highlight w:val="none"/>
        </w:rPr>
      </w:pPr>
      <w:r>
        <w:rPr>
          <w:rFonts w:eastAsia="仿宋"/>
          <w:color w:val="auto"/>
          <w:sz w:val="24"/>
          <w:highlight w:val="none"/>
        </w:rPr>
        <w:br w:type="page"/>
      </w:r>
      <w:bookmarkStart w:id="278" w:name="_Toc111018955"/>
      <w:bookmarkStart w:id="279" w:name="_Toc14387"/>
      <w:bookmarkStart w:id="280" w:name="_Toc4146"/>
      <w:bookmarkStart w:id="281" w:name="_Toc8148"/>
      <w:bookmarkStart w:id="282" w:name="_Toc30912"/>
      <w:bookmarkStart w:id="283" w:name="_Toc15701"/>
      <w:bookmarkStart w:id="284" w:name="_Toc20860"/>
      <w:r>
        <w:rPr>
          <w:rFonts w:eastAsia="仿宋"/>
          <w:b/>
          <w:bCs/>
          <w:snapToGrid w:val="0"/>
          <w:color w:val="auto"/>
          <w:kern w:val="0"/>
          <w:sz w:val="28"/>
          <w:szCs w:val="28"/>
          <w:highlight w:val="none"/>
        </w:rPr>
        <w:t>八、资格证明文件</w:t>
      </w:r>
      <w:bookmarkEnd w:id="274"/>
      <w:bookmarkEnd w:id="275"/>
      <w:bookmarkEnd w:id="276"/>
      <w:bookmarkEnd w:id="278"/>
      <w:bookmarkEnd w:id="279"/>
      <w:bookmarkEnd w:id="280"/>
      <w:bookmarkEnd w:id="281"/>
      <w:bookmarkEnd w:id="282"/>
      <w:bookmarkEnd w:id="283"/>
      <w:bookmarkEnd w:id="284"/>
    </w:p>
    <w:bookmarkEnd w:id="277"/>
    <w:p w14:paraId="2A8C727F">
      <w:pPr>
        <w:spacing w:line="460" w:lineRule="exact"/>
        <w:rPr>
          <w:rFonts w:eastAsia="仿宋"/>
          <w:b/>
          <w:color w:val="auto"/>
          <w:sz w:val="24"/>
          <w:highlight w:val="none"/>
        </w:rPr>
      </w:pPr>
      <w:bookmarkStart w:id="285" w:name="_Toc400631665"/>
      <w:bookmarkStart w:id="286" w:name="_Toc399344131"/>
      <w:bookmarkStart w:id="287" w:name="_Toc399344504"/>
      <w:r>
        <w:rPr>
          <w:rFonts w:eastAsia="仿宋"/>
          <w:b/>
          <w:color w:val="auto"/>
          <w:sz w:val="24"/>
          <w:highlight w:val="none"/>
        </w:rPr>
        <w:t>资格证明文件组成如下：</w:t>
      </w:r>
    </w:p>
    <w:p w14:paraId="3F0D0E90">
      <w:pPr>
        <w:spacing w:line="460" w:lineRule="exact"/>
        <w:jc w:val="center"/>
        <w:rPr>
          <w:rFonts w:eastAsia="仿宋"/>
          <w:b/>
          <w:color w:val="auto"/>
          <w:sz w:val="24"/>
          <w:highlight w:val="none"/>
        </w:rPr>
      </w:pPr>
    </w:p>
    <w:p w14:paraId="57D956BB">
      <w:pPr>
        <w:spacing w:line="460" w:lineRule="exact"/>
        <w:jc w:val="center"/>
        <w:rPr>
          <w:rFonts w:eastAsia="仿宋"/>
          <w:b/>
          <w:color w:val="auto"/>
          <w:sz w:val="24"/>
          <w:highlight w:val="none"/>
        </w:rPr>
      </w:pPr>
      <w:r>
        <w:rPr>
          <w:rFonts w:eastAsia="仿宋"/>
          <w:b/>
          <w:color w:val="auto"/>
          <w:sz w:val="24"/>
          <w:highlight w:val="none"/>
        </w:rPr>
        <w:t>1.具有独立承担民事责任的能力的资格证明文件</w:t>
      </w:r>
    </w:p>
    <w:p w14:paraId="0113AEEF">
      <w:pPr>
        <w:spacing w:line="460" w:lineRule="exact"/>
        <w:rPr>
          <w:rFonts w:eastAsia="仿宋"/>
          <w:b/>
          <w:color w:val="auto"/>
          <w:sz w:val="24"/>
          <w:highlight w:val="none"/>
        </w:rPr>
      </w:pPr>
    </w:p>
    <w:p w14:paraId="777BCDBE">
      <w:pPr>
        <w:spacing w:line="460" w:lineRule="exact"/>
        <w:rPr>
          <w:rFonts w:eastAsia="仿宋"/>
          <w:color w:val="auto"/>
          <w:sz w:val="24"/>
          <w:highlight w:val="none"/>
        </w:rPr>
      </w:pPr>
      <w:r>
        <w:rPr>
          <w:rFonts w:eastAsia="仿宋"/>
          <w:b/>
          <w:color w:val="auto"/>
          <w:sz w:val="24"/>
          <w:highlight w:val="none"/>
        </w:rPr>
        <w:t>提供材料说明：</w:t>
      </w:r>
      <w:r>
        <w:rPr>
          <w:rFonts w:eastAsia="仿宋"/>
          <w:color w:val="auto"/>
          <w:sz w:val="24"/>
          <w:highlight w:val="none"/>
        </w:rPr>
        <w:t>如投标人是企业的包括（合伙企业）应提供有效的</w:t>
      </w:r>
      <w:r>
        <w:rPr>
          <w:rFonts w:hint="eastAsia" w:eastAsia="仿宋"/>
          <w:color w:val="auto"/>
          <w:sz w:val="24"/>
          <w:highlight w:val="none"/>
          <w:lang w:eastAsia="zh-CN"/>
        </w:rPr>
        <w:t>“</w:t>
      </w:r>
      <w:r>
        <w:rPr>
          <w:rFonts w:eastAsia="仿宋"/>
          <w:color w:val="auto"/>
          <w:sz w:val="24"/>
          <w:highlight w:val="none"/>
        </w:rPr>
        <w:t>企业法人营业执照</w:t>
      </w:r>
      <w:r>
        <w:rPr>
          <w:rFonts w:hint="eastAsia" w:eastAsia="仿宋"/>
          <w:color w:val="auto"/>
          <w:sz w:val="24"/>
          <w:highlight w:val="none"/>
          <w:lang w:eastAsia="zh-CN"/>
        </w:rPr>
        <w:t>”</w:t>
      </w:r>
      <w:r>
        <w:rPr>
          <w:rFonts w:eastAsia="仿宋"/>
          <w:color w:val="auto"/>
          <w:sz w:val="24"/>
          <w:highlight w:val="none"/>
        </w:rPr>
        <w:t>或</w:t>
      </w:r>
      <w:r>
        <w:rPr>
          <w:rFonts w:hint="eastAsia" w:eastAsia="仿宋"/>
          <w:color w:val="auto"/>
          <w:sz w:val="24"/>
          <w:highlight w:val="none"/>
          <w:lang w:eastAsia="zh-CN"/>
        </w:rPr>
        <w:t>“</w:t>
      </w:r>
      <w:r>
        <w:rPr>
          <w:rFonts w:eastAsia="仿宋"/>
          <w:color w:val="auto"/>
          <w:sz w:val="24"/>
          <w:highlight w:val="none"/>
        </w:rPr>
        <w:t>营业执照</w:t>
      </w:r>
      <w:r>
        <w:rPr>
          <w:rFonts w:hint="eastAsia" w:eastAsia="仿宋"/>
          <w:color w:val="auto"/>
          <w:sz w:val="24"/>
          <w:highlight w:val="none"/>
          <w:lang w:eastAsia="zh-CN"/>
        </w:rPr>
        <w:t>”</w:t>
      </w:r>
      <w:r>
        <w:rPr>
          <w:rFonts w:eastAsia="仿宋"/>
          <w:color w:val="auto"/>
          <w:sz w:val="24"/>
          <w:highlight w:val="none"/>
        </w:rPr>
        <w:t>；如投标人是事业单位的应提供</w:t>
      </w:r>
      <w:r>
        <w:rPr>
          <w:rFonts w:hint="eastAsia" w:eastAsia="仿宋"/>
          <w:color w:val="auto"/>
          <w:sz w:val="24"/>
          <w:highlight w:val="none"/>
          <w:lang w:eastAsia="zh-CN"/>
        </w:rPr>
        <w:t>“</w:t>
      </w:r>
      <w:r>
        <w:rPr>
          <w:rFonts w:eastAsia="仿宋"/>
          <w:color w:val="auto"/>
          <w:sz w:val="24"/>
          <w:highlight w:val="none"/>
        </w:rPr>
        <w:t>事业单位法人证书</w:t>
      </w:r>
      <w:r>
        <w:rPr>
          <w:rFonts w:hint="eastAsia" w:eastAsia="仿宋"/>
          <w:color w:val="auto"/>
          <w:sz w:val="24"/>
          <w:highlight w:val="none"/>
          <w:lang w:eastAsia="zh-CN"/>
        </w:rPr>
        <w:t>”</w:t>
      </w:r>
      <w:r>
        <w:rPr>
          <w:rFonts w:eastAsia="仿宋"/>
          <w:color w:val="auto"/>
          <w:sz w:val="24"/>
          <w:highlight w:val="none"/>
        </w:rPr>
        <w:t>；如投标人是非企业专业服务机构的应提供执业许可证等证明文件；如投标人是个体工商户的应提供有效的</w:t>
      </w:r>
      <w:r>
        <w:rPr>
          <w:rFonts w:hint="eastAsia" w:eastAsia="仿宋"/>
          <w:color w:val="auto"/>
          <w:sz w:val="24"/>
          <w:highlight w:val="none"/>
          <w:lang w:eastAsia="zh-CN"/>
        </w:rPr>
        <w:t>“</w:t>
      </w:r>
      <w:r>
        <w:rPr>
          <w:rFonts w:eastAsia="仿宋"/>
          <w:color w:val="auto"/>
          <w:sz w:val="24"/>
          <w:highlight w:val="none"/>
        </w:rPr>
        <w:t>个体工商户营业执照</w:t>
      </w:r>
      <w:r>
        <w:rPr>
          <w:rFonts w:hint="eastAsia" w:eastAsia="仿宋"/>
          <w:color w:val="auto"/>
          <w:sz w:val="24"/>
          <w:highlight w:val="none"/>
          <w:lang w:eastAsia="zh-CN"/>
        </w:rPr>
        <w:t>”</w:t>
      </w:r>
      <w:r>
        <w:rPr>
          <w:rFonts w:eastAsia="仿宋"/>
          <w:color w:val="auto"/>
          <w:sz w:val="24"/>
          <w:highlight w:val="none"/>
        </w:rPr>
        <w:t>、组织机构代码证（实行</w:t>
      </w:r>
      <w:r>
        <w:rPr>
          <w:rFonts w:hint="eastAsia" w:eastAsia="仿宋"/>
          <w:color w:val="auto"/>
          <w:sz w:val="24"/>
          <w:highlight w:val="none"/>
          <w:lang w:eastAsia="zh-CN"/>
        </w:rPr>
        <w:t>“</w:t>
      </w:r>
      <w:r>
        <w:rPr>
          <w:rFonts w:eastAsia="仿宋"/>
          <w:color w:val="auto"/>
          <w:sz w:val="24"/>
          <w:highlight w:val="none"/>
        </w:rPr>
        <w:t>三证合一</w:t>
      </w:r>
      <w:r>
        <w:rPr>
          <w:rFonts w:hint="eastAsia" w:eastAsia="仿宋"/>
          <w:color w:val="auto"/>
          <w:sz w:val="24"/>
          <w:highlight w:val="none"/>
          <w:lang w:eastAsia="zh-CN"/>
        </w:rPr>
        <w:t>”</w:t>
      </w:r>
      <w:r>
        <w:rPr>
          <w:rFonts w:eastAsia="仿宋"/>
          <w:color w:val="auto"/>
          <w:sz w:val="24"/>
          <w:highlight w:val="none"/>
        </w:rPr>
        <w:t>的不需单独提供组织机构代码证）；如投标人是自然人的，应提供有效的自然人的身份证明</w:t>
      </w:r>
      <w:r>
        <w:rPr>
          <w:rFonts w:hint="eastAsia" w:eastAsia="仿宋"/>
          <w:color w:val="auto"/>
          <w:sz w:val="24"/>
          <w:highlight w:val="none"/>
          <w:lang w:eastAsia="zh-CN"/>
        </w:rPr>
        <w:t>（</w:t>
      </w:r>
      <w:r>
        <w:rPr>
          <w:rFonts w:eastAsia="仿宋"/>
          <w:color w:val="auto"/>
          <w:sz w:val="24"/>
          <w:highlight w:val="none"/>
        </w:rPr>
        <w:t>中国公民</w:t>
      </w:r>
      <w:r>
        <w:rPr>
          <w:rFonts w:hint="eastAsia" w:eastAsia="仿宋"/>
          <w:color w:val="auto"/>
          <w:sz w:val="24"/>
          <w:highlight w:val="none"/>
          <w:lang w:eastAsia="zh-CN"/>
        </w:rPr>
        <w:t>）</w:t>
      </w:r>
      <w:r>
        <w:rPr>
          <w:rFonts w:eastAsia="仿宋"/>
          <w:color w:val="auto"/>
          <w:sz w:val="24"/>
          <w:highlight w:val="none"/>
        </w:rPr>
        <w:t>。如采购标的属于银行、保险、石油石化、电力、电信等行业的，允许该行业法人的分支机构参加投标，提供分支机构的《营业执照》及总公司同意分支机构参与该项目的授权书。</w:t>
      </w:r>
    </w:p>
    <w:p w14:paraId="43C671B7">
      <w:pPr>
        <w:rPr>
          <w:color w:val="auto"/>
          <w:highlight w:val="none"/>
        </w:rPr>
      </w:pPr>
    </w:p>
    <w:p w14:paraId="30E8557E">
      <w:pPr>
        <w:rPr>
          <w:color w:val="auto"/>
          <w:highlight w:val="none"/>
        </w:rPr>
      </w:pPr>
    </w:p>
    <w:p w14:paraId="646BB2DF">
      <w:pPr>
        <w:rPr>
          <w:color w:val="auto"/>
          <w:highlight w:val="none"/>
        </w:rPr>
      </w:pPr>
    </w:p>
    <w:p w14:paraId="31DBF15E">
      <w:pPr>
        <w:spacing w:line="460" w:lineRule="exact"/>
        <w:jc w:val="center"/>
        <w:rPr>
          <w:rFonts w:eastAsia="仿宋"/>
          <w:b/>
          <w:color w:val="auto"/>
          <w:sz w:val="24"/>
          <w:highlight w:val="none"/>
        </w:rPr>
      </w:pPr>
      <w:r>
        <w:rPr>
          <w:rFonts w:eastAsia="仿宋"/>
          <w:b/>
          <w:color w:val="auto"/>
          <w:sz w:val="24"/>
          <w:highlight w:val="none"/>
        </w:rPr>
        <w:t>2.具有良好的商业信誉和健全的财务会计制度的证明文件</w:t>
      </w:r>
    </w:p>
    <w:p w14:paraId="6B8EC9F9">
      <w:pPr>
        <w:spacing w:line="460" w:lineRule="exact"/>
        <w:rPr>
          <w:rFonts w:eastAsia="仿宋"/>
          <w:b/>
          <w:color w:val="auto"/>
          <w:sz w:val="24"/>
          <w:highlight w:val="none"/>
        </w:rPr>
      </w:pPr>
    </w:p>
    <w:p w14:paraId="0F10345E">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投标人是法人的，提供开标前二个年度内任一年度经审计的财务状况报告，或在开标前三个月内其基本开户银行出具的资信证明；其他组织和自然人，没有经审计的财务报告，可以提供在开标前三个月内银行出具的资信证明；个体工商户提供开标前三个月内中国人民银行征信中心开具个人信用报告。</w:t>
      </w:r>
    </w:p>
    <w:p w14:paraId="4BEFFD92">
      <w:pPr>
        <w:spacing w:line="460" w:lineRule="exact"/>
        <w:rPr>
          <w:rFonts w:eastAsia="仿宋"/>
          <w:b/>
          <w:color w:val="auto"/>
          <w:sz w:val="24"/>
          <w:highlight w:val="none"/>
        </w:rPr>
      </w:pPr>
    </w:p>
    <w:p w14:paraId="306866BC">
      <w:pPr>
        <w:spacing w:line="460" w:lineRule="exact"/>
        <w:rPr>
          <w:rFonts w:eastAsia="仿宋"/>
          <w:b/>
          <w:color w:val="auto"/>
          <w:sz w:val="24"/>
          <w:highlight w:val="none"/>
        </w:rPr>
      </w:pPr>
    </w:p>
    <w:p w14:paraId="668828A9">
      <w:pPr>
        <w:spacing w:line="460" w:lineRule="exact"/>
        <w:jc w:val="center"/>
        <w:rPr>
          <w:rFonts w:eastAsia="仿宋"/>
          <w:b/>
          <w:color w:val="auto"/>
          <w:sz w:val="24"/>
          <w:highlight w:val="none"/>
        </w:rPr>
      </w:pPr>
      <w:r>
        <w:rPr>
          <w:rFonts w:eastAsia="仿宋"/>
          <w:b/>
          <w:color w:val="auto"/>
          <w:sz w:val="24"/>
          <w:highlight w:val="none"/>
        </w:rPr>
        <w:t>3.有依法缴纳税收和社会保障资金的良好记录的证明文件</w:t>
      </w:r>
    </w:p>
    <w:p w14:paraId="70F1A700">
      <w:pPr>
        <w:spacing w:line="460" w:lineRule="exact"/>
        <w:rPr>
          <w:rFonts w:eastAsia="仿宋"/>
          <w:b/>
          <w:color w:val="auto"/>
          <w:sz w:val="24"/>
          <w:highlight w:val="none"/>
        </w:rPr>
      </w:pPr>
    </w:p>
    <w:p w14:paraId="5E485474">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提供开标前六个月内任意一个月的依法缴纳税收和缴纳社会保障资金的证明材料；（依法不需要缴纳税收、社会保障资金的投标人，应当提供相关文件证明其依法免税或不需要缴纳社会保障资金）</w:t>
      </w:r>
    </w:p>
    <w:p w14:paraId="7B28AE3E">
      <w:pPr>
        <w:spacing w:line="460" w:lineRule="exact"/>
        <w:rPr>
          <w:rFonts w:eastAsia="仿宋"/>
          <w:b/>
          <w:color w:val="auto"/>
          <w:sz w:val="24"/>
          <w:highlight w:val="none"/>
        </w:rPr>
      </w:pPr>
    </w:p>
    <w:p w14:paraId="2536F809">
      <w:pPr>
        <w:rPr>
          <w:color w:val="auto"/>
          <w:highlight w:val="none"/>
        </w:rPr>
      </w:pPr>
    </w:p>
    <w:p w14:paraId="7110DD61">
      <w:pPr>
        <w:rPr>
          <w:color w:val="auto"/>
          <w:highlight w:val="none"/>
        </w:rPr>
      </w:pPr>
    </w:p>
    <w:p w14:paraId="0EAAF37B">
      <w:pPr>
        <w:rPr>
          <w:color w:val="auto"/>
          <w:highlight w:val="none"/>
        </w:rPr>
      </w:pPr>
    </w:p>
    <w:p w14:paraId="0453E0F7">
      <w:pPr>
        <w:spacing w:line="460" w:lineRule="exact"/>
        <w:jc w:val="center"/>
        <w:rPr>
          <w:rFonts w:eastAsia="仿宋"/>
          <w:b/>
          <w:color w:val="auto"/>
          <w:sz w:val="24"/>
          <w:highlight w:val="none"/>
        </w:rPr>
      </w:pPr>
    </w:p>
    <w:p w14:paraId="55E8F4E7">
      <w:pPr>
        <w:spacing w:line="460" w:lineRule="exact"/>
        <w:jc w:val="center"/>
        <w:rPr>
          <w:rFonts w:eastAsia="仿宋"/>
          <w:b/>
          <w:color w:val="auto"/>
          <w:sz w:val="24"/>
          <w:highlight w:val="none"/>
        </w:rPr>
      </w:pPr>
      <w:r>
        <w:rPr>
          <w:rFonts w:eastAsia="仿宋"/>
          <w:b/>
          <w:color w:val="auto"/>
          <w:sz w:val="24"/>
          <w:highlight w:val="none"/>
        </w:rPr>
        <w:t>4.投标人有关资格条件声明函</w:t>
      </w:r>
    </w:p>
    <w:p w14:paraId="1F6CD7A5">
      <w:pPr>
        <w:spacing w:line="460" w:lineRule="exact"/>
        <w:rPr>
          <w:rFonts w:eastAsia="仿宋"/>
          <w:b/>
          <w:color w:val="auto"/>
          <w:sz w:val="24"/>
          <w:highlight w:val="none"/>
        </w:rPr>
      </w:pPr>
    </w:p>
    <w:p w14:paraId="53EFEBD2">
      <w:pPr>
        <w:spacing w:line="460" w:lineRule="exact"/>
        <w:rPr>
          <w:rFonts w:eastAsia="仿宋"/>
          <w:color w:val="auto"/>
          <w:sz w:val="24"/>
          <w:highlight w:val="none"/>
        </w:rPr>
      </w:pPr>
      <w:r>
        <w:rPr>
          <w:rFonts w:hint="eastAsia" w:eastAsia="仿宋"/>
          <w:color w:val="auto"/>
          <w:sz w:val="24"/>
          <w:highlight w:val="none"/>
          <w:lang w:eastAsia="zh-CN"/>
        </w:rPr>
        <w:t>江西合胜合招标咨询有限公司</w:t>
      </w:r>
      <w:r>
        <w:rPr>
          <w:rFonts w:eastAsia="仿宋"/>
          <w:color w:val="auto"/>
          <w:sz w:val="24"/>
          <w:highlight w:val="none"/>
        </w:rPr>
        <w:t>：</w:t>
      </w:r>
    </w:p>
    <w:p w14:paraId="52DA2609">
      <w:pPr>
        <w:spacing w:line="460" w:lineRule="exact"/>
        <w:ind w:firstLine="480" w:firstLineChars="200"/>
        <w:rPr>
          <w:rFonts w:eastAsia="仿宋"/>
          <w:color w:val="auto"/>
          <w:sz w:val="24"/>
          <w:highlight w:val="none"/>
        </w:rPr>
      </w:pPr>
      <w:r>
        <w:rPr>
          <w:rFonts w:eastAsia="仿宋"/>
          <w:color w:val="auto"/>
          <w:sz w:val="24"/>
          <w:highlight w:val="none"/>
        </w:rPr>
        <w:t>我公司参加贵公司组织的（项目名称、项目编号、包号）的投标，现就有关资格条件声明如下：</w:t>
      </w:r>
    </w:p>
    <w:p w14:paraId="039D0D06">
      <w:pPr>
        <w:spacing w:line="460" w:lineRule="exact"/>
        <w:ind w:firstLine="480" w:firstLineChars="200"/>
        <w:rPr>
          <w:rFonts w:eastAsia="仿宋"/>
          <w:color w:val="auto"/>
          <w:sz w:val="24"/>
          <w:highlight w:val="none"/>
        </w:rPr>
      </w:pPr>
      <w:r>
        <w:rPr>
          <w:rFonts w:eastAsia="仿宋"/>
          <w:color w:val="auto"/>
          <w:sz w:val="24"/>
          <w:highlight w:val="none"/>
        </w:rPr>
        <w:t>我公司具备《中华人民共和国政府采购法》第二十二条所规定的条件，并已清楚招标文件的要求及有关文件规定。</w:t>
      </w:r>
    </w:p>
    <w:p w14:paraId="3EFFBB68">
      <w:pPr>
        <w:spacing w:line="460" w:lineRule="exact"/>
        <w:rPr>
          <w:rFonts w:eastAsia="仿宋"/>
          <w:color w:val="auto"/>
          <w:sz w:val="24"/>
          <w:highlight w:val="none"/>
        </w:rPr>
      </w:pPr>
      <w:r>
        <w:rPr>
          <w:rFonts w:eastAsia="仿宋"/>
          <w:color w:val="auto"/>
          <w:sz w:val="24"/>
          <w:highlight w:val="none"/>
        </w:rPr>
        <w:t>（1）我公司具有履行合同所必需的设备和专业技术能力。</w:t>
      </w:r>
    </w:p>
    <w:p w14:paraId="5295404A">
      <w:pPr>
        <w:spacing w:line="460" w:lineRule="exact"/>
        <w:rPr>
          <w:rFonts w:eastAsia="仿宋"/>
          <w:color w:val="auto"/>
          <w:sz w:val="24"/>
          <w:highlight w:val="none"/>
        </w:rPr>
      </w:pPr>
      <w:r>
        <w:rPr>
          <w:rFonts w:eastAsia="仿宋"/>
          <w:color w:val="auto"/>
          <w:sz w:val="24"/>
          <w:highlight w:val="none"/>
        </w:rPr>
        <w:t>（2）我公司参加本次政府采购活动前3年内在经营活动中没有因违法经营受到刑事处罚或者责令停产停业、吊销许可证或者执照、较大数额罚款等行政处罚。</w:t>
      </w:r>
    </w:p>
    <w:p w14:paraId="673A3FA5">
      <w:pPr>
        <w:spacing w:line="460" w:lineRule="exact"/>
        <w:rPr>
          <w:rFonts w:eastAsia="仿宋"/>
          <w:color w:val="auto"/>
          <w:sz w:val="24"/>
          <w:highlight w:val="none"/>
        </w:rPr>
      </w:pPr>
      <w:r>
        <w:rPr>
          <w:rFonts w:eastAsia="仿宋"/>
          <w:color w:val="auto"/>
          <w:sz w:val="24"/>
          <w:highlight w:val="none"/>
        </w:rPr>
        <w:t>（3）我公司符合法律、行政法规规定的其他条件。</w:t>
      </w:r>
    </w:p>
    <w:p w14:paraId="3B293D0D">
      <w:pPr>
        <w:spacing w:line="460" w:lineRule="exact"/>
        <w:rPr>
          <w:rFonts w:eastAsia="仿宋"/>
          <w:color w:val="auto"/>
          <w:sz w:val="24"/>
          <w:highlight w:val="none"/>
        </w:rPr>
      </w:pPr>
      <w:r>
        <w:rPr>
          <w:rFonts w:eastAsia="仿宋"/>
          <w:color w:val="auto"/>
          <w:sz w:val="24"/>
          <w:highlight w:val="none"/>
        </w:rPr>
        <w:t>（4）与我公司单位负责人为同一人或者存在直接控股、管理关系的不同投标人，未参加本次的政府采购活动。</w:t>
      </w:r>
    </w:p>
    <w:p w14:paraId="7DF603CD">
      <w:pPr>
        <w:spacing w:line="460" w:lineRule="exact"/>
        <w:rPr>
          <w:rFonts w:hint="default" w:eastAsia="仿宋"/>
          <w:color w:val="auto"/>
          <w:sz w:val="24"/>
          <w:highlight w:val="none"/>
          <w:lang w:val="en-US" w:eastAsia="zh-CN"/>
        </w:rPr>
      </w:pPr>
      <w:r>
        <w:rPr>
          <w:rFonts w:hint="eastAsia" w:eastAsia="仿宋"/>
          <w:color w:val="auto"/>
          <w:sz w:val="24"/>
          <w:highlight w:val="none"/>
          <w:lang w:eastAsia="zh-CN"/>
        </w:rPr>
        <w:t>（</w:t>
      </w:r>
      <w:r>
        <w:rPr>
          <w:rFonts w:hint="eastAsia" w:eastAsia="仿宋"/>
          <w:color w:val="auto"/>
          <w:sz w:val="24"/>
          <w:highlight w:val="none"/>
          <w:lang w:val="en-US" w:eastAsia="zh-CN"/>
        </w:rPr>
        <w:t>5</w:t>
      </w:r>
      <w:r>
        <w:rPr>
          <w:rFonts w:hint="eastAsia" w:eastAsia="仿宋"/>
          <w:color w:val="auto"/>
          <w:sz w:val="24"/>
          <w:highlight w:val="none"/>
          <w:lang w:eastAsia="zh-CN"/>
        </w:rPr>
        <w:t>）</w:t>
      </w:r>
      <w:r>
        <w:rPr>
          <w:rFonts w:hint="eastAsia" w:eastAsia="仿宋"/>
          <w:color w:val="auto"/>
          <w:sz w:val="24"/>
          <w:highlight w:val="none"/>
          <w:lang w:val="en-US" w:eastAsia="zh-CN"/>
        </w:rPr>
        <w:t>我公司未为本项目提供整体设计、规范编制或者项目管理、监理、检测等服务。</w:t>
      </w:r>
    </w:p>
    <w:p w14:paraId="2AD42D8E">
      <w:pPr>
        <w:spacing w:line="460" w:lineRule="exact"/>
        <w:ind w:firstLine="480" w:firstLineChars="200"/>
        <w:rPr>
          <w:rFonts w:eastAsia="仿宋"/>
          <w:color w:val="auto"/>
          <w:sz w:val="24"/>
          <w:highlight w:val="none"/>
        </w:rPr>
      </w:pPr>
      <w:r>
        <w:rPr>
          <w:rFonts w:eastAsia="仿宋"/>
          <w:color w:val="auto"/>
          <w:sz w:val="24"/>
          <w:highlight w:val="none"/>
        </w:rPr>
        <w:t>我公司对上述声明的真实性负责。如有虚假，将依法承担相应责任。</w:t>
      </w:r>
    </w:p>
    <w:p w14:paraId="415B495B">
      <w:pPr>
        <w:spacing w:line="460" w:lineRule="exact"/>
        <w:rPr>
          <w:rFonts w:eastAsia="仿宋"/>
          <w:b/>
          <w:color w:val="auto"/>
          <w:sz w:val="24"/>
          <w:highlight w:val="none"/>
        </w:rPr>
      </w:pPr>
    </w:p>
    <w:p w14:paraId="31C8DDE2">
      <w:pPr>
        <w:spacing w:line="460" w:lineRule="exact"/>
        <w:rPr>
          <w:rFonts w:eastAsia="仿宋"/>
          <w:b/>
          <w:color w:val="auto"/>
          <w:sz w:val="24"/>
          <w:highlight w:val="none"/>
        </w:rPr>
      </w:pPr>
    </w:p>
    <w:p w14:paraId="04B88763">
      <w:pPr>
        <w:spacing w:line="460" w:lineRule="exact"/>
        <w:rPr>
          <w:rFonts w:eastAsia="仿宋"/>
          <w:b/>
          <w:color w:val="auto"/>
          <w:sz w:val="24"/>
          <w:highlight w:val="none"/>
        </w:rPr>
      </w:pPr>
    </w:p>
    <w:p w14:paraId="34C266F9">
      <w:pPr>
        <w:spacing w:line="460" w:lineRule="exact"/>
        <w:rPr>
          <w:rFonts w:eastAsia="仿宋"/>
          <w:color w:val="auto"/>
          <w:sz w:val="24"/>
          <w:highlight w:val="none"/>
        </w:rPr>
      </w:pPr>
      <w:r>
        <w:rPr>
          <w:rFonts w:eastAsia="仿宋"/>
          <w:color w:val="auto"/>
          <w:sz w:val="24"/>
          <w:highlight w:val="none"/>
        </w:rPr>
        <w:t>投标人名称：（加盖公章）</w:t>
      </w:r>
    </w:p>
    <w:p w14:paraId="4C95F588">
      <w:pPr>
        <w:spacing w:line="460" w:lineRule="exact"/>
        <w:rPr>
          <w:rFonts w:eastAsia="仿宋"/>
          <w:color w:val="auto"/>
          <w:sz w:val="24"/>
          <w:highlight w:val="none"/>
        </w:rPr>
      </w:pPr>
      <w:r>
        <w:rPr>
          <w:rFonts w:eastAsia="仿宋"/>
          <w:color w:val="auto"/>
          <w:sz w:val="24"/>
          <w:highlight w:val="none"/>
        </w:rPr>
        <w:t>法定代表人或授权代表：（签字或签章）</w:t>
      </w:r>
    </w:p>
    <w:p w14:paraId="61B745CE">
      <w:pPr>
        <w:spacing w:line="460" w:lineRule="exact"/>
        <w:rPr>
          <w:rFonts w:eastAsia="仿宋"/>
          <w:color w:val="auto"/>
          <w:sz w:val="24"/>
          <w:highlight w:val="none"/>
        </w:rPr>
      </w:pPr>
      <w:r>
        <w:rPr>
          <w:rFonts w:eastAsia="仿宋"/>
          <w:color w:val="auto"/>
          <w:sz w:val="24"/>
          <w:highlight w:val="none"/>
        </w:rPr>
        <w:t>日期：</w:t>
      </w:r>
    </w:p>
    <w:p w14:paraId="7F72ED6F">
      <w:pPr>
        <w:spacing w:line="460" w:lineRule="exact"/>
        <w:jc w:val="center"/>
        <w:rPr>
          <w:rFonts w:eastAsia="仿宋"/>
          <w:b/>
          <w:color w:val="auto"/>
          <w:sz w:val="24"/>
          <w:highlight w:val="none"/>
        </w:rPr>
      </w:pPr>
    </w:p>
    <w:p w14:paraId="0741820B">
      <w:pPr>
        <w:spacing w:line="460" w:lineRule="exact"/>
        <w:jc w:val="center"/>
        <w:rPr>
          <w:rFonts w:eastAsia="仿宋"/>
          <w:b/>
          <w:color w:val="auto"/>
          <w:sz w:val="24"/>
          <w:highlight w:val="none"/>
        </w:rPr>
      </w:pPr>
    </w:p>
    <w:p w14:paraId="44EED396">
      <w:pPr>
        <w:spacing w:line="460" w:lineRule="exact"/>
        <w:jc w:val="center"/>
        <w:rPr>
          <w:rFonts w:eastAsia="仿宋"/>
          <w:b/>
          <w:color w:val="auto"/>
          <w:sz w:val="24"/>
          <w:highlight w:val="none"/>
        </w:rPr>
      </w:pPr>
      <w:r>
        <w:rPr>
          <w:rFonts w:eastAsia="仿宋"/>
          <w:b/>
          <w:color w:val="auto"/>
          <w:sz w:val="24"/>
          <w:highlight w:val="none"/>
        </w:rPr>
        <w:t>5.投标人认为需要提供的其它证明材料</w:t>
      </w:r>
    </w:p>
    <w:p w14:paraId="3CB5B988">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288" w:name="_Toc26778"/>
      <w:bookmarkStart w:id="289" w:name="_Toc7685"/>
      <w:bookmarkStart w:id="290" w:name="_Toc11388"/>
      <w:bookmarkStart w:id="291" w:name="_Toc111018956"/>
      <w:bookmarkStart w:id="292" w:name="_Toc24952"/>
      <w:bookmarkStart w:id="293" w:name="_Toc9626"/>
      <w:bookmarkStart w:id="294" w:name="_Toc14763"/>
      <w:r>
        <w:rPr>
          <w:rFonts w:eastAsia="仿宋"/>
          <w:b/>
          <w:bCs/>
          <w:snapToGrid w:val="0"/>
          <w:color w:val="auto"/>
          <w:kern w:val="0"/>
          <w:sz w:val="28"/>
          <w:szCs w:val="28"/>
          <w:highlight w:val="none"/>
        </w:rPr>
        <w:t>九、提供投标保证金的证明材料</w:t>
      </w:r>
      <w:bookmarkEnd w:id="288"/>
      <w:bookmarkEnd w:id="289"/>
      <w:bookmarkEnd w:id="290"/>
      <w:bookmarkEnd w:id="291"/>
      <w:bookmarkEnd w:id="292"/>
      <w:bookmarkEnd w:id="293"/>
      <w:bookmarkEnd w:id="294"/>
    </w:p>
    <w:p w14:paraId="0DF400C9">
      <w:pPr>
        <w:rPr>
          <w:rFonts w:eastAsia="仿宋"/>
          <w:color w:val="auto"/>
          <w:sz w:val="24"/>
          <w:highlight w:val="none"/>
        </w:rPr>
      </w:pPr>
    </w:p>
    <w:p w14:paraId="378271E1">
      <w:pPr>
        <w:rPr>
          <w:rFonts w:eastAsia="仿宋"/>
          <w:color w:val="auto"/>
          <w:sz w:val="24"/>
          <w:highlight w:val="none"/>
        </w:rPr>
      </w:pPr>
      <w:bookmarkStart w:id="295" w:name="_Toc95250189"/>
      <w:bookmarkStart w:id="296" w:name="_Toc14568"/>
      <w:bookmarkStart w:id="297" w:name="_Toc12023"/>
      <w:r>
        <w:rPr>
          <w:rFonts w:eastAsia="仿宋"/>
          <w:color w:val="auto"/>
          <w:sz w:val="24"/>
          <w:highlight w:val="none"/>
        </w:rPr>
        <w:t>投标人自行提供缴纳投标保证金的凭证......</w:t>
      </w:r>
      <w:bookmarkEnd w:id="295"/>
      <w:bookmarkEnd w:id="296"/>
      <w:bookmarkEnd w:id="297"/>
    </w:p>
    <w:p w14:paraId="21137732">
      <w:pPr>
        <w:pStyle w:val="43"/>
        <w:ind w:firstLine="562"/>
        <w:rPr>
          <w:rFonts w:eastAsia="仿宋"/>
          <w:b/>
          <w:bCs/>
          <w:snapToGrid w:val="0"/>
          <w:color w:val="auto"/>
          <w:sz w:val="28"/>
          <w:szCs w:val="28"/>
          <w:highlight w:val="none"/>
        </w:rPr>
      </w:pPr>
    </w:p>
    <w:p w14:paraId="49715A22">
      <w:pPr>
        <w:pStyle w:val="43"/>
        <w:ind w:firstLine="562"/>
        <w:rPr>
          <w:rFonts w:eastAsia="仿宋"/>
          <w:b/>
          <w:bCs/>
          <w:snapToGrid w:val="0"/>
          <w:color w:val="auto"/>
          <w:sz w:val="28"/>
          <w:szCs w:val="28"/>
          <w:highlight w:val="none"/>
        </w:rPr>
      </w:pPr>
    </w:p>
    <w:p w14:paraId="0EAC562F">
      <w:pPr>
        <w:pStyle w:val="43"/>
        <w:ind w:firstLine="562"/>
        <w:rPr>
          <w:rFonts w:eastAsia="仿宋"/>
          <w:b/>
          <w:bCs/>
          <w:snapToGrid w:val="0"/>
          <w:color w:val="auto"/>
          <w:sz w:val="28"/>
          <w:szCs w:val="28"/>
          <w:highlight w:val="none"/>
        </w:rPr>
      </w:pPr>
    </w:p>
    <w:p w14:paraId="6F0EE570">
      <w:pPr>
        <w:pStyle w:val="43"/>
        <w:ind w:firstLine="562"/>
        <w:rPr>
          <w:rFonts w:eastAsia="仿宋"/>
          <w:b/>
          <w:bCs/>
          <w:snapToGrid w:val="0"/>
          <w:color w:val="auto"/>
          <w:sz w:val="28"/>
          <w:szCs w:val="28"/>
          <w:highlight w:val="none"/>
        </w:rPr>
      </w:pPr>
    </w:p>
    <w:p w14:paraId="5B45785C">
      <w:pPr>
        <w:pStyle w:val="43"/>
        <w:ind w:firstLine="562"/>
        <w:rPr>
          <w:rFonts w:eastAsia="仿宋"/>
          <w:b/>
          <w:bCs/>
          <w:snapToGrid w:val="0"/>
          <w:color w:val="auto"/>
          <w:sz w:val="28"/>
          <w:szCs w:val="28"/>
          <w:highlight w:val="none"/>
        </w:rPr>
      </w:pPr>
    </w:p>
    <w:p w14:paraId="482A9E09">
      <w:pPr>
        <w:pStyle w:val="43"/>
        <w:ind w:firstLine="562"/>
        <w:rPr>
          <w:rFonts w:eastAsia="仿宋"/>
          <w:b/>
          <w:bCs/>
          <w:snapToGrid w:val="0"/>
          <w:color w:val="auto"/>
          <w:sz w:val="28"/>
          <w:szCs w:val="28"/>
          <w:highlight w:val="none"/>
        </w:rPr>
      </w:pPr>
    </w:p>
    <w:p w14:paraId="63C08617">
      <w:pPr>
        <w:rPr>
          <w:rFonts w:eastAsia="仿宋"/>
          <w:color w:val="auto"/>
          <w:highlight w:val="none"/>
        </w:rPr>
      </w:pPr>
    </w:p>
    <w:p w14:paraId="409405A5">
      <w:pPr>
        <w:rPr>
          <w:rFonts w:eastAsia="仿宋"/>
          <w:color w:val="auto"/>
          <w:highlight w:val="none"/>
        </w:rPr>
      </w:pPr>
    </w:p>
    <w:p w14:paraId="355D3E99">
      <w:pPr>
        <w:spacing w:line="560" w:lineRule="exact"/>
        <w:jc w:val="center"/>
        <w:outlineLvl w:val="1"/>
        <w:rPr>
          <w:rFonts w:eastAsia="仿宋"/>
          <w:b/>
          <w:bCs/>
          <w:snapToGrid w:val="0"/>
          <w:color w:val="auto"/>
          <w:kern w:val="0"/>
          <w:sz w:val="28"/>
          <w:szCs w:val="28"/>
          <w:highlight w:val="none"/>
        </w:rPr>
      </w:pPr>
      <w:bookmarkStart w:id="298" w:name="_Toc22895"/>
      <w:bookmarkStart w:id="299" w:name="_Toc318"/>
      <w:bookmarkStart w:id="300" w:name="_Toc111018957"/>
      <w:bookmarkStart w:id="301" w:name="_Toc32346"/>
      <w:bookmarkStart w:id="302" w:name="_Toc31951"/>
      <w:bookmarkStart w:id="303" w:name="_Toc13063"/>
      <w:bookmarkStart w:id="304" w:name="_Toc6302"/>
      <w:r>
        <w:rPr>
          <w:rFonts w:eastAsia="仿宋"/>
          <w:b/>
          <w:bCs/>
          <w:snapToGrid w:val="0"/>
          <w:color w:val="auto"/>
          <w:kern w:val="0"/>
          <w:sz w:val="28"/>
          <w:szCs w:val="28"/>
          <w:highlight w:val="none"/>
        </w:rPr>
        <w:t>十、投标货物技术文件</w:t>
      </w:r>
      <w:bookmarkEnd w:id="285"/>
      <w:bookmarkEnd w:id="286"/>
      <w:bookmarkEnd w:id="287"/>
      <w:r>
        <w:rPr>
          <w:rFonts w:eastAsia="仿宋"/>
          <w:b/>
          <w:bCs/>
          <w:snapToGrid w:val="0"/>
          <w:color w:val="auto"/>
          <w:kern w:val="0"/>
          <w:sz w:val="28"/>
          <w:szCs w:val="28"/>
          <w:highlight w:val="none"/>
        </w:rPr>
        <w:t>及其他材料</w:t>
      </w:r>
      <w:bookmarkEnd w:id="298"/>
      <w:bookmarkEnd w:id="299"/>
      <w:bookmarkEnd w:id="300"/>
      <w:bookmarkEnd w:id="301"/>
      <w:bookmarkEnd w:id="302"/>
      <w:bookmarkEnd w:id="303"/>
      <w:bookmarkEnd w:id="304"/>
    </w:p>
    <w:p w14:paraId="4C667405">
      <w:pPr>
        <w:pStyle w:val="43"/>
        <w:ind w:firstLine="562"/>
        <w:rPr>
          <w:rFonts w:eastAsia="仿宋"/>
          <w:b/>
          <w:bCs/>
          <w:snapToGrid w:val="0"/>
          <w:color w:val="auto"/>
          <w:sz w:val="28"/>
          <w:szCs w:val="28"/>
          <w:highlight w:val="none"/>
        </w:rPr>
      </w:pPr>
    </w:p>
    <w:p w14:paraId="2851CB9C">
      <w:pPr>
        <w:pStyle w:val="43"/>
        <w:ind w:firstLine="562"/>
        <w:rPr>
          <w:rFonts w:eastAsia="仿宋"/>
          <w:b/>
          <w:bCs/>
          <w:snapToGrid w:val="0"/>
          <w:color w:val="auto"/>
          <w:sz w:val="28"/>
          <w:szCs w:val="28"/>
          <w:highlight w:val="none"/>
        </w:rPr>
      </w:pPr>
    </w:p>
    <w:p w14:paraId="6EAF7D23">
      <w:pPr>
        <w:rPr>
          <w:rFonts w:eastAsia="仿宋"/>
          <w:b/>
          <w:color w:val="auto"/>
          <w:sz w:val="24"/>
          <w:highlight w:val="none"/>
        </w:rPr>
      </w:pPr>
      <w:r>
        <w:rPr>
          <w:rFonts w:eastAsia="仿宋"/>
          <w:b/>
          <w:color w:val="auto"/>
          <w:sz w:val="24"/>
          <w:highlight w:val="none"/>
        </w:rPr>
        <w:t>技术文件：</w:t>
      </w:r>
    </w:p>
    <w:p w14:paraId="74E59208">
      <w:pPr>
        <w:pStyle w:val="9"/>
        <w:ind w:firstLine="480"/>
        <w:rPr>
          <w:color w:val="auto"/>
          <w:sz w:val="24"/>
          <w:highlight w:val="none"/>
        </w:rPr>
      </w:pPr>
    </w:p>
    <w:p w14:paraId="7B4CED63">
      <w:pPr>
        <w:pStyle w:val="9"/>
        <w:ind w:firstLine="840" w:firstLineChars="350"/>
        <w:rPr>
          <w:color w:val="auto"/>
          <w:sz w:val="24"/>
          <w:highlight w:val="none"/>
        </w:rPr>
      </w:pPr>
      <w:r>
        <w:rPr>
          <w:color w:val="auto"/>
          <w:sz w:val="24"/>
          <w:highlight w:val="none"/>
        </w:rPr>
        <w:t>投标人认为应提交的技术材料，可在此附件中提交（格式自定）</w:t>
      </w:r>
    </w:p>
    <w:p w14:paraId="4E2CF77B">
      <w:pPr>
        <w:rPr>
          <w:rFonts w:eastAsia="仿宋"/>
          <w:b/>
          <w:color w:val="auto"/>
          <w:sz w:val="24"/>
          <w:highlight w:val="none"/>
        </w:rPr>
      </w:pPr>
      <w:bookmarkStart w:id="305" w:name="_Toc495403965"/>
      <w:bookmarkStart w:id="306" w:name="_Toc399344506"/>
      <w:bookmarkStart w:id="307" w:name="_Toc400631667"/>
      <w:bookmarkStart w:id="308" w:name="_Toc399344133"/>
      <w:r>
        <w:rPr>
          <w:rFonts w:eastAsia="仿宋"/>
          <w:b/>
          <w:color w:val="auto"/>
          <w:sz w:val="28"/>
          <w:szCs w:val="28"/>
          <w:highlight w:val="none"/>
        </w:rPr>
        <w:br w:type="page"/>
      </w:r>
      <w:r>
        <w:rPr>
          <w:rFonts w:eastAsia="仿宋"/>
          <w:b/>
          <w:color w:val="auto"/>
          <w:sz w:val="24"/>
          <w:highlight w:val="none"/>
        </w:rPr>
        <w:t>其他材料：</w:t>
      </w:r>
      <w:bookmarkEnd w:id="305"/>
    </w:p>
    <w:p w14:paraId="20C4806E">
      <w:pPr>
        <w:rPr>
          <w:rFonts w:eastAsia="仿宋"/>
          <w:b/>
          <w:color w:val="auto"/>
          <w:sz w:val="24"/>
          <w:highlight w:val="none"/>
        </w:rPr>
      </w:pPr>
      <w:bookmarkStart w:id="309" w:name="_Toc495403966"/>
      <w:r>
        <w:rPr>
          <w:rFonts w:eastAsia="仿宋"/>
          <w:b/>
          <w:color w:val="auto"/>
          <w:sz w:val="24"/>
          <w:highlight w:val="none"/>
        </w:rPr>
        <w:t>（1）投标人情况一览表</w:t>
      </w:r>
      <w:bookmarkEnd w:id="306"/>
      <w:bookmarkEnd w:id="307"/>
      <w:bookmarkEnd w:id="308"/>
      <w:bookmarkEnd w:id="309"/>
    </w:p>
    <w:tbl>
      <w:tblPr>
        <w:tblStyle w:val="44"/>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8"/>
        <w:gridCol w:w="1483"/>
        <w:gridCol w:w="1164"/>
        <w:gridCol w:w="737"/>
        <w:gridCol w:w="425"/>
        <w:gridCol w:w="1378"/>
        <w:gridCol w:w="804"/>
        <w:gridCol w:w="1597"/>
      </w:tblGrid>
      <w:tr w14:paraId="3A553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06E86EF4">
            <w:pPr>
              <w:rPr>
                <w:rFonts w:eastAsia="仿宋"/>
                <w:color w:val="auto"/>
                <w:sz w:val="24"/>
                <w:szCs w:val="22"/>
                <w:highlight w:val="none"/>
              </w:rPr>
            </w:pPr>
            <w:r>
              <w:rPr>
                <w:rFonts w:eastAsia="仿宋"/>
                <w:color w:val="auto"/>
                <w:sz w:val="24"/>
                <w:szCs w:val="22"/>
                <w:highlight w:val="none"/>
              </w:rPr>
              <w:t>投标人名称</w:t>
            </w:r>
          </w:p>
        </w:tc>
        <w:tc>
          <w:tcPr>
            <w:tcW w:w="7588" w:type="dxa"/>
            <w:gridSpan w:val="7"/>
            <w:vAlign w:val="center"/>
          </w:tcPr>
          <w:p w14:paraId="4521D0F9">
            <w:pPr>
              <w:rPr>
                <w:rFonts w:eastAsia="仿宋"/>
                <w:color w:val="auto"/>
                <w:sz w:val="24"/>
                <w:szCs w:val="22"/>
                <w:highlight w:val="none"/>
              </w:rPr>
            </w:pPr>
          </w:p>
        </w:tc>
      </w:tr>
      <w:tr w14:paraId="70078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10F19C42">
            <w:pPr>
              <w:rPr>
                <w:rFonts w:eastAsia="仿宋"/>
                <w:color w:val="auto"/>
                <w:sz w:val="24"/>
                <w:szCs w:val="22"/>
                <w:highlight w:val="none"/>
              </w:rPr>
            </w:pPr>
            <w:r>
              <w:rPr>
                <w:rFonts w:eastAsia="仿宋"/>
                <w:color w:val="auto"/>
                <w:sz w:val="24"/>
                <w:szCs w:val="22"/>
                <w:highlight w:val="none"/>
              </w:rPr>
              <w:t>注册地址</w:t>
            </w:r>
          </w:p>
        </w:tc>
        <w:tc>
          <w:tcPr>
            <w:tcW w:w="3809" w:type="dxa"/>
            <w:gridSpan w:val="4"/>
            <w:vAlign w:val="center"/>
          </w:tcPr>
          <w:p w14:paraId="386BAA5B">
            <w:pPr>
              <w:rPr>
                <w:rFonts w:eastAsia="仿宋"/>
                <w:color w:val="auto"/>
                <w:sz w:val="24"/>
                <w:szCs w:val="22"/>
                <w:highlight w:val="none"/>
              </w:rPr>
            </w:pPr>
          </w:p>
        </w:tc>
        <w:tc>
          <w:tcPr>
            <w:tcW w:w="1378" w:type="dxa"/>
            <w:vAlign w:val="center"/>
          </w:tcPr>
          <w:p w14:paraId="7417B63D">
            <w:pPr>
              <w:rPr>
                <w:rFonts w:eastAsia="仿宋"/>
                <w:color w:val="auto"/>
                <w:sz w:val="24"/>
                <w:szCs w:val="22"/>
                <w:highlight w:val="none"/>
              </w:rPr>
            </w:pPr>
            <w:r>
              <w:rPr>
                <w:rFonts w:eastAsia="仿宋"/>
                <w:color w:val="auto"/>
                <w:sz w:val="24"/>
                <w:szCs w:val="22"/>
                <w:highlight w:val="none"/>
              </w:rPr>
              <w:t>邮政编码</w:t>
            </w:r>
          </w:p>
        </w:tc>
        <w:tc>
          <w:tcPr>
            <w:tcW w:w="2401" w:type="dxa"/>
            <w:gridSpan w:val="2"/>
            <w:vAlign w:val="center"/>
          </w:tcPr>
          <w:p w14:paraId="7426CC20">
            <w:pPr>
              <w:rPr>
                <w:rFonts w:eastAsia="仿宋"/>
                <w:color w:val="auto"/>
                <w:sz w:val="24"/>
                <w:szCs w:val="22"/>
                <w:highlight w:val="none"/>
              </w:rPr>
            </w:pPr>
          </w:p>
        </w:tc>
      </w:tr>
      <w:tr w14:paraId="16143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restart"/>
            <w:vAlign w:val="center"/>
          </w:tcPr>
          <w:p w14:paraId="59EB88E3">
            <w:pPr>
              <w:rPr>
                <w:rFonts w:eastAsia="仿宋"/>
                <w:color w:val="auto"/>
                <w:sz w:val="24"/>
                <w:szCs w:val="22"/>
                <w:highlight w:val="none"/>
              </w:rPr>
            </w:pPr>
            <w:r>
              <w:rPr>
                <w:rFonts w:eastAsia="仿宋"/>
                <w:color w:val="auto"/>
                <w:sz w:val="24"/>
                <w:szCs w:val="22"/>
                <w:highlight w:val="none"/>
              </w:rPr>
              <w:t>联系方式</w:t>
            </w:r>
          </w:p>
        </w:tc>
        <w:tc>
          <w:tcPr>
            <w:tcW w:w="1483" w:type="dxa"/>
            <w:vAlign w:val="center"/>
          </w:tcPr>
          <w:p w14:paraId="1DD29A09">
            <w:pPr>
              <w:rPr>
                <w:rFonts w:eastAsia="仿宋"/>
                <w:color w:val="auto"/>
                <w:sz w:val="24"/>
                <w:szCs w:val="22"/>
                <w:highlight w:val="none"/>
              </w:rPr>
            </w:pPr>
            <w:r>
              <w:rPr>
                <w:rFonts w:eastAsia="仿宋"/>
                <w:color w:val="auto"/>
                <w:sz w:val="24"/>
                <w:szCs w:val="22"/>
                <w:highlight w:val="none"/>
              </w:rPr>
              <w:t>联系人</w:t>
            </w:r>
          </w:p>
        </w:tc>
        <w:tc>
          <w:tcPr>
            <w:tcW w:w="2326" w:type="dxa"/>
            <w:gridSpan w:val="3"/>
            <w:vAlign w:val="center"/>
          </w:tcPr>
          <w:p w14:paraId="3A3DFAD8">
            <w:pPr>
              <w:rPr>
                <w:rFonts w:eastAsia="仿宋"/>
                <w:color w:val="auto"/>
                <w:sz w:val="24"/>
                <w:szCs w:val="22"/>
                <w:highlight w:val="none"/>
              </w:rPr>
            </w:pPr>
          </w:p>
        </w:tc>
        <w:tc>
          <w:tcPr>
            <w:tcW w:w="1378" w:type="dxa"/>
            <w:vAlign w:val="center"/>
          </w:tcPr>
          <w:p w14:paraId="354B95D0">
            <w:pPr>
              <w:rPr>
                <w:rFonts w:eastAsia="仿宋"/>
                <w:color w:val="auto"/>
                <w:sz w:val="24"/>
                <w:szCs w:val="22"/>
                <w:highlight w:val="none"/>
              </w:rPr>
            </w:pPr>
            <w:r>
              <w:rPr>
                <w:rFonts w:eastAsia="仿宋"/>
                <w:color w:val="auto"/>
                <w:sz w:val="24"/>
                <w:szCs w:val="22"/>
                <w:highlight w:val="none"/>
              </w:rPr>
              <w:t>联系电话</w:t>
            </w:r>
          </w:p>
        </w:tc>
        <w:tc>
          <w:tcPr>
            <w:tcW w:w="2401" w:type="dxa"/>
            <w:gridSpan w:val="2"/>
            <w:vAlign w:val="center"/>
          </w:tcPr>
          <w:p w14:paraId="1009F2B6">
            <w:pPr>
              <w:rPr>
                <w:rFonts w:eastAsia="仿宋"/>
                <w:color w:val="auto"/>
                <w:sz w:val="24"/>
                <w:szCs w:val="22"/>
                <w:highlight w:val="none"/>
              </w:rPr>
            </w:pPr>
          </w:p>
        </w:tc>
      </w:tr>
      <w:tr w14:paraId="38F23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continue"/>
            <w:vAlign w:val="center"/>
          </w:tcPr>
          <w:p w14:paraId="7CA7A632">
            <w:pPr>
              <w:rPr>
                <w:rFonts w:eastAsia="仿宋"/>
                <w:color w:val="auto"/>
                <w:sz w:val="24"/>
                <w:szCs w:val="22"/>
                <w:highlight w:val="none"/>
              </w:rPr>
            </w:pPr>
          </w:p>
        </w:tc>
        <w:tc>
          <w:tcPr>
            <w:tcW w:w="1483" w:type="dxa"/>
            <w:vAlign w:val="center"/>
          </w:tcPr>
          <w:p w14:paraId="3ABC46FE">
            <w:pPr>
              <w:rPr>
                <w:rFonts w:eastAsia="仿宋"/>
                <w:color w:val="auto"/>
                <w:sz w:val="24"/>
                <w:szCs w:val="22"/>
                <w:highlight w:val="none"/>
              </w:rPr>
            </w:pPr>
            <w:r>
              <w:rPr>
                <w:rFonts w:eastAsia="仿宋"/>
                <w:color w:val="auto"/>
                <w:sz w:val="24"/>
                <w:szCs w:val="22"/>
                <w:highlight w:val="none"/>
              </w:rPr>
              <w:t>传  真</w:t>
            </w:r>
          </w:p>
        </w:tc>
        <w:tc>
          <w:tcPr>
            <w:tcW w:w="2326" w:type="dxa"/>
            <w:gridSpan w:val="3"/>
            <w:vAlign w:val="center"/>
          </w:tcPr>
          <w:p w14:paraId="523E7BFF">
            <w:pPr>
              <w:rPr>
                <w:rFonts w:eastAsia="仿宋"/>
                <w:color w:val="auto"/>
                <w:sz w:val="24"/>
                <w:szCs w:val="22"/>
                <w:highlight w:val="none"/>
              </w:rPr>
            </w:pPr>
          </w:p>
        </w:tc>
        <w:tc>
          <w:tcPr>
            <w:tcW w:w="1378" w:type="dxa"/>
            <w:vAlign w:val="center"/>
          </w:tcPr>
          <w:p w14:paraId="15D59EC6">
            <w:pPr>
              <w:rPr>
                <w:rFonts w:eastAsia="仿宋"/>
                <w:color w:val="auto"/>
                <w:sz w:val="24"/>
                <w:szCs w:val="22"/>
                <w:highlight w:val="none"/>
              </w:rPr>
            </w:pPr>
            <w:r>
              <w:rPr>
                <w:rFonts w:eastAsia="仿宋"/>
                <w:color w:val="auto"/>
                <w:sz w:val="24"/>
                <w:szCs w:val="22"/>
                <w:highlight w:val="none"/>
              </w:rPr>
              <w:t>网址/邮箱</w:t>
            </w:r>
          </w:p>
        </w:tc>
        <w:tc>
          <w:tcPr>
            <w:tcW w:w="2401" w:type="dxa"/>
            <w:gridSpan w:val="2"/>
            <w:vAlign w:val="center"/>
          </w:tcPr>
          <w:p w14:paraId="581603BD">
            <w:pPr>
              <w:rPr>
                <w:rFonts w:eastAsia="仿宋"/>
                <w:color w:val="auto"/>
                <w:sz w:val="24"/>
                <w:szCs w:val="22"/>
                <w:highlight w:val="none"/>
              </w:rPr>
            </w:pPr>
          </w:p>
        </w:tc>
      </w:tr>
      <w:tr w14:paraId="77251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3CDBA70B">
            <w:pPr>
              <w:rPr>
                <w:rFonts w:eastAsia="仿宋"/>
                <w:color w:val="auto"/>
                <w:sz w:val="24"/>
                <w:szCs w:val="22"/>
                <w:highlight w:val="none"/>
              </w:rPr>
            </w:pPr>
            <w:r>
              <w:rPr>
                <w:rFonts w:eastAsia="仿宋"/>
                <w:color w:val="auto"/>
                <w:sz w:val="24"/>
                <w:szCs w:val="22"/>
                <w:highlight w:val="none"/>
              </w:rPr>
              <w:t>组织结构</w:t>
            </w:r>
          </w:p>
        </w:tc>
        <w:tc>
          <w:tcPr>
            <w:tcW w:w="7588" w:type="dxa"/>
            <w:gridSpan w:val="7"/>
            <w:vAlign w:val="center"/>
          </w:tcPr>
          <w:p w14:paraId="148B37EA">
            <w:pPr>
              <w:rPr>
                <w:rFonts w:eastAsia="仿宋"/>
                <w:color w:val="auto"/>
                <w:sz w:val="24"/>
                <w:szCs w:val="22"/>
                <w:highlight w:val="none"/>
              </w:rPr>
            </w:pPr>
          </w:p>
        </w:tc>
      </w:tr>
      <w:tr w14:paraId="0E90C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12B9A2FF">
            <w:pPr>
              <w:rPr>
                <w:rFonts w:eastAsia="仿宋"/>
                <w:color w:val="auto"/>
                <w:sz w:val="24"/>
                <w:szCs w:val="22"/>
                <w:highlight w:val="none"/>
              </w:rPr>
            </w:pPr>
            <w:r>
              <w:rPr>
                <w:rFonts w:eastAsia="仿宋"/>
                <w:color w:val="auto"/>
                <w:sz w:val="24"/>
                <w:szCs w:val="22"/>
                <w:highlight w:val="none"/>
              </w:rPr>
              <w:t>法定代表人</w:t>
            </w:r>
          </w:p>
        </w:tc>
        <w:tc>
          <w:tcPr>
            <w:tcW w:w="1483" w:type="dxa"/>
            <w:vAlign w:val="center"/>
          </w:tcPr>
          <w:p w14:paraId="3756936C">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14:paraId="0D79BD6C">
            <w:pPr>
              <w:rPr>
                <w:rFonts w:eastAsia="仿宋"/>
                <w:color w:val="auto"/>
                <w:sz w:val="24"/>
                <w:szCs w:val="22"/>
                <w:highlight w:val="none"/>
              </w:rPr>
            </w:pPr>
          </w:p>
        </w:tc>
        <w:tc>
          <w:tcPr>
            <w:tcW w:w="1162" w:type="dxa"/>
            <w:gridSpan w:val="2"/>
            <w:vAlign w:val="center"/>
          </w:tcPr>
          <w:p w14:paraId="0CE33537">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14:paraId="5E509044">
            <w:pPr>
              <w:rPr>
                <w:rFonts w:eastAsia="仿宋"/>
                <w:color w:val="auto"/>
                <w:sz w:val="24"/>
                <w:szCs w:val="22"/>
                <w:highlight w:val="none"/>
              </w:rPr>
            </w:pPr>
          </w:p>
        </w:tc>
        <w:tc>
          <w:tcPr>
            <w:tcW w:w="804" w:type="dxa"/>
            <w:vAlign w:val="center"/>
          </w:tcPr>
          <w:p w14:paraId="36835D21">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14:paraId="0E86A9F0">
            <w:pPr>
              <w:rPr>
                <w:rFonts w:eastAsia="仿宋"/>
                <w:color w:val="auto"/>
                <w:sz w:val="24"/>
                <w:szCs w:val="22"/>
                <w:highlight w:val="none"/>
              </w:rPr>
            </w:pPr>
          </w:p>
        </w:tc>
      </w:tr>
      <w:tr w14:paraId="508BC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1A7A2077">
            <w:pPr>
              <w:rPr>
                <w:rFonts w:eastAsia="仿宋"/>
                <w:color w:val="auto"/>
                <w:sz w:val="24"/>
                <w:szCs w:val="22"/>
                <w:highlight w:val="none"/>
              </w:rPr>
            </w:pPr>
            <w:r>
              <w:rPr>
                <w:rFonts w:eastAsia="仿宋"/>
                <w:color w:val="auto"/>
                <w:sz w:val="24"/>
                <w:szCs w:val="22"/>
                <w:highlight w:val="none"/>
              </w:rPr>
              <w:t>技术负责人</w:t>
            </w:r>
          </w:p>
        </w:tc>
        <w:tc>
          <w:tcPr>
            <w:tcW w:w="1483" w:type="dxa"/>
            <w:vAlign w:val="center"/>
          </w:tcPr>
          <w:p w14:paraId="4DA34DF1">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14:paraId="00E2A941">
            <w:pPr>
              <w:rPr>
                <w:rFonts w:eastAsia="仿宋"/>
                <w:color w:val="auto"/>
                <w:sz w:val="24"/>
                <w:szCs w:val="22"/>
                <w:highlight w:val="none"/>
              </w:rPr>
            </w:pPr>
          </w:p>
        </w:tc>
        <w:tc>
          <w:tcPr>
            <w:tcW w:w="1162" w:type="dxa"/>
            <w:gridSpan w:val="2"/>
            <w:vAlign w:val="center"/>
          </w:tcPr>
          <w:p w14:paraId="2D8F812C">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14:paraId="00480755">
            <w:pPr>
              <w:rPr>
                <w:rFonts w:eastAsia="仿宋"/>
                <w:color w:val="auto"/>
                <w:sz w:val="24"/>
                <w:szCs w:val="22"/>
                <w:highlight w:val="none"/>
              </w:rPr>
            </w:pPr>
          </w:p>
        </w:tc>
        <w:tc>
          <w:tcPr>
            <w:tcW w:w="804" w:type="dxa"/>
            <w:vAlign w:val="center"/>
          </w:tcPr>
          <w:p w14:paraId="70CBB7B0">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14:paraId="00F1A897">
            <w:pPr>
              <w:rPr>
                <w:rFonts w:eastAsia="仿宋"/>
                <w:color w:val="auto"/>
                <w:sz w:val="24"/>
                <w:szCs w:val="22"/>
                <w:highlight w:val="none"/>
              </w:rPr>
            </w:pPr>
          </w:p>
        </w:tc>
      </w:tr>
      <w:tr w14:paraId="38D8F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7DC92EA0">
            <w:pPr>
              <w:rPr>
                <w:rFonts w:eastAsia="仿宋"/>
                <w:color w:val="auto"/>
                <w:sz w:val="24"/>
                <w:szCs w:val="22"/>
                <w:highlight w:val="none"/>
              </w:rPr>
            </w:pPr>
            <w:r>
              <w:rPr>
                <w:rFonts w:eastAsia="仿宋"/>
                <w:color w:val="auto"/>
                <w:sz w:val="24"/>
                <w:szCs w:val="22"/>
                <w:highlight w:val="none"/>
              </w:rPr>
              <w:t>成立时间</w:t>
            </w:r>
          </w:p>
        </w:tc>
        <w:tc>
          <w:tcPr>
            <w:tcW w:w="2647" w:type="dxa"/>
            <w:gridSpan w:val="2"/>
            <w:vAlign w:val="center"/>
          </w:tcPr>
          <w:p w14:paraId="2CD70A66">
            <w:pPr>
              <w:rPr>
                <w:rFonts w:eastAsia="仿宋"/>
                <w:color w:val="auto"/>
                <w:sz w:val="24"/>
                <w:szCs w:val="22"/>
                <w:highlight w:val="none"/>
              </w:rPr>
            </w:pPr>
          </w:p>
        </w:tc>
        <w:tc>
          <w:tcPr>
            <w:tcW w:w="4941" w:type="dxa"/>
            <w:gridSpan w:val="5"/>
            <w:vAlign w:val="center"/>
          </w:tcPr>
          <w:p w14:paraId="6A0119A0">
            <w:pPr>
              <w:rPr>
                <w:rFonts w:eastAsia="仿宋"/>
                <w:color w:val="auto"/>
                <w:sz w:val="24"/>
                <w:szCs w:val="22"/>
                <w:highlight w:val="none"/>
              </w:rPr>
            </w:pPr>
            <w:r>
              <w:rPr>
                <w:rFonts w:eastAsia="仿宋"/>
                <w:color w:val="auto"/>
                <w:sz w:val="24"/>
                <w:szCs w:val="22"/>
                <w:highlight w:val="none"/>
              </w:rPr>
              <w:t>员工总人数：</w:t>
            </w:r>
          </w:p>
        </w:tc>
      </w:tr>
      <w:tr w14:paraId="6EB80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463BAF0C">
            <w:pPr>
              <w:rPr>
                <w:rFonts w:eastAsia="仿宋"/>
                <w:color w:val="auto"/>
                <w:sz w:val="24"/>
                <w:szCs w:val="22"/>
                <w:highlight w:val="none"/>
              </w:rPr>
            </w:pPr>
            <w:r>
              <w:rPr>
                <w:rFonts w:eastAsia="仿宋"/>
                <w:color w:val="auto"/>
                <w:sz w:val="24"/>
                <w:szCs w:val="22"/>
                <w:highlight w:val="none"/>
              </w:rPr>
              <w:t>营业执照号</w:t>
            </w:r>
          </w:p>
        </w:tc>
        <w:tc>
          <w:tcPr>
            <w:tcW w:w="2647" w:type="dxa"/>
            <w:gridSpan w:val="2"/>
            <w:vAlign w:val="center"/>
          </w:tcPr>
          <w:p w14:paraId="2DBD381B">
            <w:pPr>
              <w:rPr>
                <w:rFonts w:eastAsia="仿宋"/>
                <w:color w:val="auto"/>
                <w:sz w:val="24"/>
                <w:szCs w:val="22"/>
                <w:highlight w:val="none"/>
              </w:rPr>
            </w:pPr>
          </w:p>
        </w:tc>
        <w:tc>
          <w:tcPr>
            <w:tcW w:w="737" w:type="dxa"/>
            <w:vMerge w:val="restart"/>
            <w:vAlign w:val="center"/>
          </w:tcPr>
          <w:p w14:paraId="48552530">
            <w:pPr>
              <w:rPr>
                <w:rFonts w:eastAsia="仿宋"/>
                <w:color w:val="auto"/>
                <w:sz w:val="24"/>
                <w:szCs w:val="22"/>
                <w:highlight w:val="none"/>
              </w:rPr>
            </w:pPr>
            <w:r>
              <w:rPr>
                <w:rFonts w:eastAsia="仿宋"/>
                <w:color w:val="auto"/>
                <w:sz w:val="24"/>
                <w:szCs w:val="22"/>
                <w:highlight w:val="none"/>
              </w:rPr>
              <w:t>其中</w:t>
            </w:r>
          </w:p>
        </w:tc>
        <w:tc>
          <w:tcPr>
            <w:tcW w:w="1803" w:type="dxa"/>
            <w:gridSpan w:val="2"/>
            <w:vAlign w:val="center"/>
          </w:tcPr>
          <w:p w14:paraId="74495384">
            <w:pPr>
              <w:rPr>
                <w:rFonts w:eastAsia="仿宋"/>
                <w:color w:val="auto"/>
                <w:sz w:val="24"/>
                <w:szCs w:val="22"/>
                <w:highlight w:val="none"/>
              </w:rPr>
            </w:pPr>
            <w:r>
              <w:rPr>
                <w:rFonts w:eastAsia="仿宋"/>
                <w:color w:val="auto"/>
                <w:sz w:val="24"/>
                <w:szCs w:val="22"/>
                <w:highlight w:val="none"/>
              </w:rPr>
              <w:t>高级职称人员</w:t>
            </w:r>
          </w:p>
        </w:tc>
        <w:tc>
          <w:tcPr>
            <w:tcW w:w="2401" w:type="dxa"/>
            <w:gridSpan w:val="2"/>
            <w:vAlign w:val="center"/>
          </w:tcPr>
          <w:p w14:paraId="058BB905">
            <w:pPr>
              <w:rPr>
                <w:rFonts w:eastAsia="仿宋"/>
                <w:color w:val="auto"/>
                <w:sz w:val="24"/>
                <w:szCs w:val="22"/>
                <w:highlight w:val="none"/>
              </w:rPr>
            </w:pPr>
          </w:p>
        </w:tc>
      </w:tr>
      <w:tr w14:paraId="71D90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77E4D879">
            <w:pPr>
              <w:rPr>
                <w:rFonts w:eastAsia="仿宋"/>
                <w:color w:val="auto"/>
                <w:sz w:val="24"/>
                <w:szCs w:val="22"/>
                <w:highlight w:val="none"/>
              </w:rPr>
            </w:pPr>
            <w:r>
              <w:rPr>
                <w:rFonts w:eastAsia="仿宋"/>
                <w:color w:val="auto"/>
                <w:sz w:val="24"/>
                <w:szCs w:val="22"/>
                <w:highlight w:val="none"/>
              </w:rPr>
              <w:t>注册资金</w:t>
            </w:r>
          </w:p>
        </w:tc>
        <w:tc>
          <w:tcPr>
            <w:tcW w:w="2647" w:type="dxa"/>
            <w:gridSpan w:val="2"/>
            <w:vAlign w:val="center"/>
          </w:tcPr>
          <w:p w14:paraId="64E0A36F">
            <w:pPr>
              <w:rPr>
                <w:rFonts w:eastAsia="仿宋"/>
                <w:color w:val="auto"/>
                <w:sz w:val="24"/>
                <w:szCs w:val="22"/>
                <w:highlight w:val="none"/>
              </w:rPr>
            </w:pPr>
          </w:p>
        </w:tc>
        <w:tc>
          <w:tcPr>
            <w:tcW w:w="737" w:type="dxa"/>
            <w:vMerge w:val="continue"/>
            <w:vAlign w:val="center"/>
          </w:tcPr>
          <w:p w14:paraId="106D10EF">
            <w:pPr>
              <w:rPr>
                <w:rFonts w:eastAsia="仿宋"/>
                <w:color w:val="auto"/>
                <w:sz w:val="24"/>
                <w:szCs w:val="22"/>
                <w:highlight w:val="none"/>
              </w:rPr>
            </w:pPr>
          </w:p>
        </w:tc>
        <w:tc>
          <w:tcPr>
            <w:tcW w:w="1803" w:type="dxa"/>
            <w:gridSpan w:val="2"/>
            <w:vAlign w:val="center"/>
          </w:tcPr>
          <w:p w14:paraId="454E76F2">
            <w:pPr>
              <w:rPr>
                <w:rFonts w:eastAsia="仿宋"/>
                <w:color w:val="auto"/>
                <w:sz w:val="24"/>
                <w:szCs w:val="22"/>
                <w:highlight w:val="none"/>
              </w:rPr>
            </w:pPr>
            <w:r>
              <w:rPr>
                <w:rFonts w:eastAsia="仿宋"/>
                <w:color w:val="auto"/>
                <w:sz w:val="24"/>
                <w:szCs w:val="22"/>
                <w:highlight w:val="none"/>
              </w:rPr>
              <w:t>中级职称人员</w:t>
            </w:r>
          </w:p>
        </w:tc>
        <w:tc>
          <w:tcPr>
            <w:tcW w:w="2401" w:type="dxa"/>
            <w:gridSpan w:val="2"/>
            <w:vAlign w:val="center"/>
          </w:tcPr>
          <w:p w14:paraId="77CF5FDF">
            <w:pPr>
              <w:rPr>
                <w:rFonts w:eastAsia="仿宋"/>
                <w:color w:val="auto"/>
                <w:sz w:val="24"/>
                <w:szCs w:val="22"/>
                <w:highlight w:val="none"/>
              </w:rPr>
            </w:pPr>
          </w:p>
        </w:tc>
      </w:tr>
      <w:tr w14:paraId="2C0CA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3CAD1295">
            <w:pPr>
              <w:rPr>
                <w:rFonts w:eastAsia="仿宋"/>
                <w:color w:val="auto"/>
                <w:sz w:val="24"/>
                <w:szCs w:val="22"/>
                <w:highlight w:val="none"/>
              </w:rPr>
            </w:pPr>
            <w:r>
              <w:rPr>
                <w:rFonts w:eastAsia="仿宋"/>
                <w:color w:val="auto"/>
                <w:sz w:val="24"/>
                <w:szCs w:val="22"/>
                <w:highlight w:val="none"/>
              </w:rPr>
              <w:t>开户银行</w:t>
            </w:r>
          </w:p>
        </w:tc>
        <w:tc>
          <w:tcPr>
            <w:tcW w:w="2647" w:type="dxa"/>
            <w:gridSpan w:val="2"/>
            <w:vAlign w:val="center"/>
          </w:tcPr>
          <w:p w14:paraId="20C990FC">
            <w:pPr>
              <w:rPr>
                <w:rFonts w:eastAsia="仿宋"/>
                <w:color w:val="auto"/>
                <w:sz w:val="24"/>
                <w:szCs w:val="22"/>
                <w:highlight w:val="none"/>
              </w:rPr>
            </w:pPr>
          </w:p>
        </w:tc>
        <w:tc>
          <w:tcPr>
            <w:tcW w:w="737" w:type="dxa"/>
            <w:vMerge w:val="continue"/>
            <w:vAlign w:val="center"/>
          </w:tcPr>
          <w:p w14:paraId="0B4D9F99">
            <w:pPr>
              <w:rPr>
                <w:rFonts w:eastAsia="仿宋"/>
                <w:color w:val="auto"/>
                <w:sz w:val="24"/>
                <w:szCs w:val="22"/>
                <w:highlight w:val="none"/>
              </w:rPr>
            </w:pPr>
          </w:p>
        </w:tc>
        <w:tc>
          <w:tcPr>
            <w:tcW w:w="1803" w:type="dxa"/>
            <w:gridSpan w:val="2"/>
            <w:vAlign w:val="center"/>
          </w:tcPr>
          <w:p w14:paraId="287D5D42">
            <w:pPr>
              <w:rPr>
                <w:rFonts w:eastAsia="仿宋"/>
                <w:color w:val="auto"/>
                <w:sz w:val="24"/>
                <w:szCs w:val="22"/>
                <w:highlight w:val="none"/>
              </w:rPr>
            </w:pPr>
            <w:r>
              <w:rPr>
                <w:rFonts w:eastAsia="仿宋"/>
                <w:color w:val="auto"/>
                <w:sz w:val="24"/>
                <w:szCs w:val="22"/>
                <w:highlight w:val="none"/>
              </w:rPr>
              <w:t>初级职称人员</w:t>
            </w:r>
          </w:p>
        </w:tc>
        <w:tc>
          <w:tcPr>
            <w:tcW w:w="2401" w:type="dxa"/>
            <w:gridSpan w:val="2"/>
            <w:vAlign w:val="center"/>
          </w:tcPr>
          <w:p w14:paraId="0926F501">
            <w:pPr>
              <w:rPr>
                <w:rFonts w:eastAsia="仿宋"/>
                <w:color w:val="auto"/>
                <w:sz w:val="24"/>
                <w:szCs w:val="22"/>
                <w:highlight w:val="none"/>
              </w:rPr>
            </w:pPr>
          </w:p>
        </w:tc>
      </w:tr>
      <w:tr w14:paraId="101329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65604B4B">
            <w:pPr>
              <w:rPr>
                <w:rFonts w:eastAsia="仿宋"/>
                <w:color w:val="auto"/>
                <w:sz w:val="24"/>
                <w:szCs w:val="22"/>
                <w:highlight w:val="none"/>
              </w:rPr>
            </w:pPr>
            <w:r>
              <w:rPr>
                <w:rFonts w:eastAsia="仿宋"/>
                <w:color w:val="auto"/>
                <w:sz w:val="24"/>
                <w:szCs w:val="22"/>
                <w:highlight w:val="none"/>
              </w:rPr>
              <w:t>银行账号</w:t>
            </w:r>
          </w:p>
        </w:tc>
        <w:tc>
          <w:tcPr>
            <w:tcW w:w="2647" w:type="dxa"/>
            <w:gridSpan w:val="2"/>
            <w:vAlign w:val="center"/>
          </w:tcPr>
          <w:p w14:paraId="65D1D82F">
            <w:pPr>
              <w:rPr>
                <w:rFonts w:eastAsia="仿宋"/>
                <w:color w:val="auto"/>
                <w:sz w:val="24"/>
                <w:szCs w:val="22"/>
                <w:highlight w:val="none"/>
              </w:rPr>
            </w:pPr>
          </w:p>
        </w:tc>
        <w:tc>
          <w:tcPr>
            <w:tcW w:w="737" w:type="dxa"/>
            <w:vMerge w:val="continue"/>
            <w:vAlign w:val="center"/>
          </w:tcPr>
          <w:p w14:paraId="2B99C849">
            <w:pPr>
              <w:rPr>
                <w:rFonts w:eastAsia="仿宋"/>
                <w:color w:val="auto"/>
                <w:sz w:val="24"/>
                <w:szCs w:val="22"/>
                <w:highlight w:val="none"/>
              </w:rPr>
            </w:pPr>
          </w:p>
        </w:tc>
        <w:tc>
          <w:tcPr>
            <w:tcW w:w="1803" w:type="dxa"/>
            <w:gridSpan w:val="2"/>
            <w:vAlign w:val="center"/>
          </w:tcPr>
          <w:p w14:paraId="344E8D08">
            <w:pPr>
              <w:rPr>
                <w:rFonts w:eastAsia="仿宋"/>
                <w:color w:val="auto"/>
                <w:sz w:val="24"/>
                <w:szCs w:val="22"/>
                <w:highlight w:val="none"/>
              </w:rPr>
            </w:pPr>
            <w:r>
              <w:rPr>
                <w:rFonts w:eastAsia="仿宋"/>
                <w:color w:val="auto"/>
                <w:sz w:val="24"/>
                <w:szCs w:val="22"/>
                <w:highlight w:val="none"/>
              </w:rPr>
              <w:t>技工</w:t>
            </w:r>
          </w:p>
        </w:tc>
        <w:tc>
          <w:tcPr>
            <w:tcW w:w="2401" w:type="dxa"/>
            <w:gridSpan w:val="2"/>
            <w:vAlign w:val="center"/>
          </w:tcPr>
          <w:p w14:paraId="2DEC9BE6">
            <w:pPr>
              <w:rPr>
                <w:rFonts w:eastAsia="仿宋"/>
                <w:color w:val="auto"/>
                <w:sz w:val="24"/>
                <w:szCs w:val="22"/>
                <w:highlight w:val="none"/>
              </w:rPr>
            </w:pPr>
          </w:p>
        </w:tc>
      </w:tr>
      <w:tr w14:paraId="4D68F6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14:paraId="057E1559">
            <w:pPr>
              <w:rPr>
                <w:rFonts w:eastAsia="仿宋"/>
                <w:color w:val="auto"/>
                <w:sz w:val="24"/>
                <w:szCs w:val="22"/>
                <w:highlight w:val="none"/>
              </w:rPr>
            </w:pPr>
            <w:r>
              <w:rPr>
                <w:rFonts w:eastAsia="仿宋"/>
                <w:color w:val="auto"/>
                <w:sz w:val="24"/>
                <w:szCs w:val="22"/>
                <w:highlight w:val="none"/>
              </w:rPr>
              <w:t>经营范围备注</w:t>
            </w:r>
          </w:p>
        </w:tc>
        <w:tc>
          <w:tcPr>
            <w:tcW w:w="7588" w:type="dxa"/>
            <w:gridSpan w:val="7"/>
            <w:vAlign w:val="center"/>
          </w:tcPr>
          <w:p w14:paraId="130EBC65">
            <w:pPr>
              <w:rPr>
                <w:rFonts w:eastAsia="仿宋"/>
                <w:color w:val="auto"/>
                <w:sz w:val="24"/>
                <w:szCs w:val="22"/>
                <w:highlight w:val="none"/>
              </w:rPr>
            </w:pPr>
          </w:p>
        </w:tc>
      </w:tr>
    </w:tbl>
    <w:p w14:paraId="1C2833D9">
      <w:pPr>
        <w:spacing w:line="460" w:lineRule="exact"/>
        <w:ind w:firstLine="720" w:firstLineChars="300"/>
        <w:rPr>
          <w:rFonts w:eastAsia="仿宋"/>
          <w:color w:val="auto"/>
          <w:sz w:val="24"/>
          <w:highlight w:val="none"/>
        </w:rPr>
      </w:pPr>
      <w:bookmarkStart w:id="310" w:name="_Toc399344134"/>
      <w:bookmarkStart w:id="311" w:name="_Toc399344507"/>
      <w:bookmarkStart w:id="312" w:name="_Toc400631668"/>
      <w:bookmarkStart w:id="313" w:name="_Toc495403967"/>
      <w:r>
        <w:rPr>
          <w:rFonts w:eastAsia="仿宋"/>
          <w:color w:val="auto"/>
          <w:sz w:val="24"/>
          <w:highlight w:val="none"/>
        </w:rPr>
        <w:t>投标人名称： （加盖公章）</w:t>
      </w:r>
    </w:p>
    <w:p w14:paraId="77136343">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5BF133E6">
      <w:pPr>
        <w:spacing w:line="460" w:lineRule="exact"/>
        <w:ind w:left="690"/>
        <w:rPr>
          <w:rFonts w:eastAsia="仿宋"/>
          <w:color w:val="auto"/>
          <w:sz w:val="24"/>
          <w:highlight w:val="none"/>
        </w:rPr>
      </w:pPr>
      <w:r>
        <w:rPr>
          <w:rFonts w:eastAsia="仿宋"/>
          <w:color w:val="auto"/>
          <w:sz w:val="24"/>
          <w:highlight w:val="none"/>
        </w:rPr>
        <w:t>日期：</w:t>
      </w:r>
    </w:p>
    <w:p w14:paraId="64316222">
      <w:pPr>
        <w:rPr>
          <w:rFonts w:eastAsia="仿宋"/>
          <w:b/>
          <w:color w:val="auto"/>
          <w:sz w:val="24"/>
          <w:highlight w:val="none"/>
        </w:rPr>
      </w:pPr>
      <w:r>
        <w:rPr>
          <w:rFonts w:eastAsia="仿宋"/>
          <w:b/>
          <w:color w:val="auto"/>
          <w:sz w:val="24"/>
          <w:highlight w:val="none"/>
        </w:rPr>
        <w:br w:type="page"/>
      </w:r>
      <w:r>
        <w:rPr>
          <w:rFonts w:eastAsia="仿宋"/>
          <w:b/>
          <w:color w:val="auto"/>
          <w:sz w:val="24"/>
          <w:highlight w:val="none"/>
        </w:rPr>
        <w:t>（2）</w:t>
      </w:r>
      <w:r>
        <w:rPr>
          <w:rFonts w:hint="eastAsia" w:eastAsia="仿宋"/>
          <w:b/>
          <w:color w:val="auto"/>
          <w:sz w:val="24"/>
          <w:highlight w:val="none"/>
          <w:lang w:val="en-US" w:eastAsia="zh-CN"/>
        </w:rPr>
        <w:t>销售案例明细</w:t>
      </w:r>
      <w:r>
        <w:rPr>
          <w:rFonts w:eastAsia="仿宋"/>
          <w:b/>
          <w:color w:val="auto"/>
          <w:sz w:val="24"/>
          <w:highlight w:val="none"/>
        </w:rPr>
        <w:t>情况表</w:t>
      </w:r>
      <w:bookmarkEnd w:id="310"/>
      <w:bookmarkEnd w:id="311"/>
      <w:bookmarkEnd w:id="312"/>
      <w:bookmarkEnd w:id="313"/>
    </w:p>
    <w:tbl>
      <w:tblPr>
        <w:tblStyle w:val="44"/>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84"/>
        <w:gridCol w:w="3058"/>
        <w:gridCol w:w="4144"/>
      </w:tblGrid>
      <w:tr w14:paraId="69B79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43BFD7EA">
            <w:pPr>
              <w:rPr>
                <w:rFonts w:eastAsia="仿宋"/>
                <w:color w:val="auto"/>
                <w:sz w:val="24"/>
                <w:szCs w:val="22"/>
                <w:highlight w:val="none"/>
              </w:rPr>
            </w:pPr>
            <w:r>
              <w:rPr>
                <w:rFonts w:hint="eastAsia" w:eastAsia="仿宋"/>
                <w:color w:val="auto"/>
                <w:sz w:val="24"/>
                <w:szCs w:val="22"/>
                <w:highlight w:val="none"/>
                <w:lang w:val="en-US" w:eastAsia="zh-CN"/>
              </w:rPr>
              <w:t>采购</w:t>
            </w:r>
            <w:r>
              <w:rPr>
                <w:rFonts w:eastAsia="仿宋"/>
                <w:color w:val="auto"/>
                <w:sz w:val="24"/>
                <w:szCs w:val="22"/>
                <w:highlight w:val="none"/>
              </w:rPr>
              <w:t>项目名称</w:t>
            </w:r>
          </w:p>
        </w:tc>
        <w:tc>
          <w:tcPr>
            <w:tcW w:w="7202" w:type="dxa"/>
            <w:gridSpan w:val="2"/>
            <w:vAlign w:val="center"/>
          </w:tcPr>
          <w:p w14:paraId="4601AF6E">
            <w:pPr>
              <w:rPr>
                <w:rFonts w:eastAsia="仿宋"/>
                <w:color w:val="auto"/>
                <w:sz w:val="24"/>
                <w:szCs w:val="22"/>
                <w:highlight w:val="none"/>
              </w:rPr>
            </w:pPr>
          </w:p>
        </w:tc>
      </w:tr>
      <w:tr w14:paraId="39221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7363F708">
            <w:pPr>
              <w:rPr>
                <w:rFonts w:eastAsia="仿宋"/>
                <w:color w:val="auto"/>
                <w:sz w:val="24"/>
                <w:szCs w:val="22"/>
                <w:highlight w:val="none"/>
              </w:rPr>
            </w:pPr>
            <w:r>
              <w:rPr>
                <w:rFonts w:eastAsia="仿宋"/>
                <w:color w:val="auto"/>
                <w:sz w:val="24"/>
                <w:szCs w:val="22"/>
                <w:highlight w:val="none"/>
              </w:rPr>
              <w:t>项目所在地</w:t>
            </w:r>
          </w:p>
        </w:tc>
        <w:tc>
          <w:tcPr>
            <w:tcW w:w="7202" w:type="dxa"/>
            <w:gridSpan w:val="2"/>
            <w:vAlign w:val="center"/>
          </w:tcPr>
          <w:p w14:paraId="18979A45">
            <w:pPr>
              <w:rPr>
                <w:rFonts w:eastAsia="仿宋"/>
                <w:color w:val="auto"/>
                <w:sz w:val="24"/>
                <w:szCs w:val="22"/>
                <w:highlight w:val="none"/>
              </w:rPr>
            </w:pPr>
          </w:p>
        </w:tc>
      </w:tr>
      <w:tr w14:paraId="39AF3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78780170">
            <w:pPr>
              <w:rPr>
                <w:rFonts w:eastAsia="仿宋"/>
                <w:color w:val="auto"/>
                <w:sz w:val="24"/>
                <w:szCs w:val="22"/>
                <w:highlight w:val="none"/>
              </w:rPr>
            </w:pPr>
            <w:r>
              <w:rPr>
                <w:rFonts w:eastAsia="仿宋"/>
                <w:color w:val="auto"/>
                <w:sz w:val="24"/>
                <w:szCs w:val="22"/>
                <w:highlight w:val="none"/>
              </w:rPr>
              <w:t>采购</w:t>
            </w:r>
            <w:r>
              <w:rPr>
                <w:rFonts w:hint="eastAsia" w:eastAsia="仿宋"/>
                <w:color w:val="auto"/>
                <w:sz w:val="24"/>
                <w:szCs w:val="22"/>
                <w:highlight w:val="none"/>
                <w:lang w:val="en-US" w:eastAsia="zh-CN"/>
              </w:rPr>
              <w:t>单位</w:t>
            </w:r>
            <w:r>
              <w:rPr>
                <w:rFonts w:eastAsia="仿宋"/>
                <w:color w:val="auto"/>
                <w:sz w:val="24"/>
                <w:szCs w:val="22"/>
                <w:highlight w:val="none"/>
              </w:rPr>
              <w:t>名称</w:t>
            </w:r>
          </w:p>
        </w:tc>
        <w:tc>
          <w:tcPr>
            <w:tcW w:w="7202" w:type="dxa"/>
            <w:gridSpan w:val="2"/>
            <w:vAlign w:val="center"/>
          </w:tcPr>
          <w:p w14:paraId="722F2B00">
            <w:pPr>
              <w:rPr>
                <w:rFonts w:eastAsia="仿宋"/>
                <w:color w:val="auto"/>
                <w:sz w:val="24"/>
                <w:szCs w:val="22"/>
                <w:highlight w:val="none"/>
              </w:rPr>
            </w:pPr>
          </w:p>
        </w:tc>
      </w:tr>
      <w:tr w14:paraId="659CF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23206AB2">
            <w:pPr>
              <w:rPr>
                <w:rFonts w:eastAsia="仿宋"/>
                <w:color w:val="auto"/>
                <w:sz w:val="24"/>
                <w:szCs w:val="22"/>
                <w:highlight w:val="none"/>
              </w:rPr>
            </w:pPr>
            <w:r>
              <w:rPr>
                <w:rFonts w:eastAsia="仿宋"/>
                <w:color w:val="auto"/>
                <w:sz w:val="24"/>
                <w:szCs w:val="22"/>
                <w:highlight w:val="none"/>
              </w:rPr>
              <w:t>采购</w:t>
            </w:r>
            <w:r>
              <w:rPr>
                <w:rFonts w:hint="eastAsia" w:eastAsia="仿宋"/>
                <w:color w:val="auto"/>
                <w:sz w:val="24"/>
                <w:szCs w:val="22"/>
                <w:highlight w:val="none"/>
                <w:lang w:val="en-US" w:eastAsia="zh-CN"/>
              </w:rPr>
              <w:t>单位</w:t>
            </w:r>
            <w:r>
              <w:rPr>
                <w:rFonts w:eastAsia="仿宋"/>
                <w:color w:val="auto"/>
                <w:sz w:val="24"/>
                <w:szCs w:val="22"/>
                <w:highlight w:val="none"/>
              </w:rPr>
              <w:t>地址</w:t>
            </w:r>
          </w:p>
        </w:tc>
        <w:tc>
          <w:tcPr>
            <w:tcW w:w="7202" w:type="dxa"/>
            <w:gridSpan w:val="2"/>
            <w:vAlign w:val="center"/>
          </w:tcPr>
          <w:p w14:paraId="33A73C94">
            <w:pPr>
              <w:rPr>
                <w:rFonts w:eastAsia="仿宋"/>
                <w:color w:val="auto"/>
                <w:sz w:val="24"/>
                <w:szCs w:val="22"/>
                <w:highlight w:val="none"/>
              </w:rPr>
            </w:pPr>
          </w:p>
        </w:tc>
      </w:tr>
      <w:tr w14:paraId="47EC8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3F248F0B">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联系方式</w:t>
            </w:r>
          </w:p>
        </w:tc>
        <w:tc>
          <w:tcPr>
            <w:tcW w:w="3058" w:type="dxa"/>
            <w:tcBorders>
              <w:right w:val="single" w:color="auto" w:sz="4" w:space="0"/>
            </w:tcBorders>
            <w:vAlign w:val="center"/>
          </w:tcPr>
          <w:p w14:paraId="4662B30E">
            <w:pPr>
              <w:rPr>
                <w:rFonts w:hint="default"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联系人：</w:t>
            </w:r>
          </w:p>
        </w:tc>
        <w:tc>
          <w:tcPr>
            <w:tcW w:w="4144" w:type="dxa"/>
            <w:tcBorders>
              <w:left w:val="single" w:color="auto" w:sz="4" w:space="0"/>
            </w:tcBorders>
            <w:vAlign w:val="center"/>
          </w:tcPr>
          <w:p w14:paraId="0EE5FFA2">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联系电话：</w:t>
            </w:r>
          </w:p>
        </w:tc>
      </w:tr>
      <w:tr w14:paraId="6861C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03573620">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采购代理名称</w:t>
            </w:r>
          </w:p>
        </w:tc>
        <w:tc>
          <w:tcPr>
            <w:tcW w:w="7202" w:type="dxa"/>
            <w:gridSpan w:val="2"/>
            <w:vAlign w:val="center"/>
          </w:tcPr>
          <w:p w14:paraId="46E3C9E9">
            <w:pPr>
              <w:rPr>
                <w:rFonts w:hint="eastAsia" w:eastAsia="仿宋"/>
                <w:color w:val="auto"/>
                <w:sz w:val="24"/>
                <w:szCs w:val="22"/>
                <w:highlight w:val="none"/>
                <w:lang w:val="en-US" w:eastAsia="zh-CN"/>
              </w:rPr>
            </w:pPr>
          </w:p>
        </w:tc>
      </w:tr>
      <w:tr w14:paraId="46DDC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38649894">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联系方式</w:t>
            </w:r>
          </w:p>
        </w:tc>
        <w:tc>
          <w:tcPr>
            <w:tcW w:w="3058" w:type="dxa"/>
            <w:tcBorders>
              <w:right w:val="single" w:color="auto" w:sz="4" w:space="0"/>
            </w:tcBorders>
            <w:vAlign w:val="center"/>
          </w:tcPr>
          <w:p w14:paraId="4BC9AE5A">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项目负责人：</w:t>
            </w:r>
          </w:p>
        </w:tc>
        <w:tc>
          <w:tcPr>
            <w:tcW w:w="4144" w:type="dxa"/>
            <w:tcBorders>
              <w:left w:val="single" w:color="auto" w:sz="4" w:space="0"/>
            </w:tcBorders>
            <w:vAlign w:val="center"/>
          </w:tcPr>
          <w:p w14:paraId="3DC95511">
            <w:pPr>
              <w:rPr>
                <w:rFonts w:hint="eastAsia" w:ascii="Arial" w:hAnsi="Arial" w:eastAsia="仿宋" w:cs="Arial"/>
                <w:snapToGrid w:val="0"/>
                <w:color w:val="auto"/>
                <w:kern w:val="2"/>
                <w:sz w:val="24"/>
                <w:szCs w:val="22"/>
                <w:highlight w:val="none"/>
                <w:lang w:val="en-US" w:eastAsia="zh-CN" w:bidi="ar-SA"/>
              </w:rPr>
            </w:pPr>
            <w:r>
              <w:rPr>
                <w:rFonts w:hint="eastAsia" w:eastAsia="仿宋"/>
                <w:color w:val="auto"/>
                <w:sz w:val="24"/>
                <w:szCs w:val="22"/>
                <w:highlight w:val="none"/>
                <w:lang w:val="en-US" w:eastAsia="zh-CN"/>
              </w:rPr>
              <w:t>联系电话：</w:t>
            </w:r>
          </w:p>
        </w:tc>
      </w:tr>
      <w:tr w14:paraId="0E3CE2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6FC8CC36">
            <w:pPr>
              <w:rPr>
                <w:rFonts w:eastAsia="仿宋"/>
                <w:color w:val="auto"/>
                <w:sz w:val="24"/>
                <w:szCs w:val="22"/>
                <w:highlight w:val="none"/>
              </w:rPr>
            </w:pPr>
            <w:r>
              <w:rPr>
                <w:rFonts w:eastAsia="仿宋"/>
                <w:color w:val="auto"/>
                <w:sz w:val="24"/>
                <w:szCs w:val="22"/>
                <w:highlight w:val="none"/>
              </w:rPr>
              <w:t>合同价格</w:t>
            </w:r>
          </w:p>
        </w:tc>
        <w:tc>
          <w:tcPr>
            <w:tcW w:w="7202" w:type="dxa"/>
            <w:gridSpan w:val="2"/>
            <w:vAlign w:val="center"/>
          </w:tcPr>
          <w:p w14:paraId="26731127">
            <w:pPr>
              <w:rPr>
                <w:rFonts w:eastAsia="仿宋"/>
                <w:color w:val="auto"/>
                <w:sz w:val="24"/>
                <w:szCs w:val="22"/>
                <w:highlight w:val="none"/>
              </w:rPr>
            </w:pPr>
          </w:p>
        </w:tc>
      </w:tr>
      <w:tr w14:paraId="26E684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75F8985E">
            <w:pPr>
              <w:rPr>
                <w:rFonts w:eastAsia="仿宋"/>
                <w:color w:val="auto"/>
                <w:sz w:val="24"/>
                <w:szCs w:val="22"/>
                <w:highlight w:val="none"/>
              </w:rPr>
            </w:pPr>
            <w:r>
              <w:rPr>
                <w:rFonts w:eastAsia="仿宋"/>
                <w:color w:val="auto"/>
                <w:sz w:val="24"/>
                <w:szCs w:val="22"/>
                <w:highlight w:val="none"/>
              </w:rPr>
              <w:t>交付日期</w:t>
            </w:r>
          </w:p>
        </w:tc>
        <w:tc>
          <w:tcPr>
            <w:tcW w:w="7202" w:type="dxa"/>
            <w:gridSpan w:val="2"/>
            <w:vAlign w:val="center"/>
          </w:tcPr>
          <w:p w14:paraId="743E379A">
            <w:pPr>
              <w:rPr>
                <w:rFonts w:eastAsia="仿宋"/>
                <w:color w:val="auto"/>
                <w:sz w:val="24"/>
                <w:szCs w:val="22"/>
                <w:highlight w:val="none"/>
              </w:rPr>
            </w:pPr>
          </w:p>
        </w:tc>
      </w:tr>
      <w:tr w14:paraId="482BC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510193F5">
            <w:pPr>
              <w:rPr>
                <w:rFonts w:eastAsia="仿宋"/>
                <w:color w:val="auto"/>
                <w:sz w:val="24"/>
                <w:szCs w:val="22"/>
                <w:highlight w:val="none"/>
              </w:rPr>
            </w:pPr>
            <w:r>
              <w:rPr>
                <w:rFonts w:eastAsia="仿宋"/>
                <w:color w:val="auto"/>
                <w:sz w:val="24"/>
                <w:szCs w:val="22"/>
                <w:highlight w:val="none"/>
              </w:rPr>
              <w:t>技术负责人</w:t>
            </w:r>
          </w:p>
        </w:tc>
        <w:tc>
          <w:tcPr>
            <w:tcW w:w="7202" w:type="dxa"/>
            <w:gridSpan w:val="2"/>
            <w:vAlign w:val="center"/>
          </w:tcPr>
          <w:p w14:paraId="2B70B3B8">
            <w:pPr>
              <w:rPr>
                <w:rFonts w:eastAsia="仿宋"/>
                <w:color w:val="auto"/>
                <w:sz w:val="24"/>
                <w:szCs w:val="22"/>
                <w:highlight w:val="none"/>
              </w:rPr>
            </w:pPr>
          </w:p>
        </w:tc>
      </w:tr>
      <w:tr w14:paraId="480CE3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39BED975">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发布网站名称</w:t>
            </w:r>
          </w:p>
        </w:tc>
        <w:tc>
          <w:tcPr>
            <w:tcW w:w="7202" w:type="dxa"/>
            <w:gridSpan w:val="2"/>
            <w:vAlign w:val="center"/>
          </w:tcPr>
          <w:p w14:paraId="07109F67">
            <w:pPr>
              <w:rPr>
                <w:rFonts w:eastAsia="仿宋"/>
                <w:color w:val="auto"/>
                <w:sz w:val="24"/>
                <w:szCs w:val="22"/>
                <w:highlight w:val="none"/>
              </w:rPr>
            </w:pPr>
          </w:p>
        </w:tc>
      </w:tr>
      <w:tr w14:paraId="7DA85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14:paraId="73ACBB6B">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发布链接地址</w:t>
            </w:r>
          </w:p>
        </w:tc>
        <w:tc>
          <w:tcPr>
            <w:tcW w:w="7202" w:type="dxa"/>
            <w:gridSpan w:val="2"/>
            <w:vAlign w:val="center"/>
          </w:tcPr>
          <w:p w14:paraId="6D52CAB4">
            <w:pPr>
              <w:rPr>
                <w:rFonts w:eastAsia="仿宋"/>
                <w:color w:val="auto"/>
                <w:sz w:val="24"/>
                <w:szCs w:val="22"/>
                <w:highlight w:val="none"/>
              </w:rPr>
            </w:pPr>
          </w:p>
        </w:tc>
      </w:tr>
      <w:tr w14:paraId="29D23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75" w:hRule="atLeast"/>
        </w:trPr>
        <w:tc>
          <w:tcPr>
            <w:tcW w:w="2084" w:type="dxa"/>
            <w:vAlign w:val="center"/>
          </w:tcPr>
          <w:p w14:paraId="39D0B16C">
            <w:pPr>
              <w:rPr>
                <w:rFonts w:eastAsia="仿宋"/>
                <w:color w:val="auto"/>
                <w:sz w:val="24"/>
                <w:szCs w:val="22"/>
                <w:highlight w:val="none"/>
              </w:rPr>
            </w:pPr>
            <w:r>
              <w:rPr>
                <w:rFonts w:eastAsia="仿宋"/>
                <w:color w:val="auto"/>
                <w:sz w:val="24"/>
                <w:szCs w:val="22"/>
                <w:highlight w:val="none"/>
              </w:rPr>
              <w:t>项目描述</w:t>
            </w:r>
          </w:p>
        </w:tc>
        <w:tc>
          <w:tcPr>
            <w:tcW w:w="7202" w:type="dxa"/>
            <w:gridSpan w:val="2"/>
            <w:vAlign w:val="center"/>
          </w:tcPr>
          <w:p w14:paraId="50554E08">
            <w:pPr>
              <w:rPr>
                <w:rFonts w:eastAsia="仿宋"/>
                <w:color w:val="auto"/>
                <w:sz w:val="24"/>
                <w:szCs w:val="22"/>
                <w:highlight w:val="none"/>
              </w:rPr>
            </w:pPr>
          </w:p>
        </w:tc>
      </w:tr>
      <w:tr w14:paraId="456074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5" w:hRule="atLeast"/>
        </w:trPr>
        <w:tc>
          <w:tcPr>
            <w:tcW w:w="2084" w:type="dxa"/>
            <w:vAlign w:val="center"/>
          </w:tcPr>
          <w:p w14:paraId="6F067FD4">
            <w:pPr>
              <w:rPr>
                <w:rFonts w:eastAsia="仿宋"/>
                <w:color w:val="auto"/>
                <w:sz w:val="24"/>
                <w:szCs w:val="22"/>
                <w:highlight w:val="none"/>
              </w:rPr>
            </w:pPr>
            <w:r>
              <w:rPr>
                <w:rFonts w:eastAsia="仿宋"/>
                <w:color w:val="auto"/>
                <w:sz w:val="24"/>
                <w:szCs w:val="22"/>
                <w:highlight w:val="none"/>
              </w:rPr>
              <w:t>备注</w:t>
            </w:r>
          </w:p>
        </w:tc>
        <w:tc>
          <w:tcPr>
            <w:tcW w:w="7202" w:type="dxa"/>
            <w:gridSpan w:val="2"/>
            <w:vAlign w:val="center"/>
          </w:tcPr>
          <w:p w14:paraId="18B22161">
            <w:pPr>
              <w:rPr>
                <w:rFonts w:eastAsia="仿宋"/>
                <w:color w:val="auto"/>
                <w:sz w:val="24"/>
                <w:szCs w:val="22"/>
                <w:highlight w:val="none"/>
              </w:rPr>
            </w:pPr>
          </w:p>
        </w:tc>
      </w:tr>
    </w:tbl>
    <w:p w14:paraId="16C911E3">
      <w:pPr>
        <w:rPr>
          <w:rFonts w:eastAsia="仿宋"/>
          <w:b/>
          <w:color w:val="auto"/>
          <w:sz w:val="24"/>
          <w:highlight w:val="none"/>
        </w:rPr>
      </w:pPr>
    </w:p>
    <w:p w14:paraId="598B0FAB">
      <w:pPr>
        <w:rPr>
          <w:rFonts w:eastAsia="仿宋"/>
          <w:b/>
          <w:color w:val="auto"/>
          <w:sz w:val="24"/>
          <w:highlight w:val="none"/>
        </w:rPr>
      </w:pPr>
    </w:p>
    <w:p w14:paraId="21D0B2DC">
      <w:pPr>
        <w:spacing w:line="460" w:lineRule="exact"/>
        <w:ind w:left="690"/>
        <w:rPr>
          <w:rFonts w:eastAsia="仿宋"/>
          <w:color w:val="auto"/>
          <w:sz w:val="24"/>
          <w:highlight w:val="none"/>
        </w:rPr>
      </w:pPr>
      <w:bookmarkStart w:id="314" w:name="_Toc400631669"/>
      <w:bookmarkStart w:id="315" w:name="_Toc399344508"/>
      <w:bookmarkStart w:id="316" w:name="_Toc399344135"/>
      <w:bookmarkStart w:id="317" w:name="_Toc495403968"/>
      <w:r>
        <w:rPr>
          <w:rFonts w:eastAsia="仿宋"/>
          <w:color w:val="auto"/>
          <w:sz w:val="24"/>
          <w:highlight w:val="none"/>
        </w:rPr>
        <w:t>投标人名称： （加盖公章）</w:t>
      </w:r>
    </w:p>
    <w:p w14:paraId="0B0508EF">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14:paraId="1984C5A3">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14:paraId="79A42D8C">
      <w:pPr>
        <w:rPr>
          <w:rFonts w:eastAsia="仿宋"/>
          <w:b/>
          <w:color w:val="auto"/>
          <w:sz w:val="24"/>
          <w:highlight w:val="none"/>
        </w:rPr>
      </w:pPr>
      <w:r>
        <w:rPr>
          <w:rFonts w:eastAsia="仿宋"/>
          <w:b/>
          <w:color w:val="auto"/>
          <w:sz w:val="24"/>
          <w:highlight w:val="none"/>
        </w:rPr>
        <w:br w:type="page"/>
      </w:r>
      <w:bookmarkEnd w:id="314"/>
      <w:bookmarkEnd w:id="315"/>
      <w:bookmarkEnd w:id="316"/>
      <w:bookmarkEnd w:id="317"/>
      <w:bookmarkStart w:id="318" w:name="_Toc495403969"/>
      <w:bookmarkStart w:id="319" w:name="_Toc400631670"/>
      <w:bookmarkStart w:id="320" w:name="_Toc399344509"/>
      <w:bookmarkStart w:id="321" w:name="_Toc399344136"/>
      <w:r>
        <w:rPr>
          <w:rFonts w:eastAsia="仿宋"/>
          <w:b/>
          <w:color w:val="auto"/>
          <w:sz w:val="24"/>
          <w:highlight w:val="none"/>
        </w:rPr>
        <w:t>（</w:t>
      </w:r>
      <w:r>
        <w:rPr>
          <w:rFonts w:hint="eastAsia" w:eastAsia="仿宋"/>
          <w:b/>
          <w:color w:val="auto"/>
          <w:sz w:val="24"/>
          <w:highlight w:val="none"/>
          <w:lang w:val="en-US" w:eastAsia="zh-CN"/>
        </w:rPr>
        <w:t>3</w:t>
      </w:r>
      <w:r>
        <w:rPr>
          <w:rFonts w:eastAsia="仿宋"/>
          <w:b/>
          <w:color w:val="auto"/>
          <w:sz w:val="24"/>
          <w:highlight w:val="none"/>
        </w:rPr>
        <w:t>）属于中小企业的有效证明材料</w:t>
      </w:r>
      <w:bookmarkEnd w:id="318"/>
    </w:p>
    <w:bookmarkEnd w:id="319"/>
    <w:bookmarkEnd w:id="320"/>
    <w:bookmarkEnd w:id="321"/>
    <w:p w14:paraId="5C5C8779">
      <w:pPr>
        <w:rPr>
          <w:rFonts w:eastAsia="仿宋"/>
          <w:color w:val="auto"/>
          <w:highlight w:val="none"/>
        </w:rPr>
      </w:pPr>
    </w:p>
    <w:p w14:paraId="5F689A42">
      <w:pPr>
        <w:jc w:val="center"/>
        <w:rPr>
          <w:rFonts w:eastAsia="仿宋"/>
          <w:b/>
          <w:color w:val="auto"/>
          <w:sz w:val="24"/>
          <w:highlight w:val="none"/>
        </w:rPr>
      </w:pPr>
      <w:bookmarkStart w:id="322" w:name="_Toc495162090"/>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-1</w:t>
      </w:r>
      <w:r>
        <w:rPr>
          <w:rFonts w:hint="eastAsia" w:eastAsia="仿宋"/>
          <w:b/>
          <w:color w:val="auto"/>
          <w:sz w:val="24"/>
          <w:highlight w:val="none"/>
          <w:lang w:eastAsia="zh-CN"/>
        </w:rPr>
        <w:t>）</w:t>
      </w:r>
      <w:r>
        <w:rPr>
          <w:rFonts w:eastAsia="仿宋"/>
          <w:b/>
          <w:color w:val="auto"/>
          <w:sz w:val="24"/>
          <w:highlight w:val="none"/>
        </w:rPr>
        <w:t>中小企业声明函</w:t>
      </w:r>
      <w:bookmarkEnd w:id="322"/>
    </w:p>
    <w:p w14:paraId="0D945039">
      <w:pPr>
        <w:rPr>
          <w:rFonts w:eastAsia="仿宋"/>
          <w:b/>
          <w:color w:val="auto"/>
          <w:sz w:val="24"/>
          <w:highlight w:val="none"/>
        </w:rPr>
      </w:pPr>
    </w:p>
    <w:p w14:paraId="2978A880">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本公司郑重声明，根据《政府采购促进中小企业发展管理办法》（财库[2020]46号）的规定，本公司为参加</w:t>
      </w:r>
      <w:r>
        <w:rPr>
          <w:rFonts w:eastAsia="仿宋"/>
          <w:color w:val="auto"/>
          <w:spacing w:val="6"/>
          <w:sz w:val="24"/>
          <w:highlight w:val="none"/>
          <w:u w:val="single"/>
        </w:rPr>
        <w:t>（单位名称）</w:t>
      </w:r>
      <w:r>
        <w:rPr>
          <w:rFonts w:eastAsia="仿宋"/>
          <w:color w:val="auto"/>
          <w:spacing w:val="6"/>
          <w:sz w:val="24"/>
          <w:highlight w:val="none"/>
        </w:rPr>
        <w:t>的</w:t>
      </w:r>
      <w:r>
        <w:rPr>
          <w:rFonts w:eastAsia="仿宋"/>
          <w:color w:val="auto"/>
          <w:spacing w:val="6"/>
          <w:sz w:val="24"/>
          <w:highlight w:val="none"/>
          <w:u w:val="single"/>
        </w:rPr>
        <w:t>（项目名称）</w:t>
      </w:r>
      <w:r>
        <w:rPr>
          <w:rFonts w:eastAsia="仿宋"/>
          <w:color w:val="auto"/>
          <w:spacing w:val="6"/>
          <w:sz w:val="24"/>
          <w:highlight w:val="none"/>
        </w:rPr>
        <w:t>采购活动，提供的货物全部由符合政策要求的中小企业制造。相关企业的具体情况如下：</w:t>
      </w:r>
    </w:p>
    <w:p w14:paraId="24E43C34">
      <w:pPr>
        <w:spacing w:line="588" w:lineRule="exact"/>
        <w:ind w:firstLine="504" w:firstLineChars="200"/>
        <w:rPr>
          <w:rFonts w:eastAsia="仿宋"/>
          <w:color w:val="auto"/>
          <w:spacing w:val="6"/>
          <w:sz w:val="24"/>
          <w:highlight w:val="none"/>
        </w:rPr>
      </w:pPr>
      <w:r>
        <w:rPr>
          <w:rFonts w:eastAsia="仿宋"/>
          <w:color w:val="auto"/>
          <w:spacing w:val="6"/>
          <w:sz w:val="24"/>
          <w:highlight w:val="none"/>
        </w:rPr>
        <w:t>1.</w:t>
      </w:r>
      <w:r>
        <w:rPr>
          <w:rFonts w:eastAsia="仿宋"/>
          <w:color w:val="auto"/>
          <w:spacing w:val="6"/>
          <w:sz w:val="24"/>
          <w:highlight w:val="none"/>
          <w:u w:val="single"/>
        </w:rPr>
        <w:t>（标的名称）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14:paraId="2F6C9097">
      <w:pPr>
        <w:spacing w:line="588" w:lineRule="exact"/>
        <w:ind w:firstLine="504" w:firstLineChars="200"/>
        <w:rPr>
          <w:rFonts w:eastAsia="仿宋"/>
          <w:color w:val="auto"/>
          <w:spacing w:val="6"/>
          <w:sz w:val="24"/>
          <w:highlight w:val="none"/>
        </w:rPr>
      </w:pPr>
      <w:r>
        <w:rPr>
          <w:rFonts w:eastAsia="仿宋"/>
          <w:color w:val="auto"/>
          <w:spacing w:val="6"/>
          <w:sz w:val="24"/>
          <w:highlight w:val="none"/>
        </w:rPr>
        <w:t>2.</w:t>
      </w:r>
      <w:r>
        <w:rPr>
          <w:rFonts w:eastAsia="仿宋"/>
          <w:color w:val="auto"/>
          <w:spacing w:val="6"/>
          <w:sz w:val="24"/>
          <w:highlight w:val="none"/>
          <w:u w:val="single"/>
        </w:rPr>
        <w:t xml:space="preserve"> （标的名称）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14:paraId="42388027">
      <w:pPr>
        <w:spacing w:line="588" w:lineRule="exact"/>
        <w:ind w:firstLine="504" w:firstLineChars="200"/>
        <w:rPr>
          <w:rFonts w:eastAsia="仿宋"/>
          <w:color w:val="auto"/>
          <w:spacing w:val="6"/>
          <w:sz w:val="24"/>
          <w:highlight w:val="none"/>
        </w:rPr>
      </w:pPr>
    </w:p>
    <w:p w14:paraId="4ADCEB9F">
      <w:pPr>
        <w:spacing w:line="588" w:lineRule="exact"/>
        <w:ind w:firstLine="504" w:firstLineChars="200"/>
        <w:rPr>
          <w:rFonts w:eastAsia="仿宋"/>
          <w:color w:val="auto"/>
          <w:spacing w:val="6"/>
          <w:sz w:val="24"/>
          <w:highlight w:val="none"/>
        </w:rPr>
      </w:pPr>
      <w:r>
        <w:rPr>
          <w:rFonts w:eastAsia="仿宋"/>
          <w:color w:val="auto"/>
          <w:spacing w:val="6"/>
          <w:sz w:val="24"/>
          <w:highlight w:val="none"/>
        </w:rPr>
        <w:t>……</w:t>
      </w:r>
    </w:p>
    <w:p w14:paraId="08EE059F">
      <w:pPr>
        <w:spacing w:line="588" w:lineRule="exact"/>
        <w:ind w:firstLine="504" w:firstLineChars="200"/>
        <w:rPr>
          <w:rFonts w:eastAsia="仿宋"/>
          <w:color w:val="auto"/>
          <w:spacing w:val="6"/>
          <w:sz w:val="24"/>
          <w:highlight w:val="none"/>
        </w:rPr>
      </w:pPr>
    </w:p>
    <w:p w14:paraId="68D9627D">
      <w:pPr>
        <w:spacing w:line="588" w:lineRule="exact"/>
        <w:ind w:firstLine="504" w:firstLineChars="200"/>
        <w:rPr>
          <w:rFonts w:eastAsia="仿宋"/>
          <w:color w:val="auto"/>
          <w:spacing w:val="6"/>
          <w:sz w:val="24"/>
          <w:highlight w:val="none"/>
        </w:rPr>
      </w:pPr>
      <w:r>
        <w:rPr>
          <w:rFonts w:eastAsia="仿宋"/>
          <w:color w:val="auto"/>
          <w:spacing w:val="6"/>
          <w:sz w:val="24"/>
          <w:highlight w:val="none"/>
        </w:rPr>
        <w:t>以上企业，不属于大企业的分支机构，不存在控股股东为大企业的情形，也不存在与大企业的负责人为同一人的情形。</w:t>
      </w:r>
    </w:p>
    <w:p w14:paraId="75283270">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本企业对上述声明内容的真实性负责。如有虚假，将依法承担相应责任。</w:t>
      </w:r>
    </w:p>
    <w:p w14:paraId="61722442">
      <w:pPr>
        <w:spacing w:line="588" w:lineRule="exact"/>
        <w:ind w:firstLine="504" w:firstLineChars="200"/>
        <w:rPr>
          <w:rFonts w:eastAsia="仿宋"/>
          <w:color w:val="auto"/>
          <w:spacing w:val="6"/>
          <w:sz w:val="24"/>
          <w:highlight w:val="none"/>
        </w:rPr>
      </w:pPr>
    </w:p>
    <w:p w14:paraId="0B645A2A">
      <w:pPr>
        <w:spacing w:line="588" w:lineRule="exact"/>
        <w:ind w:firstLine="4961" w:firstLineChars="1969"/>
        <w:rPr>
          <w:rFonts w:eastAsia="仿宋"/>
          <w:color w:val="auto"/>
          <w:spacing w:val="6"/>
          <w:sz w:val="24"/>
          <w:highlight w:val="none"/>
        </w:rPr>
      </w:pPr>
      <w:r>
        <w:rPr>
          <w:rFonts w:eastAsia="仿宋"/>
          <w:color w:val="auto"/>
          <w:spacing w:val="6"/>
          <w:sz w:val="24"/>
          <w:highlight w:val="none"/>
        </w:rPr>
        <w:t>企业名称（盖章）：</w:t>
      </w:r>
    </w:p>
    <w:p w14:paraId="18790C72">
      <w:pPr>
        <w:ind w:firstLine="4965" w:firstLineChars="2069"/>
        <w:rPr>
          <w:rFonts w:eastAsia="仿宋"/>
          <w:color w:val="auto"/>
          <w:kern w:val="0"/>
          <w:sz w:val="24"/>
          <w:highlight w:val="none"/>
        </w:rPr>
      </w:pPr>
      <w:r>
        <w:rPr>
          <w:rFonts w:eastAsia="仿宋"/>
          <w:color w:val="auto"/>
          <w:kern w:val="0"/>
          <w:sz w:val="24"/>
          <w:highlight w:val="none"/>
        </w:rPr>
        <w:t>日     期：</w:t>
      </w:r>
    </w:p>
    <w:p w14:paraId="10261D4F">
      <w:pPr>
        <w:rPr>
          <w:rFonts w:eastAsia="仿宋"/>
          <w:color w:val="auto"/>
          <w:kern w:val="0"/>
          <w:sz w:val="24"/>
          <w:highlight w:val="none"/>
        </w:rPr>
      </w:pPr>
      <w:bookmarkStart w:id="323" w:name="_Toc495162091"/>
      <w:bookmarkStart w:id="324" w:name="OLE_LINK14"/>
      <w:bookmarkStart w:id="325" w:name="OLE_LINK13"/>
    </w:p>
    <w:p w14:paraId="3194B9A6">
      <w:pPr>
        <w:rPr>
          <w:rFonts w:eastAsia="仿宋"/>
          <w:color w:val="auto"/>
          <w:kern w:val="0"/>
          <w:sz w:val="24"/>
          <w:highlight w:val="none"/>
        </w:rPr>
      </w:pPr>
    </w:p>
    <w:p w14:paraId="3035CBDB">
      <w:pPr>
        <w:pStyle w:val="38"/>
        <w:spacing w:before="0" w:beforeAutospacing="0" w:after="0" w:afterAutospacing="0" w:line="360" w:lineRule="exact"/>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注：以上从业人员、营业收入、资产总额填报上一年度数据，无上一年度数据的新成立企业可不填报。</w:t>
      </w:r>
      <w:r>
        <w:rPr>
          <w:rFonts w:ascii="Times New Roman" w:hAnsi="Times New Roman" w:eastAsia="仿宋" w:cs="Times New Roman"/>
          <w:color w:val="auto"/>
          <w:highlight w:val="none"/>
        </w:rPr>
        <w:br w:type="page"/>
      </w:r>
      <w:r>
        <w:rPr>
          <w:rFonts w:ascii="Times New Roman" w:hAnsi="Times New Roman" w:eastAsia="仿宋" w:cs="Times New Roman"/>
          <w:color w:val="auto"/>
          <w:highlight w:val="none"/>
        </w:rPr>
        <w:t xml:space="preserve">附表：  </w:t>
      </w:r>
    </w:p>
    <w:p w14:paraId="38906DEC">
      <w:pPr>
        <w:pStyle w:val="38"/>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中小企业划型标准规定</w:t>
      </w:r>
    </w:p>
    <w:p w14:paraId="167E978C">
      <w:pPr>
        <w:pStyle w:val="38"/>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w:t>
      </w:r>
      <w:r>
        <w:rPr>
          <w:rFonts w:ascii="Times New Roman" w:hAnsi="Times New Roman" w:eastAsia="仿宋" w:cs="Times New Roman"/>
          <w:color w:val="auto"/>
          <w:highlight w:val="none"/>
        </w:rPr>
        <w:t>工信部联企业〔2011〕300号</w:t>
      </w:r>
      <w:r>
        <w:rPr>
          <w:rFonts w:ascii="Times New Roman" w:hAnsi="Times New Roman" w:eastAsia="仿宋" w:cs="Times New Roman"/>
          <w:b/>
          <w:bCs/>
          <w:color w:val="auto"/>
          <w:highlight w:val="none"/>
        </w:rPr>
        <w:t>）</w:t>
      </w:r>
    </w:p>
    <w:p w14:paraId="7E1861B5">
      <w:pPr>
        <w:pStyle w:val="38"/>
        <w:spacing w:before="0" w:beforeAutospacing="0" w:after="0" w:afterAutospacing="0" w:line="360" w:lineRule="exact"/>
        <w:jc w:val="right"/>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---（摘要）</w:t>
      </w:r>
    </w:p>
    <w:p w14:paraId="65CFB69A">
      <w:pPr>
        <w:pStyle w:val="38"/>
        <w:spacing w:before="0" w:beforeAutospacing="0" w:after="0" w:afterAutospacing="0" w:line="340" w:lineRule="exact"/>
        <w:rPr>
          <w:rFonts w:ascii="Times New Roman" w:hAnsi="Times New Roman" w:eastAsia="仿宋" w:cs="Times New Roman"/>
          <w:color w:val="auto"/>
          <w:highlight w:val="none"/>
        </w:rPr>
      </w:pPr>
      <w:r>
        <w:rPr>
          <w:rFonts w:ascii="Times New Roman" w:hAnsi="Times New Roman" w:eastAsia="仿宋" w:cs="Times New Roman"/>
          <w:color w:val="auto"/>
          <w:highlight w:val="none"/>
        </w:rPr>
        <w:t>一、本规定适用的行业包括：</w:t>
      </w:r>
    </w:p>
    <w:p w14:paraId="35B6C1E7">
      <w:pPr>
        <w:spacing w:line="340" w:lineRule="exact"/>
        <w:jc w:val="left"/>
        <w:rPr>
          <w:rFonts w:hint="eastAsia" w:eastAsia="仿宋"/>
          <w:color w:val="auto"/>
          <w:sz w:val="24"/>
          <w:highlight w:val="none"/>
          <w:lang w:eastAsia="zh-CN"/>
        </w:rPr>
      </w:pPr>
      <w:r>
        <w:rPr>
          <w:rFonts w:eastAsia="仿宋"/>
          <w:color w:val="auto"/>
          <w:sz w:val="24"/>
          <w:highlight w:val="none"/>
        </w:rPr>
        <w:t>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599C487">
      <w:pPr>
        <w:spacing w:line="340" w:lineRule="exact"/>
        <w:jc w:val="left"/>
        <w:rPr>
          <w:rFonts w:hint="eastAsia" w:eastAsia="仿宋"/>
          <w:color w:val="auto"/>
          <w:sz w:val="24"/>
          <w:highlight w:val="none"/>
          <w:lang w:eastAsia="zh-CN"/>
        </w:rPr>
      </w:pPr>
      <w:r>
        <w:rPr>
          <w:rFonts w:eastAsia="仿宋"/>
          <w:color w:val="auto"/>
          <w:sz w:val="24"/>
          <w:highlight w:val="none"/>
        </w:rPr>
        <w:t>二、各行业划型标准为：</w:t>
      </w:r>
    </w:p>
    <w:p w14:paraId="77052B97">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（一）农、林、牧、渔业。</w:t>
      </w:r>
      <w:r>
        <w:rPr>
          <w:rFonts w:eastAsia="仿宋"/>
          <w:color w:val="auto"/>
          <w:sz w:val="24"/>
          <w:highlight w:val="none"/>
        </w:rPr>
        <w:t>营业收入20000万元以下的为中小微型企业。其中，营业收入500万元及以上的为中型企业，营业收入50万元及以上的为小型企业，营业收入50万元以下的为微型企业。</w:t>
      </w:r>
    </w:p>
    <w:p w14:paraId="4E6D234D">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（二）工业。</w:t>
      </w:r>
      <w:r>
        <w:rPr>
          <w:rFonts w:eastAsia="仿宋"/>
          <w:color w:val="auto"/>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31B5C4">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（三）建筑业。</w:t>
      </w:r>
      <w:r>
        <w:rPr>
          <w:rFonts w:eastAsia="仿宋"/>
          <w:color w:val="auto"/>
          <w:sz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06488DC">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（四）批发业。</w:t>
      </w:r>
      <w:r>
        <w:rPr>
          <w:rFonts w:eastAsia="仿宋"/>
          <w:color w:val="auto"/>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8AEB78">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（五）零售业。</w:t>
      </w:r>
      <w:r>
        <w:rPr>
          <w:rFonts w:eastAsia="仿宋"/>
          <w:color w:val="auto"/>
          <w:sz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5F8235D">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（六）交通运输业。</w:t>
      </w:r>
      <w:r>
        <w:rPr>
          <w:rFonts w:eastAsia="仿宋"/>
          <w:color w:val="auto"/>
          <w:sz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2884996">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（七）仓储业。</w:t>
      </w:r>
      <w:r>
        <w:rPr>
          <w:rFonts w:eastAsia="仿宋"/>
          <w:color w:val="auto"/>
          <w:sz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03197E9">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（八）邮政业。</w:t>
      </w:r>
      <w:r>
        <w:rPr>
          <w:rFonts w:eastAsia="仿宋"/>
          <w:color w:val="auto"/>
          <w:sz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A733B20">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（九）住宿业。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19C6F">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（十）餐饮业。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9719676">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（十一）信息传输业。</w:t>
      </w:r>
      <w:r>
        <w:rPr>
          <w:rFonts w:eastAsia="仿宋"/>
          <w:color w:val="auto"/>
          <w:sz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2D7978B">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（十二）软件和信息技术服务业。</w:t>
      </w:r>
      <w:r>
        <w:rPr>
          <w:rFonts w:eastAsia="仿宋"/>
          <w:color w:val="auto"/>
          <w:sz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37BE48">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（十三）房地产开发经营。</w:t>
      </w:r>
      <w:r>
        <w:rPr>
          <w:rFonts w:eastAsia="仿宋"/>
          <w:color w:val="auto"/>
          <w:sz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A418240">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（十四）物业管理。</w:t>
      </w:r>
      <w:r>
        <w:rPr>
          <w:rFonts w:eastAsia="仿宋"/>
          <w:color w:val="auto"/>
          <w:sz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9A34621">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（十五）租赁和商务服务业。</w:t>
      </w:r>
      <w:r>
        <w:rPr>
          <w:rFonts w:eastAsia="仿宋"/>
          <w:color w:val="auto"/>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F470A9">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（十六）其他未列明行业。</w:t>
      </w:r>
      <w:r>
        <w:rPr>
          <w:rFonts w:eastAsia="仿宋"/>
          <w:color w:val="auto"/>
          <w:sz w:val="24"/>
          <w:highlight w:val="none"/>
        </w:rPr>
        <w:t>从业人员300人以下的为中小微型企业。其中，从业人员100人及以上的为中型企业；从业人员10人及以上的为小型企业；从业人员10人以下的为微型企业。</w:t>
      </w:r>
    </w:p>
    <w:p w14:paraId="43F54D74">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三、本规定适用于在中华人民共和国境内依法设立的各类所有制和各种组织形式的企业。个体工商户和本规定以外的行业，参照本规定进行划型。</w:t>
      </w:r>
    </w:p>
    <w:p w14:paraId="1A30DBBC">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四、本规定的中型企业标准上限即为大型企业标准的下限，国家统计部门据此制定大中小微型企业的统计分类。国务院有关部门据此进行相关数据分析，不得制定与本规定不一致的企业划型标准。</w:t>
      </w:r>
    </w:p>
    <w:p w14:paraId="2A863B31">
      <w:pPr>
        <w:spacing w:line="340" w:lineRule="exact"/>
        <w:jc w:val="left"/>
        <w:rPr>
          <w:rFonts w:hint="eastAsia" w:eastAsia="仿宋"/>
          <w:color w:val="auto"/>
          <w:sz w:val="24"/>
          <w:highlight w:val="none"/>
          <w:lang w:eastAsia="zh-CN"/>
        </w:rPr>
      </w:pPr>
    </w:p>
    <w:p w14:paraId="4DA20A6C">
      <w:pPr>
        <w:spacing w:line="360" w:lineRule="exact"/>
        <w:jc w:val="left"/>
        <w:rPr>
          <w:rFonts w:eastAsia="仿宋"/>
          <w:color w:val="auto"/>
          <w:sz w:val="30"/>
          <w:szCs w:val="30"/>
          <w:highlight w:val="none"/>
        </w:rPr>
      </w:pPr>
    </w:p>
    <w:p w14:paraId="0A6476D7">
      <w:pPr>
        <w:spacing w:line="360" w:lineRule="exact"/>
        <w:jc w:val="left"/>
        <w:rPr>
          <w:rFonts w:eastAsia="仿宋"/>
          <w:color w:val="auto"/>
          <w:sz w:val="30"/>
          <w:szCs w:val="30"/>
          <w:highlight w:val="none"/>
        </w:rPr>
      </w:pPr>
    </w:p>
    <w:p w14:paraId="4CABD611">
      <w:pPr>
        <w:spacing w:line="360" w:lineRule="exact"/>
        <w:jc w:val="left"/>
        <w:rPr>
          <w:rFonts w:eastAsia="仿宋"/>
          <w:color w:val="auto"/>
          <w:sz w:val="30"/>
          <w:szCs w:val="30"/>
          <w:highlight w:val="none"/>
        </w:rPr>
      </w:pPr>
    </w:p>
    <w:p w14:paraId="5D0CDA59">
      <w:pPr>
        <w:jc w:val="center"/>
        <w:rPr>
          <w:rFonts w:eastAsia="仿宋"/>
          <w:b/>
          <w:color w:val="auto"/>
          <w:sz w:val="24"/>
          <w:highlight w:val="none"/>
        </w:rPr>
      </w:pPr>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-2</w:t>
      </w:r>
      <w:r>
        <w:rPr>
          <w:rFonts w:hint="eastAsia" w:eastAsia="仿宋"/>
          <w:b/>
          <w:color w:val="auto"/>
          <w:sz w:val="24"/>
          <w:highlight w:val="none"/>
          <w:lang w:eastAsia="zh-CN"/>
        </w:rPr>
        <w:t>）</w:t>
      </w:r>
      <w:r>
        <w:rPr>
          <w:rFonts w:eastAsia="仿宋"/>
          <w:b/>
          <w:color w:val="auto"/>
          <w:sz w:val="24"/>
          <w:highlight w:val="none"/>
        </w:rPr>
        <w:t>残疾人福利性单位声明函</w:t>
      </w:r>
      <w:bookmarkEnd w:id="323"/>
    </w:p>
    <w:bookmarkEnd w:id="324"/>
    <w:bookmarkEnd w:id="325"/>
    <w:p w14:paraId="055590B3">
      <w:pPr>
        <w:spacing w:line="588" w:lineRule="exact"/>
        <w:rPr>
          <w:rFonts w:eastAsia="仿宋"/>
          <w:b/>
          <w:color w:val="auto"/>
          <w:spacing w:val="6"/>
          <w:sz w:val="30"/>
          <w:szCs w:val="30"/>
          <w:highlight w:val="none"/>
        </w:rPr>
      </w:pPr>
    </w:p>
    <w:p w14:paraId="453342EC">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7D17D8F5">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本单位对上述声明的真实性负责。如有虚假，将依法承担相应责任。</w:t>
      </w:r>
    </w:p>
    <w:p w14:paraId="67064BAA">
      <w:pPr>
        <w:spacing w:line="588" w:lineRule="exact"/>
        <w:ind w:firstLine="504" w:firstLineChars="200"/>
        <w:rPr>
          <w:rFonts w:eastAsia="仿宋"/>
          <w:color w:val="auto"/>
          <w:spacing w:val="6"/>
          <w:sz w:val="24"/>
          <w:highlight w:val="none"/>
        </w:rPr>
      </w:pPr>
    </w:p>
    <w:p w14:paraId="43D7B2BB">
      <w:pPr>
        <w:spacing w:line="588" w:lineRule="exact"/>
        <w:ind w:firstLine="504" w:firstLineChars="200"/>
        <w:rPr>
          <w:rFonts w:eastAsia="仿宋"/>
          <w:color w:val="auto"/>
          <w:spacing w:val="6"/>
          <w:sz w:val="24"/>
          <w:highlight w:val="none"/>
        </w:rPr>
      </w:pPr>
    </w:p>
    <w:p w14:paraId="25477D14">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单位名称（盖章）：</w:t>
      </w:r>
    </w:p>
    <w:p w14:paraId="71C79F6A">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日  期：</w:t>
      </w:r>
    </w:p>
    <w:p w14:paraId="3CAF99E1">
      <w:pPr>
        <w:tabs>
          <w:tab w:val="left" w:pos="4860"/>
        </w:tabs>
        <w:spacing w:line="588" w:lineRule="exact"/>
        <w:ind w:right="1560" w:firstLine="504" w:firstLineChars="200"/>
        <w:jc w:val="right"/>
        <w:rPr>
          <w:rFonts w:eastAsia="仿宋"/>
          <w:color w:val="auto"/>
          <w:spacing w:val="6"/>
          <w:sz w:val="24"/>
          <w:highlight w:val="none"/>
        </w:rPr>
      </w:pPr>
    </w:p>
    <w:p w14:paraId="76108626">
      <w:pPr>
        <w:jc w:val="center"/>
        <w:rPr>
          <w:rFonts w:eastAsia="仿宋"/>
          <w:b/>
          <w:color w:val="auto"/>
          <w:sz w:val="24"/>
          <w:highlight w:val="none"/>
        </w:rPr>
      </w:pPr>
      <w:bookmarkStart w:id="326" w:name="_Toc495162092"/>
      <w:r>
        <w:rPr>
          <w:rFonts w:eastAsia="仿宋"/>
          <w:color w:val="auto"/>
          <w:sz w:val="24"/>
          <w:highlight w:val="none"/>
        </w:rPr>
        <w:br w:type="page"/>
      </w:r>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-3</w:t>
      </w:r>
      <w:r>
        <w:rPr>
          <w:rFonts w:hint="eastAsia" w:eastAsia="仿宋"/>
          <w:b/>
          <w:color w:val="auto"/>
          <w:sz w:val="24"/>
          <w:highlight w:val="none"/>
          <w:lang w:eastAsia="zh-CN"/>
        </w:rPr>
        <w:t>）</w:t>
      </w:r>
      <w:r>
        <w:rPr>
          <w:rFonts w:eastAsia="仿宋"/>
          <w:b/>
          <w:color w:val="auto"/>
          <w:sz w:val="24"/>
          <w:highlight w:val="none"/>
        </w:rPr>
        <w:t>属于监狱企业的证明文件</w:t>
      </w:r>
      <w:bookmarkEnd w:id="326"/>
    </w:p>
    <w:p w14:paraId="7B5ADCBC">
      <w:pPr>
        <w:pStyle w:val="43"/>
        <w:spacing w:after="0"/>
        <w:rPr>
          <w:rFonts w:ascii="仿宋" w:hAnsi="仿宋" w:eastAsia="仿宋"/>
          <w:b/>
          <w:color w:val="auto"/>
          <w:sz w:val="24"/>
          <w:highlight w:val="none"/>
        </w:rPr>
      </w:pPr>
    </w:p>
    <w:p w14:paraId="36038081">
      <w:pPr>
        <w:pStyle w:val="43"/>
        <w:spacing w:after="0"/>
        <w:rPr>
          <w:rFonts w:ascii="仿宋" w:hAnsi="仿宋" w:eastAsia="仿宋"/>
          <w:b w:val="0"/>
          <w:bCs/>
          <w:color w:val="auto"/>
          <w:sz w:val="24"/>
          <w:highlight w:val="none"/>
        </w:rPr>
      </w:pPr>
      <w:r>
        <w:rPr>
          <w:rFonts w:hint="eastAsia" w:ascii="仿宋" w:hAnsi="仿宋" w:eastAsia="仿宋"/>
          <w:b w:val="0"/>
          <w:bCs/>
          <w:color w:val="auto"/>
          <w:sz w:val="24"/>
          <w:highlight w:val="none"/>
        </w:rPr>
        <w:t>注：监狱企业参加政府采购活动时，应当提供由省级以上监狱管理局、戒毒管理局（含 新疆生产建设兵团）出具的属于监狱企业的证明文件。</w:t>
      </w:r>
    </w:p>
    <w:p w14:paraId="33497CC7">
      <w:pPr>
        <w:pStyle w:val="43"/>
        <w:spacing w:after="0"/>
        <w:rPr>
          <w:rFonts w:ascii="仿宋" w:hAnsi="仿宋" w:eastAsia="仿宋"/>
          <w:b/>
          <w:color w:val="auto"/>
          <w:sz w:val="24"/>
          <w:highlight w:val="none"/>
        </w:rPr>
      </w:pPr>
    </w:p>
    <w:p w14:paraId="77099DC0">
      <w:pPr>
        <w:pStyle w:val="43"/>
        <w:ind w:firstLine="482"/>
        <w:rPr>
          <w:rFonts w:eastAsia="仿宋"/>
          <w:b/>
          <w:color w:val="auto"/>
          <w:sz w:val="24"/>
          <w:highlight w:val="none"/>
        </w:rPr>
      </w:pPr>
    </w:p>
    <w:p w14:paraId="3DE3A0D2">
      <w:pPr>
        <w:pStyle w:val="43"/>
        <w:ind w:firstLine="482"/>
        <w:rPr>
          <w:rFonts w:eastAsia="仿宋"/>
          <w:b/>
          <w:color w:val="auto"/>
          <w:sz w:val="24"/>
          <w:highlight w:val="none"/>
        </w:rPr>
      </w:pPr>
    </w:p>
    <w:p w14:paraId="53CDAB81">
      <w:pPr>
        <w:jc w:val="center"/>
        <w:rPr>
          <w:rFonts w:eastAsia="仿宋"/>
          <w:color w:val="auto"/>
          <w:sz w:val="24"/>
          <w:highlight w:val="none"/>
        </w:rPr>
      </w:pPr>
      <w:bookmarkStart w:id="327" w:name="_Toc495162093"/>
    </w:p>
    <w:p w14:paraId="734A7B74">
      <w:pPr>
        <w:spacing w:line="500" w:lineRule="exact"/>
        <w:jc w:val="center"/>
        <w:rPr>
          <w:rFonts w:eastAsiaTheme="minorEastAsia"/>
          <w:b/>
          <w:color w:val="auto"/>
          <w:highlight w:val="none"/>
        </w:rPr>
      </w:pPr>
      <w:r>
        <w:rPr>
          <w:rFonts w:eastAsia="仿宋"/>
          <w:b/>
          <w:color w:val="auto"/>
          <w:sz w:val="24"/>
          <w:highlight w:val="none"/>
        </w:rPr>
        <w:t xml:space="preserve"> </w:t>
      </w:r>
      <w:r>
        <w:rPr>
          <w:rFonts w:hint="eastAsia" w:eastAsia="仿宋"/>
          <w:b/>
          <w:color w:val="auto"/>
          <w:sz w:val="24"/>
          <w:highlight w:val="none"/>
          <w:lang w:eastAsia="zh-CN"/>
        </w:rPr>
        <w:t>（</w:t>
      </w:r>
      <w:r>
        <w:rPr>
          <w:rFonts w:hint="eastAsia" w:eastAsia="仿宋"/>
          <w:b/>
          <w:color w:val="auto"/>
          <w:sz w:val="24"/>
          <w:highlight w:val="none"/>
          <w:lang w:val="en-US" w:eastAsia="zh-CN"/>
        </w:rPr>
        <w:t>4</w:t>
      </w:r>
      <w:r>
        <w:rPr>
          <w:rFonts w:hint="eastAsia" w:eastAsia="仿宋"/>
          <w:b/>
          <w:color w:val="auto"/>
          <w:sz w:val="24"/>
          <w:highlight w:val="none"/>
          <w:lang w:eastAsia="zh-CN"/>
        </w:rPr>
        <w:t>）</w:t>
      </w:r>
      <w:r>
        <w:rPr>
          <w:rFonts w:eastAsia="仿宋"/>
          <w:b/>
          <w:color w:val="auto"/>
          <w:sz w:val="24"/>
          <w:highlight w:val="none"/>
        </w:rPr>
        <w:t>节能、环保产品证明文件</w:t>
      </w:r>
      <w:bookmarkEnd w:id="327"/>
    </w:p>
    <w:p w14:paraId="1D3FB61A">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选择“节能产品”和“环境标志产品”参与</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的，应当在</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文件中提供由国家确定的认证机构出具的处于有效期之内的节能产品、环境标志产品认证证书，对获得证书的产品实施政府优先采购或强制采购。</w:t>
      </w:r>
    </w:p>
    <w:p w14:paraId="00B8B413">
      <w:pPr>
        <w:widowControl/>
        <w:spacing w:line="440" w:lineRule="exact"/>
        <w:ind w:left="0" w:leftChars="0" w:firstLine="0" w:firstLineChars="0"/>
        <w:jc w:val="both"/>
        <w:rPr>
          <w:rFonts w:hint="eastAsia" w:ascii="仿宋" w:hAnsi="仿宋" w:eastAsia="仿宋" w:cs="仿宋"/>
          <w:color w:val="auto"/>
          <w:kern w:val="2"/>
          <w:sz w:val="24"/>
          <w:szCs w:val="24"/>
          <w:highlight w:val="none"/>
          <w:lang w:val="en-US" w:eastAsia="zh-CN" w:bidi="ar-SA"/>
        </w:rPr>
      </w:pPr>
    </w:p>
    <w:p w14:paraId="2534EE11">
      <w:pPr>
        <w:shd w:val="clear" w:color="auto" w:fill="auto"/>
        <w:spacing w:line="460" w:lineRule="exact"/>
        <w:jc w:val="lef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政府强制采购产品要求：</w:t>
      </w:r>
    </w:p>
    <w:p w14:paraId="4B356453">
      <w:pPr>
        <w:shd w:val="clear" w:color="auto" w:fill="auto"/>
        <w:spacing w:line="460" w:lineRule="exact"/>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rPr>
        <w:t>如本项目中涉及《节能产品政府采购品目清单》中规定的属实行政府强制采购产品的无论</w:t>
      </w:r>
      <w:r>
        <w:rPr>
          <w:rFonts w:hint="eastAsia" w:ascii="仿宋" w:hAnsi="仿宋" w:eastAsia="仿宋" w:cs="仿宋"/>
          <w:i w:val="0"/>
          <w:iCs w:val="0"/>
          <w:color w:val="auto"/>
          <w:sz w:val="24"/>
          <w:szCs w:val="24"/>
          <w:highlight w:val="none"/>
          <w:lang w:val="en-US" w:eastAsia="zh-CN"/>
        </w:rPr>
        <w:t>招标</w:t>
      </w:r>
      <w:r>
        <w:rPr>
          <w:rFonts w:hint="eastAsia" w:ascii="仿宋" w:hAnsi="仿宋" w:eastAsia="仿宋" w:cs="仿宋"/>
          <w:i w:val="0"/>
          <w:iCs w:val="0"/>
          <w:color w:val="auto"/>
          <w:sz w:val="24"/>
          <w:szCs w:val="24"/>
          <w:highlight w:val="none"/>
        </w:rPr>
        <w:t>文件是否特别指明，</w:t>
      </w:r>
      <w:r>
        <w:rPr>
          <w:rFonts w:hint="eastAsia" w:ascii="仿宋" w:hAnsi="仿宋" w:eastAsia="仿宋" w:cs="仿宋"/>
          <w:i w:val="0"/>
          <w:iCs w:val="0"/>
          <w:color w:val="auto"/>
          <w:sz w:val="24"/>
          <w:szCs w:val="24"/>
          <w:highlight w:val="none"/>
          <w:lang w:val="en-US" w:eastAsia="zh-CN"/>
        </w:rPr>
        <w:t>投标人</w:t>
      </w:r>
      <w:r>
        <w:rPr>
          <w:rFonts w:hint="eastAsia" w:ascii="仿宋" w:hAnsi="仿宋" w:eastAsia="仿宋" w:cs="仿宋"/>
          <w:i w:val="0"/>
          <w:iCs w:val="0"/>
          <w:color w:val="auto"/>
          <w:sz w:val="24"/>
          <w:szCs w:val="24"/>
          <w:highlight w:val="none"/>
        </w:rPr>
        <w:t>均需投报节能产品，须在</w:t>
      </w:r>
      <w:r>
        <w:rPr>
          <w:rFonts w:hint="eastAsia" w:ascii="仿宋" w:hAnsi="仿宋" w:eastAsia="仿宋" w:cs="仿宋"/>
          <w:i w:val="0"/>
          <w:iCs w:val="0"/>
          <w:color w:val="auto"/>
          <w:sz w:val="24"/>
          <w:szCs w:val="24"/>
          <w:highlight w:val="none"/>
          <w:lang w:val="en-US" w:eastAsia="zh-CN"/>
        </w:rPr>
        <w:t>投标</w:t>
      </w:r>
      <w:r>
        <w:rPr>
          <w:rFonts w:hint="eastAsia" w:ascii="仿宋" w:hAnsi="仿宋" w:eastAsia="仿宋" w:cs="仿宋"/>
          <w:i w:val="0"/>
          <w:iCs w:val="0"/>
          <w:color w:val="auto"/>
          <w:sz w:val="24"/>
          <w:szCs w:val="24"/>
          <w:highlight w:val="none"/>
        </w:rPr>
        <w:t>文件中附具有国家确定的认证机构出具的、处于有效期之内的节能产品认证证书，否则将视为</w:t>
      </w:r>
      <w:r>
        <w:rPr>
          <w:rFonts w:hint="eastAsia" w:ascii="仿宋" w:hAnsi="仿宋" w:eastAsia="仿宋" w:cs="仿宋"/>
          <w:i w:val="0"/>
          <w:iCs w:val="0"/>
          <w:color w:val="auto"/>
          <w:sz w:val="24"/>
          <w:szCs w:val="24"/>
          <w:highlight w:val="none"/>
          <w:lang w:val="en-US" w:eastAsia="zh-CN"/>
        </w:rPr>
        <w:t>投标</w:t>
      </w:r>
      <w:r>
        <w:rPr>
          <w:rFonts w:hint="eastAsia" w:ascii="仿宋" w:hAnsi="仿宋" w:eastAsia="仿宋" w:cs="仿宋"/>
          <w:i w:val="0"/>
          <w:iCs w:val="0"/>
          <w:color w:val="auto"/>
          <w:sz w:val="24"/>
          <w:szCs w:val="24"/>
          <w:highlight w:val="none"/>
        </w:rPr>
        <w:t>无效。</w:t>
      </w:r>
    </w:p>
    <w:p w14:paraId="76CC289A">
      <w:pPr>
        <w:bidi w:val="0"/>
        <w:rPr>
          <w:color w:val="auto"/>
          <w:highlight w:val="none"/>
        </w:rPr>
      </w:pPr>
    </w:p>
    <w:p w14:paraId="72A43748">
      <w:pPr>
        <w:pStyle w:val="3"/>
        <w:jc w:val="center"/>
        <w:rPr>
          <w:rFonts w:ascii="Times New Roman" w:eastAsia="仿宋"/>
          <w:color w:val="auto"/>
          <w:szCs w:val="44"/>
          <w:highlight w:val="none"/>
        </w:rPr>
      </w:pPr>
      <w:r>
        <w:rPr>
          <w:rFonts w:ascii="Times New Roman" w:eastAsia="仿宋"/>
          <w:b/>
          <w:color w:val="auto"/>
          <w:sz w:val="40"/>
          <w:highlight w:val="none"/>
        </w:rPr>
        <w:br w:type="page"/>
      </w:r>
      <w:bookmarkStart w:id="328" w:name="_Toc8849"/>
      <w:bookmarkStart w:id="329" w:name="_Toc7016"/>
      <w:bookmarkStart w:id="330" w:name="_Toc9047"/>
      <w:bookmarkStart w:id="331" w:name="_Toc28141"/>
      <w:bookmarkStart w:id="332" w:name="_Toc25980"/>
      <w:bookmarkStart w:id="333" w:name="_Toc16855"/>
      <w:r>
        <w:rPr>
          <w:rFonts w:hint="eastAsia" w:ascii="Times New Roman" w:eastAsia="仿宋"/>
          <w:b/>
          <w:color w:val="auto"/>
          <w:sz w:val="40"/>
          <w:highlight w:val="none"/>
        </w:rPr>
        <w:t>第五章　货物需求表及采购需求</w:t>
      </w:r>
      <w:bookmarkEnd w:id="328"/>
      <w:bookmarkEnd w:id="329"/>
    </w:p>
    <w:bookmarkEnd w:id="330"/>
    <w:bookmarkEnd w:id="331"/>
    <w:bookmarkEnd w:id="332"/>
    <w:bookmarkEnd w:id="333"/>
    <w:p w14:paraId="2F2F9454">
      <w:pPr>
        <w:rPr>
          <w:color w:val="auto"/>
          <w:highlight w:val="none"/>
        </w:rPr>
      </w:pPr>
    </w:p>
    <w:p w14:paraId="3699F165">
      <w:pPr>
        <w:pStyle w:val="2"/>
        <w:jc w:val="center"/>
        <w:rPr>
          <w:rFonts w:ascii="Times New Roman" w:hAnsi="Times New Roman" w:eastAsia="仿宋"/>
          <w:color w:val="auto"/>
          <w:highlight w:val="none"/>
        </w:rPr>
      </w:pPr>
      <w:bookmarkStart w:id="334" w:name="_Toc27443"/>
      <w:bookmarkStart w:id="335" w:name="_Toc26093"/>
      <w:bookmarkStart w:id="336" w:name="_Toc9337"/>
      <w:bookmarkStart w:id="337" w:name="_Toc21052"/>
      <w:bookmarkStart w:id="338" w:name="_Toc5115"/>
      <w:bookmarkStart w:id="339" w:name="_Toc24421"/>
      <w:r>
        <w:rPr>
          <w:rFonts w:ascii="Times New Roman" w:hAnsi="Times New Roman" w:eastAsia="仿宋"/>
          <w:color w:val="auto"/>
          <w:highlight w:val="none"/>
        </w:rPr>
        <w:t>一、货物需求表</w:t>
      </w:r>
      <w:bookmarkEnd w:id="334"/>
      <w:bookmarkEnd w:id="335"/>
      <w:bookmarkEnd w:id="336"/>
      <w:bookmarkEnd w:id="337"/>
      <w:bookmarkEnd w:id="338"/>
      <w:bookmarkEnd w:id="339"/>
    </w:p>
    <w:tbl>
      <w:tblPr>
        <w:tblStyle w:val="44"/>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8"/>
        <w:gridCol w:w="4327"/>
        <w:gridCol w:w="851"/>
        <w:gridCol w:w="992"/>
        <w:gridCol w:w="1996"/>
      </w:tblGrid>
      <w:tr w14:paraId="24591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28" w:type="dxa"/>
            <w:noWrap w:val="0"/>
            <w:vAlign w:val="center"/>
          </w:tcPr>
          <w:p w14:paraId="781326B5">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项目编号</w:t>
            </w:r>
          </w:p>
        </w:tc>
        <w:tc>
          <w:tcPr>
            <w:tcW w:w="8166" w:type="dxa"/>
            <w:gridSpan w:val="4"/>
            <w:noWrap w:val="0"/>
            <w:vAlign w:val="center"/>
          </w:tcPr>
          <w:p w14:paraId="1B814F8F">
            <w:pPr>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HSH2024ZG015</w:t>
            </w:r>
          </w:p>
        </w:tc>
      </w:tr>
      <w:tr w14:paraId="03AD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28" w:type="dxa"/>
            <w:noWrap w:val="0"/>
            <w:vAlign w:val="center"/>
          </w:tcPr>
          <w:p w14:paraId="708E6628">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项目名称</w:t>
            </w:r>
          </w:p>
        </w:tc>
        <w:tc>
          <w:tcPr>
            <w:tcW w:w="8166" w:type="dxa"/>
            <w:gridSpan w:val="4"/>
            <w:noWrap w:val="0"/>
            <w:vAlign w:val="center"/>
          </w:tcPr>
          <w:p w14:paraId="048249BD">
            <w:pPr>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江西省消防救援总队自然灾害应急能力提升工程装备配备项目（车辆类）</w:t>
            </w:r>
          </w:p>
        </w:tc>
      </w:tr>
      <w:tr w14:paraId="4B0C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14:paraId="7908C3F6">
            <w:pPr>
              <w:spacing w:line="460" w:lineRule="exact"/>
              <w:ind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包号</w:t>
            </w:r>
          </w:p>
        </w:tc>
        <w:tc>
          <w:tcPr>
            <w:tcW w:w="4327" w:type="dxa"/>
            <w:noWrap w:val="0"/>
            <w:vAlign w:val="center"/>
          </w:tcPr>
          <w:p w14:paraId="79D471F6">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w:t>
            </w:r>
            <w:r>
              <w:rPr>
                <w:rFonts w:hint="eastAsia" w:ascii="仿宋" w:hAnsi="仿宋" w:eastAsia="仿宋" w:cs="仿宋"/>
                <w:b/>
                <w:color w:val="auto"/>
                <w:sz w:val="24"/>
                <w:szCs w:val="24"/>
                <w:highlight w:val="none"/>
                <w:lang w:val="en-US" w:eastAsia="zh-CN"/>
              </w:rPr>
              <w:t>标的</w:t>
            </w:r>
            <w:r>
              <w:rPr>
                <w:rFonts w:hint="eastAsia" w:ascii="仿宋" w:hAnsi="仿宋" w:eastAsia="仿宋" w:cs="仿宋"/>
                <w:b/>
                <w:color w:val="auto"/>
                <w:sz w:val="24"/>
                <w:szCs w:val="24"/>
                <w:highlight w:val="none"/>
              </w:rPr>
              <w:t>名称</w:t>
            </w:r>
          </w:p>
        </w:tc>
        <w:tc>
          <w:tcPr>
            <w:tcW w:w="851" w:type="dxa"/>
            <w:noWrap w:val="0"/>
            <w:vAlign w:val="center"/>
          </w:tcPr>
          <w:p w14:paraId="2FE089F7">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992" w:type="dxa"/>
            <w:noWrap w:val="0"/>
            <w:vAlign w:val="center"/>
          </w:tcPr>
          <w:p w14:paraId="660ACB14">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1996" w:type="dxa"/>
            <w:noWrap w:val="0"/>
            <w:vAlign w:val="center"/>
          </w:tcPr>
          <w:p w14:paraId="28D60790">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产地类型</w:t>
            </w:r>
          </w:p>
        </w:tc>
      </w:tr>
      <w:tr w14:paraId="2428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14:paraId="2EC1A737">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4327" w:type="dxa"/>
            <w:noWrap w:val="0"/>
            <w:vAlign w:val="center"/>
          </w:tcPr>
          <w:p w14:paraId="434F505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指挥方舱车</w:t>
            </w:r>
          </w:p>
        </w:tc>
        <w:tc>
          <w:tcPr>
            <w:tcW w:w="851" w:type="dxa"/>
            <w:noWrap w:val="0"/>
            <w:vAlign w:val="center"/>
          </w:tcPr>
          <w:p w14:paraId="78876EC7">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14:paraId="28AA8043">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14:paraId="6DD5EE6D">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14:paraId="0A03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14:paraId="24142842">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交货时间</w:t>
            </w:r>
          </w:p>
        </w:tc>
        <w:tc>
          <w:tcPr>
            <w:tcW w:w="8166" w:type="dxa"/>
            <w:gridSpan w:val="4"/>
            <w:noWrap w:val="0"/>
            <w:vAlign w:val="center"/>
          </w:tcPr>
          <w:p w14:paraId="3D9EE8A7">
            <w:pPr>
              <w:spacing w:line="460" w:lineRule="exact"/>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自合同签订生效之日起 </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 个月</w:t>
            </w:r>
            <w:r>
              <w:rPr>
                <w:rFonts w:hint="eastAsia" w:ascii="仿宋" w:hAnsi="仿宋" w:eastAsia="仿宋" w:cs="仿宋"/>
                <w:color w:val="auto"/>
                <w:sz w:val="24"/>
                <w:szCs w:val="24"/>
                <w:highlight w:val="none"/>
              </w:rPr>
              <w:t>内必须将所投产品送到江西省消防救援总队指定地点（以采购人到货签收时间作为交货时间），验收合格后由中标人配送至各消防救援支队或消防救援大队指定地点。</w:t>
            </w:r>
          </w:p>
        </w:tc>
      </w:tr>
      <w:tr w14:paraId="43CE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14:paraId="6832A575">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交货地点</w:t>
            </w:r>
          </w:p>
        </w:tc>
        <w:tc>
          <w:tcPr>
            <w:tcW w:w="8166" w:type="dxa"/>
            <w:gridSpan w:val="4"/>
            <w:noWrap w:val="0"/>
            <w:vAlign w:val="center"/>
          </w:tcPr>
          <w:p w14:paraId="7A4EBF95">
            <w:pPr>
              <w:spacing w:line="460" w:lineRule="exact"/>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江西省消防救援总队指定地点</w:t>
            </w:r>
          </w:p>
        </w:tc>
      </w:tr>
      <w:tr w14:paraId="41CD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14:paraId="33EE9281">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c>
          <w:tcPr>
            <w:tcW w:w="8166" w:type="dxa"/>
            <w:gridSpan w:val="4"/>
            <w:noWrap w:val="0"/>
            <w:vAlign w:val="center"/>
          </w:tcPr>
          <w:p w14:paraId="3674486D">
            <w:pPr>
              <w:spacing w:line="460" w:lineRule="exact"/>
              <w:ind w:firstLine="0" w:firstLineChars="0"/>
              <w:jc w:val="both"/>
              <w:rPr>
                <w:rFonts w:hint="eastAsia" w:ascii="仿宋" w:hAnsi="仿宋" w:eastAsia="仿宋" w:cs="仿宋"/>
                <w:color w:val="auto"/>
                <w:sz w:val="24"/>
                <w:szCs w:val="24"/>
                <w:highlight w:val="none"/>
              </w:rPr>
            </w:pPr>
          </w:p>
        </w:tc>
      </w:tr>
    </w:tbl>
    <w:p w14:paraId="4CE279E3">
      <w:pPr>
        <w:rPr>
          <w:color w:val="auto"/>
          <w:highlight w:val="none"/>
        </w:rPr>
      </w:pPr>
      <w:bookmarkStart w:id="340" w:name="_Toc19437"/>
      <w:bookmarkStart w:id="341" w:name="_Toc27481"/>
      <w:bookmarkStart w:id="342" w:name="_Toc20103"/>
      <w:r>
        <w:rPr>
          <w:color w:val="auto"/>
          <w:highlight w:val="none"/>
        </w:rPr>
        <w:br w:type="page"/>
      </w:r>
    </w:p>
    <w:p w14:paraId="40F9BBD1">
      <w:pPr>
        <w:pStyle w:val="2"/>
        <w:jc w:val="center"/>
        <w:rPr>
          <w:rFonts w:ascii="Times New Roman" w:hAnsi="Times New Roman" w:eastAsiaTheme="minorEastAsia"/>
          <w:color w:val="auto"/>
          <w:sz w:val="24"/>
          <w:szCs w:val="24"/>
          <w:highlight w:val="none"/>
        </w:rPr>
      </w:pPr>
      <w:bookmarkStart w:id="343" w:name="_Toc21607"/>
      <w:bookmarkStart w:id="344" w:name="_Toc9543"/>
      <w:bookmarkStart w:id="345" w:name="_Toc2169"/>
      <w:r>
        <w:rPr>
          <w:rFonts w:ascii="Times New Roman" w:hAnsi="Times New Roman" w:eastAsia="仿宋"/>
          <w:color w:val="auto"/>
          <w:highlight w:val="none"/>
        </w:rPr>
        <w:t>二、采购需求</w:t>
      </w:r>
      <w:bookmarkEnd w:id="340"/>
      <w:bookmarkEnd w:id="341"/>
      <w:bookmarkEnd w:id="342"/>
      <w:bookmarkEnd w:id="343"/>
      <w:bookmarkEnd w:id="344"/>
      <w:bookmarkEnd w:id="345"/>
    </w:p>
    <w:p w14:paraId="17E39DC9">
      <w:pPr>
        <w:pStyle w:val="4"/>
        <w:spacing w:line="240" w:lineRule="auto"/>
        <w:outlineLvl w:val="2"/>
        <w:rPr>
          <w:rFonts w:ascii="Times New Roman" w:eastAsia="仿宋"/>
          <w:b/>
          <w:color w:val="auto"/>
          <w:sz w:val="32"/>
          <w:szCs w:val="32"/>
          <w:highlight w:val="none"/>
        </w:rPr>
      </w:pPr>
      <w:bookmarkStart w:id="346" w:name="_Toc30868"/>
      <w:bookmarkStart w:id="347" w:name="_Toc5562"/>
      <w:bookmarkStart w:id="348" w:name="_Toc7888"/>
      <w:bookmarkStart w:id="349" w:name="_Toc3556"/>
      <w:r>
        <w:rPr>
          <w:rFonts w:ascii="Times New Roman" w:eastAsia="仿宋"/>
          <w:b/>
          <w:bCs/>
          <w:color w:val="auto"/>
          <w:sz w:val="32"/>
          <w:szCs w:val="32"/>
          <w:highlight w:val="none"/>
        </w:rPr>
        <w:t>（一）技术要求</w:t>
      </w:r>
      <w:bookmarkEnd w:id="346"/>
      <w:bookmarkEnd w:id="347"/>
      <w:bookmarkEnd w:id="348"/>
      <w:bookmarkEnd w:id="349"/>
    </w:p>
    <w:p w14:paraId="07C95BEF">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eastAsia="zh-CN"/>
        </w:rPr>
      </w:pPr>
      <w:bookmarkStart w:id="350" w:name="_Toc6218"/>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w:t>
      </w:r>
      <w:bookmarkEnd w:id="350"/>
      <w:r>
        <w:rPr>
          <w:rFonts w:hint="eastAsia" w:ascii="仿宋" w:hAnsi="仿宋" w:eastAsia="仿宋" w:cs="仿宋"/>
          <w:color w:val="auto"/>
          <w:sz w:val="28"/>
          <w:szCs w:val="28"/>
          <w:highlight w:val="none"/>
          <w:lang w:val="en-US" w:eastAsia="zh-CN"/>
        </w:rPr>
        <w:t>指挥方舱车</w:t>
      </w:r>
    </w:p>
    <w:p w14:paraId="430D96C8">
      <w:pPr>
        <w:spacing w:line="480" w:lineRule="exact"/>
        <w:jc w:val="left"/>
        <w:rPr>
          <w:rFonts w:hint="eastAsia" w:ascii="Times New Roman" w:hAnsi="Times New Roman" w:eastAsia="方正仿宋_GBK"/>
          <w:color w:val="auto"/>
          <w:sz w:val="24"/>
          <w:szCs w:val="24"/>
          <w:highlight w:val="none"/>
          <w:lang w:val="en-US" w:eastAsia="zh-CN"/>
        </w:rPr>
      </w:pPr>
      <w:r>
        <w:rPr>
          <w:rFonts w:ascii="Times New Roman" w:hAnsi="Times New Roman" w:eastAsia="方正仿宋_GBK"/>
          <w:color w:val="auto"/>
          <w:sz w:val="24"/>
          <w:szCs w:val="24"/>
          <w:highlight w:val="none"/>
        </w:rPr>
        <w:t>一、货物名称：</w:t>
      </w:r>
      <w:r>
        <w:rPr>
          <w:rFonts w:hint="eastAsia" w:ascii="Times New Roman" w:hAnsi="Times New Roman" w:eastAsia="方正仿宋_GBK"/>
          <w:color w:val="auto"/>
          <w:sz w:val="24"/>
          <w:highlight w:val="none"/>
        </w:rPr>
        <w:t>指挥方舱车</w:t>
      </w:r>
    </w:p>
    <w:p w14:paraId="3610C749">
      <w:pPr>
        <w:spacing w:line="480" w:lineRule="exact"/>
        <w:jc w:val="lef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二、主要规格：国产底盘</w:t>
      </w:r>
    </w:p>
    <w:p w14:paraId="7209BC3C">
      <w:pPr>
        <w:spacing w:line="48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三、数量：1（辆）</w:t>
      </w:r>
    </w:p>
    <w:p w14:paraId="26699B17">
      <w:pPr>
        <w:spacing w:line="480" w:lineRule="exact"/>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四</w:t>
      </w:r>
      <w:r>
        <w:rPr>
          <w:rFonts w:ascii="Times New Roman" w:hAnsi="Times New Roman" w:eastAsia="方正仿宋_GBK"/>
          <w:color w:val="auto"/>
          <w:sz w:val="24"/>
          <w:szCs w:val="24"/>
          <w:highlight w:val="none"/>
        </w:rPr>
        <w:t>、主要技术规格、参数及要求:</w:t>
      </w:r>
    </w:p>
    <w:p w14:paraId="1BDC7474">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ascii="Times New Roman" w:hAnsi="Times New Roman" w:eastAsia="方正仿宋_GBK"/>
          <w:b/>
          <w:bCs/>
          <w:color w:val="auto"/>
          <w:sz w:val="24"/>
          <w:szCs w:val="24"/>
          <w:highlight w:val="none"/>
        </w:rPr>
      </w:pPr>
      <w:r>
        <w:rPr>
          <w:rFonts w:hint="eastAsia" w:ascii="Times New Roman" w:hAnsi="Times New Roman" w:eastAsia="方正仿宋_GBK"/>
          <w:b/>
          <w:bCs/>
          <w:color w:val="auto"/>
          <w:sz w:val="24"/>
          <w:szCs w:val="24"/>
          <w:highlight w:val="none"/>
          <w:lang w:eastAsia="zh-CN"/>
        </w:rPr>
        <w:t>4.</w:t>
      </w:r>
      <w:r>
        <w:rPr>
          <w:rFonts w:ascii="Times New Roman" w:hAnsi="Times New Roman" w:eastAsia="方正仿宋_GBK"/>
          <w:b/>
          <w:bCs/>
          <w:color w:val="auto"/>
          <w:sz w:val="24"/>
          <w:szCs w:val="24"/>
          <w:highlight w:val="none"/>
        </w:rPr>
        <w:t>1</w:t>
      </w:r>
      <w:r>
        <w:rPr>
          <w:rFonts w:hint="eastAsia" w:ascii="Times New Roman" w:hAnsi="Times New Roman" w:eastAsia="方正仿宋_GBK"/>
          <w:b/>
          <w:bCs/>
          <w:color w:val="auto"/>
          <w:sz w:val="24"/>
          <w:szCs w:val="24"/>
          <w:highlight w:val="none"/>
        </w:rPr>
        <w:t>载车模块</w:t>
      </w:r>
    </w:p>
    <w:p w14:paraId="711C033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4.1.1牵引车（1辆）</w:t>
      </w:r>
    </w:p>
    <w:p w14:paraId="4B4E875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4.1.1.1</w:t>
      </w:r>
      <w:r>
        <w:rPr>
          <w:rFonts w:hint="eastAsia" w:ascii="Times New Roman" w:hAnsi="Times New Roman" w:eastAsia="方正仿宋_GBK"/>
          <w:color w:val="auto"/>
          <w:sz w:val="24"/>
          <w:szCs w:val="24"/>
          <w:highlight w:val="none"/>
          <w:lang w:val="en-US" w:eastAsia="zh-CN"/>
        </w:rPr>
        <w:t>牵引汽车；</w:t>
      </w:r>
    </w:p>
    <w:p w14:paraId="170334B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4.1.1.2</w:t>
      </w:r>
      <w:r>
        <w:rPr>
          <w:rFonts w:hint="eastAsia" w:ascii="Times New Roman" w:hAnsi="Times New Roman" w:eastAsia="方正仿宋_GBK"/>
          <w:color w:val="auto"/>
          <w:sz w:val="24"/>
          <w:szCs w:val="24"/>
          <w:highlight w:val="none"/>
          <w:lang w:val="en-US" w:eastAsia="zh-CN"/>
        </w:rPr>
        <w:t>轴距：≥3400mm+1400mm；</w:t>
      </w:r>
    </w:p>
    <w:p w14:paraId="407771A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3尺寸：≥6900mm×2500mm×3900mm；</w:t>
      </w:r>
    </w:p>
    <w:p w14:paraId="19DB96D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4燃料种类：柴油；</w:t>
      </w:r>
    </w:p>
    <w:p w14:paraId="37275CF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5排量：≥10L；</w:t>
      </w:r>
    </w:p>
    <w:p w14:paraId="6DF5DAD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6排放标准：国Ⅵ；</w:t>
      </w:r>
    </w:p>
    <w:p w14:paraId="7CAB3C2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7最大输出功率：≥300kW；</w:t>
      </w:r>
    </w:p>
    <w:p w14:paraId="6A4F22A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4.1.1.</w:t>
      </w:r>
      <w:r>
        <w:rPr>
          <w:rFonts w:hint="eastAsia" w:ascii="Times New Roman" w:hAnsi="Times New Roman" w:eastAsia="方正仿宋_GBK"/>
          <w:color w:val="auto"/>
          <w:sz w:val="24"/>
          <w:szCs w:val="24"/>
          <w:highlight w:val="none"/>
          <w:lang w:val="en-US" w:eastAsia="zh-CN"/>
        </w:rPr>
        <w:t>8牵引重量：≥40t。</w:t>
      </w:r>
    </w:p>
    <w:p w14:paraId="77AFF7C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4.1.2半挂车（1套）</w:t>
      </w:r>
    </w:p>
    <w:p w14:paraId="07A6D55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4.1.2.1  40英尺国际标准集装箱运输半挂车；</w:t>
      </w:r>
    </w:p>
    <w:p w14:paraId="4EF292D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4.1.2.2半挂车集装箱安装面高度≤1300mm；</w:t>
      </w:r>
    </w:p>
    <w:p w14:paraId="4F4A8F3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4.1.2.3配四点车体支腿，单腿支撑承载≥8t。</w:t>
      </w:r>
    </w:p>
    <w:p w14:paraId="373645E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4.1.3车载台（1台）</w:t>
      </w:r>
    </w:p>
    <w:p w14:paraId="3639C5B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4.1.3.1频段：350－400MHz，配置吸盘天线；</w:t>
      </w:r>
    </w:p>
    <w:p w14:paraId="2B5D98B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4.1.3.2信道容量≥1024（常规：模拟/数字）；</w:t>
      </w:r>
    </w:p>
    <w:p w14:paraId="1C429B5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4.1.3.3区域容量≥64（常规：模拟/数字）；</w:t>
      </w:r>
    </w:p>
    <w:p w14:paraId="3C9BA27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4.1.3.4信道间隔12.5kHz/25kHz；</w:t>
      </w:r>
    </w:p>
    <w:p w14:paraId="272EF81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4.1.3.5频率稳定度±0.5ppm；</w:t>
      </w:r>
    </w:p>
    <w:p w14:paraId="1BECE53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4.1.3.6重量：≤1.5kg；</w:t>
      </w:r>
    </w:p>
    <w:p w14:paraId="125BD0B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4.1.3.7主机尺寸：(高*宽*厚)≤65mm*180mm*185mm；</w:t>
      </w:r>
    </w:p>
    <w:p w14:paraId="088829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4.1.3.8显示屏幕：≥1.8英寸；</w:t>
      </w:r>
    </w:p>
    <w:p w14:paraId="55D2B64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4.1.3.9工作温度至少包含－30℃～＋60℃；</w:t>
      </w:r>
    </w:p>
    <w:p w14:paraId="21F0CBD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4.1.3.10仅支持单北斗定位模块。</w:t>
      </w:r>
    </w:p>
    <w:p w14:paraId="3020AEC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4.1.4北斗定位终端（1套）</w:t>
      </w:r>
    </w:p>
    <w:p w14:paraId="13487A1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4.1.4.1</w:t>
      </w:r>
      <w:r>
        <w:rPr>
          <w:rFonts w:hint="eastAsia" w:ascii="Times New Roman" w:hAnsi="Times New Roman" w:eastAsia="方正仿宋_GBK"/>
          <w:color w:val="auto"/>
          <w:sz w:val="24"/>
          <w:szCs w:val="24"/>
          <w:highlight w:val="none"/>
          <w:lang w:val="en-US" w:eastAsia="zh-CN"/>
        </w:rPr>
        <w:t>仅支持单北斗定位模块，可通过APP定位追踪车辆，可接入国家消防救援局现有消防综合定位服务平台，设备含三年流量卡费用。</w:t>
      </w:r>
    </w:p>
    <w:p w14:paraId="1D42129D">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4.1.5行车记录仪（1套）</w:t>
      </w:r>
    </w:p>
    <w:p w14:paraId="6A282F7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4.1.5.1高清行车记录仪，支持360环视；</w:t>
      </w:r>
    </w:p>
    <w:p w14:paraId="2E175C5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val="en-US" w:eastAsia="zh-CN"/>
        </w:rPr>
      </w:pPr>
      <w:r>
        <w:rPr>
          <w:rFonts w:hint="eastAsia" w:eastAsia="方正仿宋_GBK"/>
          <w:color w:val="auto"/>
          <w:sz w:val="24"/>
          <w:szCs w:val="24"/>
          <w:highlight w:val="none"/>
          <w:lang w:val="en-US" w:eastAsia="zh-CN"/>
        </w:rPr>
        <w:t>4.1.5.2配置≥64G内存卡。</w:t>
      </w:r>
    </w:p>
    <w:p w14:paraId="37FDF88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ascii="Times New Roman" w:hAnsi="Times New Roman" w:eastAsia="方正仿宋_GBK"/>
          <w:b/>
          <w:bCs/>
          <w:color w:val="auto"/>
          <w:sz w:val="24"/>
          <w:szCs w:val="24"/>
          <w:highlight w:val="none"/>
        </w:rPr>
      </w:pPr>
      <w:r>
        <w:rPr>
          <w:rFonts w:hint="eastAsia" w:ascii="Times New Roman" w:hAnsi="Times New Roman" w:eastAsia="方正仿宋_GBK"/>
          <w:b/>
          <w:bCs/>
          <w:color w:val="auto"/>
          <w:sz w:val="24"/>
          <w:szCs w:val="24"/>
          <w:highlight w:val="none"/>
          <w:lang w:eastAsia="zh-CN"/>
        </w:rPr>
        <w:t>4.</w:t>
      </w:r>
      <w:r>
        <w:rPr>
          <w:rFonts w:hint="eastAsia" w:ascii="Times New Roman" w:hAnsi="Times New Roman" w:eastAsia="方正仿宋_GBK"/>
          <w:b/>
          <w:bCs/>
          <w:color w:val="auto"/>
          <w:sz w:val="24"/>
          <w:szCs w:val="24"/>
          <w:highlight w:val="none"/>
          <w:lang w:val="en-US" w:eastAsia="zh-CN"/>
        </w:rPr>
        <w:t>2会议系统</w:t>
      </w:r>
    </w:p>
    <w:p w14:paraId="7DD38C2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4.2.1  4K会议摄像机（3台）</w:t>
      </w:r>
    </w:p>
    <w:p w14:paraId="6CA6FCE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4.2.1.1最高支持384</w:t>
      </w:r>
      <w:r>
        <w:rPr>
          <w:rFonts w:hint="eastAsia" w:ascii="仿宋" w:hAnsi="仿宋" w:eastAsia="仿宋" w:cs="仿宋"/>
          <w:color w:val="auto"/>
          <w:sz w:val="24"/>
          <w:szCs w:val="24"/>
          <w:highlight w:val="none"/>
        </w:rPr>
        <w:t>0*2160 60 fps；</w:t>
      </w:r>
    </w:p>
    <w:p w14:paraId="2CF5870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2光学变倍≥12倍光学变焦 ；</w:t>
      </w:r>
    </w:p>
    <w:p w14:paraId="6E405BC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3光圈系数F1.8 ～ F11</w:t>
      </w:r>
      <w:r>
        <w:rPr>
          <w:rFonts w:hint="eastAsia" w:ascii="仿宋" w:hAnsi="仿宋" w:eastAsia="仿宋" w:cs="仿宋"/>
          <w:color w:val="auto"/>
          <w:sz w:val="24"/>
          <w:szCs w:val="24"/>
          <w:highlight w:val="none"/>
          <w:lang w:val="en-US" w:eastAsia="zh-CN"/>
        </w:rPr>
        <w:t>；</w:t>
      </w:r>
    </w:p>
    <w:p w14:paraId="39F90A7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4图像传感器≥1/2.5英寸；</w:t>
      </w:r>
    </w:p>
    <w:p w14:paraId="6FA895B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5数字降噪2D﹠3D数字降噪；</w:t>
      </w:r>
    </w:p>
    <w:p w14:paraId="2327403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6白平衡模式自动白平衡、一键白平衡、手动白平衡和指定色温；</w:t>
      </w:r>
    </w:p>
    <w:p w14:paraId="1F9C6DA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4.2.1.</w:t>
      </w:r>
      <w:r>
        <w:rPr>
          <w:rFonts w:hint="eastAsia" w:ascii="仿宋" w:hAnsi="仿宋" w:eastAsia="仿宋" w:cs="仿宋"/>
          <w:color w:val="auto"/>
          <w:sz w:val="24"/>
          <w:szCs w:val="24"/>
          <w:highlight w:val="none"/>
        </w:rPr>
        <w:t>7聚焦模式自动/手动/一键聚焦</w:t>
      </w:r>
      <w:r>
        <w:rPr>
          <w:rFonts w:hint="eastAsia" w:ascii="仿宋" w:hAnsi="仿宋" w:eastAsia="仿宋" w:cs="仿宋"/>
          <w:color w:val="auto"/>
          <w:sz w:val="24"/>
          <w:szCs w:val="24"/>
          <w:highlight w:val="none"/>
          <w:lang w:eastAsia="zh-CN"/>
        </w:rPr>
        <w:t>。</w:t>
      </w:r>
    </w:p>
    <w:p w14:paraId="63AD1319">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4.2.2 专业音箱（4只）</w:t>
      </w:r>
    </w:p>
    <w:p w14:paraId="13CF1E0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4.2.2.1频率响应 65Hz-20KHz；</w:t>
      </w:r>
    </w:p>
    <w:p w14:paraId="3AE7A79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4.2.2.2覆盖角度≥90度(H)×50度(V)；</w:t>
      </w:r>
    </w:p>
    <w:p w14:paraId="50C07BD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4.2.2.3灵敏度≥90dB；</w:t>
      </w:r>
    </w:p>
    <w:p w14:paraId="7AF2968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4.2.2.4连续声压级≥120dB；</w:t>
      </w:r>
    </w:p>
    <w:p w14:paraId="3B4F9B3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4.2.2.5峰值声压级≥120dB；</w:t>
      </w:r>
    </w:p>
    <w:p w14:paraId="0FF75E8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4.2.2.6输入功率≥160W(额定)/ 250W(峰值)。</w:t>
      </w:r>
    </w:p>
    <w:p w14:paraId="08F4CE2D">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4.2.3功率放大器（1台）</w:t>
      </w:r>
    </w:p>
    <w:p w14:paraId="58CE47F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4.2.3.1输出功率@立体声4Ω：≥2×770W；</w:t>
      </w:r>
    </w:p>
    <w:p w14:paraId="2792BC6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4.2.3.2频率响应：20Hz-20KHz±0.5dB；</w:t>
      </w:r>
    </w:p>
    <w:p w14:paraId="48572A3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4.2.3.3信噪比≥105dB</w:t>
      </w:r>
      <w:r>
        <w:rPr>
          <w:rFonts w:hint="eastAsia" w:ascii="仿宋" w:hAnsi="仿宋" w:eastAsia="仿宋" w:cs="仿宋"/>
          <w:color w:val="auto"/>
          <w:sz w:val="24"/>
          <w:szCs w:val="24"/>
          <w:highlight w:val="none"/>
          <w:lang w:eastAsia="zh-CN"/>
        </w:rPr>
        <w:t>。</w:t>
      </w:r>
    </w:p>
    <w:p w14:paraId="4B6DD29E">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4.2.4数字音频处理器（调音台）（1台）</w:t>
      </w:r>
    </w:p>
    <w:p w14:paraId="4E34877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4.2.4.1≥16路平衡式话筒、线路输入/输出；</w:t>
      </w:r>
    </w:p>
    <w:p w14:paraId="55ECD97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4.2.4.2系统内置锁屏功能，有效避免发生误操作；</w:t>
      </w:r>
    </w:p>
    <w:p w14:paraId="775E79E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4.2.4.3DSP音频处理，内置AM自动混音功能、AEC回声消除、AFC自适应反馈消除、ANS噪音消除、自动增益；</w:t>
      </w:r>
    </w:p>
    <w:p w14:paraId="0C7FEF6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4.2.4.4输入每通道：前级放大、信号发生器、扩展器、压缩器、5段参量均衡；</w:t>
      </w:r>
    </w:p>
    <w:p w14:paraId="2BD5472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4.2.4.5全功能矩阵混音功能。</w:t>
      </w:r>
    </w:p>
    <w:p w14:paraId="22FD0E1E">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4.2.5反馈抑制器（1台）</w:t>
      </w:r>
    </w:p>
    <w:p w14:paraId="46795F1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4.2.5.1专业用于会议系统的全自动数字高速反馈抑制器，全新自适应算法，无需进行调试；</w:t>
      </w:r>
    </w:p>
    <w:p w14:paraId="4884372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4.2.5.2输入端设有增益调节，不产生啸叫，静噪门嵌入式设计；</w:t>
      </w:r>
    </w:p>
    <w:p w14:paraId="531B16D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4.2.5.3共模抑制比≥70dB(1KHz)；</w:t>
      </w:r>
    </w:p>
    <w:p w14:paraId="7A34C63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4.2.5.4输入范围≤+25dBu；</w:t>
      </w:r>
    </w:p>
    <w:p w14:paraId="3E4280A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4.2.5.5频率响应20Hz-20KHz±1dB；</w:t>
      </w:r>
    </w:p>
    <w:p w14:paraId="6FBA5A4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4.2.5.6信噪比≥100dB。</w:t>
      </w:r>
    </w:p>
    <w:p w14:paraId="7944B7A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4.2.6无线全向话筒（1套）</w:t>
      </w:r>
    </w:p>
    <w:p w14:paraId="345291F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4.2.6.1采用一拖八无线麦克风（含话筒支架），包括1个无线麦克风接收器和8个无线麦克风，有效距离≥30米。</w:t>
      </w:r>
    </w:p>
    <w:p w14:paraId="38EF1963">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4.2.7电源控制器（2台）</w:t>
      </w:r>
    </w:p>
    <w:p w14:paraId="4AEAF02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仿宋"/>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4.2.7.1  8路时序电源控制器。</w:t>
      </w:r>
    </w:p>
    <w:p w14:paraId="2A7CF11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4.3.显示、办公及集中控制模块</w:t>
      </w:r>
    </w:p>
    <w:p w14:paraId="50772FC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4.3.1主显示器（3台）</w:t>
      </w:r>
    </w:p>
    <w:p w14:paraId="7730A56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4.3.1.</w:t>
      </w:r>
      <w:r>
        <w:rPr>
          <w:rFonts w:hint="eastAsia" w:ascii="Times New Roman" w:hAnsi="Times New Roman" w:eastAsia="方正仿宋_GBK"/>
          <w:color w:val="auto"/>
          <w:sz w:val="24"/>
          <w:szCs w:val="24"/>
          <w:highlight w:val="none"/>
          <w:lang w:eastAsia="zh-CN"/>
        </w:rPr>
        <w:t>1屏幕尺寸≥98英寸；</w:t>
      </w:r>
    </w:p>
    <w:p w14:paraId="19D2D11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4.3.1.</w:t>
      </w:r>
      <w:r>
        <w:rPr>
          <w:rFonts w:hint="eastAsia" w:ascii="Times New Roman" w:hAnsi="Times New Roman" w:eastAsia="方正仿宋_GBK"/>
          <w:color w:val="auto"/>
          <w:sz w:val="24"/>
          <w:szCs w:val="24"/>
          <w:highlight w:val="none"/>
          <w:lang w:eastAsia="zh-CN"/>
        </w:rPr>
        <w:t>2采用直下式LED背光模式，亮度表现更均匀；</w:t>
      </w:r>
    </w:p>
    <w:p w14:paraId="2E3D959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4.3.1.</w:t>
      </w:r>
      <w:r>
        <w:rPr>
          <w:rFonts w:hint="eastAsia" w:ascii="Times New Roman" w:hAnsi="Times New Roman" w:eastAsia="方正仿宋_GBK"/>
          <w:color w:val="auto"/>
          <w:sz w:val="24"/>
          <w:szCs w:val="24"/>
          <w:highlight w:val="none"/>
          <w:lang w:eastAsia="zh-CN"/>
        </w:rPr>
        <w:t>3视角≥178°，趋近于水平；</w:t>
      </w:r>
    </w:p>
    <w:p w14:paraId="71EEB87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4.3.1.</w:t>
      </w:r>
      <w:r>
        <w:rPr>
          <w:rFonts w:hint="eastAsia" w:ascii="Times New Roman" w:hAnsi="Times New Roman" w:eastAsia="方正仿宋_GBK"/>
          <w:color w:val="auto"/>
          <w:sz w:val="24"/>
          <w:szCs w:val="24"/>
          <w:highlight w:val="none"/>
          <w:lang w:eastAsia="zh-CN"/>
        </w:rPr>
        <w:t>4内部缓存容量（RAM）≥3GB DDR4；内部存储容量（ROM）≥32GB；</w:t>
      </w:r>
    </w:p>
    <w:p w14:paraId="308520A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4.3.1.</w:t>
      </w:r>
      <w:r>
        <w:rPr>
          <w:rFonts w:hint="eastAsia" w:ascii="Times New Roman" w:hAnsi="Times New Roman" w:eastAsia="方正仿宋_GBK"/>
          <w:color w:val="auto"/>
          <w:sz w:val="24"/>
          <w:szCs w:val="24"/>
          <w:highlight w:val="none"/>
          <w:lang w:eastAsia="zh-CN"/>
        </w:rPr>
        <w:t>5可支持≥10点触控，带写字板功能。</w:t>
      </w:r>
    </w:p>
    <w:p w14:paraId="7963E5BE">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4.3.2辅助显示器（4台）</w:t>
      </w:r>
    </w:p>
    <w:p w14:paraId="55D27E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4.3.2.</w:t>
      </w:r>
      <w:r>
        <w:rPr>
          <w:rFonts w:hint="eastAsia" w:ascii="Times New Roman" w:hAnsi="Times New Roman" w:eastAsia="方正仿宋_GBK"/>
          <w:color w:val="auto"/>
          <w:sz w:val="24"/>
          <w:szCs w:val="24"/>
          <w:highlight w:val="none"/>
          <w:lang w:eastAsia="zh-CN"/>
        </w:rPr>
        <w:t>1屏幕尺寸≥55英寸，分辨率：≥3840×2160，平推舱内侧安装。</w:t>
      </w:r>
    </w:p>
    <w:p w14:paraId="1BDF207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4.3.3会议控制系统（1套）</w:t>
      </w:r>
    </w:p>
    <w:p w14:paraId="43E871E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4.3.3.1固定端：显卡核心频率≥1800Mhz；显存容量≥24GB；CPU水冷散热；全模组电源≥1200W；内存≥128G；固态硬盘≥4TB,cpu≥24核32线程；主频≥3.2GHz；显示器分辨率≥2.5K；刷新率≥240hz；屏幕≥31.5寸；支持OLED\HDR≥400\≥240HZ刷新\分辨率≥3840×2160\支持双模模式；配件含三模鼠标、全尺寸机械键盘、7.1声道降噪耳机、支持WIFI7、无线速率≥13000M路由器；</w:t>
      </w:r>
    </w:p>
    <w:p w14:paraId="1FB6E59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4.3.3.2移动端：屏幕≥18寸；显卡核心频率≥1300Mhz；显存容量≥16GB；电池≥90Wh；内存≥64G；固态硬盘≥2TB；cpu≥24核32线程；主频≥2.2GHz；全尺寸键盘；支持RGB、MiniLED分辨率≥2.5K；刷新率≥240hz；3ms响应、配件含三模鼠标、全尺寸机械键盘、7.1声道降噪耳机、支持WIFI7、无线速率≥13000M路由器、便携式背包。</w:t>
      </w:r>
    </w:p>
    <w:p w14:paraId="2C96F65D">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4.3.4多功能一体机（1台）</w:t>
      </w:r>
    </w:p>
    <w:p w14:paraId="66ACE4C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4.3.4.1 A4彩色打印/复印/扫描/传真一体机；</w:t>
      </w:r>
    </w:p>
    <w:p w14:paraId="7A54A47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4.3.4.2打印分辨率≥600×600dpi；</w:t>
      </w:r>
    </w:p>
    <w:p w14:paraId="129614E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4.3.4.3首页打印时间≤12.4秒；</w:t>
      </w:r>
    </w:p>
    <w:p w14:paraId="252A123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4.3.4.4复印分辨率≥600×600dpi；</w:t>
      </w:r>
    </w:p>
    <w:p w14:paraId="66BAB5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4.3.4.5扫描类型 平板式；</w:t>
      </w:r>
    </w:p>
    <w:p w14:paraId="010F88A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4.3.4.6扫描元件 CIS；</w:t>
      </w:r>
    </w:p>
    <w:p w14:paraId="6177A95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4.3.4.7最大分辨率≥4800×4800dpi。</w:t>
      </w:r>
    </w:p>
    <w:p w14:paraId="2C3201FC">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4.3.5会议话筒（1套）</w:t>
      </w:r>
    </w:p>
    <w:p w14:paraId="564D7A9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4.3.5.1主控机与会议系统单体连接之数位控制及声音信号采用同一电缆传送（八芯）；</w:t>
      </w:r>
    </w:p>
    <w:p w14:paraId="1782D65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4.3.5.2可独立运作或是外接电脑结合软体同步联动操作，实现多种会务管理功能(会议模式或操作：指定发言、自由发言、申请发言及先进先出发言等)；</w:t>
      </w:r>
    </w:p>
    <w:p w14:paraId="0AC021F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4.3.5.3单机可实现下列几个会议功能：开放式会议、限制发言、先进先出；</w:t>
      </w:r>
    </w:p>
    <w:p w14:paraId="4A85893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4.3.5.4系统具有较好音质声音通道效果；</w:t>
      </w:r>
    </w:p>
    <w:p w14:paraId="533F7B6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4.3.5.5具三种会务管理模式：开放模式(Free)、先进先出(FIFO)、限制发言（LIMIT）；</w:t>
      </w:r>
    </w:p>
    <w:p w14:paraId="2C23810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4.3.5.6有线话筒：全向麦克风，与整车配备桌面插座上的插座结合起来，数量≥20个</w:t>
      </w:r>
    </w:p>
    <w:p w14:paraId="7307CA7C">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4.3.6集中控制主机（1套）</w:t>
      </w:r>
    </w:p>
    <w:p w14:paraId="13827B1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4.3.6.1用于控制矩阵、云台摄像机等设备，具有≥8个RS232/422/485接口。</w:t>
      </w:r>
    </w:p>
    <w:p w14:paraId="2389E0AD">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4.3.7控制平板（1套）</w:t>
      </w:r>
    </w:p>
    <w:p w14:paraId="142820D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4.3.7.1可通过便携终端控制音视频信号切换、云台摄像机方位及变倍控制等；</w:t>
      </w:r>
    </w:p>
    <w:p w14:paraId="736930B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4.3.7.2屏幕尺寸≥9.7寸。</w:t>
      </w:r>
    </w:p>
    <w:p w14:paraId="11DEA3F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4.3.8宽幅打印机（1台）</w:t>
      </w:r>
    </w:p>
    <w:p w14:paraId="0864E18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4.3.8.1喷嘴数：≥2560喷嘴 ；</w:t>
      </w:r>
    </w:p>
    <w:p w14:paraId="33EE016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 xml:space="preserve">4.3.8.2彩色全颜料墨水； </w:t>
      </w:r>
    </w:p>
    <w:p w14:paraId="7BC798A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 xml:space="preserve">4.3.8.3标配A0卷筒，连续走纸，自动裁切； </w:t>
      </w:r>
    </w:p>
    <w:p w14:paraId="76A0EFA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4.3.8.4标配支架/收纸篮；</w:t>
      </w:r>
    </w:p>
    <w:p w14:paraId="2051BF6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4.3.8.5分辨率 ≥2400*1200dpi ；</w:t>
      </w:r>
    </w:p>
    <w:p w14:paraId="1427BB8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4.3.8.6≥3英寸触摸屏；</w:t>
      </w:r>
    </w:p>
    <w:p w14:paraId="40D557C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 xml:space="preserve">4.3.8.7最快速度≥21秒/A1线条图； </w:t>
      </w:r>
    </w:p>
    <w:p w14:paraId="00900B3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4.3.8.8打印接口：支持usb2.0,1000M网口，WIFI等 ；</w:t>
      </w:r>
    </w:p>
    <w:p w14:paraId="730B58D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4.3.8.9介质类型普通纸,光面纸,亚面纸,胶片.校样纸,描图纸,绘图纸等；</w:t>
      </w:r>
    </w:p>
    <w:p w14:paraId="6FC92DB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4.3.8.10产能≥144页A1/小时；支脚可拆。</w:t>
      </w:r>
    </w:p>
    <w:p w14:paraId="7C980674">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4.3.9车载设备集中控制软件（1套）</w:t>
      </w:r>
    </w:p>
    <w:p w14:paraId="60CC3F5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4.3.9.1提供配套集中控制软件；控制件能够对设备进行集中与统一管理，可安装在控制终端上，支持触摸屏方式；支持多点触控和滑屏操控；软件需具有日志显示功能，可以显示操作记录和设备报警运行记录。</w:t>
      </w:r>
    </w:p>
    <w:p w14:paraId="2D3FCD5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4.4音视频通信模块</w:t>
      </w:r>
    </w:p>
    <w:p w14:paraId="434E1D3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w:t>
      </w:r>
      <w:r>
        <w:rPr>
          <w:rFonts w:hint="eastAsia" w:ascii="Times New Roman" w:hAnsi="Times New Roman" w:eastAsia="方正仿宋_GBK" w:cs="Times New Roman"/>
          <w:b/>
          <w:bCs/>
          <w:color w:val="auto"/>
          <w:sz w:val="24"/>
          <w:szCs w:val="24"/>
          <w:highlight w:val="none"/>
          <w:lang w:val="en-US" w:eastAsia="zh-CN"/>
        </w:rPr>
        <w:t>.1</w:t>
      </w:r>
      <w:r>
        <w:rPr>
          <w:rFonts w:hint="eastAsia" w:ascii="Times New Roman" w:hAnsi="Times New Roman" w:eastAsia="方正仿宋_GBK" w:cs="Times New Roman"/>
          <w:b/>
          <w:bCs/>
          <w:color w:val="auto"/>
          <w:sz w:val="24"/>
          <w:szCs w:val="24"/>
          <w:highlight w:val="none"/>
          <w:lang w:eastAsia="zh-CN"/>
        </w:rPr>
        <w:t>音视频矩阵（</w:t>
      </w:r>
      <w:r>
        <w:rPr>
          <w:rFonts w:hint="eastAsia" w:ascii="Times New Roman" w:hAnsi="Times New Roman" w:eastAsia="方正仿宋_GBK" w:cs="Times New Roman"/>
          <w:b/>
          <w:bCs/>
          <w:color w:val="auto"/>
          <w:sz w:val="24"/>
          <w:szCs w:val="24"/>
          <w:highlight w:val="none"/>
          <w:lang w:val="en-US" w:eastAsia="zh-CN"/>
        </w:rPr>
        <w:t>1台</w:t>
      </w:r>
      <w:r>
        <w:rPr>
          <w:rFonts w:hint="eastAsia" w:ascii="Times New Roman" w:hAnsi="Times New Roman" w:eastAsia="方正仿宋_GBK" w:cs="Times New Roman"/>
          <w:b/>
          <w:bCs/>
          <w:color w:val="auto"/>
          <w:sz w:val="24"/>
          <w:szCs w:val="24"/>
          <w:highlight w:val="none"/>
          <w:lang w:eastAsia="zh-CN"/>
        </w:rPr>
        <w:t>）</w:t>
      </w:r>
    </w:p>
    <w:p w14:paraId="7BBF9A1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4.4.1.</w:t>
      </w:r>
      <w:r>
        <w:rPr>
          <w:rFonts w:hint="eastAsia" w:ascii="Times New Roman" w:hAnsi="Times New Roman" w:eastAsia="方正仿宋_GBK"/>
          <w:color w:val="auto"/>
          <w:sz w:val="24"/>
          <w:szCs w:val="24"/>
          <w:highlight w:val="none"/>
          <w:lang w:eastAsia="zh-CN"/>
        </w:rPr>
        <w:t>1高标清混合格式矩阵；</w:t>
      </w:r>
    </w:p>
    <w:p w14:paraId="6F37285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4.4.1.</w:t>
      </w:r>
      <w:r>
        <w:rPr>
          <w:rFonts w:hint="eastAsia" w:ascii="Times New Roman" w:hAnsi="Times New Roman" w:eastAsia="方正仿宋_GBK"/>
          <w:color w:val="auto"/>
          <w:sz w:val="24"/>
          <w:szCs w:val="24"/>
          <w:highlight w:val="none"/>
          <w:lang w:eastAsia="zh-CN"/>
        </w:rPr>
        <w:t>2支持≥16路输入、输出；</w:t>
      </w:r>
    </w:p>
    <w:p w14:paraId="12DA443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4.4.1.</w:t>
      </w:r>
      <w:r>
        <w:rPr>
          <w:rFonts w:hint="eastAsia" w:ascii="Times New Roman" w:hAnsi="Times New Roman" w:eastAsia="方正仿宋_GBK"/>
          <w:color w:val="auto"/>
          <w:sz w:val="24"/>
          <w:szCs w:val="24"/>
          <w:highlight w:val="none"/>
          <w:lang w:eastAsia="zh-CN"/>
        </w:rPr>
        <w:t>3支持HDMI、SDI、DVI等多种信号格式的视频切换；</w:t>
      </w:r>
    </w:p>
    <w:p w14:paraId="5FD187B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4.4.1.</w:t>
      </w:r>
      <w:r>
        <w:rPr>
          <w:rFonts w:hint="eastAsia" w:ascii="Times New Roman" w:hAnsi="Times New Roman" w:eastAsia="方正仿宋_GBK"/>
          <w:color w:val="auto"/>
          <w:sz w:val="24"/>
          <w:szCs w:val="24"/>
          <w:highlight w:val="none"/>
          <w:lang w:eastAsia="zh-CN"/>
        </w:rPr>
        <w:t>4支持≥4K视频输入输出。</w:t>
      </w:r>
    </w:p>
    <w:p w14:paraId="3D597DE1">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w:t>
      </w:r>
      <w:r>
        <w:rPr>
          <w:rFonts w:hint="eastAsia" w:ascii="Times New Roman" w:hAnsi="Times New Roman" w:eastAsia="方正仿宋_GBK" w:cs="Times New Roman"/>
          <w:b/>
          <w:bCs/>
          <w:color w:val="auto"/>
          <w:sz w:val="24"/>
          <w:szCs w:val="24"/>
          <w:highlight w:val="none"/>
          <w:lang w:val="en-US" w:eastAsia="zh-CN"/>
        </w:rPr>
        <w:t>.2</w:t>
      </w:r>
      <w:r>
        <w:rPr>
          <w:rFonts w:hint="eastAsia" w:ascii="Times New Roman" w:hAnsi="Times New Roman" w:eastAsia="方正仿宋_GBK" w:cs="Times New Roman"/>
          <w:b/>
          <w:bCs/>
          <w:color w:val="auto"/>
          <w:sz w:val="24"/>
          <w:szCs w:val="24"/>
          <w:highlight w:val="none"/>
          <w:lang w:eastAsia="zh-CN"/>
        </w:rPr>
        <w:t>交换机（</w:t>
      </w:r>
      <w:r>
        <w:rPr>
          <w:rFonts w:hint="eastAsia" w:ascii="Times New Roman" w:hAnsi="Times New Roman" w:eastAsia="方正仿宋_GBK" w:cs="Times New Roman"/>
          <w:b/>
          <w:bCs/>
          <w:color w:val="auto"/>
          <w:sz w:val="24"/>
          <w:szCs w:val="24"/>
          <w:highlight w:val="none"/>
          <w:lang w:val="en-US" w:eastAsia="zh-CN"/>
        </w:rPr>
        <w:t>1台</w:t>
      </w:r>
      <w:r>
        <w:rPr>
          <w:rFonts w:hint="eastAsia" w:ascii="Times New Roman" w:hAnsi="Times New Roman" w:eastAsia="方正仿宋_GBK" w:cs="Times New Roman"/>
          <w:b/>
          <w:bCs/>
          <w:color w:val="auto"/>
          <w:sz w:val="24"/>
          <w:szCs w:val="24"/>
          <w:highlight w:val="none"/>
          <w:lang w:eastAsia="zh-CN"/>
        </w:rPr>
        <w:t>）</w:t>
      </w:r>
    </w:p>
    <w:p w14:paraId="444D470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4.4.2.1接口类型：≥24 个 10/100/1000Base-T 以太网端口、≥4 个复用的千兆 Combo SFP、≥4 个千兆SFP；</w:t>
      </w:r>
    </w:p>
    <w:p w14:paraId="3B5F782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4.4.2.2交换容量：≥336Gbps/3.36Tbps；</w:t>
      </w:r>
    </w:p>
    <w:p w14:paraId="163F5AA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4.4.2.3包转发率：≥96Mpps/126Mpps。</w:t>
      </w:r>
      <w:r>
        <w:rPr>
          <w:rFonts w:hint="eastAsia" w:ascii="Times New Roman" w:hAnsi="Times New Roman" w:eastAsia="方正仿宋_GBK"/>
          <w:color w:val="auto"/>
          <w:sz w:val="24"/>
          <w:szCs w:val="24"/>
          <w:highlight w:val="none"/>
          <w:lang w:eastAsia="zh-CN"/>
        </w:rPr>
        <w:t>。</w:t>
      </w:r>
    </w:p>
    <w:p w14:paraId="4642E46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w:t>
      </w:r>
      <w:r>
        <w:rPr>
          <w:rFonts w:hint="eastAsia" w:ascii="Times New Roman" w:hAnsi="Times New Roman" w:eastAsia="方正仿宋_GBK" w:cs="Times New Roman"/>
          <w:b/>
          <w:bCs/>
          <w:color w:val="auto"/>
          <w:sz w:val="24"/>
          <w:szCs w:val="24"/>
          <w:highlight w:val="none"/>
          <w:lang w:val="en-US" w:eastAsia="zh-CN"/>
        </w:rPr>
        <w:t>.3多链路聚合终端</w:t>
      </w:r>
      <w:r>
        <w:rPr>
          <w:rFonts w:hint="eastAsia" w:ascii="Times New Roman" w:hAnsi="Times New Roman" w:eastAsia="方正仿宋_GBK" w:cs="Times New Roman"/>
          <w:b/>
          <w:bCs/>
          <w:color w:val="auto"/>
          <w:sz w:val="24"/>
          <w:szCs w:val="24"/>
          <w:highlight w:val="none"/>
          <w:lang w:eastAsia="zh-CN"/>
        </w:rPr>
        <w:t>（</w:t>
      </w:r>
      <w:r>
        <w:rPr>
          <w:rFonts w:hint="eastAsia" w:ascii="Times New Roman" w:hAnsi="Times New Roman" w:eastAsia="方正仿宋_GBK" w:cs="Times New Roman"/>
          <w:b/>
          <w:bCs/>
          <w:color w:val="auto"/>
          <w:sz w:val="24"/>
          <w:szCs w:val="24"/>
          <w:highlight w:val="none"/>
          <w:lang w:val="en-US" w:eastAsia="zh-CN"/>
        </w:rPr>
        <w:t>1台</w:t>
      </w:r>
      <w:r>
        <w:rPr>
          <w:rFonts w:hint="eastAsia" w:ascii="Times New Roman" w:hAnsi="Times New Roman" w:eastAsia="方正仿宋_GBK" w:cs="Times New Roman"/>
          <w:b/>
          <w:bCs/>
          <w:color w:val="auto"/>
          <w:sz w:val="24"/>
          <w:szCs w:val="24"/>
          <w:highlight w:val="none"/>
          <w:lang w:eastAsia="zh-CN"/>
        </w:rPr>
        <w:t>）</w:t>
      </w:r>
    </w:p>
    <w:p w14:paraId="456F544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4.4.3.1支持≥6张5G/LTE卡任何运营商汇聚；</w:t>
      </w:r>
    </w:p>
    <w:p w14:paraId="6BF0C2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4.4.3.2支持2.4G/5G双频工业级WIFI；</w:t>
      </w:r>
    </w:p>
    <w:p w14:paraId="4B93CD6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4.4.3.3支持1路WAN，3路LAN 10/100/1000M网口；</w:t>
      </w:r>
    </w:p>
    <w:p w14:paraId="72E804A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4.4.3.4内置锂电池支持≥8小时工作，OLED状态显示；</w:t>
      </w:r>
    </w:p>
    <w:p w14:paraId="5667CFC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4.4.3.5含≥6张卡≥3年流量使用费，每张卡每月流量≥30G/月。</w:t>
      </w:r>
    </w:p>
    <w:p w14:paraId="7CD06C5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w:t>
      </w:r>
      <w:r>
        <w:rPr>
          <w:rFonts w:hint="eastAsia" w:ascii="Times New Roman" w:hAnsi="Times New Roman" w:eastAsia="方正仿宋_GBK" w:cs="Times New Roman"/>
          <w:b/>
          <w:bCs/>
          <w:color w:val="auto"/>
          <w:sz w:val="24"/>
          <w:szCs w:val="24"/>
          <w:highlight w:val="none"/>
          <w:lang w:val="en-US" w:eastAsia="zh-CN"/>
        </w:rPr>
        <w:t>.4  4K视频会议终端</w:t>
      </w:r>
      <w:r>
        <w:rPr>
          <w:rFonts w:hint="eastAsia" w:ascii="Times New Roman" w:hAnsi="Times New Roman" w:eastAsia="方正仿宋_GBK" w:cs="Times New Roman"/>
          <w:b/>
          <w:bCs/>
          <w:color w:val="auto"/>
          <w:sz w:val="24"/>
          <w:szCs w:val="24"/>
          <w:highlight w:val="none"/>
          <w:lang w:eastAsia="zh-CN"/>
        </w:rPr>
        <w:t>（</w:t>
      </w:r>
      <w:r>
        <w:rPr>
          <w:rFonts w:hint="eastAsia" w:ascii="Times New Roman" w:hAnsi="Times New Roman" w:eastAsia="方正仿宋_GBK" w:cs="Times New Roman"/>
          <w:b/>
          <w:bCs/>
          <w:color w:val="auto"/>
          <w:sz w:val="24"/>
          <w:szCs w:val="24"/>
          <w:highlight w:val="none"/>
          <w:lang w:val="en-US" w:eastAsia="zh-CN"/>
        </w:rPr>
        <w:t>2台</w:t>
      </w:r>
      <w:r>
        <w:rPr>
          <w:rFonts w:hint="eastAsia" w:ascii="Times New Roman" w:hAnsi="Times New Roman" w:eastAsia="方正仿宋_GBK" w:cs="Times New Roman"/>
          <w:b/>
          <w:bCs/>
          <w:color w:val="auto"/>
          <w:sz w:val="24"/>
          <w:szCs w:val="24"/>
          <w:highlight w:val="none"/>
          <w:lang w:eastAsia="zh-CN"/>
        </w:rPr>
        <w:t>）</w:t>
      </w:r>
    </w:p>
    <w:p w14:paraId="1DC3C02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4.4.4.1图像高清：具备4K超高清视频输入和输出；</w:t>
      </w:r>
    </w:p>
    <w:p w14:paraId="046F713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4.4.4.2频输入：≥2个SDI接口、≥2个HDMI接口；</w:t>
      </w:r>
    </w:p>
    <w:p w14:paraId="705133A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4.4.4.3音频输入：≥1个3.5mm接口，1 路RCA接口；</w:t>
      </w:r>
    </w:p>
    <w:p w14:paraId="762AE14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4.4.4.4音频输出：≥1个3.5mm接口，1路RCA接口；</w:t>
      </w:r>
    </w:p>
    <w:p w14:paraId="7DBBDBE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4.4.4.5视频编码：支持264High-Profile、H.265编码；</w:t>
      </w:r>
    </w:p>
    <w:p w14:paraId="0C3C4AB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4.4.4.6视频输出：≥3个HDMI输出接口，HDMI具备4K解码输出，≥2个接口同时输出，输出的最大分辨率4K；</w:t>
      </w:r>
    </w:p>
    <w:p w14:paraId="6B466D8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4.4.4.7通信标准：需支持H.323、SIP；</w:t>
      </w:r>
    </w:p>
    <w:p w14:paraId="11CBAE2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4.4.4.8视频标准：需支持H.264、H.264HighProflie、H.265；</w:t>
      </w:r>
    </w:p>
    <w:p w14:paraId="2E74AE7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4.4.4.9音频标准：需支G.711/G.722.1/G.729/G.719；</w:t>
      </w:r>
    </w:p>
    <w:p w14:paraId="0AF5BEC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4.4.4.10双流标准：需支持H.239/H.239+；</w:t>
      </w:r>
    </w:p>
    <w:p w14:paraId="6722D28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4.4.4.11需具备远程摄像机控制能力，可进行左右转动、拉近/远、调焦、光圈等进行全方位的控制和预置位设置；</w:t>
      </w:r>
    </w:p>
    <w:p w14:paraId="10CFF65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4.4.4.</w:t>
      </w:r>
      <w:r>
        <w:rPr>
          <w:rFonts w:hint="eastAsia" w:eastAsia="方正仿宋_GBK"/>
          <w:color w:val="auto"/>
          <w:sz w:val="24"/>
          <w:szCs w:val="24"/>
          <w:highlight w:val="none"/>
          <w:lang w:val="en-US" w:eastAsia="zh-CN"/>
        </w:rPr>
        <w:t>12需具备分屏输出功能，每个输出屏可以同时显示≥16个视频图像，支持数据和视频混合排序，配合视频轮询功能，可对分会场实时轮询监控；</w:t>
      </w:r>
    </w:p>
    <w:p w14:paraId="40C928F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4.4.4.</w:t>
      </w:r>
      <w:r>
        <w:rPr>
          <w:rFonts w:hint="eastAsia" w:eastAsia="方正仿宋_GBK"/>
          <w:color w:val="auto"/>
          <w:sz w:val="24"/>
          <w:szCs w:val="24"/>
          <w:highlight w:val="none"/>
          <w:lang w:val="en-US" w:eastAsia="zh-CN"/>
        </w:rPr>
        <w:t>13入网要求设备能全功能接入（必须协议级）消防图像综合管理平台；实现与国家局、总队、支队各级指挥中心的双向音视频互通，满足作战指挥调度应用需求。</w:t>
      </w:r>
    </w:p>
    <w:p w14:paraId="5841ED1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5</w:t>
      </w:r>
      <w:r>
        <w:rPr>
          <w:rFonts w:hint="eastAsia" w:ascii="Times New Roman" w:hAnsi="Times New Roman" w:eastAsia="方正仿宋_GBK" w:cs="Times New Roman"/>
          <w:b/>
          <w:bCs/>
          <w:color w:val="auto"/>
          <w:sz w:val="24"/>
          <w:szCs w:val="24"/>
          <w:highlight w:val="none"/>
          <w:lang w:eastAsia="zh-CN"/>
        </w:rPr>
        <w:t>供配电及辅助配套模块</w:t>
      </w:r>
    </w:p>
    <w:p w14:paraId="11D274EC">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.1</w:t>
      </w:r>
      <w:r>
        <w:rPr>
          <w:rFonts w:hint="eastAsia" w:ascii="Times New Roman" w:hAnsi="Times New Roman" w:eastAsia="方正仿宋_GBK" w:cs="Times New Roman"/>
          <w:b/>
          <w:bCs/>
          <w:color w:val="auto"/>
          <w:sz w:val="24"/>
          <w:szCs w:val="24"/>
          <w:highlight w:val="none"/>
          <w:lang w:eastAsia="zh-CN"/>
        </w:rPr>
        <w:t>配电箱</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78DAFAC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4.5.1.1集中式电源管理系统，含电源漏电保护、开关、电源电压电流显示，双电源切换等，开关分别控制空调、设备用电等；</w:t>
      </w:r>
    </w:p>
    <w:p w14:paraId="4E72529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4.5.1.2配电箱采用标准机架式，表面喷塑处理。</w:t>
      </w:r>
    </w:p>
    <w:p w14:paraId="128D6262">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.2静音发电机</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1台</w:t>
      </w:r>
      <w:r>
        <w:rPr>
          <w:rFonts w:hint="eastAsia" w:eastAsia="方正仿宋_GBK" w:cs="Times New Roman"/>
          <w:b/>
          <w:bCs/>
          <w:color w:val="auto"/>
          <w:sz w:val="24"/>
          <w:szCs w:val="24"/>
          <w:highlight w:val="none"/>
          <w:lang w:eastAsia="zh-CN"/>
        </w:rPr>
        <w:t>）</w:t>
      </w:r>
    </w:p>
    <w:p w14:paraId="1C21C6E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4.5.2.1额定功率（KW）≥30；</w:t>
      </w:r>
    </w:p>
    <w:p w14:paraId="53A07C5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4.5.2.2机组噪音7米db(A）≤62；</w:t>
      </w:r>
    </w:p>
    <w:p w14:paraId="0E0584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4.5.2.3结构形式 防雨静音式；</w:t>
      </w:r>
    </w:p>
    <w:p w14:paraId="3AF77C7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4.5.2.4整体设备尺寸（L×W×H）（mm） ≤2000*900*1000；</w:t>
      </w:r>
    </w:p>
    <w:p w14:paraId="37E498C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4.5.2.5油箱自带底座油箱；</w:t>
      </w:r>
    </w:p>
    <w:p w14:paraId="4F51B1D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4.5.2.6机组燃油箱容量（L）≥220；</w:t>
      </w:r>
    </w:p>
    <w:p w14:paraId="4450891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4.5.2.7具备低温启动功能 ；</w:t>
      </w:r>
    </w:p>
    <w:p w14:paraId="7FBF41D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4.5.2.8机组连续运行时间（h）≥8。</w:t>
      </w:r>
    </w:p>
    <w:p w14:paraId="5E58C37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.3</w:t>
      </w:r>
      <w:r>
        <w:rPr>
          <w:rFonts w:hint="eastAsia" w:ascii="Times New Roman" w:hAnsi="Times New Roman" w:eastAsia="方正仿宋_GBK" w:cs="Times New Roman"/>
          <w:b/>
          <w:bCs/>
          <w:color w:val="auto"/>
          <w:sz w:val="24"/>
          <w:szCs w:val="24"/>
          <w:highlight w:val="none"/>
          <w:lang w:eastAsia="zh-CN"/>
        </w:rPr>
        <w:t>电源线缆盘</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4B3E479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4.5.3.1自动收放线缆盘；</w:t>
      </w:r>
    </w:p>
    <w:p w14:paraId="5D58D57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4.5.3.2线缆长度：≥100m；</w:t>
      </w:r>
    </w:p>
    <w:p w14:paraId="61E1211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4.5.3.3线缆抗压、耐拉、耐腐蚀；</w:t>
      </w:r>
    </w:p>
    <w:p w14:paraId="6828FE5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4.5.3.4线径：≥3×10mm</w:t>
      </w:r>
      <w:r>
        <w:rPr>
          <w:rFonts w:hint="eastAsia" w:ascii="Times New Roman" w:hAnsi="Times New Roman" w:eastAsia="方正仿宋_GBK" w:cs="Times New Roman"/>
          <w:color w:val="auto"/>
          <w:sz w:val="24"/>
          <w:szCs w:val="24"/>
          <w:highlight w:val="none"/>
          <w:vertAlign w:val="baseline"/>
          <w:lang w:val="en-US" w:eastAsia="zh-CN"/>
        </w:rPr>
        <w:t>2</w:t>
      </w:r>
      <w:r>
        <w:rPr>
          <w:rFonts w:hint="eastAsia" w:ascii="Times New Roman" w:hAnsi="Times New Roman" w:eastAsia="方正仿宋_GBK" w:cs="Times New Roman"/>
          <w:color w:val="auto"/>
          <w:sz w:val="24"/>
          <w:szCs w:val="24"/>
          <w:highlight w:val="none"/>
          <w:lang w:val="en-US" w:eastAsia="zh-CN"/>
        </w:rPr>
        <w:t>；</w:t>
      </w:r>
    </w:p>
    <w:p w14:paraId="1F09B0B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4.5.3.5配置专用防水插接件。</w:t>
      </w:r>
    </w:p>
    <w:p w14:paraId="24F7879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.4不间断电源UPS</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1台</w:t>
      </w:r>
      <w:r>
        <w:rPr>
          <w:rFonts w:hint="eastAsia" w:eastAsia="方正仿宋_GBK" w:cs="Times New Roman"/>
          <w:b/>
          <w:bCs/>
          <w:color w:val="auto"/>
          <w:sz w:val="24"/>
          <w:szCs w:val="24"/>
          <w:highlight w:val="none"/>
          <w:lang w:eastAsia="zh-CN"/>
        </w:rPr>
        <w:t>）</w:t>
      </w:r>
    </w:p>
    <w:p w14:paraId="5F24EB0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4.5.4.1额定容量≥6KVA,输入电压（110-276）VAC，输入频率（40-70）Hz，输入功因≥0.99；输出电压220（1±1%）VAC，输出频率：50/60±0.1Hz（电池模式），标准机架式。</w:t>
      </w:r>
    </w:p>
    <w:p w14:paraId="0B763729">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.5开关电源</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25E4F78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4.5.5.1为车内照明等设备供电，提供DC12V/24V直流电源；其中350W DC12V电源≥3个，350W DC24V电源≥1个。</w:t>
      </w:r>
    </w:p>
    <w:p w14:paraId="228BCB0D">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.6全车接地系统</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358D23C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4.5.6.1定制，含接地桩、接地线，防静电地拖；</w:t>
      </w:r>
    </w:p>
    <w:p w14:paraId="0A8B248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4.5.6.2接地桩采用钢材镀锌制作，长度≥650mm，配置10m 6mm2全铜接地线，地拖采用橡胶防护材料。</w:t>
      </w:r>
    </w:p>
    <w:p w14:paraId="16B9B9B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.7通信保障席网线接口</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5DE868E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4.5.7.1靠近机柜端左/右侧折叠桌墙体预留操作网线端口。</w:t>
      </w:r>
    </w:p>
    <w:p w14:paraId="6CFFAC4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.8</w:t>
      </w:r>
      <w:r>
        <w:rPr>
          <w:rFonts w:hint="eastAsia" w:ascii="Times New Roman" w:hAnsi="Times New Roman" w:eastAsia="方正仿宋_GBK" w:cs="Times New Roman"/>
          <w:b/>
          <w:bCs/>
          <w:color w:val="auto"/>
          <w:sz w:val="24"/>
          <w:szCs w:val="24"/>
          <w:highlight w:val="none"/>
          <w:lang w:eastAsia="zh-CN"/>
        </w:rPr>
        <w:t>接口板</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0DFB32E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4.5.8.1含电源、信息等接口；</w:t>
      </w:r>
    </w:p>
    <w:p w14:paraId="51DC2DE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4.5.8.2采用钢材质，表面喷塑处理；</w:t>
      </w:r>
    </w:p>
    <w:p w14:paraId="620F7EE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4.5.8.3其中电源输出插座≥2个、接地柱≥1个、HDMI输入输出接口各≥1个、SDI输入输出接口各≥1个、音频输入输出接口各≥1个。</w:t>
      </w:r>
    </w:p>
    <w:p w14:paraId="3CF5DCCE">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.9防雷系统</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717F02C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4.5.9.1电源防雷，单相；</w:t>
      </w:r>
    </w:p>
    <w:p w14:paraId="7CB0930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4.5.9.2交流标称电压：220VAC；</w:t>
      </w:r>
    </w:p>
    <w:p w14:paraId="2D74236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4.5.9.3标称放电电流：≥20KA；</w:t>
      </w:r>
    </w:p>
    <w:p w14:paraId="729F26A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4.5.9.4最大放电电流：≥50KA；</w:t>
      </w:r>
    </w:p>
    <w:p w14:paraId="4285856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4.5.9.5外壳防护等级：≥IP20；</w:t>
      </w:r>
    </w:p>
    <w:p w14:paraId="5B2C7C0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4.5.9.6工作温度至少包含-40-85℃。</w:t>
      </w:r>
    </w:p>
    <w:p w14:paraId="0AD78B7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.1</w:t>
      </w:r>
      <w:r>
        <w:rPr>
          <w:rFonts w:hint="eastAsia" w:ascii="Times New Roman" w:hAnsi="Times New Roman" w:eastAsia="方正仿宋_GBK" w:cs="Times New Roman"/>
          <w:b/>
          <w:bCs/>
          <w:color w:val="auto"/>
          <w:sz w:val="24"/>
          <w:szCs w:val="24"/>
          <w:highlight w:val="none"/>
          <w:lang w:val="en-US" w:eastAsia="zh-CN"/>
        </w:rPr>
        <w:t>0车内各开关、插座</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0707053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4.5.10.1定制车内开关、插座、辅材等；</w:t>
      </w:r>
    </w:p>
    <w:p w14:paraId="53A32B9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4.5.10.2不少于翘板开关和市电电源插座；</w:t>
      </w:r>
    </w:p>
    <w:p w14:paraId="224B898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4.5.10.3翘板开关和市电插座上定制有符号或文字丝印，保证简单易懂。</w:t>
      </w:r>
    </w:p>
    <w:p w14:paraId="1C1639F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.11</w:t>
      </w:r>
      <w:r>
        <w:rPr>
          <w:rFonts w:hint="eastAsia" w:ascii="Times New Roman" w:hAnsi="Times New Roman" w:eastAsia="方正仿宋_GBK" w:cs="Times New Roman"/>
          <w:b/>
          <w:bCs/>
          <w:color w:val="auto"/>
          <w:sz w:val="24"/>
          <w:szCs w:val="24"/>
          <w:highlight w:val="none"/>
          <w:lang w:eastAsia="zh-CN"/>
        </w:rPr>
        <w:t>桌面插</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17CDB05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4.5.11.1含电源、信息接口插座。</w:t>
      </w:r>
    </w:p>
    <w:p w14:paraId="3F50546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.12</w:t>
      </w:r>
      <w:r>
        <w:rPr>
          <w:rFonts w:hint="eastAsia" w:ascii="Times New Roman" w:hAnsi="Times New Roman" w:eastAsia="方正仿宋_GBK" w:cs="Times New Roman"/>
          <w:b/>
          <w:bCs/>
          <w:color w:val="auto"/>
          <w:sz w:val="24"/>
          <w:szCs w:val="24"/>
          <w:highlight w:val="none"/>
          <w:lang w:eastAsia="zh-CN"/>
        </w:rPr>
        <w:t>车载空调</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2套</w:t>
      </w:r>
      <w:r>
        <w:rPr>
          <w:rFonts w:hint="eastAsia" w:eastAsia="方正仿宋_GBK" w:cs="Times New Roman"/>
          <w:b/>
          <w:bCs/>
          <w:color w:val="auto"/>
          <w:sz w:val="24"/>
          <w:szCs w:val="24"/>
          <w:highlight w:val="none"/>
          <w:lang w:eastAsia="zh-CN"/>
        </w:rPr>
        <w:t>）</w:t>
      </w:r>
    </w:p>
    <w:p w14:paraId="2AE935F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4.5.12.1一拖三空调；</w:t>
      </w:r>
    </w:p>
    <w:p w14:paraId="663246A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cs="Times New Roman"/>
          <w:color w:val="auto"/>
          <w:sz w:val="24"/>
          <w:szCs w:val="24"/>
          <w:highlight w:val="none"/>
          <w:lang w:val="en-US" w:eastAsia="zh-CN"/>
        </w:rPr>
        <w:t>4.5.12.2制冷量：≥16KW；</w:t>
      </w:r>
    </w:p>
    <w:p w14:paraId="343A2D8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4.5.12.3制热量：≥17KW；</w:t>
      </w:r>
    </w:p>
    <w:p w14:paraId="1D2B42E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4.5.12.4能效等级：1级。</w:t>
      </w:r>
    </w:p>
    <w:p w14:paraId="662A3893">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w:t>
      </w:r>
      <w:r>
        <w:rPr>
          <w:rFonts w:hint="eastAsia" w:eastAsia="方正仿宋_GBK" w:cs="Times New Roman"/>
          <w:b/>
          <w:bCs/>
          <w:color w:val="auto"/>
          <w:sz w:val="24"/>
          <w:szCs w:val="24"/>
          <w:highlight w:val="none"/>
          <w:lang w:val="en-US" w:eastAsia="zh-CN"/>
        </w:rPr>
        <w:t>.13</w:t>
      </w:r>
      <w:r>
        <w:rPr>
          <w:rFonts w:hint="eastAsia" w:ascii="Times New Roman" w:hAnsi="Times New Roman" w:eastAsia="方正仿宋_GBK" w:cs="Times New Roman"/>
          <w:b/>
          <w:bCs/>
          <w:color w:val="auto"/>
          <w:sz w:val="24"/>
          <w:szCs w:val="24"/>
          <w:highlight w:val="none"/>
          <w:lang w:eastAsia="zh-CN"/>
        </w:rPr>
        <w:t>车内照明系统</w:t>
      </w:r>
      <w:r>
        <w:rPr>
          <w:rFonts w:hint="eastAsia" w:eastAsia="方正仿宋_GBK" w:cs="Times New Roman"/>
          <w:b/>
          <w:bCs/>
          <w:color w:val="auto"/>
          <w:sz w:val="24"/>
          <w:szCs w:val="24"/>
          <w:highlight w:val="none"/>
          <w:lang w:eastAsia="zh-CN"/>
        </w:rPr>
        <w:t>（</w:t>
      </w:r>
      <w:r>
        <w:rPr>
          <w:rFonts w:hint="eastAsia" w:eastAsia="方正仿宋_GBK" w:cs="Times New Roman"/>
          <w:b/>
          <w:bCs/>
          <w:color w:val="auto"/>
          <w:sz w:val="24"/>
          <w:szCs w:val="24"/>
          <w:highlight w:val="none"/>
          <w:lang w:val="en-US" w:eastAsia="zh-CN"/>
        </w:rPr>
        <w:t>1套</w:t>
      </w:r>
      <w:r>
        <w:rPr>
          <w:rFonts w:hint="eastAsia" w:eastAsia="方正仿宋_GBK" w:cs="Times New Roman"/>
          <w:b/>
          <w:bCs/>
          <w:color w:val="auto"/>
          <w:sz w:val="24"/>
          <w:szCs w:val="24"/>
          <w:highlight w:val="none"/>
          <w:lang w:eastAsia="zh-CN"/>
        </w:rPr>
        <w:t>）</w:t>
      </w:r>
    </w:p>
    <w:p w14:paraId="7A17D59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4.5.13.1 LED照明灯，白色；</w:t>
      </w:r>
    </w:p>
    <w:p w14:paraId="41214CC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4.5.13.2灯罩采用PC半透明，左右对称；</w:t>
      </w:r>
    </w:p>
    <w:p w14:paraId="0E6CFAA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4.5.13.3尺寸、外形根据车内布置定制；保证车内会议区照度≥300（lx）。</w:t>
      </w:r>
    </w:p>
    <w:p w14:paraId="15413FD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4.6方舱警示及辅助</w:t>
      </w:r>
    </w:p>
    <w:p w14:paraId="4F9A483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4.6.1倒车影像（1套）</w:t>
      </w:r>
    </w:p>
    <w:p w14:paraId="3F9A949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4.6.1.1</w:t>
      </w:r>
      <w:r>
        <w:rPr>
          <w:rFonts w:hint="eastAsia" w:ascii="Times New Roman" w:hAnsi="Times New Roman" w:eastAsia="方正仿宋_GBK"/>
          <w:color w:val="auto"/>
          <w:sz w:val="24"/>
          <w:szCs w:val="24"/>
          <w:highlight w:val="none"/>
          <w:lang w:eastAsia="zh-CN"/>
        </w:rPr>
        <w:t>安装于牵引车驾驶室后部车架上方中部，360度全景环视摄像头。</w:t>
      </w:r>
    </w:p>
    <w:p w14:paraId="2619CB3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4.6.2方舱行车示廓灯（1套）</w:t>
      </w:r>
    </w:p>
    <w:p w14:paraId="711FCD3F">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4.6.1.2前白后红设置行车工作灯，采用快速插接插件，同步牵引车组合大灯开关开闭</w:t>
      </w:r>
      <w:r>
        <w:rPr>
          <w:rFonts w:hint="eastAsia" w:ascii="Times New Roman" w:hAnsi="Times New Roman" w:eastAsia="方正仿宋_GBK"/>
          <w:color w:val="auto"/>
          <w:sz w:val="24"/>
          <w:szCs w:val="24"/>
          <w:highlight w:val="none"/>
          <w:lang w:eastAsia="zh-CN"/>
        </w:rPr>
        <w:t>。</w:t>
      </w:r>
    </w:p>
    <w:p w14:paraId="48DE2C2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4.6.3方舱工作警示灯（1套）</w:t>
      </w:r>
    </w:p>
    <w:p w14:paraId="7BD734E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4.6.1.3黄色LED频闪灯，安装于扩展舱侧围及前后围，用于夜间开启警示过往行人及车辆。</w:t>
      </w:r>
    </w:p>
    <w:p w14:paraId="5A9A95F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4.6.4舱体检修灯（1套）</w:t>
      </w:r>
    </w:p>
    <w:p w14:paraId="448B2D6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4.6.4.1前部机柜舱上部设备区增加照明灯，机柜内部增加检修灯；</w:t>
      </w:r>
    </w:p>
    <w:p w14:paraId="1FAB3D7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4.6.4.2后部增加操作检修灯，开关高度方便操作。</w:t>
      </w:r>
    </w:p>
    <w:p w14:paraId="101B040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4.6.5警灯警报（1套）</w:t>
      </w:r>
    </w:p>
    <w:p w14:paraId="372A9D1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4.6.5.1红色长排警灯，配置警报器，功率≥200W；</w:t>
      </w:r>
    </w:p>
    <w:p w14:paraId="5810CB37">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4.6.5.2尺寸根据整车外观尺寸定制。</w:t>
      </w:r>
    </w:p>
    <w:p w14:paraId="392AF6E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4.6.6 LED频闪灯（1套）</w:t>
      </w:r>
    </w:p>
    <w:p w14:paraId="42DA69D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4.6.6.1平推舱外凸安装，全红爆闪，外侧左右各5组，内侧左右各4组，前后部各1组</w:t>
      </w:r>
    </w:p>
    <w:p w14:paraId="30EA928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4.6.6.2翼开门相同布置，分开控制（翼开门驾驶室控制、平推舱机柜控制）</w:t>
      </w:r>
      <w:r>
        <w:rPr>
          <w:rFonts w:hint="eastAsia" w:ascii="Times New Roman" w:hAnsi="Times New Roman" w:eastAsia="方正仿宋_GBK"/>
          <w:color w:val="auto"/>
          <w:sz w:val="24"/>
          <w:szCs w:val="24"/>
          <w:highlight w:val="none"/>
          <w:lang w:eastAsia="zh-CN"/>
        </w:rPr>
        <w:t>。</w:t>
      </w:r>
    </w:p>
    <w:p w14:paraId="406C880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4.6.7车外LED场地灯（1套）</w:t>
      </w:r>
    </w:p>
    <w:p w14:paraId="559EE44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4.6.7.1长条LED场地照明，扩展舱左右两侧及前后围安装，用于场地照明及前后围设备检修；</w:t>
      </w:r>
    </w:p>
    <w:p w14:paraId="6131FC83">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4.6.7.2平推舱/翼开门外部左右各加装4个长条场地照明灯，整体在配电箱开关控制</w:t>
      </w:r>
      <w:r>
        <w:rPr>
          <w:rFonts w:hint="eastAsia" w:ascii="Times New Roman" w:hAnsi="Times New Roman" w:eastAsia="方正仿宋_GBK"/>
          <w:color w:val="auto"/>
          <w:sz w:val="24"/>
          <w:szCs w:val="24"/>
          <w:highlight w:val="none"/>
          <w:lang w:eastAsia="zh-CN"/>
        </w:rPr>
        <w:t>。</w:t>
      </w:r>
    </w:p>
    <w:p w14:paraId="0EB2EE4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4.6.8扩展舱展开支撑腿（1套）</w:t>
      </w:r>
    </w:p>
    <w:p w14:paraId="2894E4D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4.6.8.1地面展开：手动调节支撑，用于扩展舱展开后同地面支撑</w:t>
      </w:r>
      <w:r>
        <w:rPr>
          <w:rFonts w:hint="eastAsia" w:ascii="Times New Roman" w:hAnsi="Times New Roman" w:eastAsia="方正仿宋_GBK"/>
          <w:color w:val="auto"/>
          <w:sz w:val="24"/>
          <w:szCs w:val="24"/>
          <w:highlight w:val="none"/>
          <w:lang w:eastAsia="zh-CN"/>
        </w:rPr>
        <w:t>。</w:t>
      </w:r>
    </w:p>
    <w:p w14:paraId="372CE4F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Times New Roman" w:hAnsi="Times New Roman" w:eastAsia="方正仿宋_GBK" w:cs="Times New Roman"/>
          <w:b/>
          <w:bCs/>
          <w:color w:val="auto"/>
          <w:sz w:val="24"/>
          <w:szCs w:val="24"/>
          <w:highlight w:val="none"/>
          <w:lang w:val="en-US" w:eastAsia="zh-CN"/>
        </w:rPr>
      </w:pPr>
      <w:r>
        <w:rPr>
          <w:rFonts w:hint="eastAsia" w:eastAsia="方正仿宋_GBK" w:cs="Times New Roman"/>
          <w:b/>
          <w:bCs/>
          <w:color w:val="auto"/>
          <w:sz w:val="24"/>
          <w:szCs w:val="24"/>
          <w:highlight w:val="none"/>
          <w:lang w:val="en-US" w:eastAsia="zh-CN"/>
        </w:rPr>
        <w:t>4.6.9八连杆防雨篷（1套）</w:t>
      </w:r>
    </w:p>
    <w:p w14:paraId="0A5D8FE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4.6.9.1手动卷收装置，同面漆颜色定制</w:t>
      </w:r>
      <w:r>
        <w:rPr>
          <w:rFonts w:hint="eastAsia" w:ascii="Times New Roman" w:hAnsi="Times New Roman" w:eastAsia="方正仿宋_GBK"/>
          <w:color w:val="auto"/>
          <w:sz w:val="24"/>
          <w:szCs w:val="24"/>
          <w:highlight w:val="none"/>
          <w:lang w:eastAsia="zh-CN"/>
        </w:rPr>
        <w:t>。</w:t>
      </w:r>
    </w:p>
    <w:p w14:paraId="203EF9B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w:t>
      </w:r>
      <w:r>
        <w:rPr>
          <w:rFonts w:hint="eastAsia" w:ascii="Times New Roman" w:hAnsi="Times New Roman" w:eastAsia="方正仿宋_GBK" w:cs="Times New Roman"/>
          <w:b/>
          <w:bCs/>
          <w:color w:val="auto"/>
          <w:sz w:val="24"/>
          <w:szCs w:val="24"/>
          <w:highlight w:val="none"/>
          <w:lang w:eastAsia="zh-CN"/>
        </w:rPr>
        <w:t>车体改制及其他</w:t>
      </w:r>
    </w:p>
    <w:p w14:paraId="54FC068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w:t>
      </w:r>
      <w:r>
        <w:rPr>
          <w:rFonts w:hint="eastAsia" w:ascii="Times New Roman" w:hAnsi="Times New Roman" w:eastAsia="方正仿宋_GBK" w:cs="Times New Roman"/>
          <w:b/>
          <w:bCs/>
          <w:color w:val="auto"/>
          <w:sz w:val="24"/>
          <w:szCs w:val="24"/>
          <w:highlight w:val="none"/>
          <w:lang w:eastAsia="zh-CN"/>
        </w:rPr>
        <w:t>主厢体骨架</w:t>
      </w:r>
      <w:r>
        <w:rPr>
          <w:rFonts w:hint="eastAsia" w:eastAsia="方正仿宋_GBK" w:cs="Times New Roman"/>
          <w:b/>
          <w:bCs/>
          <w:color w:val="auto"/>
          <w:sz w:val="24"/>
          <w:szCs w:val="24"/>
          <w:highlight w:val="none"/>
          <w:lang w:val="en-US" w:eastAsia="zh-CN"/>
        </w:rPr>
        <w:t>（1套）</w:t>
      </w:r>
    </w:p>
    <w:p w14:paraId="49B09D5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w:t>
      </w:r>
      <w:r>
        <w:rPr>
          <w:rFonts w:hint="eastAsia" w:ascii="Times New Roman" w:hAnsi="Times New Roman" w:eastAsia="方正仿宋_GBK"/>
          <w:color w:val="auto"/>
          <w:sz w:val="24"/>
          <w:szCs w:val="24"/>
          <w:highlight w:val="none"/>
          <w:lang w:eastAsia="zh-CN"/>
        </w:rPr>
        <w:t>1采用钢管及冲筋板结构焊接而成，焊后整体打磨光滑；</w:t>
      </w:r>
    </w:p>
    <w:p w14:paraId="047D9CE2">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w:t>
      </w:r>
      <w:r>
        <w:rPr>
          <w:rFonts w:hint="eastAsia" w:ascii="Times New Roman" w:hAnsi="Times New Roman" w:eastAsia="方正仿宋_GBK"/>
          <w:color w:val="auto"/>
          <w:sz w:val="24"/>
          <w:szCs w:val="24"/>
          <w:highlight w:val="none"/>
          <w:lang w:eastAsia="zh-CN"/>
        </w:rPr>
        <w:t>2重载部位采用高强度钢材，确保厢体整体结构强度；</w:t>
      </w:r>
    </w:p>
    <w:p w14:paraId="694AF8C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w:t>
      </w:r>
      <w:r>
        <w:rPr>
          <w:rFonts w:hint="eastAsia" w:ascii="Times New Roman" w:hAnsi="Times New Roman" w:eastAsia="方正仿宋_GBK"/>
          <w:color w:val="auto"/>
          <w:sz w:val="24"/>
          <w:szCs w:val="24"/>
          <w:highlight w:val="none"/>
          <w:lang w:eastAsia="zh-CN"/>
        </w:rPr>
        <w:t>3厢体骨架整体采用阴极电泳处理，确保8年内不锈蚀</w:t>
      </w:r>
      <w:r>
        <w:rPr>
          <w:rFonts w:hint="eastAsia" w:eastAsia="方正仿宋_GBK"/>
          <w:color w:val="auto"/>
          <w:sz w:val="24"/>
          <w:szCs w:val="24"/>
          <w:highlight w:val="none"/>
          <w:lang w:eastAsia="zh-CN"/>
        </w:rPr>
        <w:t>。</w:t>
      </w:r>
    </w:p>
    <w:p w14:paraId="50E3610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7.2主厢体蒙皮</w:t>
      </w:r>
      <w:r>
        <w:rPr>
          <w:rFonts w:hint="eastAsia" w:eastAsia="方正仿宋_GBK" w:cs="Times New Roman"/>
          <w:b/>
          <w:bCs/>
          <w:color w:val="auto"/>
          <w:sz w:val="24"/>
          <w:szCs w:val="24"/>
          <w:highlight w:val="none"/>
          <w:lang w:val="en-US" w:eastAsia="zh-CN"/>
        </w:rPr>
        <w:t>（1套）</w:t>
      </w:r>
    </w:p>
    <w:p w14:paraId="6EC3865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default"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4.7.2.1蒙皮采用钢板蒙皮；</w:t>
      </w:r>
    </w:p>
    <w:p w14:paraId="0F7F8A2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4.7.2.2蒙皮采用高强度密封胶密封</w:t>
      </w:r>
      <w:r>
        <w:rPr>
          <w:rFonts w:hint="eastAsia" w:eastAsia="方正仿宋_GBK"/>
          <w:color w:val="auto"/>
          <w:sz w:val="24"/>
          <w:szCs w:val="24"/>
          <w:highlight w:val="none"/>
          <w:lang w:eastAsia="zh-CN"/>
        </w:rPr>
        <w:t>。</w:t>
      </w:r>
    </w:p>
    <w:p w14:paraId="50C9621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7.3主厢体合拢</w:t>
      </w:r>
      <w:r>
        <w:rPr>
          <w:rFonts w:hint="eastAsia" w:eastAsia="方正仿宋_GBK" w:cs="Times New Roman"/>
          <w:b/>
          <w:bCs/>
          <w:color w:val="auto"/>
          <w:sz w:val="24"/>
          <w:szCs w:val="24"/>
          <w:highlight w:val="none"/>
          <w:lang w:val="en-US" w:eastAsia="zh-CN"/>
        </w:rPr>
        <w:t>（1套）</w:t>
      </w:r>
    </w:p>
    <w:p w14:paraId="358680A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4.7.3.1通过数字化骨架合装胎具专用定位工装设备、调运工装设备及专用合装设备，将厢体前围厢板1套、顶厢板1套、后围厢板1套、侧围固定翼开厢板2套、翼开铰链若干、重载翼开控制支撑系统1套（含电控及动力举升机构）等部件进行合拢；</w:t>
      </w:r>
    </w:p>
    <w:p w14:paraId="1F001F5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4.7.3.2蒙皮安装于骨架两侧、舱壁内灌注聚氨酯泡沫，局部采用轻量化隔热降噪棉，各角采用标准集装箱角组件；</w:t>
      </w:r>
    </w:p>
    <w:p w14:paraId="68B26F3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4.7.3.3厢体通过重载高精度动力举升部件实现活动舱同固定舱之间配合及开启；</w:t>
      </w:r>
    </w:p>
    <w:p w14:paraId="3D17EC3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4.7.3.4合拢后厢体长≥12m（不含自卸支腿），宽≤2.5m，高≤3m。</w:t>
      </w:r>
      <w:r>
        <w:rPr>
          <w:rFonts w:hint="eastAsia" w:eastAsia="方正仿宋_GBK"/>
          <w:color w:val="auto"/>
          <w:sz w:val="24"/>
          <w:szCs w:val="24"/>
          <w:highlight w:val="none"/>
          <w:lang w:eastAsia="zh-CN"/>
        </w:rPr>
        <w:t>。</w:t>
      </w:r>
    </w:p>
    <w:p w14:paraId="650FE0A1">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7.4</w:t>
      </w:r>
      <w:r>
        <w:rPr>
          <w:rFonts w:hint="eastAsia" w:ascii="Times New Roman" w:hAnsi="Times New Roman" w:eastAsia="方正仿宋_GBK" w:cs="Times New Roman"/>
          <w:b/>
          <w:bCs/>
          <w:color w:val="auto"/>
          <w:sz w:val="24"/>
          <w:szCs w:val="24"/>
          <w:highlight w:val="none"/>
          <w:lang w:eastAsia="zh-CN"/>
        </w:rPr>
        <w:t>侧厢体骨架</w:t>
      </w:r>
      <w:r>
        <w:rPr>
          <w:rFonts w:hint="eastAsia" w:eastAsia="方正仿宋_GBK" w:cs="Times New Roman"/>
          <w:b/>
          <w:bCs/>
          <w:color w:val="auto"/>
          <w:sz w:val="24"/>
          <w:szCs w:val="24"/>
          <w:highlight w:val="none"/>
          <w:lang w:val="en-US" w:eastAsia="zh-CN"/>
        </w:rPr>
        <w:t>（1套）</w:t>
      </w:r>
    </w:p>
    <w:p w14:paraId="388D4EF7">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4.7.4.1、质钢管及冲筋板焊接而成，焊后修整，骨架整体电泳处理，车身防腐五层防护工艺；</w:t>
      </w:r>
    </w:p>
    <w:p w14:paraId="1B9441D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4.7.4.2重载部位采用高强度钢材，确保厢体整体结构强度；</w:t>
      </w:r>
    </w:p>
    <w:p w14:paraId="6B9C4567">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4.7.4.3厢体骨架整体采用阴极电泳处理，确保8年内不锈蚀；</w:t>
      </w:r>
    </w:p>
    <w:p w14:paraId="3686E39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4.7.4.4通过制作专用片装工装胎模具，有效保证舱体整体尺寸精度</w:t>
      </w:r>
      <w:r>
        <w:rPr>
          <w:rFonts w:hint="eastAsia" w:eastAsia="方正仿宋_GBK"/>
          <w:color w:val="auto"/>
          <w:sz w:val="24"/>
          <w:szCs w:val="24"/>
          <w:highlight w:val="none"/>
          <w:lang w:eastAsia="zh-CN"/>
        </w:rPr>
        <w:t>。</w:t>
      </w:r>
    </w:p>
    <w:p w14:paraId="2E678D0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7.5</w:t>
      </w:r>
      <w:r>
        <w:rPr>
          <w:rFonts w:hint="eastAsia" w:ascii="Times New Roman" w:hAnsi="Times New Roman" w:eastAsia="方正仿宋_GBK" w:cs="Times New Roman"/>
          <w:b/>
          <w:bCs/>
          <w:color w:val="auto"/>
          <w:sz w:val="24"/>
          <w:szCs w:val="24"/>
          <w:highlight w:val="none"/>
          <w:lang w:eastAsia="zh-CN"/>
        </w:rPr>
        <w:t>侧厢体蒙皮</w:t>
      </w:r>
      <w:r>
        <w:rPr>
          <w:rFonts w:hint="eastAsia" w:eastAsia="方正仿宋_GBK" w:cs="Times New Roman"/>
          <w:b/>
          <w:bCs/>
          <w:color w:val="auto"/>
          <w:sz w:val="24"/>
          <w:szCs w:val="24"/>
          <w:highlight w:val="none"/>
          <w:lang w:val="en-US" w:eastAsia="zh-CN"/>
        </w:rPr>
        <w:t>（1套）</w:t>
      </w:r>
    </w:p>
    <w:p w14:paraId="05A82E2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4.7.5.1蒙皮采用优质钢板蒙皮，具有耐腐蚀性，控制硬度加工工艺；</w:t>
      </w:r>
    </w:p>
    <w:p w14:paraId="30A3B2C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4.7.5.2蒙皮密封采用黑色密封胶，有效保证蒙皮密封强度及耐候性</w:t>
      </w:r>
      <w:r>
        <w:rPr>
          <w:rFonts w:hint="eastAsia" w:eastAsia="方正仿宋_GBK"/>
          <w:color w:val="auto"/>
          <w:sz w:val="24"/>
          <w:szCs w:val="24"/>
          <w:highlight w:val="none"/>
          <w:lang w:eastAsia="zh-CN"/>
        </w:rPr>
        <w:t>。</w:t>
      </w:r>
    </w:p>
    <w:p w14:paraId="2604EBA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7.6侧舱厢体合拢</w:t>
      </w:r>
      <w:r>
        <w:rPr>
          <w:rFonts w:hint="eastAsia" w:eastAsia="方正仿宋_GBK" w:cs="Times New Roman"/>
          <w:b/>
          <w:bCs/>
          <w:color w:val="auto"/>
          <w:sz w:val="24"/>
          <w:szCs w:val="24"/>
          <w:highlight w:val="none"/>
          <w:lang w:val="en-US" w:eastAsia="zh-CN"/>
        </w:rPr>
        <w:t>（1套）</w:t>
      </w:r>
    </w:p>
    <w:p w14:paraId="7FE88E9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4.7.6.1通过数字化骨架合装胎具专用定位工装设备、调运工装设备及专用合装设备，将拓展厢体侧围厢板2套、前后厢板4套、折叠外伸地2套板、随动运行铰链、侧围厢板重载平推连动控制支撑系统等部件进行合拢；</w:t>
      </w:r>
    </w:p>
    <w:p w14:paraId="385DEF6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4.7.6.2厢体通过重载高精度动力推进部件实现活动舱同固定舱之间配合及开启；</w:t>
      </w:r>
    </w:p>
    <w:p w14:paraId="0A8D16A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4.7.6.3侧舱长≥11m，相对车身外廓展开宽≥2.5m，高≥2.5m</w:t>
      </w:r>
      <w:r>
        <w:rPr>
          <w:rFonts w:hint="eastAsia" w:eastAsia="方正仿宋_GBK"/>
          <w:color w:val="auto"/>
          <w:sz w:val="24"/>
          <w:szCs w:val="24"/>
          <w:highlight w:val="none"/>
          <w:lang w:eastAsia="zh-CN"/>
        </w:rPr>
        <w:t>。</w:t>
      </w:r>
    </w:p>
    <w:p w14:paraId="2639732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7.7</w:t>
      </w:r>
      <w:r>
        <w:rPr>
          <w:rFonts w:hint="eastAsia" w:ascii="Times New Roman" w:hAnsi="Times New Roman" w:eastAsia="方正仿宋_GBK" w:cs="Times New Roman"/>
          <w:b/>
          <w:bCs/>
          <w:color w:val="auto"/>
          <w:sz w:val="24"/>
          <w:szCs w:val="24"/>
          <w:highlight w:val="none"/>
          <w:lang w:eastAsia="zh-CN"/>
        </w:rPr>
        <w:t>方舱扩展机构</w:t>
      </w:r>
      <w:r>
        <w:rPr>
          <w:rFonts w:hint="eastAsia" w:eastAsia="方正仿宋_GBK" w:cs="Times New Roman"/>
          <w:b/>
          <w:bCs/>
          <w:color w:val="auto"/>
          <w:sz w:val="24"/>
          <w:szCs w:val="24"/>
          <w:highlight w:val="none"/>
          <w:lang w:val="en-US" w:eastAsia="zh-CN"/>
        </w:rPr>
        <w:t>（1套）</w:t>
      </w:r>
    </w:p>
    <w:p w14:paraId="47E95923">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4.7.7.1侧舱顶壁翻转机构，通过电控液压泵站支撑开闭，液压系统采用低温液压油，耐候性能：工作环境温度至少包含-30°～55°C；</w:t>
      </w:r>
    </w:p>
    <w:p w14:paraId="2ABEE92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4.7.7.2侧舱连杆式支承展开机构，通过电控液压连动平移机构确保侧围板平推展开；</w:t>
      </w:r>
    </w:p>
    <w:p w14:paraId="490C58B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4.7.7.3折叠地板收扩及限位机构，通过折叠收折，闭合收起在舱内，开启后下部有效支撑地面，确保舱体地板平稳；</w:t>
      </w:r>
    </w:p>
    <w:p w14:paraId="7002F69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4.7.7.4电控及时序控制系统，通过系统面板集中控制，实现舱体整体开闭；</w:t>
      </w:r>
    </w:p>
    <w:p w14:paraId="205000D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4.7.7.5方舱扩展系统动力控制单元安装于舱位中后部，可通过线控手柄、无线及按钮多种操控方式，方便方舱快速布设及撤收</w:t>
      </w:r>
      <w:r>
        <w:rPr>
          <w:rFonts w:hint="eastAsia" w:eastAsia="方正仿宋_GBK"/>
          <w:color w:val="auto"/>
          <w:sz w:val="24"/>
          <w:szCs w:val="24"/>
          <w:highlight w:val="none"/>
          <w:lang w:eastAsia="zh-CN"/>
        </w:rPr>
        <w:t>。</w:t>
      </w:r>
    </w:p>
    <w:p w14:paraId="401ED6DC">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7.8门骨架（含门及通风格栅）</w:t>
      </w:r>
      <w:r>
        <w:rPr>
          <w:rFonts w:hint="eastAsia" w:eastAsia="方正仿宋_GBK" w:cs="Times New Roman"/>
          <w:b/>
          <w:bCs/>
          <w:color w:val="auto"/>
          <w:sz w:val="24"/>
          <w:szCs w:val="24"/>
          <w:highlight w:val="none"/>
          <w:lang w:val="en-US" w:eastAsia="zh-CN"/>
        </w:rPr>
        <w:t>（6套）</w:t>
      </w:r>
    </w:p>
    <w:p w14:paraId="70233292">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4.7.8.1采用铝合金骨架焊接而成，焊接时通过定位工装进行夹紧固定，焊后修整，通道尺寸≥1800mm×800mm（车前、车尾设备检修门根据设备空间定制尺寸）。</w:t>
      </w:r>
    </w:p>
    <w:p w14:paraId="5850C4A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4.7.8.2采用挤压成型铝合金骨架焊接而成，确保整体门体平整度及强度要求；</w:t>
      </w:r>
    </w:p>
    <w:p w14:paraId="1C461307">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4.7.8.3焊接通过定位工装进行夹紧固定，焊后修整，有效控制强度及变形量</w:t>
      </w:r>
      <w:r>
        <w:rPr>
          <w:rFonts w:hint="eastAsia" w:eastAsia="方正仿宋_GBK"/>
          <w:color w:val="auto"/>
          <w:sz w:val="24"/>
          <w:szCs w:val="24"/>
          <w:highlight w:val="none"/>
          <w:lang w:eastAsia="zh-CN"/>
        </w:rPr>
        <w:t>。</w:t>
      </w:r>
    </w:p>
    <w:p w14:paraId="0DF31CE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7.9乘客门/检修门</w:t>
      </w:r>
      <w:r>
        <w:rPr>
          <w:rFonts w:hint="eastAsia" w:eastAsia="方正仿宋_GBK" w:cs="Times New Roman"/>
          <w:b/>
          <w:bCs/>
          <w:color w:val="auto"/>
          <w:sz w:val="24"/>
          <w:szCs w:val="24"/>
          <w:highlight w:val="none"/>
          <w:lang w:val="en-US" w:eastAsia="zh-CN"/>
        </w:rPr>
        <w:t>（6套）</w:t>
      </w:r>
    </w:p>
    <w:p w14:paraId="2DEBEDC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4.7.9.1采用整张铝合金板材制作而成；</w:t>
      </w:r>
    </w:p>
    <w:p w14:paraId="2267DEA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4.7.9.2门锁、铰链及观察窗等孔口数控激光切割一次成型，确保整体加工精度</w:t>
      </w:r>
      <w:r>
        <w:rPr>
          <w:rFonts w:hint="eastAsia" w:eastAsia="方正仿宋_GBK"/>
          <w:color w:val="auto"/>
          <w:sz w:val="24"/>
          <w:szCs w:val="24"/>
          <w:highlight w:val="none"/>
          <w:lang w:eastAsia="zh-CN"/>
        </w:rPr>
        <w:t>。</w:t>
      </w:r>
    </w:p>
    <w:p w14:paraId="0A896769">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7.10</w:t>
      </w:r>
      <w:r>
        <w:rPr>
          <w:rFonts w:hint="eastAsia" w:ascii="Times New Roman" w:hAnsi="Times New Roman" w:eastAsia="方正仿宋_GBK" w:cs="Times New Roman"/>
          <w:b/>
          <w:bCs/>
          <w:color w:val="auto"/>
          <w:sz w:val="24"/>
          <w:szCs w:val="24"/>
          <w:highlight w:val="none"/>
          <w:lang w:eastAsia="zh-CN"/>
        </w:rPr>
        <w:t>锁紧限位机构</w:t>
      </w:r>
      <w:r>
        <w:rPr>
          <w:rFonts w:hint="eastAsia" w:eastAsia="方正仿宋_GBK" w:cs="Times New Roman"/>
          <w:b/>
          <w:bCs/>
          <w:color w:val="auto"/>
          <w:sz w:val="24"/>
          <w:szCs w:val="24"/>
          <w:highlight w:val="none"/>
          <w:lang w:val="en-US" w:eastAsia="zh-CN"/>
        </w:rPr>
        <w:t>（6套）</w:t>
      </w:r>
    </w:p>
    <w:p w14:paraId="44952E3C">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4.7.10.1内嵌拉杆式汽车门锁，锁机具有二挡锁止；</w:t>
      </w:r>
    </w:p>
    <w:p w14:paraId="4BC3188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4.7.10.2锁具安装密封可靠，确保淋雨无渗漏、行车无异响。</w:t>
      </w:r>
      <w:r>
        <w:rPr>
          <w:rFonts w:hint="eastAsia" w:eastAsia="方正仿宋_GBK"/>
          <w:color w:val="auto"/>
          <w:sz w:val="24"/>
          <w:szCs w:val="24"/>
          <w:highlight w:val="none"/>
          <w:lang w:eastAsia="zh-CN"/>
        </w:rPr>
        <w:t>。</w:t>
      </w:r>
    </w:p>
    <w:p w14:paraId="5CB3AF8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7.11</w:t>
      </w:r>
      <w:r>
        <w:rPr>
          <w:rFonts w:hint="eastAsia" w:ascii="Times New Roman" w:hAnsi="Times New Roman" w:eastAsia="方正仿宋_GBK" w:cs="Times New Roman"/>
          <w:b/>
          <w:bCs/>
          <w:color w:val="auto"/>
          <w:sz w:val="24"/>
          <w:szCs w:val="24"/>
          <w:highlight w:val="none"/>
          <w:lang w:eastAsia="zh-CN"/>
        </w:rPr>
        <w:t>接口板防雨小门</w:t>
      </w:r>
      <w:r>
        <w:rPr>
          <w:rFonts w:hint="eastAsia" w:eastAsia="方正仿宋_GBK" w:cs="Times New Roman"/>
          <w:b/>
          <w:bCs/>
          <w:color w:val="auto"/>
          <w:sz w:val="24"/>
          <w:szCs w:val="24"/>
          <w:highlight w:val="none"/>
          <w:lang w:val="en-US" w:eastAsia="zh-CN"/>
        </w:rPr>
        <w:t>（1套）</w:t>
      </w:r>
    </w:p>
    <w:p w14:paraId="31EC744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4.7.11.1内嵌安装于接口箱后开门，线束增加悬垂钢丝拉扣，避免长时间悬垂导致线束损坏</w:t>
      </w:r>
      <w:r>
        <w:rPr>
          <w:rFonts w:hint="eastAsia" w:eastAsia="方正仿宋_GBK"/>
          <w:color w:val="auto"/>
          <w:sz w:val="24"/>
          <w:szCs w:val="24"/>
          <w:highlight w:val="none"/>
          <w:lang w:eastAsia="zh-CN"/>
        </w:rPr>
        <w:t>。</w:t>
      </w:r>
    </w:p>
    <w:p w14:paraId="6707BA73">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7.12</w:t>
      </w:r>
      <w:r>
        <w:rPr>
          <w:rFonts w:hint="eastAsia" w:ascii="Times New Roman" w:hAnsi="Times New Roman" w:eastAsia="方正仿宋_GBK" w:cs="Times New Roman"/>
          <w:b/>
          <w:bCs/>
          <w:color w:val="auto"/>
          <w:sz w:val="24"/>
          <w:szCs w:val="24"/>
          <w:highlight w:val="none"/>
          <w:lang w:eastAsia="zh-CN"/>
        </w:rPr>
        <w:t>采光窗</w:t>
      </w:r>
      <w:r>
        <w:rPr>
          <w:rFonts w:hint="eastAsia" w:eastAsia="方正仿宋_GBK" w:cs="Times New Roman"/>
          <w:b/>
          <w:bCs/>
          <w:color w:val="auto"/>
          <w:sz w:val="24"/>
          <w:szCs w:val="24"/>
          <w:highlight w:val="none"/>
          <w:lang w:val="en-US" w:eastAsia="zh-CN"/>
        </w:rPr>
        <w:t>（6套）</w:t>
      </w:r>
    </w:p>
    <w:p w14:paraId="29557C4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4.7.12.1整体成型铝合金推拉式通风采光窗，汽车用钢化玻璃；</w:t>
      </w:r>
    </w:p>
    <w:p w14:paraId="2230EBE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4.7.12.2玻璃内附深灰色隐私膜，确保会议私密性</w:t>
      </w:r>
      <w:r>
        <w:rPr>
          <w:rFonts w:hint="eastAsia" w:eastAsia="方正仿宋_GBK"/>
          <w:color w:val="auto"/>
          <w:sz w:val="24"/>
          <w:szCs w:val="24"/>
          <w:highlight w:val="none"/>
          <w:lang w:eastAsia="zh-CN"/>
        </w:rPr>
        <w:t>。</w:t>
      </w:r>
    </w:p>
    <w:p w14:paraId="2B40F649">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7.13</w:t>
      </w:r>
      <w:r>
        <w:rPr>
          <w:rFonts w:hint="eastAsia" w:ascii="Times New Roman" w:hAnsi="Times New Roman" w:eastAsia="方正仿宋_GBK" w:cs="Times New Roman"/>
          <w:b/>
          <w:bCs/>
          <w:color w:val="auto"/>
          <w:sz w:val="24"/>
          <w:szCs w:val="24"/>
          <w:highlight w:val="none"/>
          <w:lang w:eastAsia="zh-CN"/>
        </w:rPr>
        <w:t>防蚊纱窗</w:t>
      </w:r>
      <w:r>
        <w:rPr>
          <w:rFonts w:hint="eastAsia" w:eastAsia="方正仿宋_GBK" w:cs="Times New Roman"/>
          <w:b/>
          <w:bCs/>
          <w:color w:val="auto"/>
          <w:sz w:val="24"/>
          <w:szCs w:val="24"/>
          <w:highlight w:val="none"/>
          <w:lang w:val="en-US" w:eastAsia="zh-CN"/>
        </w:rPr>
        <w:t>（6套）</w:t>
      </w:r>
    </w:p>
    <w:p w14:paraId="32E9B5B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4.7.13.1与采光窗定制，采用优质防蚊纱和型材边框制作</w:t>
      </w:r>
      <w:r>
        <w:rPr>
          <w:rFonts w:hint="eastAsia" w:eastAsia="方正仿宋_GBK"/>
          <w:color w:val="auto"/>
          <w:sz w:val="24"/>
          <w:szCs w:val="24"/>
          <w:highlight w:val="none"/>
          <w:lang w:eastAsia="zh-CN"/>
        </w:rPr>
        <w:t>。</w:t>
      </w:r>
    </w:p>
    <w:p w14:paraId="207B3019">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7.14窗帘</w:t>
      </w:r>
      <w:r>
        <w:rPr>
          <w:rFonts w:hint="eastAsia" w:eastAsia="方正仿宋_GBK" w:cs="Times New Roman"/>
          <w:b/>
          <w:bCs/>
          <w:color w:val="auto"/>
          <w:sz w:val="24"/>
          <w:szCs w:val="24"/>
          <w:highlight w:val="none"/>
          <w:lang w:val="en-US" w:eastAsia="zh-CN"/>
        </w:rPr>
        <w:t>（1套）</w:t>
      </w:r>
    </w:p>
    <w:p w14:paraId="135E3B51">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4.7.14.1侧窗采用成型上下避光/防蚊两用帘，乘客门采用避光帘</w:t>
      </w:r>
      <w:r>
        <w:rPr>
          <w:rFonts w:hint="eastAsia" w:eastAsia="方正仿宋_GBK"/>
          <w:color w:val="auto"/>
          <w:sz w:val="24"/>
          <w:szCs w:val="24"/>
          <w:highlight w:val="none"/>
          <w:lang w:eastAsia="zh-CN"/>
        </w:rPr>
        <w:t>。</w:t>
      </w:r>
    </w:p>
    <w:p w14:paraId="7FBDB3B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7.15升降机构</w:t>
      </w:r>
      <w:r>
        <w:rPr>
          <w:rFonts w:hint="eastAsia" w:eastAsia="方正仿宋_GBK" w:cs="Times New Roman"/>
          <w:b/>
          <w:bCs/>
          <w:color w:val="auto"/>
          <w:sz w:val="24"/>
          <w:szCs w:val="24"/>
          <w:highlight w:val="none"/>
          <w:lang w:val="en-US" w:eastAsia="zh-CN"/>
        </w:rPr>
        <w:t>（1套）</w:t>
      </w:r>
    </w:p>
    <w:p w14:paraId="4F46F38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4.7.15.1电控液压升降机构，与舱体角组件配合安装，单腿举升力≥10T，配有集中控制单元；</w:t>
      </w:r>
    </w:p>
    <w:p w14:paraId="40CBAD1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4.7.15.2装配高寒用液压泵站，满足寒冷季节有效运行</w:t>
      </w:r>
      <w:r>
        <w:rPr>
          <w:rFonts w:hint="eastAsia" w:eastAsia="方正仿宋_GBK"/>
          <w:color w:val="auto"/>
          <w:sz w:val="24"/>
          <w:szCs w:val="24"/>
          <w:highlight w:val="none"/>
          <w:lang w:eastAsia="zh-CN"/>
        </w:rPr>
        <w:t>。</w:t>
      </w:r>
    </w:p>
    <w:p w14:paraId="4F215C9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7.16登舱梯</w:t>
      </w:r>
      <w:r>
        <w:rPr>
          <w:rFonts w:hint="eastAsia" w:eastAsia="方正仿宋_GBK" w:cs="Times New Roman"/>
          <w:b/>
          <w:bCs/>
          <w:color w:val="auto"/>
          <w:sz w:val="24"/>
          <w:szCs w:val="24"/>
          <w:highlight w:val="none"/>
          <w:lang w:val="en-US" w:eastAsia="zh-CN"/>
        </w:rPr>
        <w:t>（1套）</w:t>
      </w:r>
    </w:p>
    <w:p w14:paraId="110298EC">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4.7.16.1便携折叠人字梯，铝合金材质，带防滑踏步；</w:t>
      </w:r>
    </w:p>
    <w:p w14:paraId="31F2781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4.7.16.2展开高度1.7m（±0.2m），收回高度0.6m（±0.1m）；</w:t>
      </w:r>
    </w:p>
    <w:p w14:paraId="5A777ED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4.7.16.3挂梯安装在半挂车侧裙边固定。</w:t>
      </w:r>
    </w:p>
    <w:p w14:paraId="4AD64C1E">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7.17会议桌</w:t>
      </w:r>
      <w:r>
        <w:rPr>
          <w:rFonts w:hint="eastAsia" w:eastAsia="方正仿宋_GBK" w:cs="Times New Roman"/>
          <w:b/>
          <w:bCs/>
          <w:color w:val="auto"/>
          <w:sz w:val="24"/>
          <w:szCs w:val="24"/>
          <w:highlight w:val="none"/>
          <w:lang w:val="en-US" w:eastAsia="zh-CN"/>
        </w:rPr>
        <w:t>（1套）</w:t>
      </w:r>
    </w:p>
    <w:p w14:paraId="5631D95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4.7.17.1主舱会议桌总体长度≥8.5m；</w:t>
      </w:r>
    </w:p>
    <w:p w14:paraId="62B09E9C">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4.7.17.2 E0级多层实木，环保材质；</w:t>
      </w:r>
    </w:p>
    <w:p w14:paraId="790C7CB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4.7.17.3会议桌内嵌安装话筒、接口板等会议功能；</w:t>
      </w:r>
    </w:p>
    <w:p w14:paraId="2D2281A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4.7.17.4桌体采用高光泽烤漆；</w:t>
      </w:r>
    </w:p>
    <w:p w14:paraId="3DC0FA1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4.7.17.5通过组装工装夹具，确保会议桌整体装配精度及可靠性；</w:t>
      </w:r>
    </w:p>
    <w:p w14:paraId="2E94D78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4.7.17.6桌表面亚光水晶桌布，配备桌面插和话筒开孔</w:t>
      </w:r>
      <w:r>
        <w:rPr>
          <w:rFonts w:hint="eastAsia" w:eastAsia="方正仿宋_GBK"/>
          <w:color w:val="auto"/>
          <w:sz w:val="24"/>
          <w:szCs w:val="24"/>
          <w:highlight w:val="none"/>
          <w:lang w:eastAsia="zh-CN"/>
        </w:rPr>
        <w:t>。</w:t>
      </w:r>
    </w:p>
    <w:p w14:paraId="352289E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7.18</w:t>
      </w:r>
      <w:r>
        <w:rPr>
          <w:rFonts w:hint="eastAsia" w:ascii="Times New Roman" w:hAnsi="Times New Roman" w:eastAsia="方正仿宋_GBK" w:cs="Times New Roman"/>
          <w:b/>
          <w:bCs/>
          <w:color w:val="auto"/>
          <w:sz w:val="24"/>
          <w:szCs w:val="24"/>
          <w:highlight w:val="none"/>
          <w:lang w:eastAsia="zh-CN"/>
        </w:rPr>
        <w:t>基础内饰</w:t>
      </w:r>
      <w:r>
        <w:rPr>
          <w:rFonts w:hint="eastAsia" w:eastAsia="方正仿宋_GBK" w:cs="Times New Roman"/>
          <w:b/>
          <w:bCs/>
          <w:color w:val="auto"/>
          <w:sz w:val="24"/>
          <w:szCs w:val="24"/>
          <w:highlight w:val="none"/>
          <w:lang w:val="en-US" w:eastAsia="zh-CN"/>
        </w:rPr>
        <w:t>（1套）</w:t>
      </w:r>
    </w:p>
    <w:p w14:paraId="33CCFDF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4.7.18.1采用环保内饰板材对厢体内部进行平整处理，表面包覆软包面料；</w:t>
      </w:r>
    </w:p>
    <w:p w14:paraId="0C5C157C">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4.7.18.2通过高光烤漆辅助装饰，实现厢体整体会议空间效果；</w:t>
      </w:r>
    </w:p>
    <w:p w14:paraId="6F630B2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4.7.18.3错层式吊顶安装结构，有效保证顶部空调管线、电器线束的固定及检修空间；</w:t>
      </w:r>
    </w:p>
    <w:p w14:paraId="295383AF">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4.7.18.4内嵌式贯通式装配灯组、辅助于射灯照明，确保会议照度要求；</w:t>
      </w:r>
    </w:p>
    <w:p w14:paraId="05A468F2">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4.7.18.5会议椅后部可根据客户需求定制文字</w:t>
      </w:r>
      <w:r>
        <w:rPr>
          <w:rFonts w:hint="eastAsia" w:eastAsia="方正仿宋_GBK"/>
          <w:color w:val="auto"/>
          <w:sz w:val="24"/>
          <w:szCs w:val="24"/>
          <w:highlight w:val="none"/>
          <w:lang w:eastAsia="zh-CN"/>
        </w:rPr>
        <w:t>。</w:t>
      </w:r>
    </w:p>
    <w:p w14:paraId="2A9C3F47">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7.19</w:t>
      </w:r>
      <w:r>
        <w:rPr>
          <w:rFonts w:hint="eastAsia" w:ascii="Times New Roman" w:hAnsi="Times New Roman" w:eastAsia="方正仿宋_GBK" w:cs="Times New Roman"/>
          <w:b/>
          <w:bCs/>
          <w:color w:val="auto"/>
          <w:sz w:val="24"/>
          <w:szCs w:val="24"/>
          <w:highlight w:val="none"/>
          <w:lang w:eastAsia="zh-CN"/>
        </w:rPr>
        <w:t>显示器固定支架</w:t>
      </w:r>
      <w:r>
        <w:rPr>
          <w:rFonts w:hint="eastAsia" w:eastAsia="方正仿宋_GBK" w:cs="Times New Roman"/>
          <w:b/>
          <w:bCs/>
          <w:color w:val="auto"/>
          <w:sz w:val="24"/>
          <w:szCs w:val="24"/>
          <w:highlight w:val="none"/>
          <w:lang w:val="en-US" w:eastAsia="zh-CN"/>
        </w:rPr>
        <w:t>（1套）</w:t>
      </w:r>
    </w:p>
    <w:p w14:paraId="26F37AC1">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eastAsia="方正仿宋_GBK"/>
          <w:color w:val="auto"/>
          <w:sz w:val="24"/>
          <w:szCs w:val="24"/>
          <w:highlight w:val="none"/>
          <w:lang w:val="en-US" w:eastAsia="zh-CN"/>
        </w:rPr>
        <w:t>4.7.19.1主显示器采用随车固定；</w:t>
      </w:r>
    </w:p>
    <w:p w14:paraId="09745EBF">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4.7.19.2辅显示器采用可拆挂架随车固定，随车运输。</w:t>
      </w:r>
    </w:p>
    <w:p w14:paraId="72E863E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7.20地板革</w:t>
      </w:r>
      <w:r>
        <w:rPr>
          <w:rFonts w:hint="eastAsia" w:eastAsia="方正仿宋_GBK" w:cs="Times New Roman"/>
          <w:b/>
          <w:bCs/>
          <w:color w:val="auto"/>
          <w:sz w:val="24"/>
          <w:szCs w:val="24"/>
          <w:highlight w:val="none"/>
          <w:lang w:val="en-US" w:eastAsia="zh-CN"/>
        </w:rPr>
        <w:t>（1套）</w:t>
      </w:r>
    </w:p>
    <w:p w14:paraId="490F7F04">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4.7.20.1仿木纹地板革，颜色根据客户需要定制</w:t>
      </w:r>
      <w:r>
        <w:rPr>
          <w:rFonts w:hint="eastAsia" w:eastAsia="方正仿宋_GBK"/>
          <w:color w:val="auto"/>
          <w:sz w:val="24"/>
          <w:szCs w:val="24"/>
          <w:highlight w:val="none"/>
          <w:lang w:eastAsia="zh-CN"/>
        </w:rPr>
        <w:t>。</w:t>
      </w:r>
    </w:p>
    <w:p w14:paraId="5DFB9E2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7.21</w:t>
      </w:r>
      <w:r>
        <w:rPr>
          <w:rFonts w:hint="eastAsia" w:ascii="Times New Roman" w:hAnsi="Times New Roman" w:eastAsia="方正仿宋_GBK" w:cs="Times New Roman"/>
          <w:b/>
          <w:bCs/>
          <w:color w:val="auto"/>
          <w:sz w:val="24"/>
          <w:szCs w:val="24"/>
          <w:highlight w:val="none"/>
          <w:lang w:eastAsia="zh-CN"/>
        </w:rPr>
        <w:t>储物柜</w:t>
      </w:r>
      <w:r>
        <w:rPr>
          <w:rFonts w:hint="eastAsia" w:eastAsia="方正仿宋_GBK" w:cs="Times New Roman"/>
          <w:b/>
          <w:bCs/>
          <w:color w:val="auto"/>
          <w:sz w:val="24"/>
          <w:szCs w:val="24"/>
          <w:highlight w:val="none"/>
          <w:lang w:val="en-US" w:eastAsia="zh-CN"/>
        </w:rPr>
        <w:t>（1套）</w:t>
      </w:r>
    </w:p>
    <w:p w14:paraId="195C513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4.7.21.1E0级多层实木板材，环保材质，桃木纹纹理，高光烤漆处理；</w:t>
      </w:r>
    </w:p>
    <w:p w14:paraId="260613F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4.7.21.2尺寸根据车内空间定制</w:t>
      </w:r>
      <w:r>
        <w:rPr>
          <w:rFonts w:hint="eastAsia" w:eastAsia="方正仿宋_GBK"/>
          <w:color w:val="auto"/>
          <w:sz w:val="24"/>
          <w:szCs w:val="24"/>
          <w:highlight w:val="none"/>
          <w:lang w:eastAsia="zh-CN"/>
        </w:rPr>
        <w:t>。</w:t>
      </w:r>
    </w:p>
    <w:p w14:paraId="437DBF83">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7.22可滑动会议椅</w:t>
      </w:r>
      <w:r>
        <w:rPr>
          <w:rFonts w:hint="eastAsia" w:eastAsia="方正仿宋_GBK" w:cs="Times New Roman"/>
          <w:b/>
          <w:bCs/>
          <w:color w:val="auto"/>
          <w:sz w:val="24"/>
          <w:szCs w:val="24"/>
          <w:highlight w:val="none"/>
          <w:lang w:val="en-US" w:eastAsia="zh-CN"/>
        </w:rPr>
        <w:t>（20张）</w:t>
      </w:r>
    </w:p>
    <w:p w14:paraId="5747C346">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4.7.22.1皮革会议座椅，灰皮革材质，带头枕及软包扶手；</w:t>
      </w:r>
    </w:p>
    <w:p w14:paraId="05DBFA1F">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4.7.22.2会议桌两侧固定式安装，可前后滑动、椅背可调节；</w:t>
      </w:r>
    </w:p>
    <w:p w14:paraId="4BA889E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4.7.22.3尺寸根据车内空间定制，颜色根据客户需要定制。</w:t>
      </w:r>
    </w:p>
    <w:p w14:paraId="6456574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7.23主座椅</w:t>
      </w:r>
      <w:r>
        <w:rPr>
          <w:rFonts w:hint="eastAsia" w:eastAsia="方正仿宋_GBK" w:cs="Times New Roman"/>
          <w:b/>
          <w:bCs/>
          <w:color w:val="auto"/>
          <w:sz w:val="24"/>
          <w:szCs w:val="24"/>
          <w:highlight w:val="none"/>
          <w:lang w:val="en-US" w:eastAsia="zh-CN"/>
        </w:rPr>
        <w:t>（1张）</w:t>
      </w:r>
    </w:p>
    <w:p w14:paraId="3C074835">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4.7.23.1电动真皮会议座椅，商务灰真材质，带头枕及软包扶手；</w:t>
      </w:r>
    </w:p>
    <w:p w14:paraId="1B3567D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4.7.23.2可旋转、前后调节，靠背可调，颜色根据客户需要定制。</w:t>
      </w:r>
    </w:p>
    <w:p w14:paraId="096030D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7.24设备机柜</w:t>
      </w:r>
      <w:r>
        <w:rPr>
          <w:rFonts w:hint="eastAsia" w:eastAsia="方正仿宋_GBK" w:cs="Times New Roman"/>
          <w:b/>
          <w:bCs/>
          <w:color w:val="auto"/>
          <w:sz w:val="24"/>
          <w:szCs w:val="24"/>
          <w:highlight w:val="none"/>
          <w:lang w:val="en-US" w:eastAsia="zh-CN"/>
        </w:rPr>
        <w:t>（2套）</w:t>
      </w:r>
    </w:p>
    <w:p w14:paraId="5A5DCC72">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4.7.24.1≥19寸标准机柜，采用钢板折弯组焊而成，表面喷塑处理；</w:t>
      </w:r>
    </w:p>
    <w:p w14:paraId="23F02FBE">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4.7.24.2定制机柜附件和机柜散热风扇</w:t>
      </w:r>
      <w:r>
        <w:rPr>
          <w:rFonts w:hint="eastAsia" w:eastAsia="方正仿宋_GBK"/>
          <w:color w:val="auto"/>
          <w:sz w:val="24"/>
          <w:szCs w:val="24"/>
          <w:highlight w:val="none"/>
          <w:lang w:eastAsia="zh-CN"/>
        </w:rPr>
        <w:t>。</w:t>
      </w:r>
    </w:p>
    <w:p w14:paraId="547C891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7.25</w:t>
      </w:r>
      <w:r>
        <w:rPr>
          <w:rFonts w:hint="eastAsia" w:ascii="Times New Roman" w:hAnsi="Times New Roman" w:eastAsia="方正仿宋_GBK" w:cs="Times New Roman"/>
          <w:b/>
          <w:bCs/>
          <w:color w:val="auto"/>
          <w:sz w:val="24"/>
          <w:szCs w:val="24"/>
          <w:highlight w:val="none"/>
          <w:lang w:eastAsia="zh-CN"/>
        </w:rPr>
        <w:t>减震器</w:t>
      </w:r>
      <w:r>
        <w:rPr>
          <w:rFonts w:hint="eastAsia" w:eastAsia="方正仿宋_GBK" w:cs="Times New Roman"/>
          <w:b/>
          <w:bCs/>
          <w:color w:val="auto"/>
          <w:sz w:val="24"/>
          <w:szCs w:val="24"/>
          <w:highlight w:val="none"/>
          <w:lang w:val="en-US" w:eastAsia="zh-CN"/>
        </w:rPr>
        <w:t>（8套）</w:t>
      </w:r>
    </w:p>
    <w:p w14:paraId="5002050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4.7.25.1定制，胶减震垫；采用橡胶和金属复合而成</w:t>
      </w:r>
      <w:r>
        <w:rPr>
          <w:rFonts w:hint="eastAsia" w:eastAsia="方正仿宋_GBK"/>
          <w:color w:val="auto"/>
          <w:sz w:val="24"/>
          <w:szCs w:val="24"/>
          <w:highlight w:val="none"/>
          <w:lang w:eastAsia="zh-CN"/>
        </w:rPr>
        <w:t>。</w:t>
      </w:r>
    </w:p>
    <w:p w14:paraId="7984B25B">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7.26空调风道</w:t>
      </w:r>
      <w:r>
        <w:rPr>
          <w:rFonts w:hint="eastAsia" w:eastAsia="方正仿宋_GBK" w:cs="Times New Roman"/>
          <w:b/>
          <w:bCs/>
          <w:color w:val="auto"/>
          <w:sz w:val="24"/>
          <w:szCs w:val="24"/>
          <w:highlight w:val="none"/>
          <w:lang w:val="en-US" w:eastAsia="zh-CN"/>
        </w:rPr>
        <w:t>（1套）</w:t>
      </w:r>
    </w:p>
    <w:p w14:paraId="32E1F161">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4.7.26.1整体式导风风道，有效保证出风顺畅性；</w:t>
      </w:r>
    </w:p>
    <w:p w14:paraId="58215EA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4.7.26.2模具一次挤出成型出风口，出风均匀舒适；</w:t>
      </w:r>
    </w:p>
    <w:p w14:paraId="07FDEE3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eastAsia="方正仿宋_GBK"/>
          <w:color w:val="auto"/>
          <w:sz w:val="24"/>
          <w:szCs w:val="24"/>
          <w:highlight w:val="none"/>
          <w:lang w:val="en-US" w:eastAsia="zh-CN"/>
        </w:rPr>
      </w:pPr>
      <w:r>
        <w:rPr>
          <w:rFonts w:hint="eastAsia" w:eastAsia="方正仿宋_GBK"/>
          <w:color w:val="auto"/>
          <w:sz w:val="24"/>
          <w:szCs w:val="24"/>
          <w:highlight w:val="none"/>
          <w:lang w:val="en-US" w:eastAsia="zh-CN"/>
        </w:rPr>
        <w:t>4.7.26.3风道底部辅助E0级环保板材，包覆内饰专用面料进行装饰，可擦洗清洁；</w:t>
      </w:r>
    </w:p>
    <w:p w14:paraId="6EE59F0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4.7.26.4风道顶部内嵌安装空调蒸发器机组，通过整体成型导风部件、风路循环及布置设计，确保会议空间制冷降温效果及均衡性。</w:t>
      </w:r>
    </w:p>
    <w:p w14:paraId="42AEDF2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7.27</w:t>
      </w:r>
      <w:r>
        <w:rPr>
          <w:rFonts w:hint="eastAsia" w:ascii="Times New Roman" w:hAnsi="Times New Roman" w:eastAsia="方正仿宋_GBK" w:cs="Times New Roman"/>
          <w:b/>
          <w:bCs/>
          <w:color w:val="auto"/>
          <w:sz w:val="24"/>
          <w:szCs w:val="24"/>
          <w:highlight w:val="none"/>
          <w:lang w:eastAsia="zh-CN"/>
        </w:rPr>
        <w:t>杂件及辅料</w:t>
      </w:r>
      <w:r>
        <w:rPr>
          <w:rFonts w:hint="eastAsia" w:eastAsia="方正仿宋_GBK" w:cs="Times New Roman"/>
          <w:b/>
          <w:bCs/>
          <w:color w:val="auto"/>
          <w:sz w:val="24"/>
          <w:szCs w:val="24"/>
          <w:highlight w:val="none"/>
          <w:lang w:val="en-US" w:eastAsia="zh-CN"/>
        </w:rPr>
        <w:t>（1套）</w:t>
      </w:r>
    </w:p>
    <w:p w14:paraId="6F9386D8">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4.7.27.1包括专用胶类、小型五金件、标准件、密封条、压条、固定支架等。</w:t>
      </w:r>
    </w:p>
    <w:p w14:paraId="227EA060">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7.28</w:t>
      </w:r>
      <w:r>
        <w:rPr>
          <w:rFonts w:hint="eastAsia" w:ascii="Times New Roman" w:hAnsi="Times New Roman" w:eastAsia="方正仿宋_GBK" w:cs="Times New Roman"/>
          <w:b/>
          <w:bCs/>
          <w:color w:val="auto"/>
          <w:sz w:val="24"/>
          <w:szCs w:val="24"/>
          <w:highlight w:val="none"/>
          <w:lang w:eastAsia="zh-CN"/>
        </w:rPr>
        <w:t>整车油漆</w:t>
      </w:r>
      <w:r>
        <w:rPr>
          <w:rFonts w:hint="eastAsia" w:eastAsia="方正仿宋_GBK" w:cs="Times New Roman"/>
          <w:b/>
          <w:bCs/>
          <w:color w:val="auto"/>
          <w:sz w:val="24"/>
          <w:szCs w:val="24"/>
          <w:highlight w:val="none"/>
          <w:lang w:val="en-US" w:eastAsia="zh-CN"/>
        </w:rPr>
        <w:t>（1套）</w:t>
      </w:r>
    </w:p>
    <w:p w14:paraId="7973664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4.7.28.1外观装饰及喷涂，含颜料、金属油漆烤漆、贴纸等，需符合《国家综合性消防救援车辆外观制式涂装规范》涂装要求。</w:t>
      </w:r>
    </w:p>
    <w:p w14:paraId="5C08DCDC">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7.29</w:t>
      </w:r>
      <w:r>
        <w:rPr>
          <w:rFonts w:hint="eastAsia" w:ascii="Times New Roman" w:hAnsi="Times New Roman" w:eastAsia="方正仿宋_GBK" w:cs="Times New Roman"/>
          <w:b/>
          <w:bCs/>
          <w:color w:val="auto"/>
          <w:sz w:val="24"/>
          <w:szCs w:val="24"/>
          <w:highlight w:val="none"/>
          <w:lang w:eastAsia="zh-CN"/>
        </w:rPr>
        <w:t>系统集成辅材</w:t>
      </w:r>
      <w:r>
        <w:rPr>
          <w:rFonts w:hint="eastAsia" w:eastAsia="方正仿宋_GBK" w:cs="Times New Roman"/>
          <w:b/>
          <w:bCs/>
          <w:color w:val="auto"/>
          <w:sz w:val="24"/>
          <w:szCs w:val="24"/>
          <w:highlight w:val="none"/>
          <w:lang w:val="en-US" w:eastAsia="zh-CN"/>
        </w:rPr>
        <w:t>（1套）</w:t>
      </w:r>
    </w:p>
    <w:p w14:paraId="467954DD">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eastAsia="方正仿宋_GBK"/>
          <w:color w:val="auto"/>
          <w:sz w:val="24"/>
          <w:szCs w:val="24"/>
          <w:highlight w:val="none"/>
          <w:lang w:val="en-US" w:eastAsia="zh-CN"/>
        </w:rPr>
        <w:t>4.7.29.1定制，含各类线束、接头、插接件等</w:t>
      </w:r>
      <w:r>
        <w:rPr>
          <w:rFonts w:hint="eastAsia" w:eastAsia="方正仿宋_GBK"/>
          <w:color w:val="auto"/>
          <w:sz w:val="24"/>
          <w:szCs w:val="24"/>
          <w:highlight w:val="none"/>
          <w:lang w:eastAsia="zh-CN"/>
        </w:rPr>
        <w:t>。</w:t>
      </w:r>
    </w:p>
    <w:p w14:paraId="187E0EF2">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8</w:t>
      </w:r>
      <w:r>
        <w:rPr>
          <w:rFonts w:hint="eastAsia" w:ascii="Times New Roman" w:hAnsi="Times New Roman" w:eastAsia="方正仿宋_GBK" w:cs="Times New Roman"/>
          <w:b/>
          <w:bCs/>
          <w:color w:val="auto"/>
          <w:sz w:val="24"/>
          <w:szCs w:val="24"/>
          <w:highlight w:val="none"/>
          <w:lang w:eastAsia="zh-CN"/>
        </w:rPr>
        <w:t>会议辅助设施</w:t>
      </w:r>
    </w:p>
    <w:p w14:paraId="51679B4F">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8.1</w:t>
      </w:r>
      <w:r>
        <w:rPr>
          <w:rFonts w:hint="eastAsia" w:ascii="Times New Roman" w:hAnsi="Times New Roman" w:eastAsia="方正仿宋_GBK" w:cs="Times New Roman"/>
          <w:b/>
          <w:bCs/>
          <w:color w:val="auto"/>
          <w:sz w:val="24"/>
          <w:szCs w:val="24"/>
          <w:highlight w:val="none"/>
          <w:lang w:eastAsia="zh-CN"/>
        </w:rPr>
        <w:t>折叠会议椅（</w:t>
      </w:r>
      <w:r>
        <w:rPr>
          <w:rFonts w:hint="eastAsia" w:ascii="Times New Roman" w:hAnsi="Times New Roman" w:eastAsia="方正仿宋_GBK" w:cs="Times New Roman"/>
          <w:b/>
          <w:bCs/>
          <w:color w:val="auto"/>
          <w:sz w:val="24"/>
          <w:szCs w:val="24"/>
          <w:highlight w:val="none"/>
          <w:lang w:val="en-US" w:eastAsia="zh-CN"/>
        </w:rPr>
        <w:t>40张</w:t>
      </w:r>
      <w:r>
        <w:rPr>
          <w:rFonts w:hint="eastAsia" w:ascii="Times New Roman" w:hAnsi="Times New Roman" w:eastAsia="方正仿宋_GBK" w:cs="Times New Roman"/>
          <w:b/>
          <w:bCs/>
          <w:color w:val="auto"/>
          <w:sz w:val="24"/>
          <w:szCs w:val="24"/>
          <w:highlight w:val="none"/>
          <w:lang w:eastAsia="zh-CN"/>
        </w:rPr>
        <w:t>）</w:t>
      </w:r>
    </w:p>
    <w:p w14:paraId="54E1574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imes New Roman" w:hAnsi="Times New Roman" w:eastAsia="宋体"/>
          <w:bCs/>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8</w:t>
      </w:r>
      <w:r>
        <w:rPr>
          <w:rFonts w:hint="eastAsia"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1</w:t>
      </w:r>
      <w:r>
        <w:rPr>
          <w:rFonts w:hint="eastAsia" w:eastAsia="方正仿宋_GBK"/>
          <w:color w:val="auto"/>
          <w:sz w:val="24"/>
          <w:szCs w:val="24"/>
          <w:highlight w:val="none"/>
          <w:lang w:val="en-US" w:eastAsia="zh-CN"/>
        </w:rPr>
        <w:t>.1</w:t>
      </w:r>
      <w:r>
        <w:rPr>
          <w:rFonts w:hint="eastAsia" w:ascii="Times New Roman" w:hAnsi="Times New Roman" w:eastAsia="方正仿宋_GBK"/>
          <w:color w:val="auto"/>
          <w:sz w:val="24"/>
          <w:szCs w:val="24"/>
          <w:highlight w:val="none"/>
        </w:rPr>
        <w:t>定制，可折叠，带扶手</w:t>
      </w:r>
      <w:r>
        <w:rPr>
          <w:rFonts w:hint="eastAsia"/>
          <w:color w:val="auto"/>
          <w:lang w:eastAsia="zh-CN"/>
        </w:rPr>
        <w:t>。</w:t>
      </w:r>
    </w:p>
    <w:p w14:paraId="313260C5">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8.2</w:t>
      </w:r>
      <w:r>
        <w:rPr>
          <w:rFonts w:hint="eastAsia" w:ascii="Times New Roman" w:hAnsi="Times New Roman" w:eastAsia="方正仿宋_GBK" w:cs="Times New Roman"/>
          <w:b/>
          <w:bCs/>
          <w:color w:val="auto"/>
          <w:sz w:val="24"/>
          <w:szCs w:val="24"/>
          <w:highlight w:val="none"/>
          <w:lang w:eastAsia="zh-CN"/>
        </w:rPr>
        <w:t>折叠工作台（</w:t>
      </w:r>
      <w:r>
        <w:rPr>
          <w:rFonts w:hint="eastAsia" w:ascii="Times New Roman" w:hAnsi="Times New Roman" w:eastAsia="方正仿宋_GBK" w:cs="Times New Roman"/>
          <w:b/>
          <w:bCs/>
          <w:color w:val="auto"/>
          <w:sz w:val="24"/>
          <w:szCs w:val="24"/>
          <w:highlight w:val="none"/>
          <w:lang w:val="en-US" w:eastAsia="zh-CN"/>
        </w:rPr>
        <w:t>3套</w:t>
      </w:r>
      <w:r>
        <w:rPr>
          <w:rFonts w:hint="eastAsia" w:ascii="Times New Roman" w:hAnsi="Times New Roman" w:eastAsia="方正仿宋_GBK" w:cs="Times New Roman"/>
          <w:b/>
          <w:bCs/>
          <w:color w:val="auto"/>
          <w:sz w:val="24"/>
          <w:szCs w:val="24"/>
          <w:highlight w:val="none"/>
          <w:lang w:eastAsia="zh-CN"/>
        </w:rPr>
        <w:t>）</w:t>
      </w:r>
    </w:p>
    <w:p w14:paraId="7118790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imes New Roman" w:hAnsi="Times New Roman" w:eastAsia="宋体"/>
          <w:bCs/>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8</w:t>
      </w:r>
      <w:r>
        <w:rPr>
          <w:rFonts w:hint="eastAsia" w:ascii="Times New Roman" w:hAnsi="Times New Roman" w:eastAsia="方正仿宋_GBK"/>
          <w:color w:val="auto"/>
          <w:sz w:val="24"/>
          <w:szCs w:val="24"/>
          <w:highlight w:val="none"/>
          <w:lang w:eastAsia="zh-CN"/>
        </w:rPr>
        <w:t>.</w:t>
      </w:r>
      <w:r>
        <w:rPr>
          <w:rFonts w:hint="eastAsia" w:ascii="Times New Roman" w:hAnsi="Times New Roman" w:eastAsia="方正仿宋_GBK"/>
          <w:color w:val="auto"/>
          <w:sz w:val="24"/>
          <w:szCs w:val="24"/>
          <w:highlight w:val="none"/>
          <w:lang w:val="en-US" w:eastAsia="zh-CN"/>
        </w:rPr>
        <w:t>2</w:t>
      </w:r>
      <w:r>
        <w:rPr>
          <w:rFonts w:hint="eastAsia" w:eastAsia="方正仿宋_GBK"/>
          <w:color w:val="auto"/>
          <w:sz w:val="24"/>
          <w:szCs w:val="24"/>
          <w:highlight w:val="none"/>
          <w:lang w:val="en-US" w:eastAsia="zh-CN"/>
        </w:rPr>
        <w:t>.1</w:t>
      </w:r>
      <w:r>
        <w:rPr>
          <w:rFonts w:hint="eastAsia" w:ascii="Times New Roman" w:hAnsi="Times New Roman" w:eastAsia="方正仿宋_GBK"/>
          <w:color w:val="auto"/>
          <w:sz w:val="24"/>
          <w:szCs w:val="24"/>
          <w:highlight w:val="none"/>
        </w:rPr>
        <w:t>可搬移，尺寸≥1400*500</w:t>
      </w:r>
      <w:r>
        <w:rPr>
          <w:rFonts w:hint="eastAsia" w:eastAsia="方正仿宋_GBK"/>
          <w:color w:val="auto"/>
          <w:sz w:val="24"/>
          <w:szCs w:val="24"/>
          <w:highlight w:val="none"/>
          <w:lang w:val="en-US" w:eastAsia="zh-CN"/>
        </w:rPr>
        <w:t>mm</w:t>
      </w:r>
      <w:r>
        <w:rPr>
          <w:rFonts w:hint="eastAsia"/>
          <w:color w:val="auto"/>
          <w:lang w:eastAsia="zh-CN"/>
        </w:rPr>
        <w:t>。</w:t>
      </w:r>
    </w:p>
    <w:p w14:paraId="171C05D6">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9</w:t>
      </w:r>
      <w:r>
        <w:rPr>
          <w:rFonts w:hint="eastAsia" w:ascii="Times New Roman" w:hAnsi="Times New Roman" w:eastAsia="方正仿宋_GBK" w:cs="Times New Roman"/>
          <w:b/>
          <w:bCs/>
          <w:color w:val="auto"/>
          <w:sz w:val="24"/>
          <w:szCs w:val="24"/>
          <w:highlight w:val="none"/>
          <w:lang w:eastAsia="zh-CN"/>
        </w:rPr>
        <w:t>防滑链（</w:t>
      </w:r>
      <w:r>
        <w:rPr>
          <w:rFonts w:hint="eastAsia" w:ascii="Times New Roman" w:hAnsi="Times New Roman" w:eastAsia="方正仿宋_GBK" w:cs="Times New Roman"/>
          <w:b/>
          <w:bCs/>
          <w:color w:val="auto"/>
          <w:sz w:val="24"/>
          <w:szCs w:val="24"/>
          <w:highlight w:val="none"/>
          <w:lang w:val="en-US" w:eastAsia="zh-CN"/>
        </w:rPr>
        <w:t>1套</w:t>
      </w:r>
      <w:r>
        <w:rPr>
          <w:rFonts w:hint="eastAsia" w:ascii="Times New Roman" w:hAnsi="Times New Roman" w:eastAsia="方正仿宋_GBK" w:cs="Times New Roman"/>
          <w:b/>
          <w:bCs/>
          <w:color w:val="auto"/>
          <w:sz w:val="24"/>
          <w:szCs w:val="24"/>
          <w:highlight w:val="none"/>
          <w:lang w:eastAsia="zh-CN"/>
        </w:rPr>
        <w:t>）</w:t>
      </w:r>
    </w:p>
    <w:p w14:paraId="2846B9A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Times New Roman" w:hAnsi="Times New Roman" w:eastAsia="方正仿宋_GBK" w:cs="Times New Roman"/>
          <w:b w:val="0"/>
          <w:bCs w:val="0"/>
          <w:color w:val="auto"/>
          <w:sz w:val="24"/>
          <w:szCs w:val="24"/>
          <w:highlight w:val="none"/>
          <w:lang w:val="en-US" w:eastAsia="zh-CN"/>
        </w:rPr>
      </w:pPr>
      <w:r>
        <w:rPr>
          <w:rFonts w:hint="eastAsia" w:eastAsia="方正仿宋_GBK" w:cs="Times New Roman"/>
          <w:b w:val="0"/>
          <w:bCs w:val="0"/>
          <w:color w:val="auto"/>
          <w:sz w:val="24"/>
          <w:szCs w:val="24"/>
          <w:highlight w:val="none"/>
          <w:lang w:val="en-US" w:eastAsia="zh-CN"/>
        </w:rPr>
        <w:t>4.9.1</w:t>
      </w:r>
      <w:r>
        <w:rPr>
          <w:rFonts w:hint="eastAsia" w:ascii="Times New Roman" w:hAnsi="Times New Roman" w:eastAsia="方正仿宋_GBK" w:cs="Times New Roman"/>
          <w:b w:val="0"/>
          <w:bCs w:val="0"/>
          <w:color w:val="auto"/>
          <w:sz w:val="24"/>
          <w:szCs w:val="24"/>
          <w:highlight w:val="none"/>
          <w:lang w:eastAsia="zh-CN"/>
        </w:rPr>
        <w:t>全车轮胎需配备防护链</w:t>
      </w:r>
      <w:r>
        <w:rPr>
          <w:rFonts w:hint="eastAsia" w:eastAsia="方正仿宋_GBK" w:cs="Times New Roman"/>
          <w:b w:val="0"/>
          <w:bCs w:val="0"/>
          <w:color w:val="auto"/>
          <w:sz w:val="24"/>
          <w:szCs w:val="24"/>
          <w:highlight w:val="none"/>
          <w:lang w:eastAsia="zh-CN"/>
        </w:rPr>
        <w:t>。</w:t>
      </w:r>
    </w:p>
    <w:p w14:paraId="0D46BCEA">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eastAsia="方正仿宋_GBK" w:cs="Times New Roman"/>
          <w:b/>
          <w:bCs/>
          <w:color w:val="auto"/>
          <w:sz w:val="24"/>
          <w:szCs w:val="24"/>
          <w:highlight w:val="none"/>
          <w:lang w:val="en-US" w:eastAsia="zh-CN"/>
        </w:rPr>
        <w:t>10</w:t>
      </w:r>
      <w:r>
        <w:rPr>
          <w:rFonts w:hint="eastAsia" w:ascii="Times New Roman" w:hAnsi="Times New Roman" w:eastAsia="方正仿宋_GBK" w:cs="Times New Roman"/>
          <w:b/>
          <w:bCs/>
          <w:color w:val="auto"/>
          <w:sz w:val="24"/>
          <w:szCs w:val="24"/>
          <w:highlight w:val="none"/>
          <w:lang w:eastAsia="zh-CN"/>
        </w:rPr>
        <w:t>总体要求</w:t>
      </w:r>
    </w:p>
    <w:p w14:paraId="1C52329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b w:val="0"/>
          <w:bCs w:val="0"/>
          <w:color w:val="auto"/>
          <w:sz w:val="24"/>
          <w:szCs w:val="24"/>
          <w:highlight w:val="none"/>
          <w:lang w:val="en-US" w:eastAsia="zh-CN"/>
        </w:rPr>
      </w:pPr>
      <w:r>
        <w:rPr>
          <w:rFonts w:hint="eastAsia" w:ascii="Times New Roman" w:hAnsi="Times New Roman" w:eastAsia="方正仿宋_GBK" w:cs="Times New Roman"/>
          <w:b w:val="0"/>
          <w:bCs w:val="0"/>
          <w:color w:val="auto"/>
          <w:sz w:val="24"/>
          <w:szCs w:val="24"/>
          <w:highlight w:val="none"/>
          <w:lang w:val="en-US" w:eastAsia="zh-CN"/>
        </w:rPr>
        <w:t>▲4.10.1整车符合GB7956.1-2014《消防车 第1部分：通用技术条件》；</w:t>
      </w:r>
    </w:p>
    <w:p w14:paraId="6378AAB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b w:val="0"/>
          <w:bCs w:val="0"/>
          <w:color w:val="auto"/>
          <w:sz w:val="24"/>
          <w:szCs w:val="24"/>
          <w:highlight w:val="none"/>
          <w:lang w:val="en-US" w:eastAsia="zh-CN"/>
        </w:rPr>
      </w:pPr>
      <w:r>
        <w:rPr>
          <w:rFonts w:hint="eastAsia" w:ascii="Times New Roman" w:hAnsi="Times New Roman" w:eastAsia="方正仿宋_GBK" w:cs="Times New Roman"/>
          <w:b w:val="0"/>
          <w:bCs w:val="0"/>
          <w:color w:val="auto"/>
          <w:sz w:val="24"/>
          <w:szCs w:val="24"/>
          <w:highlight w:val="none"/>
          <w:lang w:val="en-US" w:eastAsia="zh-CN"/>
        </w:rPr>
        <w:t>▲4.10.2、车身颜色符合GB/T3181-2008中规定的R03红色，符合《国务院办公厅关于国家综合性消防救援车辆悬挂应急救援专用号牌有关事项的通知》（国办发【2018】114号）、《消防救援局关于做好消防救援车辆外观制式涂装工作的通知》（应急消【2019】76号）等要求；</w:t>
      </w:r>
    </w:p>
    <w:p w14:paraId="7B5C6DB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b w:val="0"/>
          <w:bCs w:val="0"/>
          <w:color w:val="auto"/>
          <w:sz w:val="24"/>
          <w:szCs w:val="24"/>
          <w:highlight w:val="none"/>
          <w:lang w:val="en-US" w:eastAsia="zh-CN"/>
        </w:rPr>
      </w:pPr>
      <w:r>
        <w:rPr>
          <w:rFonts w:hint="eastAsia" w:ascii="Times New Roman" w:hAnsi="Times New Roman" w:eastAsia="方正仿宋_GBK" w:cs="Times New Roman"/>
          <w:b w:val="0"/>
          <w:bCs w:val="0"/>
          <w:color w:val="auto"/>
          <w:sz w:val="24"/>
          <w:szCs w:val="24"/>
          <w:highlight w:val="none"/>
          <w:lang w:val="en-US" w:eastAsia="zh-CN"/>
        </w:rPr>
        <w:t>4.10.3、防腐保护：驾乘室及上装均采用内涂层等进行防腐处理；</w:t>
      </w:r>
    </w:p>
    <w:p w14:paraId="7CCE1028">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1</w:t>
      </w:r>
      <w:r>
        <w:rPr>
          <w:rFonts w:hint="eastAsia" w:eastAsia="方正仿宋_GBK" w:cs="Times New Roman"/>
          <w:b/>
          <w:bCs/>
          <w:color w:val="auto"/>
          <w:sz w:val="24"/>
          <w:szCs w:val="24"/>
          <w:highlight w:val="none"/>
          <w:lang w:val="en-US" w:eastAsia="zh-CN"/>
        </w:rPr>
        <w:t>1</w:t>
      </w:r>
      <w:r>
        <w:rPr>
          <w:rFonts w:hint="eastAsia" w:ascii="Times New Roman" w:hAnsi="Times New Roman" w:eastAsia="方正仿宋_GBK" w:cs="Times New Roman"/>
          <w:b/>
          <w:bCs/>
          <w:color w:val="auto"/>
          <w:sz w:val="24"/>
          <w:szCs w:val="24"/>
          <w:highlight w:val="none"/>
          <w:lang w:eastAsia="zh-CN"/>
        </w:rPr>
        <w:t>其他要求</w:t>
      </w:r>
    </w:p>
    <w:p w14:paraId="7DB29A0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w:t>
      </w:r>
      <w:r>
        <w:rPr>
          <w:rFonts w:hint="eastAsia" w:eastAsia="方正仿宋_GBK"/>
          <w:color w:val="auto"/>
          <w:sz w:val="24"/>
          <w:szCs w:val="24"/>
          <w:highlight w:val="none"/>
          <w:lang w:val="en-US" w:eastAsia="zh-CN"/>
        </w:rPr>
        <w:t>1</w:t>
      </w:r>
      <w:r>
        <w:rPr>
          <w:rFonts w:ascii="Times New Roman" w:hAnsi="Times New Roman" w:eastAsia="方正仿宋_GBK"/>
          <w:color w:val="auto"/>
          <w:sz w:val="24"/>
          <w:szCs w:val="24"/>
          <w:highlight w:val="none"/>
        </w:rPr>
        <w:t>.1整车按国家标准配齐随车设备，设备布置合理，固定牢靠；</w:t>
      </w:r>
    </w:p>
    <w:p w14:paraId="7BF2C76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w:t>
      </w:r>
      <w:r>
        <w:rPr>
          <w:rFonts w:hint="eastAsia" w:eastAsia="方正仿宋_GBK"/>
          <w:color w:val="auto"/>
          <w:sz w:val="24"/>
          <w:szCs w:val="24"/>
          <w:highlight w:val="none"/>
          <w:lang w:val="en-US" w:eastAsia="zh-CN"/>
        </w:rPr>
        <w:t>1</w:t>
      </w:r>
      <w:r>
        <w:rPr>
          <w:rFonts w:ascii="Times New Roman" w:hAnsi="Times New Roman" w:eastAsia="方正仿宋_GBK"/>
          <w:color w:val="auto"/>
          <w:sz w:val="24"/>
          <w:szCs w:val="24"/>
          <w:highlight w:val="none"/>
        </w:rPr>
        <w:t>.2供货前，须主动对接</w:t>
      </w:r>
      <w:r>
        <w:rPr>
          <w:rFonts w:hint="eastAsia" w:ascii="Times New Roman" w:hAnsi="Times New Roman" w:eastAsia="方正仿宋_GBK"/>
          <w:color w:val="auto"/>
          <w:sz w:val="24"/>
          <w:szCs w:val="24"/>
          <w:highlight w:val="none"/>
          <w:lang w:val="en-US" w:eastAsia="zh-CN"/>
        </w:rPr>
        <w:t>使用单位</w:t>
      </w:r>
      <w:r>
        <w:rPr>
          <w:rFonts w:ascii="Times New Roman" w:hAnsi="Times New Roman" w:eastAsia="方正仿宋_GBK"/>
          <w:color w:val="auto"/>
          <w:sz w:val="24"/>
          <w:szCs w:val="24"/>
          <w:highlight w:val="none"/>
        </w:rPr>
        <w:t>，满足</w:t>
      </w:r>
      <w:r>
        <w:rPr>
          <w:rFonts w:hint="eastAsia" w:ascii="Times New Roman" w:hAnsi="Times New Roman" w:eastAsia="方正仿宋_GBK"/>
          <w:color w:val="auto"/>
          <w:sz w:val="24"/>
          <w:szCs w:val="24"/>
          <w:highlight w:val="none"/>
          <w:lang w:val="en-US" w:eastAsia="zh-CN"/>
        </w:rPr>
        <w:t>使用单位</w:t>
      </w:r>
      <w:r>
        <w:rPr>
          <w:rFonts w:ascii="Times New Roman" w:hAnsi="Times New Roman" w:eastAsia="方正仿宋_GBK"/>
          <w:color w:val="auto"/>
          <w:sz w:val="24"/>
          <w:szCs w:val="24"/>
          <w:highlight w:val="none"/>
        </w:rPr>
        <w:t>需求；</w:t>
      </w:r>
    </w:p>
    <w:p w14:paraId="7B760A9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w:t>
      </w:r>
      <w:r>
        <w:rPr>
          <w:rFonts w:hint="eastAsia" w:eastAsia="方正仿宋_GBK"/>
          <w:color w:val="auto"/>
          <w:sz w:val="24"/>
          <w:szCs w:val="24"/>
          <w:highlight w:val="none"/>
          <w:lang w:val="en-US" w:eastAsia="zh-CN"/>
        </w:rPr>
        <w:t>1</w:t>
      </w:r>
      <w:r>
        <w:rPr>
          <w:rFonts w:ascii="Times New Roman" w:hAnsi="Times New Roman" w:eastAsia="方正仿宋_GBK"/>
          <w:color w:val="auto"/>
          <w:sz w:val="24"/>
          <w:szCs w:val="24"/>
          <w:highlight w:val="none"/>
        </w:rPr>
        <w:t>.3交付采购人时，燃油、尿素、融雪剂等添加液处于满液状态；</w:t>
      </w:r>
    </w:p>
    <w:p w14:paraId="690EE0F7">
      <w:pPr>
        <w:adjustRightInd/>
        <w:snapToGrid/>
        <w:spacing w:line="240" w:lineRule="auto"/>
        <w:jc w:val="left"/>
        <w:outlineLvl w:val="9"/>
        <w:rPr>
          <w:color w:val="auto"/>
          <w:highlight w:val="none"/>
        </w:rPr>
      </w:pPr>
    </w:p>
    <w:p w14:paraId="1D004083">
      <w:pPr>
        <w:rPr>
          <w:color w:val="auto"/>
          <w:highlight w:val="none"/>
        </w:rPr>
      </w:pPr>
    </w:p>
    <w:p w14:paraId="1BBD6EC2">
      <w:pPr>
        <w:pStyle w:val="2"/>
        <w:jc w:val="center"/>
        <w:rPr>
          <w:rFonts w:ascii="Times New Roman" w:hAnsi="Times New Roman" w:eastAsiaTheme="minorEastAsia"/>
          <w:color w:val="auto"/>
          <w:sz w:val="24"/>
          <w:szCs w:val="24"/>
          <w:highlight w:val="none"/>
        </w:rPr>
      </w:pPr>
      <w:bookmarkStart w:id="351" w:name="_Toc22722"/>
      <w:bookmarkStart w:id="352" w:name="_Toc31128"/>
      <w:bookmarkStart w:id="353" w:name="_Toc10411"/>
      <w:bookmarkStart w:id="354" w:name="_Toc12629"/>
      <w:bookmarkStart w:id="355" w:name="_Toc6858"/>
      <w:r>
        <w:rPr>
          <w:rFonts w:hint="eastAsia" w:ascii="Times New Roman" w:hAnsi="Times New Roman" w:eastAsia="仿宋"/>
          <w:color w:val="auto"/>
          <w:highlight w:val="none"/>
          <w:lang w:val="en-US" w:eastAsia="zh-CN"/>
        </w:rPr>
        <w:t>三</w:t>
      </w:r>
      <w:r>
        <w:rPr>
          <w:rFonts w:ascii="Times New Roman" w:hAnsi="Times New Roman" w:eastAsia="仿宋"/>
          <w:color w:val="auto"/>
          <w:highlight w:val="none"/>
        </w:rPr>
        <w:t>、</w:t>
      </w:r>
      <w:r>
        <w:rPr>
          <w:rFonts w:hint="eastAsia" w:ascii="Times New Roman" w:hAnsi="Times New Roman" w:eastAsia="仿宋"/>
          <w:color w:val="auto"/>
          <w:highlight w:val="none"/>
          <w:lang w:val="en-US" w:eastAsia="zh-CN"/>
        </w:rPr>
        <w:t>商务</w:t>
      </w:r>
      <w:r>
        <w:rPr>
          <w:rFonts w:ascii="Times New Roman" w:hAnsi="Times New Roman" w:eastAsia="仿宋"/>
          <w:color w:val="auto"/>
          <w:highlight w:val="none"/>
        </w:rPr>
        <w:t>需求</w:t>
      </w:r>
      <w:bookmarkEnd w:id="351"/>
    </w:p>
    <w:bookmarkEnd w:id="352"/>
    <w:bookmarkEnd w:id="353"/>
    <w:bookmarkEnd w:id="354"/>
    <w:bookmarkEnd w:id="355"/>
    <w:p w14:paraId="091F1AF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1、交货地点</w:t>
      </w:r>
    </w:p>
    <w:p w14:paraId="40E0DC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先送到江西省消防救援总队指定地点进行验收，验收通过后再配送至各消防救援支队或消防救援大队指定地点。</w:t>
      </w:r>
    </w:p>
    <w:p w14:paraId="3C60141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2、交货期限 </w:t>
      </w:r>
    </w:p>
    <w:p w14:paraId="38471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自合同签订生效之日起5个月内必须将所投车辆送到江西省消防救援总队指定地点（以采购人到货签收时间作为交货时间），验收合格后由中标人配送至各消防救援支队或消防救援大队指定地点。</w:t>
      </w:r>
    </w:p>
    <w:p w14:paraId="3778391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3、付款方式 </w:t>
      </w:r>
    </w:p>
    <w:p w14:paraId="43FE28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合同签订后，采购人先支付合同金额30%的进度款（中标供应商须提供同等金额支付凭据</w:t>
      </w:r>
      <w:bookmarkStart w:id="365" w:name="_GoBack"/>
      <w:bookmarkEnd w:id="365"/>
      <w:r>
        <w:rPr>
          <w:rFonts w:hint="eastAsia" w:ascii="仿宋" w:hAnsi="仿宋" w:eastAsia="仿宋" w:cs="仿宋"/>
          <w:color w:val="auto"/>
          <w:sz w:val="24"/>
          <w:szCs w:val="24"/>
          <w:highlight w:val="none"/>
          <w:lang w:val="en-US" w:eastAsia="zh-CN"/>
        </w:rPr>
        <w:t>），待交货验收、结算审计等相关手续履行完毕后，采购人根据验收单和全额发票（合同金额）付剩余购置款（剩余购置款金额=结算审计金额-合同金额30%的进度款），如中标人未开具符合采购人要求的合格、正式的发票，采购人有权拒付购置款。</w:t>
      </w:r>
    </w:p>
    <w:p w14:paraId="64274B2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4、履约保证金 </w:t>
      </w:r>
    </w:p>
    <w:p w14:paraId="36954B3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 履约保证金缴纳金额：合同总价7%作为履约保证金【履约保证金接受保函形式递交】。</w:t>
      </w:r>
    </w:p>
    <w:p w14:paraId="6F5B03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 履约保证金缴纳方式和时间(具体以合同签订时约定为准)：</w:t>
      </w:r>
    </w:p>
    <w:p w14:paraId="26FEF8E6">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4.2.1 公对公转账方式：在合同签订后 7 个工作日之内中标人将履约保证金递交至采购人指定账号；</w:t>
      </w:r>
    </w:p>
    <w:p w14:paraId="5569573F">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4.2.2 银行保函方式：在合同签订后 30 日之内递交至采购人【保函有效期需与质保期到期时间一致】。</w:t>
      </w:r>
    </w:p>
    <w:p w14:paraId="595522F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 履约保证金在质保期满后，无任何问题，且无合同纠纷的，经中标人书面申请，无息退还履约保证金（质保期以中标人实际响应为准）。以保函形式递交履约保证金的，保函有效期需至质保期结束，质保期结束后保函自动作废，但中标人尚应配合采购人履行书面手续，为采购人财务部门及时处理账务提供书面依据。</w:t>
      </w:r>
    </w:p>
    <w:p w14:paraId="5DC49CC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5、报价方式 </w:t>
      </w:r>
    </w:p>
    <w:p w14:paraId="0F85716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投标报价均以人民币/元报价，投标人报价须包含所有货物、材料、运输、转运、辅材、安装、施工、调试、验收、培训、现场回访、实地巡检、税金、招标代理服务费等费用均包含在投标总价中。</w:t>
      </w:r>
    </w:p>
    <w:p w14:paraId="0180178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6、安装及调试、验收</w:t>
      </w:r>
    </w:p>
    <w:p w14:paraId="6CBCB3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 中标人应派经采购人认可的有经验和能力、具有相应资质的技术人员，负责产品安装工作，在产品安装期间应充分了解产品安装、调试进度要求，解决安装、调试中出现的技术问题。</w:t>
      </w:r>
    </w:p>
    <w:p w14:paraId="13FC2E1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 安装、调试所需专用工具设施物料由中标人自备、自费运到现场，完工后自费搬走。</w:t>
      </w:r>
    </w:p>
    <w:p w14:paraId="566992A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 产品的拆箱、通电、调试等各项工作由中标人负责，但必须在采购人指定人员的参与下进行。在实际实施前必须先经采购人同意。</w:t>
      </w:r>
    </w:p>
    <w:p w14:paraId="30D1AD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6.4 所有的产品按照国家有关技术标准在制造厂检查和试验合格（须具有产品出厂合格证），以表明其运行性能、安全性能以及设备材料和结构在电气、机械上的完整性。</w:t>
      </w:r>
    </w:p>
    <w:p w14:paraId="1D82E0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 严格按照国家有关规范标准及江西省消防救援总队装备验收的要求组织验收。</w:t>
      </w:r>
    </w:p>
    <w:p w14:paraId="7425415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7、培训与监督</w:t>
      </w:r>
    </w:p>
    <w:p w14:paraId="7DF984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 中标人应提供产品的功能、使用方法、技术参数、常见问题解决方法等书面材料，并确保用户获知产品序列号、型号名称、版本号以及配合使用的主要设备品牌、型号和版本等信息。</w:t>
      </w:r>
    </w:p>
    <w:p w14:paraId="2E1D6BD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 交货时，中标人应免费组织用户开展操作使用培训，使之熟练掌握操作规程、使用方法和注意事项，并经采购人签字确认后方可移交。</w:t>
      </w:r>
    </w:p>
    <w:p w14:paraId="7BCCEB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7.3 每年不少于 1 次实地巡检，及时掌握产品使用情况，以及产品的故障、缺陷情况，及时给予维修保养，并建立预警系统，保证售后服务及时性。</w:t>
      </w:r>
    </w:p>
    <w:p w14:paraId="7E2E8EF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7.4 中标人应主动与采购人建立联勤联动机制，遇有重大灾害事故处置，要快速响应，选派素质好、业务精的人员遂行技术保障，提供技术支持、现场抢修等应急技术服务。（注：中标人参与采购人联勤联动行动所产生的费用支出由中标人自理）</w:t>
      </w:r>
    </w:p>
    <w:p w14:paraId="14BC30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 中标人应提供服务技术规范，采购人可获得有关维修等级、所需时间、工时计算项目、配件价格的信息。</w:t>
      </w:r>
    </w:p>
    <w:p w14:paraId="7B67440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8、质保期及售后服务</w:t>
      </w:r>
    </w:p>
    <w:p w14:paraId="1C4BC47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（一）售后服务</w:t>
      </w:r>
    </w:p>
    <w:p w14:paraId="60E5FD9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 中标人应主动协助使用方对产品进行检验，其中包括查验车辆发动机号、底盘号，交付所有证件、工具和主、副钥匙，并提供足以保证车辆能行驶至附近加油站的油料。</w:t>
      </w:r>
    </w:p>
    <w:p w14:paraId="7CB5F0D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 中标人承诺在质保期内对所提供产品实施运行监督、维修，但该服务并不能免除中标人在质保期内应承担的义务；在质保期与保修期内，中标人必须提供至少1次免费上门首保服务,主动协助采购人做好产品的保养（包括车辆走合等）。提供 7×24 小时服务电话，车辆发生质量、故障、事故问题时，须在 4 小时内做出回应，维修人员在 24 小时内到达现场并解决问题，并应主动与生产厂家联系解决索赔问题。如中标人未在约定的时间内作出回应或解决问题，采购人有权委托第三方处理，因此产生的费用或给采购人造成的损失由中标人承担。</w:t>
      </w:r>
    </w:p>
    <w:p w14:paraId="39AC3A0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8.3 产品在使用过程中如零部件发生丢失和损坏，中标人须负责采购人按优惠价格配到原厂生产的优质零部件。</w:t>
      </w:r>
    </w:p>
    <w:p w14:paraId="183B78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8.4 中标人在质保期内收到采购人维修通知后，负责对产品进行免费维修、更换有缺陷的零部件、直至更换产品。</w:t>
      </w:r>
    </w:p>
    <w:p w14:paraId="3F596F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8.5 如果中标人在质保期内收到维修通知后，没有为采购人弥补缺陷、更换零部件，采购人可采取必要的补救措施，但风险和费用将由中标人承担。</w:t>
      </w:r>
    </w:p>
    <w:p w14:paraId="36E8E86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8.6 产品交货时必须配有中文说明书,并提供电子版文档。说明书应包括装备周期性检查及维护保养的详细说明，并提供产品操作使用和检查维护的音视频资料。同时提供全寿命周期易损件、消耗品、随车器材、工具等型号规格清单。相关资料要归档编制目录，并做好档案保管和移交等工作。</w:t>
      </w:r>
    </w:p>
    <w:p w14:paraId="138EF9EA">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（二）质量保证和保修</w:t>
      </w:r>
    </w:p>
    <w:p w14:paraId="6521238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8.7 中标人提供的产品（含底盘）须提供整体不少于 3 年质保期。产品按保养手册执行。完全符合合同规定的质量、规格和性能的要求。保证所提供的产品经正确安装、正常运转和保养，在其使用寿命期内应具有使采购人满意的性能，并且确保一次性通过各项检验和测试。产品最终验收后，在质保期内，中标人应对由于设计、工艺或材料的缺陷而发生的任何不足或故障负责，费用由中标人负担。</w:t>
      </w:r>
    </w:p>
    <w:p w14:paraId="6C47CAD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8.8 车辆车身漆面应清洁光亮，不得有脱漆、划痕和瘪窝。</w:t>
      </w:r>
    </w:p>
    <w:p w14:paraId="192AE0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8.9 车辆内部的座椅及其他内饰件应完整清洁，不得有划伤、污点，使用时应方便灵活；车辆内、外部的灯光应齐全、有效；效果应达到国家标准；车辆在行驶过程中不得有异常响声，制动（包括手制动）、转向应灵活、有效；汽车的动力性能和经济性能应符合设计要求；尾气排放应符合国家标准。</w:t>
      </w:r>
    </w:p>
    <w:p w14:paraId="097D08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8.10 在质保期内，如果产品的质量存在是有缺陷的，包括潜在的缺陷或使用不符合要求的材料等，采购人应在 10 个工作日内以书面形式通知中标人，提出索赔。对于小型缺陷，卖方在收到通知后，应在 7 日内，用与投标时采用的零件、部件或材料来更换有缺陷的或不符合要求的零件、部件或材料，同时相应延长质保期；对于重大缺陷，卖方在收到通知后，应在 7 日内，更换合格的产品（同时相应延长质保期）或做退货处理，并承担给买方造成的损失。</w:t>
      </w:r>
    </w:p>
    <w:p w14:paraId="4A7511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8.11 质保期限以外，中标人为所提供的产品（含底盘）提供不少于 5 年的保修期，提供全寿命周期的主要耗损件、易损件及更换总成的目录和年度价格清单，保证供应且价格合理。</w:t>
      </w:r>
      <w:r>
        <w:rPr>
          <w:rFonts w:hint="eastAsia" w:ascii="仿宋" w:hAnsi="仿宋" w:eastAsia="仿宋"/>
          <w:color w:val="auto"/>
          <w:sz w:val="24"/>
          <w:highlight w:val="none"/>
          <w:lang w:eastAsia="zh-CN"/>
        </w:rPr>
        <w:t>保修期内，</w:t>
      </w:r>
      <w:r>
        <w:rPr>
          <w:rFonts w:hint="eastAsia" w:ascii="仿宋" w:hAnsi="仿宋" w:eastAsia="仿宋"/>
          <w:color w:val="auto"/>
          <w:sz w:val="24"/>
          <w:highlight w:val="none"/>
        </w:rPr>
        <w:t>卖方</w:t>
      </w:r>
      <w:r>
        <w:rPr>
          <w:rFonts w:hint="eastAsia" w:ascii="仿宋" w:hAnsi="仿宋" w:eastAsia="仿宋"/>
          <w:color w:val="auto"/>
          <w:sz w:val="24"/>
          <w:highlight w:val="none"/>
          <w:lang w:eastAsia="zh-CN"/>
        </w:rPr>
        <w:t>所做的维修只收取所</w:t>
      </w:r>
      <w:r>
        <w:rPr>
          <w:rFonts w:hint="eastAsia" w:ascii="仿宋" w:hAnsi="仿宋" w:eastAsia="仿宋"/>
          <w:color w:val="auto"/>
          <w:sz w:val="24"/>
          <w:highlight w:val="none"/>
        </w:rPr>
        <w:t>更换</w:t>
      </w:r>
      <w:r>
        <w:rPr>
          <w:rFonts w:hint="eastAsia" w:ascii="仿宋" w:hAnsi="仿宋" w:eastAsia="仿宋"/>
          <w:color w:val="auto"/>
          <w:sz w:val="24"/>
          <w:highlight w:val="none"/>
          <w:lang w:eastAsia="zh-CN"/>
        </w:rPr>
        <w:t>的</w:t>
      </w:r>
      <w:r>
        <w:rPr>
          <w:rFonts w:hint="eastAsia" w:ascii="仿宋" w:hAnsi="仿宋" w:eastAsia="仿宋"/>
          <w:color w:val="auto"/>
          <w:sz w:val="24"/>
          <w:highlight w:val="none"/>
        </w:rPr>
        <w:t>零部件费用和升级费用</w:t>
      </w:r>
      <w:r>
        <w:rPr>
          <w:rFonts w:hint="eastAsia" w:ascii="仿宋" w:hAnsi="仿宋" w:eastAsia="仿宋"/>
          <w:color w:val="auto"/>
          <w:sz w:val="24"/>
          <w:highlight w:val="none"/>
          <w:lang w:eastAsia="zh-CN"/>
        </w:rPr>
        <w:t>，不收取维修服务费</w:t>
      </w:r>
      <w:r>
        <w:rPr>
          <w:rFonts w:hint="eastAsia" w:ascii="仿宋" w:hAnsi="仿宋" w:eastAsia="仿宋"/>
          <w:color w:val="auto"/>
          <w:sz w:val="24"/>
          <w:highlight w:val="none"/>
        </w:rPr>
        <w:t>。</w:t>
      </w:r>
      <w:r>
        <w:rPr>
          <w:rFonts w:hint="eastAsia" w:ascii="仿宋" w:hAnsi="仿宋" w:eastAsia="仿宋" w:cs="仿宋"/>
          <w:color w:val="auto"/>
          <w:sz w:val="24"/>
          <w:szCs w:val="24"/>
          <w:highlight w:val="none"/>
          <w:lang w:val="en-US" w:eastAsia="zh-CN"/>
        </w:rPr>
        <w:t>在超出保修服务期限后的每次售后服务，中标人可以按照一定标准收取相应的维修费用、更换零部件费用和升级费用。售后服务结束两个星期后，采购人确认签字，完成本次售后服务。超出保修期产品作出的收费维修部分的保修期不应低于 12 个月。</w:t>
      </w:r>
    </w:p>
    <w:p w14:paraId="697287D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9、其它要求</w:t>
      </w:r>
    </w:p>
    <w:p w14:paraId="770AFF5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9.1 中标人在交货时须提供所投车辆相对应的工信部公告查询截图配合采购人完成应急救援专用号牌上牌，如中标人未提供或者提供虚假材料的，采购人有权终止合同，并没收其履约保证金，由此产生的费用由中标人承担，给采购人造成损失的中标人还应承担全部赔偿责任。</w:t>
      </w:r>
    </w:p>
    <w:p w14:paraId="7B47C6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9.2 中标人在交货前须在应急管理部消防救援局装备物资信息采集系统(http://xfzb.119.gov.cn/html/index.html)录入装备基础信息，申请装备唯一编码，并按照应急管理部消防救援局装备物资管理的相关标准要求，赋上二维码及 RFID 标签，且由此所产生的费用包含在投标报价内。操作流程详见附件。</w:t>
      </w:r>
    </w:p>
    <w:p w14:paraId="04724BB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9.3 中标人应保证采购人不受第三方提出侵犯其专利权、商标权和设计权的起诉。如果任何第三方提出侵权指控或赔偿要求，中标人必须与第三方交涉，并承担发生和可能发生的一切损失、费用和法律责任。</w:t>
      </w:r>
    </w:p>
    <w:p w14:paraId="4E2F38C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9.4 如果所投车辆采用进口零部件，且零部件享受《关于国家综合性消防救援队伍进口税收政策的通知》（财关税〔2023〕17 号），中标人应积极配合采购人办理相关免税手续，最后将免税后金额作为合同金额。</w:t>
      </w:r>
    </w:p>
    <w:p w14:paraId="524D1F07">
      <w:pPr>
        <w:spacing w:line="520" w:lineRule="exact"/>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9.5投标人承诺对于“▲”参数和一般参数正偏离响应，在验收时应提供具有相关检测资质单位出具的检测报告进行佐证，对于无法现场衡量且无法通过检测报告佐证的正偏离响应，应提供能充分证明响应参数的佐证材料。</w:t>
      </w:r>
    </w:p>
    <w:p w14:paraId="7D8FD0DD">
      <w:pPr>
        <w:spacing w:line="52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注：以上</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商务要求</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为实质性条款须完全响应，否则投标无效。</w:t>
      </w:r>
    </w:p>
    <w:p w14:paraId="4818A50B">
      <w:pPr>
        <w:spacing w:line="240" w:lineRule="auto"/>
        <w:rPr>
          <w:rFonts w:eastAsia="仿宋"/>
          <w:b/>
          <w:bCs/>
          <w:color w:val="auto"/>
          <w:spacing w:val="2"/>
          <w:kern w:val="0"/>
          <w:sz w:val="24"/>
          <w:szCs w:val="24"/>
          <w:highlight w:val="none"/>
        </w:rPr>
      </w:pPr>
      <w:r>
        <w:rPr>
          <w:rFonts w:eastAsia="仿宋"/>
          <w:b/>
          <w:bCs/>
          <w:color w:val="auto"/>
          <w:spacing w:val="2"/>
          <w:kern w:val="0"/>
          <w:sz w:val="24"/>
          <w:szCs w:val="24"/>
          <w:highlight w:val="none"/>
        </w:rPr>
        <w:br w:type="page"/>
      </w:r>
    </w:p>
    <w:p w14:paraId="2D430D77">
      <w:pPr>
        <w:spacing w:line="46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附件：</w:t>
      </w:r>
    </w:p>
    <w:p w14:paraId="29E88048">
      <w:pPr>
        <w:spacing w:line="460" w:lineRule="exact"/>
        <w:jc w:val="center"/>
        <w:rPr>
          <w:rFonts w:eastAsia="仿宋"/>
          <w:b/>
          <w:bCs/>
          <w:color w:val="auto"/>
          <w:sz w:val="24"/>
          <w:szCs w:val="24"/>
          <w:highlight w:val="none"/>
        </w:rPr>
      </w:pPr>
      <w:r>
        <w:rPr>
          <w:rFonts w:eastAsia="仿宋"/>
          <w:b/>
          <w:bCs/>
          <w:color w:val="auto"/>
          <w:sz w:val="24"/>
          <w:szCs w:val="24"/>
          <w:highlight w:val="none"/>
        </w:rPr>
        <w:t>企业申请装备二维码及RFID电子标签流程</w:t>
      </w:r>
    </w:p>
    <w:p w14:paraId="620F8DA7">
      <w:pPr>
        <w:spacing w:line="460" w:lineRule="exact"/>
        <w:jc w:val="center"/>
        <w:rPr>
          <w:rFonts w:eastAsia="仿宋"/>
          <w:b/>
          <w:bCs/>
          <w:color w:val="auto"/>
          <w:sz w:val="24"/>
          <w:szCs w:val="24"/>
          <w:highlight w:val="none"/>
        </w:rPr>
      </w:pPr>
    </w:p>
    <w:p w14:paraId="7BEF664B">
      <w:pPr>
        <w:spacing w:line="460" w:lineRule="exact"/>
        <w:rPr>
          <w:rFonts w:eastAsia="仿宋"/>
          <w:color w:val="auto"/>
          <w:sz w:val="24"/>
          <w:szCs w:val="24"/>
          <w:highlight w:val="none"/>
        </w:rPr>
      </w:pPr>
      <w:r>
        <w:rPr>
          <w:rFonts w:eastAsia="仿宋"/>
          <w:color w:val="auto"/>
          <w:sz w:val="24"/>
          <w:szCs w:val="24"/>
          <w:highlight w:val="none"/>
        </w:rPr>
        <w:t>第一步：进入系统地址：</w:t>
      </w:r>
      <w:r>
        <w:rPr>
          <w:color w:val="auto"/>
          <w:highlight w:val="none"/>
        </w:rPr>
        <w:fldChar w:fldCharType="begin"/>
      </w:r>
      <w:r>
        <w:rPr>
          <w:color w:val="auto"/>
          <w:highlight w:val="none"/>
        </w:rPr>
        <w:instrText xml:space="preserve"> HYPERLINK "http://xfzb.119.gov.cn/html/index.html" </w:instrText>
      </w:r>
      <w:r>
        <w:rPr>
          <w:color w:val="auto"/>
          <w:highlight w:val="none"/>
        </w:rPr>
        <w:fldChar w:fldCharType="separate"/>
      </w:r>
      <w:r>
        <w:rPr>
          <w:rStyle w:val="49"/>
          <w:rFonts w:eastAsia="仿宋"/>
          <w:color w:val="auto"/>
          <w:sz w:val="24"/>
          <w:szCs w:val="24"/>
          <w:highlight w:val="none"/>
        </w:rPr>
        <w:t>http://xfzb.119.gov.cn/html/index.html</w:t>
      </w:r>
      <w:r>
        <w:rPr>
          <w:rStyle w:val="49"/>
          <w:rFonts w:eastAsia="仿宋"/>
          <w:color w:val="auto"/>
          <w:sz w:val="24"/>
          <w:szCs w:val="24"/>
          <w:highlight w:val="none"/>
        </w:rPr>
        <w:fldChar w:fldCharType="end"/>
      </w:r>
      <w:r>
        <w:rPr>
          <w:rFonts w:eastAsia="仿宋"/>
          <w:color w:val="auto"/>
          <w:sz w:val="24"/>
          <w:szCs w:val="24"/>
          <w:highlight w:val="none"/>
        </w:rPr>
        <w:t>（建议使用360浏览器极速模式、chrome等现代浏览器）；</w:t>
      </w:r>
    </w:p>
    <w:p w14:paraId="117D5692">
      <w:pPr>
        <w:spacing w:line="460" w:lineRule="exact"/>
        <w:rPr>
          <w:rFonts w:eastAsia="仿宋"/>
          <w:color w:val="auto"/>
          <w:sz w:val="24"/>
          <w:szCs w:val="24"/>
          <w:highlight w:val="none"/>
        </w:rPr>
      </w:pPr>
      <w:r>
        <w:rPr>
          <w:rFonts w:eastAsia="仿宋"/>
          <w:color w:val="auto"/>
          <w:sz w:val="24"/>
          <w:szCs w:val="24"/>
          <w:highlight w:val="none"/>
        </w:rPr>
        <w:t>第二步：注册企业账号及填写企业信息提交审核；</w:t>
      </w:r>
    </w:p>
    <w:p w14:paraId="4A63CCE4">
      <w:pPr>
        <w:spacing w:line="460" w:lineRule="exact"/>
        <w:rPr>
          <w:rFonts w:eastAsia="仿宋"/>
          <w:color w:val="auto"/>
          <w:sz w:val="24"/>
          <w:szCs w:val="24"/>
          <w:highlight w:val="none"/>
        </w:rPr>
      </w:pPr>
      <w:r>
        <w:rPr>
          <w:rFonts w:eastAsia="仿宋"/>
          <w:color w:val="auto"/>
          <w:sz w:val="24"/>
          <w:szCs w:val="24"/>
          <w:highlight w:val="none"/>
        </w:rPr>
        <w:t>第三步：企业信息完善后，进行产品信息填报，点击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进行产品的录入；</w:t>
      </w:r>
    </w:p>
    <w:p w14:paraId="69333ADA">
      <w:pPr>
        <w:spacing w:line="460" w:lineRule="exact"/>
        <w:rPr>
          <w:rFonts w:eastAsia="仿宋"/>
          <w:color w:val="auto"/>
          <w:sz w:val="24"/>
          <w:szCs w:val="24"/>
          <w:highlight w:val="none"/>
        </w:rPr>
      </w:pPr>
      <w:r>
        <w:rPr>
          <w:rFonts w:eastAsia="仿宋"/>
          <w:color w:val="auto"/>
          <w:sz w:val="24"/>
          <w:szCs w:val="24"/>
          <w:highlight w:val="none"/>
        </w:rPr>
        <w:t>第四步：录入产品信息，完成点击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14:paraId="7A88DA2C">
      <w:pPr>
        <w:spacing w:line="460" w:lineRule="exact"/>
        <w:rPr>
          <w:rFonts w:eastAsia="仿宋"/>
          <w:color w:val="auto"/>
          <w:sz w:val="24"/>
          <w:szCs w:val="24"/>
          <w:highlight w:val="none"/>
        </w:rPr>
      </w:pPr>
      <w:r>
        <w:rPr>
          <w:rFonts w:eastAsia="仿宋"/>
          <w:color w:val="auto"/>
          <w:sz w:val="24"/>
          <w:szCs w:val="24"/>
          <w:highlight w:val="none"/>
        </w:rPr>
        <w:t>第五步：产品审核完成后，点击</w:t>
      </w:r>
      <w:r>
        <w:rPr>
          <w:rFonts w:hint="eastAsia" w:eastAsia="仿宋"/>
          <w:color w:val="auto"/>
          <w:sz w:val="24"/>
          <w:szCs w:val="24"/>
          <w:highlight w:val="none"/>
          <w:lang w:eastAsia="zh-CN"/>
        </w:rPr>
        <w:t>“</w:t>
      </w:r>
      <w:r>
        <w:rPr>
          <w:rFonts w:eastAsia="仿宋"/>
          <w:color w:val="auto"/>
          <w:sz w:val="24"/>
          <w:szCs w:val="24"/>
          <w:highlight w:val="none"/>
        </w:rPr>
        <w:t>产品赋码申请</w:t>
      </w:r>
      <w:r>
        <w:rPr>
          <w:rFonts w:hint="eastAsia" w:eastAsia="仿宋"/>
          <w:color w:val="auto"/>
          <w:sz w:val="24"/>
          <w:szCs w:val="24"/>
          <w:highlight w:val="none"/>
          <w:lang w:eastAsia="zh-CN"/>
        </w:rPr>
        <w:t>”</w:t>
      </w:r>
      <w:r>
        <w:rPr>
          <w:rFonts w:eastAsia="仿宋"/>
          <w:color w:val="auto"/>
          <w:sz w:val="24"/>
          <w:szCs w:val="24"/>
          <w:highlight w:val="none"/>
        </w:rPr>
        <w:t>，点击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，申请产品赋码；</w:t>
      </w:r>
    </w:p>
    <w:p w14:paraId="784EB6CF">
      <w:pPr>
        <w:spacing w:line="460" w:lineRule="exact"/>
        <w:rPr>
          <w:rFonts w:eastAsia="仿宋"/>
          <w:color w:val="auto"/>
          <w:sz w:val="24"/>
          <w:szCs w:val="24"/>
          <w:highlight w:val="none"/>
        </w:rPr>
      </w:pPr>
      <w:r>
        <w:rPr>
          <w:rFonts w:eastAsia="仿宋"/>
          <w:color w:val="auto"/>
          <w:sz w:val="24"/>
          <w:szCs w:val="24"/>
          <w:highlight w:val="none"/>
        </w:rPr>
        <w:t>第六步：填写产品码信息， 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14:paraId="4504BDE0">
      <w:pPr>
        <w:spacing w:line="460" w:lineRule="exact"/>
        <w:rPr>
          <w:rFonts w:eastAsia="仿宋"/>
          <w:color w:val="auto"/>
          <w:sz w:val="24"/>
          <w:szCs w:val="24"/>
          <w:highlight w:val="none"/>
        </w:rPr>
      </w:pPr>
      <w:r>
        <w:rPr>
          <w:rFonts w:eastAsia="仿宋"/>
          <w:color w:val="auto"/>
          <w:sz w:val="24"/>
          <w:szCs w:val="24"/>
          <w:highlight w:val="none"/>
        </w:rPr>
        <w:t>第七步：审核完成后，点击下载链接，下载装备二维码；</w:t>
      </w:r>
    </w:p>
    <w:p w14:paraId="36FF1433">
      <w:pPr>
        <w:spacing w:line="460" w:lineRule="exact"/>
        <w:rPr>
          <w:rFonts w:eastAsia="仿宋"/>
          <w:color w:val="auto"/>
          <w:sz w:val="24"/>
          <w:szCs w:val="24"/>
          <w:highlight w:val="none"/>
        </w:rPr>
      </w:pPr>
      <w:r>
        <w:rPr>
          <w:rFonts w:eastAsia="仿宋"/>
          <w:color w:val="auto"/>
          <w:sz w:val="24"/>
          <w:szCs w:val="24"/>
          <w:highlight w:val="none"/>
        </w:rPr>
        <w:t>第八步：找第三方制作二维码，同时找第三方购买RFID电子标签；</w:t>
      </w:r>
    </w:p>
    <w:p w14:paraId="7FADDE3C">
      <w:pPr>
        <w:spacing w:line="460" w:lineRule="exact"/>
        <w:rPr>
          <w:rFonts w:eastAsia="仿宋"/>
          <w:color w:val="auto"/>
          <w:sz w:val="24"/>
          <w:szCs w:val="24"/>
          <w:highlight w:val="none"/>
        </w:rPr>
      </w:pPr>
      <w:r>
        <w:rPr>
          <w:rFonts w:eastAsia="仿宋"/>
          <w:color w:val="auto"/>
          <w:sz w:val="24"/>
          <w:szCs w:val="24"/>
          <w:highlight w:val="none"/>
        </w:rPr>
        <w:t>第九步：将产品信息告知第三方编入RFID电子标签；</w:t>
      </w:r>
    </w:p>
    <w:p w14:paraId="4C588531">
      <w:pPr>
        <w:spacing w:line="460" w:lineRule="exact"/>
        <w:rPr>
          <w:rFonts w:eastAsiaTheme="minorEastAsia"/>
          <w:color w:val="auto"/>
          <w:sz w:val="24"/>
          <w:szCs w:val="24"/>
          <w:highlight w:val="none"/>
        </w:rPr>
      </w:pPr>
      <w:r>
        <w:rPr>
          <w:rFonts w:eastAsia="仿宋"/>
          <w:color w:val="auto"/>
          <w:sz w:val="24"/>
          <w:szCs w:val="24"/>
          <w:highlight w:val="none"/>
        </w:rPr>
        <w:t>第十步：将成品二维码及RFID电子标签附在消防产品上。</w:t>
      </w:r>
    </w:p>
    <w:p w14:paraId="4EBD3790">
      <w:pPr>
        <w:spacing w:line="500" w:lineRule="atLeast"/>
        <w:rPr>
          <w:rFonts w:eastAsiaTheme="minorEastAsia"/>
          <w:color w:val="auto"/>
          <w:sz w:val="24"/>
          <w:szCs w:val="24"/>
          <w:highlight w:val="none"/>
        </w:rPr>
      </w:pPr>
      <w:r>
        <w:rPr>
          <w:rFonts w:eastAsiaTheme="minorEastAsia"/>
          <w:color w:val="auto"/>
          <w:sz w:val="24"/>
          <w:szCs w:val="24"/>
          <w:highlight w:val="none"/>
        </w:rPr>
        <w:br w:type="page"/>
      </w:r>
    </w:p>
    <w:p w14:paraId="567DE64E">
      <w:pPr>
        <w:pStyle w:val="3"/>
        <w:spacing w:before="240" w:after="240"/>
        <w:jc w:val="center"/>
        <w:rPr>
          <w:rFonts w:ascii="Times New Roman" w:eastAsia="仿宋"/>
          <w:b/>
          <w:color w:val="auto"/>
          <w:sz w:val="40"/>
          <w:highlight w:val="none"/>
        </w:rPr>
      </w:pPr>
      <w:bookmarkStart w:id="356" w:name="_Toc10088"/>
      <w:bookmarkStart w:id="357" w:name="_Toc2760"/>
      <w:bookmarkStart w:id="358" w:name="_Toc81"/>
      <w:bookmarkStart w:id="359" w:name="_Toc32701"/>
      <w:bookmarkStart w:id="360" w:name="_Toc446946780"/>
      <w:bookmarkStart w:id="361" w:name="_Toc474492123"/>
      <w:bookmarkStart w:id="362" w:name="_Toc2881"/>
      <w:bookmarkStart w:id="363" w:name="_Toc16839"/>
      <w:r>
        <w:rPr>
          <w:rFonts w:ascii="Times New Roman" w:eastAsia="仿宋"/>
          <w:b/>
          <w:color w:val="auto"/>
          <w:sz w:val="40"/>
          <w:highlight w:val="none"/>
        </w:rPr>
        <w:t>第六章  评标标准</w:t>
      </w:r>
      <w:bookmarkEnd w:id="356"/>
      <w:bookmarkEnd w:id="357"/>
      <w:bookmarkEnd w:id="358"/>
      <w:bookmarkEnd w:id="359"/>
      <w:bookmarkEnd w:id="360"/>
      <w:bookmarkEnd w:id="361"/>
      <w:bookmarkEnd w:id="362"/>
      <w:bookmarkEnd w:id="363"/>
    </w:p>
    <w:bookmarkEnd w:id="10"/>
    <w:bookmarkEnd w:id="88"/>
    <w:bookmarkEnd w:id="89"/>
    <w:p w14:paraId="3220FE37">
      <w:pPr>
        <w:rPr>
          <w:color w:val="auto"/>
          <w:highlight w:val="none"/>
        </w:rPr>
      </w:pPr>
    </w:p>
    <w:p w14:paraId="702765A3">
      <w:pPr>
        <w:pageBreakBefore w:val="0"/>
        <w:widowControl w:val="0"/>
        <w:wordWrap/>
        <w:overflowPunct/>
        <w:topLinePunct w:val="0"/>
        <w:bidi w:val="0"/>
        <w:spacing w:line="560" w:lineRule="exact"/>
        <w:ind w:firstLine="480" w:firstLineChars="200"/>
        <w:textAlignment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本项目由评审委员会按照以下评审内容，对资格性和符合性审查合格的投标文件进行价格、技术和商务综合比较与评价。</w:t>
      </w:r>
      <w:r>
        <w:rPr>
          <w:rFonts w:hint="default" w:ascii="仿宋" w:hAnsi="仿宋" w:eastAsia="仿宋" w:cs="仿宋"/>
          <w:color w:val="auto"/>
          <w:sz w:val="24"/>
          <w:szCs w:val="24"/>
          <w:highlight w:val="none"/>
          <w:lang w:val="en-US"/>
        </w:rPr>
        <w:t>满分100分，各项评审因素权重：价格分值占总分值的30%，技术分值占总分值的</w:t>
      </w:r>
      <w:r>
        <w:rPr>
          <w:rFonts w:hint="eastAsia" w:ascii="仿宋" w:hAnsi="仿宋" w:eastAsia="仿宋" w:cs="仿宋"/>
          <w:color w:val="auto"/>
          <w:sz w:val="24"/>
          <w:szCs w:val="24"/>
          <w:highlight w:val="none"/>
          <w:lang w:val="en-US" w:eastAsia="zh-CN"/>
        </w:rPr>
        <w:t>53</w:t>
      </w:r>
      <w:r>
        <w:rPr>
          <w:rFonts w:ascii="仿宋" w:hAnsi="仿宋" w:eastAsia="仿宋" w:cs="仿宋"/>
          <w:color w:val="auto"/>
          <w:sz w:val="24"/>
          <w:szCs w:val="24"/>
          <w:highlight w:val="none"/>
        </w:rPr>
        <w:t>%，商务</w:t>
      </w:r>
      <w:r>
        <w:rPr>
          <w:rFonts w:hint="eastAsia" w:ascii="仿宋" w:hAnsi="仿宋" w:eastAsia="仿宋" w:cs="仿宋"/>
          <w:color w:val="auto"/>
          <w:sz w:val="24"/>
          <w:szCs w:val="24"/>
          <w:highlight w:val="none"/>
        </w:rPr>
        <w:t>分值占总分值的</w:t>
      </w:r>
      <w:r>
        <w:rPr>
          <w:rFonts w:hint="eastAsia" w:ascii="仿宋" w:hAnsi="仿宋" w:eastAsia="仿宋" w:cs="仿宋"/>
          <w:color w:val="auto"/>
          <w:sz w:val="24"/>
          <w:szCs w:val="24"/>
          <w:highlight w:val="none"/>
          <w:lang w:val="en-US" w:eastAsia="zh-CN"/>
        </w:rPr>
        <w:t>17</w:t>
      </w:r>
      <w:r>
        <w:rPr>
          <w:rFonts w:ascii="仿宋" w:hAnsi="仿宋" w:eastAsia="仿宋" w:cs="仿宋"/>
          <w:color w:val="auto"/>
          <w:sz w:val="24"/>
          <w:szCs w:val="24"/>
          <w:highlight w:val="none"/>
        </w:rPr>
        <w:t>%。</w:t>
      </w:r>
    </w:p>
    <w:p w14:paraId="6983A3FB">
      <w:pPr>
        <w:bidi w:val="0"/>
        <w:rPr>
          <w:rFonts w:hint="eastAsia"/>
          <w:color w:val="auto"/>
          <w:highlight w:val="none"/>
          <w:lang w:eastAsia="zh-CN"/>
        </w:rPr>
      </w:pPr>
    </w:p>
    <w:p w14:paraId="4879C302">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b/>
          <w:bCs/>
          <w:color w:val="auto"/>
          <w:spacing w:val="0"/>
          <w:sz w:val="24"/>
          <w:szCs w:val="24"/>
          <w:highlight w:val="none"/>
          <w:lang w:val="en-US" w:eastAsia="zh-CN"/>
        </w:rPr>
      </w:pPr>
      <w:bookmarkStart w:id="364" w:name="_Toc32337"/>
      <w:r>
        <w:rPr>
          <w:rFonts w:hint="eastAsia" w:ascii="仿宋" w:hAnsi="仿宋" w:eastAsia="仿宋" w:cs="仿宋"/>
          <w:color w:val="auto"/>
          <w:sz w:val="24"/>
          <w:szCs w:val="24"/>
          <w:highlight w:val="none"/>
          <w:lang w:eastAsia="zh-CN"/>
        </w:rPr>
        <w:t>22</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指挥方舱车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364"/>
    </w:p>
    <w:p w14:paraId="43D61E00">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5"/>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14:paraId="4EB4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14:paraId="5C7F1964">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14:paraId="17328210">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14:paraId="7C29EEA5">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14:paraId="1A0D7B62">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14:paraId="1222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14:paraId="0296BE33">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14:paraId="0AD0C65D">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14:paraId="5D77E9C4">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14:paraId="0F168F91">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14:paraId="1BA15866">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14:paraId="449DBE6C">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14:paraId="5145BD57">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14:paraId="3DC83A42">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5"/>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14:paraId="4D19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14:paraId="74E0378C">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14:paraId="50801E5E">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14:paraId="579C4A82">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14:paraId="2CD08A7D">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14:paraId="1D78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14:paraId="2B023DC1">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14:paraId="0F703D33">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14:paraId="708D1CF3">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14:paraId="31E82DD7">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14:paraId="673698B4">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14:paraId="1EB41B9A">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14:paraId="72DF6F7F">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14:paraId="58911AAC">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14:paraId="0B3E6AAE">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14:paraId="63BD32E8">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14:paraId="5721A7E0">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14:paraId="64486053">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14:paraId="29E99614">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19</w:t>
            </w:r>
            <w:r>
              <w:rPr>
                <w:rFonts w:hint="eastAsia" w:ascii="仿宋" w:hAnsi="仿宋" w:eastAsia="仿宋" w:cs="仿宋"/>
                <w:color w:val="auto"/>
                <w:kern w:val="0"/>
                <w:sz w:val="24"/>
                <w:szCs w:val="24"/>
                <w:highlight w:val="none"/>
              </w:rPr>
              <w:t>分</w:t>
            </w:r>
          </w:p>
        </w:tc>
      </w:tr>
      <w:tr w14:paraId="4CC5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14:paraId="0DE22165">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14:paraId="560485BC">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4.1.1.7</w:t>
            </w:r>
            <w:r>
              <w:rPr>
                <w:rFonts w:hint="eastAsia" w:ascii="仿宋" w:hAnsi="仿宋" w:eastAsia="仿宋" w:cs="仿宋"/>
                <w:color w:val="auto"/>
                <w:kern w:val="0"/>
                <w:sz w:val="24"/>
                <w:szCs w:val="24"/>
                <w:highlight w:val="none"/>
              </w:rPr>
              <w:t>最大输出功率：≥</w:t>
            </w:r>
            <w:r>
              <w:rPr>
                <w:rFonts w:hint="eastAsia" w:ascii="仿宋" w:hAnsi="仿宋" w:eastAsia="仿宋" w:cs="仿宋"/>
                <w:color w:val="auto"/>
                <w:kern w:val="0"/>
                <w:sz w:val="24"/>
                <w:szCs w:val="24"/>
                <w:highlight w:val="none"/>
                <w:lang w:val="en-US" w:eastAsia="zh-CN"/>
              </w:rPr>
              <w:t>300</w:t>
            </w:r>
            <w:r>
              <w:rPr>
                <w:rFonts w:hint="eastAsia" w:ascii="仿宋" w:hAnsi="仿宋" w:eastAsia="仿宋" w:cs="仿宋"/>
                <w:color w:val="auto"/>
                <w:kern w:val="0"/>
                <w:sz w:val="24"/>
                <w:szCs w:val="24"/>
                <w:highlight w:val="none"/>
              </w:rPr>
              <w:t>kW</w:t>
            </w:r>
          </w:p>
        </w:tc>
        <w:tc>
          <w:tcPr>
            <w:tcW w:w="7016" w:type="dxa"/>
            <w:vAlign w:val="center"/>
          </w:tcPr>
          <w:p w14:paraId="264BED68">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牵引车最大输出功率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最大输出功率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最大输出功率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14:paraId="597891A3">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最大输出功率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最大输出功率</w:t>
            </w:r>
            <w:r>
              <w:rPr>
                <w:rFonts w:hint="eastAsia" w:ascii="仿宋" w:hAnsi="仿宋" w:eastAsia="仿宋" w:cs="仿宋"/>
                <w:b/>
                <w:color w:val="auto"/>
                <w:kern w:val="0"/>
                <w:sz w:val="24"/>
                <w:szCs w:val="24"/>
                <w:highlight w:val="none"/>
              </w:rPr>
              <w:t>仅次于最大值。</w:t>
            </w:r>
          </w:p>
        </w:tc>
        <w:tc>
          <w:tcPr>
            <w:tcW w:w="756" w:type="dxa"/>
            <w:vAlign w:val="center"/>
          </w:tcPr>
          <w:p w14:paraId="76437327">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14:paraId="19A5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262CFC30">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0615C394">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4.1.1.8</w:t>
            </w:r>
            <w:r>
              <w:rPr>
                <w:rFonts w:hint="eastAsia" w:ascii="仿宋" w:hAnsi="仿宋" w:eastAsia="仿宋" w:cs="仿宋"/>
                <w:color w:val="auto"/>
                <w:kern w:val="0"/>
                <w:sz w:val="24"/>
                <w:szCs w:val="24"/>
                <w:highlight w:val="none"/>
              </w:rPr>
              <w:t>牵引重量：≥40t。</w:t>
            </w:r>
          </w:p>
        </w:tc>
        <w:tc>
          <w:tcPr>
            <w:tcW w:w="7016" w:type="dxa"/>
            <w:vAlign w:val="center"/>
          </w:tcPr>
          <w:p w14:paraId="22F58248">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牵引车</w:t>
            </w:r>
            <w:r>
              <w:rPr>
                <w:rFonts w:hint="eastAsia" w:ascii="仿宋" w:hAnsi="仿宋" w:eastAsia="仿宋" w:cs="仿宋"/>
                <w:color w:val="auto"/>
                <w:kern w:val="0"/>
                <w:sz w:val="24"/>
                <w:szCs w:val="24"/>
                <w:highlight w:val="none"/>
              </w:rPr>
              <w:t>牵引重量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牵引重量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牵引重量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14:paraId="6F1AF811">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注：最优表示牵引重量最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，次优表示牵引重量仅次于最大值。</w:t>
            </w:r>
          </w:p>
        </w:tc>
        <w:tc>
          <w:tcPr>
            <w:tcW w:w="756" w:type="dxa"/>
            <w:vAlign w:val="center"/>
          </w:tcPr>
          <w:p w14:paraId="58E494C2">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14:paraId="14B4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20942B3C">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747EBCE5">
            <w:pPr>
              <w:widowControl w:val="0"/>
              <w:spacing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4.1.2.3</w:t>
            </w:r>
            <w:r>
              <w:rPr>
                <w:rFonts w:hint="eastAsia" w:ascii="仿宋" w:hAnsi="仿宋" w:eastAsia="仿宋" w:cs="仿宋"/>
                <w:color w:val="auto"/>
                <w:kern w:val="0"/>
                <w:sz w:val="24"/>
                <w:szCs w:val="24"/>
                <w:highlight w:val="none"/>
              </w:rPr>
              <w:t>单腿支撑承载≥8t</w:t>
            </w:r>
          </w:p>
        </w:tc>
        <w:tc>
          <w:tcPr>
            <w:tcW w:w="7016" w:type="dxa"/>
            <w:vAlign w:val="center"/>
          </w:tcPr>
          <w:p w14:paraId="5F34A93D">
            <w:pPr>
              <w:widowControl w:val="0"/>
              <w:spacing w:line="240" w:lineRule="auto"/>
              <w:jc w:val="left"/>
              <w:rPr>
                <w:rFonts w:hint="eastAsia" w:ascii="仿宋" w:hAnsi="仿宋" w:eastAsia="仿宋" w:cs="仿宋"/>
                <w:b w:val="0"/>
                <w:bCs/>
                <w:color w:val="auto"/>
                <w:kern w:val="0"/>
                <w:sz w:val="24"/>
                <w:szCs w:val="24"/>
                <w:highlight w:val="none"/>
                <w:lang w:val="en-US" w:eastAsia="zh-CN"/>
              </w:rPr>
            </w:pPr>
            <w:r>
              <w:rPr>
                <w:rFonts w:hint="eastAsia" w:ascii="仿宋" w:hAnsi="仿宋" w:eastAsia="仿宋" w:cs="仿宋"/>
                <w:b w:val="0"/>
                <w:bCs/>
                <w:color w:val="auto"/>
                <w:kern w:val="0"/>
                <w:sz w:val="24"/>
                <w:szCs w:val="24"/>
                <w:highlight w:val="none"/>
                <w:lang w:val="en-US" w:eastAsia="zh-CN"/>
              </w:rPr>
              <w:t>所投产品半挂车单腿支撑承载优于招标文件要求的，单腿支撑承载最优的加3分，单腿支撑承载次优的加2分，其余加1分。（可并列得分）</w:t>
            </w:r>
          </w:p>
          <w:p w14:paraId="0D58BD3C">
            <w:pPr>
              <w:widowControl w:val="0"/>
              <w:spacing w:line="240" w:lineRule="auto"/>
              <w:jc w:val="left"/>
              <w:rPr>
                <w:rFonts w:hint="default" w:ascii="仿宋" w:hAnsi="仿宋" w:eastAsia="仿宋" w:cs="仿宋"/>
                <w:b w:val="0"/>
                <w:bCs/>
                <w:color w:val="auto"/>
                <w:kern w:val="0"/>
                <w:sz w:val="24"/>
                <w:szCs w:val="24"/>
                <w:highlight w:val="none"/>
                <w:lang w:val="en-US" w:eastAsia="zh-CN"/>
              </w:rPr>
            </w:pPr>
            <w:r>
              <w:rPr>
                <w:rFonts w:hint="eastAsia" w:ascii="仿宋" w:hAnsi="仿宋" w:eastAsia="仿宋" w:cs="仿宋"/>
                <w:b/>
                <w:bCs w:val="0"/>
                <w:color w:val="auto"/>
                <w:kern w:val="0"/>
                <w:sz w:val="24"/>
                <w:szCs w:val="24"/>
                <w:highlight w:val="none"/>
                <w:lang w:val="en-US" w:eastAsia="zh-CN"/>
              </w:rPr>
              <w:t>注：最优表示单腿支撑承载最大，次优表示单腿支撑承载次于最大值。</w:t>
            </w:r>
          </w:p>
        </w:tc>
        <w:tc>
          <w:tcPr>
            <w:tcW w:w="756" w:type="dxa"/>
            <w:vAlign w:val="center"/>
          </w:tcPr>
          <w:p w14:paraId="3FB078E8">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14:paraId="195B8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53E6D22C">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3D52D38D">
            <w:pPr>
              <w:widowControl w:val="0"/>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val="en-US" w:eastAsia="zh-CN"/>
              </w:rPr>
              <w:t>4.4.1.</w:t>
            </w:r>
            <w:r>
              <w:rPr>
                <w:rFonts w:hint="eastAsia" w:ascii="仿宋" w:hAnsi="仿宋" w:eastAsia="仿宋" w:cs="仿宋"/>
                <w:color w:val="auto"/>
                <w:kern w:val="0"/>
                <w:sz w:val="24"/>
                <w:szCs w:val="24"/>
                <w:highlight w:val="none"/>
              </w:rPr>
              <w:t>2支持≥16路输入</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输出</w:t>
            </w:r>
          </w:p>
        </w:tc>
        <w:tc>
          <w:tcPr>
            <w:tcW w:w="7016" w:type="dxa"/>
            <w:vAlign w:val="center"/>
          </w:tcPr>
          <w:p w14:paraId="18AE2902">
            <w:pPr>
              <w:widowControl w:val="0"/>
              <w:spacing w:line="240" w:lineRule="auto"/>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b w:val="0"/>
                <w:bCs/>
                <w:color w:val="auto"/>
                <w:kern w:val="0"/>
                <w:sz w:val="24"/>
                <w:szCs w:val="24"/>
                <w:highlight w:val="none"/>
                <w:lang w:val="en-US" w:eastAsia="zh-CN"/>
              </w:rPr>
              <w:t>所投产品</w:t>
            </w:r>
            <w:r>
              <w:rPr>
                <w:rFonts w:hint="eastAsia" w:ascii="仿宋" w:hAnsi="仿宋" w:eastAsia="仿宋" w:cs="仿宋"/>
                <w:color w:val="auto"/>
                <w:kern w:val="0"/>
                <w:sz w:val="24"/>
                <w:szCs w:val="24"/>
                <w:highlight w:val="none"/>
              </w:rPr>
              <w:t>音视频矩阵</w:t>
            </w:r>
            <w:r>
              <w:rPr>
                <w:rFonts w:hint="eastAsia" w:ascii="仿宋" w:hAnsi="仿宋" w:eastAsia="仿宋" w:cs="仿宋"/>
                <w:color w:val="auto"/>
                <w:kern w:val="0"/>
                <w:sz w:val="24"/>
                <w:szCs w:val="24"/>
                <w:highlight w:val="none"/>
                <w:lang w:val="en-US" w:eastAsia="zh-CN"/>
              </w:rPr>
              <w:t>输入、输出优于招标文件要求的，输入、输出最优的加3分，输入、输出次优的加2分，其余加1分。（可并列得分）</w:t>
            </w:r>
          </w:p>
          <w:p w14:paraId="0F10CD79">
            <w:pPr>
              <w:widowControl w:val="0"/>
              <w:spacing w:line="240" w:lineRule="auto"/>
              <w:jc w:val="left"/>
              <w:rPr>
                <w:rFonts w:hint="default" w:ascii="仿宋" w:hAnsi="仿宋" w:eastAsia="仿宋" w:cs="仿宋"/>
                <w:b w:val="0"/>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注：最优表示输入、输出最大，次优表示输入、输出次于最大值。</w:t>
            </w:r>
          </w:p>
        </w:tc>
        <w:tc>
          <w:tcPr>
            <w:tcW w:w="756" w:type="dxa"/>
            <w:vAlign w:val="center"/>
          </w:tcPr>
          <w:p w14:paraId="01B00F3F">
            <w:pPr>
              <w:widowControl w:val="0"/>
              <w:spacing w:line="240" w:lineRule="auto"/>
              <w:jc w:val="center"/>
              <w:rPr>
                <w:rFonts w:hint="default"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bidi="ar-SA"/>
              </w:rPr>
              <w:t>3分</w:t>
            </w:r>
          </w:p>
        </w:tc>
      </w:tr>
      <w:tr w14:paraId="1883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0495462F">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3EA0D5C2">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4.5.2.1</w:t>
            </w:r>
            <w:r>
              <w:rPr>
                <w:rFonts w:hint="eastAsia" w:ascii="仿宋" w:hAnsi="仿宋" w:eastAsia="仿宋" w:cs="仿宋"/>
                <w:color w:val="auto"/>
                <w:kern w:val="0"/>
                <w:sz w:val="24"/>
                <w:szCs w:val="24"/>
                <w:highlight w:val="none"/>
              </w:rPr>
              <w:t>额定功率（KW）≥30</w:t>
            </w:r>
          </w:p>
        </w:tc>
        <w:tc>
          <w:tcPr>
            <w:tcW w:w="7016" w:type="dxa"/>
            <w:vAlign w:val="center"/>
          </w:tcPr>
          <w:p w14:paraId="2FDC61CD">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静音</w:t>
            </w:r>
            <w:r>
              <w:rPr>
                <w:rFonts w:hint="eastAsia" w:ascii="仿宋" w:hAnsi="仿宋" w:eastAsia="仿宋" w:cs="仿宋"/>
                <w:color w:val="auto"/>
                <w:sz w:val="24"/>
                <w:szCs w:val="24"/>
                <w:highlight w:val="none"/>
              </w:rPr>
              <w:t>发电机</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14:paraId="51CC12D4">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额定功率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额定功率</w:t>
            </w:r>
            <w:r>
              <w:rPr>
                <w:rFonts w:hint="eastAsia" w:ascii="仿宋" w:hAnsi="仿宋" w:eastAsia="仿宋" w:cs="仿宋"/>
                <w:b/>
                <w:color w:val="auto"/>
                <w:kern w:val="0"/>
                <w:sz w:val="24"/>
                <w:szCs w:val="24"/>
                <w:highlight w:val="none"/>
              </w:rPr>
              <w:t>仅次于最大值。</w:t>
            </w:r>
          </w:p>
        </w:tc>
        <w:tc>
          <w:tcPr>
            <w:tcW w:w="756" w:type="dxa"/>
            <w:vAlign w:val="center"/>
          </w:tcPr>
          <w:p w14:paraId="7847874D">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14:paraId="2357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4675C3ED">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627C6913">
            <w:pPr>
              <w:widowControl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val="en-US" w:eastAsia="zh-CN"/>
              </w:rPr>
              <w:t>4.5.12.2</w:t>
            </w:r>
            <w:r>
              <w:rPr>
                <w:rFonts w:hint="eastAsia" w:ascii="仿宋" w:hAnsi="仿宋" w:eastAsia="仿宋" w:cs="仿宋"/>
                <w:color w:val="auto"/>
                <w:kern w:val="0"/>
                <w:sz w:val="24"/>
                <w:szCs w:val="24"/>
                <w:highlight w:val="none"/>
              </w:rPr>
              <w:t>制冷量：≥16KW</w:t>
            </w:r>
          </w:p>
        </w:tc>
        <w:tc>
          <w:tcPr>
            <w:tcW w:w="7016" w:type="dxa"/>
            <w:vAlign w:val="center"/>
          </w:tcPr>
          <w:p w14:paraId="5B6D2F4D">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车载空调制冷量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制冷量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制冷量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14:paraId="1780EC97">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制冷量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制冷量</w:t>
            </w:r>
            <w:r>
              <w:rPr>
                <w:rFonts w:hint="eastAsia" w:ascii="仿宋" w:hAnsi="仿宋" w:eastAsia="仿宋" w:cs="仿宋"/>
                <w:b/>
                <w:color w:val="auto"/>
                <w:kern w:val="0"/>
                <w:sz w:val="24"/>
                <w:szCs w:val="24"/>
                <w:highlight w:val="none"/>
              </w:rPr>
              <w:t>仅次于最大值。</w:t>
            </w:r>
          </w:p>
        </w:tc>
        <w:tc>
          <w:tcPr>
            <w:tcW w:w="756" w:type="dxa"/>
            <w:vAlign w:val="center"/>
          </w:tcPr>
          <w:p w14:paraId="24B4F1F5">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14:paraId="7A25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14:paraId="4139D1F3">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6C88AD60">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14:paraId="1F2CAF51">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14:paraId="30A8E3C5">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14:paraId="40F7FC20">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14:paraId="553F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01" w:type="dxa"/>
            <w:vMerge w:val="continue"/>
            <w:vAlign w:val="center"/>
          </w:tcPr>
          <w:p w14:paraId="58E47B4D">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14:paraId="3B955B9E">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14:paraId="18DEEF21">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14:paraId="7D1EFF11">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14:paraId="004423A7">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14:paraId="419F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14:paraId="208781A9">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14:paraId="5B645372">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14:paraId="07D659FB">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14:paraId="6612EC7D">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14:paraId="26CBF1F6">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14:paraId="7C876B69">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14:paraId="77B71617">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14:paraId="303E219D">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14:paraId="61F4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14:paraId="7CD316D6">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222CD223">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14:paraId="67889F26">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14:paraId="5054700D">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14:paraId="7A9395CB">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14:paraId="2DEF493A">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14:paraId="62B9208E">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14:paraId="168AED76">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14:paraId="0889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14:paraId="7681DD15">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14:paraId="16503577">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14:paraId="4FEAA82D">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14:paraId="2E4534B8">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14:paraId="3B99F610">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14:paraId="15C5C52F">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14:paraId="1DE4062D">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14:paraId="413E876D">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14:paraId="588E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14:paraId="68A51962">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14:paraId="6A1F8920">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）与投标文件同时递交，逾期递交不予接收，U盘由采购代理机构封存，不予退回。未提供视频或视频无法打开的，得0分。</w:t>
            </w:r>
          </w:p>
        </w:tc>
      </w:tr>
    </w:tbl>
    <w:p w14:paraId="052E4052">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14:paraId="5128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14:paraId="7CA31871">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14:paraId="0BB54081">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14:paraId="7D689EF0">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14:paraId="46A9ACFB">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14:paraId="7DB8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14:paraId="6CBB9CE2">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14:paraId="01640340">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14:paraId="3C1A4309">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14:paraId="57D0718C">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14:paraId="3C47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14:paraId="590076E3">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14:paraId="7952A4D5">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14:paraId="4B9AF350">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14:paraId="7ACE01F5">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14:paraId="7AF58D7C">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14:paraId="7BED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14:paraId="69E8D7B4">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14:paraId="654DE8EE">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车辆制造履约生产能力</w:t>
            </w:r>
          </w:p>
        </w:tc>
        <w:tc>
          <w:tcPr>
            <w:tcW w:w="7094" w:type="dxa"/>
          </w:tcPr>
          <w:p w14:paraId="66DF4591">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US" w:eastAsia="zh-CN"/>
              </w:rPr>
              <w:t>履约生产</w:t>
            </w:r>
            <w:r>
              <w:rPr>
                <w:rFonts w:hint="eastAsia" w:ascii="仿宋" w:hAnsi="仿宋" w:eastAsia="仿宋" w:cs="仿宋"/>
                <w:color w:val="auto"/>
                <w:sz w:val="24"/>
                <w:highlight w:val="none"/>
              </w:rPr>
              <w:t>能力进行评审，包含但不限于</w:t>
            </w:r>
            <w:r>
              <w:rPr>
                <w:rFonts w:hint="eastAsia" w:ascii="仿宋" w:hAnsi="仿宋" w:eastAsia="仿宋" w:cs="仿宋"/>
                <w:color w:val="auto"/>
                <w:sz w:val="24"/>
                <w:highlight w:val="none"/>
                <w:lang w:eastAsia="zh-CN"/>
              </w:rPr>
              <w:t>：</w:t>
            </w:r>
          </w:p>
          <w:p w14:paraId="54B031D5">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14:paraId="3C4DEFEB">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14:paraId="1E256357">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14:paraId="54277C29">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14:paraId="3FA45B3A">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14:paraId="09287277">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w:t>
            </w:r>
            <w:r>
              <w:rPr>
                <w:rFonts w:hint="eastAsia" w:ascii="仿宋" w:hAnsi="仿宋" w:eastAsia="仿宋" w:cs="仿宋"/>
                <w:b/>
                <w:bCs/>
                <w:color w:val="auto"/>
                <w:sz w:val="24"/>
                <w:highlight w:val="none"/>
                <w:lang w:eastAsia="zh-CN"/>
              </w:rPr>
              <w:t>履约</w:t>
            </w:r>
            <w:r>
              <w:rPr>
                <w:rFonts w:hint="eastAsia" w:ascii="仿宋" w:hAnsi="仿宋" w:eastAsia="仿宋" w:cs="仿宋"/>
                <w:b/>
                <w:bCs/>
                <w:color w:val="auto"/>
                <w:sz w:val="24"/>
                <w:highlight w:val="none"/>
                <w:lang w:val="en-US" w:eastAsia="zh-CN"/>
              </w:rPr>
              <w:t>生产</w:t>
            </w:r>
            <w:r>
              <w:rPr>
                <w:rFonts w:hint="eastAsia" w:ascii="仿宋" w:hAnsi="仿宋" w:eastAsia="仿宋" w:cs="仿宋"/>
                <w:b/>
                <w:bCs/>
                <w:color w:val="auto"/>
                <w:sz w:val="24"/>
                <w:highlight w:val="none"/>
              </w:rPr>
              <w:t>能力</w:t>
            </w:r>
            <w:r>
              <w:rPr>
                <w:rFonts w:hint="eastAsia" w:ascii="仿宋" w:hAnsi="仿宋" w:eastAsia="仿宋"/>
                <w:b/>
                <w:color w:val="auto"/>
                <w:sz w:val="24"/>
                <w:highlight w:val="none"/>
                <w:lang w:val="en-US" w:eastAsia="zh-CN"/>
              </w:rPr>
              <w:t>方案内容完整性、组织性、关联性和可操作性进行评审</w:t>
            </w:r>
            <w:r>
              <w:rPr>
                <w:rFonts w:hint="eastAsia" w:ascii="仿宋" w:hAnsi="仿宋" w:eastAsia="仿宋"/>
                <w:b/>
                <w:color w:val="auto"/>
                <w:sz w:val="24"/>
                <w:highlight w:val="none"/>
              </w:rPr>
              <w:t>。</w:t>
            </w:r>
          </w:p>
          <w:p w14:paraId="59E90E3D">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检验设备配置齐全、检验步骤严密无纰漏，履约生产能力</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14:paraId="15DAAA2F">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检验设备配置较齐全、检验步骤相对完备，履约生产能力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14:paraId="11226289">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检验设备配置简单落后，检验步骤普通，履约生产能力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14:paraId="489ADEDE">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14:paraId="5065B307">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14:paraId="3735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29" w:type="dxa"/>
            <w:vAlign w:val="center"/>
          </w:tcPr>
          <w:p w14:paraId="6985F63B">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14:paraId="46308A33">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14:paraId="354BE054">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14:paraId="1EE71A0D">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53328087">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14:paraId="45E1639D">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14:paraId="11E5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14:paraId="766ACE69">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14:paraId="2DCEE0AA">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14:paraId="027F593E">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0B16582C">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14:paraId="7851A647">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14:paraId="386476B6">
      <w:pPr>
        <w:pStyle w:val="14"/>
        <w:rPr>
          <w:color w:val="auto"/>
          <w:highlight w:val="none"/>
        </w:rPr>
      </w:pPr>
    </w:p>
    <w:sectPr>
      <w:footerReference r:id="rId15" w:type="default"/>
      <w:pgSz w:w="11906" w:h="16838"/>
      <w:pgMar w:top="1247" w:right="1417" w:bottom="1702" w:left="141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C31F032-4500-45E3-8A1C-FFCCD7FD53A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仿宋">
    <w:panose1 w:val="02010609060101010101"/>
    <w:charset w:val="86"/>
    <w:family w:val="decorative"/>
    <w:pitch w:val="default"/>
    <w:sig w:usb0="800002BF" w:usb1="38CF7CFA" w:usb2="00000016" w:usb3="00000000" w:csb0="00040001" w:csb1="00000000"/>
    <w:embedRegular r:id="rId2" w:fontKey="{88A48AF4-BAB0-44B2-BDA5-C7622C605414}"/>
  </w:font>
  <w:font w:name="FangSong_GB2312">
    <w:altName w:val="仿宋"/>
    <w:panose1 w:val="02010609060101010101"/>
    <w:charset w:val="00"/>
    <w:family w:val="swiss"/>
    <w:pitch w:val="default"/>
    <w:sig w:usb0="00000000" w:usb1="00000000" w:usb2="00000000" w:usb3="00000000" w:csb0="00000000" w:csb1="00000000"/>
  </w:font>
  <w:font w:name="楷体_GB2312">
    <w:altName w:val="楷体"/>
    <w:panose1 w:val="02010609030101010101"/>
    <w:charset w:val="86"/>
    <w:family w:val="decorative"/>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embedRegular r:id="rId3" w:fontKey="{D59F3589-B358-4563-AA5D-BC679FAD9402}"/>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27954">
    <w:pPr>
      <w:pStyle w:val="2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A0E4C">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9F312">
    <w:pPr>
      <w:pStyle w:val="2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B9274">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63B9274">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BF6C">
    <w:pPr>
      <w:pStyle w:val="2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FA1C6">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56FA1C6">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9C767">
    <w:pPr>
      <w:pStyle w:val="25"/>
      <w:rPr>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1046F">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611046F">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4116E">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14:paraId="6E35DE18">
                          <w:pPr>
                            <w:pStyle w:val="2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IfbcQPUAQAArwMAAA4AAAAAAAAAAQAgAAAAHgEA&#10;AGRycy9lMm9Eb2MueG1sUEsFBgAAAAAGAAYAWQEAAGQFAAAAAA==&#10;">
              <v:fill on="f" focussize="0,0"/>
              <v:stroke on="f" joinstyle="miter"/>
              <v:imagedata o:title=""/>
              <o:lock v:ext="edit" aspectratio="f"/>
              <v:textbox inset="0mm,0mm,0mm,0mm" style="mso-fit-shape-to-text:t;">
                <w:txbxContent>
                  <w:p w14:paraId="6E35DE18">
                    <w:pPr>
                      <w:pStyle w:val="2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2A6E1">
    <w:pPr>
      <w:pStyle w:val="25"/>
      <w:rPr>
        <w:b/>
        <w:szCs w:val="1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14:paraId="30DE6376">
                          <w:pPr>
                            <w:pStyle w:val="2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0/PsfXAQAArwMAAA4AAAAAAAAAAQAgAAAA&#10;HgEAAGRycy9lMm9Eb2MueG1sUEsFBgAAAAAGAAYAWQEAAGcFAAAAAA==&#10;">
              <v:fill on="f" focussize="0,0"/>
              <v:stroke on="f" joinstyle="miter"/>
              <v:imagedata o:title=""/>
              <o:lock v:ext="edit" aspectratio="f"/>
              <v:textbox inset="0mm,0mm,0mm,0mm" style="mso-fit-shape-to-text:t;">
                <w:txbxContent>
                  <w:p w14:paraId="30DE6376">
                    <w:pPr>
                      <w:pStyle w:val="2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BA0F">
    <w:pPr>
      <w:pStyle w:val="25"/>
      <w:rPr>
        <w:b/>
        <w:szCs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14:paraId="672EBE3E">
                          <w:pPr>
                            <w:pStyle w:val="2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P77PeXXAQAArwMAAA4AAAAAAAAAAQAgAAAA&#10;HgEAAGRycy9lMm9Eb2MueG1sUEsFBgAAAAAGAAYAWQEAAGcFAAAAAA==&#10;">
              <v:fill on="f" focussize="0,0"/>
              <v:stroke on="f" joinstyle="miter"/>
              <v:imagedata o:title=""/>
              <o:lock v:ext="edit" aspectratio="f"/>
              <v:textbox inset="0mm,0mm,0mm,0mm" style="mso-fit-shape-to-text:t;">
                <w:txbxContent>
                  <w:p w14:paraId="672EBE3E">
                    <w:pPr>
                      <w:pStyle w:val="2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A232B">
    <w:pPr>
      <w:pStyle w:val="25"/>
      <w:rPr>
        <w:b/>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AE8F7">
                          <w:pPr>
                            <w:pStyle w:val="2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35AE8F7">
                    <w:pPr>
                      <w:pStyle w:val="2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DE6C5">
    <w:pPr>
      <w:pStyle w:val="25"/>
      <w:rPr>
        <w:b/>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FF650">
                          <w:pPr>
                            <w:pStyle w:val="2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B7FF650">
                    <w:pPr>
                      <w:pStyle w:val="2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D13CB">
    <w:pPr>
      <w:pStyle w:val="25"/>
      <w:ind w:right="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7DF111">
                          <w:pPr>
                            <w:pStyle w:val="25"/>
                          </w:pPr>
                          <w:r>
                            <w:fldChar w:fldCharType="begin"/>
                          </w:r>
                          <w:r>
                            <w:instrText xml:space="preserve"> PAGE  \* MERGEFORMAT </w:instrText>
                          </w:r>
                          <w:r>
                            <w:fldChar w:fldCharType="separate"/>
                          </w:r>
                          <w:r>
                            <w:t>668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77DF111">
                    <w:pPr>
                      <w:pStyle w:val="25"/>
                    </w:pPr>
                    <w:r>
                      <w:fldChar w:fldCharType="begin"/>
                    </w:r>
                    <w:r>
                      <w:instrText xml:space="preserve"> PAGE  \* MERGEFORMAT </w:instrText>
                    </w:r>
                    <w:r>
                      <w:fldChar w:fldCharType="separate"/>
                    </w:r>
                    <w:r>
                      <w:t>668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10C89">
    <w:pPr>
      <w:ind w:firstLine="1044"/>
      <w:jc w:val="right"/>
    </w:pPr>
    <w:r>
      <w:rPr>
        <w:rFonts w:ascii="仿宋" w:hAnsi="仿宋" w:eastAsia="仿宋"/>
        <w:b/>
        <w:sz w:val="52"/>
        <w:u w:val="single"/>
      </w:rPr>
      <w:drawing>
        <wp:inline distT="0" distB="0" distL="114300" distR="114300">
          <wp:extent cx="161290" cy="197485"/>
          <wp:effectExtent l="0" t="0" r="6350" b="635"/>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1"/>
                  <a:stretch>
                    <a:fillRect/>
                  </a:stretch>
                </pic:blipFill>
                <pic:spPr>
                  <a:xfrm>
                    <a:off x="0" y="0"/>
                    <a:ext cx="161290" cy="197485"/>
                  </a:xfrm>
                  <a:prstGeom prst="rect">
                    <a:avLst/>
                  </a:prstGeom>
                  <a:noFill/>
                  <a:ln>
                    <a:noFill/>
                  </a:ln>
                </pic:spPr>
              </pic:pic>
            </a:graphicData>
          </a:graphic>
        </wp:inline>
      </w:drawing>
    </w:r>
    <w:r>
      <w:rPr>
        <w:rFonts w:hint="eastAsia" w:ascii="仿宋" w:hAnsi="仿宋" w:eastAsia="仿宋" w:cs="仿宋"/>
        <w:color w:val="000000"/>
        <w:sz w:val="24"/>
        <w:szCs w:val="24"/>
        <w:u w:val="single"/>
      </w:rPr>
      <w:t>江西合胜合招标咨询有限公司·</w:t>
    </w:r>
    <w:r>
      <w:rPr>
        <w:rFonts w:hint="eastAsia" w:ascii="仿宋" w:hAnsi="仿宋" w:eastAsia="仿宋" w:cs="仿宋"/>
        <w:color w:val="000000"/>
        <w:sz w:val="24"/>
        <w:szCs w:val="24"/>
        <w:u w:val="single"/>
        <w:lang w:eastAsia="zh-CN"/>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17917">
    <w:pPr>
      <w:ind w:firstLine="1044"/>
      <w:jc w:val="right"/>
    </w:pPr>
    <w:r>
      <w:rPr>
        <w:rFonts w:ascii="仿宋" w:hAnsi="仿宋" w:eastAsia="仿宋"/>
        <w:b/>
        <w:sz w:val="52"/>
        <w:u w:val="single"/>
      </w:rPr>
      <w:drawing>
        <wp:inline distT="0" distB="0" distL="114300" distR="114300">
          <wp:extent cx="161290" cy="197485"/>
          <wp:effectExtent l="0" t="0" r="6350" b="635"/>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pic:cNvPicPr>
                    <a:picLocks noChangeAspect="1"/>
                  </pic:cNvPicPr>
                </pic:nvPicPr>
                <pic:blipFill>
                  <a:blip r:embed="rId1"/>
                  <a:stretch>
                    <a:fillRect/>
                  </a:stretch>
                </pic:blipFill>
                <pic:spPr>
                  <a:xfrm>
                    <a:off x="0" y="0"/>
                    <a:ext cx="161290" cy="197485"/>
                  </a:xfrm>
                  <a:prstGeom prst="rect">
                    <a:avLst/>
                  </a:prstGeom>
                  <a:noFill/>
                  <a:ln>
                    <a:noFill/>
                  </a:ln>
                </pic:spPr>
              </pic:pic>
            </a:graphicData>
          </a:graphic>
        </wp:inline>
      </w:drawing>
    </w:r>
    <w:r>
      <w:rPr>
        <w:rFonts w:hint="eastAsia" w:ascii="仿宋" w:hAnsi="仿宋" w:eastAsia="仿宋" w:cs="仿宋"/>
        <w:color w:val="000000"/>
        <w:sz w:val="24"/>
        <w:szCs w:val="24"/>
        <w:u w:val="single"/>
      </w:rPr>
      <w:t>江西合胜合招标咨询有限公司·</w:t>
    </w:r>
    <w:r>
      <w:rPr>
        <w:rFonts w:hint="eastAsia" w:ascii="仿宋" w:hAnsi="仿宋" w:eastAsia="仿宋" w:cs="仿宋"/>
        <w:color w:val="000000"/>
        <w:sz w:val="24"/>
        <w:szCs w:val="24"/>
        <w:u w:val="single"/>
        <w:lang w:eastAsia="zh-CN"/>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4"/>
      <w:numFmt w:val="decimal"/>
      <w:lvlText w:val="%1"/>
      <w:lvlJc w:val="left"/>
      <w:pPr>
        <w:ind w:left="600" w:hanging="600"/>
      </w:pPr>
      <w:rPr>
        <w:rFonts w:hint="default"/>
      </w:rPr>
    </w:lvl>
    <w:lvl w:ilvl="1" w:tentative="0">
      <w:start w:val="4"/>
      <w:numFmt w:val="decimal"/>
      <w:lvlText w:val="%1.%2"/>
      <w:lvlJc w:val="left"/>
      <w:pPr>
        <w:ind w:left="671" w:hanging="600"/>
      </w:pPr>
      <w:rPr>
        <w:rFonts w:hint="default"/>
      </w:rPr>
    </w:lvl>
    <w:lvl w:ilvl="2" w:tentative="0">
      <w:start w:val="1"/>
      <w:numFmt w:val="decimal"/>
      <w:lvlText w:val="%1.%2.%3"/>
      <w:lvlJc w:val="left"/>
      <w:pPr>
        <w:ind w:left="862" w:hanging="720"/>
      </w:pPr>
      <w:rPr>
        <w:rFonts w:hint="default"/>
      </w:rPr>
    </w:lvl>
    <w:lvl w:ilvl="3" w:tentative="0">
      <w:start w:val="1"/>
      <w:numFmt w:val="decimal"/>
      <w:lvlText w:val="%1.%2.%3.%4"/>
      <w:lvlJc w:val="left"/>
      <w:pPr>
        <w:ind w:left="1293" w:hanging="1080"/>
      </w:pPr>
      <w:rPr>
        <w:rFonts w:hint="default"/>
      </w:rPr>
    </w:lvl>
    <w:lvl w:ilvl="4" w:tentative="0">
      <w:start w:val="1"/>
      <w:numFmt w:val="decimal"/>
      <w:lvlText w:val="%1.%2.%3.%4.%5"/>
      <w:lvlJc w:val="left"/>
      <w:pPr>
        <w:ind w:left="1364" w:hanging="1080"/>
      </w:pPr>
      <w:rPr>
        <w:rFonts w:hint="default"/>
      </w:rPr>
    </w:lvl>
    <w:lvl w:ilvl="5" w:tentative="0">
      <w:start w:val="1"/>
      <w:numFmt w:val="decimal"/>
      <w:lvlText w:val="%1.%2.%3.%4.%5.%6"/>
      <w:lvlJc w:val="left"/>
      <w:pPr>
        <w:ind w:left="1795" w:hanging="1440"/>
      </w:pPr>
      <w:rPr>
        <w:rFonts w:hint="default"/>
      </w:rPr>
    </w:lvl>
    <w:lvl w:ilvl="6" w:tentative="0">
      <w:start w:val="1"/>
      <w:numFmt w:val="decimal"/>
      <w:lvlText w:val="%1.%2.%3.%4.%5.%6.%7"/>
      <w:lvlJc w:val="left"/>
      <w:pPr>
        <w:ind w:left="2226" w:hanging="1800"/>
      </w:pPr>
      <w:rPr>
        <w:rFonts w:hint="default"/>
      </w:rPr>
    </w:lvl>
    <w:lvl w:ilvl="7" w:tentative="0">
      <w:start w:val="1"/>
      <w:numFmt w:val="decimal"/>
      <w:lvlText w:val="%1.%2.%3.%4.%5.%6.%7.%8"/>
      <w:lvlJc w:val="left"/>
      <w:pPr>
        <w:ind w:left="2297" w:hanging="1800"/>
      </w:pPr>
      <w:rPr>
        <w:rFonts w:hint="default"/>
      </w:rPr>
    </w:lvl>
    <w:lvl w:ilvl="8" w:tentative="0">
      <w:start w:val="1"/>
      <w:numFmt w:val="decimal"/>
      <w:lvlText w:val="%1.%2.%3.%4.%5.%6.%7.%8.%9"/>
      <w:lvlJc w:val="left"/>
      <w:pPr>
        <w:ind w:left="2728" w:hanging="2160"/>
      </w:pPr>
      <w:rPr>
        <w:rFonts w:hint="default"/>
      </w:rPr>
    </w:lvl>
  </w:abstractNum>
  <w:abstractNum w:abstractNumId="1">
    <w:nsid w:val="0000000B"/>
    <w:multiLevelType w:val="multilevel"/>
    <w:tmpl w:val="0000000B"/>
    <w:lvl w:ilvl="0" w:tentative="0">
      <w:start w:val="1"/>
      <w:numFmt w:val="decimalEnclosedParen"/>
      <w:lvlText w:val="%1"/>
      <w:lvlJc w:val="left"/>
      <w:pPr>
        <w:ind w:left="645" w:hanging="420"/>
      </w:pPr>
      <w:rPr>
        <w:rFonts w:hint="default" w:ascii="仿宋" w:hAnsi="仿宋" w:eastAsia="仿宋" w:cs="仿宋"/>
        <w:sz w:val="24"/>
        <w:szCs w:val="24"/>
      </w:rPr>
    </w:lvl>
    <w:lvl w:ilvl="1" w:tentative="0">
      <w:start w:val="1"/>
      <w:numFmt w:val="lowerLetter"/>
      <w:lvlText w:val="%2)"/>
      <w:lvlJc w:val="left"/>
      <w:pPr>
        <w:ind w:left="1065" w:hanging="420"/>
      </w:pPr>
    </w:lvl>
    <w:lvl w:ilvl="2" w:tentative="0">
      <w:start w:val="1"/>
      <w:numFmt w:val="lowerRoman"/>
      <w:lvlText w:val="%3."/>
      <w:lvlJc w:val="right"/>
      <w:pPr>
        <w:ind w:left="1485" w:hanging="420"/>
      </w:pPr>
    </w:lvl>
    <w:lvl w:ilvl="3" w:tentative="0">
      <w:start w:val="1"/>
      <w:numFmt w:val="decimal"/>
      <w:lvlText w:val="%4."/>
      <w:lvlJc w:val="left"/>
      <w:pPr>
        <w:ind w:left="1905" w:hanging="420"/>
      </w:pPr>
    </w:lvl>
    <w:lvl w:ilvl="4" w:tentative="0">
      <w:start w:val="1"/>
      <w:numFmt w:val="lowerLetter"/>
      <w:lvlText w:val="%5)"/>
      <w:lvlJc w:val="left"/>
      <w:pPr>
        <w:ind w:left="2325" w:hanging="420"/>
      </w:pPr>
    </w:lvl>
    <w:lvl w:ilvl="5" w:tentative="0">
      <w:start w:val="1"/>
      <w:numFmt w:val="lowerRoman"/>
      <w:lvlText w:val="%6."/>
      <w:lvlJc w:val="right"/>
      <w:pPr>
        <w:ind w:left="2745" w:hanging="420"/>
      </w:pPr>
    </w:lvl>
    <w:lvl w:ilvl="6" w:tentative="0">
      <w:start w:val="1"/>
      <w:numFmt w:val="decimal"/>
      <w:lvlText w:val="%7."/>
      <w:lvlJc w:val="left"/>
      <w:pPr>
        <w:ind w:left="3165" w:hanging="420"/>
      </w:pPr>
    </w:lvl>
    <w:lvl w:ilvl="7" w:tentative="0">
      <w:start w:val="1"/>
      <w:numFmt w:val="lowerLetter"/>
      <w:lvlText w:val="%8)"/>
      <w:lvlJc w:val="left"/>
      <w:pPr>
        <w:ind w:left="3585" w:hanging="420"/>
      </w:pPr>
    </w:lvl>
    <w:lvl w:ilvl="8" w:tentative="0">
      <w:start w:val="1"/>
      <w:numFmt w:val="lowerRoman"/>
      <w:lvlText w:val="%9."/>
      <w:lvlJc w:val="right"/>
      <w:pPr>
        <w:ind w:left="4005" w:hanging="420"/>
      </w:pPr>
    </w:lvl>
  </w:abstractNum>
  <w:abstractNum w:abstractNumId="2">
    <w:nsid w:val="00000010"/>
    <w:multiLevelType w:val="multilevel"/>
    <w:tmpl w:val="00000010"/>
    <w:lvl w:ilvl="0" w:tentative="0">
      <w:start w:val="1"/>
      <w:numFmt w:val="decimal"/>
      <w:lvlText w:val="%1"/>
      <w:lvlJc w:val="left"/>
      <w:pPr>
        <w:ind w:left="360" w:hanging="36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12"/>
    <w:multiLevelType w:val="multilevel"/>
    <w:tmpl w:val="00000012"/>
    <w:lvl w:ilvl="0" w:tentative="0">
      <w:start w:val="8"/>
      <w:numFmt w:val="decimal"/>
      <w:lvlText w:val="%1"/>
      <w:lvlJc w:val="left"/>
      <w:pPr>
        <w:ind w:left="502" w:hanging="360"/>
      </w:pPr>
      <w:rPr>
        <w:rFonts w:hint="default"/>
        <w:b/>
        <w:color w:val="00000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00000019"/>
    <w:multiLevelType w:val="multilevel"/>
    <w:tmpl w:val="00000019"/>
    <w:lvl w:ilvl="0" w:tentative="0">
      <w:start w:val="1"/>
      <w:numFmt w:val="decimal"/>
      <w:lvlText w:val="%1)"/>
      <w:lvlJc w:val="left"/>
      <w:pPr>
        <w:tabs>
          <w:tab w:val="left" w:pos="587"/>
        </w:tabs>
        <w:ind w:left="425" w:hanging="198"/>
      </w:pPr>
      <w:rPr>
        <w:rFonts w:hint="eastAsia"/>
      </w:rPr>
    </w:lvl>
    <w:lvl w:ilvl="1" w:tentative="0">
      <w:start w:val="1"/>
      <w:numFmt w:val="decimal"/>
      <w:lvlText w:val="9.%2."/>
      <w:lvlJc w:val="left"/>
      <w:pPr>
        <w:tabs>
          <w:tab w:val="left" w:pos="1361"/>
        </w:tabs>
        <w:ind w:left="1361" w:hanging="793"/>
      </w:pPr>
      <w:rPr>
        <w:rFonts w:hint="eastAsia" w:cs="Times New Roman"/>
        <w:b w:val="0"/>
        <w:color w:val="auto"/>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5">
    <w:nsid w:val="0753196C"/>
    <w:multiLevelType w:val="multilevel"/>
    <w:tmpl w:val="0753196C"/>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4C44C87"/>
    <w:multiLevelType w:val="multilevel"/>
    <w:tmpl w:val="14C44C87"/>
    <w:lvl w:ilvl="0" w:tentative="0">
      <w:start w:val="1"/>
      <w:numFmt w:val="decimal"/>
      <w:lvlText w:val="%1)"/>
      <w:lvlJc w:val="left"/>
      <w:pPr>
        <w:tabs>
          <w:tab w:val="left" w:pos="587"/>
        </w:tabs>
        <w:ind w:left="425" w:hanging="198"/>
      </w:pPr>
    </w:lvl>
    <w:lvl w:ilvl="1" w:tentative="0">
      <w:start w:val="1"/>
      <w:numFmt w:val="decimal"/>
      <w:lvlText w:val="10.%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F00F231"/>
    <w:multiLevelType w:val="singleLevel"/>
    <w:tmpl w:val="1F00F231"/>
    <w:lvl w:ilvl="0" w:tentative="0">
      <w:start w:val="1"/>
      <w:numFmt w:val="decimal"/>
      <w:lvlText w:val="(%1)"/>
      <w:lvlJc w:val="left"/>
      <w:pPr>
        <w:ind w:left="425" w:hanging="425"/>
      </w:pPr>
      <w:rPr>
        <w:rFonts w:hint="default" w:ascii="仿宋" w:hAnsi="仿宋" w:eastAsia="仿宋" w:cs="仿宋"/>
        <w:sz w:val="24"/>
        <w:szCs w:val="24"/>
      </w:rPr>
    </w:lvl>
  </w:abstractNum>
  <w:abstractNum w:abstractNumId="8">
    <w:nsid w:val="1FC91163"/>
    <w:multiLevelType w:val="multilevel"/>
    <w:tmpl w:val="1FC91163"/>
    <w:lvl w:ilvl="0" w:tentative="0">
      <w:start w:val="1"/>
      <w:numFmt w:val="decimal"/>
      <w:pStyle w:val="78"/>
      <w:suff w:val="nothing"/>
      <w:lvlText w:val="%1　"/>
      <w:lvlJc w:val="left"/>
      <w:rPr>
        <w:rFonts w:hint="eastAsia" w:ascii="黑体" w:hAnsi="Times New Roman" w:eastAsia="黑体" w:cs="Times New Roman"/>
        <w:b w:val="0"/>
        <w:i w:val="0"/>
        <w:sz w:val="21"/>
        <w:szCs w:val="21"/>
      </w:rPr>
    </w:lvl>
    <w:lvl w:ilvl="1" w:tentative="0">
      <w:start w:val="1"/>
      <w:numFmt w:val="decimal"/>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9">
    <w:nsid w:val="25BB3D97"/>
    <w:multiLevelType w:val="multilevel"/>
    <w:tmpl w:val="25BB3D97"/>
    <w:lvl w:ilvl="0" w:tentative="0">
      <w:start w:val="1"/>
      <w:numFmt w:val="decimal"/>
      <w:lvlText w:val="%1)"/>
      <w:lvlJc w:val="left"/>
      <w:pPr>
        <w:tabs>
          <w:tab w:val="left" w:pos="587"/>
        </w:tabs>
        <w:ind w:left="425" w:hanging="198"/>
      </w:pPr>
    </w:lvl>
    <w:lvl w:ilvl="1" w:tentative="0">
      <w:start w:val="1"/>
      <w:numFmt w:val="decimal"/>
      <w:lvlText w:val="17.%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37323B12"/>
    <w:multiLevelType w:val="multilevel"/>
    <w:tmpl w:val="37323B12"/>
    <w:lvl w:ilvl="0" w:tentative="0">
      <w:start w:val="1"/>
      <w:numFmt w:val="decimal"/>
      <w:lvlText w:val="%1)"/>
      <w:lvlJc w:val="left"/>
      <w:pPr>
        <w:tabs>
          <w:tab w:val="left" w:pos="587"/>
        </w:tabs>
        <w:ind w:left="425" w:hanging="198"/>
      </w:pPr>
    </w:lvl>
    <w:lvl w:ilvl="1" w:tentative="0">
      <w:start w:val="1"/>
      <w:numFmt w:val="decimal"/>
      <w:lvlText w:val="12.%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455331AF"/>
    <w:multiLevelType w:val="multilevel"/>
    <w:tmpl w:val="455331AF"/>
    <w:lvl w:ilvl="0" w:tentative="0">
      <w:start w:val="1"/>
      <w:numFmt w:val="decimal"/>
      <w:lvlText w:val="（%1）"/>
      <w:lvlJc w:val="left"/>
      <w:pPr>
        <w:tabs>
          <w:tab w:val="left" w:pos="587"/>
        </w:tabs>
        <w:ind w:left="425" w:hanging="198"/>
      </w:pPr>
      <w:rPr>
        <w:rFonts w:hint="default" w:ascii="仿宋" w:hAnsi="仿宋" w:eastAsia="仿宋" w:cs="仿宋"/>
        <w:sz w:val="24"/>
        <w:szCs w:val="24"/>
      </w:rPr>
    </w:lvl>
    <w:lvl w:ilvl="1" w:tentative="0">
      <w:start w:val="1"/>
      <w:numFmt w:val="decimal"/>
      <w:lvlText w:val="%1.%2."/>
      <w:lvlJc w:val="left"/>
      <w:pPr>
        <w:tabs>
          <w:tab w:val="left" w:pos="1361"/>
        </w:tabs>
        <w:ind w:left="1361" w:hanging="793"/>
      </w:pPr>
      <w:rPr>
        <w:rFonts w:hint="eastAsia" w:cs="Times New Roman"/>
        <w:b w:val="0"/>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12">
    <w:nsid w:val="490D38FA"/>
    <w:multiLevelType w:val="multilevel"/>
    <w:tmpl w:val="490D38FA"/>
    <w:lvl w:ilvl="0" w:tentative="0">
      <w:start w:val="1"/>
      <w:numFmt w:val="decimal"/>
      <w:lvlText w:val="%1)"/>
      <w:lvlJc w:val="left"/>
      <w:pPr>
        <w:tabs>
          <w:tab w:val="left" w:pos="587"/>
        </w:tabs>
        <w:ind w:left="425" w:hanging="198"/>
      </w:pPr>
    </w:lvl>
    <w:lvl w:ilvl="1" w:tentative="0">
      <w:start w:val="1"/>
      <w:numFmt w:val="decimal"/>
      <w:lvlText w:val="19.%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59A42CCA"/>
    <w:multiLevelType w:val="multilevel"/>
    <w:tmpl w:val="59A42CCA"/>
    <w:lvl w:ilvl="0" w:tentative="0">
      <w:start w:val="1"/>
      <w:numFmt w:val="decimal"/>
      <w:lvlText w:val="%1)"/>
      <w:lvlJc w:val="left"/>
      <w:pPr>
        <w:tabs>
          <w:tab w:val="left" w:pos="587"/>
        </w:tabs>
        <w:ind w:left="425" w:hanging="198"/>
      </w:pPr>
    </w:lvl>
    <w:lvl w:ilvl="1" w:tentative="0">
      <w:start w:val="1"/>
      <w:numFmt w:val="decimal"/>
      <w:lvlText w:val="13.%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5F691BBC"/>
    <w:multiLevelType w:val="multilevel"/>
    <w:tmpl w:val="5F691BBC"/>
    <w:lvl w:ilvl="0" w:tentative="0">
      <w:start w:val="1"/>
      <w:numFmt w:val="decimal"/>
      <w:lvlText w:val="%1)"/>
      <w:lvlJc w:val="left"/>
      <w:pPr>
        <w:tabs>
          <w:tab w:val="left" w:pos="587"/>
        </w:tabs>
        <w:ind w:left="425" w:hanging="198"/>
      </w:pPr>
    </w:lvl>
    <w:lvl w:ilvl="1" w:tentative="0">
      <w:start w:val="1"/>
      <w:numFmt w:val="decimal"/>
      <w:lvlText w:val="18.%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339197B"/>
    <w:multiLevelType w:val="multilevel"/>
    <w:tmpl w:val="7339197B"/>
    <w:lvl w:ilvl="0" w:tentative="0">
      <w:start w:val="1"/>
      <w:numFmt w:val="decimal"/>
      <w:lvlText w:val="%1)"/>
      <w:lvlJc w:val="left"/>
      <w:pPr>
        <w:tabs>
          <w:tab w:val="left" w:pos="587"/>
        </w:tabs>
        <w:ind w:left="425" w:hanging="198"/>
      </w:pPr>
    </w:lvl>
    <w:lvl w:ilvl="1" w:tentative="0">
      <w:start w:val="1"/>
      <w:numFmt w:val="decimal"/>
      <w:lvlText w:val="14.%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8"/>
  </w:num>
  <w:num w:numId="2">
    <w:abstractNumId w:val="7"/>
  </w:num>
  <w:num w:numId="3">
    <w:abstractNumId w:val="2"/>
  </w:num>
  <w:num w:numId="4">
    <w:abstractNumId w:val="0"/>
  </w:num>
  <w:num w:numId="5">
    <w:abstractNumId w:val="3"/>
  </w:num>
  <w:num w:numId="6">
    <w:abstractNumId w:val="4"/>
  </w:num>
  <w:num w:numId="7">
    <w:abstractNumId w:val="6"/>
  </w:num>
  <w:num w:numId="8">
    <w:abstractNumId w:val="10"/>
  </w:num>
  <w:num w:numId="9">
    <w:abstractNumId w:val="13"/>
  </w:num>
  <w:num w:numId="10">
    <w:abstractNumId w:val="15"/>
  </w:num>
  <w:num w:numId="11">
    <w:abstractNumId w:val="9"/>
  </w:num>
  <w:num w:numId="12">
    <w:abstractNumId w:val="14"/>
  </w:num>
  <w:num w:numId="13">
    <w:abstractNumId w:val="12"/>
  </w:num>
  <w:num w:numId="14">
    <w:abstractNumId w:val="5"/>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hideGrammaticalErrors/>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kNmRjZTE1YjA0ZTdmNTljYmJhZmQ5MzYxN2ExN2EifQ=="/>
    <w:docVar w:name="KSO_WPS_MARK_KEY" w:val="89232e5c-c475-4ffa-a998-df45c84ee452"/>
  </w:docVars>
  <w:rsids>
    <w:rsidRoot w:val="00172A27"/>
    <w:rsid w:val="0000046F"/>
    <w:rsid w:val="00000569"/>
    <w:rsid w:val="00000BAA"/>
    <w:rsid w:val="00000C4F"/>
    <w:rsid w:val="00001317"/>
    <w:rsid w:val="000030BF"/>
    <w:rsid w:val="00003559"/>
    <w:rsid w:val="00003F35"/>
    <w:rsid w:val="00004266"/>
    <w:rsid w:val="000042DA"/>
    <w:rsid w:val="00004CF8"/>
    <w:rsid w:val="00004F43"/>
    <w:rsid w:val="00005D32"/>
    <w:rsid w:val="00006BAC"/>
    <w:rsid w:val="00007B8C"/>
    <w:rsid w:val="00010DE6"/>
    <w:rsid w:val="000126C4"/>
    <w:rsid w:val="000133D3"/>
    <w:rsid w:val="0001341C"/>
    <w:rsid w:val="00015D57"/>
    <w:rsid w:val="000175BF"/>
    <w:rsid w:val="00017DA6"/>
    <w:rsid w:val="00021193"/>
    <w:rsid w:val="00023402"/>
    <w:rsid w:val="000248EC"/>
    <w:rsid w:val="00024F42"/>
    <w:rsid w:val="00026A94"/>
    <w:rsid w:val="000272CF"/>
    <w:rsid w:val="00030396"/>
    <w:rsid w:val="00032AD0"/>
    <w:rsid w:val="000346F1"/>
    <w:rsid w:val="000354BB"/>
    <w:rsid w:val="00036427"/>
    <w:rsid w:val="00036E51"/>
    <w:rsid w:val="0003712C"/>
    <w:rsid w:val="00040215"/>
    <w:rsid w:val="000407BD"/>
    <w:rsid w:val="000410AC"/>
    <w:rsid w:val="0004139A"/>
    <w:rsid w:val="000422C2"/>
    <w:rsid w:val="00042DAF"/>
    <w:rsid w:val="00043708"/>
    <w:rsid w:val="00043B3B"/>
    <w:rsid w:val="000448B3"/>
    <w:rsid w:val="00046963"/>
    <w:rsid w:val="00050DB8"/>
    <w:rsid w:val="000510E6"/>
    <w:rsid w:val="000520FB"/>
    <w:rsid w:val="000532CD"/>
    <w:rsid w:val="0005372A"/>
    <w:rsid w:val="00054079"/>
    <w:rsid w:val="0005410D"/>
    <w:rsid w:val="0005471C"/>
    <w:rsid w:val="00054B4B"/>
    <w:rsid w:val="00055000"/>
    <w:rsid w:val="00057086"/>
    <w:rsid w:val="000576CD"/>
    <w:rsid w:val="00057F56"/>
    <w:rsid w:val="0006129A"/>
    <w:rsid w:val="00061311"/>
    <w:rsid w:val="00061F80"/>
    <w:rsid w:val="00062279"/>
    <w:rsid w:val="00063A90"/>
    <w:rsid w:val="00065F84"/>
    <w:rsid w:val="000664E8"/>
    <w:rsid w:val="00066EC5"/>
    <w:rsid w:val="000673D6"/>
    <w:rsid w:val="000676F1"/>
    <w:rsid w:val="00067C22"/>
    <w:rsid w:val="0007092F"/>
    <w:rsid w:val="00071B96"/>
    <w:rsid w:val="00071DCC"/>
    <w:rsid w:val="00072C98"/>
    <w:rsid w:val="00073C10"/>
    <w:rsid w:val="0007457B"/>
    <w:rsid w:val="0007511D"/>
    <w:rsid w:val="000751AD"/>
    <w:rsid w:val="0007641A"/>
    <w:rsid w:val="000770A2"/>
    <w:rsid w:val="000774ED"/>
    <w:rsid w:val="00077716"/>
    <w:rsid w:val="00077DA2"/>
    <w:rsid w:val="000803C5"/>
    <w:rsid w:val="0008072D"/>
    <w:rsid w:val="00081071"/>
    <w:rsid w:val="000815E3"/>
    <w:rsid w:val="00084BD4"/>
    <w:rsid w:val="00084D2D"/>
    <w:rsid w:val="000859AC"/>
    <w:rsid w:val="00085C01"/>
    <w:rsid w:val="000878D0"/>
    <w:rsid w:val="00087AA0"/>
    <w:rsid w:val="00087B64"/>
    <w:rsid w:val="00087D72"/>
    <w:rsid w:val="000906F9"/>
    <w:rsid w:val="000908B2"/>
    <w:rsid w:val="000908C7"/>
    <w:rsid w:val="000910D9"/>
    <w:rsid w:val="00094055"/>
    <w:rsid w:val="0009473C"/>
    <w:rsid w:val="00095423"/>
    <w:rsid w:val="000A479C"/>
    <w:rsid w:val="000A53F7"/>
    <w:rsid w:val="000A55A8"/>
    <w:rsid w:val="000A5623"/>
    <w:rsid w:val="000A566C"/>
    <w:rsid w:val="000A58AC"/>
    <w:rsid w:val="000A68E4"/>
    <w:rsid w:val="000A6CE4"/>
    <w:rsid w:val="000A7B3B"/>
    <w:rsid w:val="000A7C53"/>
    <w:rsid w:val="000A7D19"/>
    <w:rsid w:val="000B2BAA"/>
    <w:rsid w:val="000B377A"/>
    <w:rsid w:val="000B37E4"/>
    <w:rsid w:val="000B49D9"/>
    <w:rsid w:val="000B4B48"/>
    <w:rsid w:val="000B4B78"/>
    <w:rsid w:val="000B5734"/>
    <w:rsid w:val="000B5CD4"/>
    <w:rsid w:val="000C089E"/>
    <w:rsid w:val="000C0ADD"/>
    <w:rsid w:val="000C12E4"/>
    <w:rsid w:val="000C196D"/>
    <w:rsid w:val="000C1D83"/>
    <w:rsid w:val="000C1F6D"/>
    <w:rsid w:val="000C269C"/>
    <w:rsid w:val="000C2FD6"/>
    <w:rsid w:val="000C2FD9"/>
    <w:rsid w:val="000C490E"/>
    <w:rsid w:val="000C72E5"/>
    <w:rsid w:val="000C7BF8"/>
    <w:rsid w:val="000C7E43"/>
    <w:rsid w:val="000D03E3"/>
    <w:rsid w:val="000D1CAA"/>
    <w:rsid w:val="000D1EB1"/>
    <w:rsid w:val="000D3FDF"/>
    <w:rsid w:val="000D4655"/>
    <w:rsid w:val="000D46FA"/>
    <w:rsid w:val="000D4AAF"/>
    <w:rsid w:val="000D4CE3"/>
    <w:rsid w:val="000D6F9F"/>
    <w:rsid w:val="000E06E5"/>
    <w:rsid w:val="000E10F9"/>
    <w:rsid w:val="000E25F1"/>
    <w:rsid w:val="000E29F0"/>
    <w:rsid w:val="000E2D81"/>
    <w:rsid w:val="000E2F76"/>
    <w:rsid w:val="000E39C2"/>
    <w:rsid w:val="000E40D2"/>
    <w:rsid w:val="000E60E7"/>
    <w:rsid w:val="000E66C4"/>
    <w:rsid w:val="000E678A"/>
    <w:rsid w:val="000E745D"/>
    <w:rsid w:val="000E74A2"/>
    <w:rsid w:val="000F0B53"/>
    <w:rsid w:val="000F0F9E"/>
    <w:rsid w:val="000F1707"/>
    <w:rsid w:val="000F233E"/>
    <w:rsid w:val="000F5121"/>
    <w:rsid w:val="000F5ECC"/>
    <w:rsid w:val="000F6394"/>
    <w:rsid w:val="000F6DF4"/>
    <w:rsid w:val="0010022E"/>
    <w:rsid w:val="00100A68"/>
    <w:rsid w:val="00101539"/>
    <w:rsid w:val="00101545"/>
    <w:rsid w:val="00102471"/>
    <w:rsid w:val="0010328D"/>
    <w:rsid w:val="00104098"/>
    <w:rsid w:val="001049AF"/>
    <w:rsid w:val="00104CED"/>
    <w:rsid w:val="00104D12"/>
    <w:rsid w:val="00105372"/>
    <w:rsid w:val="00105999"/>
    <w:rsid w:val="001065DA"/>
    <w:rsid w:val="001079F2"/>
    <w:rsid w:val="00107A24"/>
    <w:rsid w:val="001101FC"/>
    <w:rsid w:val="0011147D"/>
    <w:rsid w:val="0011182D"/>
    <w:rsid w:val="00111909"/>
    <w:rsid w:val="00111E37"/>
    <w:rsid w:val="00112576"/>
    <w:rsid w:val="0011295A"/>
    <w:rsid w:val="00114625"/>
    <w:rsid w:val="00115EFC"/>
    <w:rsid w:val="00115F7B"/>
    <w:rsid w:val="0011776A"/>
    <w:rsid w:val="00117C38"/>
    <w:rsid w:val="0012028B"/>
    <w:rsid w:val="00121444"/>
    <w:rsid w:val="00121C4A"/>
    <w:rsid w:val="00121F3F"/>
    <w:rsid w:val="00124B22"/>
    <w:rsid w:val="0012549A"/>
    <w:rsid w:val="00125D06"/>
    <w:rsid w:val="001263A4"/>
    <w:rsid w:val="00126BC5"/>
    <w:rsid w:val="001272A8"/>
    <w:rsid w:val="0013121E"/>
    <w:rsid w:val="00131338"/>
    <w:rsid w:val="00131361"/>
    <w:rsid w:val="00131AEA"/>
    <w:rsid w:val="0013245C"/>
    <w:rsid w:val="00133621"/>
    <w:rsid w:val="0013363E"/>
    <w:rsid w:val="00133EA5"/>
    <w:rsid w:val="00134353"/>
    <w:rsid w:val="00135A0C"/>
    <w:rsid w:val="00136422"/>
    <w:rsid w:val="00136A4A"/>
    <w:rsid w:val="00136EA8"/>
    <w:rsid w:val="00140873"/>
    <w:rsid w:val="00140A88"/>
    <w:rsid w:val="00141380"/>
    <w:rsid w:val="00141DEF"/>
    <w:rsid w:val="00142C92"/>
    <w:rsid w:val="001439D7"/>
    <w:rsid w:val="001449BD"/>
    <w:rsid w:val="00144FCA"/>
    <w:rsid w:val="00145040"/>
    <w:rsid w:val="00145CDF"/>
    <w:rsid w:val="00147343"/>
    <w:rsid w:val="0014743D"/>
    <w:rsid w:val="001475E1"/>
    <w:rsid w:val="00147CC5"/>
    <w:rsid w:val="001508E9"/>
    <w:rsid w:val="00151056"/>
    <w:rsid w:val="0015121D"/>
    <w:rsid w:val="00151F4F"/>
    <w:rsid w:val="0015329B"/>
    <w:rsid w:val="00155888"/>
    <w:rsid w:val="00156592"/>
    <w:rsid w:val="0015696A"/>
    <w:rsid w:val="00156AFC"/>
    <w:rsid w:val="00156CCE"/>
    <w:rsid w:val="00157766"/>
    <w:rsid w:val="00157D10"/>
    <w:rsid w:val="00157E3A"/>
    <w:rsid w:val="001602D3"/>
    <w:rsid w:val="00160965"/>
    <w:rsid w:val="00161BD1"/>
    <w:rsid w:val="00161F14"/>
    <w:rsid w:val="00162574"/>
    <w:rsid w:val="00162F81"/>
    <w:rsid w:val="00163029"/>
    <w:rsid w:val="00163509"/>
    <w:rsid w:val="00163B5C"/>
    <w:rsid w:val="001653C3"/>
    <w:rsid w:val="001666A5"/>
    <w:rsid w:val="00166E07"/>
    <w:rsid w:val="00166F9D"/>
    <w:rsid w:val="00167B8A"/>
    <w:rsid w:val="00167C78"/>
    <w:rsid w:val="00167FC0"/>
    <w:rsid w:val="0017030C"/>
    <w:rsid w:val="00170C2A"/>
    <w:rsid w:val="00170D59"/>
    <w:rsid w:val="00171200"/>
    <w:rsid w:val="00171A49"/>
    <w:rsid w:val="001720FE"/>
    <w:rsid w:val="00172213"/>
    <w:rsid w:val="00172A27"/>
    <w:rsid w:val="00173BE8"/>
    <w:rsid w:val="00175195"/>
    <w:rsid w:val="00175D7B"/>
    <w:rsid w:val="001774C0"/>
    <w:rsid w:val="001776AB"/>
    <w:rsid w:val="001803D7"/>
    <w:rsid w:val="00180578"/>
    <w:rsid w:val="0018123B"/>
    <w:rsid w:val="001817E6"/>
    <w:rsid w:val="00182980"/>
    <w:rsid w:val="00183EE7"/>
    <w:rsid w:val="00186E9D"/>
    <w:rsid w:val="00187836"/>
    <w:rsid w:val="0019019A"/>
    <w:rsid w:val="00190AB8"/>
    <w:rsid w:val="00192579"/>
    <w:rsid w:val="00193623"/>
    <w:rsid w:val="00193687"/>
    <w:rsid w:val="00195D8E"/>
    <w:rsid w:val="00196560"/>
    <w:rsid w:val="0019705B"/>
    <w:rsid w:val="0019721E"/>
    <w:rsid w:val="00197BAD"/>
    <w:rsid w:val="001A0D97"/>
    <w:rsid w:val="001A0DD8"/>
    <w:rsid w:val="001A17F4"/>
    <w:rsid w:val="001A2321"/>
    <w:rsid w:val="001A3B2F"/>
    <w:rsid w:val="001A4593"/>
    <w:rsid w:val="001A4AC0"/>
    <w:rsid w:val="001A5421"/>
    <w:rsid w:val="001A67C6"/>
    <w:rsid w:val="001A6C4F"/>
    <w:rsid w:val="001A7BE5"/>
    <w:rsid w:val="001B00F2"/>
    <w:rsid w:val="001B1170"/>
    <w:rsid w:val="001B134C"/>
    <w:rsid w:val="001B36B5"/>
    <w:rsid w:val="001B3979"/>
    <w:rsid w:val="001B3C82"/>
    <w:rsid w:val="001B3FCA"/>
    <w:rsid w:val="001B4AFA"/>
    <w:rsid w:val="001B6AD2"/>
    <w:rsid w:val="001C023E"/>
    <w:rsid w:val="001C16BA"/>
    <w:rsid w:val="001C23DA"/>
    <w:rsid w:val="001C246D"/>
    <w:rsid w:val="001C247A"/>
    <w:rsid w:val="001C60A3"/>
    <w:rsid w:val="001C69A3"/>
    <w:rsid w:val="001D0643"/>
    <w:rsid w:val="001D0A6D"/>
    <w:rsid w:val="001D1555"/>
    <w:rsid w:val="001D362F"/>
    <w:rsid w:val="001D41BD"/>
    <w:rsid w:val="001D43C5"/>
    <w:rsid w:val="001D552D"/>
    <w:rsid w:val="001D799C"/>
    <w:rsid w:val="001E0BDF"/>
    <w:rsid w:val="001E0C9E"/>
    <w:rsid w:val="001E1813"/>
    <w:rsid w:val="001E1D9C"/>
    <w:rsid w:val="001E2185"/>
    <w:rsid w:val="001E26F6"/>
    <w:rsid w:val="001E2D55"/>
    <w:rsid w:val="001E2F19"/>
    <w:rsid w:val="001E4165"/>
    <w:rsid w:val="001E41B9"/>
    <w:rsid w:val="001E4616"/>
    <w:rsid w:val="001E47E1"/>
    <w:rsid w:val="001E5426"/>
    <w:rsid w:val="001E5451"/>
    <w:rsid w:val="001E6BF0"/>
    <w:rsid w:val="001E7B92"/>
    <w:rsid w:val="001F0763"/>
    <w:rsid w:val="001F1164"/>
    <w:rsid w:val="001F11D0"/>
    <w:rsid w:val="001F5EE2"/>
    <w:rsid w:val="001F60D6"/>
    <w:rsid w:val="001F65A3"/>
    <w:rsid w:val="001F67BE"/>
    <w:rsid w:val="00200011"/>
    <w:rsid w:val="00200601"/>
    <w:rsid w:val="00200C18"/>
    <w:rsid w:val="00201C71"/>
    <w:rsid w:val="00201D2A"/>
    <w:rsid w:val="00202A91"/>
    <w:rsid w:val="00203E5F"/>
    <w:rsid w:val="00203ECF"/>
    <w:rsid w:val="00204EA7"/>
    <w:rsid w:val="00206480"/>
    <w:rsid w:val="00207505"/>
    <w:rsid w:val="00210F52"/>
    <w:rsid w:val="00213380"/>
    <w:rsid w:val="00214F11"/>
    <w:rsid w:val="00215122"/>
    <w:rsid w:val="00215330"/>
    <w:rsid w:val="002158EE"/>
    <w:rsid w:val="00215AA7"/>
    <w:rsid w:val="00215BDD"/>
    <w:rsid w:val="00216A95"/>
    <w:rsid w:val="00216F3E"/>
    <w:rsid w:val="0021746B"/>
    <w:rsid w:val="00217FA6"/>
    <w:rsid w:val="00220527"/>
    <w:rsid w:val="002209C7"/>
    <w:rsid w:val="0022295C"/>
    <w:rsid w:val="00222CC0"/>
    <w:rsid w:val="00223332"/>
    <w:rsid w:val="00223606"/>
    <w:rsid w:val="0022378B"/>
    <w:rsid w:val="00225251"/>
    <w:rsid w:val="002258BB"/>
    <w:rsid w:val="00227137"/>
    <w:rsid w:val="00230764"/>
    <w:rsid w:val="0023192B"/>
    <w:rsid w:val="00232ADB"/>
    <w:rsid w:val="00232E73"/>
    <w:rsid w:val="002353DC"/>
    <w:rsid w:val="00236317"/>
    <w:rsid w:val="00236CEB"/>
    <w:rsid w:val="00237244"/>
    <w:rsid w:val="0023759B"/>
    <w:rsid w:val="00237C1C"/>
    <w:rsid w:val="002400F8"/>
    <w:rsid w:val="00240470"/>
    <w:rsid w:val="0024109E"/>
    <w:rsid w:val="0024188E"/>
    <w:rsid w:val="002429E4"/>
    <w:rsid w:val="00242C71"/>
    <w:rsid w:val="00242D6E"/>
    <w:rsid w:val="00243901"/>
    <w:rsid w:val="0024442E"/>
    <w:rsid w:val="00245503"/>
    <w:rsid w:val="002461E9"/>
    <w:rsid w:val="00246F49"/>
    <w:rsid w:val="002478F7"/>
    <w:rsid w:val="002513E5"/>
    <w:rsid w:val="00252EBE"/>
    <w:rsid w:val="00253161"/>
    <w:rsid w:val="00253D15"/>
    <w:rsid w:val="00255EE8"/>
    <w:rsid w:val="002575D3"/>
    <w:rsid w:val="002576CB"/>
    <w:rsid w:val="002577AF"/>
    <w:rsid w:val="00257F1A"/>
    <w:rsid w:val="002605B4"/>
    <w:rsid w:val="002607C9"/>
    <w:rsid w:val="00261132"/>
    <w:rsid w:val="00261416"/>
    <w:rsid w:val="00262400"/>
    <w:rsid w:val="00263FB8"/>
    <w:rsid w:val="0026591A"/>
    <w:rsid w:val="00265A4C"/>
    <w:rsid w:val="00266348"/>
    <w:rsid w:val="0026772B"/>
    <w:rsid w:val="0027022C"/>
    <w:rsid w:val="00270FA3"/>
    <w:rsid w:val="00271F1E"/>
    <w:rsid w:val="00273E86"/>
    <w:rsid w:val="0027521D"/>
    <w:rsid w:val="00275A68"/>
    <w:rsid w:val="002765BC"/>
    <w:rsid w:val="00276A61"/>
    <w:rsid w:val="00277434"/>
    <w:rsid w:val="00277C9B"/>
    <w:rsid w:val="002813EC"/>
    <w:rsid w:val="0028156D"/>
    <w:rsid w:val="00282FD5"/>
    <w:rsid w:val="00283381"/>
    <w:rsid w:val="00283D37"/>
    <w:rsid w:val="00284781"/>
    <w:rsid w:val="00287E43"/>
    <w:rsid w:val="0029180D"/>
    <w:rsid w:val="002948AC"/>
    <w:rsid w:val="00295DDB"/>
    <w:rsid w:val="00296CA7"/>
    <w:rsid w:val="002A096E"/>
    <w:rsid w:val="002A206A"/>
    <w:rsid w:val="002A27BC"/>
    <w:rsid w:val="002A4333"/>
    <w:rsid w:val="002A47A3"/>
    <w:rsid w:val="002A480F"/>
    <w:rsid w:val="002A4D3E"/>
    <w:rsid w:val="002A4F55"/>
    <w:rsid w:val="002A5023"/>
    <w:rsid w:val="002A5B9E"/>
    <w:rsid w:val="002A5E99"/>
    <w:rsid w:val="002A600A"/>
    <w:rsid w:val="002A67CE"/>
    <w:rsid w:val="002A7199"/>
    <w:rsid w:val="002B00FC"/>
    <w:rsid w:val="002B19E5"/>
    <w:rsid w:val="002B1DBA"/>
    <w:rsid w:val="002B3503"/>
    <w:rsid w:val="002B35CD"/>
    <w:rsid w:val="002B5469"/>
    <w:rsid w:val="002B6997"/>
    <w:rsid w:val="002B6E81"/>
    <w:rsid w:val="002B7562"/>
    <w:rsid w:val="002B7C10"/>
    <w:rsid w:val="002C02C2"/>
    <w:rsid w:val="002C04C0"/>
    <w:rsid w:val="002C0896"/>
    <w:rsid w:val="002C14E7"/>
    <w:rsid w:val="002C2BE2"/>
    <w:rsid w:val="002C2C58"/>
    <w:rsid w:val="002C357F"/>
    <w:rsid w:val="002C6F98"/>
    <w:rsid w:val="002C70FC"/>
    <w:rsid w:val="002D05A8"/>
    <w:rsid w:val="002D1630"/>
    <w:rsid w:val="002D178B"/>
    <w:rsid w:val="002D3F73"/>
    <w:rsid w:val="002D415A"/>
    <w:rsid w:val="002D50D6"/>
    <w:rsid w:val="002D5583"/>
    <w:rsid w:val="002D5E52"/>
    <w:rsid w:val="002D5EC5"/>
    <w:rsid w:val="002D64D4"/>
    <w:rsid w:val="002D6F7D"/>
    <w:rsid w:val="002D6FB0"/>
    <w:rsid w:val="002D7356"/>
    <w:rsid w:val="002E0D74"/>
    <w:rsid w:val="002E16F3"/>
    <w:rsid w:val="002E17D2"/>
    <w:rsid w:val="002E1CD9"/>
    <w:rsid w:val="002E20D6"/>
    <w:rsid w:val="002E27E8"/>
    <w:rsid w:val="002E2845"/>
    <w:rsid w:val="002E4153"/>
    <w:rsid w:val="002E4FC3"/>
    <w:rsid w:val="002E5666"/>
    <w:rsid w:val="002E6696"/>
    <w:rsid w:val="002E692A"/>
    <w:rsid w:val="002E6FC4"/>
    <w:rsid w:val="002E71AF"/>
    <w:rsid w:val="002E7C5B"/>
    <w:rsid w:val="002F0165"/>
    <w:rsid w:val="002F2050"/>
    <w:rsid w:val="002F2345"/>
    <w:rsid w:val="002F3AA2"/>
    <w:rsid w:val="002F44AE"/>
    <w:rsid w:val="002F499F"/>
    <w:rsid w:val="002F6976"/>
    <w:rsid w:val="002F729D"/>
    <w:rsid w:val="002F79A4"/>
    <w:rsid w:val="002F7CDD"/>
    <w:rsid w:val="00300024"/>
    <w:rsid w:val="0030009A"/>
    <w:rsid w:val="00300BA2"/>
    <w:rsid w:val="00300F08"/>
    <w:rsid w:val="003016B4"/>
    <w:rsid w:val="00302BA6"/>
    <w:rsid w:val="00302C84"/>
    <w:rsid w:val="00302F7B"/>
    <w:rsid w:val="003034EC"/>
    <w:rsid w:val="00303B40"/>
    <w:rsid w:val="00304245"/>
    <w:rsid w:val="00304275"/>
    <w:rsid w:val="00304293"/>
    <w:rsid w:val="00304481"/>
    <w:rsid w:val="00304949"/>
    <w:rsid w:val="00304E38"/>
    <w:rsid w:val="00305267"/>
    <w:rsid w:val="003057D6"/>
    <w:rsid w:val="0030590A"/>
    <w:rsid w:val="00305CEF"/>
    <w:rsid w:val="0030630C"/>
    <w:rsid w:val="0030731B"/>
    <w:rsid w:val="00307C36"/>
    <w:rsid w:val="00310A1A"/>
    <w:rsid w:val="00310BDA"/>
    <w:rsid w:val="00311818"/>
    <w:rsid w:val="00311EA4"/>
    <w:rsid w:val="00313320"/>
    <w:rsid w:val="00313C86"/>
    <w:rsid w:val="00313CF1"/>
    <w:rsid w:val="00314DA4"/>
    <w:rsid w:val="003156EB"/>
    <w:rsid w:val="00320862"/>
    <w:rsid w:val="00320B1C"/>
    <w:rsid w:val="00321506"/>
    <w:rsid w:val="003218F4"/>
    <w:rsid w:val="00321DD0"/>
    <w:rsid w:val="00321FE0"/>
    <w:rsid w:val="003225A3"/>
    <w:rsid w:val="00322674"/>
    <w:rsid w:val="00322B46"/>
    <w:rsid w:val="00322FB2"/>
    <w:rsid w:val="003251B2"/>
    <w:rsid w:val="003258BD"/>
    <w:rsid w:val="003267A2"/>
    <w:rsid w:val="00327612"/>
    <w:rsid w:val="00330010"/>
    <w:rsid w:val="00330A5B"/>
    <w:rsid w:val="0033162C"/>
    <w:rsid w:val="003316B0"/>
    <w:rsid w:val="00332BCF"/>
    <w:rsid w:val="00333239"/>
    <w:rsid w:val="00333FAA"/>
    <w:rsid w:val="00334541"/>
    <w:rsid w:val="0033546E"/>
    <w:rsid w:val="003364CF"/>
    <w:rsid w:val="003431F7"/>
    <w:rsid w:val="00343609"/>
    <w:rsid w:val="003440C8"/>
    <w:rsid w:val="00345234"/>
    <w:rsid w:val="00346C83"/>
    <w:rsid w:val="00350123"/>
    <w:rsid w:val="00350500"/>
    <w:rsid w:val="00350AD7"/>
    <w:rsid w:val="0035197E"/>
    <w:rsid w:val="00352302"/>
    <w:rsid w:val="00352A77"/>
    <w:rsid w:val="003531FC"/>
    <w:rsid w:val="003532CE"/>
    <w:rsid w:val="00354818"/>
    <w:rsid w:val="00355B40"/>
    <w:rsid w:val="00355CAB"/>
    <w:rsid w:val="00355EA3"/>
    <w:rsid w:val="00356279"/>
    <w:rsid w:val="003562CD"/>
    <w:rsid w:val="00356948"/>
    <w:rsid w:val="00356B03"/>
    <w:rsid w:val="00356CC0"/>
    <w:rsid w:val="00357563"/>
    <w:rsid w:val="00357A02"/>
    <w:rsid w:val="003602B3"/>
    <w:rsid w:val="003602C8"/>
    <w:rsid w:val="00360CF1"/>
    <w:rsid w:val="0036115C"/>
    <w:rsid w:val="00362477"/>
    <w:rsid w:val="003634F2"/>
    <w:rsid w:val="00366D37"/>
    <w:rsid w:val="00366FBC"/>
    <w:rsid w:val="0036727C"/>
    <w:rsid w:val="00370314"/>
    <w:rsid w:val="0037145B"/>
    <w:rsid w:val="00371F62"/>
    <w:rsid w:val="00372086"/>
    <w:rsid w:val="003723E6"/>
    <w:rsid w:val="003725C2"/>
    <w:rsid w:val="0037314F"/>
    <w:rsid w:val="0037376D"/>
    <w:rsid w:val="003739E3"/>
    <w:rsid w:val="00374A39"/>
    <w:rsid w:val="00374C1A"/>
    <w:rsid w:val="00374F0E"/>
    <w:rsid w:val="00377344"/>
    <w:rsid w:val="0038081A"/>
    <w:rsid w:val="00380956"/>
    <w:rsid w:val="00380B2A"/>
    <w:rsid w:val="0038110E"/>
    <w:rsid w:val="00381B08"/>
    <w:rsid w:val="00382AA4"/>
    <w:rsid w:val="00382D30"/>
    <w:rsid w:val="00382E52"/>
    <w:rsid w:val="00383582"/>
    <w:rsid w:val="003840E0"/>
    <w:rsid w:val="003840E5"/>
    <w:rsid w:val="00385B65"/>
    <w:rsid w:val="00386E11"/>
    <w:rsid w:val="00386FA8"/>
    <w:rsid w:val="0038764E"/>
    <w:rsid w:val="00387A1E"/>
    <w:rsid w:val="003910B4"/>
    <w:rsid w:val="003915C0"/>
    <w:rsid w:val="00393978"/>
    <w:rsid w:val="00393D73"/>
    <w:rsid w:val="00394544"/>
    <w:rsid w:val="00394992"/>
    <w:rsid w:val="00394FCD"/>
    <w:rsid w:val="003950F4"/>
    <w:rsid w:val="00395459"/>
    <w:rsid w:val="00395C45"/>
    <w:rsid w:val="003965FF"/>
    <w:rsid w:val="00396BE4"/>
    <w:rsid w:val="003A3B6A"/>
    <w:rsid w:val="003A4BFB"/>
    <w:rsid w:val="003A4C10"/>
    <w:rsid w:val="003A53C8"/>
    <w:rsid w:val="003A6089"/>
    <w:rsid w:val="003A62BA"/>
    <w:rsid w:val="003A7254"/>
    <w:rsid w:val="003A7CC1"/>
    <w:rsid w:val="003B0286"/>
    <w:rsid w:val="003B0418"/>
    <w:rsid w:val="003B1A5A"/>
    <w:rsid w:val="003B1DFC"/>
    <w:rsid w:val="003B35C1"/>
    <w:rsid w:val="003B3EB5"/>
    <w:rsid w:val="003B3F56"/>
    <w:rsid w:val="003B4685"/>
    <w:rsid w:val="003B745A"/>
    <w:rsid w:val="003C104A"/>
    <w:rsid w:val="003C1F21"/>
    <w:rsid w:val="003C22A8"/>
    <w:rsid w:val="003C2F0E"/>
    <w:rsid w:val="003C3474"/>
    <w:rsid w:val="003C61FA"/>
    <w:rsid w:val="003C629C"/>
    <w:rsid w:val="003C67E0"/>
    <w:rsid w:val="003C6CB3"/>
    <w:rsid w:val="003C6DB3"/>
    <w:rsid w:val="003C76C0"/>
    <w:rsid w:val="003D0655"/>
    <w:rsid w:val="003D0D4E"/>
    <w:rsid w:val="003D2345"/>
    <w:rsid w:val="003D2629"/>
    <w:rsid w:val="003D2867"/>
    <w:rsid w:val="003D44F0"/>
    <w:rsid w:val="003D46E0"/>
    <w:rsid w:val="003D48F1"/>
    <w:rsid w:val="003D4A3D"/>
    <w:rsid w:val="003D66BC"/>
    <w:rsid w:val="003D782C"/>
    <w:rsid w:val="003D78C2"/>
    <w:rsid w:val="003E0068"/>
    <w:rsid w:val="003E0838"/>
    <w:rsid w:val="003E15C5"/>
    <w:rsid w:val="003E1C54"/>
    <w:rsid w:val="003E1FE7"/>
    <w:rsid w:val="003E2B98"/>
    <w:rsid w:val="003E3A1B"/>
    <w:rsid w:val="003E5129"/>
    <w:rsid w:val="003E567F"/>
    <w:rsid w:val="003E5BFD"/>
    <w:rsid w:val="003E71E5"/>
    <w:rsid w:val="003F0739"/>
    <w:rsid w:val="003F1E11"/>
    <w:rsid w:val="003F2295"/>
    <w:rsid w:val="003F251D"/>
    <w:rsid w:val="003F25CE"/>
    <w:rsid w:val="003F2BDB"/>
    <w:rsid w:val="003F4C5F"/>
    <w:rsid w:val="003F6109"/>
    <w:rsid w:val="003F7CD6"/>
    <w:rsid w:val="00400D0C"/>
    <w:rsid w:val="0040161C"/>
    <w:rsid w:val="00401BE8"/>
    <w:rsid w:val="00401C47"/>
    <w:rsid w:val="004023E2"/>
    <w:rsid w:val="004035C2"/>
    <w:rsid w:val="00404757"/>
    <w:rsid w:val="004054C8"/>
    <w:rsid w:val="00405743"/>
    <w:rsid w:val="00405E47"/>
    <w:rsid w:val="00406455"/>
    <w:rsid w:val="00406AFE"/>
    <w:rsid w:val="004070DE"/>
    <w:rsid w:val="004100E6"/>
    <w:rsid w:val="00410564"/>
    <w:rsid w:val="004106B1"/>
    <w:rsid w:val="0041101D"/>
    <w:rsid w:val="004112C3"/>
    <w:rsid w:val="004118FD"/>
    <w:rsid w:val="00413257"/>
    <w:rsid w:val="0041375E"/>
    <w:rsid w:val="00414167"/>
    <w:rsid w:val="0041541D"/>
    <w:rsid w:val="004161D7"/>
    <w:rsid w:val="004203CC"/>
    <w:rsid w:val="00420F29"/>
    <w:rsid w:val="004215C8"/>
    <w:rsid w:val="0042253A"/>
    <w:rsid w:val="00422ACE"/>
    <w:rsid w:val="00425699"/>
    <w:rsid w:val="00426632"/>
    <w:rsid w:val="004277AA"/>
    <w:rsid w:val="00427F81"/>
    <w:rsid w:val="00431220"/>
    <w:rsid w:val="00431EDF"/>
    <w:rsid w:val="00432586"/>
    <w:rsid w:val="00432829"/>
    <w:rsid w:val="00432A08"/>
    <w:rsid w:val="00432DF2"/>
    <w:rsid w:val="00433C77"/>
    <w:rsid w:val="00433CF4"/>
    <w:rsid w:val="00434298"/>
    <w:rsid w:val="00434BD6"/>
    <w:rsid w:val="00434DC3"/>
    <w:rsid w:val="00435620"/>
    <w:rsid w:val="0043764B"/>
    <w:rsid w:val="0043785A"/>
    <w:rsid w:val="004379D3"/>
    <w:rsid w:val="00437DDC"/>
    <w:rsid w:val="00442288"/>
    <w:rsid w:val="0044277D"/>
    <w:rsid w:val="00443497"/>
    <w:rsid w:val="00443C3E"/>
    <w:rsid w:val="00444291"/>
    <w:rsid w:val="00445122"/>
    <w:rsid w:val="004457AC"/>
    <w:rsid w:val="00450F1F"/>
    <w:rsid w:val="0045105A"/>
    <w:rsid w:val="00451245"/>
    <w:rsid w:val="0045175B"/>
    <w:rsid w:val="004525C8"/>
    <w:rsid w:val="00452F70"/>
    <w:rsid w:val="004532D4"/>
    <w:rsid w:val="004532F0"/>
    <w:rsid w:val="004535CF"/>
    <w:rsid w:val="00453CA2"/>
    <w:rsid w:val="004560FB"/>
    <w:rsid w:val="0045699D"/>
    <w:rsid w:val="00457A45"/>
    <w:rsid w:val="00457AE1"/>
    <w:rsid w:val="00463995"/>
    <w:rsid w:val="00465008"/>
    <w:rsid w:val="004650B1"/>
    <w:rsid w:val="00465BA3"/>
    <w:rsid w:val="00466862"/>
    <w:rsid w:val="00466DFF"/>
    <w:rsid w:val="00472FF6"/>
    <w:rsid w:val="0047330F"/>
    <w:rsid w:val="004740AA"/>
    <w:rsid w:val="00475306"/>
    <w:rsid w:val="0047657E"/>
    <w:rsid w:val="0047779A"/>
    <w:rsid w:val="004815F2"/>
    <w:rsid w:val="00482AA1"/>
    <w:rsid w:val="00483D84"/>
    <w:rsid w:val="00484285"/>
    <w:rsid w:val="0048533C"/>
    <w:rsid w:val="004856FC"/>
    <w:rsid w:val="004857EB"/>
    <w:rsid w:val="00485A6B"/>
    <w:rsid w:val="00486D24"/>
    <w:rsid w:val="00487121"/>
    <w:rsid w:val="00487BF7"/>
    <w:rsid w:val="004907CE"/>
    <w:rsid w:val="00490F6A"/>
    <w:rsid w:val="00491438"/>
    <w:rsid w:val="004923FA"/>
    <w:rsid w:val="004933D2"/>
    <w:rsid w:val="00493669"/>
    <w:rsid w:val="00493774"/>
    <w:rsid w:val="00493CA2"/>
    <w:rsid w:val="004947E3"/>
    <w:rsid w:val="00494881"/>
    <w:rsid w:val="00495160"/>
    <w:rsid w:val="004A088F"/>
    <w:rsid w:val="004A0C09"/>
    <w:rsid w:val="004A1CED"/>
    <w:rsid w:val="004A25AC"/>
    <w:rsid w:val="004A39A6"/>
    <w:rsid w:val="004A411F"/>
    <w:rsid w:val="004A45F0"/>
    <w:rsid w:val="004A462B"/>
    <w:rsid w:val="004A4C36"/>
    <w:rsid w:val="004A6470"/>
    <w:rsid w:val="004B1079"/>
    <w:rsid w:val="004B112F"/>
    <w:rsid w:val="004B3976"/>
    <w:rsid w:val="004B3E34"/>
    <w:rsid w:val="004B4BBF"/>
    <w:rsid w:val="004B4E66"/>
    <w:rsid w:val="004B5522"/>
    <w:rsid w:val="004B640C"/>
    <w:rsid w:val="004B6660"/>
    <w:rsid w:val="004B6C6D"/>
    <w:rsid w:val="004B6CE9"/>
    <w:rsid w:val="004C044A"/>
    <w:rsid w:val="004C0D58"/>
    <w:rsid w:val="004C1B79"/>
    <w:rsid w:val="004C278C"/>
    <w:rsid w:val="004C330D"/>
    <w:rsid w:val="004C3550"/>
    <w:rsid w:val="004C36AC"/>
    <w:rsid w:val="004C6847"/>
    <w:rsid w:val="004C6B01"/>
    <w:rsid w:val="004C76EE"/>
    <w:rsid w:val="004D033C"/>
    <w:rsid w:val="004D035C"/>
    <w:rsid w:val="004D09D0"/>
    <w:rsid w:val="004D1A34"/>
    <w:rsid w:val="004D2510"/>
    <w:rsid w:val="004D25BE"/>
    <w:rsid w:val="004D2608"/>
    <w:rsid w:val="004D2BE2"/>
    <w:rsid w:val="004D2DEA"/>
    <w:rsid w:val="004D2F5E"/>
    <w:rsid w:val="004D2F82"/>
    <w:rsid w:val="004D3024"/>
    <w:rsid w:val="004D376D"/>
    <w:rsid w:val="004D3860"/>
    <w:rsid w:val="004D4B7E"/>
    <w:rsid w:val="004D73F4"/>
    <w:rsid w:val="004E1701"/>
    <w:rsid w:val="004E18E8"/>
    <w:rsid w:val="004E3932"/>
    <w:rsid w:val="004E4C91"/>
    <w:rsid w:val="004E5420"/>
    <w:rsid w:val="004E60DB"/>
    <w:rsid w:val="004E6761"/>
    <w:rsid w:val="004E70BA"/>
    <w:rsid w:val="004E7D77"/>
    <w:rsid w:val="004E7F8B"/>
    <w:rsid w:val="004F0CA3"/>
    <w:rsid w:val="004F1D5D"/>
    <w:rsid w:val="004F3098"/>
    <w:rsid w:val="004F3373"/>
    <w:rsid w:val="004F3D99"/>
    <w:rsid w:val="004F471F"/>
    <w:rsid w:val="004F562B"/>
    <w:rsid w:val="004F5A4C"/>
    <w:rsid w:val="004F5F77"/>
    <w:rsid w:val="004F786C"/>
    <w:rsid w:val="005021D2"/>
    <w:rsid w:val="00503514"/>
    <w:rsid w:val="00505878"/>
    <w:rsid w:val="0050652D"/>
    <w:rsid w:val="005069B9"/>
    <w:rsid w:val="00507BA8"/>
    <w:rsid w:val="00507D73"/>
    <w:rsid w:val="005100BD"/>
    <w:rsid w:val="0051046F"/>
    <w:rsid w:val="005125E1"/>
    <w:rsid w:val="005128FA"/>
    <w:rsid w:val="00513EB6"/>
    <w:rsid w:val="00514020"/>
    <w:rsid w:val="005159C1"/>
    <w:rsid w:val="00515D41"/>
    <w:rsid w:val="005168C1"/>
    <w:rsid w:val="00517FD0"/>
    <w:rsid w:val="00520408"/>
    <w:rsid w:val="00520DF4"/>
    <w:rsid w:val="00521CA8"/>
    <w:rsid w:val="005228DB"/>
    <w:rsid w:val="0052292A"/>
    <w:rsid w:val="005239C6"/>
    <w:rsid w:val="00523BC2"/>
    <w:rsid w:val="00523D27"/>
    <w:rsid w:val="00526A15"/>
    <w:rsid w:val="00527765"/>
    <w:rsid w:val="00527E02"/>
    <w:rsid w:val="005304C3"/>
    <w:rsid w:val="00530787"/>
    <w:rsid w:val="005310C1"/>
    <w:rsid w:val="00532353"/>
    <w:rsid w:val="005330C8"/>
    <w:rsid w:val="00533577"/>
    <w:rsid w:val="00533E77"/>
    <w:rsid w:val="00534306"/>
    <w:rsid w:val="00535CA0"/>
    <w:rsid w:val="005369B9"/>
    <w:rsid w:val="00536CFE"/>
    <w:rsid w:val="005376BF"/>
    <w:rsid w:val="00537700"/>
    <w:rsid w:val="005407A9"/>
    <w:rsid w:val="005410DB"/>
    <w:rsid w:val="005417D9"/>
    <w:rsid w:val="0054202A"/>
    <w:rsid w:val="00542EC2"/>
    <w:rsid w:val="005447DC"/>
    <w:rsid w:val="00545F8F"/>
    <w:rsid w:val="0054687C"/>
    <w:rsid w:val="00550948"/>
    <w:rsid w:val="00551019"/>
    <w:rsid w:val="005530F1"/>
    <w:rsid w:val="005566B5"/>
    <w:rsid w:val="005571B0"/>
    <w:rsid w:val="00557BB5"/>
    <w:rsid w:val="00560008"/>
    <w:rsid w:val="00561757"/>
    <w:rsid w:val="00562552"/>
    <w:rsid w:val="00562716"/>
    <w:rsid w:val="00562D9F"/>
    <w:rsid w:val="00563971"/>
    <w:rsid w:val="00564280"/>
    <w:rsid w:val="00564CED"/>
    <w:rsid w:val="00565E00"/>
    <w:rsid w:val="005663DB"/>
    <w:rsid w:val="00566A55"/>
    <w:rsid w:val="005673ED"/>
    <w:rsid w:val="00567FE1"/>
    <w:rsid w:val="00571921"/>
    <w:rsid w:val="00571B78"/>
    <w:rsid w:val="005722F5"/>
    <w:rsid w:val="00572B08"/>
    <w:rsid w:val="0057350B"/>
    <w:rsid w:val="00573DA6"/>
    <w:rsid w:val="00574DFF"/>
    <w:rsid w:val="00576927"/>
    <w:rsid w:val="00576B22"/>
    <w:rsid w:val="0058066E"/>
    <w:rsid w:val="005808DB"/>
    <w:rsid w:val="00580FE1"/>
    <w:rsid w:val="005825A7"/>
    <w:rsid w:val="005839ED"/>
    <w:rsid w:val="00583B80"/>
    <w:rsid w:val="00584EEA"/>
    <w:rsid w:val="005852B8"/>
    <w:rsid w:val="005857EE"/>
    <w:rsid w:val="005859A6"/>
    <w:rsid w:val="00586320"/>
    <w:rsid w:val="0058649A"/>
    <w:rsid w:val="00586C3A"/>
    <w:rsid w:val="00587058"/>
    <w:rsid w:val="00587386"/>
    <w:rsid w:val="005909D5"/>
    <w:rsid w:val="00591DFC"/>
    <w:rsid w:val="00592ABB"/>
    <w:rsid w:val="00592BEA"/>
    <w:rsid w:val="005931B9"/>
    <w:rsid w:val="00593571"/>
    <w:rsid w:val="00594744"/>
    <w:rsid w:val="005948F6"/>
    <w:rsid w:val="00594B67"/>
    <w:rsid w:val="00594E7E"/>
    <w:rsid w:val="00595DB3"/>
    <w:rsid w:val="0059699A"/>
    <w:rsid w:val="00596EC5"/>
    <w:rsid w:val="00596EDD"/>
    <w:rsid w:val="005A3194"/>
    <w:rsid w:val="005A33C8"/>
    <w:rsid w:val="005A513F"/>
    <w:rsid w:val="005A533A"/>
    <w:rsid w:val="005A5956"/>
    <w:rsid w:val="005A59F7"/>
    <w:rsid w:val="005A67B6"/>
    <w:rsid w:val="005A698B"/>
    <w:rsid w:val="005A6D1D"/>
    <w:rsid w:val="005A7B69"/>
    <w:rsid w:val="005B0191"/>
    <w:rsid w:val="005B0429"/>
    <w:rsid w:val="005B0D2A"/>
    <w:rsid w:val="005B2770"/>
    <w:rsid w:val="005B29AE"/>
    <w:rsid w:val="005B330B"/>
    <w:rsid w:val="005B3499"/>
    <w:rsid w:val="005B54EC"/>
    <w:rsid w:val="005B7EC0"/>
    <w:rsid w:val="005B7EC9"/>
    <w:rsid w:val="005C118F"/>
    <w:rsid w:val="005C3FBA"/>
    <w:rsid w:val="005C4E4D"/>
    <w:rsid w:val="005C4F3C"/>
    <w:rsid w:val="005C5542"/>
    <w:rsid w:val="005C6658"/>
    <w:rsid w:val="005C77F3"/>
    <w:rsid w:val="005D0508"/>
    <w:rsid w:val="005D1357"/>
    <w:rsid w:val="005D20C4"/>
    <w:rsid w:val="005D2612"/>
    <w:rsid w:val="005D398C"/>
    <w:rsid w:val="005D4E04"/>
    <w:rsid w:val="005D547F"/>
    <w:rsid w:val="005D5A53"/>
    <w:rsid w:val="005D6039"/>
    <w:rsid w:val="005D687B"/>
    <w:rsid w:val="005D6B5B"/>
    <w:rsid w:val="005D763E"/>
    <w:rsid w:val="005D77FF"/>
    <w:rsid w:val="005E0B8F"/>
    <w:rsid w:val="005E3738"/>
    <w:rsid w:val="005E4443"/>
    <w:rsid w:val="005E4F20"/>
    <w:rsid w:val="005E55C8"/>
    <w:rsid w:val="005E7346"/>
    <w:rsid w:val="005F0EC1"/>
    <w:rsid w:val="005F256D"/>
    <w:rsid w:val="005F27F4"/>
    <w:rsid w:val="005F2FA5"/>
    <w:rsid w:val="005F3C34"/>
    <w:rsid w:val="005F4185"/>
    <w:rsid w:val="005F5A56"/>
    <w:rsid w:val="005F6BD8"/>
    <w:rsid w:val="005F702A"/>
    <w:rsid w:val="0060099C"/>
    <w:rsid w:val="00602CE0"/>
    <w:rsid w:val="0060306A"/>
    <w:rsid w:val="0060315F"/>
    <w:rsid w:val="006057C8"/>
    <w:rsid w:val="00606BC6"/>
    <w:rsid w:val="00610A71"/>
    <w:rsid w:val="0061391A"/>
    <w:rsid w:val="00613BBD"/>
    <w:rsid w:val="00613C28"/>
    <w:rsid w:val="00613E41"/>
    <w:rsid w:val="00615421"/>
    <w:rsid w:val="00615C90"/>
    <w:rsid w:val="006169CE"/>
    <w:rsid w:val="00617475"/>
    <w:rsid w:val="00621F4E"/>
    <w:rsid w:val="00622C71"/>
    <w:rsid w:val="00622DE8"/>
    <w:rsid w:val="0062441C"/>
    <w:rsid w:val="00624E02"/>
    <w:rsid w:val="00625D73"/>
    <w:rsid w:val="00625FC3"/>
    <w:rsid w:val="0062616A"/>
    <w:rsid w:val="00626301"/>
    <w:rsid w:val="00626A56"/>
    <w:rsid w:val="00626DB0"/>
    <w:rsid w:val="006313EE"/>
    <w:rsid w:val="00632936"/>
    <w:rsid w:val="00632B19"/>
    <w:rsid w:val="00632C31"/>
    <w:rsid w:val="00635292"/>
    <w:rsid w:val="006412DB"/>
    <w:rsid w:val="00642126"/>
    <w:rsid w:val="0064298B"/>
    <w:rsid w:val="00642FB3"/>
    <w:rsid w:val="00643A5E"/>
    <w:rsid w:val="00644229"/>
    <w:rsid w:val="00644652"/>
    <w:rsid w:val="00644E68"/>
    <w:rsid w:val="00645229"/>
    <w:rsid w:val="00650FF0"/>
    <w:rsid w:val="0065119E"/>
    <w:rsid w:val="00651512"/>
    <w:rsid w:val="0065255D"/>
    <w:rsid w:val="00652BB1"/>
    <w:rsid w:val="00652CC5"/>
    <w:rsid w:val="006560F2"/>
    <w:rsid w:val="00656C72"/>
    <w:rsid w:val="00656D9C"/>
    <w:rsid w:val="00657E07"/>
    <w:rsid w:val="00662416"/>
    <w:rsid w:val="00662772"/>
    <w:rsid w:val="00663532"/>
    <w:rsid w:val="0066438C"/>
    <w:rsid w:val="00664A7E"/>
    <w:rsid w:val="0066595E"/>
    <w:rsid w:val="00666D3C"/>
    <w:rsid w:val="006672B7"/>
    <w:rsid w:val="006711C7"/>
    <w:rsid w:val="006712EA"/>
    <w:rsid w:val="006734FD"/>
    <w:rsid w:val="0067367A"/>
    <w:rsid w:val="0067505C"/>
    <w:rsid w:val="0067513C"/>
    <w:rsid w:val="006751C9"/>
    <w:rsid w:val="006760D1"/>
    <w:rsid w:val="00681010"/>
    <w:rsid w:val="00681431"/>
    <w:rsid w:val="00682502"/>
    <w:rsid w:val="00682AB8"/>
    <w:rsid w:val="00683427"/>
    <w:rsid w:val="00683F22"/>
    <w:rsid w:val="00684DCE"/>
    <w:rsid w:val="0068635F"/>
    <w:rsid w:val="006867BB"/>
    <w:rsid w:val="0069033C"/>
    <w:rsid w:val="00690918"/>
    <w:rsid w:val="00690FC7"/>
    <w:rsid w:val="0069163E"/>
    <w:rsid w:val="00692504"/>
    <w:rsid w:val="006937DA"/>
    <w:rsid w:val="00694233"/>
    <w:rsid w:val="006950D5"/>
    <w:rsid w:val="0069572A"/>
    <w:rsid w:val="00695868"/>
    <w:rsid w:val="00696174"/>
    <w:rsid w:val="006969C3"/>
    <w:rsid w:val="006A039F"/>
    <w:rsid w:val="006A0BDF"/>
    <w:rsid w:val="006A1F0B"/>
    <w:rsid w:val="006A2812"/>
    <w:rsid w:val="006A3292"/>
    <w:rsid w:val="006A35EE"/>
    <w:rsid w:val="006A4A39"/>
    <w:rsid w:val="006A518B"/>
    <w:rsid w:val="006A5286"/>
    <w:rsid w:val="006A591B"/>
    <w:rsid w:val="006A60B4"/>
    <w:rsid w:val="006A6D5B"/>
    <w:rsid w:val="006A6FFC"/>
    <w:rsid w:val="006B0185"/>
    <w:rsid w:val="006B0760"/>
    <w:rsid w:val="006B08C7"/>
    <w:rsid w:val="006B1D54"/>
    <w:rsid w:val="006B30AA"/>
    <w:rsid w:val="006B3F78"/>
    <w:rsid w:val="006B44DA"/>
    <w:rsid w:val="006B687D"/>
    <w:rsid w:val="006B7B54"/>
    <w:rsid w:val="006B7F25"/>
    <w:rsid w:val="006C03DB"/>
    <w:rsid w:val="006C0456"/>
    <w:rsid w:val="006C09D7"/>
    <w:rsid w:val="006C1000"/>
    <w:rsid w:val="006C12E7"/>
    <w:rsid w:val="006C1530"/>
    <w:rsid w:val="006C1B51"/>
    <w:rsid w:val="006C1C06"/>
    <w:rsid w:val="006C29CF"/>
    <w:rsid w:val="006C2C4E"/>
    <w:rsid w:val="006C3AC7"/>
    <w:rsid w:val="006C4327"/>
    <w:rsid w:val="006C43B1"/>
    <w:rsid w:val="006C4F39"/>
    <w:rsid w:val="006D1C13"/>
    <w:rsid w:val="006D1D9B"/>
    <w:rsid w:val="006D59B1"/>
    <w:rsid w:val="006E0712"/>
    <w:rsid w:val="006E084F"/>
    <w:rsid w:val="006E0FCC"/>
    <w:rsid w:val="006E1928"/>
    <w:rsid w:val="006E1B43"/>
    <w:rsid w:val="006E2A33"/>
    <w:rsid w:val="006E529C"/>
    <w:rsid w:val="006E54F3"/>
    <w:rsid w:val="006E5616"/>
    <w:rsid w:val="006E5FE9"/>
    <w:rsid w:val="006E7AAF"/>
    <w:rsid w:val="006F0752"/>
    <w:rsid w:val="006F09C5"/>
    <w:rsid w:val="006F29FD"/>
    <w:rsid w:val="006F3E4E"/>
    <w:rsid w:val="006F45BC"/>
    <w:rsid w:val="006F4830"/>
    <w:rsid w:val="006F4CF6"/>
    <w:rsid w:val="006F4E18"/>
    <w:rsid w:val="006F55D5"/>
    <w:rsid w:val="006F5F2A"/>
    <w:rsid w:val="006F6066"/>
    <w:rsid w:val="006F735D"/>
    <w:rsid w:val="00700671"/>
    <w:rsid w:val="00701190"/>
    <w:rsid w:val="00701BE4"/>
    <w:rsid w:val="0070214A"/>
    <w:rsid w:val="00702EAE"/>
    <w:rsid w:val="007038E6"/>
    <w:rsid w:val="00703AE1"/>
    <w:rsid w:val="00703B93"/>
    <w:rsid w:val="00703EBE"/>
    <w:rsid w:val="00704309"/>
    <w:rsid w:val="00705C34"/>
    <w:rsid w:val="007072A7"/>
    <w:rsid w:val="00707348"/>
    <w:rsid w:val="00711389"/>
    <w:rsid w:val="00711A98"/>
    <w:rsid w:val="00712CE3"/>
    <w:rsid w:val="00713205"/>
    <w:rsid w:val="007135B5"/>
    <w:rsid w:val="00713609"/>
    <w:rsid w:val="00715A5D"/>
    <w:rsid w:val="00715E70"/>
    <w:rsid w:val="00716FBD"/>
    <w:rsid w:val="00717047"/>
    <w:rsid w:val="00717D96"/>
    <w:rsid w:val="007202A3"/>
    <w:rsid w:val="00720693"/>
    <w:rsid w:val="007209F0"/>
    <w:rsid w:val="00720C93"/>
    <w:rsid w:val="00721041"/>
    <w:rsid w:val="0072114A"/>
    <w:rsid w:val="0072128F"/>
    <w:rsid w:val="00721B8C"/>
    <w:rsid w:val="00722DD8"/>
    <w:rsid w:val="007242B8"/>
    <w:rsid w:val="007243DA"/>
    <w:rsid w:val="0072558A"/>
    <w:rsid w:val="00725864"/>
    <w:rsid w:val="00725BE6"/>
    <w:rsid w:val="00726602"/>
    <w:rsid w:val="00726A03"/>
    <w:rsid w:val="007302E4"/>
    <w:rsid w:val="0073049B"/>
    <w:rsid w:val="00731025"/>
    <w:rsid w:val="0073104F"/>
    <w:rsid w:val="00732774"/>
    <w:rsid w:val="00732D9B"/>
    <w:rsid w:val="00733E26"/>
    <w:rsid w:val="0073444C"/>
    <w:rsid w:val="0073552A"/>
    <w:rsid w:val="00735DDB"/>
    <w:rsid w:val="00736789"/>
    <w:rsid w:val="00740B75"/>
    <w:rsid w:val="00741390"/>
    <w:rsid w:val="00741895"/>
    <w:rsid w:val="00742285"/>
    <w:rsid w:val="007426ED"/>
    <w:rsid w:val="0074284D"/>
    <w:rsid w:val="007438C4"/>
    <w:rsid w:val="00744BD1"/>
    <w:rsid w:val="00744C45"/>
    <w:rsid w:val="00744FC1"/>
    <w:rsid w:val="00746C97"/>
    <w:rsid w:val="00750C56"/>
    <w:rsid w:val="00750F47"/>
    <w:rsid w:val="007527C0"/>
    <w:rsid w:val="00754014"/>
    <w:rsid w:val="007542F1"/>
    <w:rsid w:val="00754A7D"/>
    <w:rsid w:val="00754BF1"/>
    <w:rsid w:val="00754C7F"/>
    <w:rsid w:val="00755355"/>
    <w:rsid w:val="007554B6"/>
    <w:rsid w:val="0075704E"/>
    <w:rsid w:val="00757766"/>
    <w:rsid w:val="00757EEB"/>
    <w:rsid w:val="00761CAC"/>
    <w:rsid w:val="0076466F"/>
    <w:rsid w:val="00765176"/>
    <w:rsid w:val="00765777"/>
    <w:rsid w:val="00765BEC"/>
    <w:rsid w:val="0076686D"/>
    <w:rsid w:val="007673B5"/>
    <w:rsid w:val="00767CDA"/>
    <w:rsid w:val="00770B33"/>
    <w:rsid w:val="00770CE5"/>
    <w:rsid w:val="0077227C"/>
    <w:rsid w:val="00774F01"/>
    <w:rsid w:val="00775AF8"/>
    <w:rsid w:val="0078003A"/>
    <w:rsid w:val="007828FB"/>
    <w:rsid w:val="00783C74"/>
    <w:rsid w:val="00784473"/>
    <w:rsid w:val="00784C33"/>
    <w:rsid w:val="00785925"/>
    <w:rsid w:val="0078608A"/>
    <w:rsid w:val="007862BC"/>
    <w:rsid w:val="00786313"/>
    <w:rsid w:val="00786357"/>
    <w:rsid w:val="007863FB"/>
    <w:rsid w:val="00786766"/>
    <w:rsid w:val="00786C70"/>
    <w:rsid w:val="007879CA"/>
    <w:rsid w:val="00790C82"/>
    <w:rsid w:val="007920C3"/>
    <w:rsid w:val="007922E7"/>
    <w:rsid w:val="00793018"/>
    <w:rsid w:val="007933FF"/>
    <w:rsid w:val="007935A1"/>
    <w:rsid w:val="00793A70"/>
    <w:rsid w:val="00795DBB"/>
    <w:rsid w:val="007960E8"/>
    <w:rsid w:val="00796213"/>
    <w:rsid w:val="00796B9C"/>
    <w:rsid w:val="00796EEA"/>
    <w:rsid w:val="007A0001"/>
    <w:rsid w:val="007A0B12"/>
    <w:rsid w:val="007A0D1B"/>
    <w:rsid w:val="007A2234"/>
    <w:rsid w:val="007A2C48"/>
    <w:rsid w:val="007A424A"/>
    <w:rsid w:val="007A543F"/>
    <w:rsid w:val="007A5DC3"/>
    <w:rsid w:val="007A67E6"/>
    <w:rsid w:val="007A681B"/>
    <w:rsid w:val="007A79AF"/>
    <w:rsid w:val="007B1512"/>
    <w:rsid w:val="007B1A80"/>
    <w:rsid w:val="007B282D"/>
    <w:rsid w:val="007B312A"/>
    <w:rsid w:val="007B5F3C"/>
    <w:rsid w:val="007B6DCB"/>
    <w:rsid w:val="007C0024"/>
    <w:rsid w:val="007C1CFE"/>
    <w:rsid w:val="007C28AA"/>
    <w:rsid w:val="007C3187"/>
    <w:rsid w:val="007C3483"/>
    <w:rsid w:val="007C38F7"/>
    <w:rsid w:val="007C3961"/>
    <w:rsid w:val="007C3DD4"/>
    <w:rsid w:val="007C4FF5"/>
    <w:rsid w:val="007C599B"/>
    <w:rsid w:val="007C5C9F"/>
    <w:rsid w:val="007C62B6"/>
    <w:rsid w:val="007C6AA8"/>
    <w:rsid w:val="007C7AC5"/>
    <w:rsid w:val="007D0E60"/>
    <w:rsid w:val="007D1773"/>
    <w:rsid w:val="007D2E75"/>
    <w:rsid w:val="007D4185"/>
    <w:rsid w:val="007D42D7"/>
    <w:rsid w:val="007D42DB"/>
    <w:rsid w:val="007D44E0"/>
    <w:rsid w:val="007D4FF6"/>
    <w:rsid w:val="007D549F"/>
    <w:rsid w:val="007D5738"/>
    <w:rsid w:val="007D5AEC"/>
    <w:rsid w:val="007E157C"/>
    <w:rsid w:val="007E164D"/>
    <w:rsid w:val="007E1CD8"/>
    <w:rsid w:val="007E23BE"/>
    <w:rsid w:val="007E33F4"/>
    <w:rsid w:val="007E3646"/>
    <w:rsid w:val="007E38D4"/>
    <w:rsid w:val="007E3901"/>
    <w:rsid w:val="007E415D"/>
    <w:rsid w:val="007E4C41"/>
    <w:rsid w:val="007E4D51"/>
    <w:rsid w:val="007E5C9C"/>
    <w:rsid w:val="007E617B"/>
    <w:rsid w:val="007E6293"/>
    <w:rsid w:val="007E71AA"/>
    <w:rsid w:val="007E7930"/>
    <w:rsid w:val="007E7B31"/>
    <w:rsid w:val="007E7FD0"/>
    <w:rsid w:val="007F0CED"/>
    <w:rsid w:val="007F19EB"/>
    <w:rsid w:val="007F1E64"/>
    <w:rsid w:val="007F21D9"/>
    <w:rsid w:val="007F3511"/>
    <w:rsid w:val="007F4229"/>
    <w:rsid w:val="007F6385"/>
    <w:rsid w:val="007F6A66"/>
    <w:rsid w:val="007F7216"/>
    <w:rsid w:val="007F79F9"/>
    <w:rsid w:val="007F7C87"/>
    <w:rsid w:val="00800265"/>
    <w:rsid w:val="00801E5B"/>
    <w:rsid w:val="008039DD"/>
    <w:rsid w:val="00803FEC"/>
    <w:rsid w:val="0080423B"/>
    <w:rsid w:val="0080538F"/>
    <w:rsid w:val="008064C7"/>
    <w:rsid w:val="00807CC7"/>
    <w:rsid w:val="008114A1"/>
    <w:rsid w:val="00812294"/>
    <w:rsid w:val="00813685"/>
    <w:rsid w:val="00813FEC"/>
    <w:rsid w:val="008145BD"/>
    <w:rsid w:val="0081471D"/>
    <w:rsid w:val="00816E77"/>
    <w:rsid w:val="008174A1"/>
    <w:rsid w:val="00820D97"/>
    <w:rsid w:val="00820E17"/>
    <w:rsid w:val="00820F84"/>
    <w:rsid w:val="00821E0A"/>
    <w:rsid w:val="00822E8C"/>
    <w:rsid w:val="008233A4"/>
    <w:rsid w:val="0082372A"/>
    <w:rsid w:val="008243DB"/>
    <w:rsid w:val="00827043"/>
    <w:rsid w:val="00827C56"/>
    <w:rsid w:val="00830394"/>
    <w:rsid w:val="00830400"/>
    <w:rsid w:val="0083051D"/>
    <w:rsid w:val="0083098A"/>
    <w:rsid w:val="00831500"/>
    <w:rsid w:val="00831C28"/>
    <w:rsid w:val="00832280"/>
    <w:rsid w:val="0083288C"/>
    <w:rsid w:val="00832B52"/>
    <w:rsid w:val="00833471"/>
    <w:rsid w:val="008341C2"/>
    <w:rsid w:val="008358CA"/>
    <w:rsid w:val="008367BD"/>
    <w:rsid w:val="0083698D"/>
    <w:rsid w:val="00836AE5"/>
    <w:rsid w:val="00840C37"/>
    <w:rsid w:val="00841316"/>
    <w:rsid w:val="00841CE7"/>
    <w:rsid w:val="00841F27"/>
    <w:rsid w:val="008423A4"/>
    <w:rsid w:val="00843926"/>
    <w:rsid w:val="00844506"/>
    <w:rsid w:val="00844FD2"/>
    <w:rsid w:val="008455A0"/>
    <w:rsid w:val="0084583E"/>
    <w:rsid w:val="00845DAD"/>
    <w:rsid w:val="00846445"/>
    <w:rsid w:val="008465B7"/>
    <w:rsid w:val="008465EE"/>
    <w:rsid w:val="00846D2A"/>
    <w:rsid w:val="00847B06"/>
    <w:rsid w:val="00850137"/>
    <w:rsid w:val="008501DE"/>
    <w:rsid w:val="0085138A"/>
    <w:rsid w:val="0085142B"/>
    <w:rsid w:val="00852973"/>
    <w:rsid w:val="00852E87"/>
    <w:rsid w:val="008532AC"/>
    <w:rsid w:val="0085388F"/>
    <w:rsid w:val="00854D78"/>
    <w:rsid w:val="0085502B"/>
    <w:rsid w:val="00855258"/>
    <w:rsid w:val="00860195"/>
    <w:rsid w:val="008603DF"/>
    <w:rsid w:val="0086269D"/>
    <w:rsid w:val="00862BB3"/>
    <w:rsid w:val="008631B7"/>
    <w:rsid w:val="008636DC"/>
    <w:rsid w:val="00863795"/>
    <w:rsid w:val="00865903"/>
    <w:rsid w:val="008662BE"/>
    <w:rsid w:val="008667B4"/>
    <w:rsid w:val="00867052"/>
    <w:rsid w:val="0086706F"/>
    <w:rsid w:val="0086772A"/>
    <w:rsid w:val="00867B1F"/>
    <w:rsid w:val="0087017B"/>
    <w:rsid w:val="008705B9"/>
    <w:rsid w:val="00870620"/>
    <w:rsid w:val="0087082A"/>
    <w:rsid w:val="00870D1F"/>
    <w:rsid w:val="00870F98"/>
    <w:rsid w:val="00870FE0"/>
    <w:rsid w:val="0087121C"/>
    <w:rsid w:val="00871728"/>
    <w:rsid w:val="0087174B"/>
    <w:rsid w:val="00871C67"/>
    <w:rsid w:val="00872DBE"/>
    <w:rsid w:val="008731CA"/>
    <w:rsid w:val="00873A44"/>
    <w:rsid w:val="00874E61"/>
    <w:rsid w:val="00874ED7"/>
    <w:rsid w:val="00875DF5"/>
    <w:rsid w:val="00876B4D"/>
    <w:rsid w:val="00876CAF"/>
    <w:rsid w:val="008802C4"/>
    <w:rsid w:val="00880467"/>
    <w:rsid w:val="008811E2"/>
    <w:rsid w:val="00881DC5"/>
    <w:rsid w:val="008829CF"/>
    <w:rsid w:val="00883BA0"/>
    <w:rsid w:val="008845AF"/>
    <w:rsid w:val="008847A7"/>
    <w:rsid w:val="008847B1"/>
    <w:rsid w:val="00884C7C"/>
    <w:rsid w:val="00886007"/>
    <w:rsid w:val="00886A51"/>
    <w:rsid w:val="0088702A"/>
    <w:rsid w:val="00890D35"/>
    <w:rsid w:val="0089191F"/>
    <w:rsid w:val="00891C9C"/>
    <w:rsid w:val="008921EC"/>
    <w:rsid w:val="0089223B"/>
    <w:rsid w:val="008922CC"/>
    <w:rsid w:val="008924DC"/>
    <w:rsid w:val="00892500"/>
    <w:rsid w:val="0089312A"/>
    <w:rsid w:val="00893134"/>
    <w:rsid w:val="00894303"/>
    <w:rsid w:val="0089548F"/>
    <w:rsid w:val="00897C8D"/>
    <w:rsid w:val="008A00D5"/>
    <w:rsid w:val="008A0AE6"/>
    <w:rsid w:val="008A1464"/>
    <w:rsid w:val="008A1767"/>
    <w:rsid w:val="008A2BC3"/>
    <w:rsid w:val="008A3FE9"/>
    <w:rsid w:val="008A45F2"/>
    <w:rsid w:val="008A6981"/>
    <w:rsid w:val="008A7042"/>
    <w:rsid w:val="008B0379"/>
    <w:rsid w:val="008B2672"/>
    <w:rsid w:val="008B3226"/>
    <w:rsid w:val="008B330A"/>
    <w:rsid w:val="008B6668"/>
    <w:rsid w:val="008B7DC6"/>
    <w:rsid w:val="008C04E1"/>
    <w:rsid w:val="008C10E3"/>
    <w:rsid w:val="008C180B"/>
    <w:rsid w:val="008C2D1F"/>
    <w:rsid w:val="008C327B"/>
    <w:rsid w:val="008C41D1"/>
    <w:rsid w:val="008C4BBB"/>
    <w:rsid w:val="008C4BD0"/>
    <w:rsid w:val="008C560F"/>
    <w:rsid w:val="008D1F85"/>
    <w:rsid w:val="008D235F"/>
    <w:rsid w:val="008D291B"/>
    <w:rsid w:val="008D29A2"/>
    <w:rsid w:val="008D36FB"/>
    <w:rsid w:val="008D519B"/>
    <w:rsid w:val="008D63CD"/>
    <w:rsid w:val="008D6ABC"/>
    <w:rsid w:val="008D7D5B"/>
    <w:rsid w:val="008E00B2"/>
    <w:rsid w:val="008E0536"/>
    <w:rsid w:val="008E17E3"/>
    <w:rsid w:val="008E21C6"/>
    <w:rsid w:val="008E2F17"/>
    <w:rsid w:val="008E41B6"/>
    <w:rsid w:val="008E4D5E"/>
    <w:rsid w:val="008E4FD0"/>
    <w:rsid w:val="008E5548"/>
    <w:rsid w:val="008E5CC9"/>
    <w:rsid w:val="008E6937"/>
    <w:rsid w:val="008E7086"/>
    <w:rsid w:val="008E7164"/>
    <w:rsid w:val="008F0938"/>
    <w:rsid w:val="008F09E7"/>
    <w:rsid w:val="008F0AF6"/>
    <w:rsid w:val="008F287A"/>
    <w:rsid w:val="008F3753"/>
    <w:rsid w:val="008F3B25"/>
    <w:rsid w:val="008F70AD"/>
    <w:rsid w:val="00901178"/>
    <w:rsid w:val="009017BC"/>
    <w:rsid w:val="00902A53"/>
    <w:rsid w:val="00902FFB"/>
    <w:rsid w:val="00903F9C"/>
    <w:rsid w:val="00904000"/>
    <w:rsid w:val="0090437B"/>
    <w:rsid w:val="00904FDD"/>
    <w:rsid w:val="00905041"/>
    <w:rsid w:val="009060B6"/>
    <w:rsid w:val="00906B6F"/>
    <w:rsid w:val="00910DE6"/>
    <w:rsid w:val="00911DCF"/>
    <w:rsid w:val="009134E5"/>
    <w:rsid w:val="00914923"/>
    <w:rsid w:val="00915825"/>
    <w:rsid w:val="00915C01"/>
    <w:rsid w:val="00915D93"/>
    <w:rsid w:val="00917DA9"/>
    <w:rsid w:val="00920025"/>
    <w:rsid w:val="0092006F"/>
    <w:rsid w:val="00920535"/>
    <w:rsid w:val="00920C1F"/>
    <w:rsid w:val="009216BB"/>
    <w:rsid w:val="00921DB0"/>
    <w:rsid w:val="00923183"/>
    <w:rsid w:val="00923513"/>
    <w:rsid w:val="009247A1"/>
    <w:rsid w:val="00924BC4"/>
    <w:rsid w:val="00924E42"/>
    <w:rsid w:val="00930633"/>
    <w:rsid w:val="009308DE"/>
    <w:rsid w:val="009311B7"/>
    <w:rsid w:val="0093304B"/>
    <w:rsid w:val="00933135"/>
    <w:rsid w:val="0093575F"/>
    <w:rsid w:val="00937C66"/>
    <w:rsid w:val="009403E0"/>
    <w:rsid w:val="009407DE"/>
    <w:rsid w:val="00941912"/>
    <w:rsid w:val="0094207A"/>
    <w:rsid w:val="00943190"/>
    <w:rsid w:val="00943599"/>
    <w:rsid w:val="00943FEA"/>
    <w:rsid w:val="009449BD"/>
    <w:rsid w:val="0094547D"/>
    <w:rsid w:val="009454CF"/>
    <w:rsid w:val="009467F8"/>
    <w:rsid w:val="009470DF"/>
    <w:rsid w:val="00951280"/>
    <w:rsid w:val="00951AE9"/>
    <w:rsid w:val="0095500F"/>
    <w:rsid w:val="0095585B"/>
    <w:rsid w:val="00956B74"/>
    <w:rsid w:val="009575BD"/>
    <w:rsid w:val="00957A7C"/>
    <w:rsid w:val="00960E5F"/>
    <w:rsid w:val="00961B53"/>
    <w:rsid w:val="0096245E"/>
    <w:rsid w:val="00962FA4"/>
    <w:rsid w:val="0096393A"/>
    <w:rsid w:val="00963B36"/>
    <w:rsid w:val="00963EF3"/>
    <w:rsid w:val="009644B2"/>
    <w:rsid w:val="0096486E"/>
    <w:rsid w:val="00966BAD"/>
    <w:rsid w:val="00966C55"/>
    <w:rsid w:val="009674A7"/>
    <w:rsid w:val="00967B67"/>
    <w:rsid w:val="0097036C"/>
    <w:rsid w:val="0097037E"/>
    <w:rsid w:val="009709C0"/>
    <w:rsid w:val="00972204"/>
    <w:rsid w:val="00973137"/>
    <w:rsid w:val="00973C0A"/>
    <w:rsid w:val="00973C3C"/>
    <w:rsid w:val="00973E30"/>
    <w:rsid w:val="0097431E"/>
    <w:rsid w:val="00974F0C"/>
    <w:rsid w:val="00975527"/>
    <w:rsid w:val="00975828"/>
    <w:rsid w:val="0097658B"/>
    <w:rsid w:val="00976E3D"/>
    <w:rsid w:val="00977123"/>
    <w:rsid w:val="00977189"/>
    <w:rsid w:val="00977881"/>
    <w:rsid w:val="009779B8"/>
    <w:rsid w:val="009810A6"/>
    <w:rsid w:val="00981805"/>
    <w:rsid w:val="00981901"/>
    <w:rsid w:val="00981C2A"/>
    <w:rsid w:val="00982349"/>
    <w:rsid w:val="00982CE7"/>
    <w:rsid w:val="00982ED6"/>
    <w:rsid w:val="00983075"/>
    <w:rsid w:val="00983AFA"/>
    <w:rsid w:val="00983BA2"/>
    <w:rsid w:val="00983CED"/>
    <w:rsid w:val="009842DD"/>
    <w:rsid w:val="009850A8"/>
    <w:rsid w:val="009852F3"/>
    <w:rsid w:val="009858CB"/>
    <w:rsid w:val="00986C89"/>
    <w:rsid w:val="00986D1F"/>
    <w:rsid w:val="009878F9"/>
    <w:rsid w:val="00987A83"/>
    <w:rsid w:val="0099028C"/>
    <w:rsid w:val="0099046F"/>
    <w:rsid w:val="0099068E"/>
    <w:rsid w:val="00991265"/>
    <w:rsid w:val="0099149E"/>
    <w:rsid w:val="00991798"/>
    <w:rsid w:val="00991F83"/>
    <w:rsid w:val="00993A40"/>
    <w:rsid w:val="009957D5"/>
    <w:rsid w:val="009964F8"/>
    <w:rsid w:val="00996AA2"/>
    <w:rsid w:val="009A0CA6"/>
    <w:rsid w:val="009A128D"/>
    <w:rsid w:val="009A2066"/>
    <w:rsid w:val="009A2EF7"/>
    <w:rsid w:val="009A3584"/>
    <w:rsid w:val="009A4496"/>
    <w:rsid w:val="009A4EAC"/>
    <w:rsid w:val="009A51FE"/>
    <w:rsid w:val="009A5CDA"/>
    <w:rsid w:val="009A6A22"/>
    <w:rsid w:val="009A7523"/>
    <w:rsid w:val="009B09A5"/>
    <w:rsid w:val="009B19DB"/>
    <w:rsid w:val="009B2B12"/>
    <w:rsid w:val="009B3A8E"/>
    <w:rsid w:val="009B3B95"/>
    <w:rsid w:val="009B45CC"/>
    <w:rsid w:val="009B4C77"/>
    <w:rsid w:val="009B53EE"/>
    <w:rsid w:val="009B67B1"/>
    <w:rsid w:val="009B68D6"/>
    <w:rsid w:val="009B70F6"/>
    <w:rsid w:val="009B7A07"/>
    <w:rsid w:val="009C07B2"/>
    <w:rsid w:val="009C1C53"/>
    <w:rsid w:val="009C27C8"/>
    <w:rsid w:val="009C3C2A"/>
    <w:rsid w:val="009C4DA4"/>
    <w:rsid w:val="009C505D"/>
    <w:rsid w:val="009C52E9"/>
    <w:rsid w:val="009C59CE"/>
    <w:rsid w:val="009C5BA1"/>
    <w:rsid w:val="009C5E3F"/>
    <w:rsid w:val="009C6C59"/>
    <w:rsid w:val="009C7DAB"/>
    <w:rsid w:val="009D069D"/>
    <w:rsid w:val="009D1355"/>
    <w:rsid w:val="009D1998"/>
    <w:rsid w:val="009D2111"/>
    <w:rsid w:val="009D224C"/>
    <w:rsid w:val="009D2B71"/>
    <w:rsid w:val="009D37A8"/>
    <w:rsid w:val="009D3D6E"/>
    <w:rsid w:val="009D42E0"/>
    <w:rsid w:val="009D48FD"/>
    <w:rsid w:val="009D6EF8"/>
    <w:rsid w:val="009D74EA"/>
    <w:rsid w:val="009D7C0F"/>
    <w:rsid w:val="009E016B"/>
    <w:rsid w:val="009E03FD"/>
    <w:rsid w:val="009E0CA1"/>
    <w:rsid w:val="009E0F73"/>
    <w:rsid w:val="009E2E4E"/>
    <w:rsid w:val="009E2F19"/>
    <w:rsid w:val="009E495C"/>
    <w:rsid w:val="009E5678"/>
    <w:rsid w:val="009E5838"/>
    <w:rsid w:val="009E707E"/>
    <w:rsid w:val="009E7AB7"/>
    <w:rsid w:val="009F1066"/>
    <w:rsid w:val="009F1252"/>
    <w:rsid w:val="009F2B38"/>
    <w:rsid w:val="009F35C8"/>
    <w:rsid w:val="009F3E43"/>
    <w:rsid w:val="009F5FAB"/>
    <w:rsid w:val="009F62F0"/>
    <w:rsid w:val="009F68C0"/>
    <w:rsid w:val="009F6F8C"/>
    <w:rsid w:val="009F7884"/>
    <w:rsid w:val="00A0001F"/>
    <w:rsid w:val="00A000C5"/>
    <w:rsid w:val="00A0080A"/>
    <w:rsid w:val="00A0089A"/>
    <w:rsid w:val="00A012B0"/>
    <w:rsid w:val="00A01550"/>
    <w:rsid w:val="00A021D9"/>
    <w:rsid w:val="00A029EC"/>
    <w:rsid w:val="00A02BA5"/>
    <w:rsid w:val="00A03216"/>
    <w:rsid w:val="00A03852"/>
    <w:rsid w:val="00A04141"/>
    <w:rsid w:val="00A04F34"/>
    <w:rsid w:val="00A06171"/>
    <w:rsid w:val="00A061E6"/>
    <w:rsid w:val="00A06256"/>
    <w:rsid w:val="00A13752"/>
    <w:rsid w:val="00A14322"/>
    <w:rsid w:val="00A1435E"/>
    <w:rsid w:val="00A1609F"/>
    <w:rsid w:val="00A160FC"/>
    <w:rsid w:val="00A17C7F"/>
    <w:rsid w:val="00A17DA9"/>
    <w:rsid w:val="00A200B9"/>
    <w:rsid w:val="00A2017C"/>
    <w:rsid w:val="00A209EE"/>
    <w:rsid w:val="00A2173C"/>
    <w:rsid w:val="00A21AA7"/>
    <w:rsid w:val="00A223E7"/>
    <w:rsid w:val="00A225CE"/>
    <w:rsid w:val="00A22F22"/>
    <w:rsid w:val="00A24472"/>
    <w:rsid w:val="00A250D6"/>
    <w:rsid w:val="00A254F3"/>
    <w:rsid w:val="00A26804"/>
    <w:rsid w:val="00A27AB0"/>
    <w:rsid w:val="00A30555"/>
    <w:rsid w:val="00A319C7"/>
    <w:rsid w:val="00A31C6C"/>
    <w:rsid w:val="00A31F4A"/>
    <w:rsid w:val="00A3392B"/>
    <w:rsid w:val="00A346AD"/>
    <w:rsid w:val="00A34D65"/>
    <w:rsid w:val="00A35D70"/>
    <w:rsid w:val="00A36C37"/>
    <w:rsid w:val="00A40BE7"/>
    <w:rsid w:val="00A4268F"/>
    <w:rsid w:val="00A42B52"/>
    <w:rsid w:val="00A4392A"/>
    <w:rsid w:val="00A4434D"/>
    <w:rsid w:val="00A44401"/>
    <w:rsid w:val="00A4452D"/>
    <w:rsid w:val="00A463C6"/>
    <w:rsid w:val="00A464A2"/>
    <w:rsid w:val="00A46FAA"/>
    <w:rsid w:val="00A4748F"/>
    <w:rsid w:val="00A47939"/>
    <w:rsid w:val="00A479B2"/>
    <w:rsid w:val="00A5013B"/>
    <w:rsid w:val="00A51F3E"/>
    <w:rsid w:val="00A52845"/>
    <w:rsid w:val="00A52A4F"/>
    <w:rsid w:val="00A5311C"/>
    <w:rsid w:val="00A53497"/>
    <w:rsid w:val="00A53AFB"/>
    <w:rsid w:val="00A543E0"/>
    <w:rsid w:val="00A54586"/>
    <w:rsid w:val="00A547B7"/>
    <w:rsid w:val="00A54B22"/>
    <w:rsid w:val="00A55F1E"/>
    <w:rsid w:val="00A569CA"/>
    <w:rsid w:val="00A56C60"/>
    <w:rsid w:val="00A56D40"/>
    <w:rsid w:val="00A57625"/>
    <w:rsid w:val="00A605F3"/>
    <w:rsid w:val="00A62944"/>
    <w:rsid w:val="00A62DA8"/>
    <w:rsid w:val="00A63136"/>
    <w:rsid w:val="00A63B9F"/>
    <w:rsid w:val="00A6514C"/>
    <w:rsid w:val="00A6652B"/>
    <w:rsid w:val="00A66BF7"/>
    <w:rsid w:val="00A66E08"/>
    <w:rsid w:val="00A66FD1"/>
    <w:rsid w:val="00A7213C"/>
    <w:rsid w:val="00A72AB7"/>
    <w:rsid w:val="00A736ED"/>
    <w:rsid w:val="00A74E88"/>
    <w:rsid w:val="00A75C97"/>
    <w:rsid w:val="00A778EB"/>
    <w:rsid w:val="00A808B7"/>
    <w:rsid w:val="00A818DF"/>
    <w:rsid w:val="00A8218D"/>
    <w:rsid w:val="00A82472"/>
    <w:rsid w:val="00A8256A"/>
    <w:rsid w:val="00A8262B"/>
    <w:rsid w:val="00A829F1"/>
    <w:rsid w:val="00A82F4C"/>
    <w:rsid w:val="00A86958"/>
    <w:rsid w:val="00A87888"/>
    <w:rsid w:val="00A87DFD"/>
    <w:rsid w:val="00A903A3"/>
    <w:rsid w:val="00A90794"/>
    <w:rsid w:val="00A90B58"/>
    <w:rsid w:val="00A90D51"/>
    <w:rsid w:val="00A91930"/>
    <w:rsid w:val="00A92807"/>
    <w:rsid w:val="00A9306B"/>
    <w:rsid w:val="00A937CB"/>
    <w:rsid w:val="00A93A25"/>
    <w:rsid w:val="00A943DA"/>
    <w:rsid w:val="00A95549"/>
    <w:rsid w:val="00A95789"/>
    <w:rsid w:val="00A9642B"/>
    <w:rsid w:val="00A9704D"/>
    <w:rsid w:val="00AA0B31"/>
    <w:rsid w:val="00AA0CE7"/>
    <w:rsid w:val="00AA1083"/>
    <w:rsid w:val="00AA1A02"/>
    <w:rsid w:val="00AA2888"/>
    <w:rsid w:val="00AA3BA5"/>
    <w:rsid w:val="00AA3CD9"/>
    <w:rsid w:val="00AA4585"/>
    <w:rsid w:val="00AA46A7"/>
    <w:rsid w:val="00AA4F35"/>
    <w:rsid w:val="00AA5204"/>
    <w:rsid w:val="00AA5582"/>
    <w:rsid w:val="00AA5AD7"/>
    <w:rsid w:val="00AA6D8B"/>
    <w:rsid w:val="00AA7797"/>
    <w:rsid w:val="00AB06A7"/>
    <w:rsid w:val="00AB0B46"/>
    <w:rsid w:val="00AB16E8"/>
    <w:rsid w:val="00AB2C90"/>
    <w:rsid w:val="00AB3107"/>
    <w:rsid w:val="00AB3479"/>
    <w:rsid w:val="00AB4F6A"/>
    <w:rsid w:val="00AB544C"/>
    <w:rsid w:val="00AB7192"/>
    <w:rsid w:val="00AB742D"/>
    <w:rsid w:val="00AC0DC4"/>
    <w:rsid w:val="00AC1A34"/>
    <w:rsid w:val="00AC2195"/>
    <w:rsid w:val="00AC2DBE"/>
    <w:rsid w:val="00AC32D1"/>
    <w:rsid w:val="00AC713C"/>
    <w:rsid w:val="00AC7CFC"/>
    <w:rsid w:val="00AD2158"/>
    <w:rsid w:val="00AD2458"/>
    <w:rsid w:val="00AD3361"/>
    <w:rsid w:val="00AD45F5"/>
    <w:rsid w:val="00AD6590"/>
    <w:rsid w:val="00AD6BC2"/>
    <w:rsid w:val="00AD7540"/>
    <w:rsid w:val="00AD7DB1"/>
    <w:rsid w:val="00AE16F7"/>
    <w:rsid w:val="00AE16FF"/>
    <w:rsid w:val="00AE241F"/>
    <w:rsid w:val="00AE4C66"/>
    <w:rsid w:val="00AE6764"/>
    <w:rsid w:val="00AF017C"/>
    <w:rsid w:val="00AF0A0E"/>
    <w:rsid w:val="00AF0D7A"/>
    <w:rsid w:val="00AF0F1E"/>
    <w:rsid w:val="00AF11F5"/>
    <w:rsid w:val="00AF12DA"/>
    <w:rsid w:val="00AF184F"/>
    <w:rsid w:val="00AF1911"/>
    <w:rsid w:val="00AF2D95"/>
    <w:rsid w:val="00AF3A46"/>
    <w:rsid w:val="00AF5F78"/>
    <w:rsid w:val="00AF79B3"/>
    <w:rsid w:val="00B00369"/>
    <w:rsid w:val="00B01644"/>
    <w:rsid w:val="00B024D4"/>
    <w:rsid w:val="00B02CCB"/>
    <w:rsid w:val="00B02F39"/>
    <w:rsid w:val="00B032C5"/>
    <w:rsid w:val="00B037EF"/>
    <w:rsid w:val="00B0506C"/>
    <w:rsid w:val="00B05EBB"/>
    <w:rsid w:val="00B07076"/>
    <w:rsid w:val="00B07B64"/>
    <w:rsid w:val="00B11699"/>
    <w:rsid w:val="00B117BA"/>
    <w:rsid w:val="00B11D7D"/>
    <w:rsid w:val="00B13823"/>
    <w:rsid w:val="00B13ED6"/>
    <w:rsid w:val="00B13F27"/>
    <w:rsid w:val="00B1471A"/>
    <w:rsid w:val="00B15075"/>
    <w:rsid w:val="00B1512A"/>
    <w:rsid w:val="00B15E6F"/>
    <w:rsid w:val="00B168BB"/>
    <w:rsid w:val="00B1757C"/>
    <w:rsid w:val="00B2045D"/>
    <w:rsid w:val="00B212D6"/>
    <w:rsid w:val="00B21751"/>
    <w:rsid w:val="00B220B1"/>
    <w:rsid w:val="00B22355"/>
    <w:rsid w:val="00B23424"/>
    <w:rsid w:val="00B23E99"/>
    <w:rsid w:val="00B2463A"/>
    <w:rsid w:val="00B246E1"/>
    <w:rsid w:val="00B25DFD"/>
    <w:rsid w:val="00B313D4"/>
    <w:rsid w:val="00B318C5"/>
    <w:rsid w:val="00B31BCF"/>
    <w:rsid w:val="00B321AD"/>
    <w:rsid w:val="00B33778"/>
    <w:rsid w:val="00B3377A"/>
    <w:rsid w:val="00B35B51"/>
    <w:rsid w:val="00B36387"/>
    <w:rsid w:val="00B4025F"/>
    <w:rsid w:val="00B40B51"/>
    <w:rsid w:val="00B41EFC"/>
    <w:rsid w:val="00B42D39"/>
    <w:rsid w:val="00B42D89"/>
    <w:rsid w:val="00B43416"/>
    <w:rsid w:val="00B44F58"/>
    <w:rsid w:val="00B4556A"/>
    <w:rsid w:val="00B460EF"/>
    <w:rsid w:val="00B46615"/>
    <w:rsid w:val="00B46CFA"/>
    <w:rsid w:val="00B475E8"/>
    <w:rsid w:val="00B47DB4"/>
    <w:rsid w:val="00B501E7"/>
    <w:rsid w:val="00B50DD5"/>
    <w:rsid w:val="00B5127A"/>
    <w:rsid w:val="00B516F7"/>
    <w:rsid w:val="00B51DAA"/>
    <w:rsid w:val="00B52974"/>
    <w:rsid w:val="00B5297C"/>
    <w:rsid w:val="00B53381"/>
    <w:rsid w:val="00B5439F"/>
    <w:rsid w:val="00B546F8"/>
    <w:rsid w:val="00B54DB6"/>
    <w:rsid w:val="00B558E6"/>
    <w:rsid w:val="00B55F4C"/>
    <w:rsid w:val="00B57E2C"/>
    <w:rsid w:val="00B57EA6"/>
    <w:rsid w:val="00B61BB8"/>
    <w:rsid w:val="00B61CE7"/>
    <w:rsid w:val="00B62B9A"/>
    <w:rsid w:val="00B63A28"/>
    <w:rsid w:val="00B6403F"/>
    <w:rsid w:val="00B643CD"/>
    <w:rsid w:val="00B64488"/>
    <w:rsid w:val="00B651FC"/>
    <w:rsid w:val="00B655CA"/>
    <w:rsid w:val="00B6578C"/>
    <w:rsid w:val="00B6669E"/>
    <w:rsid w:val="00B66B80"/>
    <w:rsid w:val="00B67D5E"/>
    <w:rsid w:val="00B70134"/>
    <w:rsid w:val="00B7062D"/>
    <w:rsid w:val="00B72309"/>
    <w:rsid w:val="00B732C4"/>
    <w:rsid w:val="00B73A37"/>
    <w:rsid w:val="00B7408D"/>
    <w:rsid w:val="00B7414C"/>
    <w:rsid w:val="00B74DC2"/>
    <w:rsid w:val="00B75478"/>
    <w:rsid w:val="00B75B8A"/>
    <w:rsid w:val="00B76E7F"/>
    <w:rsid w:val="00B77AF1"/>
    <w:rsid w:val="00B804FA"/>
    <w:rsid w:val="00B807C0"/>
    <w:rsid w:val="00B80D33"/>
    <w:rsid w:val="00B81DF2"/>
    <w:rsid w:val="00B82474"/>
    <w:rsid w:val="00B8451E"/>
    <w:rsid w:val="00B848A7"/>
    <w:rsid w:val="00B84DC3"/>
    <w:rsid w:val="00B85675"/>
    <w:rsid w:val="00B86532"/>
    <w:rsid w:val="00B86596"/>
    <w:rsid w:val="00B87B79"/>
    <w:rsid w:val="00B90A68"/>
    <w:rsid w:val="00B90D0F"/>
    <w:rsid w:val="00B9181A"/>
    <w:rsid w:val="00B92967"/>
    <w:rsid w:val="00B93183"/>
    <w:rsid w:val="00B9350D"/>
    <w:rsid w:val="00B93796"/>
    <w:rsid w:val="00B9437E"/>
    <w:rsid w:val="00B9483E"/>
    <w:rsid w:val="00B9514D"/>
    <w:rsid w:val="00B9749F"/>
    <w:rsid w:val="00B979B9"/>
    <w:rsid w:val="00BA19BF"/>
    <w:rsid w:val="00BA2F30"/>
    <w:rsid w:val="00BA3204"/>
    <w:rsid w:val="00BA3A49"/>
    <w:rsid w:val="00BA4942"/>
    <w:rsid w:val="00BA6245"/>
    <w:rsid w:val="00BA6AC3"/>
    <w:rsid w:val="00BA720C"/>
    <w:rsid w:val="00BA7753"/>
    <w:rsid w:val="00BB069B"/>
    <w:rsid w:val="00BB07DC"/>
    <w:rsid w:val="00BB137D"/>
    <w:rsid w:val="00BB2009"/>
    <w:rsid w:val="00BB3238"/>
    <w:rsid w:val="00BB3A0F"/>
    <w:rsid w:val="00BB4E5F"/>
    <w:rsid w:val="00BB5752"/>
    <w:rsid w:val="00BB6465"/>
    <w:rsid w:val="00BB6541"/>
    <w:rsid w:val="00BC0024"/>
    <w:rsid w:val="00BC06D2"/>
    <w:rsid w:val="00BC0C41"/>
    <w:rsid w:val="00BC2F72"/>
    <w:rsid w:val="00BC3BE0"/>
    <w:rsid w:val="00BC640A"/>
    <w:rsid w:val="00BC6E30"/>
    <w:rsid w:val="00BC6F8B"/>
    <w:rsid w:val="00BC6FA0"/>
    <w:rsid w:val="00BC7847"/>
    <w:rsid w:val="00BC7A60"/>
    <w:rsid w:val="00BD0233"/>
    <w:rsid w:val="00BD0600"/>
    <w:rsid w:val="00BD211C"/>
    <w:rsid w:val="00BD2703"/>
    <w:rsid w:val="00BD2CA9"/>
    <w:rsid w:val="00BD35F8"/>
    <w:rsid w:val="00BD3A67"/>
    <w:rsid w:val="00BD637F"/>
    <w:rsid w:val="00BD6FFE"/>
    <w:rsid w:val="00BD7C43"/>
    <w:rsid w:val="00BE0816"/>
    <w:rsid w:val="00BE0E90"/>
    <w:rsid w:val="00BE18A3"/>
    <w:rsid w:val="00BE2331"/>
    <w:rsid w:val="00BE2E31"/>
    <w:rsid w:val="00BE3D22"/>
    <w:rsid w:val="00BE4944"/>
    <w:rsid w:val="00BF19C4"/>
    <w:rsid w:val="00BF2B65"/>
    <w:rsid w:val="00BF3978"/>
    <w:rsid w:val="00BF3ECC"/>
    <w:rsid w:val="00BF4CFF"/>
    <w:rsid w:val="00BF553E"/>
    <w:rsid w:val="00BF5B0F"/>
    <w:rsid w:val="00BF6339"/>
    <w:rsid w:val="00BF6BE8"/>
    <w:rsid w:val="00BF726A"/>
    <w:rsid w:val="00BF7441"/>
    <w:rsid w:val="00BF7B2E"/>
    <w:rsid w:val="00BF7C43"/>
    <w:rsid w:val="00BF7DA9"/>
    <w:rsid w:val="00C006F4"/>
    <w:rsid w:val="00C00AE6"/>
    <w:rsid w:val="00C00C3E"/>
    <w:rsid w:val="00C01408"/>
    <w:rsid w:val="00C01E87"/>
    <w:rsid w:val="00C01E96"/>
    <w:rsid w:val="00C01ED4"/>
    <w:rsid w:val="00C026E6"/>
    <w:rsid w:val="00C03863"/>
    <w:rsid w:val="00C0444F"/>
    <w:rsid w:val="00C04D84"/>
    <w:rsid w:val="00C0782E"/>
    <w:rsid w:val="00C10769"/>
    <w:rsid w:val="00C107A2"/>
    <w:rsid w:val="00C10A6D"/>
    <w:rsid w:val="00C11329"/>
    <w:rsid w:val="00C13C6A"/>
    <w:rsid w:val="00C14522"/>
    <w:rsid w:val="00C14AAC"/>
    <w:rsid w:val="00C14AC7"/>
    <w:rsid w:val="00C14C24"/>
    <w:rsid w:val="00C15F24"/>
    <w:rsid w:val="00C16144"/>
    <w:rsid w:val="00C165C0"/>
    <w:rsid w:val="00C207E1"/>
    <w:rsid w:val="00C208BE"/>
    <w:rsid w:val="00C20FB6"/>
    <w:rsid w:val="00C2112C"/>
    <w:rsid w:val="00C228AE"/>
    <w:rsid w:val="00C245AB"/>
    <w:rsid w:val="00C24FC6"/>
    <w:rsid w:val="00C25081"/>
    <w:rsid w:val="00C250F3"/>
    <w:rsid w:val="00C25E57"/>
    <w:rsid w:val="00C30C93"/>
    <w:rsid w:val="00C30D11"/>
    <w:rsid w:val="00C3228C"/>
    <w:rsid w:val="00C33F2E"/>
    <w:rsid w:val="00C33F49"/>
    <w:rsid w:val="00C34765"/>
    <w:rsid w:val="00C347E6"/>
    <w:rsid w:val="00C34D4D"/>
    <w:rsid w:val="00C35268"/>
    <w:rsid w:val="00C352E2"/>
    <w:rsid w:val="00C36283"/>
    <w:rsid w:val="00C374ED"/>
    <w:rsid w:val="00C375ED"/>
    <w:rsid w:val="00C37724"/>
    <w:rsid w:val="00C37B01"/>
    <w:rsid w:val="00C37DD1"/>
    <w:rsid w:val="00C402B2"/>
    <w:rsid w:val="00C40830"/>
    <w:rsid w:val="00C40A0C"/>
    <w:rsid w:val="00C41595"/>
    <w:rsid w:val="00C42FC0"/>
    <w:rsid w:val="00C43E5C"/>
    <w:rsid w:val="00C44026"/>
    <w:rsid w:val="00C44856"/>
    <w:rsid w:val="00C45779"/>
    <w:rsid w:val="00C46097"/>
    <w:rsid w:val="00C47EF7"/>
    <w:rsid w:val="00C52575"/>
    <w:rsid w:val="00C52AA0"/>
    <w:rsid w:val="00C52D03"/>
    <w:rsid w:val="00C53493"/>
    <w:rsid w:val="00C5366B"/>
    <w:rsid w:val="00C53938"/>
    <w:rsid w:val="00C55714"/>
    <w:rsid w:val="00C571B5"/>
    <w:rsid w:val="00C57277"/>
    <w:rsid w:val="00C57E5C"/>
    <w:rsid w:val="00C60D5D"/>
    <w:rsid w:val="00C61108"/>
    <w:rsid w:val="00C6142A"/>
    <w:rsid w:val="00C6373F"/>
    <w:rsid w:val="00C63D0C"/>
    <w:rsid w:val="00C640ED"/>
    <w:rsid w:val="00C641FD"/>
    <w:rsid w:val="00C644AA"/>
    <w:rsid w:val="00C64D18"/>
    <w:rsid w:val="00C651DF"/>
    <w:rsid w:val="00C65E13"/>
    <w:rsid w:val="00C67859"/>
    <w:rsid w:val="00C67F35"/>
    <w:rsid w:val="00C67F6C"/>
    <w:rsid w:val="00C71113"/>
    <w:rsid w:val="00C714AA"/>
    <w:rsid w:val="00C71A10"/>
    <w:rsid w:val="00C7566B"/>
    <w:rsid w:val="00C76379"/>
    <w:rsid w:val="00C765AF"/>
    <w:rsid w:val="00C76B28"/>
    <w:rsid w:val="00C76FA4"/>
    <w:rsid w:val="00C814D4"/>
    <w:rsid w:val="00C82B8E"/>
    <w:rsid w:val="00C84193"/>
    <w:rsid w:val="00C86EA2"/>
    <w:rsid w:val="00C872E7"/>
    <w:rsid w:val="00C904B2"/>
    <w:rsid w:val="00C90A00"/>
    <w:rsid w:val="00C914F3"/>
    <w:rsid w:val="00C91750"/>
    <w:rsid w:val="00C931DE"/>
    <w:rsid w:val="00C93253"/>
    <w:rsid w:val="00C943D5"/>
    <w:rsid w:val="00C947F6"/>
    <w:rsid w:val="00C94A6B"/>
    <w:rsid w:val="00C9594E"/>
    <w:rsid w:val="00C96D31"/>
    <w:rsid w:val="00CA1064"/>
    <w:rsid w:val="00CA1111"/>
    <w:rsid w:val="00CA21BE"/>
    <w:rsid w:val="00CA32D5"/>
    <w:rsid w:val="00CA345F"/>
    <w:rsid w:val="00CA3503"/>
    <w:rsid w:val="00CA3BF9"/>
    <w:rsid w:val="00CA3DFE"/>
    <w:rsid w:val="00CA4073"/>
    <w:rsid w:val="00CA4EBB"/>
    <w:rsid w:val="00CA58B8"/>
    <w:rsid w:val="00CA594F"/>
    <w:rsid w:val="00CA7619"/>
    <w:rsid w:val="00CB02F6"/>
    <w:rsid w:val="00CB1587"/>
    <w:rsid w:val="00CB17FF"/>
    <w:rsid w:val="00CB1B3D"/>
    <w:rsid w:val="00CB5D90"/>
    <w:rsid w:val="00CB690A"/>
    <w:rsid w:val="00CC009C"/>
    <w:rsid w:val="00CC0121"/>
    <w:rsid w:val="00CC0C62"/>
    <w:rsid w:val="00CC1794"/>
    <w:rsid w:val="00CC17F9"/>
    <w:rsid w:val="00CC249A"/>
    <w:rsid w:val="00CC267B"/>
    <w:rsid w:val="00CC30B3"/>
    <w:rsid w:val="00CC312A"/>
    <w:rsid w:val="00CC4CF4"/>
    <w:rsid w:val="00CC5433"/>
    <w:rsid w:val="00CC552E"/>
    <w:rsid w:val="00CC5D2A"/>
    <w:rsid w:val="00CC5DC3"/>
    <w:rsid w:val="00CC6673"/>
    <w:rsid w:val="00CC6A9E"/>
    <w:rsid w:val="00CC6DB0"/>
    <w:rsid w:val="00CC79F6"/>
    <w:rsid w:val="00CD0103"/>
    <w:rsid w:val="00CD1792"/>
    <w:rsid w:val="00CD184D"/>
    <w:rsid w:val="00CD18CB"/>
    <w:rsid w:val="00CD1F3C"/>
    <w:rsid w:val="00CD23A0"/>
    <w:rsid w:val="00CD51A8"/>
    <w:rsid w:val="00CD7666"/>
    <w:rsid w:val="00CE3BF3"/>
    <w:rsid w:val="00CE4B6F"/>
    <w:rsid w:val="00CE4B76"/>
    <w:rsid w:val="00CE5191"/>
    <w:rsid w:val="00CE5882"/>
    <w:rsid w:val="00CE6625"/>
    <w:rsid w:val="00CE743A"/>
    <w:rsid w:val="00CF0B45"/>
    <w:rsid w:val="00CF0CAD"/>
    <w:rsid w:val="00CF13B1"/>
    <w:rsid w:val="00CF27D6"/>
    <w:rsid w:val="00CF36FA"/>
    <w:rsid w:val="00CF3709"/>
    <w:rsid w:val="00CF40D8"/>
    <w:rsid w:val="00CF4B11"/>
    <w:rsid w:val="00CF5530"/>
    <w:rsid w:val="00CF5853"/>
    <w:rsid w:val="00CF6DB8"/>
    <w:rsid w:val="00D0200E"/>
    <w:rsid w:val="00D024A3"/>
    <w:rsid w:val="00D0435D"/>
    <w:rsid w:val="00D04467"/>
    <w:rsid w:val="00D05CEC"/>
    <w:rsid w:val="00D05D2F"/>
    <w:rsid w:val="00D062E3"/>
    <w:rsid w:val="00D079B6"/>
    <w:rsid w:val="00D108D9"/>
    <w:rsid w:val="00D10DE9"/>
    <w:rsid w:val="00D11531"/>
    <w:rsid w:val="00D1316E"/>
    <w:rsid w:val="00D13B6F"/>
    <w:rsid w:val="00D13EDA"/>
    <w:rsid w:val="00D143D5"/>
    <w:rsid w:val="00D15AC8"/>
    <w:rsid w:val="00D16AC6"/>
    <w:rsid w:val="00D171D4"/>
    <w:rsid w:val="00D178E0"/>
    <w:rsid w:val="00D20290"/>
    <w:rsid w:val="00D206B5"/>
    <w:rsid w:val="00D222CC"/>
    <w:rsid w:val="00D222F2"/>
    <w:rsid w:val="00D23119"/>
    <w:rsid w:val="00D2351A"/>
    <w:rsid w:val="00D24C11"/>
    <w:rsid w:val="00D25A10"/>
    <w:rsid w:val="00D25AC8"/>
    <w:rsid w:val="00D26C30"/>
    <w:rsid w:val="00D26FB0"/>
    <w:rsid w:val="00D270E7"/>
    <w:rsid w:val="00D27915"/>
    <w:rsid w:val="00D313AE"/>
    <w:rsid w:val="00D329EC"/>
    <w:rsid w:val="00D33907"/>
    <w:rsid w:val="00D33CAC"/>
    <w:rsid w:val="00D33DE0"/>
    <w:rsid w:val="00D3498A"/>
    <w:rsid w:val="00D34E61"/>
    <w:rsid w:val="00D361E8"/>
    <w:rsid w:val="00D36AB2"/>
    <w:rsid w:val="00D37511"/>
    <w:rsid w:val="00D379F4"/>
    <w:rsid w:val="00D37ABC"/>
    <w:rsid w:val="00D40268"/>
    <w:rsid w:val="00D40A34"/>
    <w:rsid w:val="00D40E94"/>
    <w:rsid w:val="00D413DB"/>
    <w:rsid w:val="00D41C55"/>
    <w:rsid w:val="00D426E4"/>
    <w:rsid w:val="00D4382D"/>
    <w:rsid w:val="00D44AC2"/>
    <w:rsid w:val="00D45F09"/>
    <w:rsid w:val="00D47528"/>
    <w:rsid w:val="00D479D4"/>
    <w:rsid w:val="00D47D51"/>
    <w:rsid w:val="00D50C49"/>
    <w:rsid w:val="00D50E21"/>
    <w:rsid w:val="00D51150"/>
    <w:rsid w:val="00D51723"/>
    <w:rsid w:val="00D51FED"/>
    <w:rsid w:val="00D53690"/>
    <w:rsid w:val="00D5472F"/>
    <w:rsid w:val="00D54838"/>
    <w:rsid w:val="00D5485D"/>
    <w:rsid w:val="00D55D64"/>
    <w:rsid w:val="00D5691E"/>
    <w:rsid w:val="00D57657"/>
    <w:rsid w:val="00D57BC8"/>
    <w:rsid w:val="00D60394"/>
    <w:rsid w:val="00D61095"/>
    <w:rsid w:val="00D61AB1"/>
    <w:rsid w:val="00D63B92"/>
    <w:rsid w:val="00D65061"/>
    <w:rsid w:val="00D6606F"/>
    <w:rsid w:val="00D662F1"/>
    <w:rsid w:val="00D667BB"/>
    <w:rsid w:val="00D6685E"/>
    <w:rsid w:val="00D66935"/>
    <w:rsid w:val="00D66F32"/>
    <w:rsid w:val="00D67595"/>
    <w:rsid w:val="00D67753"/>
    <w:rsid w:val="00D677D0"/>
    <w:rsid w:val="00D67E78"/>
    <w:rsid w:val="00D67F4B"/>
    <w:rsid w:val="00D707C8"/>
    <w:rsid w:val="00D70871"/>
    <w:rsid w:val="00D718FF"/>
    <w:rsid w:val="00D7250A"/>
    <w:rsid w:val="00D73AAC"/>
    <w:rsid w:val="00D73CD1"/>
    <w:rsid w:val="00D73E05"/>
    <w:rsid w:val="00D7476C"/>
    <w:rsid w:val="00D74944"/>
    <w:rsid w:val="00D74ACD"/>
    <w:rsid w:val="00D754B8"/>
    <w:rsid w:val="00D7596E"/>
    <w:rsid w:val="00D776EB"/>
    <w:rsid w:val="00D80179"/>
    <w:rsid w:val="00D801E3"/>
    <w:rsid w:val="00D805A4"/>
    <w:rsid w:val="00D80E5F"/>
    <w:rsid w:val="00D80F5D"/>
    <w:rsid w:val="00D8237C"/>
    <w:rsid w:val="00D826EC"/>
    <w:rsid w:val="00D83E27"/>
    <w:rsid w:val="00D8418A"/>
    <w:rsid w:val="00D8466E"/>
    <w:rsid w:val="00D847F4"/>
    <w:rsid w:val="00D84B5E"/>
    <w:rsid w:val="00D8712F"/>
    <w:rsid w:val="00D90BCE"/>
    <w:rsid w:val="00D92149"/>
    <w:rsid w:val="00D92277"/>
    <w:rsid w:val="00D92582"/>
    <w:rsid w:val="00D92956"/>
    <w:rsid w:val="00D96407"/>
    <w:rsid w:val="00D96601"/>
    <w:rsid w:val="00D97B65"/>
    <w:rsid w:val="00DA0626"/>
    <w:rsid w:val="00DA1735"/>
    <w:rsid w:val="00DA18AD"/>
    <w:rsid w:val="00DA2244"/>
    <w:rsid w:val="00DA3A72"/>
    <w:rsid w:val="00DA51F0"/>
    <w:rsid w:val="00DA59D0"/>
    <w:rsid w:val="00DA5E17"/>
    <w:rsid w:val="00DA7E9A"/>
    <w:rsid w:val="00DB0C88"/>
    <w:rsid w:val="00DB0D8C"/>
    <w:rsid w:val="00DB13BA"/>
    <w:rsid w:val="00DB1534"/>
    <w:rsid w:val="00DB1621"/>
    <w:rsid w:val="00DB4A95"/>
    <w:rsid w:val="00DB5DEB"/>
    <w:rsid w:val="00DB6AF0"/>
    <w:rsid w:val="00DB7F56"/>
    <w:rsid w:val="00DC11D8"/>
    <w:rsid w:val="00DC1356"/>
    <w:rsid w:val="00DC13B9"/>
    <w:rsid w:val="00DC1887"/>
    <w:rsid w:val="00DC19E8"/>
    <w:rsid w:val="00DC32F0"/>
    <w:rsid w:val="00DC3C55"/>
    <w:rsid w:val="00DC441E"/>
    <w:rsid w:val="00DC4C56"/>
    <w:rsid w:val="00DC682D"/>
    <w:rsid w:val="00DC6BDB"/>
    <w:rsid w:val="00DC7274"/>
    <w:rsid w:val="00DC749F"/>
    <w:rsid w:val="00DC7BC1"/>
    <w:rsid w:val="00DD0ECE"/>
    <w:rsid w:val="00DD13D2"/>
    <w:rsid w:val="00DD15A4"/>
    <w:rsid w:val="00DD1795"/>
    <w:rsid w:val="00DD19B5"/>
    <w:rsid w:val="00DD19C4"/>
    <w:rsid w:val="00DD2461"/>
    <w:rsid w:val="00DD24C1"/>
    <w:rsid w:val="00DD2CF8"/>
    <w:rsid w:val="00DD3158"/>
    <w:rsid w:val="00DD4158"/>
    <w:rsid w:val="00DD4999"/>
    <w:rsid w:val="00DD49BA"/>
    <w:rsid w:val="00DD55F5"/>
    <w:rsid w:val="00DD5695"/>
    <w:rsid w:val="00DD6422"/>
    <w:rsid w:val="00DD651B"/>
    <w:rsid w:val="00DD6E97"/>
    <w:rsid w:val="00DD72A0"/>
    <w:rsid w:val="00DD77C5"/>
    <w:rsid w:val="00DE1F51"/>
    <w:rsid w:val="00DE23FD"/>
    <w:rsid w:val="00DE3764"/>
    <w:rsid w:val="00DE4BFC"/>
    <w:rsid w:val="00DE5B25"/>
    <w:rsid w:val="00DE6371"/>
    <w:rsid w:val="00DE6795"/>
    <w:rsid w:val="00DE680D"/>
    <w:rsid w:val="00DE73B0"/>
    <w:rsid w:val="00DE7B22"/>
    <w:rsid w:val="00DF0F10"/>
    <w:rsid w:val="00DF1501"/>
    <w:rsid w:val="00DF16BF"/>
    <w:rsid w:val="00DF195B"/>
    <w:rsid w:val="00DF2215"/>
    <w:rsid w:val="00DF4424"/>
    <w:rsid w:val="00DF63E5"/>
    <w:rsid w:val="00DF7504"/>
    <w:rsid w:val="00DF7FFB"/>
    <w:rsid w:val="00E008BA"/>
    <w:rsid w:val="00E00BEC"/>
    <w:rsid w:val="00E012DA"/>
    <w:rsid w:val="00E0135F"/>
    <w:rsid w:val="00E02956"/>
    <w:rsid w:val="00E0365F"/>
    <w:rsid w:val="00E03682"/>
    <w:rsid w:val="00E047DA"/>
    <w:rsid w:val="00E04BE1"/>
    <w:rsid w:val="00E04DD7"/>
    <w:rsid w:val="00E05100"/>
    <w:rsid w:val="00E05E1C"/>
    <w:rsid w:val="00E1062A"/>
    <w:rsid w:val="00E10A1E"/>
    <w:rsid w:val="00E10FA5"/>
    <w:rsid w:val="00E11175"/>
    <w:rsid w:val="00E114E8"/>
    <w:rsid w:val="00E11844"/>
    <w:rsid w:val="00E136EA"/>
    <w:rsid w:val="00E14704"/>
    <w:rsid w:val="00E1490F"/>
    <w:rsid w:val="00E15100"/>
    <w:rsid w:val="00E15815"/>
    <w:rsid w:val="00E15F82"/>
    <w:rsid w:val="00E16148"/>
    <w:rsid w:val="00E16401"/>
    <w:rsid w:val="00E16838"/>
    <w:rsid w:val="00E16B6E"/>
    <w:rsid w:val="00E204BE"/>
    <w:rsid w:val="00E231D1"/>
    <w:rsid w:val="00E2408A"/>
    <w:rsid w:val="00E24331"/>
    <w:rsid w:val="00E24736"/>
    <w:rsid w:val="00E24835"/>
    <w:rsid w:val="00E252E1"/>
    <w:rsid w:val="00E2595B"/>
    <w:rsid w:val="00E25DCB"/>
    <w:rsid w:val="00E26978"/>
    <w:rsid w:val="00E26A00"/>
    <w:rsid w:val="00E273D3"/>
    <w:rsid w:val="00E30009"/>
    <w:rsid w:val="00E30C2C"/>
    <w:rsid w:val="00E31693"/>
    <w:rsid w:val="00E31A2F"/>
    <w:rsid w:val="00E33DF8"/>
    <w:rsid w:val="00E3423C"/>
    <w:rsid w:val="00E34DBD"/>
    <w:rsid w:val="00E3578D"/>
    <w:rsid w:val="00E36689"/>
    <w:rsid w:val="00E40242"/>
    <w:rsid w:val="00E40AD3"/>
    <w:rsid w:val="00E437C5"/>
    <w:rsid w:val="00E44332"/>
    <w:rsid w:val="00E4681C"/>
    <w:rsid w:val="00E473A7"/>
    <w:rsid w:val="00E50190"/>
    <w:rsid w:val="00E50AEF"/>
    <w:rsid w:val="00E5116B"/>
    <w:rsid w:val="00E53D49"/>
    <w:rsid w:val="00E554FA"/>
    <w:rsid w:val="00E559E9"/>
    <w:rsid w:val="00E56640"/>
    <w:rsid w:val="00E6057E"/>
    <w:rsid w:val="00E61067"/>
    <w:rsid w:val="00E61653"/>
    <w:rsid w:val="00E61A6C"/>
    <w:rsid w:val="00E622E2"/>
    <w:rsid w:val="00E62364"/>
    <w:rsid w:val="00E64465"/>
    <w:rsid w:val="00E659D2"/>
    <w:rsid w:val="00E66EE9"/>
    <w:rsid w:val="00E67332"/>
    <w:rsid w:val="00E673BF"/>
    <w:rsid w:val="00E72154"/>
    <w:rsid w:val="00E72B4C"/>
    <w:rsid w:val="00E74740"/>
    <w:rsid w:val="00E75007"/>
    <w:rsid w:val="00E75217"/>
    <w:rsid w:val="00E75366"/>
    <w:rsid w:val="00E76ADC"/>
    <w:rsid w:val="00E77304"/>
    <w:rsid w:val="00E8008D"/>
    <w:rsid w:val="00E802B6"/>
    <w:rsid w:val="00E80A20"/>
    <w:rsid w:val="00E80AD5"/>
    <w:rsid w:val="00E81873"/>
    <w:rsid w:val="00E82700"/>
    <w:rsid w:val="00E83DB6"/>
    <w:rsid w:val="00E840F5"/>
    <w:rsid w:val="00E84972"/>
    <w:rsid w:val="00E84D60"/>
    <w:rsid w:val="00E84E78"/>
    <w:rsid w:val="00E85BBD"/>
    <w:rsid w:val="00E8613A"/>
    <w:rsid w:val="00E86E5B"/>
    <w:rsid w:val="00E90478"/>
    <w:rsid w:val="00E93788"/>
    <w:rsid w:val="00E93824"/>
    <w:rsid w:val="00E9394A"/>
    <w:rsid w:val="00E94005"/>
    <w:rsid w:val="00E95057"/>
    <w:rsid w:val="00E9522C"/>
    <w:rsid w:val="00E9563E"/>
    <w:rsid w:val="00E961D6"/>
    <w:rsid w:val="00E96885"/>
    <w:rsid w:val="00E96CC0"/>
    <w:rsid w:val="00E96DBF"/>
    <w:rsid w:val="00E97F4D"/>
    <w:rsid w:val="00EA120C"/>
    <w:rsid w:val="00EA2D3C"/>
    <w:rsid w:val="00EA3AA7"/>
    <w:rsid w:val="00EA4295"/>
    <w:rsid w:val="00EA4EE6"/>
    <w:rsid w:val="00EA718E"/>
    <w:rsid w:val="00EA7A21"/>
    <w:rsid w:val="00EA7DCA"/>
    <w:rsid w:val="00EA7F0C"/>
    <w:rsid w:val="00EB0D93"/>
    <w:rsid w:val="00EB14C5"/>
    <w:rsid w:val="00EB3840"/>
    <w:rsid w:val="00EB3D29"/>
    <w:rsid w:val="00EB4C67"/>
    <w:rsid w:val="00EB57EE"/>
    <w:rsid w:val="00EB66EC"/>
    <w:rsid w:val="00EB749B"/>
    <w:rsid w:val="00EB7779"/>
    <w:rsid w:val="00EB7BEE"/>
    <w:rsid w:val="00EB7FD7"/>
    <w:rsid w:val="00EC15C5"/>
    <w:rsid w:val="00EC1CF9"/>
    <w:rsid w:val="00EC4D16"/>
    <w:rsid w:val="00EC4F25"/>
    <w:rsid w:val="00EC5317"/>
    <w:rsid w:val="00EC5619"/>
    <w:rsid w:val="00EC7786"/>
    <w:rsid w:val="00EC7FE1"/>
    <w:rsid w:val="00ED0CDB"/>
    <w:rsid w:val="00ED1EB7"/>
    <w:rsid w:val="00ED1F19"/>
    <w:rsid w:val="00ED1F5B"/>
    <w:rsid w:val="00ED225F"/>
    <w:rsid w:val="00ED3456"/>
    <w:rsid w:val="00ED3FCD"/>
    <w:rsid w:val="00ED48F9"/>
    <w:rsid w:val="00ED6721"/>
    <w:rsid w:val="00ED677B"/>
    <w:rsid w:val="00ED6F14"/>
    <w:rsid w:val="00ED758A"/>
    <w:rsid w:val="00ED7673"/>
    <w:rsid w:val="00EE01E0"/>
    <w:rsid w:val="00EE14E6"/>
    <w:rsid w:val="00EE19AA"/>
    <w:rsid w:val="00EE1F24"/>
    <w:rsid w:val="00EE2370"/>
    <w:rsid w:val="00EE2664"/>
    <w:rsid w:val="00EE296D"/>
    <w:rsid w:val="00EE356C"/>
    <w:rsid w:val="00EE4CBE"/>
    <w:rsid w:val="00EE55A7"/>
    <w:rsid w:val="00EE635D"/>
    <w:rsid w:val="00EE67BB"/>
    <w:rsid w:val="00EE6DDB"/>
    <w:rsid w:val="00EE7ED0"/>
    <w:rsid w:val="00EF15F4"/>
    <w:rsid w:val="00EF18EE"/>
    <w:rsid w:val="00EF20AB"/>
    <w:rsid w:val="00EF21D4"/>
    <w:rsid w:val="00EF47DF"/>
    <w:rsid w:val="00EF5964"/>
    <w:rsid w:val="00EF5D88"/>
    <w:rsid w:val="00EF6650"/>
    <w:rsid w:val="00EF6872"/>
    <w:rsid w:val="00EF7200"/>
    <w:rsid w:val="00EF7C10"/>
    <w:rsid w:val="00EF7F9A"/>
    <w:rsid w:val="00F00CD2"/>
    <w:rsid w:val="00F0148E"/>
    <w:rsid w:val="00F02317"/>
    <w:rsid w:val="00F025A6"/>
    <w:rsid w:val="00F02E75"/>
    <w:rsid w:val="00F03831"/>
    <w:rsid w:val="00F04285"/>
    <w:rsid w:val="00F04402"/>
    <w:rsid w:val="00F047C9"/>
    <w:rsid w:val="00F06184"/>
    <w:rsid w:val="00F06263"/>
    <w:rsid w:val="00F065E4"/>
    <w:rsid w:val="00F06702"/>
    <w:rsid w:val="00F0719B"/>
    <w:rsid w:val="00F07A95"/>
    <w:rsid w:val="00F07F78"/>
    <w:rsid w:val="00F11A70"/>
    <w:rsid w:val="00F121D8"/>
    <w:rsid w:val="00F121DC"/>
    <w:rsid w:val="00F130B0"/>
    <w:rsid w:val="00F134A6"/>
    <w:rsid w:val="00F13A87"/>
    <w:rsid w:val="00F14ABB"/>
    <w:rsid w:val="00F14DDD"/>
    <w:rsid w:val="00F15EE4"/>
    <w:rsid w:val="00F162D0"/>
    <w:rsid w:val="00F16FDB"/>
    <w:rsid w:val="00F17507"/>
    <w:rsid w:val="00F179AB"/>
    <w:rsid w:val="00F201CB"/>
    <w:rsid w:val="00F20975"/>
    <w:rsid w:val="00F22BCC"/>
    <w:rsid w:val="00F22CAE"/>
    <w:rsid w:val="00F22F48"/>
    <w:rsid w:val="00F241BF"/>
    <w:rsid w:val="00F243FE"/>
    <w:rsid w:val="00F24E36"/>
    <w:rsid w:val="00F258CC"/>
    <w:rsid w:val="00F26DAE"/>
    <w:rsid w:val="00F3066C"/>
    <w:rsid w:val="00F3154B"/>
    <w:rsid w:val="00F318B9"/>
    <w:rsid w:val="00F31985"/>
    <w:rsid w:val="00F319D4"/>
    <w:rsid w:val="00F31F9E"/>
    <w:rsid w:val="00F32B5A"/>
    <w:rsid w:val="00F36835"/>
    <w:rsid w:val="00F37360"/>
    <w:rsid w:val="00F378CE"/>
    <w:rsid w:val="00F4127A"/>
    <w:rsid w:val="00F42C87"/>
    <w:rsid w:val="00F43E7B"/>
    <w:rsid w:val="00F4551C"/>
    <w:rsid w:val="00F464F8"/>
    <w:rsid w:val="00F475DD"/>
    <w:rsid w:val="00F47794"/>
    <w:rsid w:val="00F50EFC"/>
    <w:rsid w:val="00F527AF"/>
    <w:rsid w:val="00F539CA"/>
    <w:rsid w:val="00F53C4D"/>
    <w:rsid w:val="00F53FAD"/>
    <w:rsid w:val="00F54B7F"/>
    <w:rsid w:val="00F55B6C"/>
    <w:rsid w:val="00F57F80"/>
    <w:rsid w:val="00F60094"/>
    <w:rsid w:val="00F624CF"/>
    <w:rsid w:val="00F6631A"/>
    <w:rsid w:val="00F66E5F"/>
    <w:rsid w:val="00F6753B"/>
    <w:rsid w:val="00F705B0"/>
    <w:rsid w:val="00F7064A"/>
    <w:rsid w:val="00F71B79"/>
    <w:rsid w:val="00F72F7B"/>
    <w:rsid w:val="00F73047"/>
    <w:rsid w:val="00F73282"/>
    <w:rsid w:val="00F73FB6"/>
    <w:rsid w:val="00F74BD7"/>
    <w:rsid w:val="00F75398"/>
    <w:rsid w:val="00F760B0"/>
    <w:rsid w:val="00F762AF"/>
    <w:rsid w:val="00F76487"/>
    <w:rsid w:val="00F77703"/>
    <w:rsid w:val="00F81E9B"/>
    <w:rsid w:val="00F81F86"/>
    <w:rsid w:val="00F828D2"/>
    <w:rsid w:val="00F84DE8"/>
    <w:rsid w:val="00F859AF"/>
    <w:rsid w:val="00F86013"/>
    <w:rsid w:val="00F86185"/>
    <w:rsid w:val="00F86B54"/>
    <w:rsid w:val="00F875CB"/>
    <w:rsid w:val="00F904B8"/>
    <w:rsid w:val="00F90A7E"/>
    <w:rsid w:val="00F919EC"/>
    <w:rsid w:val="00F92872"/>
    <w:rsid w:val="00F9632A"/>
    <w:rsid w:val="00FA0A8D"/>
    <w:rsid w:val="00FA15A9"/>
    <w:rsid w:val="00FA17B3"/>
    <w:rsid w:val="00FA1C68"/>
    <w:rsid w:val="00FA1D1C"/>
    <w:rsid w:val="00FA2DD6"/>
    <w:rsid w:val="00FA32EE"/>
    <w:rsid w:val="00FA33D6"/>
    <w:rsid w:val="00FA3A48"/>
    <w:rsid w:val="00FA4044"/>
    <w:rsid w:val="00FA4452"/>
    <w:rsid w:val="00FA4F1B"/>
    <w:rsid w:val="00FA58AE"/>
    <w:rsid w:val="00FA6E53"/>
    <w:rsid w:val="00FA71EC"/>
    <w:rsid w:val="00FB03FB"/>
    <w:rsid w:val="00FB0A66"/>
    <w:rsid w:val="00FB0BF6"/>
    <w:rsid w:val="00FB14A8"/>
    <w:rsid w:val="00FB20BE"/>
    <w:rsid w:val="00FB27F1"/>
    <w:rsid w:val="00FB3E4E"/>
    <w:rsid w:val="00FB3F6A"/>
    <w:rsid w:val="00FB3F95"/>
    <w:rsid w:val="00FB486D"/>
    <w:rsid w:val="00FB4935"/>
    <w:rsid w:val="00FB498B"/>
    <w:rsid w:val="00FB55A4"/>
    <w:rsid w:val="00FB6F11"/>
    <w:rsid w:val="00FB72F9"/>
    <w:rsid w:val="00FB7E5F"/>
    <w:rsid w:val="00FC1123"/>
    <w:rsid w:val="00FC1C53"/>
    <w:rsid w:val="00FC2686"/>
    <w:rsid w:val="00FC30B2"/>
    <w:rsid w:val="00FC435A"/>
    <w:rsid w:val="00FC5206"/>
    <w:rsid w:val="00FC5653"/>
    <w:rsid w:val="00FC68B4"/>
    <w:rsid w:val="00FD0413"/>
    <w:rsid w:val="00FD07FA"/>
    <w:rsid w:val="00FD2F62"/>
    <w:rsid w:val="00FD364E"/>
    <w:rsid w:val="00FD4353"/>
    <w:rsid w:val="00FD4BF2"/>
    <w:rsid w:val="00FD5DBB"/>
    <w:rsid w:val="00FD6F27"/>
    <w:rsid w:val="00FD75C1"/>
    <w:rsid w:val="00FE2501"/>
    <w:rsid w:val="00FE32DD"/>
    <w:rsid w:val="00FE436B"/>
    <w:rsid w:val="00FE4759"/>
    <w:rsid w:val="00FE4BF6"/>
    <w:rsid w:val="00FE4FAC"/>
    <w:rsid w:val="00FE5B3E"/>
    <w:rsid w:val="00FE5D89"/>
    <w:rsid w:val="00FE69BC"/>
    <w:rsid w:val="00FF0182"/>
    <w:rsid w:val="00FF080C"/>
    <w:rsid w:val="00FF1E58"/>
    <w:rsid w:val="00FF2F8F"/>
    <w:rsid w:val="00FF3132"/>
    <w:rsid w:val="00FF3279"/>
    <w:rsid w:val="00FF3FF7"/>
    <w:rsid w:val="00FF547A"/>
    <w:rsid w:val="01075BCF"/>
    <w:rsid w:val="01125654"/>
    <w:rsid w:val="01486C7D"/>
    <w:rsid w:val="01D638A6"/>
    <w:rsid w:val="01DD76B2"/>
    <w:rsid w:val="021D1D4F"/>
    <w:rsid w:val="02282ACE"/>
    <w:rsid w:val="02397060"/>
    <w:rsid w:val="02517E5C"/>
    <w:rsid w:val="02535DC6"/>
    <w:rsid w:val="02755F56"/>
    <w:rsid w:val="02D426E9"/>
    <w:rsid w:val="02D82428"/>
    <w:rsid w:val="02F6463E"/>
    <w:rsid w:val="033B1CCB"/>
    <w:rsid w:val="034D4E02"/>
    <w:rsid w:val="0364747B"/>
    <w:rsid w:val="037667F9"/>
    <w:rsid w:val="0399642A"/>
    <w:rsid w:val="03AE265E"/>
    <w:rsid w:val="03BB77A1"/>
    <w:rsid w:val="041651F4"/>
    <w:rsid w:val="04171C98"/>
    <w:rsid w:val="042F41E5"/>
    <w:rsid w:val="04472782"/>
    <w:rsid w:val="044B6764"/>
    <w:rsid w:val="04BF1860"/>
    <w:rsid w:val="04E26C71"/>
    <w:rsid w:val="05022274"/>
    <w:rsid w:val="05432A2F"/>
    <w:rsid w:val="05537D58"/>
    <w:rsid w:val="055D1F0C"/>
    <w:rsid w:val="057602A4"/>
    <w:rsid w:val="05F9716B"/>
    <w:rsid w:val="060A7D56"/>
    <w:rsid w:val="061B066C"/>
    <w:rsid w:val="0641364B"/>
    <w:rsid w:val="06415722"/>
    <w:rsid w:val="06481A1D"/>
    <w:rsid w:val="064A7F66"/>
    <w:rsid w:val="06641387"/>
    <w:rsid w:val="06B35C01"/>
    <w:rsid w:val="06F84B80"/>
    <w:rsid w:val="071579E5"/>
    <w:rsid w:val="071605BF"/>
    <w:rsid w:val="072307B7"/>
    <w:rsid w:val="075176D6"/>
    <w:rsid w:val="07682593"/>
    <w:rsid w:val="077945B1"/>
    <w:rsid w:val="07B35214"/>
    <w:rsid w:val="07D8498E"/>
    <w:rsid w:val="07DE24CD"/>
    <w:rsid w:val="07EF7A11"/>
    <w:rsid w:val="07F41CF0"/>
    <w:rsid w:val="083909B7"/>
    <w:rsid w:val="08403C42"/>
    <w:rsid w:val="084376AB"/>
    <w:rsid w:val="08494B4C"/>
    <w:rsid w:val="08517AA8"/>
    <w:rsid w:val="088A61B1"/>
    <w:rsid w:val="08A1590F"/>
    <w:rsid w:val="08D35893"/>
    <w:rsid w:val="08F301FA"/>
    <w:rsid w:val="09220B38"/>
    <w:rsid w:val="092A73FE"/>
    <w:rsid w:val="093F4A8F"/>
    <w:rsid w:val="09603671"/>
    <w:rsid w:val="09635510"/>
    <w:rsid w:val="09890D0E"/>
    <w:rsid w:val="09A5514C"/>
    <w:rsid w:val="09D56F2C"/>
    <w:rsid w:val="09D92F4C"/>
    <w:rsid w:val="09E638BB"/>
    <w:rsid w:val="0A0F50C7"/>
    <w:rsid w:val="0A434869"/>
    <w:rsid w:val="0A68092A"/>
    <w:rsid w:val="0A6E1324"/>
    <w:rsid w:val="0AA618C2"/>
    <w:rsid w:val="0AFF2685"/>
    <w:rsid w:val="0B2C69E0"/>
    <w:rsid w:val="0B335CF7"/>
    <w:rsid w:val="0B3A783A"/>
    <w:rsid w:val="0B435507"/>
    <w:rsid w:val="0B500744"/>
    <w:rsid w:val="0B521368"/>
    <w:rsid w:val="0B7D5148"/>
    <w:rsid w:val="0BAA21FD"/>
    <w:rsid w:val="0BF5492D"/>
    <w:rsid w:val="0C367CEB"/>
    <w:rsid w:val="0C5F0936"/>
    <w:rsid w:val="0CB668A4"/>
    <w:rsid w:val="0CF21003"/>
    <w:rsid w:val="0D05643B"/>
    <w:rsid w:val="0D214A6D"/>
    <w:rsid w:val="0D330BC5"/>
    <w:rsid w:val="0D386EFB"/>
    <w:rsid w:val="0D572B2D"/>
    <w:rsid w:val="0D836BA1"/>
    <w:rsid w:val="0D98220E"/>
    <w:rsid w:val="0DF452EB"/>
    <w:rsid w:val="0E2F0180"/>
    <w:rsid w:val="0E422687"/>
    <w:rsid w:val="0E4C072E"/>
    <w:rsid w:val="0E9112CE"/>
    <w:rsid w:val="0EA7259B"/>
    <w:rsid w:val="0EE24651"/>
    <w:rsid w:val="0EFE43BA"/>
    <w:rsid w:val="0F063405"/>
    <w:rsid w:val="0F352373"/>
    <w:rsid w:val="0F557518"/>
    <w:rsid w:val="0F76258D"/>
    <w:rsid w:val="0FC87CEA"/>
    <w:rsid w:val="0FDC0A23"/>
    <w:rsid w:val="1004704F"/>
    <w:rsid w:val="10306EA8"/>
    <w:rsid w:val="10321A3A"/>
    <w:rsid w:val="1053703D"/>
    <w:rsid w:val="10765E24"/>
    <w:rsid w:val="10766D53"/>
    <w:rsid w:val="109F13E1"/>
    <w:rsid w:val="10DE1D59"/>
    <w:rsid w:val="11010537"/>
    <w:rsid w:val="110F305C"/>
    <w:rsid w:val="11225E59"/>
    <w:rsid w:val="11323F23"/>
    <w:rsid w:val="116C21D3"/>
    <w:rsid w:val="11867E5D"/>
    <w:rsid w:val="118C09F0"/>
    <w:rsid w:val="11C40985"/>
    <w:rsid w:val="11F55AA0"/>
    <w:rsid w:val="121603F6"/>
    <w:rsid w:val="12260CF8"/>
    <w:rsid w:val="12370E8D"/>
    <w:rsid w:val="12422718"/>
    <w:rsid w:val="12C24B67"/>
    <w:rsid w:val="13051D7C"/>
    <w:rsid w:val="13077197"/>
    <w:rsid w:val="135F0966"/>
    <w:rsid w:val="13760E68"/>
    <w:rsid w:val="13893638"/>
    <w:rsid w:val="13975576"/>
    <w:rsid w:val="13B24A88"/>
    <w:rsid w:val="13CA5182"/>
    <w:rsid w:val="13CF716E"/>
    <w:rsid w:val="13D35C6C"/>
    <w:rsid w:val="13ED7D0B"/>
    <w:rsid w:val="13EE5BD7"/>
    <w:rsid w:val="14392782"/>
    <w:rsid w:val="144E75EC"/>
    <w:rsid w:val="146F5EF0"/>
    <w:rsid w:val="147246C9"/>
    <w:rsid w:val="148476E6"/>
    <w:rsid w:val="1490670C"/>
    <w:rsid w:val="149B4090"/>
    <w:rsid w:val="14A71A37"/>
    <w:rsid w:val="14AB3CAB"/>
    <w:rsid w:val="14AC7246"/>
    <w:rsid w:val="14BD3EF3"/>
    <w:rsid w:val="14C01A4D"/>
    <w:rsid w:val="14D01A0B"/>
    <w:rsid w:val="14E770F1"/>
    <w:rsid w:val="14F343FD"/>
    <w:rsid w:val="14F665EE"/>
    <w:rsid w:val="150324EE"/>
    <w:rsid w:val="153C5DD9"/>
    <w:rsid w:val="153D1D94"/>
    <w:rsid w:val="155803D9"/>
    <w:rsid w:val="15A454DE"/>
    <w:rsid w:val="16225C7A"/>
    <w:rsid w:val="163A6938"/>
    <w:rsid w:val="16473531"/>
    <w:rsid w:val="1664769B"/>
    <w:rsid w:val="166C7C0E"/>
    <w:rsid w:val="16772F40"/>
    <w:rsid w:val="16B90124"/>
    <w:rsid w:val="16C71AAA"/>
    <w:rsid w:val="16D90EA0"/>
    <w:rsid w:val="170C0DE1"/>
    <w:rsid w:val="17605122"/>
    <w:rsid w:val="17644989"/>
    <w:rsid w:val="177E76C1"/>
    <w:rsid w:val="17D53F72"/>
    <w:rsid w:val="17E82372"/>
    <w:rsid w:val="17F47BF7"/>
    <w:rsid w:val="17FD7CB1"/>
    <w:rsid w:val="182378A4"/>
    <w:rsid w:val="18304255"/>
    <w:rsid w:val="183949A3"/>
    <w:rsid w:val="184E167A"/>
    <w:rsid w:val="18631FFF"/>
    <w:rsid w:val="188C2C79"/>
    <w:rsid w:val="18994045"/>
    <w:rsid w:val="189F40D7"/>
    <w:rsid w:val="18A715D9"/>
    <w:rsid w:val="18BD2160"/>
    <w:rsid w:val="18E463E1"/>
    <w:rsid w:val="19010DAE"/>
    <w:rsid w:val="193F3207"/>
    <w:rsid w:val="19692A71"/>
    <w:rsid w:val="19B7492C"/>
    <w:rsid w:val="19C9427E"/>
    <w:rsid w:val="19CE67D8"/>
    <w:rsid w:val="19F97CC8"/>
    <w:rsid w:val="1A576957"/>
    <w:rsid w:val="1A7C541F"/>
    <w:rsid w:val="1AB84134"/>
    <w:rsid w:val="1ABC0FC6"/>
    <w:rsid w:val="1AD51F68"/>
    <w:rsid w:val="1ADD5DE5"/>
    <w:rsid w:val="1B334C3C"/>
    <w:rsid w:val="1B7927E1"/>
    <w:rsid w:val="1B993A50"/>
    <w:rsid w:val="1BDF51EE"/>
    <w:rsid w:val="1BE87707"/>
    <w:rsid w:val="1BFB0711"/>
    <w:rsid w:val="1BFC2C46"/>
    <w:rsid w:val="1C025E88"/>
    <w:rsid w:val="1C2C344C"/>
    <w:rsid w:val="1C526A3F"/>
    <w:rsid w:val="1C5A5F01"/>
    <w:rsid w:val="1C5B6574"/>
    <w:rsid w:val="1C5F5931"/>
    <w:rsid w:val="1C6176BE"/>
    <w:rsid w:val="1C6A5225"/>
    <w:rsid w:val="1C9A471D"/>
    <w:rsid w:val="1D416F04"/>
    <w:rsid w:val="1D676015"/>
    <w:rsid w:val="1D8F3684"/>
    <w:rsid w:val="1D921C1E"/>
    <w:rsid w:val="1D9C567B"/>
    <w:rsid w:val="1DCA0A85"/>
    <w:rsid w:val="1DDC7057"/>
    <w:rsid w:val="1DDD52AD"/>
    <w:rsid w:val="1DFD1C1E"/>
    <w:rsid w:val="1DFD2EE0"/>
    <w:rsid w:val="1E0C023E"/>
    <w:rsid w:val="1E2E5711"/>
    <w:rsid w:val="1E746588"/>
    <w:rsid w:val="1E9B2F32"/>
    <w:rsid w:val="1EAB0DBC"/>
    <w:rsid w:val="1EF70D44"/>
    <w:rsid w:val="1F7513F6"/>
    <w:rsid w:val="1FA9427F"/>
    <w:rsid w:val="1FBC2C9C"/>
    <w:rsid w:val="1FC14918"/>
    <w:rsid w:val="202076CF"/>
    <w:rsid w:val="203269B6"/>
    <w:rsid w:val="206B3A09"/>
    <w:rsid w:val="20CA604C"/>
    <w:rsid w:val="210E20A1"/>
    <w:rsid w:val="213A2ADC"/>
    <w:rsid w:val="214B6943"/>
    <w:rsid w:val="217F72FA"/>
    <w:rsid w:val="21801F5D"/>
    <w:rsid w:val="218837E2"/>
    <w:rsid w:val="2191176F"/>
    <w:rsid w:val="22572CB3"/>
    <w:rsid w:val="22732647"/>
    <w:rsid w:val="2287729B"/>
    <w:rsid w:val="22C95D2C"/>
    <w:rsid w:val="22F73C11"/>
    <w:rsid w:val="234254A4"/>
    <w:rsid w:val="239F4ECB"/>
    <w:rsid w:val="23AB195B"/>
    <w:rsid w:val="23C05426"/>
    <w:rsid w:val="23F3058D"/>
    <w:rsid w:val="23F42AE7"/>
    <w:rsid w:val="243876CA"/>
    <w:rsid w:val="245B2638"/>
    <w:rsid w:val="2464432F"/>
    <w:rsid w:val="246B154C"/>
    <w:rsid w:val="247415F9"/>
    <w:rsid w:val="24972973"/>
    <w:rsid w:val="24B83EA1"/>
    <w:rsid w:val="24D130F7"/>
    <w:rsid w:val="24EC7DDA"/>
    <w:rsid w:val="25003718"/>
    <w:rsid w:val="250749B9"/>
    <w:rsid w:val="25306FF2"/>
    <w:rsid w:val="253C34BF"/>
    <w:rsid w:val="25544914"/>
    <w:rsid w:val="256C4878"/>
    <w:rsid w:val="25AC3AED"/>
    <w:rsid w:val="25D50C7D"/>
    <w:rsid w:val="25DA16B2"/>
    <w:rsid w:val="25E11C28"/>
    <w:rsid w:val="26327963"/>
    <w:rsid w:val="263D43B7"/>
    <w:rsid w:val="26481FAF"/>
    <w:rsid w:val="265B26B4"/>
    <w:rsid w:val="26632AEE"/>
    <w:rsid w:val="26B40B71"/>
    <w:rsid w:val="26B873DD"/>
    <w:rsid w:val="26C520B1"/>
    <w:rsid w:val="26CB6C26"/>
    <w:rsid w:val="26DA15D3"/>
    <w:rsid w:val="271F1EE2"/>
    <w:rsid w:val="272A4A5E"/>
    <w:rsid w:val="274030CE"/>
    <w:rsid w:val="27534C3D"/>
    <w:rsid w:val="27537FA8"/>
    <w:rsid w:val="27A0355B"/>
    <w:rsid w:val="27DD6EF4"/>
    <w:rsid w:val="280B47C0"/>
    <w:rsid w:val="281B6F79"/>
    <w:rsid w:val="2838400F"/>
    <w:rsid w:val="28397580"/>
    <w:rsid w:val="284B0CE8"/>
    <w:rsid w:val="28652CF4"/>
    <w:rsid w:val="28804B5A"/>
    <w:rsid w:val="288B4FA1"/>
    <w:rsid w:val="28C17575"/>
    <w:rsid w:val="29135452"/>
    <w:rsid w:val="2927387C"/>
    <w:rsid w:val="292D2840"/>
    <w:rsid w:val="296C57B5"/>
    <w:rsid w:val="298955F8"/>
    <w:rsid w:val="299C33C3"/>
    <w:rsid w:val="29D754D3"/>
    <w:rsid w:val="2A037BA7"/>
    <w:rsid w:val="2A287A34"/>
    <w:rsid w:val="2A351D21"/>
    <w:rsid w:val="2A8C4F56"/>
    <w:rsid w:val="2A9E1A0B"/>
    <w:rsid w:val="2A9E71D0"/>
    <w:rsid w:val="2ACB7461"/>
    <w:rsid w:val="2ACC5406"/>
    <w:rsid w:val="2ADF3164"/>
    <w:rsid w:val="2B3260B1"/>
    <w:rsid w:val="2B61330F"/>
    <w:rsid w:val="2BB16AE2"/>
    <w:rsid w:val="2BD93B38"/>
    <w:rsid w:val="2C0E47C8"/>
    <w:rsid w:val="2C506C46"/>
    <w:rsid w:val="2C527457"/>
    <w:rsid w:val="2C70715D"/>
    <w:rsid w:val="2CC07BC8"/>
    <w:rsid w:val="2CDB4B07"/>
    <w:rsid w:val="2CEC3163"/>
    <w:rsid w:val="2CF02F60"/>
    <w:rsid w:val="2D087E61"/>
    <w:rsid w:val="2D4C0361"/>
    <w:rsid w:val="2DB25743"/>
    <w:rsid w:val="2DD51F9B"/>
    <w:rsid w:val="2DE16542"/>
    <w:rsid w:val="2DE83408"/>
    <w:rsid w:val="2DF901EF"/>
    <w:rsid w:val="2E12076E"/>
    <w:rsid w:val="2E2362DA"/>
    <w:rsid w:val="2E2731FB"/>
    <w:rsid w:val="2E360A87"/>
    <w:rsid w:val="2E615CDF"/>
    <w:rsid w:val="2E9B161E"/>
    <w:rsid w:val="2EBD44D2"/>
    <w:rsid w:val="2EC40DF2"/>
    <w:rsid w:val="2ECC2323"/>
    <w:rsid w:val="2ECC584A"/>
    <w:rsid w:val="2EF4167B"/>
    <w:rsid w:val="2F0E69A5"/>
    <w:rsid w:val="2F184A75"/>
    <w:rsid w:val="2F2919D0"/>
    <w:rsid w:val="2F346939"/>
    <w:rsid w:val="2F361642"/>
    <w:rsid w:val="2F483B68"/>
    <w:rsid w:val="2F5C5CC3"/>
    <w:rsid w:val="2F606BE7"/>
    <w:rsid w:val="2F6A3317"/>
    <w:rsid w:val="2F6E21FC"/>
    <w:rsid w:val="2F7100B3"/>
    <w:rsid w:val="2F9177E3"/>
    <w:rsid w:val="2FA34F20"/>
    <w:rsid w:val="2FA572A9"/>
    <w:rsid w:val="2FD9504E"/>
    <w:rsid w:val="2FF60385"/>
    <w:rsid w:val="30084E3A"/>
    <w:rsid w:val="300B2375"/>
    <w:rsid w:val="303970BD"/>
    <w:rsid w:val="303A5719"/>
    <w:rsid w:val="303B665A"/>
    <w:rsid w:val="304C2229"/>
    <w:rsid w:val="305D0DED"/>
    <w:rsid w:val="306C592A"/>
    <w:rsid w:val="309605D0"/>
    <w:rsid w:val="30AC5CDB"/>
    <w:rsid w:val="30B968C9"/>
    <w:rsid w:val="30C71C5F"/>
    <w:rsid w:val="30F73B34"/>
    <w:rsid w:val="312071B2"/>
    <w:rsid w:val="3152120E"/>
    <w:rsid w:val="31804AE5"/>
    <w:rsid w:val="324A0306"/>
    <w:rsid w:val="3273557A"/>
    <w:rsid w:val="32745651"/>
    <w:rsid w:val="327C4DBB"/>
    <w:rsid w:val="3290127C"/>
    <w:rsid w:val="32977DFB"/>
    <w:rsid w:val="32AC41B6"/>
    <w:rsid w:val="33487374"/>
    <w:rsid w:val="3369683F"/>
    <w:rsid w:val="338411F1"/>
    <w:rsid w:val="338B0EAB"/>
    <w:rsid w:val="33A77D3F"/>
    <w:rsid w:val="33B07547"/>
    <w:rsid w:val="33B86B08"/>
    <w:rsid w:val="34155C0A"/>
    <w:rsid w:val="341B46CA"/>
    <w:rsid w:val="341B4F41"/>
    <w:rsid w:val="342507CA"/>
    <w:rsid w:val="344D10D1"/>
    <w:rsid w:val="34585454"/>
    <w:rsid w:val="345F54D2"/>
    <w:rsid w:val="346A38DB"/>
    <w:rsid w:val="347B4A7C"/>
    <w:rsid w:val="34C32D37"/>
    <w:rsid w:val="34C86F04"/>
    <w:rsid w:val="34E82FA8"/>
    <w:rsid w:val="34F43D78"/>
    <w:rsid w:val="352E1AEE"/>
    <w:rsid w:val="353A040A"/>
    <w:rsid w:val="355C65C5"/>
    <w:rsid w:val="355F41C7"/>
    <w:rsid w:val="35DF7356"/>
    <w:rsid w:val="360F36CE"/>
    <w:rsid w:val="36606FAF"/>
    <w:rsid w:val="368154CF"/>
    <w:rsid w:val="36816EE7"/>
    <w:rsid w:val="3696710D"/>
    <w:rsid w:val="36CE3589"/>
    <w:rsid w:val="36E72EAA"/>
    <w:rsid w:val="36F04D77"/>
    <w:rsid w:val="37022B95"/>
    <w:rsid w:val="37406F91"/>
    <w:rsid w:val="37A8582F"/>
    <w:rsid w:val="37B0777F"/>
    <w:rsid w:val="37C4498C"/>
    <w:rsid w:val="37C75020"/>
    <w:rsid w:val="37CC745E"/>
    <w:rsid w:val="37FC4ED3"/>
    <w:rsid w:val="38084230"/>
    <w:rsid w:val="38514471"/>
    <w:rsid w:val="3881462B"/>
    <w:rsid w:val="38A04635"/>
    <w:rsid w:val="38AA195F"/>
    <w:rsid w:val="38BC5DDB"/>
    <w:rsid w:val="38FA514D"/>
    <w:rsid w:val="39077C38"/>
    <w:rsid w:val="391E173F"/>
    <w:rsid w:val="392E1D74"/>
    <w:rsid w:val="394B39F3"/>
    <w:rsid w:val="3951617D"/>
    <w:rsid w:val="39567866"/>
    <w:rsid w:val="395C1E67"/>
    <w:rsid w:val="395F26ED"/>
    <w:rsid w:val="396D0371"/>
    <w:rsid w:val="3984249C"/>
    <w:rsid w:val="398E45A1"/>
    <w:rsid w:val="398F35D0"/>
    <w:rsid w:val="39B527DE"/>
    <w:rsid w:val="39B77EFC"/>
    <w:rsid w:val="3A0917C2"/>
    <w:rsid w:val="3A0E0140"/>
    <w:rsid w:val="3A42532C"/>
    <w:rsid w:val="3A505EFA"/>
    <w:rsid w:val="3A6F6E31"/>
    <w:rsid w:val="3A8F604D"/>
    <w:rsid w:val="3ABE44EB"/>
    <w:rsid w:val="3AEE41FA"/>
    <w:rsid w:val="3AEF1D0C"/>
    <w:rsid w:val="3AF947CF"/>
    <w:rsid w:val="3B2A3382"/>
    <w:rsid w:val="3B31154E"/>
    <w:rsid w:val="3B73702B"/>
    <w:rsid w:val="3BA40D5C"/>
    <w:rsid w:val="3BA46004"/>
    <w:rsid w:val="3BB55334"/>
    <w:rsid w:val="3BC8280D"/>
    <w:rsid w:val="3BDD601C"/>
    <w:rsid w:val="3C153562"/>
    <w:rsid w:val="3C1E04CE"/>
    <w:rsid w:val="3C291705"/>
    <w:rsid w:val="3C3105D1"/>
    <w:rsid w:val="3C3105DA"/>
    <w:rsid w:val="3C496EB6"/>
    <w:rsid w:val="3C805255"/>
    <w:rsid w:val="3CA50F71"/>
    <w:rsid w:val="3CAF36AA"/>
    <w:rsid w:val="3CF45563"/>
    <w:rsid w:val="3CF8135F"/>
    <w:rsid w:val="3CF85D37"/>
    <w:rsid w:val="3D6F5D56"/>
    <w:rsid w:val="3D995894"/>
    <w:rsid w:val="3D9B4FF8"/>
    <w:rsid w:val="3DE468FA"/>
    <w:rsid w:val="3DF1587D"/>
    <w:rsid w:val="3E1B1F2C"/>
    <w:rsid w:val="3E1C1DDC"/>
    <w:rsid w:val="3E305AFA"/>
    <w:rsid w:val="3E3068D7"/>
    <w:rsid w:val="3E407E8E"/>
    <w:rsid w:val="3E4C4CA0"/>
    <w:rsid w:val="3E640889"/>
    <w:rsid w:val="3E9C44E1"/>
    <w:rsid w:val="3EF861A9"/>
    <w:rsid w:val="3F2724B6"/>
    <w:rsid w:val="3F41712A"/>
    <w:rsid w:val="3F6F3A0E"/>
    <w:rsid w:val="3F8D5A65"/>
    <w:rsid w:val="3FAC42F5"/>
    <w:rsid w:val="3FDD1E6D"/>
    <w:rsid w:val="3FEA49B8"/>
    <w:rsid w:val="402E3A57"/>
    <w:rsid w:val="407B4B3A"/>
    <w:rsid w:val="40A05B7D"/>
    <w:rsid w:val="414A5732"/>
    <w:rsid w:val="414E7F5B"/>
    <w:rsid w:val="41522EB5"/>
    <w:rsid w:val="418543A2"/>
    <w:rsid w:val="418F5DD2"/>
    <w:rsid w:val="41924D0F"/>
    <w:rsid w:val="419B082E"/>
    <w:rsid w:val="41E4260C"/>
    <w:rsid w:val="41E573AD"/>
    <w:rsid w:val="425F2AE5"/>
    <w:rsid w:val="42982E87"/>
    <w:rsid w:val="42994958"/>
    <w:rsid w:val="42AA4D89"/>
    <w:rsid w:val="42B46AFE"/>
    <w:rsid w:val="42D135B0"/>
    <w:rsid w:val="42F77D1A"/>
    <w:rsid w:val="42FB56E1"/>
    <w:rsid w:val="43000F6E"/>
    <w:rsid w:val="43501B69"/>
    <w:rsid w:val="43850713"/>
    <w:rsid w:val="43863E28"/>
    <w:rsid w:val="43864FE1"/>
    <w:rsid w:val="439310F4"/>
    <w:rsid w:val="43970158"/>
    <w:rsid w:val="43DA2AAC"/>
    <w:rsid w:val="43FE4D82"/>
    <w:rsid w:val="44550F5C"/>
    <w:rsid w:val="44821808"/>
    <w:rsid w:val="4497145E"/>
    <w:rsid w:val="44AD5AC5"/>
    <w:rsid w:val="44DF62BB"/>
    <w:rsid w:val="44E915E3"/>
    <w:rsid w:val="44EE0350"/>
    <w:rsid w:val="450D6E7A"/>
    <w:rsid w:val="451C5E07"/>
    <w:rsid w:val="452E77FE"/>
    <w:rsid w:val="4542321E"/>
    <w:rsid w:val="456B409C"/>
    <w:rsid w:val="456B6905"/>
    <w:rsid w:val="45821FBD"/>
    <w:rsid w:val="458E51F8"/>
    <w:rsid w:val="45EC7196"/>
    <w:rsid w:val="464246DB"/>
    <w:rsid w:val="46684F0D"/>
    <w:rsid w:val="466864F2"/>
    <w:rsid w:val="46834D19"/>
    <w:rsid w:val="468C20AE"/>
    <w:rsid w:val="4691169B"/>
    <w:rsid w:val="46DC3424"/>
    <w:rsid w:val="46DE01FD"/>
    <w:rsid w:val="46E92A8E"/>
    <w:rsid w:val="46F02871"/>
    <w:rsid w:val="47004588"/>
    <w:rsid w:val="470C5E5C"/>
    <w:rsid w:val="471103F8"/>
    <w:rsid w:val="475E0DDF"/>
    <w:rsid w:val="47873D2D"/>
    <w:rsid w:val="47CA7D9C"/>
    <w:rsid w:val="47D434D9"/>
    <w:rsid w:val="47DC215E"/>
    <w:rsid w:val="481D1427"/>
    <w:rsid w:val="48366EBC"/>
    <w:rsid w:val="48584DB6"/>
    <w:rsid w:val="485D1043"/>
    <w:rsid w:val="48677888"/>
    <w:rsid w:val="48867AAB"/>
    <w:rsid w:val="48944CDC"/>
    <w:rsid w:val="489675D1"/>
    <w:rsid w:val="48974795"/>
    <w:rsid w:val="48A169EB"/>
    <w:rsid w:val="48A56114"/>
    <w:rsid w:val="48C43662"/>
    <w:rsid w:val="48DA2590"/>
    <w:rsid w:val="491237F0"/>
    <w:rsid w:val="49224B39"/>
    <w:rsid w:val="49387B02"/>
    <w:rsid w:val="49406236"/>
    <w:rsid w:val="49464848"/>
    <w:rsid w:val="49A10874"/>
    <w:rsid w:val="49A26E51"/>
    <w:rsid w:val="49A8047C"/>
    <w:rsid w:val="49A902C1"/>
    <w:rsid w:val="49FE0F8C"/>
    <w:rsid w:val="4A10240A"/>
    <w:rsid w:val="4A1D6071"/>
    <w:rsid w:val="4A232041"/>
    <w:rsid w:val="4A3B3C09"/>
    <w:rsid w:val="4A6327EB"/>
    <w:rsid w:val="4A736F9F"/>
    <w:rsid w:val="4ADA0199"/>
    <w:rsid w:val="4AEA3829"/>
    <w:rsid w:val="4B044FF3"/>
    <w:rsid w:val="4B400266"/>
    <w:rsid w:val="4B832D92"/>
    <w:rsid w:val="4B8C18FB"/>
    <w:rsid w:val="4B957717"/>
    <w:rsid w:val="4BAE17DB"/>
    <w:rsid w:val="4BB10299"/>
    <w:rsid w:val="4BB52448"/>
    <w:rsid w:val="4BC86EF9"/>
    <w:rsid w:val="4BCE1050"/>
    <w:rsid w:val="4BD15AC4"/>
    <w:rsid w:val="4BE92E51"/>
    <w:rsid w:val="4C137446"/>
    <w:rsid w:val="4C2352DB"/>
    <w:rsid w:val="4C50633F"/>
    <w:rsid w:val="4C7F4913"/>
    <w:rsid w:val="4C8D1398"/>
    <w:rsid w:val="4CBE61D2"/>
    <w:rsid w:val="4CCE5C39"/>
    <w:rsid w:val="4CD10FE2"/>
    <w:rsid w:val="4CD349CC"/>
    <w:rsid w:val="4CD431F5"/>
    <w:rsid w:val="4CFD1540"/>
    <w:rsid w:val="4D221AE1"/>
    <w:rsid w:val="4DC72B8B"/>
    <w:rsid w:val="4DCD2301"/>
    <w:rsid w:val="4DFE6C83"/>
    <w:rsid w:val="4E1111A7"/>
    <w:rsid w:val="4E2315B4"/>
    <w:rsid w:val="4E4E3612"/>
    <w:rsid w:val="4E88393A"/>
    <w:rsid w:val="4E883AF0"/>
    <w:rsid w:val="4EA211BD"/>
    <w:rsid w:val="4EF4597C"/>
    <w:rsid w:val="4F165675"/>
    <w:rsid w:val="4F50010F"/>
    <w:rsid w:val="4F647046"/>
    <w:rsid w:val="4F8A0F9E"/>
    <w:rsid w:val="4F9F665C"/>
    <w:rsid w:val="4FC94BB4"/>
    <w:rsid w:val="4FF14EC9"/>
    <w:rsid w:val="502529F1"/>
    <w:rsid w:val="50291D40"/>
    <w:rsid w:val="50646727"/>
    <w:rsid w:val="507F3C4C"/>
    <w:rsid w:val="50A36823"/>
    <w:rsid w:val="50E82CA8"/>
    <w:rsid w:val="50EA2180"/>
    <w:rsid w:val="50EA500B"/>
    <w:rsid w:val="50F814D6"/>
    <w:rsid w:val="51765F37"/>
    <w:rsid w:val="51813034"/>
    <w:rsid w:val="51A011F7"/>
    <w:rsid w:val="51E10B00"/>
    <w:rsid w:val="523803C8"/>
    <w:rsid w:val="52706961"/>
    <w:rsid w:val="527105C4"/>
    <w:rsid w:val="529B01D8"/>
    <w:rsid w:val="52A032D1"/>
    <w:rsid w:val="52E10EA1"/>
    <w:rsid w:val="52FC4B82"/>
    <w:rsid w:val="53385891"/>
    <w:rsid w:val="53873325"/>
    <w:rsid w:val="539D0113"/>
    <w:rsid w:val="53FB63A0"/>
    <w:rsid w:val="544B3EB0"/>
    <w:rsid w:val="54B934F6"/>
    <w:rsid w:val="54BD2E52"/>
    <w:rsid w:val="54FF0DFE"/>
    <w:rsid w:val="5503086A"/>
    <w:rsid w:val="550816C7"/>
    <w:rsid w:val="55674E7D"/>
    <w:rsid w:val="55874E19"/>
    <w:rsid w:val="558A1A37"/>
    <w:rsid w:val="558D716F"/>
    <w:rsid w:val="55AA03E8"/>
    <w:rsid w:val="55B368A5"/>
    <w:rsid w:val="55BA4D34"/>
    <w:rsid w:val="56094A0A"/>
    <w:rsid w:val="56215851"/>
    <w:rsid w:val="563711E6"/>
    <w:rsid w:val="56DE1351"/>
    <w:rsid w:val="56FA0D87"/>
    <w:rsid w:val="56FC6C08"/>
    <w:rsid w:val="5700502F"/>
    <w:rsid w:val="572B56E4"/>
    <w:rsid w:val="573C5E95"/>
    <w:rsid w:val="573C71F5"/>
    <w:rsid w:val="5747446E"/>
    <w:rsid w:val="574914EF"/>
    <w:rsid w:val="577A44B3"/>
    <w:rsid w:val="578F1872"/>
    <w:rsid w:val="57CB3251"/>
    <w:rsid w:val="57F47098"/>
    <w:rsid w:val="580B0EFB"/>
    <w:rsid w:val="588D5A69"/>
    <w:rsid w:val="58AA441B"/>
    <w:rsid w:val="58AB7F8B"/>
    <w:rsid w:val="58B92EDA"/>
    <w:rsid w:val="59011095"/>
    <w:rsid w:val="59065538"/>
    <w:rsid w:val="59592A0F"/>
    <w:rsid w:val="595D5032"/>
    <w:rsid w:val="59812680"/>
    <w:rsid w:val="59820A00"/>
    <w:rsid w:val="59923365"/>
    <w:rsid w:val="599A3B6B"/>
    <w:rsid w:val="59A76369"/>
    <w:rsid w:val="59AA7659"/>
    <w:rsid w:val="59AB3DF7"/>
    <w:rsid w:val="59D7465E"/>
    <w:rsid w:val="59E53268"/>
    <w:rsid w:val="59FE1A09"/>
    <w:rsid w:val="5A0A78B3"/>
    <w:rsid w:val="5A1304E7"/>
    <w:rsid w:val="5A166D9B"/>
    <w:rsid w:val="5A5055F2"/>
    <w:rsid w:val="5A6307F6"/>
    <w:rsid w:val="5A9F5A30"/>
    <w:rsid w:val="5AAF1546"/>
    <w:rsid w:val="5AB96F09"/>
    <w:rsid w:val="5ACD1339"/>
    <w:rsid w:val="5ADA6CE9"/>
    <w:rsid w:val="5AEE22F6"/>
    <w:rsid w:val="5B27237B"/>
    <w:rsid w:val="5B3277E1"/>
    <w:rsid w:val="5B363C77"/>
    <w:rsid w:val="5B4C11AD"/>
    <w:rsid w:val="5B5A66AB"/>
    <w:rsid w:val="5B5B5F86"/>
    <w:rsid w:val="5B821CFB"/>
    <w:rsid w:val="5B995664"/>
    <w:rsid w:val="5BDB25C8"/>
    <w:rsid w:val="5C08666E"/>
    <w:rsid w:val="5C1635AA"/>
    <w:rsid w:val="5C5F464B"/>
    <w:rsid w:val="5C687CED"/>
    <w:rsid w:val="5CCC1A69"/>
    <w:rsid w:val="5CE147F4"/>
    <w:rsid w:val="5CE40B61"/>
    <w:rsid w:val="5DA24FF7"/>
    <w:rsid w:val="5DB32151"/>
    <w:rsid w:val="5DE65640"/>
    <w:rsid w:val="5E1E2EBB"/>
    <w:rsid w:val="5E2479D6"/>
    <w:rsid w:val="5E293216"/>
    <w:rsid w:val="5E4C7240"/>
    <w:rsid w:val="5EAA3650"/>
    <w:rsid w:val="5EBD0AD4"/>
    <w:rsid w:val="5EDE31D9"/>
    <w:rsid w:val="5EED49F3"/>
    <w:rsid w:val="5F0647D6"/>
    <w:rsid w:val="5F4753F3"/>
    <w:rsid w:val="5F6B42B4"/>
    <w:rsid w:val="5F953C7A"/>
    <w:rsid w:val="5F9E00CD"/>
    <w:rsid w:val="5FAB1E0A"/>
    <w:rsid w:val="5FB213EA"/>
    <w:rsid w:val="5FC95D88"/>
    <w:rsid w:val="5FD52689"/>
    <w:rsid w:val="6023254D"/>
    <w:rsid w:val="60250158"/>
    <w:rsid w:val="603E67DA"/>
    <w:rsid w:val="6081177F"/>
    <w:rsid w:val="60C44EA2"/>
    <w:rsid w:val="60DB13D5"/>
    <w:rsid w:val="61204AFB"/>
    <w:rsid w:val="61230839"/>
    <w:rsid w:val="614D0012"/>
    <w:rsid w:val="61561952"/>
    <w:rsid w:val="61716E73"/>
    <w:rsid w:val="61724491"/>
    <w:rsid w:val="61850F57"/>
    <w:rsid w:val="61A11716"/>
    <w:rsid w:val="62475BA8"/>
    <w:rsid w:val="626B2AFF"/>
    <w:rsid w:val="627A5DFB"/>
    <w:rsid w:val="62BC5E59"/>
    <w:rsid w:val="62E80F92"/>
    <w:rsid w:val="62EB55CC"/>
    <w:rsid w:val="62F22528"/>
    <w:rsid w:val="63272B8E"/>
    <w:rsid w:val="633B489B"/>
    <w:rsid w:val="636E08CE"/>
    <w:rsid w:val="636F0714"/>
    <w:rsid w:val="639D18BA"/>
    <w:rsid w:val="63A33F79"/>
    <w:rsid w:val="63B16FEC"/>
    <w:rsid w:val="63B53257"/>
    <w:rsid w:val="63D97F65"/>
    <w:rsid w:val="64216408"/>
    <w:rsid w:val="64594EDC"/>
    <w:rsid w:val="64606A68"/>
    <w:rsid w:val="64730A47"/>
    <w:rsid w:val="64860F08"/>
    <w:rsid w:val="64B36E2B"/>
    <w:rsid w:val="64CD21AB"/>
    <w:rsid w:val="64D2357B"/>
    <w:rsid w:val="650A050E"/>
    <w:rsid w:val="65402FF4"/>
    <w:rsid w:val="654B041A"/>
    <w:rsid w:val="65530F79"/>
    <w:rsid w:val="6596108C"/>
    <w:rsid w:val="65BA529C"/>
    <w:rsid w:val="65C52709"/>
    <w:rsid w:val="65EC4433"/>
    <w:rsid w:val="65F42170"/>
    <w:rsid w:val="65F83E57"/>
    <w:rsid w:val="662F1923"/>
    <w:rsid w:val="662F3F80"/>
    <w:rsid w:val="66323F6B"/>
    <w:rsid w:val="665D631A"/>
    <w:rsid w:val="667016B7"/>
    <w:rsid w:val="66B63154"/>
    <w:rsid w:val="66C25B0C"/>
    <w:rsid w:val="66CB2D0D"/>
    <w:rsid w:val="66CC6EA3"/>
    <w:rsid w:val="66F71345"/>
    <w:rsid w:val="6720039A"/>
    <w:rsid w:val="673103B4"/>
    <w:rsid w:val="67E620E3"/>
    <w:rsid w:val="67EC27B5"/>
    <w:rsid w:val="68E11A48"/>
    <w:rsid w:val="690F5F74"/>
    <w:rsid w:val="697C5A9F"/>
    <w:rsid w:val="69897AB0"/>
    <w:rsid w:val="699A2F3C"/>
    <w:rsid w:val="69F91E6A"/>
    <w:rsid w:val="6A0546F8"/>
    <w:rsid w:val="6A281125"/>
    <w:rsid w:val="6A4A5BFE"/>
    <w:rsid w:val="6A647785"/>
    <w:rsid w:val="6A9E1F93"/>
    <w:rsid w:val="6AE107E3"/>
    <w:rsid w:val="6B16351C"/>
    <w:rsid w:val="6B237186"/>
    <w:rsid w:val="6B4757FD"/>
    <w:rsid w:val="6B5024D1"/>
    <w:rsid w:val="6B5544BE"/>
    <w:rsid w:val="6B673A57"/>
    <w:rsid w:val="6B703516"/>
    <w:rsid w:val="6C1F79C7"/>
    <w:rsid w:val="6C5B4C3B"/>
    <w:rsid w:val="6C68197F"/>
    <w:rsid w:val="6C964017"/>
    <w:rsid w:val="6CA95E8E"/>
    <w:rsid w:val="6CD8449D"/>
    <w:rsid w:val="6CE64FBD"/>
    <w:rsid w:val="6D52739D"/>
    <w:rsid w:val="6D7C1273"/>
    <w:rsid w:val="6D7D3711"/>
    <w:rsid w:val="6D847121"/>
    <w:rsid w:val="6DDD2C1A"/>
    <w:rsid w:val="6DE51A9A"/>
    <w:rsid w:val="6E0555FC"/>
    <w:rsid w:val="6E0978FA"/>
    <w:rsid w:val="6E1D7CE4"/>
    <w:rsid w:val="6E3073CA"/>
    <w:rsid w:val="6E335A77"/>
    <w:rsid w:val="6E3A26C1"/>
    <w:rsid w:val="6E7C64DF"/>
    <w:rsid w:val="6EA40C83"/>
    <w:rsid w:val="6EA45F0F"/>
    <w:rsid w:val="6EAF30A5"/>
    <w:rsid w:val="6EB50164"/>
    <w:rsid w:val="6ECD3F62"/>
    <w:rsid w:val="6EF84C0F"/>
    <w:rsid w:val="6EF92A6B"/>
    <w:rsid w:val="6F041EEE"/>
    <w:rsid w:val="6F5C0188"/>
    <w:rsid w:val="6FD44A65"/>
    <w:rsid w:val="6FEE6861"/>
    <w:rsid w:val="70146421"/>
    <w:rsid w:val="701D465E"/>
    <w:rsid w:val="70497D54"/>
    <w:rsid w:val="705E7B3C"/>
    <w:rsid w:val="7060454A"/>
    <w:rsid w:val="709233A6"/>
    <w:rsid w:val="70A42689"/>
    <w:rsid w:val="70BA2CE7"/>
    <w:rsid w:val="70D57A20"/>
    <w:rsid w:val="711D44A6"/>
    <w:rsid w:val="712D3679"/>
    <w:rsid w:val="71325C1A"/>
    <w:rsid w:val="71387473"/>
    <w:rsid w:val="716D4EC0"/>
    <w:rsid w:val="718801FD"/>
    <w:rsid w:val="71A00F4B"/>
    <w:rsid w:val="71B46975"/>
    <w:rsid w:val="71C32348"/>
    <w:rsid w:val="71C73400"/>
    <w:rsid w:val="71CD2C3F"/>
    <w:rsid w:val="71DE74B5"/>
    <w:rsid w:val="720517EC"/>
    <w:rsid w:val="723658EE"/>
    <w:rsid w:val="7279629F"/>
    <w:rsid w:val="72C86E8C"/>
    <w:rsid w:val="72DE56EC"/>
    <w:rsid w:val="72E30BF7"/>
    <w:rsid w:val="73050FCD"/>
    <w:rsid w:val="731678B0"/>
    <w:rsid w:val="73224E88"/>
    <w:rsid w:val="737A43CA"/>
    <w:rsid w:val="73A25E44"/>
    <w:rsid w:val="73C44E83"/>
    <w:rsid w:val="73DB7FD5"/>
    <w:rsid w:val="740C6EC3"/>
    <w:rsid w:val="74192A57"/>
    <w:rsid w:val="74291302"/>
    <w:rsid w:val="742B3FC5"/>
    <w:rsid w:val="74614E0E"/>
    <w:rsid w:val="74722A33"/>
    <w:rsid w:val="747D0B16"/>
    <w:rsid w:val="747F4E41"/>
    <w:rsid w:val="74CC7970"/>
    <w:rsid w:val="74F05B49"/>
    <w:rsid w:val="750E5B9D"/>
    <w:rsid w:val="751327F9"/>
    <w:rsid w:val="75600CBA"/>
    <w:rsid w:val="756D208F"/>
    <w:rsid w:val="757765BE"/>
    <w:rsid w:val="758229C0"/>
    <w:rsid w:val="758E26A4"/>
    <w:rsid w:val="75B039A9"/>
    <w:rsid w:val="75CB4B5C"/>
    <w:rsid w:val="76504308"/>
    <w:rsid w:val="768A574F"/>
    <w:rsid w:val="76F55C40"/>
    <w:rsid w:val="76F952B5"/>
    <w:rsid w:val="771564CE"/>
    <w:rsid w:val="77273711"/>
    <w:rsid w:val="77277B95"/>
    <w:rsid w:val="77713B72"/>
    <w:rsid w:val="77A12D3C"/>
    <w:rsid w:val="77A45665"/>
    <w:rsid w:val="77AE203F"/>
    <w:rsid w:val="77C65484"/>
    <w:rsid w:val="78311A55"/>
    <w:rsid w:val="784337E5"/>
    <w:rsid w:val="786055C7"/>
    <w:rsid w:val="786748A1"/>
    <w:rsid w:val="78A441B8"/>
    <w:rsid w:val="78A55961"/>
    <w:rsid w:val="78AA0A59"/>
    <w:rsid w:val="78C66E97"/>
    <w:rsid w:val="78DA407B"/>
    <w:rsid w:val="78ED4486"/>
    <w:rsid w:val="790F4459"/>
    <w:rsid w:val="793C27A7"/>
    <w:rsid w:val="79407785"/>
    <w:rsid w:val="796551FB"/>
    <w:rsid w:val="79797662"/>
    <w:rsid w:val="79986B03"/>
    <w:rsid w:val="79A77101"/>
    <w:rsid w:val="79B853F7"/>
    <w:rsid w:val="79CB3E3E"/>
    <w:rsid w:val="79DF2984"/>
    <w:rsid w:val="7A291E51"/>
    <w:rsid w:val="7AA76504"/>
    <w:rsid w:val="7ACD4571"/>
    <w:rsid w:val="7AD13CA9"/>
    <w:rsid w:val="7B280CDE"/>
    <w:rsid w:val="7B2965AD"/>
    <w:rsid w:val="7B3266B9"/>
    <w:rsid w:val="7B3975B3"/>
    <w:rsid w:val="7B4101AD"/>
    <w:rsid w:val="7B8340DE"/>
    <w:rsid w:val="7B8A5305"/>
    <w:rsid w:val="7B9C6AA1"/>
    <w:rsid w:val="7BA63BE5"/>
    <w:rsid w:val="7BB95208"/>
    <w:rsid w:val="7BC15F99"/>
    <w:rsid w:val="7BEA273E"/>
    <w:rsid w:val="7BEA640A"/>
    <w:rsid w:val="7C0F1BF0"/>
    <w:rsid w:val="7C3A5A70"/>
    <w:rsid w:val="7C3C2310"/>
    <w:rsid w:val="7C594C70"/>
    <w:rsid w:val="7C5D33C6"/>
    <w:rsid w:val="7CB401B2"/>
    <w:rsid w:val="7CBE6460"/>
    <w:rsid w:val="7CF026F2"/>
    <w:rsid w:val="7D222AE5"/>
    <w:rsid w:val="7D2A690E"/>
    <w:rsid w:val="7D434FAD"/>
    <w:rsid w:val="7D485404"/>
    <w:rsid w:val="7D795600"/>
    <w:rsid w:val="7D876E00"/>
    <w:rsid w:val="7DA02AF4"/>
    <w:rsid w:val="7DA43B39"/>
    <w:rsid w:val="7DB75391"/>
    <w:rsid w:val="7DD6693B"/>
    <w:rsid w:val="7DE84C60"/>
    <w:rsid w:val="7DF91B0E"/>
    <w:rsid w:val="7E05225A"/>
    <w:rsid w:val="7E094919"/>
    <w:rsid w:val="7E392747"/>
    <w:rsid w:val="7E562730"/>
    <w:rsid w:val="7E6B49F6"/>
    <w:rsid w:val="7E865EBE"/>
    <w:rsid w:val="7E8C2508"/>
    <w:rsid w:val="7ED122C0"/>
    <w:rsid w:val="7EF45EF8"/>
    <w:rsid w:val="7F0B7D77"/>
    <w:rsid w:val="7F0C421B"/>
    <w:rsid w:val="7F0D4C0A"/>
    <w:rsid w:val="7F1D68E0"/>
    <w:rsid w:val="7F695CCD"/>
    <w:rsid w:val="7F827F34"/>
    <w:rsid w:val="7FCE327F"/>
    <w:rsid w:val="7FDF1BD2"/>
    <w:rsid w:val="7FF330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8"/>
    <w:autoRedefine/>
    <w:qFormat/>
    <w:uiPriority w:val="0"/>
    <w:pPr>
      <w:keepNext/>
      <w:outlineLvl w:val="0"/>
    </w:pPr>
    <w:rPr>
      <w:rFonts w:ascii="宋体"/>
      <w:sz w:val="28"/>
    </w:rPr>
  </w:style>
  <w:style w:type="paragraph" w:styleId="2">
    <w:name w:val="heading 2"/>
    <w:basedOn w:val="1"/>
    <w:next w:val="1"/>
    <w:link w:val="52"/>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3" w:lineRule="auto"/>
      <w:outlineLvl w:val="2"/>
    </w:pPr>
    <w:rPr>
      <w:b/>
      <w:bCs/>
      <w:sz w:val="32"/>
      <w:szCs w:val="32"/>
    </w:rPr>
  </w:style>
  <w:style w:type="paragraph" w:styleId="5">
    <w:name w:val="heading 4"/>
    <w:basedOn w:val="1"/>
    <w:next w:val="1"/>
    <w:autoRedefine/>
    <w:qFormat/>
    <w:uiPriority w:val="9"/>
    <w:pPr>
      <w:keepNext/>
      <w:keepLines/>
      <w:spacing w:before="280" w:after="290" w:line="376" w:lineRule="auto"/>
      <w:outlineLvl w:val="3"/>
    </w:pPr>
    <w:rPr>
      <w:rFonts w:ascii="Cambria" w:hAnsi="Cambria"/>
      <w:b/>
      <w:bCs/>
      <w:sz w:val="28"/>
      <w:szCs w:val="28"/>
    </w:rPr>
  </w:style>
  <w:style w:type="paragraph" w:styleId="6">
    <w:name w:val="heading 5"/>
    <w:basedOn w:val="1"/>
    <w:next w:val="1"/>
    <w:autoRedefine/>
    <w:unhideWhenUsed/>
    <w:qFormat/>
    <w:uiPriority w:val="0"/>
    <w:pPr>
      <w:ind w:left="380"/>
      <w:outlineLvl w:val="4"/>
    </w:pPr>
    <w:rPr>
      <w:rFonts w:ascii="仿宋" w:hAnsi="仿宋" w:eastAsia="仿宋" w:cs="仿宋"/>
      <w:b/>
      <w:bCs/>
      <w:sz w:val="24"/>
      <w:szCs w:val="24"/>
      <w:lang w:val="zh-CN" w:bidi="zh-CN"/>
    </w:rPr>
  </w:style>
  <w:style w:type="character" w:default="1" w:styleId="46">
    <w:name w:val="Default Paragraph Font"/>
    <w:autoRedefine/>
    <w:unhideWhenUsed/>
    <w:qFormat/>
    <w:uiPriority w:val="1"/>
  </w:style>
  <w:style w:type="table" w:default="1" w:styleId="44">
    <w:name w:val="Normal Table"/>
    <w:autoRedefine/>
    <w:unhideWhenUsed/>
    <w:qFormat/>
    <w:uiPriority w:val="99"/>
    <w:tblPr>
      <w:tblCellMar>
        <w:top w:w="0" w:type="dxa"/>
        <w:left w:w="108" w:type="dxa"/>
        <w:bottom w:w="0" w:type="dxa"/>
        <w:right w:w="108" w:type="dxa"/>
      </w:tblCellMar>
    </w:tblPr>
  </w:style>
  <w:style w:type="paragraph" w:styleId="7">
    <w:name w:val="List 3"/>
    <w:basedOn w:val="1"/>
    <w:autoRedefine/>
    <w:qFormat/>
    <w:uiPriority w:val="0"/>
    <w:pPr>
      <w:ind w:left="100" w:leftChars="400" w:hanging="200" w:hangingChars="200"/>
    </w:pPr>
  </w:style>
  <w:style w:type="paragraph" w:styleId="8">
    <w:name w:val="toc 7"/>
    <w:basedOn w:val="1"/>
    <w:next w:val="1"/>
    <w:autoRedefine/>
    <w:qFormat/>
    <w:uiPriority w:val="0"/>
    <w:pPr>
      <w:ind w:left="1260"/>
      <w:jc w:val="left"/>
    </w:pPr>
    <w:rPr>
      <w:rFonts w:asciiTheme="minorHAnsi" w:hAnsiTheme="minorHAnsi"/>
      <w:sz w:val="20"/>
    </w:rPr>
  </w:style>
  <w:style w:type="paragraph" w:styleId="9">
    <w:name w:val="Normal Indent"/>
    <w:basedOn w:val="1"/>
    <w:autoRedefine/>
    <w:qFormat/>
    <w:uiPriority w:val="99"/>
    <w:pPr>
      <w:ind w:firstLine="420" w:firstLineChars="200"/>
    </w:pPr>
    <w:rPr>
      <w:rFonts w:eastAsia="仿宋"/>
      <w:szCs w:val="24"/>
    </w:rPr>
  </w:style>
  <w:style w:type="paragraph" w:styleId="10">
    <w:name w:val="caption"/>
    <w:basedOn w:val="1"/>
    <w:next w:val="1"/>
    <w:autoRedefine/>
    <w:qFormat/>
    <w:uiPriority w:val="0"/>
    <w:rPr>
      <w:rFonts w:ascii="Arial" w:hAnsi="Arial" w:eastAsia="黑体" w:cs="Arial"/>
      <w:sz w:val="20"/>
    </w:rPr>
  </w:style>
  <w:style w:type="paragraph" w:styleId="11">
    <w:name w:val="Document Map"/>
    <w:basedOn w:val="1"/>
    <w:link w:val="56"/>
    <w:autoRedefine/>
    <w:unhideWhenUsed/>
    <w:qFormat/>
    <w:uiPriority w:val="99"/>
    <w:rPr>
      <w:rFonts w:ascii="宋体"/>
      <w:sz w:val="18"/>
      <w:szCs w:val="18"/>
    </w:rPr>
  </w:style>
  <w:style w:type="paragraph" w:styleId="12">
    <w:name w:val="annotation text"/>
    <w:basedOn w:val="1"/>
    <w:link w:val="69"/>
    <w:autoRedefine/>
    <w:unhideWhenUsed/>
    <w:qFormat/>
    <w:uiPriority w:val="99"/>
    <w:pPr>
      <w:jc w:val="left"/>
    </w:pPr>
  </w:style>
  <w:style w:type="paragraph" w:styleId="13">
    <w:name w:val="Body Text 3"/>
    <w:basedOn w:val="1"/>
    <w:next w:val="1"/>
    <w:autoRedefine/>
    <w:qFormat/>
    <w:uiPriority w:val="0"/>
    <w:rPr>
      <w:rFonts w:eastAsia="黑体"/>
      <w:kern w:val="0"/>
      <w:sz w:val="16"/>
      <w:szCs w:val="20"/>
    </w:rPr>
  </w:style>
  <w:style w:type="paragraph" w:styleId="14">
    <w:name w:val="Body Text"/>
    <w:basedOn w:val="1"/>
    <w:next w:val="1"/>
    <w:autoRedefine/>
    <w:qFormat/>
    <w:uiPriority w:val="0"/>
    <w:pPr>
      <w:spacing w:after="120"/>
    </w:pPr>
  </w:style>
  <w:style w:type="paragraph" w:styleId="15">
    <w:name w:val="Body Text Indent"/>
    <w:basedOn w:val="1"/>
    <w:autoRedefine/>
    <w:qFormat/>
    <w:uiPriority w:val="0"/>
    <w:pPr>
      <w:autoSpaceDE w:val="0"/>
      <w:autoSpaceDN w:val="0"/>
      <w:adjustRightInd w:val="0"/>
      <w:spacing w:line="360" w:lineRule="auto"/>
      <w:ind w:firstLine="480"/>
      <w:jc w:val="left"/>
    </w:pPr>
    <w:rPr>
      <w:rFonts w:ascii="宋体" w:hAnsi="宋体"/>
      <w:kern w:val="0"/>
      <w:sz w:val="24"/>
    </w:rPr>
  </w:style>
  <w:style w:type="paragraph" w:styleId="16">
    <w:name w:val="List 2"/>
    <w:basedOn w:val="1"/>
    <w:autoRedefine/>
    <w:qFormat/>
    <w:uiPriority w:val="0"/>
    <w:pPr>
      <w:ind w:left="100" w:leftChars="200" w:hanging="200" w:hangingChars="200"/>
    </w:pPr>
  </w:style>
  <w:style w:type="paragraph" w:styleId="17">
    <w:name w:val="List Continue"/>
    <w:basedOn w:val="1"/>
    <w:autoRedefine/>
    <w:qFormat/>
    <w:uiPriority w:val="0"/>
    <w:pPr>
      <w:spacing w:after="120"/>
      <w:ind w:left="420" w:leftChars="200"/>
    </w:pPr>
  </w:style>
  <w:style w:type="paragraph" w:styleId="18">
    <w:name w:val="toc 5"/>
    <w:basedOn w:val="1"/>
    <w:next w:val="1"/>
    <w:autoRedefine/>
    <w:qFormat/>
    <w:uiPriority w:val="0"/>
    <w:pPr>
      <w:ind w:left="840"/>
      <w:jc w:val="left"/>
    </w:pPr>
    <w:rPr>
      <w:rFonts w:asciiTheme="minorHAnsi" w:hAnsiTheme="minorHAnsi"/>
      <w:sz w:val="20"/>
    </w:rPr>
  </w:style>
  <w:style w:type="paragraph" w:styleId="19">
    <w:name w:val="toc 3"/>
    <w:basedOn w:val="1"/>
    <w:next w:val="1"/>
    <w:autoRedefine/>
    <w:qFormat/>
    <w:uiPriority w:val="39"/>
    <w:pPr>
      <w:ind w:left="420"/>
      <w:jc w:val="left"/>
    </w:pPr>
    <w:rPr>
      <w:rFonts w:asciiTheme="minorHAnsi" w:hAnsiTheme="minorHAnsi"/>
      <w:sz w:val="20"/>
    </w:rPr>
  </w:style>
  <w:style w:type="paragraph" w:styleId="20">
    <w:name w:val="Plain Text"/>
    <w:basedOn w:val="1"/>
    <w:autoRedefine/>
    <w:qFormat/>
    <w:uiPriority w:val="0"/>
    <w:rPr>
      <w:rFonts w:ascii="宋体" w:hAnsi="Courier New"/>
      <w:szCs w:val="22"/>
    </w:rPr>
  </w:style>
  <w:style w:type="paragraph" w:styleId="21">
    <w:name w:val="toc 8"/>
    <w:basedOn w:val="1"/>
    <w:next w:val="1"/>
    <w:autoRedefine/>
    <w:qFormat/>
    <w:uiPriority w:val="0"/>
    <w:pPr>
      <w:ind w:left="1470"/>
      <w:jc w:val="left"/>
    </w:pPr>
    <w:rPr>
      <w:rFonts w:asciiTheme="minorHAnsi" w:hAnsiTheme="minorHAnsi"/>
      <w:sz w:val="20"/>
    </w:rPr>
  </w:style>
  <w:style w:type="paragraph" w:styleId="22">
    <w:name w:val="Date"/>
    <w:basedOn w:val="1"/>
    <w:next w:val="1"/>
    <w:link w:val="55"/>
    <w:autoRedefine/>
    <w:qFormat/>
    <w:uiPriority w:val="0"/>
    <w:rPr>
      <w:sz w:val="28"/>
    </w:rPr>
  </w:style>
  <w:style w:type="paragraph" w:styleId="23">
    <w:name w:val="Body Text Indent 2"/>
    <w:basedOn w:val="1"/>
    <w:autoRedefine/>
    <w:qFormat/>
    <w:uiPriority w:val="0"/>
    <w:pPr>
      <w:spacing w:after="120" w:line="480" w:lineRule="auto"/>
      <w:ind w:left="420" w:leftChars="200"/>
    </w:pPr>
  </w:style>
  <w:style w:type="paragraph" w:styleId="24">
    <w:name w:val="Balloon Text"/>
    <w:basedOn w:val="1"/>
    <w:autoRedefine/>
    <w:qFormat/>
    <w:uiPriority w:val="0"/>
    <w:rPr>
      <w:sz w:val="18"/>
      <w:szCs w:val="18"/>
    </w:rPr>
  </w:style>
  <w:style w:type="paragraph" w:styleId="25">
    <w:name w:val="footer"/>
    <w:basedOn w:val="1"/>
    <w:link w:val="53"/>
    <w:autoRedefine/>
    <w:qFormat/>
    <w:uiPriority w:val="99"/>
    <w:pPr>
      <w:tabs>
        <w:tab w:val="center" w:pos="4153"/>
        <w:tab w:val="right" w:pos="8306"/>
      </w:tabs>
      <w:snapToGrid w:val="0"/>
      <w:jc w:val="left"/>
    </w:pPr>
    <w:rPr>
      <w:sz w:val="18"/>
    </w:rPr>
  </w:style>
  <w:style w:type="paragraph" w:styleId="26">
    <w:name w:val="header"/>
    <w:basedOn w:val="1"/>
    <w:link w:val="54"/>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sz w:val="18"/>
      <w:szCs w:val="18"/>
    </w:rPr>
  </w:style>
  <w:style w:type="paragraph" w:styleId="27">
    <w:name w:val="toc 1"/>
    <w:basedOn w:val="1"/>
    <w:next w:val="1"/>
    <w:autoRedefine/>
    <w:qFormat/>
    <w:uiPriority w:val="39"/>
    <w:pPr>
      <w:spacing w:before="240" w:after="120"/>
      <w:jc w:val="left"/>
    </w:pPr>
    <w:rPr>
      <w:rFonts w:asciiTheme="minorHAnsi" w:hAnsiTheme="minorHAnsi"/>
      <w:b/>
      <w:bCs/>
      <w:sz w:val="20"/>
    </w:rPr>
  </w:style>
  <w:style w:type="paragraph" w:styleId="28">
    <w:name w:val="toc 4"/>
    <w:basedOn w:val="1"/>
    <w:next w:val="1"/>
    <w:autoRedefine/>
    <w:qFormat/>
    <w:uiPriority w:val="0"/>
    <w:pPr>
      <w:ind w:left="630"/>
      <w:jc w:val="left"/>
    </w:pPr>
    <w:rPr>
      <w:rFonts w:asciiTheme="minorHAnsi" w:hAnsiTheme="minorHAnsi"/>
      <w:sz w:val="20"/>
    </w:rPr>
  </w:style>
  <w:style w:type="paragraph" w:styleId="29">
    <w:name w:val="Subtitle"/>
    <w:basedOn w:val="1"/>
    <w:next w:val="1"/>
    <w:link w:val="57"/>
    <w:autoRedefine/>
    <w:qFormat/>
    <w:uiPriority w:val="11"/>
    <w:pPr>
      <w:spacing w:before="240" w:after="60" w:line="312" w:lineRule="auto"/>
      <w:jc w:val="center"/>
      <w:outlineLvl w:val="1"/>
    </w:pPr>
    <w:rPr>
      <w:rFonts w:ascii="Cambria" w:hAnsi="Cambria"/>
      <w:b/>
      <w:bCs/>
      <w:kern w:val="28"/>
      <w:sz w:val="32"/>
      <w:szCs w:val="32"/>
    </w:rPr>
  </w:style>
  <w:style w:type="paragraph" w:styleId="30">
    <w:name w:val="List"/>
    <w:basedOn w:val="1"/>
    <w:autoRedefine/>
    <w:qFormat/>
    <w:uiPriority w:val="0"/>
    <w:pPr>
      <w:ind w:left="200" w:hanging="200" w:hangingChars="200"/>
    </w:pPr>
  </w:style>
  <w:style w:type="paragraph" w:styleId="31">
    <w:name w:val="toc 6"/>
    <w:basedOn w:val="1"/>
    <w:next w:val="1"/>
    <w:autoRedefine/>
    <w:qFormat/>
    <w:uiPriority w:val="0"/>
    <w:pPr>
      <w:ind w:left="1050"/>
      <w:jc w:val="left"/>
    </w:pPr>
    <w:rPr>
      <w:rFonts w:asciiTheme="minorHAnsi" w:hAnsiTheme="minorHAnsi"/>
      <w:sz w:val="20"/>
    </w:rPr>
  </w:style>
  <w:style w:type="paragraph" w:styleId="32">
    <w:name w:val="List 5"/>
    <w:basedOn w:val="1"/>
    <w:autoRedefine/>
    <w:qFormat/>
    <w:uiPriority w:val="0"/>
    <w:pPr>
      <w:ind w:left="100" w:leftChars="800" w:hanging="200" w:hangingChars="200"/>
    </w:pPr>
  </w:style>
  <w:style w:type="paragraph" w:styleId="33">
    <w:name w:val="toc 2"/>
    <w:basedOn w:val="1"/>
    <w:next w:val="1"/>
    <w:autoRedefine/>
    <w:qFormat/>
    <w:uiPriority w:val="39"/>
    <w:pPr>
      <w:spacing w:before="120"/>
      <w:ind w:firstLine="200" w:firstLineChars="200"/>
      <w:jc w:val="left"/>
    </w:pPr>
    <w:rPr>
      <w:rFonts w:asciiTheme="minorHAnsi" w:hAnsiTheme="minorHAnsi"/>
      <w:i/>
      <w:iCs/>
      <w:sz w:val="20"/>
    </w:rPr>
  </w:style>
  <w:style w:type="paragraph" w:styleId="34">
    <w:name w:val="toc 9"/>
    <w:basedOn w:val="1"/>
    <w:next w:val="1"/>
    <w:autoRedefine/>
    <w:qFormat/>
    <w:uiPriority w:val="0"/>
    <w:pPr>
      <w:ind w:left="1680"/>
      <w:jc w:val="left"/>
    </w:pPr>
    <w:rPr>
      <w:rFonts w:asciiTheme="minorHAnsi" w:hAnsiTheme="minorHAnsi"/>
      <w:sz w:val="20"/>
    </w:rPr>
  </w:style>
  <w:style w:type="paragraph" w:styleId="35">
    <w:name w:val="List 4"/>
    <w:basedOn w:val="1"/>
    <w:autoRedefine/>
    <w:qFormat/>
    <w:uiPriority w:val="0"/>
    <w:pPr>
      <w:ind w:left="100" w:leftChars="600" w:hanging="200" w:hangingChars="200"/>
    </w:pPr>
  </w:style>
  <w:style w:type="paragraph" w:styleId="36">
    <w:name w:val="List Continue 2"/>
    <w:basedOn w:val="1"/>
    <w:autoRedefine/>
    <w:qFormat/>
    <w:uiPriority w:val="0"/>
    <w:pPr>
      <w:spacing w:after="120"/>
      <w:ind w:left="840" w:leftChars="400"/>
    </w:pPr>
  </w:style>
  <w:style w:type="paragraph" w:styleId="3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39">
    <w:name w:val="List Continue 3"/>
    <w:basedOn w:val="1"/>
    <w:autoRedefine/>
    <w:qFormat/>
    <w:uiPriority w:val="0"/>
    <w:pPr>
      <w:spacing w:after="120"/>
      <w:ind w:left="1260" w:leftChars="600"/>
    </w:pPr>
  </w:style>
  <w:style w:type="paragraph" w:styleId="40">
    <w:name w:val="Title"/>
    <w:basedOn w:val="1"/>
    <w:next w:val="1"/>
    <w:autoRedefine/>
    <w:qFormat/>
    <w:uiPriority w:val="10"/>
    <w:pPr>
      <w:spacing w:before="240"/>
      <w:jc w:val="center"/>
      <w:outlineLvl w:val="0"/>
    </w:pPr>
    <w:rPr>
      <w:rFonts w:ascii="Cambria" w:hAnsi="Cambria" w:eastAsia="黑体"/>
      <w:b/>
      <w:bCs/>
      <w:sz w:val="36"/>
      <w:szCs w:val="32"/>
    </w:rPr>
  </w:style>
  <w:style w:type="paragraph" w:styleId="41">
    <w:name w:val="annotation subject"/>
    <w:basedOn w:val="12"/>
    <w:next w:val="12"/>
    <w:link w:val="70"/>
    <w:autoRedefine/>
    <w:unhideWhenUsed/>
    <w:qFormat/>
    <w:uiPriority w:val="99"/>
    <w:rPr>
      <w:b/>
      <w:bCs/>
    </w:rPr>
  </w:style>
  <w:style w:type="paragraph" w:styleId="42">
    <w:name w:val="Body Text First Indent"/>
    <w:basedOn w:val="14"/>
    <w:next w:val="43"/>
    <w:autoRedefine/>
    <w:qFormat/>
    <w:uiPriority w:val="0"/>
    <w:pPr>
      <w:ind w:firstLine="420" w:firstLineChars="100"/>
    </w:pPr>
  </w:style>
  <w:style w:type="paragraph" w:styleId="43">
    <w:name w:val="Body Text First Indent 2"/>
    <w:basedOn w:val="15"/>
    <w:autoRedefine/>
    <w:qFormat/>
    <w:uiPriority w:val="0"/>
    <w:pPr>
      <w:autoSpaceDE/>
      <w:autoSpaceDN/>
      <w:adjustRightInd/>
      <w:spacing w:after="120" w:line="240" w:lineRule="auto"/>
      <w:ind w:left="420" w:leftChars="200" w:firstLine="420" w:firstLineChars="200"/>
      <w:jc w:val="both"/>
    </w:pPr>
    <w:rPr>
      <w:rFonts w:ascii="Times New Roman" w:hAnsi="Times New Roman"/>
      <w:kern w:val="2"/>
      <w:sz w:val="21"/>
    </w:rPr>
  </w:style>
  <w:style w:type="table" w:styleId="45">
    <w:name w:val="Table Grid"/>
    <w:basedOn w:val="4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basedOn w:val="46"/>
    <w:autoRedefine/>
    <w:qFormat/>
    <w:uiPriority w:val="22"/>
    <w:rPr>
      <w:b/>
      <w:bCs/>
    </w:rPr>
  </w:style>
  <w:style w:type="character" w:styleId="48">
    <w:name w:val="page number"/>
    <w:basedOn w:val="46"/>
    <w:autoRedefine/>
    <w:qFormat/>
    <w:uiPriority w:val="0"/>
  </w:style>
  <w:style w:type="character" w:styleId="49">
    <w:name w:val="Hyperlink"/>
    <w:basedOn w:val="46"/>
    <w:autoRedefine/>
    <w:qFormat/>
    <w:uiPriority w:val="99"/>
    <w:rPr>
      <w:color w:val="0000FF"/>
      <w:u w:val="single"/>
    </w:rPr>
  </w:style>
  <w:style w:type="character" w:styleId="50">
    <w:name w:val="annotation reference"/>
    <w:basedOn w:val="46"/>
    <w:autoRedefine/>
    <w:unhideWhenUsed/>
    <w:qFormat/>
    <w:uiPriority w:val="99"/>
    <w:rPr>
      <w:sz w:val="21"/>
      <w:szCs w:val="21"/>
    </w:rPr>
  </w:style>
  <w:style w:type="paragraph" w:customStyle="1" w:styleId="51">
    <w:name w:val="toc 34"/>
    <w:next w:val="1"/>
    <w:autoRedefine/>
    <w:qFormat/>
    <w:uiPriority w:val="0"/>
    <w:pPr>
      <w:wordWrap w:val="0"/>
      <w:ind w:left="850"/>
      <w:jc w:val="both"/>
    </w:pPr>
    <w:rPr>
      <w:rFonts w:ascii="Times New Roman" w:hAnsi="Times New Roman" w:eastAsia="宋体" w:cs="Times New Roman"/>
      <w:sz w:val="21"/>
      <w:lang w:val="en-US" w:eastAsia="zh-CN" w:bidi="ar-SA"/>
    </w:rPr>
  </w:style>
  <w:style w:type="character" w:customStyle="1" w:styleId="52">
    <w:name w:val="标题 2 Char"/>
    <w:link w:val="2"/>
    <w:autoRedefine/>
    <w:qFormat/>
    <w:uiPriority w:val="0"/>
    <w:rPr>
      <w:rFonts w:ascii="Arial" w:hAnsi="Arial" w:eastAsia="黑体"/>
      <w:b/>
      <w:bCs/>
      <w:kern w:val="2"/>
      <w:sz w:val="32"/>
      <w:szCs w:val="32"/>
      <w:lang w:val="en-US" w:eastAsia="zh-CN" w:bidi="ar-SA"/>
    </w:rPr>
  </w:style>
  <w:style w:type="character" w:customStyle="1" w:styleId="53">
    <w:name w:val="页脚 Char"/>
    <w:link w:val="25"/>
    <w:autoRedefine/>
    <w:qFormat/>
    <w:uiPriority w:val="99"/>
    <w:rPr>
      <w:kern w:val="2"/>
      <w:sz w:val="18"/>
    </w:rPr>
  </w:style>
  <w:style w:type="character" w:customStyle="1" w:styleId="54">
    <w:name w:val="页眉 Char"/>
    <w:link w:val="26"/>
    <w:autoRedefine/>
    <w:qFormat/>
    <w:uiPriority w:val="99"/>
    <w:rPr>
      <w:kern w:val="2"/>
      <w:sz w:val="18"/>
      <w:szCs w:val="18"/>
    </w:rPr>
  </w:style>
  <w:style w:type="character" w:customStyle="1" w:styleId="55">
    <w:name w:val="日期 Char"/>
    <w:link w:val="22"/>
    <w:autoRedefine/>
    <w:qFormat/>
    <w:uiPriority w:val="0"/>
    <w:rPr>
      <w:kern w:val="2"/>
      <w:sz w:val="28"/>
    </w:rPr>
  </w:style>
  <w:style w:type="character" w:customStyle="1" w:styleId="56">
    <w:name w:val="文档结构图 Char"/>
    <w:link w:val="11"/>
    <w:autoRedefine/>
    <w:semiHidden/>
    <w:qFormat/>
    <w:uiPriority w:val="99"/>
    <w:rPr>
      <w:rFonts w:ascii="宋体"/>
      <w:kern w:val="2"/>
      <w:sz w:val="18"/>
      <w:szCs w:val="18"/>
    </w:rPr>
  </w:style>
  <w:style w:type="character" w:customStyle="1" w:styleId="57">
    <w:name w:val="副标题 Char"/>
    <w:link w:val="29"/>
    <w:autoRedefine/>
    <w:qFormat/>
    <w:uiPriority w:val="11"/>
    <w:rPr>
      <w:rFonts w:ascii="Cambria" w:hAnsi="Cambria" w:cs="Times New Roman"/>
      <w:b/>
      <w:bCs/>
      <w:kern w:val="28"/>
      <w:sz w:val="32"/>
      <w:szCs w:val="32"/>
    </w:rPr>
  </w:style>
  <w:style w:type="character" w:customStyle="1" w:styleId="58">
    <w:name w:val="标题 1 Char"/>
    <w:link w:val="3"/>
    <w:autoRedefine/>
    <w:qFormat/>
    <w:uiPriority w:val="0"/>
    <w:rPr>
      <w:rFonts w:ascii="宋体"/>
      <w:kern w:val="2"/>
      <w:sz w:val="28"/>
    </w:rPr>
  </w:style>
  <w:style w:type="paragraph" w:customStyle="1" w:styleId="59">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0">
    <w:name w:val="F00"/>
    <w:basedOn w:val="1"/>
    <w:autoRedefine/>
    <w:qFormat/>
    <w:uiPriority w:val="0"/>
    <w:pPr>
      <w:tabs>
        <w:tab w:val="left" w:pos="2235"/>
      </w:tabs>
      <w:spacing w:line="500" w:lineRule="exact"/>
      <w:ind w:firstLine="353" w:firstLineChars="147"/>
    </w:pPr>
    <w:rPr>
      <w:rFonts w:ascii="宋体" w:hAnsi="宋体"/>
      <w:sz w:val="24"/>
      <w:szCs w:val="24"/>
    </w:rPr>
  </w:style>
  <w:style w:type="paragraph" w:customStyle="1" w:styleId="61">
    <w:name w:val="Char"/>
    <w:basedOn w:val="1"/>
    <w:autoRedefine/>
    <w:qFormat/>
    <w:uiPriority w:val="0"/>
    <w:rPr>
      <w:rFonts w:ascii="FangSong_GB2312" w:eastAsia="FangSong_GB2312"/>
      <w:b/>
      <w:sz w:val="32"/>
      <w:szCs w:val="32"/>
    </w:rPr>
  </w:style>
  <w:style w:type="paragraph" w:customStyle="1" w:styleId="62">
    <w:name w:val="列出段落1"/>
    <w:basedOn w:val="1"/>
    <w:autoRedefine/>
    <w:qFormat/>
    <w:uiPriority w:val="34"/>
    <w:pPr>
      <w:ind w:firstLine="420" w:firstLineChars="200"/>
    </w:pPr>
    <w:rPr>
      <w:szCs w:val="24"/>
    </w:rPr>
  </w:style>
  <w:style w:type="paragraph" w:customStyle="1" w:styleId="63">
    <w:name w:val="Char1"/>
    <w:basedOn w:val="1"/>
    <w:autoRedefine/>
    <w:qFormat/>
    <w:uiPriority w:val="0"/>
    <w:pPr>
      <w:widowControl/>
      <w:spacing w:after="160" w:line="240" w:lineRule="exact"/>
      <w:jc w:val="left"/>
    </w:pPr>
  </w:style>
  <w:style w:type="paragraph" w:customStyle="1" w:styleId="64">
    <w:name w:val="表格内容"/>
    <w:basedOn w:val="1"/>
    <w:autoRedefine/>
    <w:qFormat/>
    <w:uiPriority w:val="0"/>
    <w:pPr>
      <w:tabs>
        <w:tab w:val="left" w:pos="0"/>
      </w:tabs>
      <w:jc w:val="center"/>
    </w:pPr>
    <w:rPr>
      <w:rFonts w:ascii="宋体" w:hAnsi="宋体"/>
      <w:sz w:val="24"/>
      <w:szCs w:val="24"/>
    </w:rPr>
  </w:style>
  <w:style w:type="paragraph" w:customStyle="1" w:styleId="6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6">
    <w:name w:val="case3"/>
    <w:basedOn w:val="1"/>
    <w:autoRedefine/>
    <w:qFormat/>
    <w:uiPriority w:val="0"/>
    <w:pPr>
      <w:widowControl/>
      <w:spacing w:before="100" w:beforeAutospacing="1" w:after="100" w:afterAutospacing="1" w:line="390" w:lineRule="atLeast"/>
      <w:jc w:val="left"/>
    </w:pPr>
    <w:rPr>
      <w:color w:val="000000"/>
      <w:kern w:val="0"/>
      <w:szCs w:val="21"/>
    </w:rPr>
  </w:style>
  <w:style w:type="table" w:customStyle="1" w:styleId="67">
    <w:name w:val="网格型1"/>
    <w:basedOn w:val="44"/>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8">
    <w:name w:val="font31"/>
    <w:basedOn w:val="46"/>
    <w:autoRedefine/>
    <w:qFormat/>
    <w:uiPriority w:val="0"/>
    <w:rPr>
      <w:rFonts w:hint="default" w:ascii="Times New Roman" w:hAnsi="Times New Roman" w:cs="Times New Roman"/>
      <w:color w:val="000000"/>
      <w:sz w:val="20"/>
      <w:szCs w:val="20"/>
      <w:u w:val="none"/>
    </w:rPr>
  </w:style>
  <w:style w:type="character" w:customStyle="1" w:styleId="69">
    <w:name w:val="批注文字 Char"/>
    <w:basedOn w:val="46"/>
    <w:link w:val="12"/>
    <w:autoRedefine/>
    <w:semiHidden/>
    <w:qFormat/>
    <w:uiPriority w:val="99"/>
    <w:rPr>
      <w:kern w:val="2"/>
      <w:sz w:val="21"/>
    </w:rPr>
  </w:style>
  <w:style w:type="character" w:customStyle="1" w:styleId="70">
    <w:name w:val="批注主题 Char"/>
    <w:basedOn w:val="69"/>
    <w:link w:val="41"/>
    <w:autoRedefine/>
    <w:qFormat/>
    <w:uiPriority w:val="0"/>
  </w:style>
  <w:style w:type="paragraph" w:customStyle="1" w:styleId="71">
    <w:name w:val="_Style 154"/>
    <w:basedOn w:val="1"/>
    <w:autoRedefine/>
    <w:qFormat/>
    <w:uiPriority w:val="0"/>
    <w:pPr>
      <w:spacing w:line="480" w:lineRule="exact"/>
      <w:ind w:firstLine="420" w:firstLineChars="200"/>
      <w:jc w:val="left"/>
    </w:pPr>
    <w:rPr>
      <w:rFonts w:eastAsia="楷体_GB2312"/>
      <w:sz w:val="28"/>
    </w:rPr>
  </w:style>
  <w:style w:type="paragraph" w:customStyle="1" w:styleId="72">
    <w:name w:val="列出段落2"/>
    <w:basedOn w:val="1"/>
    <w:autoRedefine/>
    <w:qFormat/>
    <w:uiPriority w:val="34"/>
    <w:pPr>
      <w:spacing w:line="480" w:lineRule="exact"/>
      <w:ind w:firstLine="420" w:firstLineChars="200"/>
      <w:jc w:val="left"/>
    </w:pPr>
    <w:rPr>
      <w:rFonts w:eastAsia="楷体_GB2312"/>
      <w:kern w:val="0"/>
      <w:sz w:val="28"/>
    </w:rPr>
  </w:style>
  <w:style w:type="character" w:customStyle="1" w:styleId="73">
    <w:name w:val="font51"/>
    <w:basedOn w:val="46"/>
    <w:autoRedefine/>
    <w:qFormat/>
    <w:uiPriority w:val="0"/>
    <w:rPr>
      <w:rFonts w:hint="default" w:ascii="Times New Roman" w:hAnsi="Times New Roman" w:cs="Times New Roman"/>
      <w:color w:val="000000"/>
      <w:sz w:val="20"/>
      <w:szCs w:val="20"/>
      <w:u w:val="none"/>
    </w:rPr>
  </w:style>
  <w:style w:type="character" w:customStyle="1" w:styleId="74">
    <w:name w:val="font01"/>
    <w:basedOn w:val="46"/>
    <w:autoRedefine/>
    <w:qFormat/>
    <w:uiPriority w:val="0"/>
    <w:rPr>
      <w:rFonts w:hint="eastAsia" w:ascii="宋体" w:hAnsi="宋体" w:eastAsia="宋体" w:cs="宋体"/>
      <w:color w:val="000000"/>
      <w:sz w:val="20"/>
      <w:szCs w:val="20"/>
      <w:u w:val="none"/>
    </w:rPr>
  </w:style>
  <w:style w:type="paragraph" w:customStyle="1" w:styleId="75">
    <w:name w:val="p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6">
    <w:name w:val="正文_0_0"/>
    <w:autoRedefine/>
    <w:unhideWhenUsed/>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7">
    <w:name w:val="修订1"/>
    <w:autoRedefine/>
    <w:hidden/>
    <w:unhideWhenUsed/>
    <w:qFormat/>
    <w:uiPriority w:val="99"/>
    <w:rPr>
      <w:rFonts w:ascii="Times New Roman" w:hAnsi="Times New Roman" w:eastAsia="宋体" w:cs="Times New Roman"/>
      <w:kern w:val="2"/>
      <w:sz w:val="21"/>
      <w:lang w:val="en-US" w:eastAsia="zh-CN" w:bidi="ar-SA"/>
    </w:rPr>
  </w:style>
  <w:style w:type="paragraph" w:customStyle="1" w:styleId="78">
    <w:name w:val="章标题"/>
    <w:next w:val="79"/>
    <w:autoRedefine/>
    <w:qFormat/>
    <w:uiPriority w:val="99"/>
    <w:pPr>
      <w:numPr>
        <w:ilvl w:val="0"/>
        <w:numId w:val="1"/>
      </w:numPr>
      <w:spacing w:beforeLines="100" w:afterLines="100"/>
      <w:jc w:val="both"/>
      <w:outlineLvl w:val="1"/>
    </w:pPr>
    <w:rPr>
      <w:rFonts w:ascii="黑体" w:hAnsi="Times New Roman" w:eastAsia="黑体" w:cs="黑体"/>
      <w:sz w:val="21"/>
      <w:szCs w:val="21"/>
      <w:lang w:val="en-US" w:eastAsia="zh-CN" w:bidi="ar-SA"/>
    </w:rPr>
  </w:style>
  <w:style w:type="paragraph" w:customStyle="1" w:styleId="79">
    <w:name w:val="段"/>
    <w:autoRedefine/>
    <w:qFormat/>
    <w:uiPriority w:val="99"/>
    <w:pPr>
      <w:autoSpaceDE w:val="0"/>
      <w:autoSpaceDN w:val="0"/>
      <w:ind w:firstLine="420" w:firstLineChars="200"/>
      <w:jc w:val="both"/>
    </w:pPr>
    <w:rPr>
      <w:rFonts w:ascii="宋体" w:hAnsi="Times New Roman" w:eastAsia="宋体" w:cs="Times New Roman"/>
      <w:sz w:val="22"/>
      <w:szCs w:val="22"/>
      <w:lang w:val="en-US" w:eastAsia="zh-CN" w:bidi="ar-SA"/>
    </w:rPr>
  </w:style>
  <w:style w:type="character" w:customStyle="1" w:styleId="80">
    <w:name w:val="font81"/>
    <w:basedOn w:val="46"/>
    <w:autoRedefine/>
    <w:qFormat/>
    <w:uiPriority w:val="0"/>
    <w:rPr>
      <w:rFonts w:hint="eastAsia" w:ascii="方正仿宋_GBK" w:hAnsi="方正仿宋_GBK" w:eastAsia="方正仿宋_GBK" w:cs="方正仿宋_GBK"/>
      <w:color w:val="000000"/>
      <w:sz w:val="24"/>
      <w:szCs w:val="24"/>
      <w:u w:val="none"/>
    </w:rPr>
  </w:style>
  <w:style w:type="paragraph" w:styleId="81">
    <w:name w:val="List Paragraph"/>
    <w:basedOn w:val="1"/>
    <w:autoRedefine/>
    <w:qFormat/>
    <w:uiPriority w:val="34"/>
    <w:pPr>
      <w:ind w:firstLine="420" w:firstLineChars="200"/>
    </w:pPr>
  </w:style>
  <w:style w:type="paragraph" w:customStyle="1" w:styleId="82">
    <w:name w:val="006正文"/>
    <w:basedOn w:val="1"/>
    <w:autoRedefine/>
    <w:qFormat/>
    <w:uiPriority w:val="0"/>
    <w:pPr>
      <w:ind w:firstLine="200" w:firstLineChars="200"/>
    </w:pPr>
    <w:rPr>
      <w:rFonts w:ascii="等线" w:hAnsi="等线" w:eastAsia="宋体"/>
      <w:kern w:val="0"/>
      <w:sz w:val="24"/>
      <w:szCs w:val="24"/>
      <w:lang w:val="zh-CN"/>
    </w:rPr>
  </w:style>
  <w:style w:type="paragraph" w:customStyle="1" w:styleId="83">
    <w:name w:val="Table Paragraph"/>
    <w:basedOn w:val="1"/>
    <w:autoRedefine/>
    <w:qFormat/>
    <w:uiPriority w:val="1"/>
    <w:rPr>
      <w:rFonts w:ascii="仿宋" w:hAnsi="仿宋" w:eastAsia="仿宋" w:cs="仿宋"/>
      <w:lang w:val="zh-CN" w:bidi="zh-CN"/>
    </w:rPr>
  </w:style>
  <w:style w:type="paragraph" w:customStyle="1" w:styleId="84">
    <w:name w:val="Table Text"/>
    <w:basedOn w:val="1"/>
    <w:autoRedefine/>
    <w:semiHidden/>
    <w:qFormat/>
    <w:uiPriority w:val="0"/>
  </w:style>
  <w:style w:type="table" w:customStyle="1" w:styleId="85">
    <w:name w:val="Table Normal"/>
    <w:autoRedefine/>
    <w:semiHidden/>
    <w:unhideWhenUsed/>
    <w:qFormat/>
    <w:uiPriority w:val="0"/>
    <w:tblPr>
      <w:tblCellMar>
        <w:top w:w="0" w:type="dxa"/>
        <w:left w:w="0" w:type="dxa"/>
        <w:bottom w:w="0" w:type="dxa"/>
        <w:right w:w="0" w:type="dxa"/>
      </w:tblCellMar>
    </w:tblPr>
  </w:style>
  <w:style w:type="character" w:customStyle="1" w:styleId="86">
    <w:name w:val="font11"/>
    <w:basedOn w:val="46"/>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5.xml"/><Relationship Id="rId23" Type="http://schemas.openxmlformats.org/officeDocument/2006/relationships/customXml" Target="../customXml/item4.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formulas xmlns="http://www.yonyou.com/formula"/>
</file>

<file path=customXml/item3.xml><?xml version="1.0" encoding="utf-8"?>
<dataSourceCollection xmlns="http://www.yonyou.com/datasourc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relations xmlns="http://www.yonyou.com/rela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23C41C-0394-479E-8C34-B1D93086E19F}">
  <ds:schemaRefs/>
</ds:datastoreItem>
</file>

<file path=customXml/itemProps3.xml><?xml version="1.0" encoding="utf-8"?>
<ds:datastoreItem xmlns:ds="http://schemas.openxmlformats.org/officeDocument/2006/customXml" ds:itemID="{670AFB58-4F39-4326-A393-8E520AA057F8}">
  <ds:schemaRefs/>
</ds:datastoreItem>
</file>

<file path=customXml/itemProps4.xml><?xml version="1.0" encoding="utf-8"?>
<ds:datastoreItem xmlns:ds="http://schemas.openxmlformats.org/officeDocument/2006/customXml" ds:itemID="{ABBC5445-51F6-4E5C-83F9-9880ADC30537}">
  <ds:schemaRefs/>
</ds:datastoreItem>
</file>

<file path=customXml/itemProps5.xml><?xml version="1.0" encoding="utf-8"?>
<ds:datastoreItem xmlns:ds="http://schemas.openxmlformats.org/officeDocument/2006/customXml" ds:itemID="{924AA92F-D617-44BD-A67D-E1A0B3FF8A1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44117</Words>
  <Characters>48484</Characters>
  <Lines>1172</Lines>
  <Paragraphs>330</Paragraphs>
  <TotalTime>39</TotalTime>
  <ScaleCrop>false</ScaleCrop>
  <LinksUpToDate>false</LinksUpToDate>
  <CharactersWithSpaces>49427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2022-12-12T11:13:00Z</dcterms:created>
  <dc:creator>hxw</dc:creator>
  <cp:lastModifiedBy>范范</cp:lastModifiedBy>
  <cp:lastPrinted>2024-09-24T08:19:00Z</cp:lastPrinted>
  <dcterms:modified xsi:type="dcterms:W3CDTF">2024-09-30T06:18:19Z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DED4311B4591457A8E6D9CEAD3BB17DB_13</vt:lpwstr>
  </property>
</Properties>
</file>