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宋体" w:hAnsi="宋体" w:eastAsia="宋体" w:cs="宋体"/>
          <w:color w:val="auto"/>
        </w:rPr>
      </w:pPr>
      <w:r>
        <w:rPr>
          <w:rFonts w:hint="eastAsia" w:ascii="宋体" w:hAnsi="宋体" w:eastAsia="宋体" w:cs="宋体"/>
          <w:color w:val="auto"/>
        </w:rPr>
        <w:t xml:space="preserve"> 采购需求</w:t>
      </w:r>
    </w:p>
    <w:p>
      <w:pPr>
        <w:spacing w:line="360" w:lineRule="auto"/>
        <w:rPr>
          <w:rFonts w:ascii="Times New Roman" w:hAnsi="Times New Roman" w:eastAsia="宋体" w:cs="Times New Roman"/>
          <w:b/>
          <w:szCs w:val="21"/>
        </w:rPr>
      </w:pPr>
      <w:r>
        <w:rPr>
          <w:rFonts w:ascii="Times New Roman" w:hAnsi="Times New Roman" w:eastAsia="宋体" w:cs="Times New Roman"/>
          <w:b/>
          <w:szCs w:val="21"/>
        </w:rPr>
        <w:t>一、采购清单</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2"/>
        <w:gridCol w:w="3883"/>
        <w:gridCol w:w="1093"/>
        <w:gridCol w:w="2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7"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序号</w:t>
            </w:r>
          </w:p>
        </w:tc>
        <w:tc>
          <w:tcPr>
            <w:tcW w:w="2278"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名称</w:t>
            </w:r>
          </w:p>
        </w:tc>
        <w:tc>
          <w:tcPr>
            <w:tcW w:w="64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数量</w:t>
            </w:r>
          </w:p>
        </w:tc>
        <w:tc>
          <w:tcPr>
            <w:tcW w:w="136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1"/>
              </w:rPr>
            </w:pPr>
            <w:r>
              <w:rPr>
                <w:rFonts w:hint="eastAsia" w:ascii="宋体" w:hAnsi="宋体" w:eastAsia="宋体"/>
                <w:szCs w:val="21"/>
              </w:rPr>
              <w:t>1</w:t>
            </w:r>
          </w:p>
        </w:tc>
        <w:tc>
          <w:tcPr>
            <w:tcW w:w="227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1"/>
              </w:rPr>
            </w:pPr>
            <w:r>
              <w:rPr>
                <w:rFonts w:hint="eastAsia" w:ascii="宋体" w:hAnsi="宋体" w:eastAsia="宋体"/>
                <w:szCs w:val="21"/>
              </w:rPr>
              <w:t>流化床</w:t>
            </w:r>
          </w:p>
        </w:tc>
        <w:tc>
          <w:tcPr>
            <w:tcW w:w="64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kern w:val="0"/>
                <w:szCs w:val="21"/>
              </w:rPr>
            </w:pPr>
            <w:r>
              <w:rPr>
                <w:rFonts w:hint="eastAsia" w:ascii="宋体" w:hAnsi="宋体" w:eastAsia="宋体"/>
                <w:szCs w:val="21"/>
              </w:rPr>
              <w:t>允许进口</w:t>
            </w:r>
          </w:p>
        </w:tc>
      </w:tr>
    </w:tbl>
    <w:p>
      <w:pPr>
        <w:spacing w:line="360" w:lineRule="auto"/>
        <w:rPr>
          <w:rFonts w:ascii="Times New Roman" w:hAnsi="Times New Roman" w:eastAsia="宋体" w:cs="Times New Roman"/>
          <w:bCs/>
          <w:szCs w:val="21"/>
          <w:highlight w:val="none"/>
        </w:rPr>
      </w:pPr>
      <w:r>
        <w:rPr>
          <w:rFonts w:hint="eastAsia" w:ascii="Times New Roman" w:hAnsi="Times New Roman" w:eastAsia="宋体" w:cs="Times New Roman"/>
          <w:b/>
          <w:szCs w:val="21"/>
        </w:rPr>
        <w:t>二、详细技术参数及要求</w:t>
      </w:r>
    </w:p>
    <w:tbl>
      <w:tblPr>
        <w:tblStyle w:val="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823"/>
        <w:gridCol w:w="6376"/>
        <w:gridCol w:w="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450" w:type="pct"/>
            <w:vAlign w:val="center"/>
          </w:tcPr>
          <w:p>
            <w:pPr>
              <w:jc w:val="center"/>
              <w:rPr>
                <w:rFonts w:hint="eastAsia" w:ascii="宋体" w:hAnsi="宋体" w:eastAsia="宋体"/>
                <w:szCs w:val="21"/>
                <w:highlight w:val="none"/>
              </w:rPr>
            </w:pPr>
            <w:r>
              <w:rPr>
                <w:rFonts w:hint="eastAsia" w:ascii="宋体" w:hAnsi="宋体" w:eastAsia="宋体"/>
                <w:szCs w:val="21"/>
                <w:highlight w:val="none"/>
              </w:rPr>
              <w:t>品目</w:t>
            </w:r>
          </w:p>
        </w:tc>
        <w:tc>
          <w:tcPr>
            <w:tcW w:w="483" w:type="pct"/>
            <w:vAlign w:val="center"/>
          </w:tcPr>
          <w:p>
            <w:pPr>
              <w:jc w:val="center"/>
              <w:rPr>
                <w:rFonts w:hint="eastAsia" w:ascii="宋体" w:hAnsi="宋体" w:eastAsia="宋体"/>
                <w:szCs w:val="21"/>
                <w:highlight w:val="none"/>
              </w:rPr>
            </w:pPr>
            <w:r>
              <w:rPr>
                <w:rFonts w:hint="eastAsia" w:ascii="宋体" w:hAnsi="宋体" w:eastAsia="宋体"/>
                <w:szCs w:val="21"/>
                <w:highlight w:val="none"/>
              </w:rPr>
              <w:t>货物</w:t>
            </w:r>
          </w:p>
          <w:p>
            <w:pPr>
              <w:jc w:val="center"/>
              <w:rPr>
                <w:rFonts w:hint="eastAsia" w:ascii="宋体" w:hAnsi="宋体" w:eastAsia="宋体"/>
                <w:szCs w:val="21"/>
                <w:highlight w:val="none"/>
              </w:rPr>
            </w:pPr>
            <w:r>
              <w:rPr>
                <w:rFonts w:hint="eastAsia" w:ascii="宋体" w:hAnsi="宋体" w:eastAsia="宋体"/>
                <w:szCs w:val="21"/>
                <w:highlight w:val="none"/>
              </w:rPr>
              <w:t>名称</w:t>
            </w:r>
          </w:p>
        </w:tc>
        <w:tc>
          <w:tcPr>
            <w:tcW w:w="3742" w:type="pct"/>
            <w:vAlign w:val="center"/>
          </w:tcPr>
          <w:p>
            <w:pPr>
              <w:jc w:val="left"/>
              <w:rPr>
                <w:rFonts w:hint="eastAsia" w:ascii="宋体" w:hAnsi="宋体" w:eastAsia="宋体"/>
                <w:szCs w:val="21"/>
                <w:highlight w:val="none"/>
              </w:rPr>
            </w:pPr>
            <w:r>
              <w:rPr>
                <w:rFonts w:hint="eastAsia" w:ascii="宋体" w:hAnsi="宋体" w:eastAsia="宋体"/>
                <w:szCs w:val="21"/>
                <w:highlight w:val="none"/>
              </w:rPr>
              <w:t>招标规格及技术参数</w:t>
            </w:r>
          </w:p>
        </w:tc>
        <w:tc>
          <w:tcPr>
            <w:tcW w:w="324" w:type="pct"/>
            <w:vAlign w:val="center"/>
          </w:tcPr>
          <w:p>
            <w:pPr>
              <w:jc w:val="left"/>
              <w:rPr>
                <w:rFonts w:hint="eastAsia" w:ascii="宋体" w:hAnsi="宋体" w:eastAsia="宋体"/>
                <w:szCs w:val="21"/>
                <w:highlight w:val="none"/>
              </w:rPr>
            </w:pPr>
            <w:r>
              <w:rPr>
                <w:rFonts w:hint="eastAsia" w:ascii="宋体" w:hAnsi="宋体" w:eastAsia="宋体"/>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pPr>
              <w:jc w:val="center"/>
              <w:rPr>
                <w:rFonts w:hint="eastAsia" w:ascii="宋体" w:hAnsi="宋体" w:eastAsia="宋体"/>
                <w:szCs w:val="21"/>
                <w:highlight w:val="none"/>
              </w:rPr>
            </w:pPr>
            <w:r>
              <w:rPr>
                <w:rFonts w:hint="eastAsia" w:ascii="宋体" w:hAnsi="宋体" w:eastAsia="宋体"/>
                <w:szCs w:val="21"/>
                <w:highlight w:val="none"/>
              </w:rPr>
              <w:t>1</w:t>
            </w:r>
          </w:p>
        </w:tc>
        <w:tc>
          <w:tcPr>
            <w:tcW w:w="483" w:type="pct"/>
            <w:vAlign w:val="center"/>
          </w:tcPr>
          <w:p>
            <w:pPr>
              <w:jc w:val="left"/>
              <w:rPr>
                <w:rFonts w:hint="eastAsia" w:ascii="宋体" w:hAnsi="宋体" w:eastAsia="宋体"/>
                <w:szCs w:val="21"/>
                <w:highlight w:val="none"/>
              </w:rPr>
            </w:pPr>
            <w:r>
              <w:rPr>
                <w:rFonts w:hint="eastAsia" w:ascii="宋体" w:hAnsi="宋体" w:eastAsia="宋体"/>
                <w:szCs w:val="21"/>
                <w:highlight w:val="none"/>
              </w:rPr>
              <w:t>流化床</w:t>
            </w:r>
          </w:p>
        </w:tc>
        <w:tc>
          <w:tcPr>
            <w:tcW w:w="3742" w:type="pct"/>
            <w:vAlign w:val="center"/>
          </w:tcPr>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1.配置有干燥功能、顶喷制粒功能、底喷包衣功能、侧喷包衣功能；</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2.锅体有效容积为：顶喷制粒锅</w:t>
            </w:r>
            <w:r>
              <w:rPr>
                <w:rFonts w:hint="eastAsia"/>
                <w:highlight w:val="none"/>
              </w:rPr>
              <w:t>≥3L</w:t>
            </w:r>
            <w:r>
              <w:rPr>
                <w:rFonts w:hint="eastAsia" w:ascii="Times New Roman" w:hAnsi="Times New Roman" w:eastAsia="宋体"/>
                <w:bCs/>
                <w:spacing w:val="-6"/>
                <w:szCs w:val="21"/>
                <w:highlight w:val="none"/>
              </w:rPr>
              <w:t>，底喷包衣锅</w:t>
            </w:r>
            <w:bookmarkStart w:id="0" w:name="OLE_LINK6"/>
            <w:r>
              <w:rPr>
                <w:rFonts w:hint="eastAsia"/>
                <w:highlight w:val="none"/>
              </w:rPr>
              <w:t>≥</w:t>
            </w:r>
            <w:bookmarkEnd w:id="0"/>
            <w:r>
              <w:rPr>
                <w:rFonts w:hint="eastAsia"/>
                <w:highlight w:val="none"/>
              </w:rPr>
              <w:t>2.</w:t>
            </w:r>
            <w:r>
              <w:rPr>
                <w:rFonts w:hint="eastAsia"/>
                <w:highlight w:val="none"/>
                <w:lang w:val="en-US" w:eastAsia="zh-CN"/>
              </w:rPr>
              <w:t>4</w:t>
            </w:r>
            <w:r>
              <w:rPr>
                <w:rFonts w:hint="eastAsia"/>
                <w:highlight w:val="none"/>
              </w:rPr>
              <w:t>L</w:t>
            </w:r>
            <w:r>
              <w:rPr>
                <w:rFonts w:hint="eastAsia" w:ascii="Times New Roman" w:hAnsi="Times New Roman" w:eastAsia="宋体"/>
                <w:bCs/>
                <w:spacing w:val="-6"/>
                <w:szCs w:val="21"/>
                <w:highlight w:val="none"/>
              </w:rPr>
              <w:t>，侧喷包衣锅</w:t>
            </w:r>
            <w:r>
              <w:rPr>
                <w:rFonts w:hint="eastAsia"/>
                <w:highlight w:val="none"/>
              </w:rPr>
              <w:t>≥</w:t>
            </w:r>
            <w:r>
              <w:rPr>
                <w:rFonts w:hint="eastAsia" w:ascii="Times New Roman" w:hAnsi="Times New Roman" w:eastAsia="宋体"/>
                <w:bCs/>
                <w:spacing w:val="-6"/>
                <w:szCs w:val="21"/>
                <w:highlight w:val="none"/>
              </w:rPr>
              <w:t>0.6L；</w:t>
            </w:r>
            <w:r>
              <w:rPr>
                <w:rFonts w:hint="eastAsia"/>
                <w:highlight w:val="none"/>
              </w:rPr>
              <w:t>3.</w:t>
            </w:r>
            <w:r>
              <w:rPr>
                <w:rFonts w:hint="eastAsia" w:ascii="Times New Roman" w:hAnsi="Times New Roman" w:eastAsia="宋体"/>
                <w:bCs/>
                <w:spacing w:val="-6"/>
                <w:szCs w:val="21"/>
                <w:highlight w:val="none"/>
              </w:rPr>
              <w:t>任何与物料接触的工作部分必须采用316L或更好的不锈钢，与药品的相容性较好。</w:t>
            </w:r>
            <w:bookmarkStart w:id="1" w:name="OLE_LINK4"/>
            <w:r>
              <w:rPr>
                <w:rFonts w:hint="eastAsia" w:ascii="Times New Roman" w:hAnsi="Times New Roman" w:eastAsia="宋体"/>
                <w:b/>
                <w:spacing w:val="-6"/>
                <w:szCs w:val="21"/>
                <w:highlight w:val="none"/>
              </w:rPr>
              <w:t>【提供相关材质证明】</w:t>
            </w:r>
            <w:bookmarkEnd w:id="1"/>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4.能满足粉末包衣，可以制备</w:t>
            </w:r>
            <w:r>
              <w:rPr>
                <w:rFonts w:ascii="Times New Roman" w:hAnsi="Times New Roman" w:eastAsia="宋体" w:cs="Times New Roman"/>
                <w:bCs/>
                <w:spacing w:val="-6"/>
                <w:szCs w:val="21"/>
                <w:highlight w:val="none"/>
              </w:rPr>
              <w:t>20 μm-1</w:t>
            </w:r>
            <w:r>
              <w:rPr>
                <w:rFonts w:hint="eastAsia" w:ascii="Times New Roman" w:hAnsi="Times New Roman" w:eastAsia="宋体" w:cs="Times New Roman"/>
                <w:bCs/>
                <w:spacing w:val="-6"/>
                <w:szCs w:val="21"/>
                <w:highlight w:val="none"/>
              </w:rPr>
              <w:t xml:space="preserve"> </w:t>
            </w:r>
            <w:r>
              <w:rPr>
                <w:rFonts w:ascii="Times New Roman" w:hAnsi="Times New Roman" w:eastAsia="宋体" w:cs="Times New Roman"/>
                <w:bCs/>
                <w:spacing w:val="-6"/>
                <w:szCs w:val="21"/>
                <w:highlight w:val="none"/>
              </w:rPr>
              <w:t>mm</w:t>
            </w:r>
            <w:r>
              <w:rPr>
                <w:rFonts w:hint="eastAsia" w:ascii="Times New Roman" w:hAnsi="Times New Roman" w:eastAsia="宋体"/>
                <w:bCs/>
                <w:spacing w:val="-6"/>
                <w:szCs w:val="21"/>
                <w:highlight w:val="none"/>
              </w:rPr>
              <w:t>的粒子。当对</w:t>
            </w:r>
            <w:r>
              <w:rPr>
                <w:rFonts w:ascii="Times New Roman" w:hAnsi="Times New Roman" w:eastAsia="宋体" w:cs="Times New Roman"/>
                <w:bCs/>
                <w:spacing w:val="-6"/>
                <w:szCs w:val="21"/>
                <w:highlight w:val="none"/>
              </w:rPr>
              <w:t>0.15-0.2</w:t>
            </w:r>
            <w:r>
              <w:rPr>
                <w:rFonts w:hint="eastAsia" w:ascii="Times New Roman" w:hAnsi="Times New Roman" w:eastAsia="宋体" w:cs="Times New Roman"/>
                <w:bCs/>
                <w:spacing w:val="-6"/>
                <w:szCs w:val="21"/>
                <w:highlight w:val="none"/>
              </w:rPr>
              <w:t xml:space="preserve"> mm</w:t>
            </w:r>
            <w:r>
              <w:rPr>
                <w:rFonts w:hint="eastAsia" w:ascii="Times New Roman" w:hAnsi="Times New Roman" w:eastAsia="宋体"/>
                <w:bCs/>
                <w:spacing w:val="-6"/>
                <w:szCs w:val="21"/>
                <w:highlight w:val="none"/>
              </w:rPr>
              <w:t>微丸的包衣，微丸包衣粘连率须小于1.5%</w:t>
            </w:r>
            <w:r>
              <w:rPr>
                <w:rFonts w:hint="eastAsia" w:ascii="Times New Roman" w:hAnsi="Times New Roman" w:eastAsia="宋体"/>
                <w:b/>
                <w:spacing w:val="-6"/>
                <w:szCs w:val="21"/>
                <w:highlight w:val="none"/>
              </w:rPr>
              <w:t>【提供相关材质证明】</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 xml:space="preserve">5.锅体内壁镜面抛光度Ra≤0.50 </w:t>
            </w:r>
            <w:r>
              <w:rPr>
                <w:rFonts w:ascii="Times New Roman" w:hAnsi="Times New Roman" w:eastAsia="宋体" w:cs="Times New Roman"/>
                <w:bCs/>
                <w:spacing w:val="-6"/>
                <w:szCs w:val="21"/>
                <w:highlight w:val="none"/>
              </w:rPr>
              <w:t>μm</w:t>
            </w:r>
            <w:r>
              <w:rPr>
                <w:rFonts w:hint="eastAsia" w:ascii="Times New Roman" w:hAnsi="Times New Roman" w:eastAsia="宋体" w:cs="Times New Roman"/>
                <w:bCs/>
                <w:spacing w:val="-6"/>
                <w:szCs w:val="21"/>
                <w:highlight w:val="none"/>
              </w:rPr>
              <w:t>。</w:t>
            </w:r>
            <w:r>
              <w:rPr>
                <w:rFonts w:hint="eastAsia" w:ascii="Times New Roman" w:hAnsi="Times New Roman" w:eastAsia="宋体"/>
                <w:b/>
                <w:spacing w:val="-6"/>
                <w:szCs w:val="21"/>
                <w:highlight w:val="none"/>
              </w:rPr>
              <w:t>【提供相关材质证明】</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6.物料槽和进风段、过滤室之间平面法兰连接方式，之间硅胶垫密封，保证良好的密封性。</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7.喷液系统采用一把喷枪，喷雾流量、雾化压力和雾化效果可以调试；</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8.扩散室有长形观察窗，后设有照明观察口，且材质为钢化玻璃；</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9.顶喷喷枪支持高、低位两档调节，满足不同生产量的需求；</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10.底喷包衣时导流筒可根据生产量进行上下调节；</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11.侧喷包衣锅底部转子盘转速可设定为200-1400 r/min，转速控制精度为±1%；</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 xml:space="preserve">12.多袋式物料过滤袋，采用防静电长纤维面料的滤布，规格有5、10、20 </w:t>
            </w:r>
            <w:r>
              <w:rPr>
                <w:rFonts w:ascii="Times New Roman" w:hAnsi="Times New Roman" w:eastAsia="宋体" w:cs="Times New Roman"/>
                <w:bCs/>
                <w:spacing w:val="-6"/>
                <w:szCs w:val="21"/>
                <w:highlight w:val="none"/>
              </w:rPr>
              <w:t>μm</w:t>
            </w:r>
            <w:r>
              <w:rPr>
                <w:rFonts w:hint="eastAsia" w:ascii="Times New Roman" w:hAnsi="Times New Roman" w:eastAsia="宋体"/>
                <w:bCs/>
                <w:spacing w:val="-6"/>
                <w:szCs w:val="21"/>
                <w:highlight w:val="none"/>
              </w:rPr>
              <w:t>等可选，具有反吹功能防止滤袋堵塞；</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13.电器元件采用</w:t>
            </w:r>
            <w:r>
              <w:rPr>
                <w:rFonts w:hint="eastAsia" w:ascii="Times New Roman" w:hAnsi="Times New Roman" w:eastAsia="宋体"/>
                <w:bCs/>
                <w:spacing w:val="-6"/>
                <w:szCs w:val="21"/>
                <w:highlight w:val="none"/>
                <w:lang w:val="en-US" w:eastAsia="zh-CN"/>
              </w:rPr>
              <w:t>优质</w:t>
            </w:r>
            <w:r>
              <w:rPr>
                <w:rFonts w:hint="eastAsia" w:ascii="Times New Roman" w:hAnsi="Times New Roman" w:eastAsia="宋体"/>
                <w:bCs/>
                <w:spacing w:val="-6"/>
                <w:szCs w:val="21"/>
                <w:highlight w:val="none"/>
              </w:rPr>
              <w:t>品牌</w:t>
            </w:r>
            <w:r>
              <w:rPr>
                <w:rFonts w:hint="eastAsia" w:ascii="Times New Roman" w:hAnsi="Times New Roman" w:eastAsia="宋体"/>
                <w:bCs/>
                <w:spacing w:val="-6"/>
                <w:szCs w:val="21"/>
                <w:highlight w:val="none"/>
                <w:lang w:val="en-US" w:eastAsia="zh-CN"/>
              </w:rPr>
              <w:t>原厂产品</w:t>
            </w:r>
            <w:r>
              <w:rPr>
                <w:rFonts w:hint="eastAsia" w:ascii="Times New Roman" w:hAnsi="Times New Roman" w:eastAsia="宋体"/>
                <w:b/>
                <w:bCs w:val="0"/>
                <w:spacing w:val="-6"/>
                <w:szCs w:val="21"/>
                <w:highlight w:val="none"/>
              </w:rPr>
              <w:t>【需提供产品说明书】</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 xml:space="preserve">14.进风温度最高100 </w:t>
            </w:r>
            <w:r>
              <w:rPr>
                <w:rFonts w:ascii="Times New Roman" w:hAnsi="Times New Roman" w:eastAsia="宋体" w:cs="Times New Roman"/>
                <w:bCs/>
                <w:spacing w:val="-6"/>
                <w:szCs w:val="21"/>
                <w:highlight w:val="none"/>
              </w:rPr>
              <w:t>℃</w:t>
            </w:r>
            <w:r>
              <w:rPr>
                <w:rFonts w:hint="eastAsia" w:ascii="Times New Roman" w:hAnsi="Times New Roman" w:eastAsia="宋体"/>
                <w:bCs/>
                <w:spacing w:val="-6"/>
                <w:szCs w:val="21"/>
                <w:highlight w:val="none"/>
              </w:rPr>
              <w:t>，稳态时控制精度±1</w:t>
            </w:r>
            <w:r>
              <w:rPr>
                <w:rFonts w:ascii="Times New Roman" w:hAnsi="Times New Roman" w:eastAsia="宋体" w:cs="Times New Roman"/>
                <w:bCs/>
                <w:spacing w:val="-6"/>
                <w:szCs w:val="21"/>
                <w:highlight w:val="none"/>
              </w:rPr>
              <w:t>℃</w:t>
            </w:r>
            <w:r>
              <w:rPr>
                <w:rFonts w:hint="eastAsia" w:ascii="Times New Roman" w:hAnsi="Times New Roman" w:eastAsia="宋体"/>
                <w:bCs/>
                <w:spacing w:val="-6"/>
                <w:szCs w:val="21"/>
                <w:highlight w:val="none"/>
              </w:rPr>
              <w:t>以内，进出要求为风处理集成式设计，支持拆卸更换，进风达到洁净要求，出风达到环保要求；</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15.最大进风量≥ 150 m³/h，控制精度±5%。</w:t>
            </w:r>
            <w:r>
              <w:rPr>
                <w:rFonts w:hint="eastAsia" w:ascii="Times New Roman" w:hAnsi="Times New Roman" w:eastAsia="宋体"/>
                <w:b/>
                <w:bCs w:val="0"/>
                <w:spacing w:val="-6"/>
                <w:szCs w:val="21"/>
                <w:highlight w:val="none"/>
              </w:rPr>
              <w:t>【提供相关证明材料】；</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16.具备国内5个以上微丸产品已过评的品种案例或粉末包衣商业化生产运用案例</w:t>
            </w:r>
            <w:r>
              <w:rPr>
                <w:rFonts w:hint="eastAsia" w:ascii="Times New Roman" w:hAnsi="Times New Roman" w:eastAsia="宋体"/>
                <w:b/>
                <w:bCs w:val="0"/>
                <w:spacing w:val="-6"/>
                <w:szCs w:val="21"/>
                <w:highlight w:val="none"/>
              </w:rPr>
              <w:t>【提供相关证明材料】；</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17.能提供商业化放大生产技术支持；</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18.能够提供协助后续功能增加的技术升级服务；</w:t>
            </w:r>
          </w:p>
          <w:p>
            <w:pPr>
              <w:spacing w:line="360" w:lineRule="auto"/>
              <w:rPr>
                <w:rFonts w:ascii="Times New Roman" w:hAnsi="Times New Roman" w:eastAsia="宋体"/>
                <w:bCs/>
                <w:spacing w:val="-6"/>
                <w:szCs w:val="21"/>
                <w:highlight w:val="none"/>
              </w:rPr>
            </w:pPr>
            <w:r>
              <w:rPr>
                <w:rFonts w:hint="eastAsia" w:ascii="Times New Roman" w:hAnsi="Times New Roman" w:eastAsia="宋体"/>
                <w:bCs/>
                <w:spacing w:val="-6"/>
                <w:szCs w:val="21"/>
                <w:highlight w:val="none"/>
              </w:rPr>
              <w:t>19.能够预留在线监测接口</w:t>
            </w:r>
            <w:r>
              <w:rPr>
                <w:rFonts w:hint="eastAsia" w:ascii="Times New Roman" w:hAnsi="Times New Roman" w:eastAsia="宋体"/>
                <w:b/>
                <w:bCs w:val="0"/>
                <w:spacing w:val="-6"/>
                <w:szCs w:val="21"/>
                <w:highlight w:val="none"/>
              </w:rPr>
              <w:t>【提供相关证明材料】；</w:t>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1.2空压机和冷水机系统</w:t>
            </w:r>
          </w:p>
          <w:p>
            <w:pPr>
              <w:spacing w:line="360" w:lineRule="auto"/>
              <w:rPr>
                <w:rFonts w:hint="eastAsia" w:ascii="Times New Roman" w:hAnsi="Times New Roman" w:eastAsia="宋体" w:cs="Times New Roman"/>
                <w:b/>
                <w:highlight w:val="none"/>
              </w:rPr>
            </w:pPr>
            <w:r>
              <w:rPr>
                <w:rFonts w:hint="eastAsia" w:ascii="Times New Roman" w:hAnsi="Times New Roman" w:eastAsia="宋体" w:cs="Times New Roman"/>
                <w:highlight w:val="none"/>
              </w:rPr>
              <w:t>（1）无油空压机，能提供≥6bar</w:t>
            </w:r>
            <w:r>
              <w:rPr>
                <w:rFonts w:hint="eastAsia" w:ascii="Times New Roman" w:hAnsi="Times New Roman" w:eastAsia="宋体" w:cs="Times New Roman"/>
                <w:color w:val="auto"/>
                <w:highlight w:val="none"/>
              </w:rPr>
              <w:t>稳定气流，空压机产生的气体流速与流化床进风量需求相匹配，配置不小于100升的不锈钢气体储罐和冷干机，以保证流化床进风气量和湿度的要求</w:t>
            </w:r>
            <w:r>
              <w:rPr>
                <w:rFonts w:hint="eastAsia" w:ascii="Times New Roman" w:hAnsi="Times New Roman" w:eastAsia="宋体"/>
                <w:b/>
                <w:bCs w:val="0"/>
                <w:color w:val="auto"/>
                <w:spacing w:val="-6"/>
                <w:szCs w:val="21"/>
                <w:highlight w:val="none"/>
              </w:rPr>
              <w:t>【提供空压机和</w:t>
            </w:r>
            <w:r>
              <w:rPr>
                <w:rFonts w:hint="eastAsia" w:ascii="Times New Roman" w:hAnsi="Times New Roman" w:eastAsia="宋体"/>
                <w:b/>
                <w:bCs w:val="0"/>
                <w:spacing w:val="-6"/>
                <w:szCs w:val="21"/>
                <w:highlight w:val="none"/>
              </w:rPr>
              <w:t>冷干机的具体品牌型号以及关键参数信息】</w:t>
            </w:r>
            <w:r>
              <w:rPr>
                <w:rFonts w:hint="eastAsia" w:ascii="Times New Roman" w:hAnsi="Times New Roman" w:eastAsia="宋体" w:cs="Times New Roman"/>
                <w:b/>
                <w:highlight w:val="none"/>
              </w:rPr>
              <w:t>；</w:t>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（2）如果流化床有冷却需求，配置一套冷水机，冷水机的冷却能力要满足流化床的流量需求；</w:t>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1.3</w:t>
            </w:r>
            <w:r>
              <w:rPr>
                <w:rFonts w:hint="eastAsia" w:ascii="Times New Roman" w:hAnsi="Times New Roman" w:eastAsia="宋体" w:cs="Times New Roman"/>
                <w:highlight w:val="none"/>
              </w:rPr>
              <w:tab/>
            </w:r>
            <w:r>
              <w:rPr>
                <w:rFonts w:hint="eastAsia" w:ascii="Times New Roman" w:hAnsi="Times New Roman" w:eastAsia="宋体" w:cs="Times New Roman"/>
                <w:highlight w:val="none"/>
              </w:rPr>
              <w:t>安全要求内容</w:t>
            </w:r>
            <w:r>
              <w:rPr>
                <w:rFonts w:hint="eastAsia" w:ascii="Times New Roman" w:hAnsi="Times New Roman" w:eastAsia="宋体" w:cs="Times New Roman"/>
                <w:highlight w:val="none"/>
              </w:rPr>
              <w:tab/>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支持急停暂停，</w:t>
            </w:r>
            <w:r>
              <w:rPr>
                <w:rFonts w:ascii="Times New Roman" w:hAnsi="Times New Roman" w:eastAsia="宋体" w:cs="Times New Roman"/>
                <w:highlight w:val="none"/>
              </w:rPr>
              <w:t>设备处于运行状态时</w:t>
            </w:r>
            <w:r>
              <w:rPr>
                <w:rFonts w:hint="eastAsia" w:ascii="Times New Roman" w:hAnsi="Times New Roman" w:eastAsia="宋体" w:cs="Times New Roman"/>
                <w:highlight w:val="none"/>
              </w:rPr>
              <w:t>可</w:t>
            </w:r>
            <w:bookmarkStart w:id="2" w:name="OLE_LINK5"/>
            <w:r>
              <w:rPr>
                <w:rFonts w:hint="eastAsia" w:ascii="Times New Roman" w:hAnsi="Times New Roman" w:eastAsia="宋体" w:cs="Times New Roman"/>
                <w:highlight w:val="none"/>
              </w:rPr>
              <w:t>按键控制</w:t>
            </w:r>
            <w:bookmarkEnd w:id="2"/>
            <w:r>
              <w:rPr>
                <w:rFonts w:hint="eastAsia" w:ascii="Times New Roman" w:hAnsi="Times New Roman" w:eastAsia="宋体" w:cs="Times New Roman"/>
                <w:highlight w:val="none"/>
              </w:rPr>
              <w:t>设备立即停止运转；急停按键控制复位后，仅在进行复位和启动操作后，设备方可进入运行状态。</w:t>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1.4</w:t>
            </w:r>
            <w:r>
              <w:rPr>
                <w:rFonts w:hint="eastAsia" w:ascii="Times New Roman" w:hAnsi="Times New Roman" w:eastAsia="宋体" w:cs="Times New Roman"/>
                <w:highlight w:val="none"/>
              </w:rPr>
              <w:tab/>
            </w:r>
            <w:r>
              <w:rPr>
                <w:rFonts w:hint="eastAsia" w:ascii="Times New Roman" w:hAnsi="Times New Roman" w:eastAsia="宋体" w:cs="Times New Roman"/>
                <w:highlight w:val="none"/>
              </w:rPr>
              <w:t>安装要求内容</w:t>
            </w:r>
            <w:r>
              <w:rPr>
                <w:rFonts w:hint="eastAsia" w:ascii="Times New Roman" w:hAnsi="Times New Roman" w:eastAsia="宋体" w:cs="Times New Roman"/>
                <w:highlight w:val="none"/>
              </w:rPr>
              <w:tab/>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在启动订单之后和安装设备之前，投标人应提供一份工作计划、布局图。以便于设备采购人做好相关准备工作；</w:t>
            </w:r>
            <w:r>
              <w:rPr>
                <w:rFonts w:hint="eastAsia" w:ascii="Times New Roman" w:hAnsi="Times New Roman" w:eastAsia="宋体" w:cs="Times New Roman"/>
                <w:highlight w:val="none"/>
              </w:rPr>
              <w:tab/>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1.5</w:t>
            </w:r>
            <w:r>
              <w:rPr>
                <w:rFonts w:hint="eastAsia" w:ascii="Times New Roman" w:hAnsi="Times New Roman" w:eastAsia="宋体" w:cs="Times New Roman"/>
                <w:highlight w:val="none"/>
              </w:rPr>
              <w:tab/>
            </w:r>
            <w:r>
              <w:rPr>
                <w:rFonts w:hint="eastAsia" w:ascii="Times New Roman" w:hAnsi="Times New Roman" w:eastAsia="宋体" w:cs="Times New Roman"/>
                <w:highlight w:val="none"/>
              </w:rPr>
              <w:t>控制系统要求内容</w:t>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（1）工业PC控制，有中文显示，工艺参数可以设定、显示、记录和存储；</w:t>
            </w:r>
          </w:p>
          <w:p>
            <w:pPr>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采用高品质工业PC（如Siemens或相当于）、触摸屏（如P+F或相当于）、交流接触器（如法国Schneider或相当于）、变频器（</w:t>
            </w:r>
            <w:r>
              <w:rPr>
                <w:rFonts w:hint="eastAsia" w:ascii="Times New Roman" w:hAnsi="Times New Roman" w:eastAsia="宋体" w:cs="Times New Roman"/>
                <w:szCs w:val="21"/>
                <w:highlight w:val="none"/>
                <w:lang w:val="en-US" w:eastAsia="zh-CN"/>
              </w:rPr>
              <w:t>如：</w:t>
            </w:r>
            <w:r>
              <w:rPr>
                <w:rFonts w:hint="eastAsia" w:ascii="Times New Roman" w:hAnsi="Times New Roman" w:eastAsia="宋体" w:cs="Times New Roman"/>
                <w:szCs w:val="21"/>
                <w:highlight w:val="none"/>
              </w:rPr>
              <w:t>danfoss</w:t>
            </w:r>
            <w:r>
              <w:rPr>
                <w:rFonts w:hint="eastAsia" w:ascii="Times New Roman" w:hAnsi="Times New Roman" w:eastAsia="宋体" w:cs="Times New Roman"/>
                <w:szCs w:val="21"/>
                <w:highlight w:val="none"/>
                <w:lang w:val="en-US" w:eastAsia="zh-CN"/>
              </w:rPr>
              <w:t>或相当于</w:t>
            </w:r>
            <w:r>
              <w:rPr>
                <w:rFonts w:hint="eastAsia" w:ascii="Times New Roman" w:hAnsi="Times New Roman" w:eastAsia="宋体" w:cs="Times New Roman"/>
                <w:szCs w:val="21"/>
                <w:highlight w:val="none"/>
              </w:rPr>
              <w:t>）。关键部件如电机、电器元件采用国际知名品牌产品；</w:t>
            </w:r>
          </w:p>
          <w:p>
            <w:pPr>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（2）断电后保障PLC或PC数据不丢失，保证程序完整；需要配置主要工艺参数的数据采集系统；</w:t>
            </w:r>
          </w:p>
          <w:p>
            <w:pPr>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3）可将重要的数据在内部的数据库里进行存档，也可拷贝，系统配置审计追踪功能，要建立每个报警和出错信息的追溯记录，设备出现故障可以通过系统自带的诊断功能，对故障进行分析判断，当电源出现故障报警，故障排除后, 在程序中断的步骤处控制系统能够手动重新启动；</w:t>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4）设备所配套的自控系统，必须具备相应标准接口，预留一个独立的以太网接口，在物理和逻辑上允许通过设备通讯接口，实现远程维护，提供通信接口的物理位置，提供通讯接口线路管线或路由建议；开放数据接口，允许上位机读取所有仪表的数据，允许上位机写入闭环控制回路设定值；</w:t>
            </w:r>
          </w:p>
          <w:p>
            <w:pPr>
              <w:spacing w:line="360" w:lineRule="auto"/>
              <w:rPr>
                <w:rFonts w:hint="eastAsia" w:ascii="Times New Roman" w:hAnsi="Times New Roman" w:eastAsia="宋体" w:cs="Times New Roman"/>
                <w:b/>
                <w:highlight w:val="none"/>
              </w:rPr>
            </w:pPr>
            <w:r>
              <w:rPr>
                <w:rFonts w:hint="eastAsia"/>
                <w:highlight w:val="none"/>
              </w:rPr>
              <w:t>▲</w:t>
            </w:r>
            <w:r>
              <w:rPr>
                <w:rFonts w:ascii="Times New Roman" w:hAnsi="Times New Roman" w:eastAsia="宋体" w:cs="Times New Roman"/>
                <w:highlight w:val="none"/>
              </w:rPr>
              <w:t>6 设备需配套在线分析系统，并具备以下功能：能检测流化床的流化状态，采样周期≤ 1s，能检测颗粒水分含量，采样周期≤ 10 s；</w:t>
            </w:r>
            <w:r>
              <w:rPr>
                <w:rFonts w:hint="eastAsia" w:ascii="Times New Roman" w:hAnsi="Times New Roman" w:eastAsia="宋体"/>
                <w:b/>
                <w:bCs w:val="0"/>
                <w:spacing w:val="-6"/>
                <w:szCs w:val="21"/>
                <w:highlight w:val="none"/>
              </w:rPr>
              <w:t>【提供具体品牌型号以及关键参数信息】</w:t>
            </w:r>
            <w:r>
              <w:rPr>
                <w:rFonts w:hint="eastAsia" w:ascii="Times New Roman" w:hAnsi="Times New Roman" w:eastAsia="宋体" w:cs="Times New Roman"/>
                <w:b/>
                <w:highlight w:val="none"/>
              </w:rPr>
              <w:t>；</w:t>
            </w:r>
          </w:p>
          <w:p>
            <w:pPr>
              <w:spacing w:line="360" w:lineRule="auto"/>
              <w:rPr>
                <w:rFonts w:ascii="Times New Roman" w:hAnsi="Times New Roman" w:eastAsia="宋体" w:cs="Times New Roman"/>
                <w:highlight w:val="none"/>
              </w:rPr>
            </w:pPr>
            <w:r>
              <w:rPr>
                <w:rFonts w:ascii="Times New Roman" w:hAnsi="Times New Roman" w:eastAsia="宋体" w:cs="Times New Roman"/>
                <w:highlight w:val="none"/>
              </w:rPr>
              <w:t>1.7</w:t>
            </w:r>
            <w:r>
              <w:rPr>
                <w:rFonts w:ascii="Times New Roman" w:hAnsi="Times New Roman" w:eastAsia="宋体" w:cs="Times New Roman"/>
                <w:highlight w:val="none"/>
              </w:rPr>
              <w:tab/>
            </w:r>
            <w:r>
              <w:rPr>
                <w:rFonts w:ascii="Times New Roman" w:hAnsi="Times New Roman" w:eastAsia="宋体" w:cs="Times New Roman"/>
                <w:highlight w:val="none"/>
              </w:rPr>
              <w:t>交货要求内容</w:t>
            </w:r>
          </w:p>
          <w:p>
            <w:pPr>
              <w:spacing w:line="360" w:lineRule="auto"/>
              <w:rPr>
                <w:rFonts w:ascii="Times New Roman" w:hAnsi="Times New Roman" w:eastAsia="宋体" w:cs="Times New Roman"/>
                <w:highlight w:val="none"/>
              </w:rPr>
            </w:pPr>
            <w:r>
              <w:rPr>
                <w:rFonts w:ascii="Times New Roman" w:hAnsi="Times New Roman" w:eastAsia="宋体" w:cs="Times New Roman"/>
                <w:highlight w:val="none"/>
              </w:rPr>
              <w:t>设备交货期不超过6个月；</w:t>
            </w:r>
          </w:p>
          <w:p>
            <w:pPr>
              <w:spacing w:line="360" w:lineRule="auto"/>
              <w:rPr>
                <w:rFonts w:ascii="Times New Roman" w:hAnsi="Times New Roman" w:eastAsia="宋体" w:cs="Times New Roman"/>
                <w:highlight w:val="none"/>
              </w:rPr>
            </w:pPr>
            <w:r>
              <w:rPr>
                <w:rFonts w:ascii="Times New Roman" w:hAnsi="Times New Roman" w:eastAsia="宋体" w:cs="Times New Roman"/>
                <w:highlight w:val="none"/>
              </w:rPr>
              <w:t>1.8</w:t>
            </w:r>
            <w:r>
              <w:rPr>
                <w:rFonts w:ascii="Times New Roman" w:hAnsi="Times New Roman" w:eastAsia="宋体" w:cs="Times New Roman"/>
                <w:highlight w:val="none"/>
              </w:rPr>
              <w:tab/>
            </w:r>
            <w:r>
              <w:rPr>
                <w:rFonts w:ascii="Times New Roman" w:hAnsi="Times New Roman" w:eastAsia="宋体" w:cs="Times New Roman"/>
                <w:highlight w:val="none"/>
              </w:rPr>
              <w:t>服务与维修要求内容</w:t>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投标人</w:t>
            </w:r>
            <w:r>
              <w:rPr>
                <w:rFonts w:ascii="Times New Roman" w:hAnsi="Times New Roman" w:eastAsia="宋体" w:cs="Times New Roman"/>
                <w:highlight w:val="none"/>
              </w:rPr>
              <w:t>负责所有技术指导和人员培训，包括：图纸、工艺、操作、设备维护、设备性能及问题解答；</w:t>
            </w:r>
          </w:p>
          <w:p>
            <w:pPr>
              <w:spacing w:line="360" w:lineRule="auto"/>
              <w:rPr>
                <w:rFonts w:hint="eastAsia" w:ascii="宋体" w:hAnsi="宋体" w:eastAsia="宋体"/>
                <w:szCs w:val="21"/>
                <w:highlight w:val="none"/>
              </w:rPr>
            </w:pPr>
            <w:r>
              <w:rPr>
                <w:rFonts w:ascii="Times New Roman" w:hAnsi="Times New Roman" w:eastAsia="宋体" w:cs="Times New Roman"/>
                <w:highlight w:val="none"/>
              </w:rPr>
              <w:t>设备</w:t>
            </w:r>
            <w:r>
              <w:rPr>
                <w:rFonts w:hint="eastAsia" w:ascii="Times New Roman" w:hAnsi="Times New Roman" w:eastAsia="宋体" w:cs="Times New Roman"/>
                <w:highlight w:val="none"/>
              </w:rPr>
              <w:t>质保期</w:t>
            </w:r>
            <w:r>
              <w:rPr>
                <w:rFonts w:ascii="Times New Roman" w:hAnsi="Times New Roman" w:eastAsia="宋体" w:cs="Times New Roman"/>
                <w:highlight w:val="none"/>
              </w:rPr>
              <w:t>自终验收合格后算起12个月；</w:t>
            </w:r>
          </w:p>
        </w:tc>
        <w:tc>
          <w:tcPr>
            <w:tcW w:w="324" w:type="pct"/>
            <w:vAlign w:val="center"/>
          </w:tcPr>
          <w:p>
            <w:pPr>
              <w:rPr>
                <w:rFonts w:hint="eastAsia" w:ascii="宋体" w:hAnsi="宋体" w:eastAsia="宋体"/>
                <w:szCs w:val="21"/>
                <w:highlight w:val="none"/>
              </w:rPr>
            </w:pPr>
            <w:r>
              <w:rPr>
                <w:rFonts w:hint="eastAsia" w:ascii="宋体" w:hAnsi="宋体" w:eastAsia="宋体"/>
                <w:szCs w:val="21"/>
                <w:highlight w:val="none"/>
              </w:rPr>
              <w:t>1</w:t>
            </w:r>
          </w:p>
        </w:tc>
      </w:tr>
    </w:tbl>
    <w:p>
      <w:pPr>
        <w:widowControl/>
        <w:spacing w:line="360" w:lineRule="auto"/>
        <w:ind w:firstLine="422" w:firstLineChars="200"/>
        <w:rPr>
          <w:rFonts w:ascii="Times New Roman" w:hAnsi="Times New Roman" w:eastAsia="宋体" w:cs="Times New Roman"/>
          <w:b/>
          <w:szCs w:val="21"/>
        </w:rPr>
      </w:pPr>
      <w:r>
        <w:rPr>
          <w:rFonts w:ascii="Times New Roman" w:hAnsi="Times New Roman" w:eastAsia="宋体" w:cs="Times New Roman"/>
          <w:b/>
          <w:szCs w:val="21"/>
        </w:rPr>
        <w:t>1.除招标文件中所明确的技术规格和品牌外，欢迎其他能满足本项目技术需求且性能相当于或高于所明确品牌的产品参加投标报价。同时在采购需求偏离表中作出详细对比说明。</w:t>
      </w:r>
    </w:p>
    <w:p>
      <w:pPr>
        <w:widowControl/>
        <w:spacing w:line="360" w:lineRule="auto"/>
        <w:ind w:firstLine="422" w:firstLineChars="200"/>
        <w:rPr>
          <w:rFonts w:ascii="Times New Roman" w:hAnsi="Times New Roman" w:eastAsia="宋体" w:cs="Times New Roman"/>
          <w:b/>
          <w:szCs w:val="21"/>
        </w:rPr>
      </w:pPr>
      <w:r>
        <w:rPr>
          <w:rFonts w:ascii="Times New Roman" w:hAnsi="Times New Roman" w:eastAsia="宋体" w:cs="Times New Roman"/>
          <w:b/>
          <w:szCs w:val="21"/>
        </w:rPr>
        <w:t>2.如技术要求中未特别注明需执行的国家相关标准、行业标准、地方标准或者其他标准、规范，则统一准、规范。</w:t>
      </w:r>
    </w:p>
    <w:p>
      <w:pPr>
        <w:pStyle w:val="3"/>
        <w:ind w:firstLine="422" w:firstLineChars="200"/>
      </w:pPr>
      <w:r>
        <w:rPr>
          <w:rFonts w:hint="eastAsia" w:ascii="Times New Roman" w:hAnsi="Times New Roman"/>
          <w:b/>
          <w:szCs w:val="21"/>
        </w:rPr>
        <w:t>3、投标单位须在投标文件中承诺中标后在甲方规定的时间内获得厂家授权书等证明文件（提供承诺函，未提供视作负偏离）</w:t>
      </w:r>
    </w:p>
    <w:p>
      <w:pPr>
        <w:autoSpaceDE w:val="0"/>
        <w:autoSpaceDN w:val="0"/>
        <w:adjustRightInd w:val="0"/>
        <w:spacing w:line="360" w:lineRule="auto"/>
        <w:ind w:firstLine="422" w:firstLineChars="200"/>
        <w:rPr>
          <w:rFonts w:ascii="Times New Roman" w:hAnsi="Times New Roman" w:eastAsia="宋体" w:cs="Times New Roman"/>
          <w:b/>
          <w:szCs w:val="21"/>
        </w:rPr>
      </w:pPr>
      <w:r>
        <w:rPr>
          <w:rFonts w:hint="eastAsia" w:ascii="Times New Roman" w:hAnsi="Times New Roman" w:eastAsia="宋体" w:cs="Times New Roman"/>
          <w:b/>
          <w:szCs w:val="21"/>
        </w:rPr>
        <w:t>三</w:t>
      </w:r>
      <w:r>
        <w:rPr>
          <w:rFonts w:ascii="Times New Roman" w:hAnsi="Times New Roman" w:eastAsia="宋体" w:cs="Times New Roman"/>
          <w:b/>
          <w:szCs w:val="21"/>
          <w:lang w:val="zh-CN"/>
        </w:rPr>
        <w:t>、投标报价</w:t>
      </w:r>
    </w:p>
    <w:p>
      <w:pPr>
        <w:spacing w:line="360" w:lineRule="auto"/>
        <w:ind w:firstLine="420" w:firstLineChars="200"/>
        <w:rPr>
          <w:rFonts w:ascii="Times New Roman" w:hAnsi="Times New Roman" w:eastAsia="宋体" w:cs="Times New Roman"/>
          <w:szCs w:val="21"/>
          <w:lang w:val="zh-CN"/>
        </w:rPr>
      </w:pPr>
      <w:r>
        <w:rPr>
          <w:rFonts w:ascii="Times New Roman" w:hAnsi="Times New Roman" w:eastAsia="宋体" w:cs="Times New Roman"/>
          <w:szCs w:val="21"/>
        </w:rPr>
        <w:t>1、</w:t>
      </w:r>
      <w:r>
        <w:rPr>
          <w:rFonts w:ascii="Times New Roman" w:hAnsi="Times New Roman" w:eastAsia="宋体" w:cs="Times New Roman"/>
          <w:szCs w:val="21"/>
          <w:lang w:val="zh-CN"/>
        </w:rPr>
        <w:t>投标报价应为人民币报价</w:t>
      </w:r>
      <w:r>
        <w:rPr>
          <w:rFonts w:ascii="Times New Roman" w:hAnsi="Times New Roman" w:eastAsia="宋体" w:cs="Times New Roman"/>
          <w:szCs w:val="21"/>
        </w:rPr>
        <w:t>且</w:t>
      </w:r>
      <w:r>
        <w:rPr>
          <w:rFonts w:ascii="Times New Roman" w:hAnsi="Times New Roman" w:eastAsia="宋体" w:cs="Times New Roman"/>
          <w:szCs w:val="21"/>
          <w:lang w:val="zh-CN"/>
        </w:rPr>
        <w:t>应在项目预算之内，</w:t>
      </w:r>
      <w:r>
        <w:rPr>
          <w:rFonts w:ascii="Times New Roman" w:hAnsi="Times New Roman" w:eastAsia="宋体" w:cs="Times New Roman"/>
          <w:szCs w:val="21"/>
        </w:rPr>
        <w:t>不符合此要求</w:t>
      </w:r>
      <w:r>
        <w:rPr>
          <w:rFonts w:ascii="Times New Roman" w:hAnsi="Times New Roman" w:eastAsia="宋体" w:cs="Times New Roman"/>
          <w:szCs w:val="21"/>
          <w:lang w:val="zh-CN"/>
        </w:rPr>
        <w:t>的投标文件按无效标处理。</w:t>
      </w:r>
    </w:p>
    <w:p>
      <w:pPr>
        <w:spacing w:line="360" w:lineRule="auto"/>
        <w:ind w:firstLine="420" w:firstLineChars="200"/>
        <w:rPr>
          <w:rFonts w:ascii="Times New Roman" w:hAnsi="Times New Roman" w:eastAsia="宋体" w:cs="Times New Roman"/>
          <w:szCs w:val="21"/>
          <w:lang w:val="zh-CN"/>
        </w:rPr>
      </w:pPr>
      <w:r>
        <w:rPr>
          <w:rFonts w:ascii="Times New Roman" w:hAnsi="Times New Roman" w:eastAsia="宋体" w:cs="Times New Roman"/>
          <w:szCs w:val="21"/>
          <w:lang w:val="zh-CN"/>
        </w:rPr>
        <w:t>①、不管是否为进口产品，</w:t>
      </w:r>
      <w:r>
        <w:rPr>
          <w:rFonts w:hint="eastAsia" w:ascii="Times New Roman" w:hAnsi="Times New Roman" w:eastAsia="宋体" w:cs="Times New Roman"/>
          <w:szCs w:val="21"/>
        </w:rPr>
        <w:t>投标人</w:t>
      </w:r>
      <w:r>
        <w:rPr>
          <w:rFonts w:ascii="Times New Roman" w:hAnsi="Times New Roman" w:eastAsia="宋体" w:cs="Times New Roman"/>
          <w:szCs w:val="21"/>
          <w:lang w:val="zh-CN"/>
        </w:rPr>
        <w:t xml:space="preserve">均应以人民币报价，人民币报价直接作为价格分计算依据。 </w:t>
      </w:r>
    </w:p>
    <w:p>
      <w:pPr>
        <w:spacing w:line="360" w:lineRule="auto"/>
        <w:ind w:firstLine="420" w:firstLineChars="200"/>
        <w:rPr>
          <w:rFonts w:ascii="Times New Roman" w:hAnsi="Times New Roman" w:eastAsia="宋体" w:cs="Times New Roman"/>
          <w:szCs w:val="21"/>
          <w:lang w:val="zh-CN"/>
        </w:rPr>
      </w:pPr>
      <w:r>
        <w:rPr>
          <w:rFonts w:ascii="Times New Roman" w:hAnsi="Times New Roman" w:eastAsia="宋体" w:cs="Times New Roman"/>
          <w:szCs w:val="21"/>
          <w:lang w:val="zh-CN"/>
        </w:rPr>
        <w:t xml:space="preserve">②、中标商与境外供应商约定外币计价的，汇率风险由中标商自行承担。 </w:t>
      </w:r>
    </w:p>
    <w:p>
      <w:pPr>
        <w:spacing w:line="360" w:lineRule="auto"/>
        <w:ind w:firstLine="420" w:firstLineChars="200"/>
        <w:rPr>
          <w:rFonts w:ascii="Times New Roman" w:hAnsi="Times New Roman" w:eastAsia="宋体" w:cs="Times New Roman"/>
          <w:szCs w:val="21"/>
          <w:lang w:val="zh-CN"/>
        </w:rPr>
      </w:pPr>
      <w:r>
        <w:rPr>
          <w:rFonts w:ascii="Times New Roman" w:hAnsi="Times New Roman" w:eastAsia="宋体" w:cs="Times New Roman"/>
          <w:szCs w:val="21"/>
          <w:lang w:val="zh-CN"/>
        </w:rPr>
        <w:t>③、如需</w:t>
      </w:r>
      <w:r>
        <w:rPr>
          <w:rFonts w:ascii="Times New Roman" w:hAnsi="Times New Roman" w:eastAsia="宋体" w:cs="Times New Roman"/>
          <w:szCs w:val="21"/>
        </w:rPr>
        <w:t>采购方</w:t>
      </w:r>
      <w:r>
        <w:rPr>
          <w:rFonts w:ascii="Times New Roman" w:hAnsi="Times New Roman" w:eastAsia="宋体" w:cs="Times New Roman"/>
          <w:szCs w:val="21"/>
          <w:lang w:val="zh-CN"/>
        </w:rPr>
        <w:t>办理进口</w:t>
      </w:r>
      <w:r>
        <w:rPr>
          <w:rFonts w:ascii="Times New Roman" w:hAnsi="Times New Roman" w:eastAsia="宋体" w:cs="Times New Roman"/>
          <w:szCs w:val="21"/>
        </w:rPr>
        <w:t>及</w:t>
      </w:r>
      <w:r>
        <w:rPr>
          <w:rFonts w:ascii="Times New Roman" w:hAnsi="Times New Roman" w:eastAsia="宋体" w:cs="Times New Roman"/>
          <w:szCs w:val="21"/>
          <w:lang w:val="zh-CN"/>
        </w:rPr>
        <w:t>减免税手续，由采购方指定外贸代理机构</w:t>
      </w:r>
      <w:r>
        <w:rPr>
          <w:rFonts w:ascii="Times New Roman" w:hAnsi="Times New Roman" w:eastAsia="宋体" w:cs="Times New Roman"/>
          <w:szCs w:val="21"/>
        </w:rPr>
        <w:t>办理</w:t>
      </w:r>
      <w:r>
        <w:rPr>
          <w:rFonts w:ascii="Times New Roman" w:hAnsi="Times New Roman" w:eastAsia="宋体" w:cs="Times New Roman"/>
          <w:szCs w:val="21"/>
          <w:lang w:val="zh-CN"/>
        </w:rPr>
        <w:t>，代理费包含在中标商人民币报价中</w:t>
      </w:r>
      <w:r>
        <w:rPr>
          <w:rFonts w:hint="eastAsia" w:ascii="Times New Roman" w:hAnsi="Times New Roman" w:eastAsia="宋体" w:cs="Times New Roman"/>
          <w:szCs w:val="21"/>
          <w:lang w:val="zh-CN"/>
        </w:rPr>
        <w:t>，</w:t>
      </w:r>
      <w:r>
        <w:rPr>
          <w:rFonts w:hint="eastAsia" w:ascii="Times New Roman" w:hAnsi="Times New Roman" w:eastAsia="宋体" w:cs="Times New Roman"/>
          <w:szCs w:val="21"/>
        </w:rPr>
        <w:t>如不能办理免税，相关税费由投标人承担</w:t>
      </w:r>
      <w:r>
        <w:rPr>
          <w:rFonts w:ascii="Times New Roman" w:hAnsi="Times New Roman" w:eastAsia="宋体" w:cs="Times New Roman"/>
          <w:szCs w:val="21"/>
          <w:lang w:val="zh-CN"/>
        </w:rPr>
        <w:t>。代理费相关事宜详细说明如下:</w:t>
      </w:r>
    </w:p>
    <w:p>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外贸代理费用包括外贸代理公司的服务费和代收费用，</w:t>
      </w:r>
      <w:r>
        <w:rPr>
          <w:rFonts w:ascii="Times New Roman" w:hAnsi="Times New Roman" w:eastAsia="宋体" w:cs="Times New Roman"/>
          <w:szCs w:val="21"/>
          <w:lang w:val="zh-CN"/>
        </w:rPr>
        <w:t>均包含在中标商人民币报价中</w:t>
      </w:r>
      <w:r>
        <w:rPr>
          <w:rFonts w:ascii="Times New Roman" w:hAnsi="Times New Roman" w:eastAsia="宋体" w:cs="Times New Roman"/>
          <w:szCs w:val="21"/>
        </w:rPr>
        <w:t>。为规范计费，将代收费用分为常规代收费和额外代收费两类。杭州进港杭州地区安装及约定的常规方式产生的代收费特指为常规代收费，服务费和常规代收费根据单个外贸合同的金额按下表费率包干计算：</w:t>
      </w:r>
    </w:p>
    <w:p>
      <w:pPr>
        <w:spacing w:line="360" w:lineRule="auto"/>
        <w:ind w:firstLine="420" w:firstLineChars="200"/>
        <w:jc w:val="left"/>
        <w:rPr>
          <w:rFonts w:ascii="Times New Roman" w:hAnsi="Times New Roman" w:eastAsia="宋体" w:cs="Times New Roman"/>
          <w:szCs w:val="21"/>
        </w:rPr>
      </w:pPr>
    </w:p>
    <w:tbl>
      <w:tblPr>
        <w:tblStyle w:val="4"/>
        <w:tblW w:w="5020" w:type="dxa"/>
        <w:jc w:val="center"/>
        <w:tblLayout w:type="autofit"/>
        <w:tblCellMar>
          <w:top w:w="0" w:type="dxa"/>
          <w:left w:w="108" w:type="dxa"/>
          <w:bottom w:w="0" w:type="dxa"/>
          <w:right w:w="108" w:type="dxa"/>
        </w:tblCellMar>
      </w:tblPr>
      <w:tblGrid>
        <w:gridCol w:w="2480"/>
        <w:gridCol w:w="2540"/>
      </w:tblGrid>
      <w:tr>
        <w:tblPrEx>
          <w:tblCellMar>
            <w:top w:w="0" w:type="dxa"/>
            <w:left w:w="108" w:type="dxa"/>
            <w:bottom w:w="0" w:type="dxa"/>
            <w:right w:w="108" w:type="dxa"/>
          </w:tblCellMar>
        </w:tblPrEx>
        <w:trPr>
          <w:trHeight w:val="391" w:hRule="atLeast"/>
          <w:jc w:val="center"/>
        </w:trPr>
        <w:tc>
          <w:tcPr>
            <w:tcW w:w="2480" w:type="dxa"/>
            <w:tcBorders>
              <w:top w:val="single" w:color="auto" w:sz="8" w:space="0"/>
              <w:left w:val="single" w:color="auto" w:sz="8" w:space="0"/>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代理金额(单票)</w:t>
            </w:r>
          </w:p>
        </w:tc>
        <w:tc>
          <w:tcPr>
            <w:tcW w:w="2540" w:type="dxa"/>
            <w:tcBorders>
              <w:top w:val="single" w:color="auto" w:sz="8" w:space="0"/>
              <w:left w:val="nil"/>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招标代理公司所有项目</w:t>
            </w:r>
          </w:p>
        </w:tc>
      </w:tr>
      <w:tr>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1.4万USD以下</w:t>
            </w:r>
          </w:p>
        </w:tc>
        <w:tc>
          <w:tcPr>
            <w:tcW w:w="2540" w:type="dxa"/>
            <w:tcBorders>
              <w:top w:val="nil"/>
              <w:left w:val="nil"/>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p>
        </w:tc>
      </w:tr>
      <w:tr>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［1.4-5)万USD</w:t>
            </w:r>
          </w:p>
        </w:tc>
        <w:tc>
          <w:tcPr>
            <w:tcW w:w="2540" w:type="dxa"/>
            <w:tcBorders>
              <w:top w:val="nil"/>
              <w:left w:val="nil"/>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hint="eastAsia" w:ascii="Times New Roman" w:hAnsi="Times New Roman" w:eastAsia="宋体" w:cs="Times New Roman"/>
                <w:kern w:val="0"/>
                <w:szCs w:val="21"/>
              </w:rPr>
              <w:t>2.0</w:t>
            </w:r>
            <w:r>
              <w:rPr>
                <w:rFonts w:ascii="Times New Roman" w:hAnsi="Times New Roman" w:eastAsia="宋体" w:cs="Times New Roman"/>
                <w:kern w:val="0"/>
                <w:szCs w:val="21"/>
              </w:rPr>
              <w:t>%</w:t>
            </w:r>
          </w:p>
        </w:tc>
      </w:tr>
      <w:tr>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［5-10)万USD</w:t>
            </w:r>
          </w:p>
        </w:tc>
        <w:tc>
          <w:tcPr>
            <w:tcW w:w="2540" w:type="dxa"/>
            <w:tcBorders>
              <w:top w:val="nil"/>
              <w:left w:val="nil"/>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r>
              <w:rPr>
                <w:rFonts w:hint="eastAsia" w:ascii="Times New Roman" w:hAnsi="Times New Roman" w:eastAsia="宋体" w:cs="Times New Roman"/>
                <w:kern w:val="0"/>
                <w:szCs w:val="21"/>
              </w:rPr>
              <w:t>5</w:t>
            </w:r>
            <w:r>
              <w:rPr>
                <w:rFonts w:ascii="Times New Roman" w:hAnsi="Times New Roman" w:eastAsia="宋体" w:cs="Times New Roman"/>
                <w:kern w:val="0"/>
                <w:szCs w:val="21"/>
              </w:rPr>
              <w:t>%</w:t>
            </w:r>
          </w:p>
        </w:tc>
      </w:tr>
      <w:tr>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［10-20)万USD</w:t>
            </w:r>
          </w:p>
        </w:tc>
        <w:tc>
          <w:tcPr>
            <w:tcW w:w="2540" w:type="dxa"/>
            <w:tcBorders>
              <w:top w:val="nil"/>
              <w:left w:val="nil"/>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r>
              <w:rPr>
                <w:rFonts w:hint="eastAsia" w:ascii="Times New Roman" w:hAnsi="Times New Roman" w:eastAsia="宋体" w:cs="Times New Roman"/>
                <w:kern w:val="0"/>
                <w:szCs w:val="21"/>
              </w:rPr>
              <w:t>2</w:t>
            </w:r>
            <w:r>
              <w:rPr>
                <w:rFonts w:ascii="Times New Roman" w:hAnsi="Times New Roman" w:eastAsia="宋体" w:cs="Times New Roman"/>
                <w:kern w:val="0"/>
                <w:szCs w:val="21"/>
              </w:rPr>
              <w:t>%</w:t>
            </w:r>
          </w:p>
        </w:tc>
      </w:tr>
      <w:tr>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［20-50)万USD</w:t>
            </w:r>
          </w:p>
        </w:tc>
        <w:tc>
          <w:tcPr>
            <w:tcW w:w="2540" w:type="dxa"/>
            <w:tcBorders>
              <w:top w:val="nil"/>
              <w:left w:val="nil"/>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0.</w:t>
            </w:r>
            <w:r>
              <w:rPr>
                <w:rFonts w:hint="eastAsia" w:ascii="Times New Roman" w:hAnsi="Times New Roman" w:eastAsia="宋体" w:cs="Times New Roman"/>
                <w:kern w:val="0"/>
                <w:szCs w:val="21"/>
              </w:rPr>
              <w:t>7</w:t>
            </w:r>
            <w:r>
              <w:rPr>
                <w:rFonts w:ascii="Times New Roman" w:hAnsi="Times New Roman" w:eastAsia="宋体" w:cs="Times New Roman"/>
                <w:kern w:val="0"/>
                <w:szCs w:val="21"/>
              </w:rPr>
              <w:t>%</w:t>
            </w:r>
          </w:p>
        </w:tc>
      </w:tr>
      <w:tr>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50万USD及以上</w:t>
            </w:r>
          </w:p>
        </w:tc>
        <w:tc>
          <w:tcPr>
            <w:tcW w:w="2540" w:type="dxa"/>
            <w:tcBorders>
              <w:top w:val="nil"/>
              <w:left w:val="nil"/>
              <w:bottom w:val="single" w:color="auto" w:sz="8" w:space="0"/>
              <w:right w:val="single" w:color="auto" w:sz="8" w:space="0"/>
            </w:tcBorders>
            <w:vAlign w:val="center"/>
          </w:tcPr>
          <w:p>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0.</w:t>
            </w:r>
            <w:r>
              <w:rPr>
                <w:rFonts w:hint="eastAsia" w:ascii="Times New Roman" w:hAnsi="Times New Roman" w:eastAsia="宋体" w:cs="Times New Roman"/>
                <w:kern w:val="0"/>
                <w:szCs w:val="21"/>
              </w:rPr>
              <w:t>5</w:t>
            </w:r>
            <w:r>
              <w:rPr>
                <w:rFonts w:ascii="Times New Roman" w:hAnsi="Times New Roman" w:eastAsia="宋体" w:cs="Times New Roman"/>
                <w:kern w:val="0"/>
                <w:szCs w:val="21"/>
              </w:rPr>
              <w:t>%</w:t>
            </w:r>
          </w:p>
        </w:tc>
      </w:tr>
    </w:tbl>
    <w:p>
      <w:pPr>
        <w:spacing w:line="360" w:lineRule="auto"/>
        <w:ind w:firstLine="420" w:firstLineChars="200"/>
        <w:jc w:val="left"/>
        <w:rPr>
          <w:rFonts w:ascii="Times New Roman" w:hAnsi="Times New Roman" w:eastAsia="宋体" w:cs="Times New Roman"/>
          <w:szCs w:val="21"/>
        </w:rPr>
      </w:pPr>
    </w:p>
    <w:p>
      <w:pPr>
        <w:spacing w:line="360" w:lineRule="auto"/>
        <w:ind w:firstLine="420" w:firstLineChars="200"/>
        <w:jc w:val="left"/>
        <w:rPr>
          <w:rFonts w:ascii="Times New Roman" w:hAnsi="Times New Roman" w:eastAsia="宋体" w:cs="Times New Roman"/>
          <w:szCs w:val="21"/>
        </w:rPr>
      </w:pPr>
    </w:p>
    <w:p>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以上费率不含额外代收费。额外代收费指在办理进口及减免税过程中因故不能按约定的常规方式办理导致的额外支出，如以下费用：</w:t>
      </w:r>
    </w:p>
    <w:p>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1）、将一次性支付变更为多次付费的，由提出方承担增加的银行费用。如一个成交项目需要分开签署多份外贸合同的，每个合同根据合同金额所处区间确定代理费率。</w:t>
      </w:r>
    </w:p>
    <w:p>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2）、货物到港地为杭州以外的异地目的港，或者货物最终目的地为杭州以外的异地地点时，需要产生的额外运费、保险费和搬卸费。</w:t>
      </w:r>
    </w:p>
    <w:p>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 xml:space="preserve">3）、海运进口换单费超出 300元/票的部分 (此条款针对个别海运进口的供应商，在发货当地选择价格特别低廉甚至0成本运费的方式，从而把物流成本转嫁到国内段，以换单费等形式向国内客户收取的情况)。 </w:t>
      </w:r>
    </w:p>
    <w:p>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4）、特种设备检测费、能效检测费、最终用户和最终用途说明办理费用；特殊物品生物卫生检验备案费等其它特殊收费；因特殊原因导致额外增加的仓储费，如入冷冻仓库和危险品仓库的仓储费；需要使用特殊运输车辆（如避震车、冷链运输等）的费用；试剂类产品额外增加费用。</w:t>
      </w:r>
    </w:p>
    <w:p>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5）、因供应商指定货代导致的额外费用。</w:t>
      </w:r>
    </w:p>
    <w:p>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如遇以上未涉及的收费，参照以上协商处理。</w:t>
      </w:r>
    </w:p>
    <w:p>
      <w:pPr>
        <w:spacing w:line="360" w:lineRule="auto"/>
        <w:ind w:firstLine="420" w:firstLineChars="200"/>
        <w:jc w:val="left"/>
        <w:rPr>
          <w:rFonts w:ascii="Times New Roman" w:hAnsi="Times New Roman" w:eastAsia="宋体" w:cs="Times New Roman"/>
          <w:szCs w:val="21"/>
          <w:lang w:val="zh-CN"/>
        </w:rPr>
      </w:pPr>
      <w:r>
        <w:rPr>
          <w:rFonts w:ascii="Times New Roman" w:hAnsi="Times New Roman" w:eastAsia="宋体" w:cs="Times New Roman"/>
          <w:szCs w:val="21"/>
        </w:rPr>
        <w:t>额外代收费用</w:t>
      </w:r>
      <w:r>
        <w:rPr>
          <w:rFonts w:ascii="Times New Roman" w:hAnsi="Times New Roman" w:eastAsia="宋体" w:cs="Times New Roman"/>
          <w:szCs w:val="21"/>
          <w:lang w:val="zh-CN"/>
        </w:rPr>
        <w:t>包含在中标商人民币报价中</w:t>
      </w:r>
      <w:r>
        <w:rPr>
          <w:rFonts w:ascii="Times New Roman" w:hAnsi="Times New Roman" w:eastAsia="宋体" w:cs="Times New Roman"/>
          <w:szCs w:val="21"/>
        </w:rPr>
        <w:t>，外贸代理公司在结算时需向收费人列出明细及单据，并接受浙江大学采购中心的监督</w:t>
      </w:r>
      <w:r>
        <w:rPr>
          <w:rFonts w:ascii="Times New Roman" w:hAnsi="Times New Roman" w:eastAsia="宋体" w:cs="Times New Roman"/>
          <w:szCs w:val="21"/>
          <w:lang w:val="zh-CN"/>
        </w:rPr>
        <w:t xml:space="preserve">。 </w:t>
      </w:r>
    </w:p>
    <w:p>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FmMzZjMWYzNzM1NDg3OTFhNGJlM2RjYzFjMzcyMjQifQ=="/>
  </w:docVars>
  <w:rsids>
    <w:rsidRoot w:val="38565E9C"/>
    <w:rsid w:val="2992653F"/>
    <w:rsid w:val="38565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qFormat/>
    <w:uiPriority w:val="9"/>
    <w:pPr>
      <w:keepNext/>
      <w:spacing w:line="360" w:lineRule="auto"/>
      <w:jc w:val="center"/>
      <w:outlineLvl w:val="0"/>
    </w:pPr>
    <w:rPr>
      <w:rFonts w:ascii="Arial" w:hAnsi="Arial" w:eastAsia="华文中宋" w:cs="Times New Roman"/>
      <w:b/>
      <w:color w:val="000000"/>
      <w:sz w:val="32"/>
      <w:szCs w:val="24"/>
      <w:lang w:val="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next w:val="1"/>
    <w:qFormat/>
    <w:uiPriority w:val="0"/>
    <w:rPr>
      <w:rFonts w:ascii="宋体" w:hAnsi="Courier New" w:eastAsia="宋体" w:cs="Times New Roman"/>
      <w:szCs w:val="20"/>
    </w:rPr>
  </w:style>
  <w:style w:type="paragraph" w:customStyle="1" w:styleId="6">
    <w:name w:val="王爽 标题2"/>
    <w:basedOn w:val="1"/>
    <w:qFormat/>
    <w:uiPriority w:val="0"/>
    <w:pPr>
      <w:spacing w:line="360" w:lineRule="auto"/>
      <w:jc w:val="center"/>
    </w:pPr>
    <w:rPr>
      <w:rFonts w:hint="eastAsia" w:ascii="Times New Roman" w:hAnsi="Times New Roman" w:eastAsia="黑体" w:cs="宋体"/>
      <w:b/>
      <w:bCs/>
      <w:snapToGrid w:val="0"/>
      <w:sz w:val="32"/>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2025-06-11T10:06:00Z</dcterms:created>
  <dc:creator>小桃儿</dc:creator>
  <cp:lastModifiedBy>小桃儿</cp:lastModifiedBy>
  <dcterms:modified xsi:type="dcterms:W3CDTF">2025-06-11T10:06:44Z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DB8B69F10F4B435F8117915FA5A2EC8C_11</vt:lpwstr>
  </property>
</Properties>
</file>