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napToGrid w:val="0"/>
        <w:spacing w:line="360" w:lineRule="auto"/>
        <w:jc w:val="center"/>
        <w:rPr>
          <w:rFonts w:asciiTheme="minorEastAsia" w:hAnsiTheme="minorEastAsia" w:eastAsiaTheme="minorEastAsia"/>
          <w:b/>
          <w:sz w:val="52"/>
          <w:szCs w:val="52"/>
        </w:rPr>
      </w:pPr>
      <w:r>
        <w:rPr>
          <w:rFonts w:hint="eastAsia" w:asciiTheme="minorEastAsia" w:hAnsiTheme="minorEastAsia" w:eastAsiaTheme="minorEastAsia"/>
          <w:b/>
          <w:bCs/>
          <w:sz w:val="44"/>
          <w:szCs w:val="44"/>
        </w:rPr>
        <w:t>华北电力大学核反应堆物理屏蔽高性能计算分析、运行维护保障系统建设项目</w:t>
      </w:r>
    </w:p>
    <w:p>
      <w:pPr>
        <w:spacing w:line="360" w:lineRule="auto"/>
        <w:jc w:val="center"/>
        <w:rPr>
          <w:rFonts w:asciiTheme="minorEastAsia" w:hAnsiTheme="minorEastAsia" w:eastAsiaTheme="minorEastAsia"/>
          <w:b/>
          <w:bCs/>
          <w:sz w:val="44"/>
          <w:szCs w:val="44"/>
        </w:rPr>
      </w:pPr>
    </w:p>
    <w:p>
      <w:pPr>
        <w:spacing w:line="360" w:lineRule="auto"/>
        <w:jc w:val="center"/>
        <w:rPr>
          <w:rFonts w:asciiTheme="minorEastAsia" w:hAnsiTheme="minorEastAsia" w:eastAsiaTheme="minorEastAsia"/>
          <w:b/>
          <w:sz w:val="30"/>
          <w:szCs w:val="30"/>
        </w:rPr>
      </w:pPr>
      <w:r>
        <w:rPr>
          <w:rFonts w:hint="eastAsia" w:asciiTheme="minorEastAsia" w:hAnsiTheme="minorEastAsia" w:eastAsiaTheme="minorEastAsia"/>
          <w:b/>
          <w:sz w:val="84"/>
          <w:szCs w:val="84"/>
        </w:rPr>
        <w:t>招标文件</w:t>
      </w:r>
    </w:p>
    <w:p>
      <w:pPr>
        <w:spacing w:line="360" w:lineRule="auto"/>
        <w:ind w:firstLine="904" w:firstLineChars="300"/>
        <w:rPr>
          <w:rFonts w:asciiTheme="minorEastAsia" w:hAnsiTheme="minorEastAsia" w:eastAsiaTheme="minorEastAsia"/>
          <w:b/>
          <w:sz w:val="30"/>
          <w:szCs w:val="30"/>
        </w:rPr>
      </w:pPr>
    </w:p>
    <w:p>
      <w:pPr>
        <w:spacing w:line="360" w:lineRule="auto"/>
        <w:jc w:val="center"/>
        <w:rPr>
          <w:rFonts w:asciiTheme="minorEastAsia" w:hAnsiTheme="minorEastAsia" w:eastAsiaTheme="minorEastAsia"/>
          <w:b/>
          <w:sz w:val="30"/>
          <w:szCs w:val="30"/>
        </w:rPr>
      </w:pPr>
      <w:r>
        <w:rPr>
          <w:rFonts w:hint="eastAsia" w:asciiTheme="minorEastAsia" w:hAnsiTheme="minorEastAsia" w:eastAsiaTheme="minorEastAsia"/>
          <w:b/>
          <w:sz w:val="32"/>
          <w:szCs w:val="32"/>
        </w:rPr>
        <w:t>项目编号：</w:t>
      </w:r>
      <w:r>
        <w:rPr>
          <w:rFonts w:asciiTheme="minorEastAsia" w:hAnsiTheme="minorEastAsia" w:eastAsiaTheme="minorEastAsia"/>
          <w:b/>
          <w:sz w:val="32"/>
          <w:szCs w:val="32"/>
        </w:rPr>
        <w:t>HCZB-2018-ZB0941</w:t>
      </w:r>
    </w:p>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rPr>
        <w:drawing>
          <wp:inline distT="0" distB="0" distL="0" distR="0">
            <wp:extent cx="3750310" cy="4882515"/>
            <wp:effectExtent l="0" t="0" r="254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16" cstate="print">
                      <a:lum contrast="20000"/>
                    </a:blip>
                    <a:srcRect/>
                    <a:stretch>
                      <a:fillRect/>
                    </a:stretch>
                  </pic:blipFill>
                  <pic:spPr>
                    <a:xfrm>
                      <a:off x="0" y="0"/>
                      <a:ext cx="3752850" cy="4885730"/>
                    </a:xfrm>
                    <a:prstGeom prst="rect">
                      <a:avLst/>
                    </a:prstGeom>
                    <a:noFill/>
                    <a:ln w="9525">
                      <a:noFill/>
                      <a:miter lim="800000"/>
                      <a:headEnd/>
                      <a:tailEnd/>
                    </a:ln>
                  </pic:spPr>
                </pic:pic>
              </a:graphicData>
            </a:graphic>
          </wp:inline>
        </w:drawing>
      </w:r>
    </w:p>
    <w:p>
      <w:pPr>
        <w:spacing w:line="360" w:lineRule="auto"/>
        <w:jc w:val="center"/>
        <w:rPr>
          <w:rFonts w:asciiTheme="minorEastAsia" w:hAnsiTheme="minorEastAsia" w:eastAsiaTheme="minorEastAsia"/>
          <w:b/>
          <w:w w:val="80"/>
          <w:sz w:val="32"/>
        </w:rPr>
      </w:pPr>
      <w:r>
        <w:rPr>
          <w:rFonts w:hint="eastAsia" w:asciiTheme="minorEastAsia" w:hAnsiTheme="minorEastAsia" w:eastAsiaTheme="minorEastAsia"/>
          <w:b/>
          <w:w w:val="80"/>
          <w:sz w:val="32"/>
        </w:rPr>
        <w:t>北京华采招标代理有限公司</w:t>
      </w:r>
    </w:p>
    <w:p>
      <w:pPr>
        <w:spacing w:line="360" w:lineRule="auto"/>
        <w:jc w:val="center"/>
        <w:rPr>
          <w:rFonts w:asciiTheme="minorEastAsia" w:hAnsiTheme="minorEastAsia" w:eastAsiaTheme="minorEastAsia"/>
          <w:b/>
          <w:w w:val="80"/>
          <w:sz w:val="32"/>
        </w:rPr>
        <w:sectPr>
          <w:footerReference r:id="rId3" w:type="default"/>
          <w:footerReference r:id="rId4" w:type="even"/>
          <w:pgSz w:w="11907" w:h="16840"/>
          <w:pgMar w:top="1089" w:right="1418" w:bottom="1021" w:left="1418" w:header="851" w:footer="851" w:gutter="0"/>
          <w:pgNumType w:start="1"/>
          <w:cols w:space="720" w:num="1"/>
          <w:titlePg/>
          <w:docGrid w:linePitch="462" w:charSpace="0"/>
        </w:sectPr>
      </w:pPr>
      <w:r>
        <w:rPr>
          <w:rFonts w:hint="eastAsia" w:asciiTheme="minorEastAsia" w:hAnsiTheme="minorEastAsia" w:eastAsiaTheme="minorEastAsia"/>
          <w:b/>
          <w:w w:val="80"/>
          <w:sz w:val="32"/>
        </w:rPr>
        <w:t>201</w:t>
      </w:r>
      <w:r>
        <w:rPr>
          <w:rFonts w:asciiTheme="minorEastAsia" w:hAnsiTheme="minorEastAsia" w:eastAsiaTheme="minorEastAsia"/>
          <w:b/>
          <w:w w:val="80"/>
          <w:sz w:val="32"/>
        </w:rPr>
        <w:t>8</w:t>
      </w:r>
      <w:r>
        <w:rPr>
          <w:rFonts w:hint="eastAsia" w:asciiTheme="minorEastAsia" w:hAnsiTheme="minorEastAsia" w:eastAsiaTheme="minorEastAsia"/>
          <w:b/>
          <w:w w:val="80"/>
          <w:sz w:val="32"/>
        </w:rPr>
        <w:t>年</w:t>
      </w:r>
      <w:r>
        <w:rPr>
          <w:rFonts w:asciiTheme="minorEastAsia" w:hAnsiTheme="minorEastAsia" w:eastAsiaTheme="minorEastAsia"/>
          <w:b/>
          <w:w w:val="80"/>
          <w:sz w:val="32"/>
        </w:rPr>
        <w:t>10</w:t>
      </w:r>
      <w:r>
        <w:rPr>
          <w:rFonts w:hint="eastAsia" w:asciiTheme="minorEastAsia" w:hAnsiTheme="minorEastAsia" w:eastAsiaTheme="minorEastAsia"/>
          <w:b/>
          <w:w w:val="80"/>
          <w:sz w:val="32"/>
        </w:rPr>
        <w:t>月</w:t>
      </w:r>
    </w:p>
    <w:p>
      <w:pPr>
        <w:pStyle w:val="29"/>
        <w:tabs>
          <w:tab w:val="right" w:leader="dot" w:pos="9061"/>
        </w:tabs>
        <w:jc w:val="center"/>
        <w:rPr>
          <w:rFonts w:asciiTheme="minorEastAsia" w:hAnsiTheme="minorEastAsia" w:eastAsiaTheme="minorEastAsia"/>
          <w:sz w:val="30"/>
          <w:szCs w:val="30"/>
        </w:rPr>
      </w:pPr>
      <w:bookmarkStart w:id="0" w:name="_Toc310196405"/>
      <w:bookmarkStart w:id="1" w:name="_Toc310195689"/>
      <w:bookmarkStart w:id="2" w:name="_Toc310195773"/>
      <w:r>
        <w:rPr>
          <w:rFonts w:hint="eastAsia" w:asciiTheme="minorEastAsia" w:hAnsiTheme="minorEastAsia" w:eastAsiaTheme="minorEastAsia"/>
          <w:sz w:val="30"/>
          <w:szCs w:val="30"/>
        </w:rPr>
        <w:t>目录</w:t>
      </w:r>
      <w:bookmarkEnd w:id="0"/>
      <w:bookmarkEnd w:id="1"/>
      <w:bookmarkEnd w:id="2"/>
      <w:bookmarkStart w:id="3" w:name="_Toc236642918"/>
    </w:p>
    <w:p>
      <w:pPr>
        <w:pStyle w:val="29"/>
        <w:tabs>
          <w:tab w:val="right" w:leader="dot" w:pos="9061"/>
        </w:tabs>
        <w:rPr>
          <w:rFonts w:asciiTheme="minorHAnsi" w:hAnsiTheme="minorHAnsi" w:eastAsiaTheme="minorEastAsia" w:cstheme="minorBidi"/>
          <w:b w:val="0"/>
          <w:bCs w:val="0"/>
          <w:iCs w:val="0"/>
          <w:sz w:val="21"/>
          <w:szCs w:val="22"/>
        </w:rPr>
      </w:pPr>
      <w:r>
        <w:rPr>
          <w:rFonts w:asciiTheme="minorEastAsia" w:hAnsiTheme="minorEastAsia" w:eastAsiaTheme="minorEastAsia"/>
          <w:b w:val="0"/>
          <w:iCs w:val="0"/>
          <w:sz w:val="30"/>
          <w:szCs w:val="30"/>
        </w:rPr>
        <w:fldChar w:fldCharType="begin"/>
      </w:r>
      <w:r>
        <w:rPr>
          <w:rFonts w:hint="eastAsia" w:asciiTheme="minorEastAsia" w:hAnsiTheme="minorEastAsia" w:eastAsiaTheme="minorEastAsia"/>
          <w:sz w:val="30"/>
          <w:szCs w:val="30"/>
        </w:rPr>
        <w:instrText xml:space="preserve">TOC \o "1-3" \h \z \u</w:instrText>
      </w:r>
      <w:r>
        <w:rPr>
          <w:rFonts w:asciiTheme="minorEastAsia" w:hAnsiTheme="minorEastAsia" w:eastAsiaTheme="minorEastAsia"/>
          <w:b w:val="0"/>
          <w:iCs w:val="0"/>
          <w:sz w:val="30"/>
          <w:szCs w:val="30"/>
        </w:rPr>
        <w:fldChar w:fldCharType="separate"/>
      </w:r>
      <w:r>
        <w:fldChar w:fldCharType="begin"/>
      </w:r>
      <w:r>
        <w:instrText xml:space="preserve"> HYPERLINK \l "_Toc529435012" </w:instrText>
      </w:r>
      <w:r>
        <w:fldChar w:fldCharType="separate"/>
      </w:r>
      <w:r>
        <w:rPr>
          <w:rStyle w:val="48"/>
          <w:rFonts w:hint="eastAsia" w:asciiTheme="minorEastAsia" w:hAnsiTheme="minorEastAsia"/>
        </w:rPr>
        <w:t>第一章投标邀请</w:t>
      </w:r>
      <w:r>
        <w:tab/>
      </w:r>
      <w:r>
        <w:fldChar w:fldCharType="begin"/>
      </w:r>
      <w:r>
        <w:instrText xml:space="preserve"> PAGEREF _Toc529435012 \h </w:instrText>
      </w:r>
      <w:r>
        <w:fldChar w:fldCharType="separate"/>
      </w:r>
      <w:r>
        <w:t>4</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"_Toc529435013" </w:instrText>
      </w:r>
      <w:r>
        <w:fldChar w:fldCharType="separate"/>
      </w:r>
      <w:r>
        <w:rPr>
          <w:rStyle w:val="48"/>
          <w:rFonts w:hint="eastAsia" w:asciiTheme="minorEastAsia" w:hAnsiTheme="minorEastAsia"/>
        </w:rPr>
        <w:t>第二章投标须知资料表</w:t>
      </w:r>
      <w:r>
        <w:tab/>
      </w:r>
      <w:r>
        <w:fldChar w:fldCharType="begin"/>
      </w:r>
      <w:r>
        <w:instrText xml:space="preserve"> PAGEREF _Toc529435013 \h </w:instrText>
      </w:r>
      <w:r>
        <w:fldChar w:fldCharType="separate"/>
      </w:r>
      <w:r>
        <w:t>6</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"_Toc529435014" </w:instrText>
      </w:r>
      <w:r>
        <w:fldChar w:fldCharType="separate"/>
      </w:r>
      <w:r>
        <w:rPr>
          <w:rStyle w:val="48"/>
          <w:rFonts w:hint="eastAsia" w:asciiTheme="minorEastAsia" w:hAnsiTheme="minorEastAsia"/>
        </w:rPr>
        <w:t>第三章投标须知</w:t>
      </w:r>
      <w:r>
        <w:tab/>
      </w:r>
      <w:r>
        <w:fldChar w:fldCharType="begin"/>
      </w:r>
      <w:r>
        <w:instrText xml:space="preserve"> PAGEREF _Toc529435014 \h </w:instrText>
      </w:r>
      <w:r>
        <w:fldChar w:fldCharType="separate"/>
      </w:r>
      <w:r>
        <w:t>10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"_Toc529435015" </w:instrText>
      </w:r>
      <w:r>
        <w:fldChar w:fldCharType="separate"/>
      </w:r>
      <w:r>
        <w:rPr>
          <w:rStyle w:val="48"/>
          <w:rFonts w:hint="eastAsia" w:asciiTheme="minorEastAsia" w:hAnsiTheme="minorEastAsia"/>
        </w:rPr>
        <w:t>一说明</w:t>
      </w:r>
      <w:r>
        <w:tab/>
      </w:r>
      <w:r>
        <w:fldChar w:fldCharType="begin"/>
      </w:r>
      <w:r>
        <w:instrText xml:space="preserve"> PAGEREF _Toc529435015 \h </w:instrText>
      </w:r>
      <w:r>
        <w:fldChar w:fldCharType="separate"/>
      </w:r>
      <w:r>
        <w:t>10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"_Toc529435016" </w:instrText>
      </w:r>
      <w:r>
        <w:fldChar w:fldCharType="separate"/>
      </w:r>
      <w:r>
        <w:rPr>
          <w:rStyle w:val="48"/>
          <w:rFonts w:asciiTheme="minorEastAsia" w:hAnsiTheme="minorEastAsia"/>
        </w:rPr>
        <w:t xml:space="preserve">1. </w:t>
      </w:r>
      <w:r>
        <w:rPr>
          <w:rStyle w:val="48"/>
          <w:rFonts w:hint="eastAsia" w:asciiTheme="minorEastAsia" w:hAnsiTheme="minorEastAsia"/>
        </w:rPr>
        <w:t>采购人、采购代理机构及合格的投标人</w:t>
      </w:r>
      <w:r>
        <w:tab/>
      </w:r>
      <w:r>
        <w:fldChar w:fldCharType="begin"/>
      </w:r>
      <w:r>
        <w:instrText xml:space="preserve"> PAGEREF _Toc529435016 \h </w:instrText>
      </w:r>
      <w:r>
        <w:fldChar w:fldCharType="separate"/>
      </w:r>
      <w:r>
        <w:t>10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"_Toc529435017" </w:instrText>
      </w:r>
      <w:r>
        <w:fldChar w:fldCharType="separate"/>
      </w:r>
      <w:r>
        <w:rPr>
          <w:rStyle w:val="48"/>
          <w:rFonts w:asciiTheme="minorEastAsia" w:hAnsiTheme="minorEastAsia"/>
        </w:rPr>
        <w:t xml:space="preserve">2. </w:t>
      </w:r>
      <w:r>
        <w:rPr>
          <w:rStyle w:val="48"/>
          <w:rFonts w:hint="eastAsia" w:asciiTheme="minorEastAsia" w:hAnsiTheme="minorEastAsia"/>
        </w:rPr>
        <w:t>资金来源</w:t>
      </w:r>
      <w:r>
        <w:tab/>
      </w:r>
      <w:r>
        <w:fldChar w:fldCharType="begin"/>
      </w:r>
      <w:r>
        <w:instrText xml:space="preserve"> PAGEREF _Toc529435017 \h </w:instrText>
      </w:r>
      <w:r>
        <w:fldChar w:fldCharType="separate"/>
      </w:r>
      <w:r>
        <w:t>11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"_Toc529435018" </w:instrText>
      </w:r>
      <w:r>
        <w:fldChar w:fldCharType="separate"/>
      </w:r>
      <w:r>
        <w:rPr>
          <w:rStyle w:val="48"/>
          <w:rFonts w:asciiTheme="minorEastAsia" w:hAnsiTheme="minorEastAsia"/>
        </w:rPr>
        <w:t xml:space="preserve">3. </w:t>
      </w:r>
      <w:r>
        <w:rPr>
          <w:rStyle w:val="48"/>
          <w:rFonts w:hint="eastAsia" w:asciiTheme="minorEastAsia" w:hAnsiTheme="minorEastAsia"/>
        </w:rPr>
        <w:t>投标费用</w:t>
      </w:r>
      <w:r>
        <w:tab/>
      </w:r>
      <w:r>
        <w:fldChar w:fldCharType="begin"/>
      </w:r>
      <w:r>
        <w:instrText xml:space="preserve"> PAGEREF _Toc529435018 \h </w:instrText>
      </w:r>
      <w:r>
        <w:fldChar w:fldCharType="separate"/>
      </w:r>
      <w:r>
        <w:t>11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"_Toc529435019" </w:instrText>
      </w:r>
      <w:r>
        <w:fldChar w:fldCharType="separate"/>
      </w:r>
      <w:r>
        <w:rPr>
          <w:rStyle w:val="48"/>
          <w:rFonts w:hint="eastAsia" w:asciiTheme="minorEastAsia" w:hAnsiTheme="minorEastAsia"/>
        </w:rPr>
        <w:t>二招标文件</w:t>
      </w:r>
      <w:r>
        <w:tab/>
      </w:r>
      <w:r>
        <w:fldChar w:fldCharType="begin"/>
      </w:r>
      <w:r>
        <w:instrText xml:space="preserve"> PAGEREF _Toc529435019 \h </w:instrText>
      </w:r>
      <w:r>
        <w:fldChar w:fldCharType="separate"/>
      </w:r>
      <w:r>
        <w:t>12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"_Toc529435020" </w:instrText>
      </w:r>
      <w:r>
        <w:fldChar w:fldCharType="separate"/>
      </w:r>
      <w:r>
        <w:rPr>
          <w:rStyle w:val="48"/>
          <w:rFonts w:asciiTheme="minorEastAsia" w:hAnsiTheme="minorEastAsia"/>
        </w:rPr>
        <w:t xml:space="preserve">4. </w:t>
      </w:r>
      <w:r>
        <w:rPr>
          <w:rStyle w:val="48"/>
          <w:rFonts w:hint="eastAsia" w:asciiTheme="minorEastAsia" w:hAnsiTheme="minorEastAsia"/>
        </w:rPr>
        <w:t>招标文件构成</w:t>
      </w:r>
      <w:r>
        <w:tab/>
      </w:r>
      <w:r>
        <w:fldChar w:fldCharType="begin"/>
      </w:r>
      <w:r>
        <w:instrText xml:space="preserve"> PAGEREF _Toc529435020 \h </w:instrText>
      </w:r>
      <w:r>
        <w:fldChar w:fldCharType="separate"/>
      </w:r>
      <w:r>
        <w:t>12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"_Toc529435021" </w:instrText>
      </w:r>
      <w:r>
        <w:fldChar w:fldCharType="separate"/>
      </w:r>
      <w:r>
        <w:rPr>
          <w:rStyle w:val="48"/>
          <w:rFonts w:asciiTheme="minorEastAsia" w:hAnsiTheme="minorEastAsia"/>
        </w:rPr>
        <w:t xml:space="preserve">5. </w:t>
      </w:r>
      <w:r>
        <w:rPr>
          <w:rStyle w:val="48"/>
          <w:rFonts w:hint="eastAsia" w:asciiTheme="minorEastAsia" w:hAnsiTheme="minorEastAsia"/>
        </w:rPr>
        <w:t>招标文件的澄清</w:t>
      </w:r>
      <w:r>
        <w:tab/>
      </w:r>
      <w:r>
        <w:fldChar w:fldCharType="begin"/>
      </w:r>
      <w:r>
        <w:instrText xml:space="preserve"> PAGEREF _Toc529435021 \h </w:instrText>
      </w:r>
      <w:r>
        <w:fldChar w:fldCharType="separate"/>
      </w:r>
      <w:r>
        <w:t>12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"_Toc529435022" </w:instrText>
      </w:r>
      <w:r>
        <w:fldChar w:fldCharType="separate"/>
      </w:r>
      <w:r>
        <w:rPr>
          <w:rStyle w:val="48"/>
          <w:rFonts w:asciiTheme="minorEastAsia" w:hAnsiTheme="minorEastAsia"/>
        </w:rPr>
        <w:t xml:space="preserve">6. </w:t>
      </w:r>
      <w:r>
        <w:rPr>
          <w:rStyle w:val="48"/>
          <w:rFonts w:hint="eastAsia" w:asciiTheme="minorEastAsia" w:hAnsiTheme="minorEastAsia"/>
        </w:rPr>
        <w:t>招标文件的修改</w:t>
      </w:r>
      <w:r>
        <w:tab/>
      </w:r>
      <w:r>
        <w:fldChar w:fldCharType="begin"/>
      </w:r>
      <w:r>
        <w:instrText xml:space="preserve"> PAGEREF _Toc529435022 \h </w:instrText>
      </w:r>
      <w:r>
        <w:fldChar w:fldCharType="separate"/>
      </w:r>
      <w:r>
        <w:t>12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"_Toc529435023" </w:instrText>
      </w:r>
      <w:r>
        <w:fldChar w:fldCharType="separate"/>
      </w:r>
      <w:r>
        <w:rPr>
          <w:rStyle w:val="48"/>
          <w:rFonts w:hint="eastAsia" w:asciiTheme="minorEastAsia" w:hAnsiTheme="minorEastAsia"/>
        </w:rPr>
        <w:t>三投标文件的编制</w:t>
      </w:r>
      <w:r>
        <w:tab/>
      </w:r>
      <w:r>
        <w:fldChar w:fldCharType="begin"/>
      </w:r>
      <w:r>
        <w:instrText xml:space="preserve"> PAGEREF _Toc529435023 \h </w:instrText>
      </w:r>
      <w:r>
        <w:fldChar w:fldCharType="separate"/>
      </w:r>
      <w:r>
        <w:t>13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"_Toc529435024" </w:instrText>
      </w:r>
      <w:r>
        <w:fldChar w:fldCharType="separate"/>
      </w:r>
      <w:r>
        <w:rPr>
          <w:rStyle w:val="48"/>
          <w:rFonts w:asciiTheme="minorEastAsia" w:hAnsiTheme="minorEastAsia"/>
        </w:rPr>
        <w:t xml:space="preserve">7. </w:t>
      </w:r>
      <w:r>
        <w:rPr>
          <w:rStyle w:val="48"/>
          <w:rFonts w:hint="eastAsia" w:asciiTheme="minorEastAsia" w:hAnsiTheme="minorEastAsia"/>
        </w:rPr>
        <w:t>投标文件编制的原则</w:t>
      </w:r>
      <w:r>
        <w:tab/>
      </w:r>
      <w:r>
        <w:fldChar w:fldCharType="begin"/>
      </w:r>
      <w:r>
        <w:instrText xml:space="preserve"> PAGEREF _Toc529435024 \h </w:instrText>
      </w:r>
      <w:r>
        <w:fldChar w:fldCharType="separate"/>
      </w:r>
      <w:r>
        <w:t>13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"_Toc529435025" </w:instrText>
      </w:r>
      <w:r>
        <w:fldChar w:fldCharType="separate"/>
      </w:r>
      <w:r>
        <w:rPr>
          <w:rStyle w:val="48"/>
          <w:rFonts w:asciiTheme="minorEastAsia" w:hAnsiTheme="minorEastAsia"/>
        </w:rPr>
        <w:t xml:space="preserve">8. </w:t>
      </w:r>
      <w:r>
        <w:rPr>
          <w:rStyle w:val="48"/>
          <w:rFonts w:hint="eastAsia" w:asciiTheme="minorEastAsia" w:hAnsiTheme="minorEastAsia"/>
        </w:rPr>
        <w:t>投标范围及投标文件中计量单位的使用</w:t>
      </w:r>
      <w:r>
        <w:tab/>
      </w:r>
      <w:r>
        <w:fldChar w:fldCharType="begin"/>
      </w:r>
      <w:r>
        <w:instrText xml:space="preserve"> PAGEREF _Toc529435025 \h </w:instrText>
      </w:r>
      <w:r>
        <w:fldChar w:fldCharType="separate"/>
      </w:r>
      <w:r>
        <w:t>13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"_Toc529435026" </w:instrText>
      </w:r>
      <w:r>
        <w:fldChar w:fldCharType="separate"/>
      </w:r>
      <w:r>
        <w:rPr>
          <w:rStyle w:val="48"/>
          <w:rFonts w:asciiTheme="minorEastAsia" w:hAnsiTheme="minorEastAsia"/>
        </w:rPr>
        <w:t xml:space="preserve">9. </w:t>
      </w:r>
      <w:r>
        <w:rPr>
          <w:rStyle w:val="48"/>
          <w:rFonts w:hint="eastAsia" w:asciiTheme="minorEastAsia" w:hAnsiTheme="minorEastAsia"/>
        </w:rPr>
        <w:t>投标文件构成</w:t>
      </w:r>
      <w:r>
        <w:tab/>
      </w:r>
      <w:r>
        <w:fldChar w:fldCharType="begin"/>
      </w:r>
      <w:r>
        <w:instrText xml:space="preserve"> PAGEREF _Toc529435026 \h </w:instrText>
      </w:r>
      <w:r>
        <w:fldChar w:fldCharType="separate"/>
      </w:r>
      <w:r>
        <w:t>13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"_Toc529435027" </w:instrText>
      </w:r>
      <w:r>
        <w:fldChar w:fldCharType="separate"/>
      </w:r>
      <w:r>
        <w:rPr>
          <w:rStyle w:val="48"/>
          <w:rFonts w:asciiTheme="minorEastAsia" w:hAnsiTheme="minorEastAsia"/>
        </w:rPr>
        <w:t xml:space="preserve">10. </w:t>
      </w:r>
      <w:r>
        <w:rPr>
          <w:rStyle w:val="48"/>
          <w:rFonts w:hint="eastAsia" w:asciiTheme="minorEastAsia" w:hAnsiTheme="minorEastAsia"/>
        </w:rPr>
        <w:t>证明服务的合格性和符合招标文件规定的文件</w:t>
      </w:r>
      <w:r>
        <w:tab/>
      </w:r>
      <w:r>
        <w:fldChar w:fldCharType="begin"/>
      </w:r>
      <w:r>
        <w:instrText xml:space="preserve"> PAGEREF _Toc529435027 \h </w:instrText>
      </w:r>
      <w:r>
        <w:fldChar w:fldCharType="separate"/>
      </w:r>
      <w:r>
        <w:t>14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"_Toc529435028" </w:instrText>
      </w:r>
      <w:r>
        <w:fldChar w:fldCharType="separate"/>
      </w:r>
      <w:r>
        <w:rPr>
          <w:rStyle w:val="48"/>
          <w:rFonts w:asciiTheme="minorEastAsia" w:hAnsiTheme="minorEastAsia"/>
        </w:rPr>
        <w:t xml:space="preserve">11. </w:t>
      </w:r>
      <w:r>
        <w:rPr>
          <w:rStyle w:val="48"/>
          <w:rFonts w:hint="eastAsia" w:asciiTheme="minorEastAsia" w:hAnsiTheme="minorEastAsia"/>
        </w:rPr>
        <w:t>投标报价</w:t>
      </w:r>
      <w:r>
        <w:tab/>
      </w:r>
      <w:r>
        <w:fldChar w:fldCharType="begin"/>
      </w:r>
      <w:r>
        <w:instrText xml:space="preserve"> PAGEREF _Toc529435028 \h </w:instrText>
      </w:r>
      <w:r>
        <w:fldChar w:fldCharType="separate"/>
      </w:r>
      <w:r>
        <w:t>14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"_Toc529435029" </w:instrText>
      </w:r>
      <w:r>
        <w:fldChar w:fldCharType="separate"/>
      </w:r>
      <w:r>
        <w:rPr>
          <w:rStyle w:val="48"/>
          <w:rFonts w:asciiTheme="minorEastAsia" w:hAnsiTheme="minorEastAsia"/>
        </w:rPr>
        <w:t xml:space="preserve">12. </w:t>
      </w:r>
      <w:r>
        <w:rPr>
          <w:rStyle w:val="48"/>
          <w:rFonts w:hint="eastAsia" w:asciiTheme="minorEastAsia" w:hAnsiTheme="minorEastAsia"/>
        </w:rPr>
        <w:t>投标保证金</w:t>
      </w:r>
      <w:r>
        <w:tab/>
      </w:r>
      <w:r>
        <w:fldChar w:fldCharType="begin"/>
      </w:r>
      <w:r>
        <w:instrText xml:space="preserve"> PAGEREF _Toc529435029 \h </w:instrText>
      </w:r>
      <w:r>
        <w:fldChar w:fldCharType="separate"/>
      </w:r>
      <w:r>
        <w:t>15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"_Toc529435030" </w:instrText>
      </w:r>
      <w:r>
        <w:fldChar w:fldCharType="separate"/>
      </w:r>
      <w:r>
        <w:rPr>
          <w:rStyle w:val="48"/>
          <w:rFonts w:asciiTheme="minorEastAsia" w:hAnsiTheme="minorEastAsia"/>
        </w:rPr>
        <w:t xml:space="preserve">13. </w:t>
      </w:r>
      <w:r>
        <w:rPr>
          <w:rStyle w:val="48"/>
          <w:rFonts w:hint="eastAsia" w:asciiTheme="minorEastAsia" w:hAnsiTheme="minorEastAsia"/>
        </w:rPr>
        <w:t>投标有效期</w:t>
      </w:r>
      <w:r>
        <w:tab/>
      </w:r>
      <w:r>
        <w:fldChar w:fldCharType="begin"/>
      </w:r>
      <w:r>
        <w:instrText xml:space="preserve"> PAGEREF _Toc529435030 \h </w:instrText>
      </w:r>
      <w:r>
        <w:fldChar w:fldCharType="separate"/>
      </w:r>
      <w:r>
        <w:t>15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"_Toc529435031" </w:instrText>
      </w:r>
      <w:r>
        <w:fldChar w:fldCharType="separate"/>
      </w:r>
      <w:r>
        <w:rPr>
          <w:rStyle w:val="48"/>
          <w:rFonts w:asciiTheme="minorEastAsia" w:hAnsiTheme="minorEastAsia"/>
        </w:rPr>
        <w:t xml:space="preserve">14. </w:t>
      </w:r>
      <w:r>
        <w:rPr>
          <w:rStyle w:val="48"/>
          <w:rFonts w:hint="eastAsia" w:asciiTheme="minorEastAsia" w:hAnsiTheme="minorEastAsia"/>
        </w:rPr>
        <w:t>投标文件的签署与规定</w:t>
      </w:r>
      <w:r>
        <w:tab/>
      </w:r>
      <w:r>
        <w:fldChar w:fldCharType="begin"/>
      </w:r>
      <w:r>
        <w:instrText xml:space="preserve"> PAGEREF _Toc529435031 \h </w:instrText>
      </w:r>
      <w:r>
        <w:fldChar w:fldCharType="separate"/>
      </w:r>
      <w:r>
        <w:t>15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"_Toc529435032" </w:instrText>
      </w:r>
      <w:r>
        <w:fldChar w:fldCharType="separate"/>
      </w:r>
      <w:r>
        <w:rPr>
          <w:rStyle w:val="48"/>
          <w:rFonts w:hint="eastAsia" w:asciiTheme="minorEastAsia" w:hAnsiTheme="minorEastAsia"/>
        </w:rPr>
        <w:t>四投标文件的递交</w:t>
      </w:r>
      <w:r>
        <w:tab/>
      </w:r>
      <w:r>
        <w:fldChar w:fldCharType="begin"/>
      </w:r>
      <w:r>
        <w:instrText xml:space="preserve"> PAGEREF _Toc529435032 \h </w:instrText>
      </w:r>
      <w:r>
        <w:fldChar w:fldCharType="separate"/>
      </w:r>
      <w:r>
        <w:t>16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"_Toc529435033" </w:instrText>
      </w:r>
      <w:r>
        <w:fldChar w:fldCharType="separate"/>
      </w:r>
      <w:r>
        <w:rPr>
          <w:rStyle w:val="48"/>
          <w:rFonts w:asciiTheme="minorEastAsia" w:hAnsiTheme="minorEastAsia"/>
        </w:rPr>
        <w:t xml:space="preserve">15. </w:t>
      </w:r>
      <w:r>
        <w:rPr>
          <w:rStyle w:val="48"/>
          <w:rFonts w:hint="eastAsia" w:asciiTheme="minorEastAsia" w:hAnsiTheme="minorEastAsia"/>
        </w:rPr>
        <w:t>投标文件的装订及递交</w:t>
      </w:r>
      <w:r>
        <w:tab/>
      </w:r>
      <w:r>
        <w:fldChar w:fldCharType="begin"/>
      </w:r>
      <w:r>
        <w:instrText xml:space="preserve"> PAGEREF _Toc529435033 \h </w:instrText>
      </w:r>
      <w:r>
        <w:fldChar w:fldCharType="separate"/>
      </w:r>
      <w:r>
        <w:t>16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"_Toc529435034" </w:instrText>
      </w:r>
      <w:r>
        <w:fldChar w:fldCharType="separate"/>
      </w:r>
      <w:r>
        <w:rPr>
          <w:rStyle w:val="48"/>
          <w:rFonts w:asciiTheme="minorEastAsia" w:hAnsiTheme="minorEastAsia"/>
        </w:rPr>
        <w:t xml:space="preserve">16. </w:t>
      </w:r>
      <w:r>
        <w:rPr>
          <w:rStyle w:val="48"/>
          <w:rFonts w:hint="eastAsia" w:asciiTheme="minorEastAsia" w:hAnsiTheme="minorEastAsia"/>
        </w:rPr>
        <w:t>投标截止期</w:t>
      </w:r>
      <w:r>
        <w:tab/>
      </w:r>
      <w:r>
        <w:fldChar w:fldCharType="begin"/>
      </w:r>
      <w:r>
        <w:instrText xml:space="preserve"> PAGEREF _Toc529435034 \h </w:instrText>
      </w:r>
      <w:r>
        <w:fldChar w:fldCharType="separate"/>
      </w:r>
      <w:r>
        <w:t>17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"_Toc529435035" </w:instrText>
      </w:r>
      <w:r>
        <w:fldChar w:fldCharType="separate"/>
      </w:r>
      <w:r>
        <w:rPr>
          <w:rStyle w:val="48"/>
          <w:rFonts w:asciiTheme="minorEastAsia" w:hAnsiTheme="minorEastAsia"/>
        </w:rPr>
        <w:t xml:space="preserve">17. </w:t>
      </w:r>
      <w:r>
        <w:rPr>
          <w:rStyle w:val="48"/>
          <w:rFonts w:hint="eastAsia" w:asciiTheme="minorEastAsia" w:hAnsiTheme="minorEastAsia"/>
        </w:rPr>
        <w:t>投标文件的修改与撤回</w:t>
      </w:r>
      <w:r>
        <w:tab/>
      </w:r>
      <w:r>
        <w:fldChar w:fldCharType="begin"/>
      </w:r>
      <w:r>
        <w:instrText xml:space="preserve"> PAGEREF _Toc529435035 \h </w:instrText>
      </w:r>
      <w:r>
        <w:fldChar w:fldCharType="separate"/>
      </w:r>
      <w:r>
        <w:t>17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"_Toc529435036" </w:instrText>
      </w:r>
      <w:r>
        <w:fldChar w:fldCharType="separate"/>
      </w:r>
      <w:r>
        <w:rPr>
          <w:rStyle w:val="48"/>
          <w:rFonts w:hint="eastAsia" w:asciiTheme="minorEastAsia" w:hAnsiTheme="minorEastAsia"/>
        </w:rPr>
        <w:t>五开标及评标</w:t>
      </w:r>
      <w:r>
        <w:tab/>
      </w:r>
      <w:r>
        <w:fldChar w:fldCharType="begin"/>
      </w:r>
      <w:r>
        <w:instrText xml:space="preserve"> PAGEREF _Toc529435036 \h </w:instrText>
      </w:r>
      <w:r>
        <w:fldChar w:fldCharType="separate"/>
      </w:r>
      <w:r>
        <w:t>17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"_Toc529435037" </w:instrText>
      </w:r>
      <w:r>
        <w:fldChar w:fldCharType="separate"/>
      </w:r>
      <w:r>
        <w:rPr>
          <w:rStyle w:val="48"/>
          <w:rFonts w:asciiTheme="minorEastAsia" w:hAnsiTheme="minorEastAsia"/>
        </w:rPr>
        <w:t xml:space="preserve">18. </w:t>
      </w:r>
      <w:r>
        <w:rPr>
          <w:rStyle w:val="48"/>
          <w:rFonts w:hint="eastAsia" w:asciiTheme="minorEastAsia" w:hAnsiTheme="minorEastAsia"/>
        </w:rPr>
        <w:t>开标</w:t>
      </w:r>
      <w:r>
        <w:tab/>
      </w:r>
      <w:r>
        <w:fldChar w:fldCharType="begin"/>
      </w:r>
      <w:r>
        <w:instrText xml:space="preserve"> PAGEREF _Toc529435037 \h </w:instrText>
      </w:r>
      <w:r>
        <w:fldChar w:fldCharType="separate"/>
      </w:r>
      <w:r>
        <w:t>17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"_Toc529435038" </w:instrText>
      </w:r>
      <w:r>
        <w:fldChar w:fldCharType="separate"/>
      </w:r>
      <w:r>
        <w:rPr>
          <w:rStyle w:val="48"/>
          <w:rFonts w:asciiTheme="minorEastAsia" w:hAnsiTheme="minorEastAsia"/>
        </w:rPr>
        <w:t xml:space="preserve">19. </w:t>
      </w:r>
      <w:r>
        <w:rPr>
          <w:rStyle w:val="48"/>
          <w:rFonts w:hint="eastAsia" w:asciiTheme="minorEastAsia" w:hAnsiTheme="minorEastAsia"/>
        </w:rPr>
        <w:t>评标委员会和评标方法</w:t>
      </w:r>
      <w:r>
        <w:tab/>
      </w:r>
      <w:r>
        <w:fldChar w:fldCharType="begin"/>
      </w:r>
      <w:r>
        <w:instrText xml:space="preserve"> PAGEREF _Toc529435038 \h </w:instrText>
      </w:r>
      <w:r>
        <w:fldChar w:fldCharType="separate"/>
      </w:r>
      <w:r>
        <w:t>17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"_Toc529435039" </w:instrText>
      </w:r>
      <w:r>
        <w:fldChar w:fldCharType="separate"/>
      </w:r>
      <w:r>
        <w:rPr>
          <w:rStyle w:val="48"/>
          <w:rFonts w:asciiTheme="minorEastAsia" w:hAnsiTheme="minorEastAsia"/>
        </w:rPr>
        <w:t xml:space="preserve">20. </w:t>
      </w:r>
      <w:r>
        <w:rPr>
          <w:rStyle w:val="48"/>
          <w:rFonts w:hint="eastAsia" w:asciiTheme="minorEastAsia" w:hAnsiTheme="minorEastAsia"/>
        </w:rPr>
        <w:t>投标文件的初审</w:t>
      </w:r>
      <w:r>
        <w:tab/>
      </w:r>
      <w:r>
        <w:fldChar w:fldCharType="begin"/>
      </w:r>
      <w:r>
        <w:instrText xml:space="preserve"> PAGEREF _Toc529435039 \h </w:instrText>
      </w:r>
      <w:r>
        <w:fldChar w:fldCharType="separate"/>
      </w:r>
      <w:r>
        <w:t>18</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"_Toc529435040" </w:instrText>
      </w:r>
      <w:r>
        <w:fldChar w:fldCharType="separate"/>
      </w:r>
      <w:r>
        <w:rPr>
          <w:rStyle w:val="48"/>
          <w:rFonts w:asciiTheme="minorEastAsia" w:hAnsiTheme="minorEastAsia"/>
        </w:rPr>
        <w:t xml:space="preserve">21. </w:t>
      </w:r>
      <w:r>
        <w:rPr>
          <w:rStyle w:val="48"/>
          <w:rFonts w:hint="eastAsia" w:asciiTheme="minorEastAsia" w:hAnsiTheme="minorEastAsia"/>
        </w:rPr>
        <w:t>投标文件的澄清</w:t>
      </w:r>
      <w:r>
        <w:tab/>
      </w:r>
      <w:r>
        <w:fldChar w:fldCharType="begin"/>
      </w:r>
      <w:r>
        <w:instrText xml:space="preserve"> PAGEREF _Toc529435040 \h </w:instrText>
      </w:r>
      <w:r>
        <w:fldChar w:fldCharType="separate"/>
      </w:r>
      <w:r>
        <w:t>19</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"_Toc529435041" </w:instrText>
      </w:r>
      <w:r>
        <w:fldChar w:fldCharType="separate"/>
      </w:r>
      <w:r>
        <w:rPr>
          <w:rStyle w:val="48"/>
          <w:rFonts w:asciiTheme="minorEastAsia" w:hAnsiTheme="minorEastAsia"/>
        </w:rPr>
        <w:t xml:space="preserve">22. </w:t>
      </w:r>
      <w:r>
        <w:rPr>
          <w:rStyle w:val="48"/>
          <w:rFonts w:hint="eastAsia" w:asciiTheme="minorEastAsia" w:hAnsiTheme="minorEastAsia"/>
        </w:rPr>
        <w:t>评标</w:t>
      </w:r>
      <w:r>
        <w:tab/>
      </w:r>
      <w:r>
        <w:fldChar w:fldCharType="begin"/>
      </w:r>
      <w:r>
        <w:instrText xml:space="preserve"> PAGEREF _Toc529435041 \h </w:instrText>
      </w:r>
      <w:r>
        <w:fldChar w:fldCharType="separate"/>
      </w:r>
      <w:r>
        <w:t>19</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"_Toc529435042" </w:instrText>
      </w:r>
      <w:r>
        <w:fldChar w:fldCharType="separate"/>
      </w:r>
      <w:r>
        <w:rPr>
          <w:rStyle w:val="48"/>
          <w:rFonts w:asciiTheme="minorEastAsia" w:hAnsiTheme="minorEastAsia"/>
        </w:rPr>
        <w:t xml:space="preserve">23. </w:t>
      </w:r>
      <w:r>
        <w:rPr>
          <w:rStyle w:val="48"/>
          <w:rFonts w:hint="eastAsia" w:asciiTheme="minorEastAsia" w:hAnsiTheme="minorEastAsia"/>
        </w:rPr>
        <w:t>评标过程及保密原则</w:t>
      </w:r>
      <w:r>
        <w:tab/>
      </w:r>
      <w:r>
        <w:fldChar w:fldCharType="begin"/>
      </w:r>
      <w:r>
        <w:instrText xml:space="preserve"> PAGEREF _Toc529435042 \h </w:instrText>
      </w:r>
      <w:r>
        <w:fldChar w:fldCharType="separate"/>
      </w:r>
      <w:r>
        <w:t>20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"_Toc529435043" </w:instrText>
      </w:r>
      <w:r>
        <w:fldChar w:fldCharType="separate"/>
      </w:r>
      <w:r>
        <w:rPr>
          <w:rStyle w:val="48"/>
          <w:rFonts w:hint="eastAsia" w:asciiTheme="minorEastAsia" w:hAnsiTheme="minorEastAsia"/>
        </w:rPr>
        <w:t>六确定中标</w:t>
      </w:r>
      <w:r>
        <w:tab/>
      </w:r>
      <w:r>
        <w:fldChar w:fldCharType="begin"/>
      </w:r>
      <w:r>
        <w:instrText xml:space="preserve"> PAGEREF _Toc529435043 \h </w:instrText>
      </w:r>
      <w:r>
        <w:fldChar w:fldCharType="separate"/>
      </w:r>
      <w:r>
        <w:t>20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"_Toc529435044" </w:instrText>
      </w:r>
      <w:r>
        <w:fldChar w:fldCharType="separate"/>
      </w:r>
      <w:r>
        <w:rPr>
          <w:rStyle w:val="48"/>
          <w:rFonts w:asciiTheme="minorEastAsia" w:hAnsiTheme="minorEastAsia"/>
        </w:rPr>
        <w:t xml:space="preserve">24. </w:t>
      </w:r>
      <w:r>
        <w:rPr>
          <w:rStyle w:val="48"/>
          <w:rFonts w:hint="eastAsia" w:asciiTheme="minorEastAsia" w:hAnsiTheme="minorEastAsia"/>
        </w:rPr>
        <w:t>中标人的确定标准</w:t>
      </w:r>
      <w:r>
        <w:tab/>
      </w:r>
      <w:r>
        <w:fldChar w:fldCharType="begin"/>
      </w:r>
      <w:r>
        <w:instrText xml:space="preserve"> PAGEREF _Toc529435044 \h </w:instrText>
      </w:r>
      <w:r>
        <w:fldChar w:fldCharType="separate"/>
      </w:r>
      <w:r>
        <w:t>20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"_Toc529435045" </w:instrText>
      </w:r>
      <w:r>
        <w:fldChar w:fldCharType="separate"/>
      </w:r>
      <w:r>
        <w:rPr>
          <w:rStyle w:val="48"/>
          <w:rFonts w:asciiTheme="minorEastAsia" w:hAnsiTheme="minorEastAsia"/>
        </w:rPr>
        <w:t xml:space="preserve">25. </w:t>
      </w:r>
      <w:r>
        <w:rPr>
          <w:rStyle w:val="48"/>
          <w:rFonts w:hint="eastAsia" w:asciiTheme="minorEastAsia" w:hAnsiTheme="minorEastAsia"/>
        </w:rPr>
        <w:t>接受和拒绝任何或所有投标的权利</w:t>
      </w:r>
      <w:r>
        <w:tab/>
      </w:r>
      <w:r>
        <w:fldChar w:fldCharType="begin"/>
      </w:r>
      <w:r>
        <w:instrText xml:space="preserve"> PAGEREF _Toc529435045 \h </w:instrText>
      </w:r>
      <w:r>
        <w:fldChar w:fldCharType="separate"/>
      </w:r>
      <w:r>
        <w:t>20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"_Toc529435046" </w:instrText>
      </w:r>
      <w:r>
        <w:fldChar w:fldCharType="separate"/>
      </w:r>
      <w:r>
        <w:rPr>
          <w:rStyle w:val="48"/>
          <w:rFonts w:asciiTheme="minorEastAsia" w:hAnsiTheme="minorEastAsia"/>
        </w:rPr>
        <w:t xml:space="preserve">26. </w:t>
      </w:r>
      <w:r>
        <w:rPr>
          <w:rStyle w:val="48"/>
          <w:rFonts w:hint="eastAsia" w:asciiTheme="minorEastAsia" w:hAnsiTheme="minorEastAsia"/>
        </w:rPr>
        <w:t>中标通知书</w:t>
      </w:r>
      <w:r>
        <w:tab/>
      </w:r>
      <w:r>
        <w:fldChar w:fldCharType="begin"/>
      </w:r>
      <w:r>
        <w:instrText xml:space="preserve"> PAGEREF _Toc529435046 \h </w:instrText>
      </w:r>
      <w:r>
        <w:fldChar w:fldCharType="separate"/>
      </w:r>
      <w:r>
        <w:t>20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"_Toc529435047" </w:instrText>
      </w:r>
      <w:r>
        <w:fldChar w:fldCharType="separate"/>
      </w:r>
      <w:r>
        <w:rPr>
          <w:rStyle w:val="48"/>
          <w:rFonts w:asciiTheme="minorEastAsia" w:hAnsiTheme="minorEastAsia"/>
        </w:rPr>
        <w:t xml:space="preserve">27. </w:t>
      </w:r>
      <w:r>
        <w:rPr>
          <w:rStyle w:val="48"/>
          <w:rFonts w:hint="eastAsia" w:asciiTheme="minorEastAsia" w:hAnsiTheme="minorEastAsia"/>
        </w:rPr>
        <w:t>签订合同</w:t>
      </w:r>
      <w:r>
        <w:tab/>
      </w:r>
      <w:r>
        <w:fldChar w:fldCharType="begin"/>
      </w:r>
      <w:r>
        <w:instrText xml:space="preserve"> PAGEREF _Toc529435047 \h </w:instrText>
      </w:r>
      <w:r>
        <w:fldChar w:fldCharType="separate"/>
      </w:r>
      <w:r>
        <w:t>21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"_Toc529435048" </w:instrText>
      </w:r>
      <w:r>
        <w:fldChar w:fldCharType="separate"/>
      </w:r>
      <w:r>
        <w:rPr>
          <w:rStyle w:val="48"/>
          <w:rFonts w:asciiTheme="minorEastAsia" w:hAnsiTheme="minorEastAsia"/>
        </w:rPr>
        <w:t xml:space="preserve">28. </w:t>
      </w:r>
      <w:r>
        <w:rPr>
          <w:rStyle w:val="48"/>
          <w:rFonts w:hint="eastAsia" w:asciiTheme="minorEastAsia" w:hAnsiTheme="minorEastAsia"/>
        </w:rPr>
        <w:t>履约保证金</w:t>
      </w:r>
      <w:r>
        <w:tab/>
      </w:r>
      <w:r>
        <w:fldChar w:fldCharType="begin"/>
      </w:r>
      <w:r>
        <w:instrText xml:space="preserve"> PAGEREF _Toc529435048 \h </w:instrText>
      </w:r>
      <w:r>
        <w:fldChar w:fldCharType="separate"/>
      </w:r>
      <w:r>
        <w:t>21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"_Toc529435049" </w:instrText>
      </w:r>
      <w:r>
        <w:fldChar w:fldCharType="separate"/>
      </w:r>
      <w:r>
        <w:rPr>
          <w:rStyle w:val="48"/>
          <w:rFonts w:hint="eastAsia" w:asciiTheme="minorEastAsia" w:hAnsiTheme="minorEastAsia"/>
        </w:rPr>
        <w:t>七中标服务费</w:t>
      </w:r>
      <w:r>
        <w:tab/>
      </w:r>
      <w:r>
        <w:fldChar w:fldCharType="begin"/>
      </w:r>
      <w:r>
        <w:instrText xml:space="preserve"> PAGEREF _Toc529435049 \h </w:instrText>
      </w:r>
      <w:r>
        <w:fldChar w:fldCharType="separate"/>
      </w:r>
      <w:r>
        <w:t>21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"_Toc529435050" </w:instrText>
      </w:r>
      <w:r>
        <w:fldChar w:fldCharType="separate"/>
      </w:r>
      <w:r>
        <w:rPr>
          <w:rStyle w:val="48"/>
          <w:rFonts w:asciiTheme="minorEastAsia" w:hAnsiTheme="minorEastAsia"/>
        </w:rPr>
        <w:t xml:space="preserve">29. </w:t>
      </w:r>
      <w:r>
        <w:rPr>
          <w:rStyle w:val="48"/>
          <w:rFonts w:hint="eastAsia" w:asciiTheme="minorEastAsia" w:hAnsiTheme="minorEastAsia"/>
        </w:rPr>
        <w:t>中标服务费</w:t>
      </w:r>
      <w:r>
        <w:tab/>
      </w:r>
      <w:r>
        <w:fldChar w:fldCharType="begin"/>
      </w:r>
      <w:r>
        <w:instrText xml:space="preserve"> PAGEREF _Toc529435050 \h </w:instrText>
      </w:r>
      <w:r>
        <w:fldChar w:fldCharType="separate"/>
      </w:r>
      <w:r>
        <w:t>21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"_Toc529435051" </w:instrText>
      </w:r>
      <w:r>
        <w:fldChar w:fldCharType="separate"/>
      </w:r>
      <w:r>
        <w:rPr>
          <w:rStyle w:val="48"/>
          <w:rFonts w:hint="eastAsia" w:asciiTheme="minorEastAsia" w:hAnsiTheme="minorEastAsia"/>
        </w:rPr>
        <w:t>八政府采购信用担保</w:t>
      </w:r>
      <w:r>
        <w:tab/>
      </w:r>
      <w:r>
        <w:fldChar w:fldCharType="begin"/>
      </w:r>
      <w:r>
        <w:instrText xml:space="preserve"> PAGEREF _Toc529435051 \h </w:instrText>
      </w:r>
      <w:r>
        <w:fldChar w:fldCharType="separate"/>
      </w:r>
      <w:r>
        <w:t>22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"_Toc529435052" </w:instrText>
      </w:r>
      <w:r>
        <w:fldChar w:fldCharType="separate"/>
      </w:r>
      <w:r>
        <w:rPr>
          <w:rStyle w:val="48"/>
          <w:rFonts w:asciiTheme="minorEastAsia" w:hAnsiTheme="minorEastAsia"/>
        </w:rPr>
        <w:t xml:space="preserve">30. </w:t>
      </w:r>
      <w:r>
        <w:rPr>
          <w:rStyle w:val="48"/>
          <w:rFonts w:hint="eastAsia" w:asciiTheme="minorEastAsia" w:hAnsiTheme="minorEastAsia"/>
        </w:rPr>
        <w:t>政府采购信用担保</w:t>
      </w:r>
      <w:r>
        <w:tab/>
      </w:r>
      <w:r>
        <w:fldChar w:fldCharType="begin"/>
      </w:r>
      <w:r>
        <w:instrText xml:space="preserve"> PAGEREF _Toc529435052 \h </w:instrText>
      </w:r>
      <w:r>
        <w:fldChar w:fldCharType="separate"/>
      </w:r>
      <w:r>
        <w:t>22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"_Toc529435053" </w:instrText>
      </w:r>
      <w:r>
        <w:fldChar w:fldCharType="separate"/>
      </w:r>
      <w:r>
        <w:rPr>
          <w:rStyle w:val="48"/>
          <w:rFonts w:hint="eastAsia" w:asciiTheme="minorEastAsia" w:hAnsiTheme="minorEastAsia"/>
        </w:rPr>
        <w:t>九履约验收</w:t>
      </w:r>
      <w:r>
        <w:tab/>
      </w:r>
      <w:r>
        <w:fldChar w:fldCharType="begin"/>
      </w:r>
      <w:r>
        <w:instrText xml:space="preserve"> PAGEREF _Toc529435053 \h </w:instrText>
      </w:r>
      <w:r>
        <w:fldChar w:fldCharType="separate"/>
      </w:r>
      <w:r>
        <w:t>22</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"_Toc529435054" </w:instrText>
      </w:r>
      <w:r>
        <w:fldChar w:fldCharType="separate"/>
      </w:r>
      <w:r>
        <w:rPr>
          <w:rStyle w:val="48"/>
          <w:rFonts w:hint="eastAsia" w:asciiTheme="minorEastAsia" w:hAnsiTheme="minorEastAsia"/>
        </w:rPr>
        <w:t>第四章项目需求</w:t>
      </w:r>
      <w:r>
        <w:tab/>
      </w:r>
      <w:r>
        <w:fldChar w:fldCharType="begin"/>
      </w:r>
      <w:r>
        <w:instrText xml:space="preserve"> PAGEREF _Toc529435054 \h </w:instrText>
      </w:r>
      <w:r>
        <w:fldChar w:fldCharType="separate"/>
      </w:r>
      <w:r>
        <w:t>23</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"_Toc529435055" </w:instrText>
      </w:r>
      <w:r>
        <w:fldChar w:fldCharType="separate"/>
      </w:r>
      <w:r>
        <w:rPr>
          <w:rStyle w:val="48"/>
          <w:rFonts w:hint="eastAsia" w:asciiTheme="minorEastAsia" w:hAnsiTheme="minorEastAsia"/>
        </w:rPr>
        <w:t>第五章评分办法及评分标准</w:t>
      </w:r>
      <w:r>
        <w:tab/>
      </w:r>
      <w:r>
        <w:fldChar w:fldCharType="begin"/>
      </w:r>
      <w:r>
        <w:instrText xml:space="preserve"> PAGEREF _Toc529435055 \h </w:instrText>
      </w:r>
      <w:r>
        <w:fldChar w:fldCharType="separate"/>
      </w:r>
      <w:r>
        <w:t>37</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"_Toc529435056" </w:instrText>
      </w:r>
      <w:r>
        <w:fldChar w:fldCharType="separate"/>
      </w:r>
      <w:r>
        <w:rPr>
          <w:rStyle w:val="48"/>
          <w:rFonts w:hint="eastAsia" w:asciiTheme="minorEastAsia" w:hAnsiTheme="minorEastAsia"/>
        </w:rPr>
        <w:t>第六章合同一般条款</w:t>
      </w:r>
      <w:r>
        <w:tab/>
      </w:r>
      <w:r>
        <w:fldChar w:fldCharType="begin"/>
      </w:r>
      <w:r>
        <w:instrText xml:space="preserve"> PAGEREF _Toc529435056 \h </w:instrText>
      </w:r>
      <w:r>
        <w:fldChar w:fldCharType="separate"/>
      </w:r>
      <w:r>
        <w:t>40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"_Toc529435057" </w:instrText>
      </w:r>
      <w:r>
        <w:fldChar w:fldCharType="separate"/>
      </w:r>
      <w:r>
        <w:rPr>
          <w:rStyle w:val="48"/>
          <w:rFonts w:asciiTheme="minorEastAsia" w:hAnsiTheme="minorEastAsia"/>
        </w:rPr>
        <w:t xml:space="preserve">1. </w:t>
      </w:r>
      <w:r>
        <w:rPr>
          <w:rStyle w:val="48"/>
          <w:rFonts w:hint="eastAsia" w:asciiTheme="minorEastAsia" w:hAnsiTheme="minorEastAsia"/>
        </w:rPr>
        <w:t>定义</w:t>
      </w:r>
      <w:r>
        <w:tab/>
      </w:r>
      <w:r>
        <w:fldChar w:fldCharType="begin"/>
      </w:r>
      <w:r>
        <w:instrText xml:space="preserve"> PAGEREF _Toc529435057 \h </w:instrText>
      </w:r>
      <w:r>
        <w:fldChar w:fldCharType="separate"/>
      </w:r>
      <w:r>
        <w:t>40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"_Toc529435058" </w:instrText>
      </w:r>
      <w:r>
        <w:fldChar w:fldCharType="separate"/>
      </w:r>
      <w:r>
        <w:rPr>
          <w:rStyle w:val="48"/>
          <w:rFonts w:asciiTheme="minorEastAsia" w:hAnsiTheme="minorEastAsia"/>
        </w:rPr>
        <w:t>2</w:t>
      </w:r>
      <w:r>
        <w:rPr>
          <w:rStyle w:val="48"/>
          <w:rFonts w:hint="eastAsia" w:asciiTheme="minorEastAsia" w:hAnsiTheme="minorEastAsia"/>
        </w:rPr>
        <w:t>．技术规范</w:t>
      </w:r>
      <w:r>
        <w:tab/>
      </w:r>
      <w:r>
        <w:fldChar w:fldCharType="begin"/>
      </w:r>
      <w:r>
        <w:instrText xml:space="preserve"> PAGEREF _Toc529435058 \h </w:instrText>
      </w:r>
      <w:r>
        <w:fldChar w:fldCharType="separate"/>
      </w:r>
      <w:r>
        <w:t>40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"_Toc529435059" </w:instrText>
      </w:r>
      <w:r>
        <w:fldChar w:fldCharType="separate"/>
      </w:r>
      <w:r>
        <w:rPr>
          <w:rStyle w:val="48"/>
          <w:rFonts w:asciiTheme="minorEastAsia" w:hAnsiTheme="minorEastAsia"/>
        </w:rPr>
        <w:t xml:space="preserve">3. </w:t>
      </w:r>
      <w:r>
        <w:rPr>
          <w:rStyle w:val="48"/>
          <w:rFonts w:hint="eastAsia" w:asciiTheme="minorEastAsia" w:hAnsiTheme="minorEastAsia"/>
        </w:rPr>
        <w:t>知识产权</w:t>
      </w:r>
      <w:r>
        <w:tab/>
      </w:r>
      <w:r>
        <w:fldChar w:fldCharType="begin"/>
      </w:r>
      <w:r>
        <w:instrText xml:space="preserve"> PAGEREF _Toc529435059 \h </w:instrText>
      </w:r>
      <w:r>
        <w:fldChar w:fldCharType="separate"/>
      </w:r>
      <w:r>
        <w:t>40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"_Toc529435060" </w:instrText>
      </w:r>
      <w:r>
        <w:fldChar w:fldCharType="separate"/>
      </w:r>
      <w:r>
        <w:rPr>
          <w:rStyle w:val="48"/>
          <w:rFonts w:asciiTheme="minorEastAsia" w:hAnsiTheme="minorEastAsia"/>
        </w:rPr>
        <w:t xml:space="preserve">4. </w:t>
      </w:r>
      <w:r>
        <w:rPr>
          <w:rStyle w:val="48"/>
          <w:rFonts w:hint="eastAsia" w:asciiTheme="minorEastAsia" w:hAnsiTheme="minorEastAsia"/>
        </w:rPr>
        <w:t>包装要求</w:t>
      </w:r>
      <w:r>
        <w:tab/>
      </w:r>
      <w:r>
        <w:fldChar w:fldCharType="begin"/>
      </w:r>
      <w:r>
        <w:instrText xml:space="preserve"> PAGEREF _Toc529435060 \h </w:instrText>
      </w:r>
      <w:r>
        <w:fldChar w:fldCharType="separate"/>
      </w:r>
      <w:r>
        <w:t>40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"_Toc529435061" </w:instrText>
      </w:r>
      <w:r>
        <w:fldChar w:fldCharType="separate"/>
      </w:r>
      <w:r>
        <w:rPr>
          <w:rStyle w:val="48"/>
          <w:rFonts w:asciiTheme="minorEastAsia" w:hAnsiTheme="minorEastAsia"/>
        </w:rPr>
        <w:t xml:space="preserve">5. </w:t>
      </w:r>
      <w:r>
        <w:rPr>
          <w:rStyle w:val="48"/>
          <w:rFonts w:hint="eastAsia" w:asciiTheme="minorEastAsia" w:hAnsiTheme="minorEastAsia"/>
        </w:rPr>
        <w:t>装运标志</w:t>
      </w:r>
      <w:r>
        <w:tab/>
      </w:r>
      <w:r>
        <w:fldChar w:fldCharType="begin"/>
      </w:r>
      <w:r>
        <w:instrText xml:space="preserve"> PAGEREF _Toc529435061 \h </w:instrText>
      </w:r>
      <w:r>
        <w:fldChar w:fldCharType="separate"/>
      </w:r>
      <w:r>
        <w:t>41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"_Toc529435062" </w:instrText>
      </w:r>
      <w:r>
        <w:fldChar w:fldCharType="separate"/>
      </w:r>
      <w:r>
        <w:rPr>
          <w:rStyle w:val="48"/>
          <w:rFonts w:asciiTheme="minorEastAsia" w:hAnsiTheme="minorEastAsia"/>
        </w:rPr>
        <w:t xml:space="preserve">6. </w:t>
      </w:r>
      <w:r>
        <w:rPr>
          <w:rStyle w:val="48"/>
          <w:rFonts w:hint="eastAsia" w:asciiTheme="minorEastAsia" w:hAnsiTheme="minorEastAsia"/>
        </w:rPr>
        <w:t>交货方式</w:t>
      </w:r>
      <w:r>
        <w:tab/>
      </w:r>
      <w:r>
        <w:fldChar w:fldCharType="begin"/>
      </w:r>
      <w:r>
        <w:instrText xml:space="preserve"> PAGEREF _Toc529435062 \h </w:instrText>
      </w:r>
      <w:r>
        <w:fldChar w:fldCharType="separate"/>
      </w:r>
      <w:r>
        <w:t>41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"_Toc529435063" </w:instrText>
      </w:r>
      <w:r>
        <w:fldChar w:fldCharType="separate"/>
      </w:r>
      <w:r>
        <w:rPr>
          <w:rStyle w:val="48"/>
          <w:rFonts w:asciiTheme="minorEastAsia" w:hAnsiTheme="minorEastAsia"/>
        </w:rPr>
        <w:t xml:space="preserve">7. </w:t>
      </w:r>
      <w:r>
        <w:rPr>
          <w:rStyle w:val="48"/>
          <w:rFonts w:hint="eastAsia" w:asciiTheme="minorEastAsia" w:hAnsiTheme="minorEastAsia"/>
        </w:rPr>
        <w:t>装运通知</w:t>
      </w:r>
      <w:r>
        <w:tab/>
      </w:r>
      <w:r>
        <w:fldChar w:fldCharType="begin"/>
      </w:r>
      <w:r>
        <w:instrText xml:space="preserve"> PAGEREF _Toc529435063 \h </w:instrText>
      </w:r>
      <w:r>
        <w:fldChar w:fldCharType="separate"/>
      </w:r>
      <w:r>
        <w:t>42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"_Toc529435064" </w:instrText>
      </w:r>
      <w:r>
        <w:fldChar w:fldCharType="separate"/>
      </w:r>
      <w:r>
        <w:rPr>
          <w:rStyle w:val="48"/>
          <w:rFonts w:asciiTheme="minorEastAsia" w:hAnsiTheme="minorEastAsia"/>
        </w:rPr>
        <w:t xml:space="preserve">8. </w:t>
      </w:r>
      <w:r>
        <w:rPr>
          <w:rStyle w:val="48"/>
          <w:rFonts w:hint="eastAsia" w:asciiTheme="minorEastAsia" w:hAnsiTheme="minorEastAsia"/>
        </w:rPr>
        <w:t>保险</w:t>
      </w:r>
      <w:r>
        <w:tab/>
      </w:r>
      <w:r>
        <w:fldChar w:fldCharType="begin"/>
      </w:r>
      <w:r>
        <w:instrText xml:space="preserve"> PAGEREF _Toc529435064 \h </w:instrText>
      </w:r>
      <w:r>
        <w:fldChar w:fldCharType="separate"/>
      </w:r>
      <w:r>
        <w:t>42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"_Toc529435065" </w:instrText>
      </w:r>
      <w:r>
        <w:fldChar w:fldCharType="separate"/>
      </w:r>
      <w:r>
        <w:rPr>
          <w:rStyle w:val="48"/>
          <w:rFonts w:asciiTheme="minorEastAsia" w:hAnsiTheme="minorEastAsia"/>
        </w:rPr>
        <w:t xml:space="preserve">9 </w:t>
      </w:r>
      <w:r>
        <w:rPr>
          <w:rStyle w:val="48"/>
          <w:rFonts w:hint="eastAsia" w:asciiTheme="minorEastAsia" w:hAnsiTheme="minorEastAsia"/>
        </w:rPr>
        <w:t>付款条件</w:t>
      </w:r>
      <w:r>
        <w:tab/>
      </w:r>
      <w:r>
        <w:fldChar w:fldCharType="begin"/>
      </w:r>
      <w:r>
        <w:instrText xml:space="preserve"> PAGEREF _Toc529435065 \h </w:instrText>
      </w:r>
      <w:r>
        <w:fldChar w:fldCharType="separate"/>
      </w:r>
      <w:r>
        <w:t>42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"_Toc529435066" </w:instrText>
      </w:r>
      <w:r>
        <w:fldChar w:fldCharType="separate"/>
      </w:r>
      <w:r>
        <w:rPr>
          <w:rStyle w:val="48"/>
          <w:rFonts w:asciiTheme="minorEastAsia" w:hAnsiTheme="minorEastAsia"/>
        </w:rPr>
        <w:t>10 .</w:t>
      </w:r>
      <w:r>
        <w:rPr>
          <w:rStyle w:val="48"/>
          <w:rFonts w:hint="eastAsia" w:asciiTheme="minorEastAsia" w:hAnsiTheme="minorEastAsia"/>
        </w:rPr>
        <w:t>技术资料</w:t>
      </w:r>
      <w:r>
        <w:tab/>
      </w:r>
      <w:r>
        <w:fldChar w:fldCharType="begin"/>
      </w:r>
      <w:r>
        <w:instrText xml:space="preserve"> PAGEREF _Toc529435066 \h </w:instrText>
      </w:r>
      <w:r>
        <w:fldChar w:fldCharType="separate"/>
      </w:r>
      <w:r>
        <w:t>42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"_Toc529435067" </w:instrText>
      </w:r>
      <w:r>
        <w:fldChar w:fldCharType="separate"/>
      </w:r>
      <w:r>
        <w:rPr>
          <w:rStyle w:val="48"/>
          <w:rFonts w:asciiTheme="minorEastAsia" w:hAnsiTheme="minorEastAsia"/>
        </w:rPr>
        <w:t xml:space="preserve">11. </w:t>
      </w:r>
      <w:r>
        <w:rPr>
          <w:rStyle w:val="48"/>
          <w:rFonts w:hint="eastAsia" w:asciiTheme="minorEastAsia" w:hAnsiTheme="minorEastAsia"/>
        </w:rPr>
        <w:t>质量保证</w:t>
      </w:r>
      <w:r>
        <w:tab/>
      </w:r>
      <w:r>
        <w:fldChar w:fldCharType="begin"/>
      </w:r>
      <w:r>
        <w:instrText xml:space="preserve"> PAGEREF _Toc529435067 \h </w:instrText>
      </w:r>
      <w:r>
        <w:fldChar w:fldCharType="separate"/>
      </w:r>
      <w:r>
        <w:t>42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"_Toc529435068" </w:instrText>
      </w:r>
      <w:r>
        <w:fldChar w:fldCharType="separate"/>
      </w:r>
      <w:r>
        <w:rPr>
          <w:rStyle w:val="48"/>
          <w:rFonts w:asciiTheme="minorEastAsia" w:hAnsiTheme="minorEastAsia"/>
        </w:rPr>
        <w:t xml:space="preserve">12. </w:t>
      </w:r>
      <w:r>
        <w:rPr>
          <w:rStyle w:val="48"/>
          <w:rFonts w:hint="eastAsia" w:asciiTheme="minorEastAsia" w:hAnsiTheme="minorEastAsia"/>
        </w:rPr>
        <w:t>检验和验收</w:t>
      </w:r>
      <w:r>
        <w:tab/>
      </w:r>
      <w:r>
        <w:fldChar w:fldCharType="begin"/>
      </w:r>
      <w:r>
        <w:instrText xml:space="preserve"> PAGEREF _Toc529435068 \h </w:instrText>
      </w:r>
      <w:r>
        <w:fldChar w:fldCharType="separate"/>
      </w:r>
      <w:r>
        <w:t>43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"_Toc529435069" </w:instrText>
      </w:r>
      <w:r>
        <w:fldChar w:fldCharType="separate"/>
      </w:r>
      <w:r>
        <w:rPr>
          <w:rStyle w:val="48"/>
          <w:rFonts w:asciiTheme="minorEastAsia" w:hAnsiTheme="minorEastAsia"/>
        </w:rPr>
        <w:t xml:space="preserve">13. </w:t>
      </w:r>
      <w:r>
        <w:rPr>
          <w:rStyle w:val="48"/>
          <w:rFonts w:hint="eastAsia" w:asciiTheme="minorEastAsia" w:hAnsiTheme="minorEastAsia"/>
        </w:rPr>
        <w:t>索赔</w:t>
      </w:r>
      <w:r>
        <w:tab/>
      </w:r>
      <w:r>
        <w:fldChar w:fldCharType="begin"/>
      </w:r>
      <w:r>
        <w:instrText xml:space="preserve"> PAGEREF _Toc529435069 \h </w:instrText>
      </w:r>
      <w:r>
        <w:fldChar w:fldCharType="separate"/>
      </w:r>
      <w:r>
        <w:t>43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"_Toc529435070" </w:instrText>
      </w:r>
      <w:r>
        <w:fldChar w:fldCharType="separate"/>
      </w:r>
      <w:r>
        <w:rPr>
          <w:rStyle w:val="48"/>
          <w:rFonts w:asciiTheme="minorEastAsia" w:hAnsiTheme="minorEastAsia"/>
        </w:rPr>
        <w:t xml:space="preserve">14. </w:t>
      </w:r>
      <w:r>
        <w:rPr>
          <w:rStyle w:val="48"/>
          <w:rFonts w:hint="eastAsia" w:asciiTheme="minorEastAsia" w:hAnsiTheme="minorEastAsia"/>
        </w:rPr>
        <w:t>迟延交货</w:t>
      </w:r>
      <w:r>
        <w:tab/>
      </w:r>
      <w:r>
        <w:fldChar w:fldCharType="begin"/>
      </w:r>
      <w:r>
        <w:instrText xml:space="preserve"> PAGEREF _Toc529435070 \h </w:instrText>
      </w:r>
      <w:r>
        <w:fldChar w:fldCharType="separate"/>
      </w:r>
      <w:r>
        <w:t>44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"_Toc529435071" </w:instrText>
      </w:r>
      <w:r>
        <w:fldChar w:fldCharType="separate"/>
      </w:r>
      <w:r>
        <w:rPr>
          <w:rStyle w:val="48"/>
          <w:rFonts w:asciiTheme="minorEastAsia" w:hAnsiTheme="minorEastAsia"/>
        </w:rPr>
        <w:t xml:space="preserve">15. </w:t>
      </w:r>
      <w:r>
        <w:rPr>
          <w:rStyle w:val="48"/>
          <w:rFonts w:hint="eastAsia" w:asciiTheme="minorEastAsia" w:hAnsiTheme="minorEastAsia"/>
        </w:rPr>
        <w:t>违约赔偿</w:t>
      </w:r>
      <w:r>
        <w:tab/>
      </w:r>
      <w:r>
        <w:fldChar w:fldCharType="begin"/>
      </w:r>
      <w:r>
        <w:instrText xml:space="preserve"> PAGEREF _Toc529435071 \h </w:instrText>
      </w:r>
      <w:r>
        <w:fldChar w:fldCharType="separate"/>
      </w:r>
      <w:r>
        <w:t>44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"_Toc529435072" </w:instrText>
      </w:r>
      <w:r>
        <w:fldChar w:fldCharType="separate"/>
      </w:r>
      <w:r>
        <w:rPr>
          <w:rStyle w:val="48"/>
          <w:rFonts w:asciiTheme="minorEastAsia" w:hAnsiTheme="minorEastAsia"/>
        </w:rPr>
        <w:t xml:space="preserve">16. </w:t>
      </w:r>
      <w:r>
        <w:rPr>
          <w:rStyle w:val="48"/>
          <w:rFonts w:hint="eastAsia" w:asciiTheme="minorEastAsia" w:hAnsiTheme="minorEastAsia"/>
        </w:rPr>
        <w:t>不可抗力</w:t>
      </w:r>
      <w:r>
        <w:tab/>
      </w:r>
      <w:r>
        <w:fldChar w:fldCharType="begin"/>
      </w:r>
      <w:r>
        <w:instrText xml:space="preserve"> PAGEREF _Toc529435072 \h </w:instrText>
      </w:r>
      <w:r>
        <w:fldChar w:fldCharType="separate"/>
      </w:r>
      <w:r>
        <w:t>44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"_Toc529435073" </w:instrText>
      </w:r>
      <w:r>
        <w:fldChar w:fldCharType="separate"/>
      </w:r>
      <w:r>
        <w:rPr>
          <w:rStyle w:val="48"/>
          <w:rFonts w:asciiTheme="minorEastAsia" w:hAnsiTheme="minorEastAsia"/>
        </w:rPr>
        <w:t xml:space="preserve">17. </w:t>
      </w:r>
      <w:r>
        <w:rPr>
          <w:rStyle w:val="48"/>
          <w:rFonts w:hint="eastAsia" w:asciiTheme="minorEastAsia" w:hAnsiTheme="minorEastAsia"/>
        </w:rPr>
        <w:t>税费</w:t>
      </w:r>
      <w:r>
        <w:tab/>
      </w:r>
      <w:r>
        <w:fldChar w:fldCharType="begin"/>
      </w:r>
      <w:r>
        <w:instrText xml:space="preserve"> PAGEREF _Toc529435073 \h </w:instrText>
      </w:r>
      <w:r>
        <w:fldChar w:fldCharType="separate"/>
      </w:r>
      <w:r>
        <w:t>45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"_Toc529435074" </w:instrText>
      </w:r>
      <w:r>
        <w:fldChar w:fldCharType="separate"/>
      </w:r>
      <w:r>
        <w:rPr>
          <w:rStyle w:val="48"/>
          <w:rFonts w:asciiTheme="minorEastAsia" w:hAnsiTheme="minorEastAsia"/>
        </w:rPr>
        <w:t xml:space="preserve">18. </w:t>
      </w:r>
      <w:r>
        <w:rPr>
          <w:rStyle w:val="48"/>
          <w:rFonts w:hint="eastAsia" w:asciiTheme="minorEastAsia" w:hAnsiTheme="minorEastAsia"/>
        </w:rPr>
        <w:t>仲裁</w:t>
      </w:r>
      <w:r>
        <w:tab/>
      </w:r>
      <w:r>
        <w:fldChar w:fldCharType="begin"/>
      </w:r>
      <w:r>
        <w:instrText xml:space="preserve"> PAGEREF _Toc529435074 \h </w:instrText>
      </w:r>
      <w:r>
        <w:fldChar w:fldCharType="separate"/>
      </w:r>
      <w:r>
        <w:t>45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"_Toc529435075" </w:instrText>
      </w:r>
      <w:r>
        <w:fldChar w:fldCharType="separate"/>
      </w:r>
      <w:r>
        <w:rPr>
          <w:rStyle w:val="48"/>
          <w:rFonts w:asciiTheme="minorEastAsia" w:hAnsiTheme="minorEastAsia"/>
        </w:rPr>
        <w:t xml:space="preserve">19. </w:t>
      </w:r>
      <w:r>
        <w:rPr>
          <w:rStyle w:val="48"/>
          <w:rFonts w:hint="eastAsia" w:asciiTheme="minorEastAsia" w:hAnsiTheme="minorEastAsia"/>
        </w:rPr>
        <w:t>违约解除合同</w:t>
      </w:r>
      <w:r>
        <w:tab/>
      </w:r>
      <w:r>
        <w:fldChar w:fldCharType="begin"/>
      </w:r>
      <w:r>
        <w:instrText xml:space="preserve"> PAGEREF _Toc529435075 \h </w:instrText>
      </w:r>
      <w:r>
        <w:fldChar w:fldCharType="separate"/>
      </w:r>
      <w:r>
        <w:t>45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"_Toc529435076" </w:instrText>
      </w:r>
      <w:r>
        <w:fldChar w:fldCharType="separate"/>
      </w:r>
      <w:r>
        <w:rPr>
          <w:rStyle w:val="48"/>
          <w:rFonts w:asciiTheme="minorEastAsia" w:hAnsiTheme="minorEastAsia"/>
        </w:rPr>
        <w:t xml:space="preserve">20. </w:t>
      </w:r>
      <w:r>
        <w:rPr>
          <w:rStyle w:val="48"/>
          <w:rFonts w:hint="eastAsia" w:asciiTheme="minorEastAsia" w:hAnsiTheme="minorEastAsia"/>
        </w:rPr>
        <w:t>破产终止合同</w:t>
      </w:r>
      <w:r>
        <w:tab/>
      </w:r>
      <w:r>
        <w:fldChar w:fldCharType="begin"/>
      </w:r>
      <w:r>
        <w:instrText xml:space="preserve"> PAGEREF _Toc529435076 \h </w:instrText>
      </w:r>
      <w:r>
        <w:fldChar w:fldCharType="separate"/>
      </w:r>
      <w:r>
        <w:t>45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"_Toc529435077" </w:instrText>
      </w:r>
      <w:r>
        <w:fldChar w:fldCharType="separate"/>
      </w:r>
      <w:r>
        <w:rPr>
          <w:rStyle w:val="48"/>
          <w:rFonts w:asciiTheme="minorEastAsia" w:hAnsiTheme="minorEastAsia"/>
        </w:rPr>
        <w:t xml:space="preserve">21. </w:t>
      </w:r>
      <w:r>
        <w:rPr>
          <w:rStyle w:val="48"/>
          <w:rFonts w:hint="eastAsia" w:asciiTheme="minorEastAsia" w:hAnsiTheme="minorEastAsia"/>
        </w:rPr>
        <w:t>转让和分包</w:t>
      </w:r>
      <w:r>
        <w:tab/>
      </w:r>
      <w:r>
        <w:fldChar w:fldCharType="begin"/>
      </w:r>
      <w:r>
        <w:instrText xml:space="preserve"> PAGEREF _Toc529435077 \h </w:instrText>
      </w:r>
      <w:r>
        <w:fldChar w:fldCharType="separate"/>
      </w:r>
      <w:r>
        <w:t>46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"_Toc529435078" </w:instrText>
      </w:r>
      <w:r>
        <w:fldChar w:fldCharType="separate"/>
      </w:r>
      <w:r>
        <w:rPr>
          <w:rStyle w:val="48"/>
          <w:rFonts w:asciiTheme="minorEastAsia" w:hAnsiTheme="minorEastAsia"/>
        </w:rPr>
        <w:t xml:space="preserve">22. </w:t>
      </w:r>
      <w:r>
        <w:rPr>
          <w:rStyle w:val="48"/>
          <w:rFonts w:hint="eastAsia" w:asciiTheme="minorEastAsia" w:hAnsiTheme="minorEastAsia"/>
        </w:rPr>
        <w:t>合同修改</w:t>
      </w:r>
      <w:r>
        <w:tab/>
      </w:r>
      <w:r>
        <w:fldChar w:fldCharType="begin"/>
      </w:r>
      <w:r>
        <w:instrText xml:space="preserve"> PAGEREF _Toc529435078 \h </w:instrText>
      </w:r>
      <w:r>
        <w:fldChar w:fldCharType="separate"/>
      </w:r>
      <w:r>
        <w:t>46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"_Toc529435079" </w:instrText>
      </w:r>
      <w:r>
        <w:fldChar w:fldCharType="separate"/>
      </w:r>
      <w:r>
        <w:rPr>
          <w:rStyle w:val="48"/>
          <w:rFonts w:asciiTheme="minorEastAsia" w:hAnsiTheme="minorEastAsia"/>
        </w:rPr>
        <w:t xml:space="preserve">23. </w:t>
      </w:r>
      <w:r>
        <w:rPr>
          <w:rStyle w:val="48"/>
          <w:rFonts w:hint="eastAsia" w:asciiTheme="minorEastAsia" w:hAnsiTheme="minorEastAsia"/>
        </w:rPr>
        <w:t>通知</w:t>
      </w:r>
      <w:r>
        <w:tab/>
      </w:r>
      <w:r>
        <w:fldChar w:fldCharType="begin"/>
      </w:r>
      <w:r>
        <w:instrText xml:space="preserve"> PAGEREF _Toc529435079 \h </w:instrText>
      </w:r>
      <w:r>
        <w:fldChar w:fldCharType="separate"/>
      </w:r>
      <w:r>
        <w:t>46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"_Toc529435080" </w:instrText>
      </w:r>
      <w:r>
        <w:fldChar w:fldCharType="separate"/>
      </w:r>
      <w:r>
        <w:rPr>
          <w:rStyle w:val="48"/>
          <w:rFonts w:asciiTheme="minorEastAsia" w:hAnsiTheme="minorEastAsia"/>
        </w:rPr>
        <w:t xml:space="preserve">24. </w:t>
      </w:r>
      <w:r>
        <w:rPr>
          <w:rStyle w:val="48"/>
          <w:rFonts w:hint="eastAsia" w:asciiTheme="minorEastAsia" w:hAnsiTheme="minorEastAsia"/>
        </w:rPr>
        <w:t>计量单位</w:t>
      </w:r>
      <w:r>
        <w:tab/>
      </w:r>
      <w:r>
        <w:fldChar w:fldCharType="begin"/>
      </w:r>
      <w:r>
        <w:instrText xml:space="preserve"> PAGEREF _Toc529435080 \h </w:instrText>
      </w:r>
      <w:r>
        <w:fldChar w:fldCharType="separate"/>
      </w:r>
      <w:r>
        <w:t>46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"_Toc529435081" </w:instrText>
      </w:r>
      <w:r>
        <w:fldChar w:fldCharType="separate"/>
      </w:r>
      <w:r>
        <w:rPr>
          <w:rStyle w:val="48"/>
          <w:rFonts w:asciiTheme="minorEastAsia" w:hAnsiTheme="minorEastAsia"/>
        </w:rPr>
        <w:t xml:space="preserve">25. </w:t>
      </w:r>
      <w:r>
        <w:rPr>
          <w:rStyle w:val="48"/>
          <w:rFonts w:hint="eastAsia" w:asciiTheme="minorEastAsia" w:hAnsiTheme="minorEastAsia"/>
        </w:rPr>
        <w:t>适用法律</w:t>
      </w:r>
      <w:r>
        <w:tab/>
      </w:r>
      <w:r>
        <w:fldChar w:fldCharType="begin"/>
      </w:r>
      <w:r>
        <w:instrText xml:space="preserve"> PAGEREF _Toc529435081 \h </w:instrText>
      </w:r>
      <w:r>
        <w:fldChar w:fldCharType="separate"/>
      </w:r>
      <w:r>
        <w:t>46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"_Toc529435082" </w:instrText>
      </w:r>
      <w:r>
        <w:fldChar w:fldCharType="separate"/>
      </w:r>
      <w:r>
        <w:rPr>
          <w:rStyle w:val="48"/>
          <w:rFonts w:asciiTheme="minorEastAsia" w:hAnsiTheme="minorEastAsia"/>
        </w:rPr>
        <w:t xml:space="preserve">26. </w:t>
      </w:r>
      <w:r>
        <w:rPr>
          <w:rStyle w:val="48"/>
          <w:rFonts w:hint="eastAsia" w:asciiTheme="minorEastAsia" w:hAnsiTheme="minorEastAsia"/>
        </w:rPr>
        <w:t>合同生效和其它</w:t>
      </w:r>
      <w:r>
        <w:tab/>
      </w:r>
      <w:r>
        <w:fldChar w:fldCharType="begin"/>
      </w:r>
      <w:r>
        <w:instrText xml:space="preserve"> PAGEREF _Toc529435082 \h </w:instrText>
      </w:r>
      <w:r>
        <w:fldChar w:fldCharType="separate"/>
      </w:r>
      <w:r>
        <w:t>46</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"_Toc529435083" </w:instrText>
      </w:r>
      <w:r>
        <w:fldChar w:fldCharType="separate"/>
      </w:r>
      <w:r>
        <w:rPr>
          <w:rStyle w:val="48"/>
          <w:rFonts w:hint="eastAsia" w:asciiTheme="minorEastAsia" w:hAnsiTheme="minorEastAsia"/>
        </w:rPr>
        <w:t>第七章合同专用条款</w:t>
      </w:r>
      <w:r>
        <w:tab/>
      </w:r>
      <w:r>
        <w:fldChar w:fldCharType="begin"/>
      </w:r>
      <w:r>
        <w:instrText xml:space="preserve"> PAGEREF _Toc529435083 \h </w:instrText>
      </w:r>
      <w:r>
        <w:fldChar w:fldCharType="separate"/>
      </w:r>
      <w:r>
        <w:t>47</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"_Toc529435084" </w:instrText>
      </w:r>
      <w:r>
        <w:fldChar w:fldCharType="separate"/>
      </w:r>
      <w:r>
        <w:rPr>
          <w:rStyle w:val="48"/>
          <w:rFonts w:hint="eastAsia" w:asciiTheme="minorEastAsia" w:hAnsiTheme="minorEastAsia"/>
        </w:rPr>
        <w:t>第八章政府采购合同格式</w:t>
      </w:r>
      <w:r>
        <w:tab/>
      </w:r>
      <w:r>
        <w:fldChar w:fldCharType="begin"/>
      </w:r>
      <w:r>
        <w:instrText xml:space="preserve"> PAGEREF _Toc529435084 \h </w:instrText>
      </w:r>
      <w:r>
        <w:fldChar w:fldCharType="separate"/>
      </w:r>
      <w:r>
        <w:t>48</w:t>
      </w:r>
      <w:r>
        <w:fldChar w:fldCharType="end"/>
      </w:r>
      <w:r>
        <w:fldChar w:fldCharType="end"/>
      </w:r>
    </w:p>
    <w:p>
      <w:pPr>
        <w:pStyle w:val="29"/>
        <w:tabs>
          <w:tab w:val="right" w:leader="dot" w:pos="9061"/>
        </w:tabs>
        <w:rPr>
          <w:rFonts w:asciiTheme="minorHAnsi" w:hAnsiTheme="minorHAnsi" w:eastAsiaTheme="minorEastAsia" w:cstheme="minorBidi"/>
          <w:b w:val="0"/>
          <w:bCs w:val="0"/>
          <w:iCs w:val="0"/>
          <w:sz w:val="21"/>
          <w:szCs w:val="22"/>
        </w:rPr>
      </w:pPr>
      <w:r>
        <w:fldChar w:fldCharType="begin"/>
      </w:r>
      <w:r>
        <w:instrText xml:space="preserve"> HYPERLINK \l "_Toc529435085" </w:instrText>
      </w:r>
      <w:r>
        <w:fldChar w:fldCharType="separate"/>
      </w:r>
      <w:r>
        <w:rPr>
          <w:rStyle w:val="48"/>
          <w:rFonts w:hint="eastAsia" w:asciiTheme="minorEastAsia" w:hAnsiTheme="minorEastAsia"/>
        </w:rPr>
        <w:t>第九章投标文件格式</w:t>
      </w:r>
      <w:r>
        <w:tab/>
      </w:r>
      <w:r>
        <w:fldChar w:fldCharType="begin"/>
      </w:r>
      <w:r>
        <w:instrText xml:space="preserve"> PAGEREF _Toc529435085 \h </w:instrText>
      </w:r>
      <w:r>
        <w:fldChar w:fldCharType="separate"/>
      </w:r>
      <w:r>
        <w:t>51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"_Toc529435086" </w:instrText>
      </w:r>
      <w:r>
        <w:fldChar w:fldCharType="separate"/>
      </w:r>
      <w:r>
        <w:rPr>
          <w:rStyle w:val="48"/>
          <w:rFonts w:asciiTheme="minorEastAsia" w:hAnsiTheme="minorEastAsia"/>
        </w:rPr>
        <w:t xml:space="preserve">1 </w:t>
      </w:r>
      <w:r>
        <w:rPr>
          <w:rStyle w:val="48"/>
          <w:rFonts w:hint="eastAsia" w:asciiTheme="minorEastAsia" w:hAnsiTheme="minorEastAsia"/>
        </w:rPr>
        <w:t>投</w:t>
      </w:r>
      <w:r>
        <w:rPr>
          <w:rStyle w:val="48"/>
          <w:rFonts w:asciiTheme="minorEastAsia" w:hAnsiTheme="minorEastAsia"/>
        </w:rPr>
        <w:t xml:space="preserve"> </w:t>
      </w:r>
      <w:r>
        <w:rPr>
          <w:rStyle w:val="48"/>
          <w:rFonts w:hint="eastAsia" w:asciiTheme="minorEastAsia" w:hAnsiTheme="minorEastAsia"/>
        </w:rPr>
        <w:t>标</w:t>
      </w:r>
      <w:r>
        <w:rPr>
          <w:rStyle w:val="48"/>
          <w:rFonts w:asciiTheme="minorEastAsia" w:hAnsiTheme="minorEastAsia"/>
        </w:rPr>
        <w:t xml:space="preserve"> </w:t>
      </w:r>
      <w:r>
        <w:rPr>
          <w:rStyle w:val="48"/>
          <w:rFonts w:hint="eastAsia" w:asciiTheme="minorEastAsia" w:hAnsiTheme="minorEastAsia"/>
        </w:rPr>
        <w:t>函</w:t>
      </w:r>
      <w:r>
        <w:tab/>
      </w:r>
      <w:r>
        <w:fldChar w:fldCharType="begin"/>
      </w:r>
      <w:r>
        <w:instrText xml:space="preserve"> PAGEREF _Toc529435086 \h </w:instrText>
      </w:r>
      <w:r>
        <w:fldChar w:fldCharType="separate"/>
      </w:r>
      <w:r>
        <w:t>51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"_Toc529435087" </w:instrText>
      </w:r>
      <w:r>
        <w:fldChar w:fldCharType="separate"/>
      </w:r>
      <w:r>
        <w:rPr>
          <w:rStyle w:val="48"/>
          <w:rFonts w:asciiTheme="minorEastAsia" w:hAnsiTheme="minorEastAsia"/>
        </w:rPr>
        <w:t xml:space="preserve">2 </w:t>
      </w:r>
      <w:r>
        <w:rPr>
          <w:rStyle w:val="48"/>
          <w:rFonts w:hint="eastAsia" w:asciiTheme="minorEastAsia" w:hAnsiTheme="minorEastAsia"/>
        </w:rPr>
        <w:t>投标一览表</w:t>
      </w:r>
      <w:r>
        <w:tab/>
      </w:r>
      <w:r>
        <w:fldChar w:fldCharType="begin"/>
      </w:r>
      <w:r>
        <w:instrText xml:space="preserve"> PAGEREF _Toc529435087 \h </w:instrText>
      </w:r>
      <w:r>
        <w:fldChar w:fldCharType="separate"/>
      </w:r>
      <w:r>
        <w:t>53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"_Toc529435088" </w:instrText>
      </w:r>
      <w:r>
        <w:fldChar w:fldCharType="separate"/>
      </w:r>
      <w:r>
        <w:rPr>
          <w:rStyle w:val="48"/>
          <w:rFonts w:asciiTheme="minorEastAsia" w:hAnsiTheme="minorEastAsia"/>
        </w:rPr>
        <w:t xml:space="preserve">3 </w:t>
      </w:r>
      <w:r>
        <w:rPr>
          <w:rStyle w:val="48"/>
          <w:rFonts w:hint="eastAsia" w:asciiTheme="minorEastAsia" w:hAnsiTheme="minorEastAsia"/>
        </w:rPr>
        <w:t>投标分项报价表</w:t>
      </w:r>
      <w:r>
        <w:tab/>
      </w:r>
      <w:r>
        <w:fldChar w:fldCharType="begin"/>
      </w:r>
      <w:r>
        <w:instrText xml:space="preserve"> PAGEREF _Toc529435088 \h </w:instrText>
      </w:r>
      <w:r>
        <w:fldChar w:fldCharType="separate"/>
      </w:r>
      <w:r>
        <w:t>54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"_Toc529435089" </w:instrText>
      </w:r>
      <w:r>
        <w:fldChar w:fldCharType="separate"/>
      </w:r>
      <w:r>
        <w:rPr>
          <w:rStyle w:val="48"/>
          <w:rFonts w:asciiTheme="minorEastAsia" w:hAnsiTheme="minorEastAsia"/>
        </w:rPr>
        <w:t xml:space="preserve">4 </w:t>
      </w:r>
      <w:r>
        <w:rPr>
          <w:rStyle w:val="48"/>
          <w:rFonts w:hint="eastAsia" w:asciiTheme="minorEastAsia" w:hAnsiTheme="minorEastAsia"/>
        </w:rPr>
        <w:t>货物说明一览表</w:t>
      </w:r>
      <w:r>
        <w:tab/>
      </w:r>
      <w:r>
        <w:fldChar w:fldCharType="begin"/>
      </w:r>
      <w:r>
        <w:instrText xml:space="preserve"> PAGEREF _Toc529435089 \h </w:instrText>
      </w:r>
      <w:r>
        <w:fldChar w:fldCharType="separate"/>
      </w:r>
      <w:r>
        <w:t>55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"_Toc529435090" </w:instrText>
      </w:r>
      <w:r>
        <w:fldChar w:fldCharType="separate"/>
      </w:r>
      <w:r>
        <w:rPr>
          <w:rStyle w:val="48"/>
          <w:rFonts w:asciiTheme="minorEastAsia" w:hAnsiTheme="minorEastAsia"/>
        </w:rPr>
        <w:t xml:space="preserve">5 </w:t>
      </w:r>
      <w:r>
        <w:rPr>
          <w:rStyle w:val="48"/>
          <w:rFonts w:hint="eastAsia" w:asciiTheme="minorEastAsia" w:hAnsiTheme="minorEastAsia"/>
        </w:rPr>
        <w:t>技术规格偏离表</w:t>
      </w:r>
      <w:r>
        <w:tab/>
      </w:r>
      <w:r>
        <w:fldChar w:fldCharType="begin"/>
      </w:r>
      <w:r>
        <w:instrText xml:space="preserve"> PAGEREF _Toc529435090 \h </w:instrText>
      </w:r>
      <w:r>
        <w:fldChar w:fldCharType="separate"/>
      </w:r>
      <w:r>
        <w:t>56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"_Toc529435091" </w:instrText>
      </w:r>
      <w:r>
        <w:fldChar w:fldCharType="separate"/>
      </w:r>
      <w:r>
        <w:rPr>
          <w:rStyle w:val="48"/>
          <w:rFonts w:asciiTheme="minorEastAsia" w:hAnsiTheme="minorEastAsia"/>
        </w:rPr>
        <w:t xml:space="preserve">6 </w:t>
      </w:r>
      <w:r>
        <w:rPr>
          <w:rStyle w:val="48"/>
          <w:rFonts w:hint="eastAsia" w:asciiTheme="minorEastAsia" w:hAnsiTheme="minorEastAsia"/>
        </w:rPr>
        <w:t>商务条款偏离表</w:t>
      </w:r>
      <w:r>
        <w:tab/>
      </w:r>
      <w:r>
        <w:fldChar w:fldCharType="begin"/>
      </w:r>
      <w:r>
        <w:instrText xml:space="preserve"> PAGEREF _Toc529435091 \h </w:instrText>
      </w:r>
      <w:r>
        <w:fldChar w:fldCharType="separate"/>
      </w:r>
      <w:r>
        <w:t>57</w:t>
      </w:r>
      <w:r>
        <w:fldChar w:fldCharType="end"/>
      </w:r>
      <w:r>
        <w:fldChar w:fldCharType="end"/>
      </w:r>
    </w:p>
    <w:p>
      <w:pPr>
        <w:pStyle w:val="19"/>
        <w:tabs>
          <w:tab w:val="left" w:pos="840"/>
          <w:tab w:val="right" w:leader="dot" w:pos="9061"/>
        </w:tabs>
        <w:rPr>
          <w:rFonts w:asciiTheme="minorHAnsi" w:hAnsiTheme="minorHAnsi" w:eastAsiaTheme="minorEastAsia" w:cstheme="minorBidi"/>
          <w:sz w:val="21"/>
          <w:szCs w:val="22"/>
        </w:rPr>
      </w:pPr>
      <w:r>
        <w:fldChar w:fldCharType="begin"/>
      </w:r>
      <w:r>
        <w:instrText xml:space="preserve"> HYPERLINK \l "_Toc529435092" </w:instrText>
      </w:r>
      <w:r>
        <w:fldChar w:fldCharType="separate"/>
      </w:r>
      <w:r>
        <w:rPr>
          <w:rStyle w:val="48"/>
          <w:rFonts w:asciiTheme="minorEastAsia" w:hAnsiTheme="minorEastAsia"/>
        </w:rPr>
        <w:t>7</w:t>
      </w:r>
      <w:r>
        <w:rPr>
          <w:rFonts w:asciiTheme="minorHAnsi" w:hAnsiTheme="minorHAnsi" w:eastAsiaTheme="minorEastAsia" w:cstheme="minorBidi"/>
          <w:sz w:val="21"/>
          <w:szCs w:val="22"/>
        </w:rPr>
        <w:tab/>
      </w:r>
      <w:r>
        <w:rPr>
          <w:rStyle w:val="48"/>
          <w:rFonts w:hint="eastAsia" w:asciiTheme="minorEastAsia" w:hAnsiTheme="minorEastAsia"/>
        </w:rPr>
        <w:t>资格证明文件</w:t>
      </w:r>
      <w:r>
        <w:tab/>
      </w:r>
      <w:r>
        <w:fldChar w:fldCharType="begin"/>
      </w:r>
      <w:r>
        <w:instrText xml:space="preserve"> PAGEREF _Toc529435092 \h </w:instrText>
      </w:r>
      <w:r>
        <w:fldChar w:fldCharType="separate"/>
      </w:r>
      <w:r>
        <w:t>58</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"_Toc529435093" </w:instrText>
      </w:r>
      <w:r>
        <w:fldChar w:fldCharType="separate"/>
      </w:r>
      <w:r>
        <w:rPr>
          <w:rStyle w:val="48"/>
          <w:rFonts w:asciiTheme="minorEastAsia" w:hAnsiTheme="minorEastAsia"/>
        </w:rPr>
        <w:t xml:space="preserve">8 </w:t>
      </w:r>
      <w:r>
        <w:rPr>
          <w:rStyle w:val="48"/>
          <w:rFonts w:hint="eastAsia" w:asciiTheme="minorEastAsia" w:hAnsiTheme="minorEastAsia"/>
        </w:rPr>
        <w:t>业绩案例一览表</w:t>
      </w:r>
      <w:r>
        <w:tab/>
      </w:r>
      <w:r>
        <w:fldChar w:fldCharType="begin"/>
      </w:r>
      <w:r>
        <w:instrText xml:space="preserve"> PAGEREF _Toc529435093 \h </w:instrText>
      </w:r>
      <w:r>
        <w:fldChar w:fldCharType="separate"/>
      </w:r>
      <w:r>
        <w:t>76</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"_Toc529435094" </w:instrText>
      </w:r>
      <w:r>
        <w:fldChar w:fldCharType="separate"/>
      </w:r>
      <w:r>
        <w:rPr>
          <w:rStyle w:val="48"/>
          <w:rFonts w:asciiTheme="minorEastAsia" w:hAnsiTheme="minorEastAsia"/>
        </w:rPr>
        <w:t xml:space="preserve">9 </w:t>
      </w:r>
      <w:r>
        <w:rPr>
          <w:rStyle w:val="48"/>
          <w:rFonts w:hint="eastAsia" w:asciiTheme="minorEastAsia" w:hAnsiTheme="minorEastAsia"/>
        </w:rPr>
        <w:t>供应商基本情况表</w:t>
      </w:r>
      <w:r>
        <w:tab/>
      </w:r>
      <w:r>
        <w:fldChar w:fldCharType="begin"/>
      </w:r>
      <w:r>
        <w:instrText xml:space="preserve"> PAGEREF _Toc529435094 \h </w:instrText>
      </w:r>
      <w:r>
        <w:fldChar w:fldCharType="separate"/>
      </w:r>
      <w:r>
        <w:t>77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"_Toc529435095" </w:instrText>
      </w:r>
      <w:r>
        <w:fldChar w:fldCharType="separate"/>
      </w:r>
      <w:r>
        <w:rPr>
          <w:rStyle w:val="48"/>
          <w:rFonts w:asciiTheme="minorEastAsia" w:hAnsiTheme="minorEastAsia"/>
        </w:rPr>
        <w:t xml:space="preserve">10 </w:t>
      </w:r>
      <w:r>
        <w:rPr>
          <w:rStyle w:val="48"/>
          <w:rFonts w:hint="eastAsia" w:asciiTheme="minorEastAsia" w:hAnsiTheme="minorEastAsia"/>
        </w:rPr>
        <w:t>拟用于本项目人员资格和经历情况（如适用）</w:t>
      </w:r>
      <w:r>
        <w:tab/>
      </w:r>
      <w:r>
        <w:fldChar w:fldCharType="begin"/>
      </w:r>
      <w:r>
        <w:instrText xml:space="preserve"> PAGEREF _Toc529435095 \h </w:instrText>
      </w:r>
      <w:r>
        <w:fldChar w:fldCharType="separate"/>
      </w:r>
      <w:r>
        <w:t>79</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"_Toc529435096" </w:instrText>
      </w:r>
      <w:r>
        <w:fldChar w:fldCharType="separate"/>
      </w:r>
      <w:r>
        <w:rPr>
          <w:rStyle w:val="48"/>
          <w:rFonts w:asciiTheme="minorEastAsia" w:hAnsiTheme="minorEastAsia"/>
        </w:rPr>
        <w:t xml:space="preserve">11 </w:t>
      </w:r>
      <w:r>
        <w:rPr>
          <w:rStyle w:val="48"/>
          <w:rFonts w:hint="eastAsia" w:asciiTheme="minorEastAsia" w:hAnsiTheme="minorEastAsia"/>
        </w:rPr>
        <w:t>技术方案</w:t>
      </w:r>
      <w:r>
        <w:tab/>
      </w:r>
      <w:r>
        <w:fldChar w:fldCharType="begin"/>
      </w:r>
      <w:r>
        <w:instrText xml:space="preserve"> PAGEREF _Toc529435096 \h </w:instrText>
      </w:r>
      <w:r>
        <w:fldChar w:fldCharType="separate"/>
      </w:r>
      <w:r>
        <w:t>80</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"_Toc529435097" </w:instrText>
      </w:r>
      <w:r>
        <w:fldChar w:fldCharType="separate"/>
      </w:r>
      <w:r>
        <w:rPr>
          <w:rStyle w:val="48"/>
          <w:rFonts w:asciiTheme="minorEastAsia" w:hAnsiTheme="minorEastAsia"/>
        </w:rPr>
        <w:t xml:space="preserve">12 </w:t>
      </w:r>
      <w:r>
        <w:rPr>
          <w:rStyle w:val="48"/>
          <w:rFonts w:hint="eastAsia" w:asciiTheme="minorEastAsia" w:hAnsiTheme="minorEastAsia"/>
        </w:rPr>
        <w:t>售后服务及培训计划以</w:t>
      </w:r>
      <w:r>
        <w:tab/>
      </w:r>
      <w:r>
        <w:fldChar w:fldCharType="begin"/>
      </w:r>
      <w:r>
        <w:instrText xml:space="preserve"> PAGEREF _Toc529435097 \h </w:instrText>
      </w:r>
      <w:r>
        <w:fldChar w:fldCharType="separate"/>
      </w:r>
      <w:r>
        <w:t>81</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"_Toc529435098" </w:instrText>
      </w:r>
      <w:r>
        <w:fldChar w:fldCharType="separate"/>
      </w:r>
      <w:r>
        <w:rPr>
          <w:rStyle w:val="48"/>
          <w:rFonts w:asciiTheme="minorEastAsia" w:hAnsiTheme="minorEastAsia"/>
        </w:rPr>
        <w:t xml:space="preserve">13 </w:t>
      </w:r>
      <w:r>
        <w:rPr>
          <w:rStyle w:val="48"/>
          <w:rFonts w:hint="eastAsia" w:asciiTheme="minorEastAsia" w:hAnsiTheme="minorEastAsia"/>
        </w:rPr>
        <w:t>投标保证金</w:t>
      </w:r>
      <w:r>
        <w:tab/>
      </w:r>
      <w:r>
        <w:fldChar w:fldCharType="begin"/>
      </w:r>
      <w:r>
        <w:instrText xml:space="preserve"> PAGEREF _Toc529435098 \h </w:instrText>
      </w:r>
      <w:r>
        <w:fldChar w:fldCharType="separate"/>
      </w:r>
      <w:r>
        <w:t>82</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"_Toc529435099" </w:instrText>
      </w:r>
      <w:r>
        <w:fldChar w:fldCharType="separate"/>
      </w:r>
      <w:r>
        <w:rPr>
          <w:rStyle w:val="48"/>
          <w:rFonts w:asciiTheme="minorEastAsia" w:hAnsiTheme="minorEastAsia"/>
        </w:rPr>
        <w:t xml:space="preserve">14 </w:t>
      </w:r>
      <w:r>
        <w:rPr>
          <w:rStyle w:val="48"/>
          <w:rFonts w:hint="eastAsia" w:asciiTheme="minorEastAsia" w:hAnsiTheme="minorEastAsia"/>
        </w:rPr>
        <w:t>履约保证金保函（中标后开具）</w:t>
      </w:r>
      <w:r>
        <w:tab/>
      </w:r>
      <w:r>
        <w:fldChar w:fldCharType="begin"/>
      </w:r>
      <w:r>
        <w:instrText xml:space="preserve"> PAGEREF _Toc529435099 \h </w:instrText>
      </w:r>
      <w:r>
        <w:fldChar w:fldCharType="separate"/>
      </w:r>
      <w:r>
        <w:t>83</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"_Toc529435100" </w:instrText>
      </w:r>
      <w:r>
        <w:fldChar w:fldCharType="separate"/>
      </w:r>
      <w:r>
        <w:rPr>
          <w:rStyle w:val="48"/>
          <w:rFonts w:asciiTheme="minorEastAsia" w:hAnsiTheme="minorEastAsia"/>
        </w:rPr>
        <w:t xml:space="preserve">15 </w:t>
      </w:r>
      <w:r>
        <w:rPr>
          <w:rStyle w:val="48"/>
          <w:rFonts w:hint="eastAsia" w:asciiTheme="minorEastAsia" w:hAnsiTheme="minorEastAsia"/>
        </w:rPr>
        <w:t>中标服务费承诺书</w:t>
      </w:r>
      <w:r>
        <w:tab/>
      </w:r>
      <w:r>
        <w:fldChar w:fldCharType="begin"/>
      </w:r>
      <w:r>
        <w:instrText xml:space="preserve"> PAGEREF _Toc529435100 \h </w:instrText>
      </w:r>
      <w:r>
        <w:fldChar w:fldCharType="separate"/>
      </w:r>
      <w:r>
        <w:t>84</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"_Toc529435101" </w:instrText>
      </w:r>
      <w:r>
        <w:fldChar w:fldCharType="separate"/>
      </w:r>
      <w:r>
        <w:rPr>
          <w:rStyle w:val="48"/>
          <w:rFonts w:asciiTheme="minorEastAsia" w:hAnsiTheme="minorEastAsia"/>
        </w:rPr>
        <w:t xml:space="preserve">16 </w:t>
      </w:r>
      <w:r>
        <w:rPr>
          <w:rStyle w:val="48"/>
          <w:rFonts w:hint="eastAsia" w:asciiTheme="minorEastAsia" w:hAnsiTheme="minorEastAsia"/>
        </w:rPr>
        <w:t>政府采购信用担保投标担保函格式</w:t>
      </w:r>
      <w:r>
        <w:tab/>
      </w:r>
      <w:r>
        <w:fldChar w:fldCharType="begin"/>
      </w:r>
      <w:r>
        <w:instrText xml:space="preserve"> PAGEREF _Toc529435101 \h </w:instrText>
      </w:r>
      <w:r>
        <w:fldChar w:fldCharType="separate"/>
      </w:r>
      <w:r>
        <w:t>85</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"_Toc529435102" </w:instrText>
      </w:r>
      <w:r>
        <w:fldChar w:fldCharType="separate"/>
      </w:r>
      <w:r>
        <w:rPr>
          <w:rStyle w:val="48"/>
          <w:rFonts w:asciiTheme="minorEastAsia" w:hAnsiTheme="minorEastAsia"/>
        </w:rPr>
        <w:t xml:space="preserve">17 </w:t>
      </w:r>
      <w:r>
        <w:rPr>
          <w:rStyle w:val="48"/>
          <w:rFonts w:hint="eastAsia" w:asciiTheme="minorEastAsia" w:hAnsiTheme="minorEastAsia"/>
        </w:rPr>
        <w:t>政府采购信用担保履约担保函格式</w:t>
      </w:r>
      <w:r>
        <w:tab/>
      </w:r>
      <w:r>
        <w:fldChar w:fldCharType="begin"/>
      </w:r>
      <w:r>
        <w:instrText xml:space="preserve"> PAGEREF _Toc529435102 \h </w:instrText>
      </w:r>
      <w:r>
        <w:fldChar w:fldCharType="separate"/>
      </w:r>
      <w:r>
        <w:t>87</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"_Toc529435103" </w:instrText>
      </w:r>
      <w:r>
        <w:fldChar w:fldCharType="separate"/>
      </w:r>
      <w:r>
        <w:rPr>
          <w:rStyle w:val="48"/>
          <w:rFonts w:asciiTheme="minorEastAsia" w:hAnsiTheme="minorEastAsia"/>
        </w:rPr>
        <w:t xml:space="preserve">18 </w:t>
      </w:r>
      <w:r>
        <w:rPr>
          <w:rStyle w:val="48"/>
          <w:rFonts w:hint="eastAsia" w:asciiTheme="minorEastAsia" w:hAnsiTheme="minorEastAsia"/>
        </w:rPr>
        <w:t>投标人企业类型声明函</w:t>
      </w:r>
      <w:r>
        <w:tab/>
      </w:r>
      <w:r>
        <w:fldChar w:fldCharType="begin"/>
      </w:r>
      <w:r>
        <w:instrText xml:space="preserve"> PAGEREF _Toc529435103 \h </w:instrText>
      </w:r>
      <w:r>
        <w:fldChar w:fldCharType="separate"/>
      </w:r>
      <w:r>
        <w:t>89</w:t>
      </w:r>
      <w:r>
        <w:fldChar w:fldCharType="end"/>
      </w:r>
      <w:r>
        <w:fldChar w:fldCharType="end"/>
      </w:r>
    </w:p>
    <w:p>
      <w:pPr>
        <w:pStyle w:val="19"/>
        <w:tabs>
          <w:tab w:val="right" w:leader="dot" w:pos="9061"/>
        </w:tabs>
        <w:rPr>
          <w:rFonts w:asciiTheme="minorHAnsi" w:hAnsiTheme="minorHAnsi" w:eastAsiaTheme="minorEastAsia" w:cstheme="minorBidi"/>
          <w:sz w:val="21"/>
          <w:szCs w:val="22"/>
        </w:rPr>
      </w:pPr>
      <w:r>
        <w:fldChar w:fldCharType="begin"/>
      </w:r>
      <w:r>
        <w:instrText xml:space="preserve"> HYPERLINK \l "_Toc529435104" </w:instrText>
      </w:r>
      <w:r>
        <w:fldChar w:fldCharType="separate"/>
      </w:r>
      <w:r>
        <w:rPr>
          <w:rStyle w:val="48"/>
          <w:rFonts w:asciiTheme="minorEastAsia" w:hAnsiTheme="minorEastAsia"/>
        </w:rPr>
        <w:t xml:space="preserve">19 </w:t>
      </w:r>
      <w:r>
        <w:rPr>
          <w:rStyle w:val="48"/>
          <w:rFonts w:hint="eastAsia" w:asciiTheme="minorEastAsia" w:hAnsiTheme="minorEastAsia"/>
        </w:rPr>
        <w:t>残疾人福利性单位声明函</w:t>
      </w:r>
      <w:r>
        <w:rPr>
          <w:rStyle w:val="48"/>
          <w:rFonts w:asciiTheme="minorEastAsia" w:hAnsiTheme="minorEastAsia"/>
        </w:rPr>
        <w:t xml:space="preserve"> </w:t>
      </w:r>
      <w:r>
        <w:rPr>
          <w:rStyle w:val="48"/>
          <w:rFonts w:hint="eastAsia" w:asciiTheme="minorEastAsia" w:hAnsiTheme="minorEastAsia"/>
        </w:rPr>
        <w:t>（格式）（如适用）</w:t>
      </w:r>
      <w:r>
        <w:tab/>
      </w:r>
      <w:r>
        <w:fldChar w:fldCharType="begin"/>
      </w:r>
      <w:r>
        <w:instrText xml:space="preserve"> PAGEREF _Toc529435104 \h </w:instrText>
      </w:r>
      <w:r>
        <w:fldChar w:fldCharType="separate"/>
      </w:r>
      <w:r>
        <w:t>91</w:t>
      </w:r>
      <w:r>
        <w:fldChar w:fldCharType="end"/>
      </w:r>
      <w:r>
        <w:fldChar w:fldCharType="end"/>
      </w:r>
    </w:p>
    <w:p>
      <w:pPr>
        <w:pStyle w:val="2"/>
        <w:spacing w:line="360" w:lineRule="auto"/>
        <w:ind w:firstLine="3373" w:firstLineChars="1400"/>
        <w:rPr>
          <w:rFonts w:asciiTheme="minorEastAsia" w:hAnsiTheme="minorEastAsia" w:eastAsiaTheme="minorEastAsia"/>
          <w:bCs w:val="0"/>
          <w:iCs/>
          <w:kern w:val="2"/>
          <w:sz w:val="24"/>
          <w:szCs w:val="24"/>
        </w:rPr>
      </w:pPr>
      <w:r>
        <w:rPr>
          <w:rFonts w:asciiTheme="minorEastAsia" w:hAnsiTheme="minorEastAsia" w:eastAsiaTheme="minorEastAsia"/>
          <w:bCs w:val="0"/>
          <w:iCs/>
          <w:kern w:val="2"/>
          <w:sz w:val="24"/>
          <w:szCs w:val="24"/>
        </w:rPr>
        <w:fldChar w:fldCharType="end"/>
      </w:r>
      <w:bookmarkStart w:id="4" w:name="_Toc288581295"/>
      <w:r>
        <w:rPr>
          <w:rFonts w:asciiTheme="minorEastAsia" w:hAnsiTheme="minorEastAsia" w:eastAsiaTheme="minorEastAsia"/>
          <w:bCs w:val="0"/>
          <w:iCs/>
          <w:kern w:val="2"/>
          <w:sz w:val="24"/>
          <w:szCs w:val="24"/>
        </w:rPr>
        <w:br w:type="page"/>
      </w:r>
      <w:bookmarkStart w:id="5" w:name="_Toc310195690"/>
    </w:p>
    <w:p>
      <w:pPr>
        <w:pStyle w:val="2"/>
        <w:spacing w:line="360" w:lineRule="auto"/>
        <w:ind w:left="360" w:firstLine="2711" w:firstLineChars="900"/>
        <w:jc w:val="both"/>
        <w:rPr>
          <w:rFonts w:asciiTheme="minorEastAsia" w:hAnsiTheme="minorEastAsia" w:eastAsiaTheme="minorEastAsia"/>
          <w:sz w:val="30"/>
          <w:szCs w:val="30"/>
        </w:rPr>
      </w:pPr>
      <w:bookmarkStart w:id="6" w:name="_Toc529435012"/>
      <w:bookmarkStart w:id="7" w:name="_Toc366853854"/>
      <w:r>
        <w:rPr>
          <w:rFonts w:hint="eastAsia" w:asciiTheme="minorEastAsia" w:hAnsiTheme="minorEastAsia" w:eastAsiaTheme="minorEastAsia"/>
          <w:bCs w:val="0"/>
          <w:iCs/>
          <w:kern w:val="2"/>
          <w:sz w:val="30"/>
          <w:szCs w:val="30"/>
        </w:rPr>
        <w:t>第一章</w:t>
      </w:r>
      <w:r>
        <w:rPr>
          <w:rFonts w:hint="eastAsia" w:asciiTheme="minorEastAsia" w:hAnsiTheme="minorEastAsia" w:eastAsiaTheme="minorEastAsia"/>
          <w:sz w:val="30"/>
          <w:szCs w:val="30"/>
        </w:rPr>
        <w:t>投标邀请</w:t>
      </w:r>
      <w:bookmarkEnd w:id="3"/>
      <w:bookmarkEnd w:id="4"/>
      <w:bookmarkEnd w:id="5"/>
      <w:bookmarkEnd w:id="6"/>
      <w:bookmarkEnd w:id="7"/>
    </w:p>
    <w:p>
      <w:pPr>
        <w:spacing w:line="360" w:lineRule="auto"/>
        <w:ind w:left="286" w:leftChars="-664" w:hanging="1680" w:hangingChars="700"/>
        <w:jc w:val="left"/>
        <w:rPr>
          <w:rFonts w:asciiTheme="minorEastAsia" w:hAnsiTheme="minorEastAsia" w:eastAsiaTheme="minorEastAsia"/>
          <w:sz w:val="24"/>
        </w:rPr>
      </w:pPr>
      <w:bookmarkStart w:id="8" w:name="_Toc236642956"/>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北京华采招标代理有限公司受华北电力大学的委托，就华北电力大学核反应堆物理屏蔽高性能计算分析、运行维护保障系统建设项目进行国内公开招标，现邀请合格的投标人前来投标。</w:t>
      </w:r>
    </w:p>
    <w:p>
      <w:pPr>
        <w:spacing w:line="360" w:lineRule="auto"/>
        <w:ind w:left="1680" w:hanging="1680" w:hangingChars="700"/>
        <w:rPr>
          <w:rFonts w:asciiTheme="minorEastAsia" w:hAnsiTheme="minorEastAsia" w:eastAsiaTheme="minorEastAsia"/>
          <w:sz w:val="24"/>
        </w:rPr>
      </w:pPr>
      <w:r>
        <w:rPr>
          <w:rFonts w:hint="eastAsia" w:asciiTheme="minorEastAsia" w:hAnsiTheme="minorEastAsia" w:eastAsiaTheme="minorEastAsia"/>
          <w:sz w:val="24"/>
        </w:rPr>
        <w:t>1、项目编号：</w:t>
      </w:r>
      <w:r>
        <w:rPr>
          <w:rFonts w:asciiTheme="minorEastAsia" w:hAnsiTheme="minorEastAsia" w:eastAsiaTheme="minorEastAsia"/>
          <w:sz w:val="24"/>
        </w:rPr>
        <w:t>HCZB-2018-ZB0941</w:t>
      </w:r>
    </w:p>
    <w:p>
      <w:pPr>
        <w:spacing w:line="360" w:lineRule="auto"/>
        <w:ind w:left="1560" w:hanging="1560" w:hangingChars="650"/>
        <w:rPr>
          <w:rFonts w:asciiTheme="minorEastAsia" w:hAnsiTheme="minorEastAsia" w:eastAsiaTheme="minorEastAsia"/>
          <w:sz w:val="24"/>
        </w:rPr>
      </w:pPr>
      <w:r>
        <w:rPr>
          <w:rFonts w:hint="eastAsia" w:asciiTheme="minorEastAsia" w:hAnsiTheme="minorEastAsia" w:eastAsiaTheme="minorEastAsia"/>
          <w:sz w:val="24"/>
        </w:rPr>
        <w:t>2、项目名称：华北电力大学核反应堆物理屏蔽高性能计算分析、运行维护保障系统建设项目</w:t>
      </w:r>
    </w:p>
    <w:p>
      <w:pPr>
        <w:spacing w:line="360" w:lineRule="auto"/>
        <w:ind w:left="1680" w:hanging="1680" w:hangingChars="700"/>
        <w:rPr>
          <w:rFonts w:asciiTheme="minorEastAsia" w:hAnsiTheme="minorEastAsia" w:eastAsiaTheme="minorEastAsia"/>
          <w:sz w:val="24"/>
        </w:rPr>
      </w:pPr>
      <w:r>
        <w:rPr>
          <w:rFonts w:hint="eastAsia" w:asciiTheme="minorEastAsia" w:hAnsiTheme="minorEastAsia" w:eastAsiaTheme="minorEastAsia"/>
          <w:sz w:val="24"/>
        </w:rPr>
        <w:t>3、招标内容：核反应堆物理屏蔽高性能计算分析、运行维护保障系统建设</w:t>
      </w:r>
    </w:p>
    <w:p>
      <w:pPr>
        <w:spacing w:line="360" w:lineRule="auto"/>
        <w:ind w:left="1680" w:hanging="1680" w:hangingChars="700"/>
        <w:rPr>
          <w:rFonts w:cs="宋体" w:asciiTheme="minorEastAsia" w:hAnsiTheme="minorEastAsia" w:eastAsiaTheme="minorEastAsia"/>
          <w:sz w:val="24"/>
        </w:rPr>
      </w:pPr>
      <w:r>
        <w:rPr>
          <w:rFonts w:hint="eastAsia" w:asciiTheme="minorEastAsia" w:hAnsiTheme="minorEastAsia" w:eastAsiaTheme="minorEastAsia"/>
          <w:sz w:val="24"/>
        </w:rPr>
        <w:t>4、资金来源：财政拨款</w:t>
      </w:r>
      <w:r>
        <w:rPr>
          <w:rFonts w:hint="eastAsia" w:cs="宋体" w:asciiTheme="minorEastAsia" w:hAnsiTheme="minorEastAsia" w:eastAsiaTheme="minorEastAsia"/>
          <w:kern w:val="0"/>
          <w:sz w:val="24"/>
        </w:rPr>
        <w:t>。</w:t>
      </w:r>
      <w:r>
        <w:rPr>
          <w:rFonts w:hint="eastAsia" w:cs="宋体" w:asciiTheme="minorEastAsia" w:hAnsiTheme="minorEastAsia" w:eastAsiaTheme="minorEastAsia"/>
          <w:sz w:val="24"/>
        </w:rPr>
        <w:t>本项目预算金额</w:t>
      </w:r>
      <w:r>
        <w:rPr>
          <w:rFonts w:cs="宋体" w:asciiTheme="minorEastAsia" w:hAnsiTheme="minorEastAsia" w:eastAsiaTheme="minorEastAsia"/>
          <w:sz w:val="24"/>
        </w:rPr>
        <w:t>76</w:t>
      </w:r>
      <w:r>
        <w:rPr>
          <w:rFonts w:hint="eastAsia" w:cs="宋体" w:asciiTheme="minorEastAsia" w:hAnsiTheme="minorEastAsia" w:eastAsiaTheme="minorEastAsia"/>
          <w:sz w:val="24"/>
        </w:rPr>
        <w:t>万元。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5、投标人资格要求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（1）具有独立承担民事责任的能力；</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（2）具有良好的商业信誉和健全的财务会计制度；</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（3）具有履行合同所必需的设备和专业技术能力；</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（4）有依法缴纳税收和社会保障资金的良好记录；</w:t>
      </w:r>
      <w:r>
        <w:rPr>
          <w:rFonts w:hint="eastAsia" w:asciiTheme="minorEastAsia" w:hAnsiTheme="minorEastAsia" w:eastAsiaTheme="minorEastAsia"/>
          <w:sz w:val="24"/>
        </w:rPr>
        <w:tab/>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（5）参加政府采购活动前三年内，在经营活动中没有重大违法记录；</w:t>
      </w:r>
    </w:p>
    <w:p>
      <w:pPr>
        <w:spacing w:line="360" w:lineRule="auto"/>
        <w:ind w:left="1079" w:leftChars="228" w:hanging="600" w:hangingChars="25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6</w:t>
      </w:r>
      <w:r>
        <w:rPr>
          <w:rFonts w:hint="eastAsia" w:asciiTheme="minorEastAsia" w:hAnsiTheme="minorEastAsia" w:eastAsiaTheme="minorEastAsia"/>
          <w:sz w:val="24"/>
        </w:rPr>
        <w:t>）投标人</w:t>
      </w:r>
      <w:r>
        <w:rPr>
          <w:rFonts w:asciiTheme="minorEastAsia" w:hAnsiTheme="minorEastAsia" w:eastAsiaTheme="minorEastAsia"/>
          <w:sz w:val="24"/>
        </w:rPr>
        <w:t>必须为未被列入信用中国网站(www.creditchina.gov.cn)、中国政府采购网(www.ccgp.gov.cn)渠道信用记录失信被执行人、重大税收违法案件当事人名单、政府采购严重违法失信行为记录名单的响应人</w:t>
      </w:r>
      <w:r>
        <w:rPr>
          <w:rFonts w:hint="eastAsia" w:asciiTheme="minorEastAsia" w:hAnsiTheme="minorEastAsia" w:eastAsiaTheme="minorEastAsia"/>
          <w:sz w:val="24"/>
        </w:rPr>
        <w:t>；</w:t>
      </w:r>
    </w:p>
    <w:p>
      <w:pPr>
        <w:spacing w:line="360" w:lineRule="auto"/>
        <w:ind w:left="1079" w:leftChars="228" w:hanging="600" w:hangingChars="250"/>
        <w:rPr>
          <w:rFonts w:asciiTheme="minorEastAsia" w:hAnsiTheme="minorEastAsia" w:eastAsiaTheme="minorEastAsia"/>
          <w:sz w:val="24"/>
        </w:rPr>
      </w:pPr>
      <w:r>
        <w:rPr>
          <w:rFonts w:hint="eastAsia" w:asciiTheme="minorEastAsia" w:hAnsiTheme="minorEastAsia" w:eastAsiaTheme="minorEastAsia"/>
          <w:sz w:val="24"/>
        </w:rPr>
        <w:t>（7）法律、行政法规规定的其他条件;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8</w:t>
      </w:r>
      <w:r>
        <w:rPr>
          <w:rFonts w:hint="eastAsia" w:asciiTheme="minorEastAsia" w:hAnsiTheme="minorEastAsia" w:eastAsiaTheme="minorEastAsia"/>
          <w:sz w:val="24"/>
        </w:rPr>
        <w:t>）本项目不接受联合体投标。</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6、投标报名时间及招标文件发售时间：自20</w:t>
      </w:r>
      <w:r>
        <w:rPr>
          <w:rFonts w:asciiTheme="minorEastAsia" w:hAnsiTheme="minorEastAsia" w:eastAsiaTheme="minorEastAsia"/>
          <w:sz w:val="24"/>
        </w:rPr>
        <w:t>18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月0</w:t>
      </w:r>
      <w:r>
        <w:rPr>
          <w:rFonts w:asciiTheme="minorEastAsia" w:hAnsiTheme="minorEastAsia" w:eastAsiaTheme="minorEastAsia"/>
          <w:sz w:val="24"/>
        </w:rPr>
        <w:t>8</w:t>
      </w:r>
      <w:r>
        <w:rPr>
          <w:rFonts w:hint="eastAsia" w:asciiTheme="minorEastAsia" w:hAnsiTheme="minorEastAsia" w:eastAsiaTheme="minorEastAsia"/>
          <w:sz w:val="24"/>
        </w:rPr>
        <w:t>日起至20</w:t>
      </w:r>
      <w:r>
        <w:rPr>
          <w:rFonts w:asciiTheme="minorEastAsia" w:hAnsiTheme="minorEastAsia" w:eastAsiaTheme="minorEastAsia"/>
          <w:sz w:val="24"/>
        </w:rPr>
        <w:t>18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15</w:t>
      </w:r>
      <w:r>
        <w:rPr>
          <w:rFonts w:hint="eastAsia" w:asciiTheme="minorEastAsia" w:hAnsiTheme="minorEastAsia" w:eastAsiaTheme="minorEastAsia"/>
          <w:sz w:val="24"/>
        </w:rPr>
        <w:t>日止，每天上午09:00-1</w:t>
      </w:r>
      <w:r>
        <w:rPr>
          <w:rFonts w:hint="eastAsia" w:asciiTheme="minorEastAsia" w:hAnsiTheme="minorEastAsia" w:eastAsiaTheme="minorEastAsia"/>
          <w:sz w:val="24"/>
          <w:lang w:val="en-US" w:eastAsia="zh-CN"/>
        </w:rPr>
        <w:t>7</w:t>
      </w:r>
      <w:r>
        <w:rPr>
          <w:rFonts w:hint="eastAsia" w:asciiTheme="minorEastAsia" w:hAnsiTheme="minorEastAsia" w:eastAsiaTheme="minorEastAsia"/>
          <w:sz w:val="24"/>
        </w:rPr>
        <w:t>:00（北京时间，节假日除外）。</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7、招标文件发售地点：北京华采招标代理有限公司（北京市丰台区广安路9号国投财富广场6号楼1518室）。</w:t>
      </w:r>
    </w:p>
    <w:p>
      <w:pPr>
        <w:widowControl/>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8、招标文件售价：</w:t>
      </w:r>
      <w:r>
        <w:rPr>
          <w:rFonts w:asciiTheme="minorEastAsia" w:hAnsiTheme="minorEastAsia" w:eastAsiaTheme="minorEastAsia"/>
          <w:sz w:val="24"/>
        </w:rPr>
        <w:t>5</w:t>
      </w:r>
      <w:r>
        <w:rPr>
          <w:rFonts w:hint="eastAsia" w:asciiTheme="minorEastAsia" w:hAnsiTheme="minorEastAsia" w:eastAsiaTheme="minorEastAsia"/>
          <w:sz w:val="24"/>
        </w:rPr>
        <w:t>00元人民币/本，招标文件售后不退。</w:t>
      </w:r>
    </w:p>
    <w:p>
      <w:pPr>
        <w:widowControl/>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0</w:t>
      </w:r>
      <w:r>
        <w:rPr>
          <w:rFonts w:hint="eastAsia" w:asciiTheme="minorEastAsia" w:hAnsiTheme="minorEastAsia" w:eastAsiaTheme="minorEastAsia"/>
          <w:sz w:val="24"/>
        </w:rPr>
        <w:t>、公告期限：5个工作日</w:t>
      </w:r>
      <w:bookmarkStart w:id="410" w:name="_GoBack"/>
      <w:bookmarkEnd w:id="410"/>
    </w:p>
    <w:p>
      <w:pPr>
        <w:spacing w:line="360" w:lineRule="auto"/>
        <w:ind w:left="-2" w:leftChars="-1"/>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、投标文件递交时间：201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日下午13：00-</w:t>
      </w:r>
      <w:r>
        <w:rPr>
          <w:rFonts w:asciiTheme="minorEastAsia" w:hAnsiTheme="minorEastAsia" w:eastAsiaTheme="minorEastAsia"/>
          <w:sz w:val="24"/>
        </w:rPr>
        <w:t>13</w:t>
      </w:r>
      <w:r>
        <w:rPr>
          <w:rFonts w:hint="eastAsia" w:asciiTheme="minorEastAsia" w:hAnsiTheme="minorEastAsia" w:eastAsiaTheme="minorEastAsia"/>
          <w:sz w:val="24"/>
        </w:rPr>
        <w:t>:30（北京时间）。</w:t>
      </w:r>
    </w:p>
    <w:p>
      <w:pPr>
        <w:spacing w:line="360" w:lineRule="auto"/>
        <w:ind w:left="-2" w:leftChars="-1"/>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2</w:t>
      </w:r>
      <w:r>
        <w:rPr>
          <w:rFonts w:hint="eastAsia" w:asciiTheme="minorEastAsia" w:hAnsiTheme="minorEastAsia" w:eastAsiaTheme="minorEastAsia"/>
          <w:sz w:val="24"/>
        </w:rPr>
        <w:t>、投标文件递交截止时间暨开标时间：201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日下午</w:t>
      </w:r>
      <w:r>
        <w:rPr>
          <w:rFonts w:asciiTheme="minorEastAsia" w:hAnsiTheme="minorEastAsia" w:eastAsiaTheme="minorEastAsia"/>
          <w:sz w:val="24"/>
        </w:rPr>
        <w:t>13</w:t>
      </w:r>
      <w:r>
        <w:rPr>
          <w:rFonts w:hint="eastAsia" w:asciiTheme="minorEastAsia" w:hAnsiTheme="minorEastAsia" w:eastAsiaTheme="minorEastAsia"/>
          <w:sz w:val="24"/>
        </w:rPr>
        <w:t>:30（北京时间）。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3</w:t>
      </w:r>
      <w:r>
        <w:rPr>
          <w:rFonts w:hint="eastAsia" w:asciiTheme="minorEastAsia" w:hAnsiTheme="minorEastAsia" w:eastAsiaTheme="minorEastAsia"/>
          <w:sz w:val="24"/>
        </w:rPr>
        <w:t>、开标地点：华北电力大学（北京市昌平区回龙观北农路2号）主楼D座401</w:t>
      </w:r>
    </w:p>
    <w:p>
      <w:pPr>
        <w:spacing w:line="360" w:lineRule="auto"/>
        <w:ind w:left="-2" w:leftChars="-1"/>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w:t>
      </w:r>
      <w:r>
        <w:rPr>
          <w:rFonts w:cs="宋体" w:asciiTheme="minorEastAsia" w:hAnsiTheme="minorEastAsia" w:eastAsiaTheme="minorEastAsia"/>
          <w:kern w:val="0"/>
          <w:sz w:val="24"/>
        </w:rPr>
        <w:t>4</w:t>
      </w:r>
      <w:r>
        <w:rPr>
          <w:rFonts w:hint="eastAsia" w:cs="宋体" w:asciiTheme="minorEastAsia" w:hAnsiTheme="minorEastAsia" w:eastAsiaTheme="minorEastAsia"/>
          <w:kern w:val="0"/>
          <w:sz w:val="24"/>
        </w:rPr>
        <w:t>、评标方法：综合评分法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5</w:t>
      </w:r>
      <w:r>
        <w:rPr>
          <w:rFonts w:hint="eastAsia" w:asciiTheme="minorEastAsia" w:hAnsiTheme="minorEastAsia" w:eastAsiaTheme="minorEastAsia"/>
          <w:sz w:val="24"/>
        </w:rPr>
        <w:t>、领取招标文件时需提供以下资料：</w:t>
      </w:r>
    </w:p>
    <w:p>
      <w:pPr>
        <w:spacing w:line="360" w:lineRule="auto"/>
        <w:rPr>
          <w:rFonts w:cs="宋体" w:asciiTheme="minorEastAsia" w:hAnsiTheme="minorEastAsia" w:eastAsiaTheme="minorEastAsia"/>
          <w:kern w:val="0"/>
          <w:sz w:val="24"/>
        </w:rPr>
      </w:pPr>
      <w:r>
        <w:rPr>
          <w:rFonts w:cs="宋体" w:asciiTheme="minorEastAsia" w:hAnsiTheme="minorEastAsia" w:eastAsiaTheme="minorEastAsia"/>
          <w:kern w:val="0"/>
          <w:sz w:val="24"/>
        </w:rPr>
        <w:t>领取招标文件时需提供以下资料：</w:t>
      </w:r>
    </w:p>
    <w:p>
      <w:pPr>
        <w:numPr>
          <w:ilvl w:val="0"/>
          <w:numId w:val="2"/>
        </w:numPr>
        <w:spacing w:line="360" w:lineRule="auto"/>
        <w:rPr>
          <w:rFonts w:asciiTheme="minorEastAsia" w:hAnsiTheme="minorEastAsia" w:eastAsiaTheme="minorEastAsia"/>
          <w:sz w:val="24"/>
        </w:rPr>
      </w:pPr>
      <w:r>
        <w:rPr>
          <w:rFonts w:hint="eastAsia" w:asciiTheme="minorEastAsia" w:hAnsiTheme="minorEastAsia" w:eastAsiaTheme="minorEastAsia"/>
          <w:sz w:val="24"/>
        </w:rPr>
        <w:t>《营业执照》、《组织机构代码证》、《税务登记证》或三证合一的《营业执照》副本复印件（须加盖本单位公章）；</w:t>
      </w:r>
    </w:p>
    <w:p>
      <w:pPr>
        <w:spacing w:line="360" w:lineRule="auto"/>
        <w:ind w:left="600" w:hanging="600" w:hangingChars="250"/>
        <w:rPr>
          <w:rFonts w:cs="宋体" w:asciiTheme="minorEastAsia" w:hAnsiTheme="minorEastAsia" w:eastAsiaTheme="minorEastAsia"/>
          <w:sz w:val="24"/>
        </w:rPr>
      </w:pPr>
      <w:r>
        <w:rPr>
          <w:rFonts w:hint="eastAsia" w:asciiTheme="minorEastAsia" w:hAnsiTheme="minorEastAsia" w:eastAsiaTheme="minorEastAsia"/>
          <w:sz w:val="24"/>
        </w:rPr>
        <w:t>注：事业单位提供《事业单位法人证书》、民办非企业单位提供《民办非企业登记证书》副本复印件（须加盖本单位公章）。</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（2）法定代表人身份证明及其身份证原件及复印件，或法定代表人委托授权书及被委托人的身份证原件及复印件（加盖公章）；</w:t>
      </w:r>
    </w:p>
    <w:p>
      <w:pPr>
        <w:spacing w:line="360" w:lineRule="auto"/>
        <w:rPr>
          <w:rFonts w:asciiTheme="minorEastAsia" w:hAnsiTheme="minorEastAsia" w:eastAsiaTheme="minorEastAsia"/>
          <w:sz w:val="24"/>
        </w:rPr>
      </w:pPr>
      <w:r>
        <w:rPr>
          <w:rFonts w:asciiTheme="minorEastAsia" w:hAnsiTheme="minorEastAsia" w:eastAsiaTheme="minorEastAsia"/>
          <w:sz w:val="24"/>
        </w:rPr>
        <w:t>16</w:t>
      </w:r>
      <w:r>
        <w:rPr>
          <w:rFonts w:hint="eastAsia" w:asciiTheme="minorEastAsia" w:hAnsiTheme="minorEastAsia" w:eastAsiaTheme="minorEastAsia"/>
          <w:sz w:val="24"/>
        </w:rPr>
        <w:t>、本项目招标公告在中国政府采购网（http://www.ccgp.gov.cn/）网上发布。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17、凡对本次招标提出询问及质疑，请与北京华采招标代理有限公司联系（质疑函请采用政府采购供应商质疑函范本格式，以书面形式一次性提交）。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采购代理机构：北京华采招标代理有限公司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地　　址：北京市丰台区广安路9号国投财富广场6号楼1518室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邮　　编：100038</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　　话： 010-63509799-</w:t>
      </w:r>
      <w:r>
        <w:rPr>
          <w:rFonts w:asciiTheme="minorEastAsia" w:hAnsiTheme="minorEastAsia" w:eastAsiaTheme="minorEastAsia"/>
          <w:sz w:val="24"/>
        </w:rPr>
        <w:t>812</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传　　真：010-63509799-808</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电子信箱：</w:t>
      </w:r>
      <w:r>
        <w:fldChar w:fldCharType="begin"/>
      </w:r>
      <w:r>
        <w:instrText xml:space="preserve"> HYPERLINK "mailto:hczb01@163.com" </w:instrText>
      </w:r>
      <w:r>
        <w:fldChar w:fldCharType="separate"/>
      </w:r>
      <w:r>
        <w:rPr>
          <w:rStyle w:val="48"/>
          <w:rFonts w:hint="eastAsia" w:asciiTheme="minorEastAsia" w:hAnsiTheme="minorEastAsia" w:eastAsiaTheme="minorEastAsia"/>
          <w:color w:val="auto"/>
          <w:sz w:val="24"/>
        </w:rPr>
        <w:t>hczb01@163.com</w:t>
      </w:r>
      <w:r>
        <w:rPr>
          <w:rStyle w:val="48"/>
          <w:rFonts w:hint="eastAsia" w:asciiTheme="minorEastAsia" w:hAnsiTheme="minorEastAsia" w:eastAsiaTheme="minorEastAsia"/>
          <w:color w:val="auto"/>
          <w:sz w:val="24"/>
        </w:rPr>
        <w:fldChar w:fldCharType="end"/>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负责部门：业务一部</w:t>
      </w:r>
    </w:p>
    <w:p>
      <w:pPr>
        <w:spacing w:line="360" w:lineRule="auto"/>
        <w:rPr>
          <w:rFonts w:cs="宋体" w:asciiTheme="minorEastAsia" w:hAnsiTheme="minorEastAsia" w:eastAsiaTheme="minorEastAsia"/>
          <w:kern w:val="0"/>
          <w:sz w:val="24"/>
        </w:rPr>
      </w:pPr>
      <w:r>
        <w:rPr>
          <w:rFonts w:hint="eastAsia" w:asciiTheme="minorEastAsia" w:hAnsiTheme="minorEastAsia" w:eastAsiaTheme="minorEastAsia"/>
          <w:sz w:val="24"/>
        </w:rPr>
        <w:t>联 系 人：姚钰春、</w:t>
      </w:r>
      <w:r>
        <w:rPr>
          <w:rFonts w:hint="eastAsia" w:cs="宋体" w:asciiTheme="minorEastAsia" w:hAnsiTheme="minorEastAsia" w:eastAsiaTheme="minorEastAsia"/>
          <w:kern w:val="0"/>
          <w:sz w:val="24"/>
        </w:rPr>
        <w:t>王蕾蕾、祝兰芳</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 户 名：北京华采招标代理有限公司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 户 行：建行北京西客站支行（仅限购买标书及交付中标服务费使用）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账    号：1100 1028 0000 5300 6877</w:t>
      </w:r>
    </w:p>
    <w:p>
      <w:pPr>
        <w:spacing w:line="360" w:lineRule="auto"/>
        <w:rPr>
          <w:rFonts w:asciiTheme="minorEastAsia" w:hAnsiTheme="minorEastAsia" w:eastAsiaTheme="minorEastAsia"/>
          <w:sz w:val="24"/>
        </w:rPr>
      </w:pPr>
      <w:r>
        <w:rPr>
          <w:rFonts w:asciiTheme="minorEastAsia" w:hAnsiTheme="minorEastAsia" w:eastAsiaTheme="minorEastAsia"/>
          <w:sz w:val="24"/>
        </w:rPr>
        <w:br w:type="page"/>
      </w:r>
    </w:p>
    <w:p>
      <w:pPr>
        <w:pStyle w:val="2"/>
        <w:tabs>
          <w:tab w:val="center" w:pos="4535"/>
          <w:tab w:val="left" w:pos="7155"/>
        </w:tabs>
        <w:spacing w:line="360" w:lineRule="auto"/>
        <w:rPr>
          <w:rFonts w:asciiTheme="minorEastAsia" w:hAnsiTheme="minorEastAsia" w:eastAsiaTheme="minorEastAsia"/>
          <w:bCs w:val="0"/>
          <w:iCs/>
          <w:kern w:val="2"/>
          <w:sz w:val="30"/>
          <w:szCs w:val="30"/>
        </w:rPr>
      </w:pPr>
      <w:bookmarkStart w:id="9" w:name="_Toc366853855"/>
      <w:bookmarkStart w:id="10" w:name="_Toc310195691"/>
      <w:bookmarkStart w:id="11" w:name="_Toc529435013"/>
      <w:r>
        <w:rPr>
          <w:rFonts w:hint="eastAsia" w:asciiTheme="minorEastAsia" w:hAnsiTheme="minorEastAsia" w:eastAsiaTheme="minorEastAsia"/>
          <w:bCs w:val="0"/>
          <w:iCs/>
          <w:kern w:val="2"/>
          <w:sz w:val="30"/>
          <w:szCs w:val="30"/>
        </w:rPr>
        <w:t>第二章投标须知资料表</w:t>
      </w:r>
      <w:bookmarkEnd w:id="8"/>
      <w:bookmarkEnd w:id="9"/>
      <w:bookmarkEnd w:id="10"/>
      <w:bookmarkEnd w:id="1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本表是关于要采购服务的具体资料，是对投标须知的具体补充和修改，如有矛盾，应以本资料表为准。</w:t>
      </w:r>
    </w:p>
    <w:tbl>
      <w:tblPr>
        <w:tblStyle w:val="50"/>
        <w:tblW w:w="9127"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6"/>
        <w:gridCol w:w="8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5" w:hRule="atLeast"/>
          <w:jc w:val="center"/>
        </w:trPr>
        <w:tc>
          <w:tcPr>
            <w:tcW w:w="1016" w:type="dxa"/>
            <w:tcBorders>
              <w:top w:val="single" w:color="auto" w:sz="12" w:space="0"/>
            </w:tcBorders>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条款号</w:t>
            </w:r>
          </w:p>
        </w:tc>
        <w:tc>
          <w:tcPr>
            <w:tcW w:w="8111" w:type="dxa"/>
            <w:tcBorders>
              <w:top w:val="single" w:color="auto" w:sz="12" w:space="0"/>
            </w:tcBorders>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71"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采购人：华北电力大学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地址：北京市昌平区回龙观北农路2号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联系方式</w:t>
            </w:r>
            <w:r>
              <w:rPr>
                <w:rFonts w:hint="eastAsia" w:cs="宋体" w:asciiTheme="minorEastAsia" w:hAnsiTheme="minorEastAsia" w:eastAsiaTheme="minorEastAsia"/>
                <w:kern w:val="0"/>
                <w:sz w:val="24"/>
              </w:rPr>
              <w:t>：徐老师、袁老师 010-6177299</w:t>
            </w:r>
            <w:r>
              <w:rPr>
                <w:rFonts w:cs="宋体" w:asciiTheme="minorEastAsia" w:hAnsiTheme="minorEastAsia" w:eastAsiaTheme="minorEastAsia"/>
                <w:kern w:val="0"/>
                <w:sz w:val="24"/>
              </w:rPr>
              <w:t>5</w:t>
            </w:r>
            <w:r>
              <w:rPr>
                <w:rFonts w:hint="eastAsia" w:cs="宋体" w:asciiTheme="minorEastAsia" w:hAnsiTheme="minorEastAsia" w:eastAsiaTheme="minorEastAsia"/>
                <w:kern w:val="0"/>
                <w:sz w:val="24"/>
              </w:rPr>
              <w:t xml:space="preserve"> 010-61772997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53"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采购代理机构：北京华采招标代理有限公司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地  址：北京市丰台区广安路9号国投财富广场6号楼1518室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  话：010-63509799</w:t>
            </w:r>
            <w:r>
              <w:rPr>
                <w:rFonts w:asciiTheme="minorEastAsia" w:hAnsiTheme="minorEastAsia" w:eastAsiaTheme="minorEastAsia"/>
                <w:sz w:val="24"/>
              </w:rPr>
              <w:t>-821/823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06"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1.3.3</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是否接受联合体投标：</w:t>
            </w:r>
            <w:r>
              <w:rPr>
                <w:rFonts w:asciiTheme="minorEastAsia" w:hAnsiTheme="minorEastAsia" w:eastAsiaTheme="minorEastAsia"/>
                <w:sz w:val="24"/>
                <w:u w:val="singl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227"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1.3.4</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本项目不接受进口产品。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227"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1.3</w:t>
            </w:r>
          </w:p>
        </w:tc>
        <w:tc>
          <w:tcPr>
            <w:tcW w:w="8111"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是否为专门面向中小企业或小型、微型企业、监狱企业或残疾人福利性单位采购：否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2" w:hRule="atLeast"/>
          <w:jc w:val="center"/>
        </w:trPr>
        <w:tc>
          <w:tcPr>
            <w:tcW w:w="101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2.1</w:t>
            </w:r>
          </w:p>
        </w:tc>
        <w:tc>
          <w:tcPr>
            <w:tcW w:w="8111" w:type="dxa"/>
            <w:tcBorders>
              <w:left w:val="single" w:color="auto" w:sz="4" w:space="0"/>
              <w:bottom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财政拨款。</w:t>
            </w:r>
            <w:r>
              <w:rPr>
                <w:rFonts w:hint="eastAsia" w:cs="宋体" w:asciiTheme="minorEastAsia" w:hAnsiTheme="minorEastAsia" w:eastAsiaTheme="minorEastAsia"/>
                <w:sz w:val="24"/>
              </w:rPr>
              <w:t>本项目预算金额</w:t>
            </w:r>
            <w:r>
              <w:rPr>
                <w:rFonts w:cs="宋体" w:asciiTheme="minorEastAsia" w:hAnsiTheme="minorEastAsia" w:eastAsiaTheme="minorEastAsia"/>
                <w:sz w:val="24"/>
              </w:rPr>
              <w:t>76</w:t>
            </w:r>
            <w:r>
              <w:rPr>
                <w:rFonts w:hint="eastAsia" w:cs="宋体" w:asciiTheme="minorEastAsia" w:hAnsiTheme="minorEastAsia" w:eastAsiaTheme="minorEastAsia"/>
                <w:sz w:val="24"/>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营业执照》、《组织机构代码证》、《税务登记证》或三证合一的《营业执照》副本复印件（须加盖本单位公章）；注：事业单位提供《事业单位法人证书》、民办非企业单位提供《民办非企业登记证书》副本复印件（须加盖本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9_7-2</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法定代表人授权书原件及被授权人身份证复印件（须加盖投标人公章）（格式见第九章）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9_7-3</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制造商资格声明（代理商、经销商不需提供此声明）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9_7-4</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代理商、经销商的资格声明（制造商不需提供此声明）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9_7-5</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制造商授权书</w:t>
            </w:r>
            <w:r>
              <w:rPr>
                <w:rFonts w:hint="eastAsia" w:asciiTheme="minorEastAsia" w:hAnsiTheme="minorEastAsia" w:eastAsiaTheme="minorEastAsia"/>
                <w:sz w:val="24"/>
              </w:rPr>
              <w:t>（接受厂家代理商的转授权，但需提供上述代理关系的证明）（进口产品适用）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9_7-6</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提供经会计师事务所出具的2017年度的财务审计报告，并加盖投标人公章。如投标人无法提供2017年度的审计报告，则须提供银行出具的资信证明。</w:t>
            </w:r>
          </w:p>
          <w:p>
            <w:pPr>
              <w:spacing w:line="360" w:lineRule="auto"/>
              <w:rPr>
                <w:rFonts w:asciiTheme="minorEastAsia" w:hAnsiTheme="minorEastAsia" w:eastAsiaTheme="minorEastAsia"/>
                <w:sz w:val="24"/>
              </w:rPr>
            </w:pPr>
            <w:r>
              <w:rPr>
                <w:rFonts w:asciiTheme="minorEastAsia" w:hAnsiTheme="minorEastAsia" w:eastAsiaTheme="minorEastAsia"/>
                <w:sz w:val="24"/>
              </w:rPr>
              <w:t>说明：1、银行资信证明是指投标人参加本次投标截止日前</w:t>
            </w:r>
            <w:r>
              <w:rPr>
                <w:rFonts w:hint="eastAsia" w:asciiTheme="minorEastAsia" w:hAnsiTheme="minorEastAsia" w:eastAsiaTheme="minorEastAsia"/>
                <w:sz w:val="24"/>
              </w:rPr>
              <w:t>三个月</w:t>
            </w:r>
            <w:r>
              <w:rPr>
                <w:rFonts w:asciiTheme="minorEastAsia" w:hAnsiTheme="minorEastAsia" w:eastAsiaTheme="minorEastAsia"/>
                <w:sz w:val="24"/>
              </w:rPr>
              <w:t>内银行出具的资信证明（成立一年内的公司可提交验资证明复印件并加盖本单位公章）,且无收受人和项目的限制，但开具银行有限制规定的除外；</w:t>
            </w:r>
          </w:p>
          <w:p>
            <w:pPr>
              <w:spacing w:line="360" w:lineRule="auto"/>
              <w:rPr>
                <w:rFonts w:asciiTheme="minorEastAsia" w:hAnsiTheme="minorEastAsia" w:eastAsiaTheme="minorEastAsia"/>
                <w:sz w:val="24"/>
              </w:rPr>
            </w:pPr>
            <w:r>
              <w:rPr>
                <w:rFonts w:asciiTheme="minorEastAsia" w:hAnsiTheme="minorEastAsia" w:eastAsiaTheme="minorEastAsia"/>
                <w:sz w:val="24"/>
              </w:rPr>
              <w:t>2、提供的银行资信证明必须是完整的</w:t>
            </w:r>
            <w:r>
              <w:rPr>
                <w:rFonts w:hint="eastAsia" w:asciiTheme="minorEastAsia" w:hAnsiTheme="minorEastAsia" w:eastAsiaTheme="minorEastAsia"/>
                <w:sz w:val="24"/>
              </w:rPr>
              <w:t>原件</w:t>
            </w:r>
            <w:r>
              <w:rPr>
                <w:rFonts w:asciiTheme="minorEastAsia" w:hAnsiTheme="minorEastAsia" w:eastAsiaTheme="minorEastAsia"/>
                <w:sz w:val="24"/>
              </w:rPr>
              <w:t>（正反面）</w:t>
            </w:r>
            <w:r>
              <w:rPr>
                <w:rFonts w:hint="eastAsia" w:asciiTheme="minorEastAsia" w:hAnsiTheme="minorEastAsia" w:eastAsiaTheme="minorEastAsia"/>
                <w:sz w:val="24"/>
              </w:rPr>
              <w:t>复印件无效</w:t>
            </w:r>
            <w:r>
              <w:rPr>
                <w:rFonts w:asciiTheme="minorEastAsia" w:hAnsiTheme="minorEastAsia" w:eastAsiaTheme="minorEastAsia"/>
                <w:sz w:val="24"/>
              </w:rPr>
              <w:t>；</w:t>
            </w:r>
          </w:p>
          <w:p>
            <w:pPr>
              <w:spacing w:line="360" w:lineRule="auto"/>
              <w:rPr>
                <w:rFonts w:asciiTheme="minorEastAsia" w:hAnsiTheme="minorEastAsia" w:eastAsiaTheme="minorEastAsia"/>
                <w:sz w:val="24"/>
              </w:rPr>
            </w:pPr>
            <w:r>
              <w:rPr>
                <w:rFonts w:asciiTheme="minorEastAsia" w:hAnsiTheme="minorEastAsia" w:eastAsiaTheme="minorEastAsia"/>
                <w:sz w:val="24"/>
              </w:rPr>
              <w:t>3、银行资信证明应能说明该投标人与银行之间业务往来正常，企业信誉良好等；</w:t>
            </w:r>
          </w:p>
          <w:p>
            <w:pPr>
              <w:spacing w:line="360" w:lineRule="auto"/>
              <w:rPr>
                <w:rFonts w:asciiTheme="minorEastAsia" w:hAnsiTheme="minorEastAsia" w:eastAsiaTheme="minorEastAsia"/>
                <w:sz w:val="24"/>
              </w:rPr>
            </w:pPr>
            <w:r>
              <w:rPr>
                <w:rFonts w:asciiTheme="minorEastAsia" w:hAnsiTheme="minorEastAsia" w:eastAsiaTheme="minorEastAsia"/>
                <w:sz w:val="24"/>
              </w:rPr>
              <w:t>4、银行出具的存款证明不能替代银行资信证明，存款证明无效；</w:t>
            </w:r>
          </w:p>
          <w:p>
            <w:pPr>
              <w:spacing w:line="360" w:lineRule="auto"/>
              <w:rPr>
                <w:rFonts w:asciiTheme="minorEastAsia" w:hAnsiTheme="minorEastAsia" w:eastAsiaTheme="minorEastAsia"/>
                <w:sz w:val="24"/>
              </w:rPr>
            </w:pPr>
            <w:r>
              <w:rPr>
                <w:rFonts w:asciiTheme="minorEastAsia" w:hAnsiTheme="minorEastAsia" w:eastAsiaTheme="minorEastAsia"/>
                <w:sz w:val="24"/>
              </w:rPr>
              <w:t>5、政府采购投标担保函格式见投标文件。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9_7-7</w:t>
            </w:r>
          </w:p>
        </w:tc>
        <w:tc>
          <w:tcPr>
            <w:tcW w:w="8111" w:type="dxa"/>
            <w:vAlign w:val="center"/>
          </w:tcPr>
          <w:p>
            <w:pPr>
              <w:spacing w:line="360" w:lineRule="auto"/>
              <w:rPr>
                <w:rFonts w:asciiTheme="minorEastAsia" w:hAnsiTheme="minorEastAsia" w:eastAsiaTheme="minorEastAsia"/>
                <w:bCs/>
                <w:sz w:val="24"/>
              </w:rPr>
            </w:pPr>
            <w:r>
              <w:rPr>
                <w:rFonts w:hint="eastAsia" w:asciiTheme="minorEastAsia" w:hAnsiTheme="minorEastAsia" w:eastAsiaTheme="minorEastAsia"/>
                <w:sz w:val="24"/>
              </w:rPr>
              <w:t>投标人应提供</w:t>
            </w:r>
            <w:r>
              <w:rPr>
                <w:rFonts w:asciiTheme="minorEastAsia" w:hAnsiTheme="minorEastAsia" w:eastAsiaTheme="minorEastAsia"/>
                <w:sz w:val="24"/>
              </w:rPr>
              <w:t>近三个月</w:t>
            </w:r>
            <w:r>
              <w:rPr>
                <w:rFonts w:hint="eastAsia" w:asciiTheme="minorEastAsia" w:hAnsiTheme="minorEastAsia" w:eastAsiaTheme="minorEastAsia"/>
                <w:sz w:val="24"/>
              </w:rPr>
              <w:t>的</w:t>
            </w:r>
            <w:r>
              <w:rPr>
                <w:rFonts w:asciiTheme="minorEastAsia" w:hAnsiTheme="minorEastAsia" w:eastAsiaTheme="minorEastAsia"/>
                <w:sz w:val="24"/>
              </w:rPr>
              <w:t>缴纳社会保障资金的有效票据凭证</w:t>
            </w:r>
            <w:r>
              <w:rPr>
                <w:rFonts w:hint="eastAsia" w:asciiTheme="minorEastAsia" w:hAnsiTheme="minorEastAsia" w:eastAsiaTheme="minorEastAsia"/>
                <w:bCs/>
                <w:sz w:val="24"/>
              </w:rPr>
              <w:t>；若</w:t>
            </w:r>
            <w:r>
              <w:rPr>
                <w:rFonts w:asciiTheme="minorEastAsia" w:hAnsiTheme="minorEastAsia" w:eastAsiaTheme="minorEastAsia"/>
                <w:sz w:val="24"/>
              </w:rPr>
              <w:t>投标人逐年交纳社会保障资金的，须提供参加本次政府采购活动上年度缴纳社会保障资金的入账票据凭证复印件。缴纳社会保障资金的入账票据凭证复印件</w:t>
            </w:r>
            <w:r>
              <w:rPr>
                <w:rFonts w:asciiTheme="minorEastAsia" w:hAnsiTheme="minorEastAsia" w:eastAsiaTheme="minorEastAsia"/>
                <w:bCs/>
                <w:sz w:val="24"/>
              </w:rPr>
              <w:t>（</w:t>
            </w:r>
            <w:r>
              <w:rPr>
                <w:rFonts w:asciiTheme="minorEastAsia" w:hAnsiTheme="minorEastAsia" w:eastAsiaTheme="minorEastAsia"/>
                <w:sz w:val="24"/>
              </w:rPr>
              <w:t>须加盖投标人公章</w:t>
            </w:r>
            <w:r>
              <w:rPr>
                <w:rFonts w:asciiTheme="minorEastAsia" w:hAnsiTheme="minorEastAsia" w:eastAsiaTheme="minorEastAsia"/>
                <w:bCs/>
                <w:sz w:val="24"/>
              </w:rPr>
              <w:t>）</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注：依法不需要缴纳社会保障资金的供应商，须提供相应文件证明其依法不需要缴纳社会保障资金。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9_7-8</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投标人应提供近三个月依法缴纳税收的入账票据凭证复印件（加盖公章）</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注：依法免税或近三个月零报税的供应商，须提供相应文件证明其依法免税或近三个月纳税申报表。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9_7-9</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参加</w:t>
            </w:r>
            <w:r>
              <w:rPr>
                <w:rFonts w:hint="eastAsia" w:asciiTheme="minorEastAsia" w:hAnsiTheme="minorEastAsia" w:eastAsiaTheme="minorEastAsia"/>
                <w:sz w:val="24"/>
              </w:rPr>
              <w:t>此次招标</w:t>
            </w:r>
            <w:r>
              <w:rPr>
                <w:rFonts w:asciiTheme="minorEastAsia" w:hAnsiTheme="minorEastAsia" w:eastAsiaTheme="minorEastAsia"/>
                <w:sz w:val="24"/>
              </w:rPr>
              <w:t>采购活动前三年内，在经营活动中没有重大违法记录的声明</w:t>
            </w:r>
            <w:r>
              <w:rPr>
                <w:rFonts w:hint="eastAsia" w:asciiTheme="minorEastAsia" w:hAnsiTheme="minorEastAsia" w:eastAsiaTheme="minorEastAsia"/>
                <w:sz w:val="24"/>
              </w:rPr>
              <w:t>原件</w:t>
            </w:r>
            <w:r>
              <w:rPr>
                <w:rFonts w:asciiTheme="minorEastAsia" w:hAnsiTheme="minorEastAsia" w:eastAsiaTheme="minorEastAsia"/>
                <w:sz w:val="24"/>
              </w:rPr>
              <w:t>（须加盖投标人公章）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9_7-10</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投标人应提供在信用中国网站（www.creditchina.gov.cn）“信用信息”、中国政府采购网（www.ccgp.gov.cn）“政府采购严重违法失信行为信息记录”信用记录查询结果打印页面并加盖公章</w:t>
            </w:r>
            <w:r>
              <w:rPr>
                <w:rFonts w:hint="eastAsia" w:asciiTheme="minorEastAsia" w:hAnsiTheme="minorEastAsia" w:eastAsiaTheme="minorEastAsia"/>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9_7-11</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招标文件要求或投标人认为必要的其他资格证明文件（复印件，须加盖投标人公章）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86"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12.1</w:t>
            </w:r>
          </w:p>
        </w:tc>
        <w:tc>
          <w:tcPr>
            <w:tcW w:w="8111"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投标保证金：人民币玖仟玖佰肆拾壹元整（￥9</w:t>
            </w:r>
            <w:r>
              <w:rPr>
                <w:rFonts w:asciiTheme="minorEastAsia" w:hAnsiTheme="minorEastAsia" w:eastAsiaTheme="minorEastAsia"/>
                <w:b/>
                <w:sz w:val="24"/>
              </w:rPr>
              <w:t>941.00</w:t>
            </w:r>
            <w:r>
              <w:rPr>
                <w:rFonts w:hint="eastAsia" w:asciiTheme="minorEastAsia" w:hAnsiTheme="minorEastAsia" w:eastAsiaTheme="minorEastAsia"/>
                <w:b/>
                <w:sz w:val="24"/>
              </w:rPr>
              <w:t>元）</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          </w:t>
            </w:r>
            <w:r>
              <w:rPr>
                <w:rFonts w:asciiTheme="minorEastAsia" w:hAnsiTheme="minorEastAsia" w:eastAsiaTheme="minorEastAsia"/>
                <w:b/>
                <w:sz w:val="24"/>
              </w:rPr>
              <w:t xml:space="preserve"> </w:t>
            </w:r>
            <w:r>
              <w:rPr>
                <w:rFonts w:hint="eastAsia" w:asciiTheme="minorEastAsia" w:hAnsiTheme="minorEastAsia" w:eastAsiaTheme="minorEastAsia"/>
                <w:b/>
                <w:sz w:val="24"/>
              </w:rPr>
              <w:t>递交时间：201</w:t>
            </w:r>
            <w:r>
              <w:rPr>
                <w:rFonts w:asciiTheme="minorEastAsia" w:hAnsiTheme="minorEastAsia" w:eastAsiaTheme="minorEastAsia"/>
                <w:b/>
                <w:sz w:val="24"/>
              </w:rPr>
              <w:t>8</w:t>
            </w:r>
            <w:r>
              <w:rPr>
                <w:rFonts w:hint="eastAsia" w:asciiTheme="minorEastAsia" w:hAnsiTheme="minorEastAsia" w:eastAsiaTheme="minorEastAsia"/>
                <w:b/>
                <w:sz w:val="24"/>
              </w:rPr>
              <w:t>年</w:t>
            </w:r>
            <w:r>
              <w:rPr>
                <w:rFonts w:asciiTheme="minorEastAsia" w:hAnsiTheme="minorEastAsia" w:eastAsiaTheme="minorEastAsia"/>
                <w:b/>
                <w:sz w:val="24"/>
              </w:rPr>
              <w:t>11</w:t>
            </w:r>
            <w:r>
              <w:rPr>
                <w:rFonts w:hint="eastAsia" w:asciiTheme="minorEastAsia" w:hAnsiTheme="minorEastAsia" w:eastAsiaTheme="minorEastAsia"/>
                <w:b/>
                <w:sz w:val="24"/>
              </w:rPr>
              <w:t>月</w:t>
            </w:r>
            <w:r>
              <w:rPr>
                <w:rFonts w:asciiTheme="minorEastAsia" w:hAnsiTheme="minorEastAsia" w:eastAsiaTheme="minorEastAsia"/>
                <w:b/>
                <w:sz w:val="24"/>
              </w:rPr>
              <w:t>30</w:t>
            </w:r>
            <w:r>
              <w:rPr>
                <w:rFonts w:hint="eastAsia" w:asciiTheme="minorEastAsia" w:hAnsiTheme="minorEastAsia" w:eastAsiaTheme="minorEastAsia"/>
                <w:b/>
                <w:sz w:val="24"/>
              </w:rPr>
              <w:t>日</w:t>
            </w:r>
            <w:r>
              <w:rPr>
                <w:rFonts w:asciiTheme="minorEastAsia" w:hAnsiTheme="minorEastAsia" w:eastAsiaTheme="minorEastAsia"/>
                <w:b/>
                <w:sz w:val="24"/>
              </w:rPr>
              <w:t>13</w:t>
            </w:r>
            <w:r>
              <w:rPr>
                <w:rFonts w:hint="eastAsia" w:asciiTheme="minorEastAsia" w:hAnsiTheme="minorEastAsia" w:eastAsiaTheme="minorEastAsia"/>
                <w:b/>
                <w:sz w:val="24"/>
              </w:rPr>
              <w:t>:30之前</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递交地点：北京市丰台区广安路9号国投财富广场6号楼1518室</w:t>
            </w:r>
          </w:p>
          <w:p>
            <w:pPr>
              <w:spacing w:line="360" w:lineRule="auto"/>
              <w:rPr>
                <w:rFonts w:asciiTheme="minorEastAsia" w:hAnsiTheme="minorEastAsia" w:eastAsiaTheme="minorEastAsia"/>
                <w:sz w:val="24"/>
              </w:rPr>
            </w:pPr>
            <w:r>
              <w:rPr>
                <w:rFonts w:asciiTheme="minorEastAsia" w:hAnsiTheme="minorEastAsia" w:eastAsiaTheme="minorEastAsia"/>
                <w:sz w:val="24"/>
              </w:rPr>
              <w:t>交纳投标保证金形式：电汇</w:t>
            </w:r>
            <w:r>
              <w:rPr>
                <w:rFonts w:hint="eastAsia" w:asciiTheme="minorEastAsia" w:hAnsiTheme="minorEastAsia" w:eastAsiaTheme="minorEastAsia"/>
                <w:sz w:val="24"/>
              </w:rPr>
              <w:t>、</w:t>
            </w:r>
            <w:r>
              <w:rPr>
                <w:rFonts w:asciiTheme="minorEastAsia" w:hAnsiTheme="minorEastAsia" w:eastAsiaTheme="minorEastAsia"/>
                <w:sz w:val="24"/>
              </w:rPr>
              <w:t>支票、保函、</w:t>
            </w:r>
            <w:r>
              <w:rPr>
                <w:rFonts w:hint="eastAsia" w:asciiTheme="minorEastAsia" w:hAnsiTheme="minorEastAsia" w:eastAsiaTheme="minorEastAsia"/>
                <w:sz w:val="24"/>
              </w:rPr>
              <w:t>政府采购投标担保函</w:t>
            </w:r>
            <w:r>
              <w:rPr>
                <w:rFonts w:asciiTheme="minorEastAsia" w:hAnsiTheme="minorEastAsia" w:eastAsiaTheme="minorEastAsia"/>
                <w:sz w:val="24"/>
              </w:rPr>
              <w:t>等非现金形式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开户行名称：北京华采招标代理有限公司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 户 行：中国银行北京西站支行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账    号：3337 6250 2504（</w:t>
            </w:r>
            <w:r>
              <w:rPr>
                <w:rFonts w:hint="eastAsia" w:asciiTheme="minorEastAsia" w:hAnsiTheme="minorEastAsia" w:eastAsiaTheme="minorEastAsia"/>
                <w:b/>
                <w:sz w:val="24"/>
              </w:rPr>
              <w:t>注：须注明项目编号后5位</w:t>
            </w:r>
            <w:r>
              <w:rPr>
                <w:rFonts w:hint="eastAsia" w:asciiTheme="minorEastAsia" w:hAnsiTheme="minorEastAsia" w:eastAsiaTheme="minorEastAsia"/>
                <w:sz w:val="24"/>
              </w:rPr>
              <w:t>）</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退还保证金方式：支票（北京地区）、电汇（外埠地区）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82"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13.1</w:t>
            </w:r>
          </w:p>
        </w:tc>
        <w:tc>
          <w:tcPr>
            <w:tcW w:w="8111" w:type="dxa"/>
            <w:vAlign w:val="center"/>
          </w:tcPr>
          <w:p>
            <w:pPr>
              <w:spacing w:line="360" w:lineRule="auto"/>
              <w:ind w:left="1592" w:hanging="1592"/>
              <w:rPr>
                <w:rFonts w:asciiTheme="minorEastAsia" w:hAnsiTheme="minorEastAsia" w:eastAsiaTheme="minorEastAsia"/>
                <w:sz w:val="24"/>
              </w:rPr>
            </w:pPr>
            <w:r>
              <w:rPr>
                <w:rFonts w:hint="eastAsia" w:asciiTheme="minorEastAsia" w:hAnsiTheme="minorEastAsia" w:eastAsiaTheme="minorEastAsia"/>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67"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14.1</w:t>
            </w:r>
          </w:p>
        </w:tc>
        <w:tc>
          <w:tcPr>
            <w:tcW w:w="8111"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投标文件：</w:t>
            </w:r>
            <w:r>
              <w:rPr>
                <w:rFonts w:hint="eastAsia" w:asciiTheme="minorEastAsia" w:hAnsiTheme="minorEastAsia" w:eastAsiaTheme="minorEastAsia"/>
                <w:b/>
                <w:sz w:val="24"/>
              </w:rPr>
              <w:t>正本：1份；副本：5份；电子版：1份。</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（电子文件规定：必须提供盖红章的PDF扫描件存储载体为USB存储设备）。</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电子文件规定格式为：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（一）文本文件采用DOC、RTF、TXT、PDF格式；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（二）图像文件采用JPEG、TIFF格式；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（三）影像文件采用MPEG、AVI格式；</w:t>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（四）声音文件采用WAV、MP3格式。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0"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17.1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投标截止期：201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日1</w:t>
            </w:r>
            <w:r>
              <w:rPr>
                <w:rFonts w:asciiTheme="minorEastAsia" w:hAnsiTheme="minorEastAsia" w:eastAsiaTheme="minorEastAsia"/>
                <w:sz w:val="24"/>
              </w:rPr>
              <w:t>3:</w:t>
            </w:r>
            <w:r>
              <w:rPr>
                <w:rFonts w:hint="eastAsia" w:asciiTheme="minorEastAsia" w:hAnsiTheme="minorEastAsia" w:eastAsiaTheme="minorEastAsia"/>
                <w:sz w:val="24"/>
              </w:rPr>
              <w:t>3</w:t>
            </w:r>
            <w:r>
              <w:rPr>
                <w:rFonts w:asciiTheme="minorEastAsia" w:hAnsiTheme="minorEastAsia" w:eastAsiaTheme="minorEastAsia"/>
                <w:sz w:val="24"/>
              </w:rPr>
              <w:t>0</w:t>
            </w:r>
            <w:r>
              <w:rPr>
                <w:rFonts w:hint="eastAsia" w:asciiTheme="minorEastAsia" w:hAnsiTheme="minorEastAsia" w:eastAsiaTheme="minorEastAsia"/>
                <w:sz w:val="24"/>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437"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18.1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开标时间：201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日1</w:t>
            </w:r>
            <w:r>
              <w:rPr>
                <w:rFonts w:asciiTheme="minorEastAsia" w:hAnsiTheme="minorEastAsia" w:eastAsiaTheme="minorEastAsia"/>
                <w:sz w:val="24"/>
              </w:rPr>
              <w:t>3:</w:t>
            </w:r>
            <w:r>
              <w:rPr>
                <w:rFonts w:hint="eastAsia" w:asciiTheme="minorEastAsia" w:hAnsiTheme="minorEastAsia" w:eastAsiaTheme="minorEastAsia"/>
                <w:sz w:val="24"/>
              </w:rPr>
              <w:t>3</w:t>
            </w:r>
            <w:r>
              <w:rPr>
                <w:rFonts w:asciiTheme="minorEastAsia" w:hAnsiTheme="minorEastAsia" w:eastAsiaTheme="minorEastAsia"/>
                <w:sz w:val="24"/>
              </w:rPr>
              <w:t>0</w:t>
            </w:r>
            <w:r>
              <w:rPr>
                <w:rFonts w:hint="eastAsia" w:asciiTheme="minorEastAsia" w:hAnsiTheme="minorEastAsia" w:eastAsiaTheme="minorEastAsia"/>
                <w:sz w:val="24"/>
              </w:rPr>
              <w:t>（北京时间）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投标文件递交地点、开标地点：华北电力大学（北京市昌平区回龙观北农路2号）主楼D座401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5"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28.1</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履约保证金：</w:t>
            </w:r>
            <w:r>
              <w:rPr>
                <w:rFonts w:hint="eastAsia" w:asciiTheme="minorEastAsia" w:hAnsiTheme="minorEastAsia" w:eastAsiaTheme="minorEastAsia"/>
                <w:sz w:val="24"/>
              </w:rPr>
              <w:t>本项目</w:t>
            </w:r>
            <w:r>
              <w:rPr>
                <w:rFonts w:asciiTheme="minorEastAsia" w:hAnsiTheme="minorEastAsia" w:eastAsiaTheme="minorEastAsia"/>
                <w:sz w:val="24"/>
              </w:rPr>
              <w:t>不适用</w:t>
            </w:r>
            <w:r>
              <w:rPr>
                <w:rFonts w:hint="eastAsia" w:asciiTheme="minorEastAsia" w:hAnsiTheme="minorEastAsia" w:eastAsiaTheme="minorEastAsia"/>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5"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29</w:t>
            </w:r>
            <w:r>
              <w:rPr>
                <w:rFonts w:hint="eastAsia" w:asciiTheme="minorEastAsia" w:hAnsiTheme="minorEastAsia" w:eastAsiaTheme="minorEastAsia"/>
                <w:sz w:val="24"/>
              </w:rPr>
              <w:t>.1</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中标人须向采购代理机构按如下标准和规定交纳中标服务费。</w:t>
            </w:r>
          </w:p>
          <w:p>
            <w:pPr>
              <w:spacing w:line="360" w:lineRule="auto"/>
              <w:rPr>
                <w:rFonts w:asciiTheme="minorEastAsia" w:hAnsiTheme="minorEastAsia" w:eastAsiaTheme="minorEastAsia"/>
                <w:sz w:val="24"/>
              </w:rPr>
            </w:pPr>
            <w:r>
              <w:rPr>
                <w:rFonts w:asciiTheme="minorEastAsia" w:hAnsiTheme="minorEastAsia" w:eastAsiaTheme="minorEastAsia"/>
                <w:sz w:val="24"/>
              </w:rPr>
              <w:t>（1）以买卖双方签定的合同总额作为收费的计算基数。</w:t>
            </w:r>
          </w:p>
          <w:p>
            <w:pPr>
              <w:widowControl/>
              <w:spacing w:line="360" w:lineRule="auto"/>
              <w:rPr>
                <w:rFonts w:asciiTheme="minorEastAsia" w:hAnsiTheme="minorEastAsia" w:eastAsiaTheme="minorEastAsia"/>
                <w:kern w:val="0"/>
                <w:sz w:val="24"/>
              </w:rPr>
            </w:pPr>
            <w:r>
              <w:rPr>
                <w:rFonts w:asciiTheme="minorEastAsia" w:hAnsiTheme="minorEastAsia" w:eastAsiaTheme="minorEastAsia"/>
                <w:sz w:val="24"/>
              </w:rPr>
              <w:t>（2）采购代理机构</w:t>
            </w:r>
            <w:r>
              <w:rPr>
                <w:rFonts w:hint="eastAsia" w:asciiTheme="minorEastAsia" w:hAnsiTheme="minorEastAsia" w:eastAsiaTheme="minorEastAsia"/>
                <w:sz w:val="24"/>
              </w:rPr>
              <w:t>参照原</w:t>
            </w:r>
            <w:r>
              <w:rPr>
                <w:rFonts w:asciiTheme="minorEastAsia" w:hAnsiTheme="minorEastAsia" w:eastAsiaTheme="minorEastAsia"/>
                <w:sz w:val="24"/>
              </w:rPr>
              <w:t>计价格[2002]1980号文、</w:t>
            </w:r>
            <w:r>
              <w:rPr>
                <w:rFonts w:asciiTheme="minorEastAsia" w:hAnsiTheme="minorEastAsia" w:eastAsiaTheme="minorEastAsia"/>
                <w:kern w:val="0"/>
                <w:sz w:val="24"/>
              </w:rPr>
              <w:t>发改办价格[2003]857号文及发改</w:t>
            </w:r>
            <w:r>
              <w:rPr>
                <w:rFonts w:hint="eastAsia" w:asciiTheme="minorEastAsia" w:hAnsiTheme="minorEastAsia" w:eastAsiaTheme="minorEastAsia"/>
                <w:kern w:val="0"/>
                <w:sz w:val="24"/>
              </w:rPr>
              <w:t>办</w:t>
            </w:r>
            <w:r>
              <w:rPr>
                <w:rFonts w:asciiTheme="minorEastAsia" w:hAnsiTheme="minorEastAsia" w:eastAsiaTheme="minorEastAsia"/>
                <w:kern w:val="0"/>
                <w:sz w:val="24"/>
              </w:rPr>
              <w:t>价格</w:t>
            </w:r>
            <w:r>
              <w:rPr>
                <w:rFonts w:asciiTheme="minorEastAsia" w:hAnsiTheme="minorEastAsia" w:eastAsiaTheme="minorEastAsia"/>
                <w:sz w:val="24"/>
              </w:rPr>
              <w:t>[2011]534</w:t>
            </w:r>
            <w:r>
              <w:rPr>
                <w:rFonts w:asciiTheme="minorEastAsia" w:hAnsiTheme="minorEastAsia" w:eastAsiaTheme="minorEastAsia"/>
                <w:kern w:val="0"/>
                <w:sz w:val="24"/>
              </w:rPr>
              <w:t>号文有关规定向中标供应商收取</w:t>
            </w:r>
            <w:r>
              <w:rPr>
                <w:rFonts w:asciiTheme="minorEastAsia" w:hAnsiTheme="minorEastAsia" w:eastAsiaTheme="minorEastAsia"/>
                <w:sz w:val="24"/>
              </w:rPr>
              <w:t>中标服务费用。</w:t>
            </w:r>
          </w:p>
          <w:p>
            <w:pPr>
              <w:spacing w:line="360" w:lineRule="auto"/>
              <w:rPr>
                <w:rFonts w:asciiTheme="minorEastAsia" w:hAnsiTheme="minorEastAsia" w:eastAsiaTheme="minorEastAsia"/>
                <w:sz w:val="24"/>
              </w:rPr>
            </w:pPr>
            <w:r>
              <w:rPr>
                <w:rFonts w:asciiTheme="minorEastAsia" w:hAnsiTheme="minorEastAsia" w:eastAsiaTheme="minorEastAsia"/>
                <w:sz w:val="24"/>
              </w:rPr>
              <w:t>（3）中标服务费币种与中标签订合同的币种相同或招标机构同意的币种</w:t>
            </w:r>
          </w:p>
          <w:p>
            <w:pPr>
              <w:spacing w:line="360" w:lineRule="auto"/>
              <w:rPr>
                <w:rFonts w:asciiTheme="minorEastAsia" w:hAnsiTheme="minorEastAsia" w:eastAsiaTheme="minorEastAsia"/>
                <w:sz w:val="24"/>
              </w:rPr>
            </w:pPr>
            <w:r>
              <w:rPr>
                <w:rFonts w:asciiTheme="minorEastAsia" w:hAnsiTheme="minorEastAsia" w:eastAsiaTheme="minorEastAsia"/>
                <w:sz w:val="24"/>
              </w:rPr>
              <w:t>（4）中标服务费的交纳方式：</w:t>
            </w:r>
          </w:p>
          <w:p>
            <w:pPr>
              <w:spacing w:line="360" w:lineRule="auto"/>
              <w:ind w:firstLine="480"/>
              <w:rPr>
                <w:rFonts w:asciiTheme="minorEastAsia" w:hAnsiTheme="minorEastAsia" w:eastAsiaTheme="minorEastAsia"/>
                <w:sz w:val="24"/>
              </w:rPr>
            </w:pPr>
            <w:r>
              <w:rPr>
                <w:rFonts w:asciiTheme="minorEastAsia" w:hAnsiTheme="minorEastAsia" w:eastAsiaTheme="minorEastAsia"/>
                <w:sz w:val="24"/>
              </w:rPr>
              <w:t>在投标时，投标人向采购代理机构送交中标服务费承诺书。中标供应商在领取中标通知书时一次向采购代理机构交纳所有中标服务费。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户  名：北京华采招标代理有限公司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开户行：建行北京西客站支行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账  号：</w:t>
            </w:r>
            <w:r>
              <w:rPr>
                <w:rFonts w:asciiTheme="minorEastAsia" w:hAnsiTheme="minorEastAsia" w:eastAsiaTheme="minorEastAsia"/>
                <w:sz w:val="24"/>
              </w:rPr>
              <w:t>1100 1028 0000 5300 6877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52"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12.3</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28.1.2</w:t>
            </w: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30</w:t>
            </w:r>
            <w:r>
              <w:rPr>
                <w:rFonts w:hint="eastAsia" w:asciiTheme="minorEastAsia" w:hAnsiTheme="minorEastAsia" w:eastAsiaTheme="minorEastAsia"/>
                <w:sz w:val="24"/>
              </w:rPr>
              <w:t>.2</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政府采购信用担保机构：</w:t>
            </w:r>
          </w:p>
          <w:p>
            <w:pPr>
              <w:spacing w:line="360" w:lineRule="auto"/>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rPr>
              <w:t xml:space="preserve"> </w:t>
            </w:r>
            <w:r>
              <w:rPr>
                <w:rFonts w:hint="eastAsia" w:asciiTheme="minorEastAsia" w:hAnsiTheme="minorEastAsia" w:eastAsiaTheme="minorEastAsia"/>
                <w:sz w:val="24"/>
              </w:rPr>
              <w:t>中国投融资担保股份有限公司</w:t>
            </w:r>
          </w:p>
          <w:p>
            <w:pPr>
              <w:spacing w:line="360" w:lineRule="auto"/>
              <w:rPr>
                <w:rFonts w:asciiTheme="minorEastAsia" w:hAnsiTheme="minorEastAsia" w:eastAsiaTheme="minorEastAsia"/>
                <w:sz w:val="24"/>
              </w:rPr>
            </w:pPr>
            <w:r>
              <w:rPr>
                <w:rFonts w:asciiTheme="minorEastAsia" w:hAnsiTheme="minorEastAsia" w:eastAsiaTheme="minorEastAsia"/>
                <w:sz w:val="24"/>
              </w:rPr>
              <w:t>地址:北京市海淀区西三环北路100号光耀东方写字楼9层</w:t>
            </w:r>
          </w:p>
          <w:p>
            <w:pPr>
              <w:spacing w:line="360" w:lineRule="auto"/>
              <w:rPr>
                <w:rFonts w:asciiTheme="minorEastAsia" w:hAnsiTheme="minorEastAsia" w:eastAsiaTheme="minorEastAsia"/>
                <w:sz w:val="24"/>
              </w:rPr>
            </w:pPr>
            <w:r>
              <w:rPr>
                <w:rFonts w:asciiTheme="minorEastAsia" w:hAnsiTheme="minorEastAsia" w:eastAsiaTheme="minorEastAsia"/>
                <w:sz w:val="24"/>
              </w:rPr>
              <w:t>联系人：边志伟手机：13810789199</w:t>
            </w:r>
          </w:p>
          <w:p>
            <w:pPr>
              <w:spacing w:line="360" w:lineRule="auto"/>
              <w:rPr>
                <w:rFonts w:asciiTheme="minorEastAsia" w:hAnsiTheme="minorEastAsia" w:eastAsiaTheme="minorEastAsia"/>
                <w:sz w:val="24"/>
              </w:rPr>
            </w:pPr>
            <w:r>
              <w:rPr>
                <w:rFonts w:asciiTheme="minorEastAsia" w:hAnsiTheme="minorEastAsia" w:eastAsiaTheme="minorEastAsia"/>
                <w:sz w:val="24"/>
              </w:rPr>
              <w:t>联系电话：010-88822573      传真：010-68437040/68472315</w:t>
            </w:r>
          </w:p>
          <w:p>
            <w:pPr>
              <w:spacing w:line="360" w:lineRule="auto"/>
              <w:rPr>
                <w:rFonts w:asciiTheme="minorEastAsia" w:hAnsiTheme="minorEastAsia" w:eastAsiaTheme="minorEastAsia"/>
                <w:sz w:val="24"/>
              </w:rPr>
            </w:pPr>
            <w:r>
              <w:rPr>
                <w:rFonts w:asciiTheme="minorEastAsia" w:hAnsiTheme="minorEastAsia" w:eastAsiaTheme="minorEastAsia"/>
                <w:sz w:val="24"/>
              </w:rPr>
              <w:t>电子邮箱：bianzw@guaranty.com.cn</w:t>
            </w:r>
          </w:p>
          <w:p>
            <w:pPr>
              <w:spacing w:line="360" w:lineRule="auto"/>
              <w:rPr>
                <w:rFonts w:asciiTheme="minorEastAsia" w:hAnsiTheme="minorEastAsia" w:eastAsiaTheme="minorEastAsia"/>
                <w:sz w:val="24"/>
              </w:rPr>
            </w:pPr>
            <w:r>
              <w:rPr>
                <w:rFonts w:asciiTheme="minorEastAsia" w:hAnsiTheme="minorEastAsia" w:eastAsiaTheme="minorEastAsia"/>
                <w:sz w:val="24"/>
              </w:rPr>
              <w:t>2.北京首创投资担保有限责任公司</w:t>
            </w:r>
          </w:p>
          <w:p>
            <w:pPr>
              <w:spacing w:line="360" w:lineRule="auto"/>
              <w:rPr>
                <w:rFonts w:asciiTheme="minorEastAsia" w:hAnsiTheme="minorEastAsia" w:eastAsiaTheme="minorEastAsia"/>
                <w:sz w:val="24"/>
              </w:rPr>
            </w:pPr>
            <w:r>
              <w:rPr>
                <w:rFonts w:asciiTheme="minorEastAsia" w:hAnsiTheme="minorEastAsia" w:eastAsiaTheme="minorEastAsia"/>
                <w:sz w:val="24"/>
              </w:rPr>
              <w:t>地址:北京市西城区闹市口大街一号长安兴融中心四号楼三层</w:t>
            </w:r>
          </w:p>
          <w:p>
            <w:pPr>
              <w:spacing w:line="360" w:lineRule="auto"/>
              <w:rPr>
                <w:rFonts w:asciiTheme="minorEastAsia" w:hAnsiTheme="minorEastAsia" w:eastAsiaTheme="minorEastAsia"/>
                <w:sz w:val="24"/>
              </w:rPr>
            </w:pPr>
            <w:r>
              <w:rPr>
                <w:rFonts w:asciiTheme="minorEastAsia" w:hAnsiTheme="minorEastAsia" w:eastAsiaTheme="minorEastAsia"/>
                <w:sz w:val="24"/>
              </w:rPr>
              <w:t>联系人：杨阳陈浩然</w:t>
            </w:r>
          </w:p>
          <w:p>
            <w:pPr>
              <w:spacing w:line="360" w:lineRule="auto"/>
              <w:rPr>
                <w:rFonts w:asciiTheme="minorEastAsia" w:hAnsiTheme="minorEastAsia" w:eastAsiaTheme="minorEastAsia"/>
                <w:sz w:val="24"/>
              </w:rPr>
            </w:pPr>
            <w:r>
              <w:rPr>
                <w:rFonts w:asciiTheme="minorEastAsia" w:hAnsiTheme="minorEastAsia" w:eastAsiaTheme="minorEastAsia"/>
                <w:sz w:val="24"/>
              </w:rPr>
              <w:t>手机：13488752033  18910210850</w:t>
            </w:r>
          </w:p>
          <w:p>
            <w:pPr>
              <w:spacing w:line="360" w:lineRule="auto"/>
              <w:rPr>
                <w:rFonts w:asciiTheme="minorEastAsia" w:hAnsiTheme="minorEastAsia" w:eastAsiaTheme="minorEastAsia"/>
                <w:sz w:val="24"/>
              </w:rPr>
            </w:pPr>
            <w:r>
              <w:rPr>
                <w:rFonts w:asciiTheme="minorEastAsia" w:hAnsiTheme="minorEastAsia" w:eastAsiaTheme="minorEastAsia"/>
                <w:sz w:val="24"/>
              </w:rPr>
              <w:t>联系电话： 58528750 58528760  传真：58528757</w:t>
            </w:r>
          </w:p>
          <w:p>
            <w:pPr>
              <w:spacing w:line="360" w:lineRule="auto"/>
              <w:rPr>
                <w:rFonts w:asciiTheme="minorEastAsia" w:hAnsiTheme="minorEastAsia" w:eastAsiaTheme="minorEastAsia"/>
                <w:sz w:val="24"/>
              </w:rPr>
            </w:pPr>
            <w:r>
              <w:rPr>
                <w:rFonts w:asciiTheme="minorEastAsia" w:hAnsiTheme="minorEastAsia" w:eastAsiaTheme="minorEastAsia"/>
                <w:sz w:val="24"/>
              </w:rPr>
              <w:t>电子邮箱：yangyang@scdb.com.cn; chenhaoran@scdb.com.cn</w:t>
            </w:r>
          </w:p>
          <w:p>
            <w:pPr>
              <w:spacing w:line="360" w:lineRule="auto"/>
              <w:rPr>
                <w:rFonts w:asciiTheme="minorEastAsia" w:hAnsiTheme="minorEastAsia" w:eastAsiaTheme="minorEastAsia"/>
                <w:sz w:val="24"/>
              </w:rPr>
            </w:pPr>
            <w:r>
              <w:rPr>
                <w:rFonts w:asciiTheme="minorEastAsia" w:hAnsiTheme="minorEastAsia" w:eastAsiaTheme="minorEastAsia"/>
                <w:sz w:val="24"/>
              </w:rPr>
              <w:t>3.北京中关村科技担保有限公司</w:t>
            </w:r>
          </w:p>
          <w:p>
            <w:pPr>
              <w:spacing w:line="360" w:lineRule="auto"/>
              <w:rPr>
                <w:rFonts w:asciiTheme="minorEastAsia" w:hAnsiTheme="minorEastAsia" w:eastAsiaTheme="minorEastAsia"/>
                <w:sz w:val="24"/>
              </w:rPr>
            </w:pPr>
            <w:r>
              <w:rPr>
                <w:rFonts w:asciiTheme="minorEastAsia" w:hAnsiTheme="minorEastAsia" w:eastAsiaTheme="minorEastAsia"/>
                <w:sz w:val="24"/>
              </w:rPr>
              <w:t>地址:北京市海淀区中关村南大街乙12号天作国际大厦A座28层</w:t>
            </w:r>
          </w:p>
          <w:p>
            <w:pPr>
              <w:spacing w:line="360" w:lineRule="auto"/>
              <w:rPr>
                <w:rFonts w:asciiTheme="minorEastAsia" w:hAnsiTheme="minorEastAsia" w:eastAsiaTheme="minorEastAsia"/>
                <w:sz w:val="24"/>
              </w:rPr>
            </w:pPr>
            <w:r>
              <w:rPr>
                <w:rFonts w:asciiTheme="minorEastAsia" w:hAnsiTheme="minorEastAsia" w:eastAsiaTheme="minorEastAsia"/>
                <w:sz w:val="24"/>
              </w:rPr>
              <w:t>联系人：李玉春</w:t>
            </w:r>
            <w:r>
              <w:rPr>
                <w:rFonts w:hint="eastAsia" w:asciiTheme="minorEastAsia" w:hAnsiTheme="minorEastAsia" w:eastAsiaTheme="minorEastAsia"/>
                <w:sz w:val="24"/>
              </w:rPr>
              <w:t xml:space="preserve"> </w:t>
            </w:r>
            <w:r>
              <w:rPr>
                <w:rFonts w:asciiTheme="minorEastAsia" w:hAnsiTheme="minorEastAsia" w:eastAsiaTheme="minorEastAsia"/>
                <w:sz w:val="24"/>
              </w:rPr>
              <w:t>手机：13910831169</w:t>
            </w:r>
          </w:p>
          <w:p>
            <w:pPr>
              <w:spacing w:line="360" w:lineRule="auto"/>
              <w:rPr>
                <w:rFonts w:asciiTheme="minorEastAsia" w:hAnsiTheme="minorEastAsia" w:eastAsiaTheme="minorEastAsia"/>
                <w:sz w:val="24"/>
              </w:rPr>
            </w:pPr>
            <w:r>
              <w:rPr>
                <w:rFonts w:asciiTheme="minorEastAsia" w:hAnsiTheme="minorEastAsia" w:eastAsiaTheme="minorEastAsia"/>
                <w:sz w:val="24"/>
              </w:rPr>
              <w:t>联系电话：59705232               传真：59705606</w:t>
            </w:r>
          </w:p>
          <w:p>
            <w:pPr>
              <w:spacing w:line="360" w:lineRule="auto"/>
              <w:rPr>
                <w:rFonts w:asciiTheme="minorEastAsia" w:hAnsiTheme="minorEastAsia" w:eastAsiaTheme="minorEastAsia"/>
                <w:sz w:val="24"/>
              </w:rPr>
            </w:pPr>
            <w:r>
              <w:rPr>
                <w:rFonts w:asciiTheme="minorEastAsia" w:hAnsiTheme="minorEastAsia" w:eastAsiaTheme="minorEastAsia"/>
                <w:sz w:val="24"/>
              </w:rPr>
              <w:t>电子邮箱：</w:t>
            </w:r>
            <w:r>
              <w:fldChar w:fldCharType="begin"/>
            </w:r>
            <w:r>
              <w:instrText xml:space="preserve"> HYPERLINK "mailto:li_yuchu@126.com" </w:instrText>
            </w:r>
            <w:r>
              <w:fldChar w:fldCharType="separate"/>
            </w:r>
            <w:r>
              <w:rPr>
                <w:rStyle w:val="48"/>
                <w:rFonts w:asciiTheme="minorEastAsia" w:hAnsiTheme="minorEastAsia" w:eastAsiaTheme="minorEastAsia"/>
                <w:color w:val="auto"/>
                <w:sz w:val="24"/>
              </w:rPr>
              <w:t>li_yuchu@126.com</w:t>
            </w:r>
            <w:r>
              <w:rPr>
                <w:rStyle w:val="48"/>
                <w:rFonts w:asciiTheme="minorEastAsia" w:hAnsiTheme="minorEastAsia" w:eastAsiaTheme="minorEastAsia"/>
                <w:color w:val="auto"/>
                <w:sz w:val="24"/>
              </w:rPr>
              <w:fldChar w:fldCharType="end"/>
            </w:r>
          </w:p>
        </w:tc>
      </w:tr>
    </w:tbl>
    <w:p>
      <w:pPr>
        <w:pStyle w:val="2"/>
        <w:spacing w:line="360" w:lineRule="auto"/>
        <w:rPr>
          <w:rFonts w:asciiTheme="minorEastAsia" w:hAnsiTheme="minorEastAsia" w:eastAsiaTheme="minorEastAsia"/>
          <w:sz w:val="30"/>
          <w:szCs w:val="30"/>
        </w:rPr>
      </w:pPr>
      <w:r>
        <w:rPr>
          <w:rFonts w:asciiTheme="minorEastAsia" w:hAnsiTheme="minorEastAsia" w:eastAsiaTheme="minorEastAsia"/>
          <w:sz w:val="24"/>
          <w:szCs w:val="24"/>
        </w:rPr>
        <w:br w:type="page"/>
      </w:r>
      <w:bookmarkStart w:id="12" w:name="_Toc366853856"/>
      <w:bookmarkStart w:id="13" w:name="_Toc529435014"/>
      <w:bookmarkStart w:id="14" w:name="_Toc310195692"/>
      <w:r>
        <w:rPr>
          <w:rFonts w:hint="eastAsia" w:asciiTheme="minorEastAsia" w:hAnsiTheme="minorEastAsia" w:eastAsiaTheme="minorEastAsia"/>
          <w:sz w:val="30"/>
          <w:szCs w:val="30"/>
        </w:rPr>
        <w:t>第三章投标须知</w:t>
      </w:r>
      <w:bookmarkEnd w:id="12"/>
      <w:bookmarkEnd w:id="13"/>
      <w:bookmarkEnd w:id="14"/>
    </w:p>
    <w:p>
      <w:pPr>
        <w:pStyle w:val="5"/>
        <w:spacing w:line="360" w:lineRule="auto"/>
        <w:ind w:left="899" w:hanging="899"/>
        <w:jc w:val="center"/>
        <w:rPr>
          <w:rFonts w:asciiTheme="minorEastAsia" w:hAnsiTheme="minorEastAsia" w:eastAsiaTheme="minorEastAsia"/>
          <w:sz w:val="24"/>
          <w:szCs w:val="24"/>
        </w:rPr>
      </w:pPr>
      <w:bookmarkStart w:id="15" w:name="_Toc310195693"/>
      <w:bookmarkStart w:id="16" w:name="_Toc366853857"/>
      <w:bookmarkStart w:id="17" w:name="_Toc529435015"/>
      <w:bookmarkStart w:id="18" w:name="_Toc520356143"/>
      <w:r>
        <w:rPr>
          <w:rFonts w:hint="eastAsia" w:asciiTheme="minorEastAsia" w:hAnsiTheme="minorEastAsia" w:eastAsiaTheme="minorEastAsia"/>
          <w:sz w:val="24"/>
          <w:szCs w:val="24"/>
        </w:rPr>
        <w:t>一说明</w:t>
      </w:r>
      <w:bookmarkEnd w:id="15"/>
      <w:bookmarkEnd w:id="16"/>
      <w:bookmarkEnd w:id="17"/>
      <w:bookmarkEnd w:id="18"/>
    </w:p>
    <w:p>
      <w:pPr>
        <w:pStyle w:val="5"/>
        <w:spacing w:line="360" w:lineRule="auto"/>
        <w:ind w:left="899" w:right="105" w:rightChars="50" w:hanging="899"/>
        <w:rPr>
          <w:rFonts w:asciiTheme="minorEastAsia" w:hAnsiTheme="minorEastAsia" w:eastAsiaTheme="minorEastAsia"/>
          <w:sz w:val="24"/>
          <w:szCs w:val="24"/>
        </w:rPr>
      </w:pPr>
      <w:bookmarkStart w:id="19" w:name="_Toc520356144"/>
      <w:bookmarkStart w:id="20" w:name="_Toc529435016"/>
      <w:bookmarkStart w:id="21" w:name="_Toc310195694"/>
      <w:bookmarkStart w:id="22" w:name="_Toc366853858"/>
      <w:r>
        <w:rPr>
          <w:rFonts w:hint="eastAsia" w:asciiTheme="minorEastAsia" w:hAnsiTheme="minorEastAsia" w:eastAsiaTheme="minorEastAsia"/>
          <w:sz w:val="24"/>
          <w:szCs w:val="24"/>
        </w:rPr>
        <w:t>1. 采购人、采购代理机构及合格的</w:t>
      </w:r>
      <w:bookmarkEnd w:id="19"/>
      <w:r>
        <w:rPr>
          <w:rFonts w:hint="eastAsia" w:asciiTheme="minorEastAsia" w:hAnsiTheme="minorEastAsia" w:eastAsiaTheme="minorEastAsia"/>
          <w:sz w:val="24"/>
          <w:szCs w:val="24"/>
        </w:rPr>
        <w:t>投标人</w:t>
      </w:r>
      <w:bookmarkEnd w:id="20"/>
      <w:bookmarkEnd w:id="21"/>
      <w:bookmarkEnd w:id="22"/>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1.1 采购人：指依法进行本次政府采购招标活动中的国家机关、事业单位、团体组织。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1.2 采购代理机构：受采购人委托，组织本次招标活动的采购代理机构。本项目的采购代理机构为北京华采招标代理有限公司。</w:t>
      </w:r>
    </w:p>
    <w:p>
      <w:pPr>
        <w:numPr>
          <w:ilvl w:val="1"/>
          <w:numId w:val="3"/>
        </w:num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 xml:space="preserve"> 合格的投标人</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1.3.1</w:t>
      </w:r>
      <w:r>
        <w:rPr>
          <w:rFonts w:asciiTheme="minorEastAsia" w:hAnsiTheme="minorEastAsia" w:eastAsiaTheme="minorEastAsia"/>
          <w:sz w:val="24"/>
        </w:rPr>
        <w:t>符合第一章投标邀请中“投标人资格</w:t>
      </w:r>
      <w:r>
        <w:rPr>
          <w:rFonts w:hint="eastAsia" w:asciiTheme="minorEastAsia" w:hAnsiTheme="minorEastAsia" w:eastAsiaTheme="minorEastAsia"/>
          <w:sz w:val="24"/>
        </w:rPr>
        <w:t>要求</w:t>
      </w:r>
      <w:r>
        <w:rPr>
          <w:rFonts w:asciiTheme="minorEastAsia" w:hAnsiTheme="minorEastAsia" w:eastAsiaTheme="minorEastAsia"/>
          <w:sz w:val="24"/>
        </w:rPr>
        <w:t>”中规定的</w:t>
      </w:r>
      <w:r>
        <w:rPr>
          <w:rFonts w:hint="eastAsia" w:asciiTheme="minorEastAsia" w:hAnsiTheme="minorEastAsia" w:eastAsiaTheme="minorEastAsia"/>
          <w:sz w:val="24"/>
        </w:rPr>
        <w:t>内容</w:t>
      </w:r>
      <w:r>
        <w:rPr>
          <w:rFonts w:asciiTheme="minorEastAsia" w:hAnsiTheme="minorEastAsia" w:eastAsiaTheme="minorEastAsia"/>
          <w:sz w:val="24"/>
        </w:rPr>
        <w:t>；</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1.3.2</w:t>
      </w:r>
      <w:r>
        <w:rPr>
          <w:rFonts w:asciiTheme="minorEastAsia" w:hAnsiTheme="minorEastAsia" w:eastAsiaTheme="minorEastAsia"/>
          <w:sz w:val="24"/>
        </w:rPr>
        <w:t>投标人必须向招标</w:t>
      </w:r>
      <w:r>
        <w:rPr>
          <w:rFonts w:hint="eastAsia" w:asciiTheme="minorEastAsia" w:hAnsiTheme="minorEastAsia" w:eastAsiaTheme="minorEastAsia"/>
          <w:sz w:val="24"/>
        </w:rPr>
        <w:t>机构</w:t>
      </w:r>
      <w:r>
        <w:rPr>
          <w:rFonts w:asciiTheme="minorEastAsia" w:hAnsiTheme="minorEastAsia" w:eastAsiaTheme="minorEastAsia"/>
          <w:sz w:val="24"/>
        </w:rPr>
        <w:t>购买招标文件并登记备案，未经向</w:t>
      </w:r>
      <w:r>
        <w:rPr>
          <w:rFonts w:hint="eastAsia" w:asciiTheme="minorEastAsia" w:hAnsiTheme="minorEastAsia" w:eastAsiaTheme="minorEastAsia"/>
          <w:sz w:val="24"/>
        </w:rPr>
        <w:t>采购代理机构</w:t>
      </w:r>
      <w:r>
        <w:rPr>
          <w:rFonts w:asciiTheme="minorEastAsia" w:hAnsiTheme="minorEastAsia" w:eastAsiaTheme="minorEastAsia"/>
          <w:sz w:val="24"/>
        </w:rPr>
        <w:t>购买招标文件并登记备案的潜在投标人均无资格参加本次投标。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如经财政主管部门批准可以采购进口产品，将在投标人须知资料表中写明。但投标人应保证所投产品已在中国关境内并已履行合法报通关手续。若投标人须知资料表中未写明允许采购进口产品，如投标人所投产品为进口产品，其投标将作为无效投标被拒绝。</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1.3.3.1两个以上供应商可以组成一个投标联合体，以一个投标人的身份投标。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1.3.3.2联合体各方均应符合《中华人民共和国政府采购法》第二十二条规定的条件。</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1.3.3.3采购人根据采购项目对投标人的特殊要求，联合体中至少应当有一方符合其规定。</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3.4联合体各方应签订共同投标协议，明确约定联合体各方承担的工作和相应的责任，并将共同投标协议连同投标文件一并提交招标采购单位。</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3.5大中型企业和其他自然人、法人或者其他组织与小型、微型企业组成联合体共同参加投标，共同投标协议中应写明小型、微型企业的协议合同金额占到共同投标协议合同总金额的比例。联合协议中约定，小型、微型企业的协议合同金额占到联合体协议合同总金额30%以上的，可给予联合体相应幅度的价格扣除。联合体各方均为小型、微型企业的，联合体视同为小型、微型企业（如适用）。</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3.6联合体各方签订共同投标协议后，不得再以自己名义单独在同一项目中投标，也不得组成新的联合体参加同一项目投标。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3.7联合体各方在同一招标项目中以自己名义单独投标或者参加其他联合体投标的，相关投标均无效。</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3.8对联合体投标的其他资格要求见投标人须知资料表。</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1.3.4如经财政主管部门批准可以采购进口产品，将在投标人须知资料表中写明。但投标人应保证所投产品已在中国关境内并已履行合法报通关手续。若投标人须知资料表中未写明允许采购进口产品，如投标人所投产品为进口产品，其投标将作为无效投标被拒绝。</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1.3.5</w:t>
      </w:r>
      <w:r>
        <w:rPr>
          <w:rFonts w:cs="宋体" w:asciiTheme="minorEastAsia" w:hAnsiTheme="minorEastAsia" w:eastAsiaTheme="minorEastAsia"/>
          <w:kern w:val="0"/>
          <w:sz w:val="24"/>
        </w:rPr>
        <w:t>若投标人须知资料表</w:t>
      </w:r>
      <w:r>
        <w:rPr>
          <w:rFonts w:hint="eastAsia" w:asciiTheme="minorEastAsia" w:hAnsiTheme="minorEastAsia" w:eastAsiaTheme="minorEastAsia"/>
          <w:sz w:val="24"/>
        </w:rPr>
        <w:t>中写明专门面向中小企业或小型、微型企业、监狱企业或残疾人福利性单位采购采购的，如供应商所提供产品为非中小企业或小型、微型企业、监狱企业或残疾人福利性单位产品</w:t>
      </w:r>
      <w:r>
        <w:rPr>
          <w:rFonts w:cs="宋体" w:asciiTheme="minorEastAsia" w:hAnsiTheme="minorEastAsia" w:eastAsiaTheme="minorEastAsia"/>
          <w:kern w:val="0"/>
          <w:sz w:val="24"/>
        </w:rPr>
        <w:t>专门面向中、小、微型企业采购的，其投标将作为无效投标被拒绝（如适用）</w:t>
      </w:r>
      <w:r>
        <w:rPr>
          <w:rFonts w:hint="eastAsia" w:asciiTheme="minorEastAsia" w:hAnsiTheme="minorEastAsia" w:eastAsiaTheme="minorEastAsia"/>
          <w:sz w:val="24"/>
        </w:rPr>
        <w:t>。</w:t>
      </w:r>
    </w:p>
    <w:p>
      <w:pPr>
        <w:numPr>
          <w:ilvl w:val="1"/>
          <w:numId w:val="3"/>
        </w:numPr>
        <w:tabs>
          <w:tab w:val="left" w:pos="420"/>
          <w:tab w:val="left" w:pos="8460"/>
          <w:tab w:val="clear" w:pos="360"/>
        </w:tabs>
        <w:spacing w:line="360" w:lineRule="auto"/>
        <w:ind w:left="0" w:right="105" w:rightChars="50" w:firstLine="0"/>
        <w:jc w:val="left"/>
        <w:rPr>
          <w:rFonts w:asciiTheme="minorEastAsia" w:hAnsiTheme="minorEastAsia" w:eastAsiaTheme="minorEastAsia"/>
          <w:sz w:val="24"/>
        </w:rPr>
      </w:pPr>
      <w:r>
        <w:rPr>
          <w:rFonts w:hint="eastAsia" w:asciiTheme="minorEastAsia" w:hAnsiTheme="minorEastAsia" w:eastAsiaTheme="minorEastAsia"/>
          <w:sz w:val="24"/>
        </w:rPr>
        <w:t>凡受托为本次招标标的进行设计、编制规范和其他文件的咨询公司，及相关联的附属机构，不得参与投标。</w:t>
      </w:r>
    </w:p>
    <w:p>
      <w:pPr>
        <w:numPr>
          <w:ilvl w:val="1"/>
          <w:numId w:val="3"/>
        </w:numPr>
        <w:tabs>
          <w:tab w:val="left" w:pos="8460"/>
        </w:tabs>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凡在法律或财务上不能独立合法经营，或在法律或财务上不能独立于本项目招标采购单位的任何机构，不得参加投标。</w:t>
      </w:r>
    </w:p>
    <w:p>
      <w:pPr>
        <w:numPr>
          <w:ilvl w:val="1"/>
          <w:numId w:val="3"/>
        </w:numPr>
        <w:tabs>
          <w:tab w:val="left" w:pos="420"/>
          <w:tab w:val="left" w:pos="8460"/>
          <w:tab w:val="clear" w:pos="360"/>
        </w:tabs>
        <w:spacing w:line="360" w:lineRule="auto"/>
        <w:ind w:left="0" w:right="105" w:rightChars="50" w:firstLine="0"/>
        <w:jc w:val="left"/>
        <w:rPr>
          <w:rFonts w:asciiTheme="minorEastAsia" w:hAnsiTheme="minorEastAsia" w:eastAsiaTheme="minorEastAsia"/>
          <w:sz w:val="24"/>
        </w:rPr>
      </w:pPr>
      <w:r>
        <w:rPr>
          <w:rFonts w:hint="eastAsia" w:asciiTheme="minorEastAsia" w:hAnsiTheme="minorEastAsia" w:eastAsiaTheme="minorEastAsia"/>
          <w:sz w:val="24"/>
        </w:rPr>
        <w:t>投标人在投标过程中不得向采购人和采购代理机构提供、给予任何有价值的物品，一经发现，其投标人资格将被取消。</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1.7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pPr>
        <w:pStyle w:val="5"/>
        <w:spacing w:line="360" w:lineRule="auto"/>
        <w:rPr>
          <w:rFonts w:asciiTheme="minorEastAsia" w:hAnsiTheme="minorEastAsia" w:eastAsiaTheme="minorEastAsia"/>
          <w:sz w:val="24"/>
          <w:szCs w:val="24"/>
        </w:rPr>
      </w:pPr>
      <w:bookmarkStart w:id="23" w:name="_Toc366853859"/>
      <w:bookmarkStart w:id="24" w:name="_Toc310195695"/>
      <w:bookmarkStart w:id="25" w:name="_Toc529435017"/>
      <w:r>
        <w:rPr>
          <w:rFonts w:hint="eastAsia" w:asciiTheme="minorEastAsia" w:hAnsiTheme="minorEastAsia" w:eastAsiaTheme="minorEastAsia"/>
          <w:sz w:val="24"/>
          <w:szCs w:val="24"/>
        </w:rPr>
        <w:t>2. 资金来源</w:t>
      </w:r>
      <w:bookmarkEnd w:id="23"/>
      <w:bookmarkEnd w:id="24"/>
      <w:bookmarkEnd w:id="25"/>
    </w:p>
    <w:p>
      <w:pPr>
        <w:spacing w:line="360" w:lineRule="auto"/>
        <w:ind w:firstLine="2"/>
        <w:rPr>
          <w:rFonts w:asciiTheme="minorEastAsia" w:hAnsiTheme="minorEastAsia" w:eastAsiaTheme="minorEastAsia"/>
          <w:sz w:val="24"/>
        </w:rPr>
      </w:pPr>
      <w:r>
        <w:rPr>
          <w:rFonts w:hint="eastAsia" w:asciiTheme="minorEastAsia" w:hAnsiTheme="minorEastAsia" w:eastAsiaTheme="minorEastAsia"/>
          <w:sz w:val="24"/>
        </w:rPr>
        <w:t>2.1本招标文件投标须知资料表中所述的采购人已拥有一笔资金。采购人计划将一部分资金用于支付本次招标后所签订合同项下的款项。</w:t>
      </w:r>
    </w:p>
    <w:p>
      <w:pPr>
        <w:spacing w:line="360" w:lineRule="auto"/>
        <w:ind w:firstLine="2"/>
        <w:rPr>
          <w:rFonts w:asciiTheme="minorEastAsia" w:hAnsiTheme="minorEastAsia" w:eastAsiaTheme="minorEastAsia"/>
          <w:sz w:val="24"/>
        </w:rPr>
      </w:pPr>
      <w:r>
        <w:rPr>
          <w:rFonts w:hint="eastAsia" w:asciiTheme="minorEastAsia" w:hAnsiTheme="minorEastAsia" w:eastAsiaTheme="minorEastAsia"/>
          <w:sz w:val="24"/>
        </w:rPr>
        <w:t>2.2 项目预算金额和分项或分包控制金额见投标人须知资料表。</w:t>
      </w:r>
    </w:p>
    <w:p>
      <w:pPr>
        <w:pStyle w:val="5"/>
        <w:spacing w:line="360" w:lineRule="auto"/>
        <w:ind w:left="901" w:hanging="899"/>
        <w:rPr>
          <w:rFonts w:asciiTheme="minorEastAsia" w:hAnsiTheme="minorEastAsia" w:eastAsiaTheme="minorEastAsia"/>
          <w:sz w:val="24"/>
          <w:szCs w:val="24"/>
        </w:rPr>
      </w:pPr>
      <w:bookmarkStart w:id="26" w:name="_Toc310195696"/>
      <w:bookmarkStart w:id="27" w:name="_Toc366853860"/>
      <w:bookmarkStart w:id="28" w:name="_Toc529435018"/>
      <w:bookmarkStart w:id="29" w:name="_Toc520356145"/>
      <w:r>
        <w:rPr>
          <w:rFonts w:hint="eastAsia" w:asciiTheme="minorEastAsia" w:hAnsiTheme="minorEastAsia" w:eastAsiaTheme="minorEastAsia"/>
          <w:sz w:val="24"/>
          <w:szCs w:val="24"/>
        </w:rPr>
        <w:t>3. 投标费用</w:t>
      </w:r>
      <w:bookmarkEnd w:id="26"/>
      <w:bookmarkEnd w:id="27"/>
      <w:bookmarkEnd w:id="28"/>
      <w:bookmarkEnd w:id="29"/>
    </w:p>
    <w:p>
      <w:pPr>
        <w:spacing w:before="120" w:line="360" w:lineRule="auto"/>
        <w:ind w:firstLine="2"/>
        <w:rPr>
          <w:rFonts w:asciiTheme="minorEastAsia" w:hAnsiTheme="minorEastAsia" w:eastAsiaTheme="minorEastAsia"/>
          <w:sz w:val="24"/>
        </w:rPr>
      </w:pPr>
      <w:r>
        <w:rPr>
          <w:rFonts w:hint="eastAsia" w:asciiTheme="minorEastAsia" w:hAnsiTheme="minorEastAsia" w:eastAsiaTheme="minorEastAsia"/>
          <w:sz w:val="24"/>
        </w:rPr>
        <w:t>3.1 投标人应承担所有与准备和参加投标有关的费用。不论投标的结果如何，采购人和采购代理机构均无义务和责任承担这些费用。</w:t>
      </w:r>
    </w:p>
    <w:p>
      <w:pPr>
        <w:pStyle w:val="5"/>
        <w:spacing w:line="360" w:lineRule="auto"/>
        <w:ind w:left="899" w:hanging="899"/>
        <w:jc w:val="center"/>
        <w:rPr>
          <w:rFonts w:asciiTheme="minorEastAsia" w:hAnsiTheme="minorEastAsia" w:eastAsiaTheme="minorEastAsia"/>
          <w:sz w:val="24"/>
          <w:szCs w:val="24"/>
        </w:rPr>
      </w:pPr>
      <w:bookmarkStart w:id="30" w:name="_Toc310195697"/>
      <w:bookmarkStart w:id="31" w:name="_Toc366853861"/>
      <w:bookmarkStart w:id="32" w:name="_Toc529435019"/>
      <w:bookmarkStart w:id="33" w:name="_Toc520356146"/>
      <w:r>
        <w:rPr>
          <w:rFonts w:hint="eastAsia" w:asciiTheme="minorEastAsia" w:hAnsiTheme="minorEastAsia" w:eastAsiaTheme="minorEastAsia"/>
          <w:sz w:val="24"/>
          <w:szCs w:val="24"/>
        </w:rPr>
        <w:t>二招标文件</w:t>
      </w:r>
      <w:bookmarkEnd w:id="30"/>
      <w:bookmarkEnd w:id="31"/>
      <w:bookmarkEnd w:id="32"/>
      <w:bookmarkEnd w:id="33"/>
    </w:p>
    <w:p>
      <w:pPr>
        <w:pStyle w:val="5"/>
        <w:spacing w:line="360" w:lineRule="auto"/>
        <w:ind w:left="899" w:hanging="899"/>
        <w:rPr>
          <w:rFonts w:asciiTheme="minorEastAsia" w:hAnsiTheme="minorEastAsia" w:eastAsiaTheme="minorEastAsia"/>
          <w:sz w:val="24"/>
          <w:szCs w:val="24"/>
        </w:rPr>
      </w:pPr>
      <w:bookmarkStart w:id="34" w:name="_Toc366853862"/>
      <w:bookmarkStart w:id="35" w:name="_Toc520356147"/>
      <w:bookmarkStart w:id="36" w:name="_Toc310195698"/>
      <w:bookmarkStart w:id="37" w:name="_Toc529435020"/>
      <w:r>
        <w:rPr>
          <w:rFonts w:hint="eastAsia" w:asciiTheme="minorEastAsia" w:hAnsiTheme="minorEastAsia" w:eastAsiaTheme="minorEastAsia"/>
          <w:sz w:val="24"/>
          <w:szCs w:val="24"/>
        </w:rPr>
        <w:t>4. 招标文件构成</w:t>
      </w:r>
      <w:bookmarkEnd w:id="34"/>
      <w:bookmarkEnd w:id="35"/>
      <w:bookmarkEnd w:id="36"/>
      <w:bookmarkEnd w:id="37"/>
    </w:p>
    <w:p>
      <w:pPr>
        <w:tabs>
          <w:tab w:val="left" w:pos="900"/>
        </w:tabs>
        <w:spacing w:line="360" w:lineRule="auto"/>
        <w:ind w:left="895" w:hanging="895"/>
        <w:rPr>
          <w:rFonts w:asciiTheme="minorEastAsia" w:hAnsiTheme="minorEastAsia" w:eastAsiaTheme="minorEastAsia"/>
          <w:sz w:val="24"/>
        </w:rPr>
      </w:pPr>
      <w:r>
        <w:rPr>
          <w:rFonts w:hint="eastAsia" w:asciiTheme="minorEastAsia" w:hAnsiTheme="minorEastAsia" w:eastAsiaTheme="minorEastAsia"/>
          <w:sz w:val="24"/>
        </w:rPr>
        <w:t>4.1 要求提供的货物及相关服务、招标过程和合同条件在招标文件中均有说明。</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招标文件共九章，内容如下： </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第一章 投标邀请书</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第二章  投标须知资料表</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第三章 投标须知</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第四章 技术需求</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第五章 评分办法及评分标准</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第六章 合同一般条款</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第七章 合同专用条款</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第八章 政府采购合同格式</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第九章 投标文件格式</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4.2 投标人应认真阅读招标文件所有的事项、格式、条款和技术规范等。如投标人没有按照招标文件要求提交全部资料，或者投标没有对招标文件在各方面都做出实质性响应是投标人的风险，并可能导致其投标被拒绝。</w:t>
      </w:r>
    </w:p>
    <w:p>
      <w:pPr>
        <w:pStyle w:val="5"/>
        <w:spacing w:line="360" w:lineRule="auto"/>
        <w:ind w:left="899" w:hanging="899"/>
        <w:rPr>
          <w:rFonts w:asciiTheme="minorEastAsia" w:hAnsiTheme="minorEastAsia" w:eastAsiaTheme="minorEastAsia"/>
          <w:sz w:val="24"/>
          <w:szCs w:val="24"/>
        </w:rPr>
      </w:pPr>
      <w:bookmarkStart w:id="38" w:name="_Toc520356148"/>
      <w:bookmarkStart w:id="39" w:name="_Toc529435021"/>
      <w:bookmarkStart w:id="40" w:name="_Toc366853863"/>
      <w:bookmarkStart w:id="41" w:name="_Toc310195699"/>
      <w:r>
        <w:rPr>
          <w:rFonts w:hint="eastAsia" w:asciiTheme="minorEastAsia" w:hAnsiTheme="minorEastAsia" w:eastAsiaTheme="minorEastAsia"/>
          <w:sz w:val="24"/>
          <w:szCs w:val="24"/>
        </w:rPr>
        <w:t>5. 招标文件的澄清</w:t>
      </w:r>
      <w:bookmarkEnd w:id="38"/>
      <w:bookmarkEnd w:id="39"/>
      <w:bookmarkEnd w:id="40"/>
      <w:bookmarkEnd w:id="4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5.1</w:t>
      </w:r>
      <w:r>
        <w:rPr>
          <w:rFonts w:asciiTheme="minorEastAsia" w:hAnsiTheme="minorEastAsia" w:eastAsiaTheme="minorEastAsia"/>
          <w:sz w:val="24"/>
        </w:rPr>
        <w:t>任何要求对招标文件进行澄清的投标人，均应以书面形式通知</w:t>
      </w:r>
      <w:r>
        <w:rPr>
          <w:rFonts w:hint="eastAsia" w:asciiTheme="minorEastAsia" w:hAnsiTheme="minorEastAsia" w:eastAsiaTheme="minorEastAsia"/>
          <w:sz w:val="24"/>
        </w:rPr>
        <w:t>采购代理机构</w:t>
      </w:r>
      <w:r>
        <w:rPr>
          <w:rFonts w:asciiTheme="minorEastAsia" w:hAnsiTheme="minorEastAsia" w:eastAsiaTheme="minorEastAsia"/>
          <w:sz w:val="24"/>
        </w:rPr>
        <w:t>和采购人，</w:t>
      </w:r>
      <w:r>
        <w:rPr>
          <w:rFonts w:hint="eastAsia" w:asciiTheme="minorEastAsia" w:hAnsiTheme="minorEastAsia" w:eastAsiaTheme="minorEastAsia"/>
          <w:sz w:val="24"/>
        </w:rPr>
        <w:t>采购代理机构</w:t>
      </w:r>
      <w:r>
        <w:rPr>
          <w:rFonts w:asciiTheme="minorEastAsia" w:hAnsiTheme="minorEastAsia" w:eastAsiaTheme="minorEastAsia"/>
          <w:sz w:val="24"/>
        </w:rPr>
        <w:t>对其在“投标人须知资料表”中所述投标截止期十五</w:t>
      </w:r>
      <w:r>
        <w:rPr>
          <w:rFonts w:hint="eastAsia" w:asciiTheme="minorEastAsia" w:hAnsiTheme="minorEastAsia" w:eastAsiaTheme="minorEastAsia"/>
          <w:sz w:val="24"/>
        </w:rPr>
        <w:t>日</w:t>
      </w:r>
      <w:r>
        <w:rPr>
          <w:rFonts w:asciiTheme="minorEastAsia" w:hAnsiTheme="minorEastAsia" w:eastAsiaTheme="minorEastAsia"/>
          <w:sz w:val="24"/>
        </w:rPr>
        <w:t>以前收到的对招标文件的澄清要求均以书面形式予以答复，同时将书面答复发给每个购买招标文件的投标人（答复中不包括问题的来源）。</w:t>
      </w:r>
    </w:p>
    <w:p>
      <w:pPr>
        <w:pStyle w:val="5"/>
        <w:tabs>
          <w:tab w:val="left" w:pos="900"/>
        </w:tabs>
        <w:spacing w:line="360" w:lineRule="auto"/>
        <w:ind w:left="899" w:hanging="899"/>
        <w:rPr>
          <w:rFonts w:asciiTheme="minorEastAsia" w:hAnsiTheme="minorEastAsia" w:eastAsiaTheme="minorEastAsia"/>
          <w:sz w:val="24"/>
          <w:szCs w:val="24"/>
        </w:rPr>
      </w:pPr>
      <w:bookmarkStart w:id="42" w:name="_Toc366853864"/>
      <w:bookmarkStart w:id="43" w:name="_Ref467378678"/>
      <w:bookmarkStart w:id="44" w:name="_Toc310195700"/>
      <w:bookmarkStart w:id="45" w:name="_Toc520356149"/>
      <w:bookmarkStart w:id="46" w:name="_Toc529435022"/>
      <w:r>
        <w:rPr>
          <w:rFonts w:hint="eastAsia" w:asciiTheme="minorEastAsia" w:hAnsiTheme="minorEastAsia" w:eastAsiaTheme="minorEastAsia"/>
          <w:sz w:val="24"/>
          <w:szCs w:val="24"/>
        </w:rPr>
        <w:t>6. 招标文件的修改</w:t>
      </w:r>
      <w:bookmarkEnd w:id="42"/>
      <w:bookmarkEnd w:id="43"/>
      <w:bookmarkEnd w:id="44"/>
      <w:bookmarkEnd w:id="45"/>
      <w:bookmarkEnd w:id="46"/>
    </w:p>
    <w:p>
      <w:pPr>
        <w:pStyle w:val="11"/>
        <w:tabs>
          <w:tab w:val="left" w:pos="0"/>
          <w:tab w:val="clear" w:pos="567"/>
        </w:tabs>
        <w:spacing w:line="360" w:lineRule="auto"/>
        <w:rPr>
          <w:rFonts w:asciiTheme="minorEastAsia" w:hAnsiTheme="minorEastAsia" w:eastAsiaTheme="minorEastAsia"/>
        </w:rPr>
      </w:pPr>
      <w:r>
        <w:rPr>
          <w:rFonts w:hint="eastAsia" w:asciiTheme="minorEastAsia" w:hAnsiTheme="minorEastAsia" w:eastAsiaTheme="minorEastAsia"/>
        </w:rPr>
        <w:t>6.1在投标截止期十五日前，采购代理机构可主动地或在解答投标人提出的澄清问题时对招标文件进行修改。</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6.2 招标文件的修改应以书面形式通知所有购买招标文件的投标人，并对招、投标双方具有约束力。投标人在收到上述通知后，应立即向采购代理机构回函确认。</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6.3为使投标人准备投标时有足够的时间对招标文件的修改部分进行应答，采购代理机构有权决定是否延长投标截止期。</w:t>
      </w:r>
    </w:p>
    <w:p>
      <w:pPr>
        <w:pStyle w:val="5"/>
        <w:spacing w:line="360" w:lineRule="auto"/>
        <w:ind w:left="899" w:hanging="899"/>
        <w:jc w:val="center"/>
        <w:rPr>
          <w:rFonts w:asciiTheme="minorEastAsia" w:hAnsiTheme="minorEastAsia" w:eastAsiaTheme="minorEastAsia"/>
          <w:sz w:val="24"/>
          <w:szCs w:val="24"/>
        </w:rPr>
      </w:pPr>
      <w:bookmarkStart w:id="47" w:name="_Toc516367020"/>
      <w:bookmarkStart w:id="48" w:name="_Toc366853865"/>
      <w:bookmarkStart w:id="49" w:name="_Toc520356150"/>
      <w:bookmarkStart w:id="50" w:name="_Toc310195701"/>
      <w:bookmarkStart w:id="51" w:name="_Toc529435023"/>
      <w:r>
        <w:rPr>
          <w:rFonts w:hint="eastAsia" w:asciiTheme="minorEastAsia" w:hAnsiTheme="minorEastAsia" w:eastAsiaTheme="minorEastAsia"/>
          <w:sz w:val="24"/>
          <w:szCs w:val="24"/>
        </w:rPr>
        <w:t>三投标文件</w:t>
      </w:r>
      <w:bookmarkEnd w:id="47"/>
      <w:r>
        <w:rPr>
          <w:rFonts w:hint="eastAsia" w:asciiTheme="minorEastAsia" w:hAnsiTheme="minorEastAsia" w:eastAsiaTheme="minorEastAsia"/>
          <w:sz w:val="24"/>
          <w:szCs w:val="24"/>
        </w:rPr>
        <w:t>的编制</w:t>
      </w:r>
      <w:bookmarkEnd w:id="48"/>
      <w:bookmarkEnd w:id="49"/>
      <w:bookmarkEnd w:id="50"/>
      <w:bookmarkEnd w:id="51"/>
    </w:p>
    <w:p>
      <w:pPr>
        <w:pStyle w:val="5"/>
        <w:tabs>
          <w:tab w:val="left" w:pos="900"/>
        </w:tabs>
        <w:spacing w:line="360" w:lineRule="auto"/>
        <w:ind w:left="899" w:hanging="899"/>
        <w:rPr>
          <w:rFonts w:asciiTheme="minorEastAsia" w:hAnsiTheme="minorEastAsia" w:eastAsiaTheme="minorEastAsia"/>
          <w:sz w:val="24"/>
          <w:szCs w:val="24"/>
        </w:rPr>
      </w:pPr>
      <w:bookmarkStart w:id="52" w:name="_Toc366853866"/>
      <w:bookmarkStart w:id="53" w:name="_Toc310195702"/>
      <w:bookmarkStart w:id="54" w:name="_Toc213818725"/>
      <w:bookmarkStart w:id="55" w:name="_Toc529435024"/>
      <w:bookmarkStart w:id="56" w:name="_Toc516367021"/>
      <w:bookmarkStart w:id="57" w:name="_Toc520356151"/>
      <w:r>
        <w:rPr>
          <w:rFonts w:hint="eastAsia" w:asciiTheme="minorEastAsia" w:hAnsiTheme="minorEastAsia" w:eastAsiaTheme="minorEastAsia"/>
          <w:sz w:val="24"/>
          <w:szCs w:val="24"/>
        </w:rPr>
        <w:t>7. 投标文件编制的原则</w:t>
      </w:r>
      <w:bookmarkEnd w:id="52"/>
      <w:bookmarkEnd w:id="53"/>
      <w:bookmarkEnd w:id="54"/>
      <w:bookmarkEnd w:id="55"/>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7.1潜在投标人应在认真阅读招标文件所有内容的基础上，按照招标文件的要求编制完整的投标文件。招标文件中对投标文件格式有要求的，应按格式逐项填写内容，不准有空项；无相应内容可填的项应填写“无”、“未测试”、“没有相应指标”等明确的文字回答。</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7.2 投标人必须保证投标文件所提供的全部资料真实可靠，并接受采购代理机构对其中任何资料做进一步审查的要求。</w:t>
      </w:r>
    </w:p>
    <w:p>
      <w:pPr>
        <w:pStyle w:val="5"/>
        <w:tabs>
          <w:tab w:val="left" w:pos="900"/>
        </w:tabs>
        <w:spacing w:before="120" w:line="360" w:lineRule="auto"/>
        <w:rPr>
          <w:rFonts w:asciiTheme="minorEastAsia" w:hAnsiTheme="minorEastAsia" w:eastAsiaTheme="minorEastAsia"/>
          <w:sz w:val="24"/>
          <w:szCs w:val="24"/>
        </w:rPr>
      </w:pPr>
      <w:bookmarkStart w:id="58" w:name="_Toc529435025"/>
      <w:bookmarkStart w:id="59" w:name="_Toc310195703"/>
      <w:bookmarkStart w:id="60" w:name="_Toc366853867"/>
      <w:r>
        <w:rPr>
          <w:rFonts w:hint="eastAsia" w:asciiTheme="minorEastAsia" w:hAnsiTheme="minorEastAsia" w:eastAsiaTheme="minorEastAsia"/>
          <w:sz w:val="24"/>
          <w:szCs w:val="24"/>
        </w:rPr>
        <w:t>8. 投标范围及投标文件中计量单位的使用</w:t>
      </w:r>
      <w:bookmarkEnd w:id="56"/>
      <w:bookmarkEnd w:id="57"/>
      <w:bookmarkEnd w:id="58"/>
      <w:bookmarkEnd w:id="59"/>
      <w:bookmarkEnd w:id="60"/>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8.1 投标人应对招标文件中“技术需求”所列的所有服务进行投标。不得将一包中的内容拆开投标，否则其投标作为无效标处理。</w:t>
      </w:r>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8.2 投标文件中所使用的计量单位，除招标文件中有特殊要求外，应采用中华人民共和国法定计量单位。</w:t>
      </w:r>
      <w:bookmarkStart w:id="61" w:name="_Ref467306195"/>
      <w:bookmarkStart w:id="62" w:name="_Toc516367022"/>
      <w:bookmarkStart w:id="63" w:name="_Ref467306676"/>
      <w:bookmarkStart w:id="64" w:name="_Toc520356152"/>
    </w:p>
    <w:p>
      <w:pPr>
        <w:pStyle w:val="5"/>
        <w:spacing w:before="120" w:line="360" w:lineRule="auto"/>
        <w:rPr>
          <w:rFonts w:asciiTheme="minorEastAsia" w:hAnsiTheme="minorEastAsia" w:eastAsiaTheme="minorEastAsia"/>
          <w:sz w:val="24"/>
          <w:szCs w:val="24"/>
        </w:rPr>
      </w:pPr>
      <w:bookmarkStart w:id="65" w:name="_Toc366853868"/>
      <w:bookmarkStart w:id="66" w:name="_Toc310195704"/>
      <w:bookmarkStart w:id="67" w:name="_Toc529435026"/>
      <w:r>
        <w:rPr>
          <w:rFonts w:hint="eastAsia" w:asciiTheme="minorEastAsia" w:hAnsiTheme="minorEastAsia" w:eastAsiaTheme="minorEastAsia"/>
          <w:sz w:val="24"/>
          <w:szCs w:val="24"/>
        </w:rPr>
        <w:t>9. 投标文件</w:t>
      </w:r>
      <w:bookmarkEnd w:id="61"/>
      <w:bookmarkEnd w:id="62"/>
      <w:bookmarkEnd w:id="63"/>
      <w:r>
        <w:rPr>
          <w:rFonts w:hint="eastAsia" w:asciiTheme="minorEastAsia" w:hAnsiTheme="minorEastAsia" w:eastAsiaTheme="minorEastAsia"/>
          <w:sz w:val="24"/>
          <w:szCs w:val="24"/>
        </w:rPr>
        <w:t>构成</w:t>
      </w:r>
      <w:bookmarkEnd w:id="64"/>
      <w:bookmarkEnd w:id="65"/>
      <w:bookmarkEnd w:id="66"/>
      <w:bookmarkEnd w:id="67"/>
    </w:p>
    <w:p>
      <w:pPr>
        <w:tabs>
          <w:tab w:val="left" w:pos="900"/>
        </w:tabs>
        <w:spacing w:line="360" w:lineRule="auto"/>
        <w:ind w:left="900" w:hanging="900"/>
        <w:rPr>
          <w:rFonts w:asciiTheme="minorEastAsia" w:hAnsiTheme="minorEastAsia" w:eastAsiaTheme="minorEastAsia"/>
          <w:sz w:val="24"/>
        </w:rPr>
      </w:pPr>
      <w:bookmarkStart w:id="68" w:name="_Ref467052588"/>
      <w:r>
        <w:rPr>
          <w:rFonts w:hint="eastAsia" w:asciiTheme="minorEastAsia" w:hAnsiTheme="minorEastAsia" w:eastAsiaTheme="minorEastAsia"/>
          <w:sz w:val="24"/>
        </w:rPr>
        <w:t>9.1投标人应完整地按招标文件提供的投标文件格式编写投标文件，投标文件应包括以</w:t>
      </w:r>
    </w:p>
    <w:p>
      <w:pPr>
        <w:tabs>
          <w:tab w:val="left" w:pos="900"/>
        </w:tabs>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下内容</w:t>
      </w:r>
      <w:bookmarkEnd w:id="68"/>
      <w:r>
        <w:rPr>
          <w:rFonts w:hint="eastAsia" w:asciiTheme="minorEastAsia" w:hAnsiTheme="minorEastAsia" w:eastAsiaTheme="minorEastAsia"/>
          <w:sz w:val="24"/>
        </w:rPr>
        <w:t>：</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1 投 标 函</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2 投标一览表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3 投标分项报价表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4货物说明一览表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5 技术规范偏离表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6 商务条款偏离表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7 资格证明文件</w:t>
      </w:r>
    </w:p>
    <w:p>
      <w:pPr>
        <w:tabs>
          <w:tab w:val="left" w:pos="5580"/>
        </w:tabs>
        <w:spacing w:line="360" w:lineRule="auto"/>
        <w:ind w:firstLine="720" w:firstLineChars="300"/>
        <w:jc w:val="left"/>
        <w:rPr>
          <w:rFonts w:asciiTheme="minorEastAsia" w:hAnsiTheme="minorEastAsia" w:eastAsiaTheme="minorEastAsia"/>
          <w:sz w:val="24"/>
        </w:rPr>
      </w:pPr>
      <w:r>
        <w:rPr>
          <w:rFonts w:asciiTheme="minorEastAsia" w:hAnsiTheme="minorEastAsia" w:eastAsiaTheme="minorEastAsia"/>
          <w:sz w:val="24"/>
        </w:rPr>
        <w:t>详</w:t>
      </w:r>
      <w:r>
        <w:rPr>
          <w:rFonts w:hint="eastAsia" w:asciiTheme="minorEastAsia" w:hAnsiTheme="minorEastAsia" w:eastAsiaTheme="minorEastAsia"/>
          <w:sz w:val="24"/>
        </w:rPr>
        <w:t>见投标须知资料表</w:t>
      </w:r>
      <w:r>
        <w:rPr>
          <w:rFonts w:asciiTheme="minorEastAsia" w:hAnsiTheme="minorEastAsia" w:eastAsiaTheme="minorEastAsia"/>
          <w:sz w:val="24"/>
        </w:rPr>
        <w:t>9_7-</w:t>
      </w:r>
      <w:r>
        <w:rPr>
          <w:rFonts w:hint="eastAsia" w:asciiTheme="minorEastAsia" w:hAnsiTheme="minorEastAsia" w:eastAsiaTheme="minorEastAsia"/>
          <w:sz w:val="24"/>
        </w:rPr>
        <w:t>1至</w:t>
      </w:r>
      <w:r>
        <w:rPr>
          <w:rFonts w:asciiTheme="minorEastAsia" w:hAnsiTheme="minorEastAsia" w:eastAsiaTheme="minorEastAsia"/>
          <w:sz w:val="24"/>
        </w:rPr>
        <w:t>9_7-9</w:t>
      </w:r>
    </w:p>
    <w:p>
      <w:pPr>
        <w:tabs>
          <w:tab w:val="left" w:pos="5580"/>
        </w:tabs>
        <w:spacing w:line="360" w:lineRule="auto"/>
        <w:ind w:firstLine="352" w:firstLineChars="147"/>
        <w:jc w:val="left"/>
        <w:rPr>
          <w:rFonts w:asciiTheme="minorEastAsia" w:hAnsiTheme="minorEastAsia" w:eastAsiaTheme="minorEastAsia"/>
          <w:sz w:val="24"/>
        </w:rPr>
      </w:pPr>
      <w:r>
        <w:rPr>
          <w:rFonts w:hint="eastAsia" w:asciiTheme="minorEastAsia" w:hAnsiTheme="minorEastAsia" w:eastAsiaTheme="minorEastAsia"/>
          <w:sz w:val="24"/>
        </w:rPr>
        <w:t>8 业绩案例一览表（须提供中标/成交通知书或合同或签收单复印件加盖公章)</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9 供应商基本情况表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10 拟用于本项目人员资格和经历情况（如适用）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11 技术方案</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12售后服务及培训计划</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13</w:t>
      </w:r>
      <w:r>
        <w:rPr>
          <w:rFonts w:asciiTheme="minorEastAsia" w:hAnsiTheme="minorEastAsia" w:eastAsiaTheme="minorEastAsia"/>
          <w:sz w:val="24"/>
        </w:rPr>
        <w:t xml:space="preserve"> </w:t>
      </w:r>
      <w:r>
        <w:rPr>
          <w:rFonts w:hint="eastAsia" w:asciiTheme="minorEastAsia" w:hAnsiTheme="minorEastAsia" w:eastAsiaTheme="minorEastAsia"/>
          <w:sz w:val="24"/>
        </w:rPr>
        <w:t>投标保证金（凭据复印件加盖公章）</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14 中标服务费承诺书</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15 履约保证金保函（如适用，中标后开具）</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16 政府采购信用担保投标担保函（如适用）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17 政府采购信用担保履约担保函格式（如适用）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18 投标人企业类型声明函（如适用）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19 残疾人福利性单位声明函（如适用）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9.2 除上述9.1条外，投标文件还应包括本须知第10条的所有文件。</w:t>
      </w:r>
    </w:p>
    <w:p>
      <w:pPr>
        <w:pStyle w:val="5"/>
        <w:tabs>
          <w:tab w:val="left" w:pos="900"/>
        </w:tabs>
        <w:spacing w:before="120" w:after="0" w:line="360" w:lineRule="auto"/>
        <w:ind w:left="899" w:hanging="899"/>
        <w:rPr>
          <w:rFonts w:asciiTheme="minorEastAsia" w:hAnsiTheme="minorEastAsia" w:eastAsiaTheme="minorEastAsia"/>
          <w:sz w:val="24"/>
          <w:szCs w:val="24"/>
        </w:rPr>
      </w:pPr>
      <w:bookmarkStart w:id="69" w:name="_Toc310195705"/>
      <w:bookmarkStart w:id="70" w:name="_Toc516367023"/>
      <w:bookmarkStart w:id="71" w:name="_Toc520356153"/>
      <w:bookmarkStart w:id="72" w:name="_Toc366853869"/>
      <w:bookmarkStart w:id="73" w:name="_Toc529435027"/>
      <w:r>
        <w:rPr>
          <w:rFonts w:hint="eastAsia" w:asciiTheme="minorEastAsia" w:hAnsiTheme="minorEastAsia" w:eastAsiaTheme="minorEastAsia"/>
          <w:sz w:val="24"/>
          <w:szCs w:val="24"/>
        </w:rPr>
        <w:t>10. 证明服务的合格性和符合招标文件规定的文件</w:t>
      </w:r>
      <w:bookmarkEnd w:id="69"/>
      <w:bookmarkEnd w:id="70"/>
      <w:bookmarkEnd w:id="71"/>
      <w:bookmarkEnd w:id="72"/>
      <w:bookmarkEnd w:id="7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10.1投标人应提交证明文件，证明其拟供的合同项下的货物及相关服务的合格性符合招标文件规定。该证明文件是投标文件的一部分。</w:t>
      </w:r>
    </w:p>
    <w:p>
      <w:pPr>
        <w:spacing w:line="360" w:lineRule="auto"/>
        <w:ind w:left="900" w:hanging="900"/>
        <w:rPr>
          <w:rFonts w:asciiTheme="minorEastAsia" w:hAnsiTheme="minorEastAsia" w:eastAsiaTheme="minorEastAsia"/>
          <w:sz w:val="24"/>
        </w:rPr>
      </w:pPr>
      <w:bookmarkStart w:id="74" w:name="_Ref467306244"/>
      <w:r>
        <w:rPr>
          <w:rFonts w:hint="eastAsia" w:asciiTheme="minorEastAsia" w:hAnsiTheme="minorEastAsia" w:eastAsiaTheme="minorEastAsia"/>
          <w:sz w:val="24"/>
        </w:rPr>
        <w:t>10.2 上款所述的证明文件，可以是文字资料、图纸和数据，</w:t>
      </w:r>
      <w:bookmarkEnd w:id="74"/>
      <w:r>
        <w:rPr>
          <w:rFonts w:hint="eastAsia" w:asciiTheme="minorEastAsia" w:hAnsiTheme="minorEastAsia" w:eastAsiaTheme="minorEastAsia"/>
          <w:sz w:val="24"/>
        </w:rPr>
        <w:t>它包括：</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10.2.1服务主要技术指标和性能的详细说明。</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10.2.2</w:t>
      </w:r>
      <w:r>
        <w:rPr>
          <w:rFonts w:hint="eastAsia" w:asciiTheme="minorEastAsia" w:hAnsiTheme="minorEastAsia" w:eastAsiaTheme="minorEastAsia"/>
          <w:sz w:val="24"/>
        </w:rPr>
        <w:tab/>
      </w:r>
      <w:r>
        <w:rPr>
          <w:rFonts w:hint="eastAsia" w:asciiTheme="minorEastAsia" w:hAnsiTheme="minorEastAsia" w:eastAsiaTheme="minorEastAsia"/>
          <w:sz w:val="24"/>
        </w:rPr>
        <w:t>服务从采购人开始使用至招标文件规定的质保期内正常、连续地使用所必须的备件和专用工具清单，包括备件和专用工具的货源及现行价格。</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10.2.3</w:t>
      </w:r>
      <w:r>
        <w:rPr>
          <w:rFonts w:hint="eastAsia" w:asciiTheme="minorEastAsia" w:hAnsiTheme="minorEastAsia" w:eastAsiaTheme="minorEastAsia"/>
          <w:sz w:val="24"/>
        </w:rPr>
        <w:tab/>
      </w:r>
      <w:r>
        <w:rPr>
          <w:rFonts w:hint="eastAsia" w:asciiTheme="minorEastAsia" w:hAnsiTheme="minorEastAsia" w:eastAsiaTheme="minorEastAsia"/>
          <w:sz w:val="24"/>
        </w:rPr>
        <w:t>对照招标文件技术规格，逐条说明所提供货物及相关服务已对招标文件的技术规格做出如实详细的应答，并申明与技术规格条文的偏差和例外。</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10.3 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w:t>
      </w:r>
    </w:p>
    <w:p>
      <w:pPr>
        <w:pStyle w:val="5"/>
        <w:tabs>
          <w:tab w:val="left" w:pos="900"/>
        </w:tabs>
        <w:spacing w:before="120" w:line="360" w:lineRule="auto"/>
        <w:rPr>
          <w:rFonts w:asciiTheme="minorEastAsia" w:hAnsiTheme="minorEastAsia" w:eastAsiaTheme="minorEastAsia"/>
          <w:sz w:val="24"/>
          <w:szCs w:val="24"/>
        </w:rPr>
      </w:pPr>
      <w:bookmarkStart w:id="75" w:name="_Toc310195706"/>
      <w:bookmarkStart w:id="76" w:name="_Toc366853870"/>
      <w:bookmarkStart w:id="77" w:name="_Toc520356155"/>
      <w:bookmarkStart w:id="78" w:name="_Toc529435028"/>
      <w:r>
        <w:rPr>
          <w:rFonts w:hint="eastAsia" w:asciiTheme="minorEastAsia" w:hAnsiTheme="minorEastAsia" w:eastAsiaTheme="minorEastAsia"/>
          <w:sz w:val="24"/>
          <w:szCs w:val="24"/>
        </w:rPr>
        <w:t>11. 投标报价</w:t>
      </w:r>
      <w:bookmarkEnd w:id="75"/>
      <w:bookmarkEnd w:id="76"/>
      <w:bookmarkEnd w:id="77"/>
      <w:bookmarkEnd w:id="78"/>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11.1所有投标均以人民币报价。投标人的投标报价应遵守《中华人民共和国价格法》。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11.2投标人应在“投标分项报价表”上标明投标货物及相关服务的单价和总价，并由法定代表人或其授权代表签署。</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11.3本次招标投标人只允许对本项目有一个总报价，任何选择性报价（或多个方案）的投标为无效标。</w:t>
      </w:r>
    </w:p>
    <w:p>
      <w:pPr>
        <w:tabs>
          <w:tab w:val="left" w:pos="900"/>
        </w:tabs>
        <w:spacing w:line="360" w:lineRule="auto"/>
        <w:ind w:left="900" w:hanging="900"/>
        <w:rPr>
          <w:rFonts w:asciiTheme="minorEastAsia" w:hAnsiTheme="minorEastAsia" w:eastAsiaTheme="minorEastAsia"/>
          <w:b/>
          <w:sz w:val="24"/>
        </w:rPr>
      </w:pPr>
      <w:r>
        <w:rPr>
          <w:rFonts w:hint="eastAsia" w:asciiTheme="minorEastAsia" w:hAnsiTheme="minorEastAsia" w:eastAsiaTheme="minorEastAsia"/>
          <w:b/>
          <w:sz w:val="24"/>
        </w:rPr>
        <w:t>11.4 投标报价中，如投标内容超出招标文件要求，该部分内容在评标时将不予以核减。</w:t>
      </w:r>
    </w:p>
    <w:p>
      <w:pPr>
        <w:tabs>
          <w:tab w:val="left" w:pos="900"/>
        </w:tabs>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11.5 最低报价不是授予合同的唯一保证。</w:t>
      </w:r>
    </w:p>
    <w:p>
      <w:pPr>
        <w:pStyle w:val="5"/>
        <w:spacing w:before="0" w:after="0" w:line="360" w:lineRule="auto"/>
        <w:rPr>
          <w:rFonts w:asciiTheme="minorEastAsia" w:hAnsiTheme="minorEastAsia" w:eastAsiaTheme="minorEastAsia"/>
          <w:sz w:val="24"/>
          <w:szCs w:val="24"/>
        </w:rPr>
      </w:pPr>
      <w:bookmarkStart w:id="79" w:name="_Toc529435029"/>
      <w:bookmarkStart w:id="80" w:name="_Toc366853871"/>
      <w:bookmarkStart w:id="81" w:name="_Toc310195707"/>
      <w:bookmarkStart w:id="82" w:name="_Ref467306513"/>
      <w:bookmarkStart w:id="83" w:name="_Toc520356156"/>
      <w:r>
        <w:rPr>
          <w:rFonts w:hint="eastAsia" w:asciiTheme="minorEastAsia" w:hAnsiTheme="minorEastAsia" w:eastAsiaTheme="minorEastAsia"/>
          <w:sz w:val="24"/>
          <w:szCs w:val="24"/>
        </w:rPr>
        <w:t>12. 投标保证金</w:t>
      </w:r>
      <w:bookmarkEnd w:id="79"/>
      <w:bookmarkEnd w:id="80"/>
      <w:bookmarkEnd w:id="81"/>
      <w:bookmarkEnd w:id="82"/>
      <w:bookmarkEnd w:id="83"/>
    </w:p>
    <w:p>
      <w:pPr>
        <w:spacing w:line="360" w:lineRule="auto"/>
        <w:ind w:left="898" w:hanging="898"/>
        <w:rPr>
          <w:rFonts w:asciiTheme="minorEastAsia" w:hAnsiTheme="minorEastAsia" w:eastAsiaTheme="minorEastAsia"/>
          <w:sz w:val="24"/>
        </w:rPr>
      </w:pPr>
      <w:bookmarkStart w:id="84" w:name="_Ref467306302"/>
      <w:r>
        <w:rPr>
          <w:rFonts w:hint="eastAsia" w:asciiTheme="minorEastAsia" w:hAnsiTheme="minorEastAsia" w:eastAsiaTheme="minorEastAsia"/>
          <w:sz w:val="24"/>
        </w:rPr>
        <w:t>12.1 投标人应提供投标保证金</w:t>
      </w:r>
      <w:bookmarkEnd w:id="84"/>
      <w:r>
        <w:rPr>
          <w:rFonts w:hint="eastAsia" w:asciiTheme="minorEastAsia" w:hAnsiTheme="minorEastAsia" w:eastAsiaTheme="minorEastAsia"/>
          <w:sz w:val="24"/>
        </w:rPr>
        <w:t>，作为其有效投标的一部分。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12.2 投标保证金是为了保护采购人和采购代理机构免遭因投标人的行为蒙受损失而要求的。</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下列任何情况发生，投标保证金将不予返还：</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（1）在开标之日后到投标有效期满前，投标人因自身原因撤回投标的；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（2）投标人以他人名义投标、相互串通投标或者以其他方式弄虚作假的，投标人提交的投标文件中提交虚假资料或失实资料的；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（3）中标人不按本须知第27条的规定与采购人签订合同的；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（4）中标人不按本须知第28条的规定提交履约保证金的；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（5）中标人领取中标通知书时未按第29条的规定缴纳中标服务费的。</w:t>
      </w:r>
    </w:p>
    <w:p>
      <w:pPr>
        <w:spacing w:line="360" w:lineRule="auto"/>
        <w:rPr>
          <w:rFonts w:asciiTheme="minorEastAsia" w:hAnsiTheme="minorEastAsia" w:eastAsiaTheme="minorEastAsia"/>
          <w:sz w:val="24"/>
        </w:rPr>
      </w:pPr>
      <w:bookmarkStart w:id="85" w:name="_Ref467306336"/>
      <w:r>
        <w:rPr>
          <w:rFonts w:hint="eastAsia" w:asciiTheme="minorEastAsia" w:hAnsiTheme="minorEastAsia" w:eastAsiaTheme="minorEastAsia"/>
          <w:sz w:val="24"/>
        </w:rPr>
        <w:t>12.3 投标保证金必须采用下列形式之一：</w:t>
      </w:r>
      <w:bookmarkEnd w:id="8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支票（北京地区）、政府采购投标担保函（投标担保函应为北京市政府采购信用担保试点工作专业担保机构出具）、电汇（采用电汇必须保证在投标文件递交截止时间前汇到采购代理机构账户。以采购代理机构银行通知确认到账为准；如至投标文件递交截止时间仍未得到采购代理机构的银行确认，将被视为投标人未提供保证金）。</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12.4 凡没有根据本须知12.1和第12.3条的规定随附投标保证金的投标，将被拒绝。</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12.5 中标人的投标保证金，在与买方签订合同后五个工作日内退还（中标人凭收据和采购合同领取投标保证金）。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12.6未中标的投标人的投标保证金将于中标通知书发出后五个工作日内退还投标人（投标人凭收据领取投标保证金）。</w:t>
      </w:r>
    </w:p>
    <w:p>
      <w:pPr>
        <w:pStyle w:val="5"/>
        <w:spacing w:before="240" w:after="0" w:line="360" w:lineRule="auto"/>
        <w:ind w:left="899" w:hanging="899"/>
        <w:rPr>
          <w:rFonts w:asciiTheme="minorEastAsia" w:hAnsiTheme="minorEastAsia" w:eastAsiaTheme="minorEastAsia"/>
          <w:sz w:val="24"/>
          <w:szCs w:val="24"/>
        </w:rPr>
      </w:pPr>
      <w:bookmarkStart w:id="86" w:name="_Toc529435030"/>
      <w:bookmarkStart w:id="87" w:name="_Toc520356157"/>
      <w:bookmarkStart w:id="88" w:name="_Toc366853872"/>
      <w:bookmarkStart w:id="89" w:name="_Toc310195708"/>
      <w:r>
        <w:rPr>
          <w:rFonts w:hint="eastAsia" w:asciiTheme="minorEastAsia" w:hAnsiTheme="minorEastAsia" w:eastAsiaTheme="minorEastAsia"/>
          <w:sz w:val="24"/>
          <w:szCs w:val="24"/>
        </w:rPr>
        <w:t>13. 投标有效期</w:t>
      </w:r>
      <w:bookmarkEnd w:id="86"/>
      <w:bookmarkEnd w:id="87"/>
      <w:bookmarkEnd w:id="88"/>
      <w:bookmarkEnd w:id="8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13.1 投标应在规定的开标日后的</w:t>
      </w:r>
      <w:r>
        <w:rPr>
          <w:rFonts w:hint="eastAsia" w:asciiTheme="minorEastAsia" w:hAnsiTheme="minorEastAsia" w:eastAsiaTheme="minorEastAsia"/>
          <w:sz w:val="24"/>
          <w:u w:val="single"/>
        </w:rPr>
        <w:t xml:space="preserve"> 90</w:t>
      </w:r>
      <w:r>
        <w:rPr>
          <w:rFonts w:hint="eastAsia" w:asciiTheme="minorEastAsia" w:hAnsiTheme="minorEastAsia" w:eastAsiaTheme="minorEastAsia"/>
          <w:sz w:val="24"/>
        </w:rPr>
        <w:t>天内保持有效，投标有效期不满足要求的投标，将按无效标处理。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 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pStyle w:val="5"/>
        <w:spacing w:before="240" w:after="0" w:line="360" w:lineRule="auto"/>
        <w:ind w:left="899" w:hanging="899"/>
        <w:rPr>
          <w:rFonts w:asciiTheme="minorEastAsia" w:hAnsiTheme="minorEastAsia" w:eastAsiaTheme="minorEastAsia"/>
          <w:sz w:val="24"/>
          <w:szCs w:val="24"/>
        </w:rPr>
      </w:pPr>
      <w:bookmarkStart w:id="90" w:name="_Toc520356158"/>
      <w:bookmarkStart w:id="91" w:name="_Toc529435031"/>
      <w:bookmarkStart w:id="92" w:name="_Toc366853873"/>
      <w:bookmarkStart w:id="93" w:name="_Toc310195709"/>
      <w:r>
        <w:rPr>
          <w:rFonts w:hint="eastAsia" w:asciiTheme="minorEastAsia" w:hAnsiTheme="minorEastAsia" w:eastAsiaTheme="minorEastAsia"/>
          <w:sz w:val="24"/>
          <w:szCs w:val="24"/>
        </w:rPr>
        <w:t>14. 投标文件的签署</w:t>
      </w:r>
      <w:bookmarkEnd w:id="90"/>
      <w:r>
        <w:rPr>
          <w:rFonts w:hint="eastAsia" w:asciiTheme="minorEastAsia" w:hAnsiTheme="minorEastAsia" w:eastAsiaTheme="minorEastAsia"/>
          <w:sz w:val="24"/>
          <w:szCs w:val="24"/>
        </w:rPr>
        <w:t>与规定</w:t>
      </w:r>
      <w:bookmarkEnd w:id="91"/>
      <w:bookmarkEnd w:id="92"/>
      <w:bookmarkEnd w:id="9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14.1投标人应按招标文件投标须知资料表的规定准备投标文件正本和副本，每份投标文件须清楚地标明“正本”或“副本”。若正本和副本不符，以正本为准。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14.2投标文件的正本需打印或用不退色墨水书写，并由投标人的法定代表人或经其正式授权的代表在投标文件上签字并加盖单位印章。授权代表须持有书面的“法定代表人授权书”（标准格式附后），并将其附在投标文件中。</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14.3 任何对投标文件行间插字、涂改和增删，必须由投标文件签字人签字或盖章后才有效。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14.4 投标文件因字迹潦草或表达不清所引起的后果由投标人负责。</w:t>
      </w:r>
    </w:p>
    <w:p>
      <w:pPr>
        <w:spacing w:line="360" w:lineRule="auto"/>
        <w:ind w:left="900" w:hanging="900" w:hangingChars="375"/>
        <w:rPr>
          <w:rFonts w:asciiTheme="minorEastAsia" w:hAnsiTheme="minorEastAsia" w:eastAsiaTheme="minorEastAsia"/>
          <w:sz w:val="24"/>
        </w:rPr>
      </w:pPr>
      <w:r>
        <w:rPr>
          <w:rFonts w:hint="eastAsia" w:asciiTheme="minorEastAsia" w:hAnsiTheme="minorEastAsia" w:eastAsiaTheme="minorEastAsia"/>
          <w:sz w:val="24"/>
        </w:rPr>
        <w:t>14.5 投标文件无法人签字，或无被授权代表签字，其投标为无效标。</w:t>
      </w:r>
    </w:p>
    <w:p>
      <w:pPr>
        <w:pStyle w:val="5"/>
        <w:spacing w:line="360" w:lineRule="auto"/>
        <w:ind w:left="899" w:hanging="899"/>
        <w:jc w:val="center"/>
        <w:rPr>
          <w:rFonts w:asciiTheme="minorEastAsia" w:hAnsiTheme="minorEastAsia" w:eastAsiaTheme="minorEastAsia"/>
          <w:sz w:val="24"/>
          <w:szCs w:val="24"/>
        </w:rPr>
      </w:pPr>
      <w:bookmarkStart w:id="94" w:name="_Toc366853874"/>
      <w:bookmarkStart w:id="95" w:name="_Toc310195710"/>
      <w:bookmarkStart w:id="96" w:name="_Toc520356159"/>
      <w:bookmarkStart w:id="97" w:name="_Toc529435032"/>
      <w:r>
        <w:rPr>
          <w:rFonts w:hint="eastAsia" w:asciiTheme="minorEastAsia" w:hAnsiTheme="minorEastAsia" w:eastAsiaTheme="minorEastAsia"/>
          <w:sz w:val="24"/>
          <w:szCs w:val="24"/>
        </w:rPr>
        <w:t>四投标文件的递交</w:t>
      </w:r>
      <w:bookmarkEnd w:id="94"/>
      <w:bookmarkEnd w:id="95"/>
      <w:bookmarkEnd w:id="96"/>
      <w:bookmarkEnd w:id="97"/>
    </w:p>
    <w:p>
      <w:pPr>
        <w:pStyle w:val="5"/>
        <w:spacing w:line="360" w:lineRule="auto"/>
        <w:ind w:left="899" w:hanging="899"/>
        <w:rPr>
          <w:rFonts w:asciiTheme="minorEastAsia" w:hAnsiTheme="minorEastAsia" w:eastAsiaTheme="minorEastAsia"/>
          <w:sz w:val="24"/>
          <w:szCs w:val="24"/>
        </w:rPr>
      </w:pPr>
      <w:bookmarkStart w:id="98" w:name="_Toc310195711"/>
      <w:bookmarkStart w:id="99" w:name="_Toc366853875"/>
      <w:bookmarkStart w:id="100" w:name="_Toc529435033"/>
      <w:r>
        <w:rPr>
          <w:rFonts w:hint="eastAsia" w:asciiTheme="minorEastAsia" w:hAnsiTheme="minorEastAsia" w:eastAsiaTheme="minorEastAsia"/>
          <w:sz w:val="24"/>
          <w:szCs w:val="24"/>
        </w:rPr>
        <w:t>15. 投标文件的装订及递交</w:t>
      </w:r>
      <w:bookmarkEnd w:id="98"/>
      <w:bookmarkEnd w:id="99"/>
      <w:bookmarkEnd w:id="100"/>
    </w:p>
    <w:p>
      <w:pPr>
        <w:tabs>
          <w:tab w:val="left" w:pos="900"/>
        </w:tabs>
        <w:spacing w:line="360" w:lineRule="auto"/>
        <w:ind w:firstLine="14" w:firstLineChars="6"/>
        <w:rPr>
          <w:rFonts w:asciiTheme="minorEastAsia" w:hAnsiTheme="minorEastAsia" w:eastAsiaTheme="minorEastAsia"/>
          <w:b/>
          <w:sz w:val="24"/>
        </w:rPr>
      </w:pPr>
      <w:bookmarkStart w:id="101" w:name="_Toc520356161"/>
      <w:r>
        <w:rPr>
          <w:rFonts w:hint="eastAsia" w:asciiTheme="minorEastAsia" w:hAnsiTheme="minorEastAsia" w:eastAsiaTheme="minorEastAsia"/>
          <w:b/>
          <w:sz w:val="24"/>
        </w:rPr>
        <w:t>15.1 投标文件的装订要求，正文部分一律采用A4纸（图纸、彩页等除外），左侧装订。装订应牢固可靠，不易散落，不得采用活页式装订。招标人对因装订不牢造成的文件散失不负责任。投标文件需打印或用不退色墨水书写，并由投标人的法定代表人或经其正式授权的代表在投标文件上签字并加盖单位印章(标书中所要求盖章处均为本单位公章，其他印章如投标专用章、业务专用章、合同专用章等均无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15.2 投标人应将“开标一览表”、 “投标文件正本”、“投标文件副本”、“投标文件电子版”“样品（如有）”分开单独密封，并在信封上分别注明 “开标一览表”、 “投标文件正本”、“投标文件副本”、“投标文件电子版”“样品（如有）”字样，在投标时单独递交。同时提供“法人代表授权书复印件（加盖公章）”及“授权代表身份证复印件（加盖公章）”。</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15.3所有信封上均应：</w:t>
      </w:r>
    </w:p>
    <w:p>
      <w:pPr>
        <w:pStyle w:val="20"/>
        <w:tabs>
          <w:tab w:val="left" w:pos="630"/>
          <w:tab w:val="left" w:pos="1365"/>
        </w:tabs>
        <w:spacing w:line="360" w:lineRule="auto"/>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1）清楚标明递交至招标公告或投标邀请书中指明的地址。</w:t>
      </w:r>
    </w:p>
    <w:p>
      <w:pPr>
        <w:pStyle w:val="20"/>
        <w:tabs>
          <w:tab w:val="left" w:pos="1365"/>
        </w:tabs>
        <w:spacing w:line="360" w:lineRule="auto"/>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2）注明招标的项目名称、项目编号和“在</w:t>
      </w:r>
      <w:r>
        <w:rPr>
          <w:rFonts w:hint="eastAsia" w:asciiTheme="minorEastAsia" w:hAnsiTheme="minorEastAsia" w:eastAsiaTheme="minorEastAsia"/>
          <w:i/>
          <w:sz w:val="24"/>
          <w:szCs w:val="24"/>
          <w:u w:val="single"/>
        </w:rPr>
        <w:t>（开标时间）</w:t>
      </w:r>
      <w:r>
        <w:rPr>
          <w:rFonts w:hint="eastAsia" w:asciiTheme="minorEastAsia" w:hAnsiTheme="minorEastAsia" w:eastAsiaTheme="minorEastAsia"/>
          <w:b/>
          <w:sz w:val="24"/>
          <w:szCs w:val="24"/>
        </w:rPr>
        <w:t>之前不得启封”的字样。</w:t>
      </w:r>
    </w:p>
    <w:p>
      <w:pPr>
        <w:pStyle w:val="20"/>
        <w:tabs>
          <w:tab w:val="left" w:pos="1365"/>
        </w:tabs>
        <w:spacing w:line="360" w:lineRule="auto"/>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3）投标人提供投标文件的密封粘贴处应加盖公章或被授权代表签字，以便确认密封情况，不符合要求的投标将被拒绝。</w:t>
      </w:r>
    </w:p>
    <w:p>
      <w:pPr>
        <w:pStyle w:val="11"/>
        <w:tabs>
          <w:tab w:val="clear" w:pos="567"/>
        </w:tabs>
        <w:spacing w:before="0" w:line="360" w:lineRule="auto"/>
        <w:rPr>
          <w:rFonts w:asciiTheme="minorEastAsia" w:hAnsiTheme="minorEastAsia" w:eastAsiaTheme="minorEastAsia"/>
        </w:rPr>
      </w:pPr>
      <w:r>
        <w:rPr>
          <w:rFonts w:hint="eastAsia" w:asciiTheme="minorEastAsia" w:hAnsiTheme="minorEastAsia" w:eastAsiaTheme="minorEastAsia"/>
        </w:rPr>
        <w:t>15.4 所有信封上还应写明投标人名称和地址，以便采购代理机构在投标截止时间以后收到的投标文件，能原封退回。如果投标人未按上述要求加写标记的，采购代理机构对投标文件的误投概不负责。</w:t>
      </w:r>
    </w:p>
    <w:p>
      <w:pPr>
        <w:pStyle w:val="5"/>
        <w:spacing w:before="240" w:after="0" w:line="360" w:lineRule="auto"/>
        <w:ind w:left="899" w:hanging="899"/>
        <w:rPr>
          <w:rFonts w:asciiTheme="minorEastAsia" w:hAnsiTheme="minorEastAsia" w:eastAsiaTheme="minorEastAsia"/>
          <w:sz w:val="24"/>
          <w:szCs w:val="24"/>
        </w:rPr>
      </w:pPr>
      <w:bookmarkStart w:id="102" w:name="_Toc310195712"/>
      <w:bookmarkStart w:id="103" w:name="_Toc366853876"/>
      <w:bookmarkStart w:id="104" w:name="_Toc529435034"/>
      <w:r>
        <w:rPr>
          <w:rFonts w:hint="eastAsia" w:asciiTheme="minorEastAsia" w:hAnsiTheme="minorEastAsia" w:eastAsiaTheme="minorEastAsia"/>
          <w:sz w:val="24"/>
          <w:szCs w:val="24"/>
        </w:rPr>
        <w:t>16. 投标截止期</w:t>
      </w:r>
      <w:bookmarkEnd w:id="101"/>
      <w:bookmarkEnd w:id="102"/>
      <w:bookmarkEnd w:id="103"/>
      <w:bookmarkEnd w:id="10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16.1投标人应在招标公告或投标邀请书中规定的截止时间前，将投标文件按招标公告或投标邀请书中规定的地址递交。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16.2采购代理机构有权按本须知的规定，通过修改招标文件延长投标截止期。在此情况下，采购代理机构和投标人受投标截止期制约的所有权利和义务均应延长至新的截止期。</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16.3采购代理机构将拒绝并原封退回在本须知规定的投标截止期后收到的任何投标文件。</w:t>
      </w:r>
    </w:p>
    <w:p>
      <w:pPr>
        <w:pStyle w:val="5"/>
        <w:spacing w:before="240" w:after="0" w:line="360" w:lineRule="auto"/>
        <w:ind w:left="899" w:hanging="899"/>
        <w:rPr>
          <w:rFonts w:asciiTheme="minorEastAsia" w:hAnsiTheme="minorEastAsia" w:eastAsiaTheme="minorEastAsia"/>
          <w:sz w:val="24"/>
          <w:szCs w:val="24"/>
        </w:rPr>
      </w:pPr>
      <w:bookmarkStart w:id="105" w:name="_Toc520356162"/>
      <w:bookmarkStart w:id="106" w:name="_Toc310195713"/>
      <w:bookmarkStart w:id="107" w:name="_Toc366853877"/>
      <w:bookmarkStart w:id="108" w:name="_Toc529435035"/>
      <w:r>
        <w:rPr>
          <w:rFonts w:hint="eastAsia" w:asciiTheme="minorEastAsia" w:hAnsiTheme="minorEastAsia" w:eastAsiaTheme="minorEastAsia"/>
          <w:sz w:val="24"/>
          <w:szCs w:val="24"/>
        </w:rPr>
        <w:t>17. 投标文件的修改与撤回</w:t>
      </w:r>
      <w:bookmarkEnd w:id="105"/>
      <w:bookmarkEnd w:id="106"/>
      <w:bookmarkEnd w:id="107"/>
      <w:bookmarkEnd w:id="108"/>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17.1投标以后，如果投标人提出书面修改或撤标要求，在投标截止时间前送达采购代理机构者，采购代理机构将予以接受。</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17.2投标人对投标文件的修改或撤回通知应按本须知规定进行编制、密封、标记和递交。</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17.3在投标截止期之后，投标人不得对其投标做任何修改。</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17.4在投标截止期之后，投标人不得撤回其投标（包括全部投标资料），否则其投标保证金将按照本须知的第12条规定不予退回。</w:t>
      </w:r>
    </w:p>
    <w:p>
      <w:pPr>
        <w:spacing w:line="360" w:lineRule="auto"/>
        <w:rPr>
          <w:rFonts w:asciiTheme="minorEastAsia" w:hAnsiTheme="minorEastAsia" w:eastAsiaTheme="minorEastAsia"/>
          <w:sz w:val="24"/>
        </w:rPr>
      </w:pPr>
    </w:p>
    <w:p>
      <w:pPr>
        <w:pStyle w:val="5"/>
        <w:spacing w:before="0" w:after="0" w:line="360" w:lineRule="auto"/>
        <w:ind w:left="899" w:hanging="899"/>
        <w:jc w:val="center"/>
        <w:rPr>
          <w:rFonts w:asciiTheme="minorEastAsia" w:hAnsiTheme="minorEastAsia" w:eastAsiaTheme="minorEastAsia"/>
          <w:sz w:val="24"/>
          <w:szCs w:val="24"/>
        </w:rPr>
      </w:pPr>
      <w:bookmarkStart w:id="109" w:name="_Toc366853878"/>
      <w:bookmarkStart w:id="110" w:name="_Toc310195714"/>
      <w:bookmarkStart w:id="111" w:name="_Toc529435036"/>
      <w:bookmarkStart w:id="112" w:name="_Toc520356163"/>
      <w:r>
        <w:rPr>
          <w:rFonts w:hint="eastAsia" w:asciiTheme="minorEastAsia" w:hAnsiTheme="minorEastAsia" w:eastAsiaTheme="minorEastAsia"/>
          <w:sz w:val="24"/>
          <w:szCs w:val="24"/>
        </w:rPr>
        <w:t>五开标及评标</w:t>
      </w:r>
      <w:bookmarkEnd w:id="109"/>
      <w:bookmarkEnd w:id="110"/>
      <w:bookmarkEnd w:id="111"/>
      <w:bookmarkEnd w:id="112"/>
    </w:p>
    <w:p>
      <w:pPr>
        <w:pStyle w:val="5"/>
        <w:spacing w:before="0" w:after="0" w:line="360" w:lineRule="auto"/>
        <w:ind w:left="899" w:hanging="899"/>
        <w:rPr>
          <w:rFonts w:asciiTheme="minorEastAsia" w:hAnsiTheme="minorEastAsia" w:eastAsiaTheme="minorEastAsia"/>
          <w:sz w:val="24"/>
          <w:szCs w:val="24"/>
        </w:rPr>
      </w:pPr>
      <w:bookmarkStart w:id="113" w:name="_Toc520356164"/>
      <w:bookmarkStart w:id="114" w:name="_Toc310195715"/>
      <w:bookmarkStart w:id="115" w:name="_Toc529435037"/>
      <w:bookmarkStart w:id="116" w:name="_Toc366853879"/>
      <w:r>
        <w:rPr>
          <w:rFonts w:hint="eastAsia" w:asciiTheme="minorEastAsia" w:hAnsiTheme="minorEastAsia" w:eastAsiaTheme="minorEastAsia"/>
          <w:sz w:val="24"/>
          <w:szCs w:val="24"/>
        </w:rPr>
        <w:t>18. 开标</w:t>
      </w:r>
      <w:bookmarkEnd w:id="113"/>
      <w:bookmarkEnd w:id="114"/>
      <w:bookmarkEnd w:id="115"/>
      <w:bookmarkEnd w:id="116"/>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18.1 采购代理机构应当按招标公告或投标邀请书的规定，在投标截止时间的同一时间和预先确定的地点组织公开开标。所有投标人应派被授权人参加。参加开标的代表应签名报到以证明其出席。</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18.2 开标时，由公证员或监标人或投标人代表检查投标文件的密封情况。</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18.3 开标时，采购代理机构当众宣读开标一览表中全部内容。对于投标人在投标截止期前递交的投标声明，在开标时当众宣读，评标时有效。未宣读的投标价格、价格折扣等实质内容，评标时不予承认。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18.4 采购代理机构将对唱标内容做开标记录</w:t>
      </w:r>
      <w:bookmarkStart w:id="117" w:name="_Toc520356165"/>
      <w:r>
        <w:rPr>
          <w:rFonts w:hint="eastAsia" w:asciiTheme="minorEastAsia" w:hAnsiTheme="minorEastAsia" w:eastAsiaTheme="minorEastAsia"/>
          <w:sz w:val="24"/>
        </w:rPr>
        <w:t>，由公证员和/或监标人、采购代理机构、投标人代表签字确认。</w:t>
      </w:r>
    </w:p>
    <w:bookmarkEnd w:id="117"/>
    <w:p>
      <w:pPr>
        <w:pStyle w:val="5"/>
        <w:spacing w:before="0" w:after="0" w:line="360" w:lineRule="auto"/>
        <w:ind w:left="899" w:hanging="899"/>
        <w:rPr>
          <w:rFonts w:asciiTheme="minorEastAsia" w:hAnsiTheme="minorEastAsia" w:eastAsiaTheme="minorEastAsia"/>
          <w:sz w:val="24"/>
          <w:szCs w:val="24"/>
        </w:rPr>
      </w:pPr>
      <w:bookmarkStart w:id="118" w:name="_Toc529435038"/>
      <w:bookmarkStart w:id="119" w:name="_Toc366853880"/>
      <w:bookmarkStart w:id="120" w:name="_Toc310195716"/>
      <w:r>
        <w:rPr>
          <w:rFonts w:hint="eastAsia" w:asciiTheme="minorEastAsia" w:hAnsiTheme="minorEastAsia" w:eastAsiaTheme="minorEastAsia"/>
          <w:sz w:val="24"/>
          <w:szCs w:val="24"/>
        </w:rPr>
        <w:t>19. 评标委员会和评标方法</w:t>
      </w:r>
      <w:bookmarkEnd w:id="118"/>
      <w:bookmarkEnd w:id="119"/>
      <w:bookmarkEnd w:id="120"/>
    </w:p>
    <w:p>
      <w:pPr>
        <w:pStyle w:val="4"/>
        <w:spacing w:line="360" w:lineRule="auto"/>
        <w:ind w:firstLine="0"/>
        <w:rPr>
          <w:rFonts w:asciiTheme="minorEastAsia" w:hAnsiTheme="minorEastAsia" w:eastAsiaTheme="minorEastAsia"/>
          <w:szCs w:val="24"/>
        </w:rPr>
      </w:pPr>
      <w:r>
        <w:rPr>
          <w:rFonts w:hint="eastAsia" w:asciiTheme="minorEastAsia" w:hAnsiTheme="minorEastAsia" w:eastAsiaTheme="minorEastAsia"/>
          <w:szCs w:val="24"/>
        </w:rPr>
        <w:t>19.1 评标由依照有关法律法规组建的评标委员会负责。评标方法和标准在本招标文件第四章中规定。评标委员会对投标文件的评审，分为符合性检查、资格性检查、商务评议、技术评议、综合评议。</w:t>
      </w:r>
    </w:p>
    <w:p>
      <w:pPr>
        <w:pStyle w:val="5"/>
        <w:spacing w:before="0" w:after="0" w:line="360" w:lineRule="auto"/>
        <w:ind w:left="899" w:hanging="899"/>
        <w:rPr>
          <w:rFonts w:asciiTheme="minorEastAsia" w:hAnsiTheme="minorEastAsia" w:eastAsiaTheme="minorEastAsia"/>
          <w:sz w:val="24"/>
          <w:szCs w:val="24"/>
        </w:rPr>
      </w:pPr>
      <w:bookmarkStart w:id="121" w:name="_Toc520356166"/>
      <w:bookmarkStart w:id="122" w:name="_Toc310195717"/>
      <w:bookmarkStart w:id="123" w:name="_Toc366853881"/>
      <w:bookmarkStart w:id="124" w:name="_Toc529435039"/>
      <w:r>
        <w:rPr>
          <w:rFonts w:hint="eastAsia" w:asciiTheme="minorEastAsia" w:hAnsiTheme="minorEastAsia" w:eastAsiaTheme="minorEastAsia"/>
          <w:sz w:val="24"/>
          <w:szCs w:val="24"/>
        </w:rPr>
        <w:t>20. 投标文件的</w:t>
      </w:r>
      <w:bookmarkEnd w:id="121"/>
      <w:r>
        <w:rPr>
          <w:rFonts w:hint="eastAsia" w:asciiTheme="minorEastAsia" w:hAnsiTheme="minorEastAsia" w:eastAsiaTheme="minorEastAsia"/>
          <w:sz w:val="24"/>
          <w:szCs w:val="24"/>
        </w:rPr>
        <w:t>初审</w:t>
      </w:r>
      <w:bookmarkEnd w:id="122"/>
      <w:bookmarkEnd w:id="123"/>
      <w:bookmarkEnd w:id="12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20.1符合性审查。评标委员会将审查投标文件有效性、完整性和对招标文件的响应程度，以确定是否对招标文件的实质性要求做出响应。</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20.2 资格性审查。依据法律法规和招标文件的规定，对投标文件中的资格证明、投标保证金等进行审查，以确定投标人是否具备投标资格。</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20.3评标时算术错误将按以下方法更正：投标文件的大写金额和小写金额不一致时，以大写金额为准；总价金额与按单价汇总金额不一致的，以单价金额计算结果为准；单价金额小数点有明显错位的，应以总价为准，并修改单价；对不同文字文本投标文件解释发生异议的，以中文文本为准。若用文字表示的数值与数字表示的数值不一致，以文字表示的数值为准；但在开标时唱出并经投标人签字确认的投标总价保持不变，不得以任何理由和方式调整。如果投标人不接受对其错误的更改，其投标将被拒绝。</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20.4 在详细评标之前，评标委员会要审查每份投标文件是否实质上响应了招标文件的要求。实质上响应的投标应该是投标文件完整的、与招标文件要求的全部条款、条件和规格相符的，没有重大偏离的投标。对关键条文例如关于投标保证金、投标有效期、资格证明文件、适用法律、社会保障资金等内容的偏离、保留和反对将被认为是实质上的偏离。评标委员会决定投标的响应性只根据投标文件本身的内容，而不寻求外部的证据。</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20.5</w:t>
      </w:r>
      <w:r>
        <w:rPr>
          <w:rFonts w:asciiTheme="minorEastAsia" w:hAnsiTheme="minorEastAsia" w:eastAsiaTheme="minorEastAsia"/>
          <w:sz w:val="24"/>
        </w:rPr>
        <w:t>对于投标文件中不构成实质性偏差的不正规、不一致或不规则，评标委员会可以接受，但这种接受不能损坏或影响任何投标人的相对排序。</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20.6 在招标采购中，出现下列情形之一的，应予废标：</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1）符合专业条件的投标人或者对招标文件实质响应的投标人不足三家的；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2）出现影响采购公正的违法、违规行为的；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3）投标人的报价均超过了采购预算，采购人不能支付的；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4）因重大变故，采购任务取消的。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20.7 投标文件属下列情况之一的，应当在资格性、符合性检查时按照无效投标处理：</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1）应交未交或未按规定递交投标保证金的；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2）未按照招标文件规定要求密封、签署、盖章的；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3）不具备招标文件中规定资格要求的；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4）不符合法律、法规和招标文件中规定的其他实质性要求的：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①“技术规格及要求”中星号“*”指标的；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 xml:space="preserve">② 投标总价超出采购预算，采购人无能力支付的； </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 xml:space="preserve">③ 投标有效期不足的； </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④ 投标人有违法违纪行为，或在过去三年中有重大的质量、信誉等问题；</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⑤ 投标文件中提供虚假或失实资料的；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⑥ 在未经财政部门批准采购进口产品前提下，投标人所投产品中含有进口产品的；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⑦ 为本次招标标的进行设计、编制规范和其他文件的咨询公司；</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⑧ 若投标人须知资料表中写明专门面向中小企业采购的，投标人所投产品为非中小企业产品（如适用）。</w:t>
      </w:r>
    </w:p>
    <w:p>
      <w:pPr>
        <w:pStyle w:val="5"/>
        <w:spacing w:before="240" w:line="360" w:lineRule="auto"/>
        <w:ind w:left="899" w:hanging="899"/>
        <w:rPr>
          <w:rFonts w:asciiTheme="minorEastAsia" w:hAnsiTheme="minorEastAsia" w:eastAsiaTheme="minorEastAsia"/>
          <w:sz w:val="24"/>
          <w:szCs w:val="24"/>
        </w:rPr>
      </w:pPr>
      <w:bookmarkStart w:id="125" w:name="_Toc529435040"/>
      <w:bookmarkStart w:id="126" w:name="_Toc310195718"/>
      <w:bookmarkStart w:id="127" w:name="_Toc366853882"/>
      <w:bookmarkStart w:id="128" w:name="_Toc520356167"/>
      <w:r>
        <w:rPr>
          <w:rFonts w:hint="eastAsia" w:asciiTheme="minorEastAsia" w:hAnsiTheme="minorEastAsia" w:eastAsiaTheme="minorEastAsia"/>
          <w:sz w:val="24"/>
          <w:szCs w:val="24"/>
        </w:rPr>
        <w:t>21. 投标文件的澄清</w:t>
      </w:r>
      <w:bookmarkEnd w:id="125"/>
      <w:bookmarkEnd w:id="126"/>
      <w:bookmarkEnd w:id="127"/>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21.1 在评标期间，评标委员会有权以书面方式要求投标人对其投标文件中含义不明确、对同类问题表述不一致或者有明显文字和计算错误的内容作必要的澄清。澄清应在评标委员会规定的时间内以书面方式进行，并不得超出投标文件范围或者改变投标文件的实质性内容。</w:t>
      </w:r>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21.2 澄清文件将作为投标文件内容的一部分。</w:t>
      </w:r>
    </w:p>
    <w:bookmarkEnd w:id="128"/>
    <w:p>
      <w:pPr>
        <w:pStyle w:val="5"/>
        <w:spacing w:line="360" w:lineRule="auto"/>
        <w:ind w:left="899" w:hanging="899"/>
        <w:rPr>
          <w:rFonts w:asciiTheme="minorEastAsia" w:hAnsiTheme="minorEastAsia" w:eastAsiaTheme="minorEastAsia"/>
          <w:sz w:val="24"/>
          <w:szCs w:val="24"/>
        </w:rPr>
      </w:pPr>
      <w:bookmarkStart w:id="129" w:name="_Toc529435041"/>
      <w:bookmarkStart w:id="130" w:name="_Toc310195719"/>
      <w:bookmarkStart w:id="131" w:name="_Toc366853883"/>
      <w:r>
        <w:rPr>
          <w:rFonts w:hint="eastAsia" w:asciiTheme="minorEastAsia" w:hAnsiTheme="minorEastAsia" w:eastAsiaTheme="minorEastAsia"/>
          <w:sz w:val="24"/>
          <w:szCs w:val="24"/>
        </w:rPr>
        <w:t>22. 评标</w:t>
      </w:r>
      <w:bookmarkEnd w:id="129"/>
      <w:bookmarkEnd w:id="130"/>
      <w:bookmarkEnd w:id="13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22.1经初审合格的投标文件，评标委员会将根据招标文件确定的评标方法和标准，对其技术部分和商务部分作进一步的评审和比较。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22.2 评标严格按照招标文件的要求和条件进行。同时考虑以下因素：</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（1）环保标志产品、节能产品（须附证明材料）；</w:t>
      </w:r>
      <w:r>
        <w:rPr>
          <w:rFonts w:asciiTheme="minorEastAsia" w:hAnsiTheme="minorEastAsia" w:eastAsiaTheme="minorEastAsia"/>
          <w:b/>
          <w:sz w:val="24"/>
        </w:rPr>
        <w:t>如采购人所采购产品为政府强制采购的节能产品，投标人所投产品的品牌及型号必须为清单中有效期内产品并提供证明文件</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（2）财政部门核准的进口产品。优先采购向我国企业转让技术、提供培训服务及其他补偿贸易措施、与我国企业签订消化吸收再创新方案。（须附证明材料）</w:t>
      </w:r>
    </w:p>
    <w:p>
      <w:pPr>
        <w:pStyle w:val="20"/>
        <w:tabs>
          <w:tab w:val="left" w:pos="90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22.3 综合评分法：</w:t>
      </w:r>
    </w:p>
    <w:p>
      <w:pPr>
        <w:pStyle w:val="20"/>
        <w:spacing w:line="360" w:lineRule="auto"/>
        <w:ind w:firstLine="480" w:firstLineChars="200"/>
        <w:rPr>
          <w:rFonts w:asciiTheme="minorEastAsia" w:hAnsiTheme="minorEastAsia" w:eastAsiaTheme="minorEastAsia"/>
          <w:sz w:val="24"/>
          <w:szCs w:val="24"/>
        </w:rPr>
      </w:pPr>
      <w:bookmarkStart w:id="132" w:name="_Toc520356168"/>
      <w:bookmarkStart w:id="133" w:name="_Toc310195720"/>
      <w:r>
        <w:rPr>
          <w:rFonts w:asciiTheme="minorEastAsia" w:hAnsiTheme="minorEastAsia" w:eastAsiaTheme="minorEastAsia"/>
          <w:sz w:val="24"/>
          <w:szCs w:val="24"/>
        </w:rPr>
        <w:t>综合评分法，是指在最大限度地满足招标文件实质性要求前提下，按照招标文件中规定的各项因素(如投标价格、质量、信誉、服务、业绩、样品等)进行综合评审。评标委员会每位成员分别对投标人按相应的加权分值进行评价、打分。</w:t>
      </w:r>
    </w:p>
    <w:p>
      <w:pPr>
        <w:spacing w:line="360" w:lineRule="auto"/>
        <w:rPr>
          <w:rFonts w:asciiTheme="minorEastAsia" w:hAnsiTheme="minorEastAsia" w:eastAsiaTheme="minorEastAsia"/>
          <w:sz w:val="24"/>
        </w:rPr>
      </w:pPr>
      <w:r>
        <w:rPr>
          <w:rFonts w:asciiTheme="minorEastAsia" w:hAnsiTheme="minorEastAsia" w:eastAsiaTheme="minorEastAsia"/>
          <w:sz w:val="24"/>
        </w:rPr>
        <w:t>22.4评标时，评标委员会各成员应当独立对每个有效投标人的投标文件进行评价、打分，然后汇总每个投标人每项评分因素的得分。</w:t>
      </w:r>
    </w:p>
    <w:p>
      <w:pPr>
        <w:spacing w:line="360" w:lineRule="auto"/>
        <w:rPr>
          <w:rFonts w:asciiTheme="minorEastAsia" w:hAnsiTheme="minorEastAsia" w:eastAsiaTheme="minorEastAsia"/>
          <w:sz w:val="24"/>
        </w:rPr>
      </w:pPr>
      <w:r>
        <w:rPr>
          <w:rFonts w:asciiTheme="minorEastAsia" w:hAnsiTheme="minorEastAsia" w:eastAsiaTheme="minorEastAsia"/>
          <w:sz w:val="24"/>
        </w:rPr>
        <w:t>22.5根据《政府采购促进中小企业发展暂行办法》（财库[2011]181号）的规定，对满足价格扣除条件且在投标文件中提交了《投标人企业类型声明函》的投标人，其投标报价扣除6-10%后参与评审。</w:t>
      </w:r>
      <w:r>
        <w:rPr>
          <w:rFonts w:hint="eastAsia" w:asciiTheme="minorEastAsia" w:hAnsiTheme="minorEastAsia" w:eastAsiaTheme="minorEastAsia"/>
          <w:sz w:val="24"/>
        </w:rPr>
        <w:t>具体办法详见招标文件第九章（如适用）。</w:t>
      </w:r>
    </w:p>
    <w:p>
      <w:pPr>
        <w:pStyle w:val="5"/>
        <w:spacing w:before="0" w:after="0" w:line="360" w:lineRule="auto"/>
        <w:rPr>
          <w:rFonts w:asciiTheme="minorEastAsia" w:hAnsiTheme="minorEastAsia" w:eastAsiaTheme="minorEastAsia"/>
          <w:sz w:val="24"/>
          <w:szCs w:val="24"/>
        </w:rPr>
      </w:pPr>
      <w:bookmarkStart w:id="134" w:name="_Toc529435042"/>
      <w:bookmarkStart w:id="135" w:name="_Toc366853884"/>
      <w:r>
        <w:rPr>
          <w:rFonts w:hint="eastAsia" w:asciiTheme="minorEastAsia" w:hAnsiTheme="minorEastAsia" w:eastAsiaTheme="minorEastAsia"/>
          <w:sz w:val="24"/>
          <w:szCs w:val="24"/>
        </w:rPr>
        <w:t>2</w:t>
      </w:r>
      <w:bookmarkEnd w:id="132"/>
      <w:r>
        <w:rPr>
          <w:rFonts w:hint="eastAsia" w:asciiTheme="minorEastAsia" w:hAnsiTheme="minorEastAsia" w:eastAsiaTheme="minorEastAsia"/>
          <w:sz w:val="24"/>
          <w:szCs w:val="24"/>
        </w:rPr>
        <w:t>3. 评标过程及保密原则</w:t>
      </w:r>
      <w:bookmarkEnd w:id="133"/>
      <w:bookmarkEnd w:id="134"/>
      <w:bookmarkEnd w:id="13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23.1开标之后，直到授予中标人合同止，凡与本次招标有关人员对属于审查、澄清、评价和比较投标的有关资料以及授标意向等，均不得向</w:t>
      </w:r>
      <w:r>
        <w:rPr>
          <w:rFonts w:asciiTheme="minorEastAsia" w:hAnsiTheme="minorEastAsia" w:eastAsiaTheme="minorEastAsia"/>
          <w:sz w:val="24"/>
        </w:rPr>
        <w:t>投标人</w:t>
      </w:r>
      <w:r>
        <w:rPr>
          <w:rFonts w:hint="eastAsia" w:asciiTheme="minorEastAsia" w:hAnsiTheme="minorEastAsia" w:eastAsiaTheme="minorEastAsia"/>
          <w:sz w:val="24"/>
        </w:rPr>
        <w:t>或其他无关的人员透露。</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23.2在评标期间，投标人试图影响采购人、采购代理机构和评标委员会的任何活动，将导致其投标无效，并承担相应的法律责任。</w:t>
      </w:r>
      <w:bookmarkStart w:id="136" w:name="_Toc520356169"/>
    </w:p>
    <w:p>
      <w:pPr>
        <w:pStyle w:val="5"/>
        <w:spacing w:line="360" w:lineRule="auto"/>
        <w:ind w:left="899" w:hanging="899"/>
        <w:jc w:val="center"/>
        <w:rPr>
          <w:rFonts w:asciiTheme="minorEastAsia" w:hAnsiTheme="minorEastAsia" w:eastAsiaTheme="minorEastAsia"/>
          <w:sz w:val="24"/>
          <w:szCs w:val="24"/>
        </w:rPr>
      </w:pPr>
      <w:bookmarkStart w:id="137" w:name="_Toc310195721"/>
      <w:bookmarkStart w:id="138" w:name="_Toc529435043"/>
      <w:bookmarkStart w:id="139" w:name="_Toc366853885"/>
      <w:r>
        <w:rPr>
          <w:rFonts w:hint="eastAsia" w:asciiTheme="minorEastAsia" w:hAnsiTheme="minorEastAsia" w:eastAsiaTheme="minorEastAsia"/>
          <w:sz w:val="24"/>
          <w:szCs w:val="24"/>
        </w:rPr>
        <w:t>六</w:t>
      </w:r>
      <w:bookmarkEnd w:id="136"/>
      <w:r>
        <w:rPr>
          <w:rFonts w:hint="eastAsia" w:asciiTheme="minorEastAsia" w:hAnsiTheme="minorEastAsia" w:eastAsiaTheme="minorEastAsia"/>
          <w:sz w:val="24"/>
          <w:szCs w:val="24"/>
        </w:rPr>
        <w:t>确定中标</w:t>
      </w:r>
      <w:bookmarkEnd w:id="137"/>
      <w:bookmarkEnd w:id="138"/>
      <w:bookmarkEnd w:id="139"/>
    </w:p>
    <w:p>
      <w:pPr>
        <w:pStyle w:val="5"/>
        <w:spacing w:line="360" w:lineRule="auto"/>
        <w:rPr>
          <w:rFonts w:asciiTheme="minorEastAsia" w:hAnsiTheme="minorEastAsia" w:eastAsiaTheme="minorEastAsia"/>
          <w:sz w:val="24"/>
          <w:szCs w:val="24"/>
        </w:rPr>
      </w:pPr>
      <w:bookmarkStart w:id="140" w:name="_Toc529435044"/>
      <w:bookmarkStart w:id="141" w:name="_Ref467307010"/>
      <w:bookmarkStart w:id="142" w:name="_Toc366853886"/>
      <w:bookmarkStart w:id="143" w:name="_Toc310195722"/>
      <w:bookmarkStart w:id="144" w:name="_Toc520356170"/>
      <w:r>
        <w:rPr>
          <w:rFonts w:hint="eastAsia" w:asciiTheme="minorEastAsia" w:hAnsiTheme="minorEastAsia" w:eastAsiaTheme="minorEastAsia"/>
          <w:sz w:val="24"/>
          <w:szCs w:val="24"/>
        </w:rPr>
        <w:t>24. 中标人的确定标准</w:t>
      </w:r>
      <w:bookmarkEnd w:id="140"/>
      <w:bookmarkEnd w:id="141"/>
      <w:bookmarkEnd w:id="142"/>
      <w:bookmarkEnd w:id="143"/>
      <w:bookmarkEnd w:id="14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24.1除第22条规定外，评标委员会应采用综合评分法，在符合招标文件要求的投标文件中，根据价格、技术性能、质量、服务业绩等因素在评标总分中所占比例，由评委分别进行打分，按各</w:t>
      </w:r>
      <w:r>
        <w:rPr>
          <w:rFonts w:asciiTheme="minorEastAsia" w:hAnsiTheme="minorEastAsia" w:eastAsiaTheme="minorEastAsia"/>
          <w:sz w:val="24"/>
        </w:rPr>
        <w:t>投标人</w:t>
      </w:r>
      <w:r>
        <w:rPr>
          <w:rFonts w:hint="eastAsia" w:asciiTheme="minorEastAsia" w:hAnsiTheme="minorEastAsia" w:eastAsiaTheme="minorEastAsia"/>
          <w:sz w:val="24"/>
        </w:rPr>
        <w:t>汇总得分进行排序，以评标总得分最高的投标人作为中标候选人或者中标人。得分相同的，按投标报价由低到高顺序排列，得分与投标报价均相同的，按技术指标优劣排列。</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24.2</w:t>
      </w:r>
      <w:r>
        <w:rPr>
          <w:rFonts w:asciiTheme="minorEastAsia" w:hAnsiTheme="minorEastAsia" w:eastAsiaTheme="minorEastAsia"/>
          <w:sz w:val="24"/>
        </w:rPr>
        <w:t>评标委员会将根据评标标准，推荐中标候选人，或根据采购人的委托，直接确定中标人。</w:t>
      </w:r>
    </w:p>
    <w:p>
      <w:pPr>
        <w:pStyle w:val="5"/>
        <w:spacing w:before="240" w:after="0" w:line="360" w:lineRule="auto"/>
        <w:ind w:left="-899" w:firstLine="898"/>
        <w:rPr>
          <w:rFonts w:asciiTheme="minorEastAsia" w:hAnsiTheme="minorEastAsia" w:eastAsiaTheme="minorEastAsia"/>
          <w:sz w:val="24"/>
          <w:szCs w:val="24"/>
        </w:rPr>
      </w:pPr>
      <w:bookmarkStart w:id="145" w:name="_Toc310195723"/>
      <w:bookmarkStart w:id="146" w:name="_Toc520356173"/>
      <w:bookmarkStart w:id="147" w:name="_Ref467306874"/>
      <w:bookmarkStart w:id="148" w:name="_Toc529435045"/>
      <w:bookmarkStart w:id="149" w:name="_Toc366853887"/>
      <w:r>
        <w:rPr>
          <w:rFonts w:hint="eastAsia" w:asciiTheme="minorEastAsia" w:hAnsiTheme="minorEastAsia" w:eastAsiaTheme="minorEastAsia"/>
          <w:sz w:val="24"/>
          <w:szCs w:val="24"/>
        </w:rPr>
        <w:t>25. 接受和拒绝任何或所有投标的权利</w:t>
      </w:r>
      <w:bookmarkEnd w:id="145"/>
      <w:bookmarkEnd w:id="146"/>
      <w:bookmarkEnd w:id="147"/>
      <w:bookmarkEnd w:id="148"/>
      <w:bookmarkEnd w:id="14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25.1为维护国家和社会公共利益，采购人和采购代理机构保留在授标之前任何时候接受或拒绝任何投标的权利，且对受影响的</w:t>
      </w:r>
      <w:r>
        <w:rPr>
          <w:rFonts w:asciiTheme="minorEastAsia" w:hAnsiTheme="minorEastAsia" w:eastAsiaTheme="minorEastAsia"/>
          <w:sz w:val="24"/>
        </w:rPr>
        <w:t>投标人</w:t>
      </w:r>
      <w:r>
        <w:rPr>
          <w:rFonts w:hint="eastAsia" w:asciiTheme="minorEastAsia" w:hAnsiTheme="minorEastAsia" w:eastAsiaTheme="minorEastAsia"/>
          <w:sz w:val="24"/>
        </w:rPr>
        <w:t>不承担任何责任。</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25.2</w:t>
      </w:r>
      <w:r>
        <w:rPr>
          <w:rFonts w:asciiTheme="minorEastAsia" w:hAnsiTheme="minorEastAsia" w:eastAsiaTheme="minorEastAsia"/>
          <w:sz w:val="24"/>
        </w:rPr>
        <w:t>因不可抗力或中标人自身原因不能履约等情形，采购人保留与其他候选人签订合同的权利。</w:t>
      </w:r>
    </w:p>
    <w:p>
      <w:pPr>
        <w:pStyle w:val="5"/>
        <w:spacing w:before="240" w:after="0" w:line="360" w:lineRule="auto"/>
        <w:rPr>
          <w:rFonts w:asciiTheme="minorEastAsia" w:hAnsiTheme="minorEastAsia" w:eastAsiaTheme="minorEastAsia"/>
          <w:sz w:val="24"/>
          <w:szCs w:val="24"/>
        </w:rPr>
      </w:pPr>
      <w:bookmarkStart w:id="150" w:name="_Toc310195724"/>
      <w:bookmarkStart w:id="151" w:name="_Toc366853888"/>
      <w:bookmarkStart w:id="152" w:name="_Toc529435046"/>
      <w:bookmarkStart w:id="153" w:name="_Toc520356174"/>
      <w:r>
        <w:rPr>
          <w:rFonts w:hint="eastAsia" w:asciiTheme="minorEastAsia" w:hAnsiTheme="minorEastAsia" w:eastAsiaTheme="minorEastAsia"/>
          <w:sz w:val="24"/>
          <w:szCs w:val="24"/>
        </w:rPr>
        <w:t>26. 中标通知书</w:t>
      </w:r>
      <w:bookmarkEnd w:id="150"/>
      <w:bookmarkEnd w:id="151"/>
      <w:bookmarkEnd w:id="152"/>
      <w:bookmarkEnd w:id="15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26.1中标确定后，中标结果在财政部门指定的政府采购信息发布媒体上公告，同时以书面形式向中标人发出中标通知书，中标通知书对采购人和中标人具有同等法律效力。</w:t>
      </w:r>
    </w:p>
    <w:p>
      <w:pPr>
        <w:spacing w:line="360" w:lineRule="auto"/>
        <w:ind w:hanging="2"/>
        <w:rPr>
          <w:rFonts w:asciiTheme="minorEastAsia" w:hAnsiTheme="minorEastAsia" w:eastAsiaTheme="minorEastAsia"/>
          <w:sz w:val="24"/>
        </w:rPr>
      </w:pPr>
      <w:r>
        <w:rPr>
          <w:rFonts w:hint="eastAsia" w:asciiTheme="minorEastAsia" w:hAnsiTheme="minorEastAsia" w:eastAsiaTheme="minorEastAsia"/>
          <w:sz w:val="24"/>
        </w:rPr>
        <w:t xml:space="preserve">26.2 </w:t>
      </w:r>
      <w:r>
        <w:rPr>
          <w:rFonts w:asciiTheme="minorEastAsia" w:hAnsiTheme="minorEastAsia" w:eastAsiaTheme="minorEastAsia"/>
          <w:sz w:val="24"/>
        </w:rPr>
        <w:t>投标人</w:t>
      </w:r>
      <w:r>
        <w:rPr>
          <w:rFonts w:hint="eastAsia" w:asciiTheme="minorEastAsia" w:hAnsiTheme="minorEastAsia" w:eastAsiaTheme="minorEastAsia"/>
          <w:sz w:val="24"/>
        </w:rPr>
        <w:t>可通过相关发布媒体查询评标结果。投标人可以在公示期内对评标结果以书面形式提出质疑，但需对质疑内容的真实性承担责任，并提交相应的证明材料。公示期外提出的质疑，采购代理机构将不予以受理。</w:t>
      </w:r>
    </w:p>
    <w:p>
      <w:pPr>
        <w:spacing w:line="360" w:lineRule="auto"/>
        <w:ind w:left="898" w:hanging="900"/>
        <w:rPr>
          <w:rFonts w:asciiTheme="minorEastAsia" w:hAnsiTheme="minorEastAsia" w:eastAsiaTheme="minorEastAsia"/>
          <w:sz w:val="24"/>
        </w:rPr>
      </w:pPr>
      <w:r>
        <w:rPr>
          <w:rFonts w:hint="eastAsia" w:asciiTheme="minorEastAsia" w:hAnsiTheme="minorEastAsia" w:eastAsiaTheme="minorEastAsia"/>
          <w:sz w:val="24"/>
        </w:rPr>
        <w:t>26.3 中标通知书是合同的组成部分。</w:t>
      </w:r>
    </w:p>
    <w:p>
      <w:pPr>
        <w:pStyle w:val="5"/>
        <w:spacing w:before="240" w:after="0" w:line="360" w:lineRule="auto"/>
        <w:ind w:left="899" w:hanging="899"/>
        <w:rPr>
          <w:rFonts w:asciiTheme="minorEastAsia" w:hAnsiTheme="minorEastAsia" w:eastAsiaTheme="minorEastAsia"/>
          <w:sz w:val="24"/>
          <w:szCs w:val="24"/>
        </w:rPr>
      </w:pPr>
      <w:bookmarkStart w:id="154" w:name="_Toc529435047"/>
      <w:bookmarkStart w:id="155" w:name="_Toc366853889"/>
      <w:bookmarkStart w:id="156" w:name="_Ref467307204"/>
      <w:bookmarkStart w:id="157" w:name="_Ref467307062"/>
      <w:bookmarkStart w:id="158" w:name="_Ref467306978"/>
      <w:bookmarkStart w:id="159" w:name="_Ref467306377"/>
      <w:bookmarkStart w:id="160" w:name="_Toc520356175"/>
      <w:bookmarkStart w:id="161" w:name="_Toc310195725"/>
      <w:r>
        <w:rPr>
          <w:rFonts w:hint="eastAsia" w:asciiTheme="minorEastAsia" w:hAnsiTheme="minorEastAsia" w:eastAsiaTheme="minorEastAsia"/>
          <w:sz w:val="24"/>
          <w:szCs w:val="24"/>
        </w:rPr>
        <w:t>27. 签订合同</w:t>
      </w:r>
      <w:bookmarkEnd w:id="154"/>
      <w:bookmarkEnd w:id="155"/>
      <w:bookmarkEnd w:id="156"/>
      <w:bookmarkEnd w:id="157"/>
      <w:bookmarkEnd w:id="158"/>
      <w:bookmarkEnd w:id="159"/>
      <w:bookmarkEnd w:id="160"/>
      <w:bookmarkEnd w:id="16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27.1中标人应当自中标通知书发出之日起三十日内与采购人签订合同。</w:t>
      </w:r>
      <w:r>
        <w:rPr>
          <w:rFonts w:asciiTheme="minorEastAsia" w:hAnsiTheme="minorEastAsia" w:eastAsiaTheme="minorEastAsia"/>
          <w:sz w:val="24"/>
        </w:rPr>
        <w:t>如果中标人无正当理由不与采购人签订合同，</w:t>
      </w:r>
      <w:r>
        <w:rPr>
          <w:rFonts w:hint="eastAsia" w:asciiTheme="minorEastAsia" w:hAnsiTheme="minorEastAsia" w:eastAsiaTheme="minorEastAsia"/>
          <w:sz w:val="24"/>
        </w:rPr>
        <w:t>则</w:t>
      </w:r>
      <w:r>
        <w:rPr>
          <w:rFonts w:asciiTheme="minorEastAsia" w:hAnsiTheme="minorEastAsia" w:eastAsiaTheme="minorEastAsia"/>
          <w:sz w:val="24"/>
        </w:rPr>
        <w:t>其投标保证金</w:t>
      </w:r>
      <w:r>
        <w:rPr>
          <w:rFonts w:hint="eastAsia" w:asciiTheme="minorEastAsia" w:hAnsiTheme="minorEastAsia" w:eastAsiaTheme="minorEastAsia"/>
          <w:sz w:val="24"/>
        </w:rPr>
        <w:t>将被</w:t>
      </w:r>
      <w:r>
        <w:rPr>
          <w:rFonts w:asciiTheme="minorEastAsia" w:hAnsiTheme="minorEastAsia" w:eastAsiaTheme="minorEastAsia"/>
          <w:sz w:val="24"/>
        </w:rPr>
        <w:t>没收。在此情况下，可另选下一个中标候选人，或重新招标。</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27.2</w:t>
      </w:r>
      <w:bookmarkStart w:id="162" w:name="_Ref467307090"/>
      <w:bookmarkStart w:id="163" w:name="_Toc520356176"/>
      <w:bookmarkStart w:id="164" w:name="_Ref467306425"/>
      <w:r>
        <w:rPr>
          <w:rFonts w:hint="eastAsia" w:asciiTheme="minorEastAsia" w:hAnsiTheme="minorEastAsia" w:eastAsiaTheme="minorEastAsia"/>
          <w:sz w:val="24"/>
        </w:rPr>
        <w:t>招标文件、中标人的投标文件及其澄清文件等，均为签订合同的依据。</w:t>
      </w:r>
    </w:p>
    <w:bookmarkEnd w:id="162"/>
    <w:bookmarkEnd w:id="163"/>
    <w:bookmarkEnd w:id="164"/>
    <w:p>
      <w:pPr>
        <w:pStyle w:val="5"/>
        <w:spacing w:before="240" w:after="0" w:line="360" w:lineRule="auto"/>
        <w:rPr>
          <w:rFonts w:asciiTheme="minorEastAsia" w:hAnsiTheme="minorEastAsia" w:eastAsiaTheme="minorEastAsia"/>
          <w:sz w:val="24"/>
          <w:szCs w:val="24"/>
        </w:rPr>
      </w:pPr>
      <w:bookmarkStart w:id="165" w:name="_Toc366853890"/>
      <w:bookmarkStart w:id="166" w:name="_Toc310195726"/>
      <w:bookmarkStart w:id="167" w:name="_Toc529435048"/>
      <w:r>
        <w:rPr>
          <w:rFonts w:hint="eastAsia" w:asciiTheme="minorEastAsia" w:hAnsiTheme="minorEastAsia" w:eastAsiaTheme="minorEastAsia"/>
          <w:sz w:val="24"/>
          <w:szCs w:val="24"/>
        </w:rPr>
        <w:t>28. 履约保证金</w:t>
      </w:r>
      <w:bookmarkEnd w:id="165"/>
      <w:bookmarkEnd w:id="166"/>
      <w:bookmarkEnd w:id="167"/>
    </w:p>
    <w:p>
      <w:pPr>
        <w:spacing w:line="360" w:lineRule="auto"/>
        <w:rPr>
          <w:rFonts w:asciiTheme="minorEastAsia" w:hAnsiTheme="minorEastAsia" w:eastAsiaTheme="minorEastAsia"/>
          <w:sz w:val="24"/>
        </w:rPr>
      </w:pPr>
      <w:bookmarkStart w:id="168" w:name="_Toc310195727"/>
      <w:bookmarkStart w:id="169" w:name="_Toc323750773"/>
      <w:bookmarkStart w:id="170" w:name="_Ref467307288"/>
      <w:r>
        <w:rPr>
          <w:rFonts w:hint="eastAsia" w:asciiTheme="minorEastAsia" w:hAnsiTheme="minorEastAsia" w:eastAsiaTheme="minorEastAsia"/>
          <w:sz w:val="24"/>
        </w:rPr>
        <w:t>28.1中标人在签订合同后7个工作日内，按招标文件中提供的履约保证金保函格式或采购人可以接受的其他形式向采购人提交合同总金额 5% 的履约保证金。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28.1.1 履约保证金用于补偿采购人因中标人不能履行其合同义务而蒙受的损失。</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28.1.2 履约保证金应使用本合同货币，按下述方式之一提交：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A．银行保函：采购人可接受的在中华人民共和国注册和营业的银行，或其他采购人可接受的格式。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B. 支票、汇票或现金。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C．政府采购履约担保函：保函应为北京市政府采购信用担保试点工作专业担保机构出具。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28.1.3 履约保证金在项目验收合格一年内均应完全有效。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28.1.4 如果中标人未能按合同规定履行其义务，采购人有权从履约保证金中取得补偿。</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28.2 如果中标人没有按照上述第27条或28.1条的规定执行，采购人和采购代理机构将取消该中标决定，该中标人的投标保证金不予返还，同时将结果报政府采购监督管理部门备案。采购人和采购代理机构可将中标结果授予下一个中标人，或重新招标。</w:t>
      </w:r>
    </w:p>
    <w:p>
      <w:pPr>
        <w:pStyle w:val="5"/>
        <w:spacing w:before="240" w:after="0" w:line="360" w:lineRule="auto"/>
        <w:ind w:left="899" w:hanging="899"/>
        <w:jc w:val="center"/>
        <w:rPr>
          <w:rFonts w:asciiTheme="minorEastAsia" w:hAnsiTheme="minorEastAsia" w:eastAsiaTheme="minorEastAsia"/>
          <w:sz w:val="24"/>
          <w:szCs w:val="24"/>
        </w:rPr>
      </w:pPr>
      <w:bookmarkStart w:id="171" w:name="_Toc366853891"/>
      <w:bookmarkStart w:id="172" w:name="_Toc529435049"/>
      <w:r>
        <w:rPr>
          <w:rFonts w:hint="eastAsia" w:asciiTheme="minorEastAsia" w:hAnsiTheme="minorEastAsia" w:eastAsiaTheme="minorEastAsia"/>
          <w:sz w:val="24"/>
          <w:szCs w:val="24"/>
        </w:rPr>
        <w:t>七中标服务费</w:t>
      </w:r>
      <w:bookmarkEnd w:id="168"/>
      <w:bookmarkEnd w:id="169"/>
      <w:bookmarkEnd w:id="171"/>
      <w:bookmarkEnd w:id="172"/>
    </w:p>
    <w:p>
      <w:pPr>
        <w:pStyle w:val="5"/>
        <w:spacing w:line="360" w:lineRule="auto"/>
        <w:rPr>
          <w:rFonts w:asciiTheme="minorEastAsia" w:hAnsiTheme="minorEastAsia" w:eastAsiaTheme="minorEastAsia"/>
          <w:sz w:val="24"/>
          <w:szCs w:val="24"/>
        </w:rPr>
      </w:pPr>
      <w:bookmarkStart w:id="173" w:name="_Toc520424503"/>
      <w:bookmarkStart w:id="174" w:name="_Toc520647612"/>
      <w:bookmarkStart w:id="175" w:name="_Toc310195728"/>
      <w:bookmarkStart w:id="176" w:name="_Ref467306463"/>
      <w:bookmarkStart w:id="177" w:name="_Toc366853892"/>
      <w:bookmarkStart w:id="178" w:name="_Toc323750774"/>
      <w:bookmarkStart w:id="179" w:name="_Toc518803444"/>
      <w:bookmarkStart w:id="180" w:name="_Toc529435050"/>
      <w:r>
        <w:rPr>
          <w:rFonts w:asciiTheme="minorEastAsia" w:hAnsiTheme="minorEastAsia" w:eastAsiaTheme="minorEastAsia"/>
          <w:sz w:val="24"/>
          <w:szCs w:val="24"/>
        </w:rPr>
        <w:t>29. 中标服务费</w:t>
      </w:r>
      <w:bookmarkEnd w:id="173"/>
      <w:bookmarkEnd w:id="174"/>
      <w:bookmarkEnd w:id="175"/>
      <w:bookmarkEnd w:id="176"/>
      <w:bookmarkEnd w:id="177"/>
      <w:bookmarkEnd w:id="178"/>
      <w:bookmarkEnd w:id="179"/>
      <w:bookmarkEnd w:id="180"/>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29.1</w:t>
      </w:r>
      <w:bookmarkEnd w:id="170"/>
      <w:r>
        <w:rPr>
          <w:rFonts w:hint="eastAsia" w:asciiTheme="minorEastAsia" w:hAnsiTheme="minorEastAsia" w:eastAsiaTheme="minorEastAsia"/>
          <w:sz w:val="24"/>
        </w:rPr>
        <w:t>采购代理机构参照原计价格[2002]1980号文、</w:t>
      </w:r>
      <w:r>
        <w:rPr>
          <w:rFonts w:hint="eastAsia" w:cs="宋体" w:asciiTheme="minorEastAsia" w:hAnsiTheme="minorEastAsia" w:eastAsiaTheme="minorEastAsia"/>
          <w:kern w:val="0"/>
          <w:sz w:val="24"/>
        </w:rPr>
        <w:t>发改办价格[2003]857号文及</w:t>
      </w:r>
      <w:r>
        <w:rPr>
          <w:rFonts w:cs="宋体" w:asciiTheme="minorEastAsia" w:hAnsiTheme="minorEastAsia" w:eastAsiaTheme="minorEastAsia"/>
          <w:kern w:val="0"/>
          <w:sz w:val="24"/>
        </w:rPr>
        <w:t>发改</w:t>
      </w:r>
      <w:r>
        <w:rPr>
          <w:rFonts w:hint="eastAsia" w:cs="宋体" w:asciiTheme="minorEastAsia" w:hAnsiTheme="minorEastAsia" w:eastAsiaTheme="minorEastAsia"/>
          <w:kern w:val="0"/>
          <w:sz w:val="24"/>
        </w:rPr>
        <w:t>办</w:t>
      </w:r>
      <w:r>
        <w:rPr>
          <w:rFonts w:cs="宋体" w:asciiTheme="minorEastAsia" w:hAnsiTheme="minorEastAsia" w:eastAsiaTheme="minorEastAsia"/>
          <w:kern w:val="0"/>
          <w:sz w:val="24"/>
        </w:rPr>
        <w:t>价格[2011]534号</w:t>
      </w:r>
      <w:r>
        <w:rPr>
          <w:rFonts w:hint="eastAsia" w:cs="宋体" w:asciiTheme="minorEastAsia" w:hAnsiTheme="minorEastAsia" w:eastAsiaTheme="minorEastAsia"/>
          <w:kern w:val="0"/>
          <w:sz w:val="24"/>
        </w:rPr>
        <w:t>文有关规定向中标人收取</w:t>
      </w:r>
      <w:r>
        <w:rPr>
          <w:rFonts w:hint="eastAsia" w:asciiTheme="minorEastAsia" w:hAnsiTheme="minorEastAsia" w:eastAsiaTheme="minorEastAsia"/>
          <w:sz w:val="24"/>
        </w:rPr>
        <w:t>中标服务费用。此项费用不单独开列而应计入投标价。</w:t>
      </w:r>
    </w:p>
    <w:p>
      <w:pPr>
        <w:tabs>
          <w:tab w:val="left" w:pos="660"/>
        </w:tabs>
        <w:spacing w:line="360" w:lineRule="auto"/>
        <w:ind w:left="900" w:hanging="900" w:hangingChars="375"/>
        <w:rPr>
          <w:rFonts w:asciiTheme="minorEastAsia" w:hAnsiTheme="minorEastAsia" w:eastAsiaTheme="minorEastAsia"/>
          <w:sz w:val="24"/>
        </w:rPr>
      </w:pPr>
      <w:bookmarkStart w:id="181" w:name="_Ref467307311"/>
      <w:r>
        <w:rPr>
          <w:rFonts w:hint="eastAsia" w:asciiTheme="minorEastAsia" w:hAnsiTheme="minorEastAsia" w:eastAsiaTheme="minorEastAsia"/>
          <w:sz w:val="24"/>
        </w:rPr>
        <w:t>29.2</w:t>
      </w:r>
      <w:r>
        <w:rPr>
          <w:rFonts w:hint="eastAsia" w:asciiTheme="minorEastAsia" w:hAnsiTheme="minorEastAsia" w:eastAsiaTheme="minorEastAsia"/>
          <w:sz w:val="24"/>
        </w:rPr>
        <w:tab/>
      </w:r>
      <w:r>
        <w:rPr>
          <w:rFonts w:hint="eastAsia" w:asciiTheme="minorEastAsia" w:hAnsiTheme="minorEastAsia" w:eastAsiaTheme="minorEastAsia"/>
          <w:sz w:val="24"/>
        </w:rPr>
        <w:t>中标人在领取中标通知书时向采购代理机构缴付中标服务费。</w:t>
      </w:r>
      <w:bookmarkEnd w:id="181"/>
    </w:p>
    <w:p>
      <w:pPr>
        <w:spacing w:line="360" w:lineRule="auto"/>
        <w:ind w:left="525" w:leftChars="250"/>
        <w:rPr>
          <w:rFonts w:asciiTheme="minorEastAsia" w:hAnsiTheme="minorEastAsia" w:eastAsiaTheme="minorEastAsia"/>
          <w:sz w:val="24"/>
        </w:rPr>
      </w:pPr>
      <w:r>
        <w:rPr>
          <w:rFonts w:hint="eastAsia" w:asciiTheme="minorEastAsia" w:hAnsiTheme="minorEastAsia" w:eastAsiaTheme="minorEastAsia"/>
          <w:sz w:val="24"/>
        </w:rPr>
        <w:t>户  名：北京华采招标代理有限公司</w:t>
      </w:r>
    </w:p>
    <w:p>
      <w:pPr>
        <w:spacing w:line="360" w:lineRule="auto"/>
        <w:ind w:left="525" w:leftChars="250"/>
        <w:rPr>
          <w:rFonts w:asciiTheme="minorEastAsia" w:hAnsiTheme="minorEastAsia" w:eastAsiaTheme="minorEastAsia"/>
          <w:sz w:val="24"/>
        </w:rPr>
      </w:pPr>
      <w:r>
        <w:rPr>
          <w:rFonts w:hint="eastAsia" w:asciiTheme="minorEastAsia" w:hAnsiTheme="minorEastAsia" w:eastAsiaTheme="minorEastAsia"/>
          <w:sz w:val="24"/>
        </w:rPr>
        <w:t>开户行：建行北京西客站支行</w:t>
      </w:r>
    </w:p>
    <w:p>
      <w:pPr>
        <w:tabs>
          <w:tab w:val="left" w:pos="660"/>
        </w:tabs>
        <w:spacing w:line="360" w:lineRule="auto"/>
        <w:ind w:left="1425" w:leftChars="250" w:hanging="900" w:hangingChars="375"/>
        <w:rPr>
          <w:rFonts w:asciiTheme="minorEastAsia" w:hAnsiTheme="minorEastAsia" w:eastAsiaTheme="minorEastAsia"/>
          <w:sz w:val="24"/>
        </w:rPr>
      </w:pPr>
      <w:r>
        <w:rPr>
          <w:rFonts w:hint="eastAsia" w:asciiTheme="minorEastAsia" w:hAnsiTheme="minorEastAsia" w:eastAsiaTheme="minorEastAsia"/>
          <w:sz w:val="24"/>
        </w:rPr>
        <w:t>账  号：</w:t>
      </w:r>
      <w:r>
        <w:rPr>
          <w:rFonts w:asciiTheme="minorEastAsia" w:hAnsiTheme="minorEastAsia" w:eastAsiaTheme="minorEastAsia"/>
          <w:sz w:val="24"/>
        </w:rPr>
        <w:t>1100 1028 0000 5300 6877</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29.3</w:t>
      </w:r>
      <w:r>
        <w:rPr>
          <w:rFonts w:hint="eastAsia" w:asciiTheme="minorEastAsia" w:hAnsiTheme="minorEastAsia" w:eastAsiaTheme="minorEastAsia"/>
          <w:sz w:val="24"/>
        </w:rPr>
        <w:tab/>
      </w:r>
      <w:r>
        <w:rPr>
          <w:rFonts w:hint="eastAsia" w:asciiTheme="minorEastAsia" w:hAnsiTheme="minorEastAsia" w:eastAsiaTheme="minorEastAsia"/>
          <w:sz w:val="24"/>
        </w:rPr>
        <w:t>中标服务费将以现金、支票（北京地区）或汇票的方式进行收取。中标人如未按29.1和29.2条规定办理，采购代理机构将没收其投标保证金。</w:t>
      </w:r>
    </w:p>
    <w:p>
      <w:pPr>
        <w:numPr>
          <w:ilvl w:val="1"/>
          <w:numId w:val="4"/>
        </w:numPr>
        <w:tabs>
          <w:tab w:val="left" w:pos="660"/>
        </w:tabs>
        <w:spacing w:line="360" w:lineRule="auto"/>
        <w:rPr>
          <w:rFonts w:asciiTheme="minorEastAsia" w:hAnsiTheme="minorEastAsia" w:eastAsiaTheme="minorEastAsia"/>
          <w:sz w:val="24"/>
        </w:rPr>
      </w:pPr>
      <w:r>
        <w:rPr>
          <w:rFonts w:hint="eastAsia" w:asciiTheme="minorEastAsia" w:hAnsiTheme="minorEastAsia" w:eastAsiaTheme="minorEastAsia"/>
          <w:sz w:val="24"/>
        </w:rPr>
        <w:t>在投标时，投标人应提供中标服务费承诺书。</w:t>
      </w:r>
    </w:p>
    <w:p>
      <w:pPr>
        <w:pStyle w:val="5"/>
        <w:spacing w:before="240" w:after="0" w:line="360" w:lineRule="auto"/>
        <w:ind w:left="899" w:hanging="899"/>
        <w:jc w:val="center"/>
        <w:rPr>
          <w:rFonts w:asciiTheme="minorEastAsia" w:hAnsiTheme="minorEastAsia" w:eastAsiaTheme="minorEastAsia"/>
          <w:sz w:val="24"/>
          <w:szCs w:val="24"/>
        </w:rPr>
      </w:pPr>
      <w:bookmarkStart w:id="182" w:name="_Toc366853893"/>
      <w:bookmarkStart w:id="183" w:name="_Toc294950235"/>
      <w:bookmarkStart w:id="184" w:name="_Toc529435051"/>
      <w:bookmarkStart w:id="185" w:name="_Toc324255574"/>
      <w:r>
        <w:rPr>
          <w:rFonts w:hint="eastAsia" w:asciiTheme="minorEastAsia" w:hAnsiTheme="minorEastAsia" w:eastAsiaTheme="minorEastAsia"/>
          <w:sz w:val="24"/>
          <w:szCs w:val="24"/>
        </w:rPr>
        <w:t>八政府采购信用担保</w:t>
      </w:r>
      <w:bookmarkEnd w:id="182"/>
      <w:bookmarkEnd w:id="183"/>
      <w:bookmarkEnd w:id="184"/>
      <w:bookmarkEnd w:id="185"/>
    </w:p>
    <w:p>
      <w:pPr>
        <w:pStyle w:val="5"/>
        <w:spacing w:before="240" w:after="0" w:line="360" w:lineRule="auto"/>
        <w:rPr>
          <w:rFonts w:asciiTheme="minorEastAsia" w:hAnsiTheme="minorEastAsia" w:eastAsiaTheme="minorEastAsia"/>
          <w:sz w:val="24"/>
          <w:szCs w:val="24"/>
        </w:rPr>
      </w:pPr>
      <w:bookmarkStart w:id="186" w:name="_Toc324255575"/>
      <w:bookmarkStart w:id="187" w:name="_Toc366853894"/>
      <w:bookmarkStart w:id="188" w:name="_Toc294950236"/>
      <w:bookmarkStart w:id="189" w:name="_Toc529435052"/>
      <w:r>
        <w:rPr>
          <w:rFonts w:hint="eastAsia" w:asciiTheme="minorEastAsia" w:hAnsiTheme="minorEastAsia" w:eastAsiaTheme="minorEastAsia"/>
          <w:sz w:val="24"/>
          <w:szCs w:val="24"/>
        </w:rPr>
        <w:t>30</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政府采购信用担保</w:t>
      </w:r>
      <w:bookmarkEnd w:id="186"/>
      <w:bookmarkEnd w:id="187"/>
      <w:bookmarkEnd w:id="188"/>
      <w:bookmarkEnd w:id="189"/>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30.1中小型企业投标人可以自由按照财政部门规定，采用投标担保、履约担保和融资担保（如适用）。</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30.2 投标人递交的投标担保函和履约担保函应为北京市政府采购信用担保试点工作专业担保机构出具。</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30.3 投标人可以采取融资担保的形式为政府采购项目履约进行融资。</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30.4 合格的政府采购专业信用担保公司名单见第二章投标须知资料表。</w:t>
      </w:r>
    </w:p>
    <w:p>
      <w:pPr>
        <w:pStyle w:val="5"/>
        <w:spacing w:line="360" w:lineRule="auto"/>
        <w:ind w:left="899" w:hanging="899"/>
        <w:jc w:val="center"/>
        <w:rPr>
          <w:rFonts w:asciiTheme="minorEastAsia" w:hAnsiTheme="minorEastAsia" w:eastAsiaTheme="minorEastAsia"/>
          <w:b w:val="0"/>
          <w:sz w:val="24"/>
          <w:szCs w:val="24"/>
        </w:rPr>
      </w:pPr>
      <w:bookmarkStart w:id="190" w:name="_Toc508106555"/>
      <w:bookmarkStart w:id="191" w:name="_Toc529435053"/>
      <w:r>
        <w:rPr>
          <w:rFonts w:asciiTheme="minorEastAsia" w:hAnsiTheme="minorEastAsia" w:eastAsiaTheme="minorEastAsia"/>
          <w:sz w:val="24"/>
          <w:szCs w:val="24"/>
        </w:rPr>
        <w:t>九履约验收</w:t>
      </w:r>
      <w:bookmarkEnd w:id="190"/>
      <w:bookmarkEnd w:id="191"/>
    </w:p>
    <w:p>
      <w:pPr>
        <w:tabs>
          <w:tab w:val="left" w:pos="660"/>
        </w:tabs>
        <w:spacing w:before="120" w:line="360" w:lineRule="auto"/>
        <w:ind w:left="1"/>
        <w:rPr>
          <w:rFonts w:asciiTheme="minorEastAsia" w:hAnsiTheme="minorEastAsia" w:eastAsiaTheme="minorEastAsia"/>
          <w:b/>
          <w:bCs/>
          <w:sz w:val="24"/>
        </w:rPr>
      </w:pPr>
      <w:r>
        <w:rPr>
          <w:rFonts w:hint="eastAsia" w:asciiTheme="minorEastAsia" w:hAnsiTheme="minorEastAsia" w:eastAsiaTheme="minorEastAsia"/>
          <w:b/>
          <w:bCs/>
          <w:sz w:val="24"/>
        </w:rPr>
        <w:t>31.履约验收</w:t>
      </w:r>
    </w:p>
    <w:p>
      <w:pPr>
        <w:pStyle w:val="11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31.1项目完成后，中标人应当配合采购人或采购代理机构或相关专业专家提供验收需要的相关资料，按采购人要求的验收流程及措施对项目进行履约验收。</w:t>
      </w:r>
    </w:p>
    <w:p>
      <w:pPr>
        <w:tabs>
          <w:tab w:val="left" w:pos="660"/>
        </w:tabs>
        <w:spacing w:line="360" w:lineRule="auto"/>
        <w:ind w:left="1"/>
        <w:rPr>
          <w:rFonts w:asciiTheme="minorEastAsia" w:hAnsiTheme="minorEastAsia" w:eastAsiaTheme="minorEastAsia"/>
          <w:sz w:val="24"/>
        </w:rPr>
      </w:pPr>
    </w:p>
    <w:p>
      <w:pPr>
        <w:tabs>
          <w:tab w:val="left" w:pos="660"/>
        </w:tabs>
        <w:spacing w:line="360" w:lineRule="auto"/>
        <w:ind w:left="788" w:leftChars="375" w:firstLine="1440" w:firstLineChars="600"/>
        <w:rPr>
          <w:rFonts w:asciiTheme="minorEastAsia" w:hAnsiTheme="minorEastAsia" w:eastAsiaTheme="minorEastAsia"/>
          <w:sz w:val="24"/>
        </w:rPr>
      </w:pPr>
    </w:p>
    <w:p>
      <w:pPr>
        <w:tabs>
          <w:tab w:val="left" w:pos="660"/>
        </w:tabs>
        <w:spacing w:line="360" w:lineRule="auto"/>
        <w:rPr>
          <w:rFonts w:asciiTheme="minorEastAsia" w:hAnsiTheme="minorEastAsia" w:eastAsiaTheme="minorEastAsia"/>
          <w:sz w:val="24"/>
        </w:rPr>
        <w:sectPr>
          <w:pgSz w:w="11907" w:h="16840"/>
          <w:pgMar w:top="1089" w:right="1418" w:bottom="1400" w:left="1418" w:header="851" w:footer="851" w:gutter="0"/>
          <w:cols w:space="720" w:num="1"/>
          <w:docGrid w:linePitch="462" w:charSpace="0"/>
        </w:sectPr>
      </w:pPr>
    </w:p>
    <w:p>
      <w:pPr>
        <w:pStyle w:val="2"/>
        <w:spacing w:line="360" w:lineRule="auto"/>
        <w:rPr>
          <w:rFonts w:asciiTheme="minorEastAsia" w:hAnsiTheme="minorEastAsia" w:eastAsiaTheme="minorEastAsia"/>
          <w:sz w:val="30"/>
          <w:szCs w:val="30"/>
        </w:rPr>
      </w:pPr>
      <w:bookmarkStart w:id="192" w:name="_Toc529435054"/>
      <w:bookmarkStart w:id="193" w:name="_Toc339890947"/>
      <w:bookmarkStart w:id="194" w:name="_Toc310195730"/>
      <w:r>
        <w:rPr>
          <w:rFonts w:hint="eastAsia" w:asciiTheme="minorEastAsia" w:hAnsiTheme="minorEastAsia" w:eastAsiaTheme="minorEastAsia"/>
          <w:sz w:val="30"/>
          <w:szCs w:val="30"/>
        </w:rPr>
        <w:t>第四章项目需求</w:t>
      </w:r>
      <w:bookmarkEnd w:id="192"/>
    </w:p>
    <w:p>
      <w:pPr>
        <w:pStyle w:val="115"/>
        <w:numPr>
          <w:ilvl w:val="0"/>
          <w:numId w:val="5"/>
        </w:numPr>
        <w:spacing w:line="360" w:lineRule="auto"/>
        <w:ind w:left="0" w:firstLine="0" w:firstLineChars="0"/>
        <w:jc w:val="left"/>
        <w:rPr>
          <w:rFonts w:ascii="宋体" w:hAnsi="宋体"/>
          <w:b/>
          <w:sz w:val="24"/>
        </w:rPr>
      </w:pPr>
      <w:r>
        <w:rPr>
          <w:rFonts w:hint="eastAsia" w:ascii="宋体" w:hAnsi="宋体"/>
          <w:b/>
          <w:sz w:val="24"/>
        </w:rPr>
        <w:t>项目总体要求：支持保障与优化华北电力大学核反应堆物理屏蔽高性能计算分析与虚拟科研开发系统，具备二代、三代核反应堆大规模堆芯物理计算与屏蔽计算分析能力及高性能软件开发能力。</w:t>
      </w:r>
    </w:p>
    <w:p>
      <w:pPr>
        <w:pStyle w:val="115"/>
        <w:numPr>
          <w:ilvl w:val="0"/>
          <w:numId w:val="5"/>
        </w:numPr>
        <w:spacing w:line="360" w:lineRule="auto"/>
        <w:ind w:left="0" w:firstLine="0" w:firstLineChars="0"/>
        <w:rPr>
          <w:rFonts w:ascii="宋体" w:hAnsi="宋体"/>
          <w:b/>
          <w:sz w:val="24"/>
        </w:rPr>
      </w:pPr>
      <w:r>
        <w:rPr>
          <w:rFonts w:hint="eastAsia" w:ascii="宋体" w:hAnsi="宋体"/>
          <w:b/>
          <w:sz w:val="24"/>
        </w:rPr>
        <w:t>质保及</w:t>
      </w:r>
      <w:r>
        <w:rPr>
          <w:rFonts w:ascii="宋体" w:hAnsi="宋体"/>
          <w:b/>
          <w:sz w:val="24"/>
        </w:rPr>
        <w:t>服务响应</w:t>
      </w:r>
      <w:r>
        <w:rPr>
          <w:rFonts w:hint="eastAsia" w:ascii="宋体" w:hAnsi="宋体"/>
          <w:b/>
          <w:sz w:val="24"/>
        </w:rPr>
        <w:t>要求</w:t>
      </w:r>
    </w:p>
    <w:p>
      <w:pPr>
        <w:spacing w:line="360" w:lineRule="auto"/>
        <w:ind w:firstLine="480" w:firstLineChars="200"/>
        <w:jc w:val="left"/>
        <w:rPr>
          <w:rFonts w:ascii="宋体" w:hAnsi="宋体" w:cs="宋体"/>
          <w:sz w:val="24"/>
        </w:rPr>
      </w:pPr>
      <w:r>
        <w:rPr>
          <w:rFonts w:hint="eastAsia" w:ascii="宋体" w:hAnsi="宋体" w:cs="宋体"/>
          <w:sz w:val="24"/>
        </w:rPr>
        <w:t>项目竣工后，要求整个系统质保期为</w:t>
      </w:r>
      <w:r>
        <w:rPr>
          <w:rFonts w:ascii="宋体" w:hAnsi="宋体" w:cs="宋体"/>
          <w:sz w:val="24"/>
        </w:rPr>
        <w:t xml:space="preserve">3年（竣工验收合格之日起计算）。中标人在3年质保期内，免费负责系统内所有线材的维护保养、故障维修、技术升级和质量保证及售后服务工作。 </w:t>
      </w:r>
    </w:p>
    <w:p>
      <w:pPr>
        <w:spacing w:line="360" w:lineRule="auto"/>
        <w:ind w:firstLine="480" w:firstLineChars="200"/>
        <w:jc w:val="left"/>
        <w:rPr>
          <w:rFonts w:ascii="宋体" w:hAnsi="宋体" w:cs="宋体"/>
          <w:sz w:val="24"/>
        </w:rPr>
      </w:pPr>
      <w:r>
        <w:rPr>
          <w:rFonts w:hint="eastAsia" w:ascii="宋体" w:hAnsi="宋体" w:cs="宋体"/>
          <w:sz w:val="24"/>
        </w:rPr>
        <w:t>在质保期内，中标人在服务和技术方面给予招标人全面的支持，要求全年全天候（</w:t>
      </w:r>
      <w:r>
        <w:rPr>
          <w:rFonts w:ascii="宋体" w:hAnsi="宋体" w:cs="宋体"/>
          <w:sz w:val="24"/>
        </w:rPr>
        <w:t>7</w:t>
      </w:r>
      <w:r>
        <w:rPr>
          <w:rFonts w:hint="eastAsia" w:ascii="宋体" w:hAnsi="宋体" w:cs="宋体"/>
          <w:sz w:val="24"/>
        </w:rPr>
        <w:t>×</w:t>
      </w:r>
      <w:r>
        <w:rPr>
          <w:rFonts w:ascii="宋体" w:hAnsi="宋体" w:cs="宋体"/>
          <w:sz w:val="24"/>
        </w:rPr>
        <w:t>24</w:t>
      </w:r>
      <w:r>
        <w:rPr>
          <w:rFonts w:hint="eastAsia" w:ascii="宋体" w:hAnsi="宋体" w:cs="宋体"/>
          <w:sz w:val="24"/>
        </w:rPr>
        <w:t>小时）对故障快速响应。</w:t>
      </w:r>
    </w:p>
    <w:p>
      <w:pPr>
        <w:spacing w:line="360" w:lineRule="auto"/>
        <w:ind w:firstLine="480" w:firstLineChars="200"/>
        <w:jc w:val="left"/>
        <w:rPr>
          <w:rFonts w:ascii="宋体" w:hAnsi="宋体" w:cs="宋体"/>
          <w:sz w:val="24"/>
        </w:rPr>
      </w:pPr>
      <w:r>
        <w:rPr>
          <w:rFonts w:hint="eastAsia" w:ascii="宋体" w:hAnsi="宋体" w:cs="宋体"/>
          <w:sz w:val="24"/>
        </w:rPr>
        <w:t>在质保期内，售后服务的响应时间</w:t>
      </w:r>
      <w:r>
        <w:rPr>
          <w:rFonts w:ascii="宋体" w:hAnsi="宋体" w:cs="宋体"/>
          <w:sz w:val="24"/>
        </w:rPr>
        <w:t>15</w:t>
      </w:r>
      <w:r>
        <w:rPr>
          <w:rFonts w:hint="eastAsia" w:ascii="宋体" w:hAnsi="宋体" w:cs="宋体"/>
          <w:sz w:val="24"/>
        </w:rPr>
        <w:t>分钟，排除故障时间不超过</w:t>
      </w:r>
      <w:r>
        <w:rPr>
          <w:rFonts w:ascii="宋体" w:hAnsi="宋体" w:cs="宋体"/>
          <w:sz w:val="24"/>
        </w:rPr>
        <w:t>4</w:t>
      </w:r>
      <w:r>
        <w:rPr>
          <w:rFonts w:hint="eastAsia" w:ascii="宋体" w:hAnsi="宋体" w:cs="宋体"/>
          <w:sz w:val="24"/>
        </w:rPr>
        <w:t>小时。</w:t>
      </w:r>
    </w:p>
    <w:p>
      <w:pPr>
        <w:pStyle w:val="115"/>
        <w:numPr>
          <w:ilvl w:val="0"/>
          <w:numId w:val="5"/>
        </w:numPr>
        <w:spacing w:line="360" w:lineRule="auto"/>
        <w:ind w:left="0" w:firstLine="0" w:firstLineChars="0"/>
        <w:jc w:val="left"/>
        <w:rPr>
          <w:rFonts w:ascii="宋体" w:hAnsi="宋体"/>
          <w:b/>
          <w:sz w:val="24"/>
        </w:rPr>
      </w:pPr>
      <w:r>
        <w:rPr>
          <w:rFonts w:hint="eastAsia" w:ascii="宋体" w:hAnsi="宋体"/>
          <w:b/>
          <w:sz w:val="24"/>
        </w:rPr>
        <w:t>交货时间</w:t>
      </w:r>
      <w:r>
        <w:rPr>
          <w:rFonts w:ascii="宋体" w:hAnsi="宋体"/>
          <w:b/>
          <w:sz w:val="24"/>
        </w:rPr>
        <w:t>、地点要求</w:t>
      </w:r>
    </w:p>
    <w:p>
      <w:pPr>
        <w:spacing w:line="360" w:lineRule="auto"/>
        <w:ind w:firstLine="480" w:firstLineChars="200"/>
        <w:jc w:val="left"/>
        <w:rPr>
          <w:rFonts w:ascii="宋体" w:hAnsi="宋体" w:cs="宋体"/>
          <w:sz w:val="24"/>
        </w:rPr>
      </w:pPr>
      <w:r>
        <w:rPr>
          <w:rFonts w:ascii="宋体" w:hAnsi="宋体" w:cs="宋体"/>
          <w:sz w:val="24"/>
        </w:rPr>
        <w:t>1</w:t>
      </w:r>
      <w:r>
        <w:rPr>
          <w:rFonts w:hint="eastAsia" w:ascii="宋体" w:hAnsi="宋体" w:cs="宋体"/>
          <w:sz w:val="24"/>
        </w:rPr>
        <w:t>、工期：合同签订后，项目具备</w:t>
      </w:r>
      <w:r>
        <w:rPr>
          <w:rFonts w:ascii="宋体" w:hAnsi="宋体" w:cs="宋体"/>
          <w:sz w:val="24"/>
        </w:rPr>
        <w:t>施工条件</w:t>
      </w:r>
      <w:r>
        <w:rPr>
          <w:rFonts w:hint="eastAsia" w:ascii="宋体" w:hAnsi="宋体" w:cs="宋体"/>
          <w:sz w:val="24"/>
        </w:rPr>
        <w:t>起，软件系统</w:t>
      </w:r>
      <w:r>
        <w:rPr>
          <w:rFonts w:ascii="宋体" w:hAnsi="宋体" w:cs="宋体"/>
          <w:sz w:val="24"/>
        </w:rPr>
        <w:t>研发时间为35天，综合布线系统</w:t>
      </w:r>
      <w:r>
        <w:rPr>
          <w:rFonts w:ascii="宋体" w:hAnsi="宋体" w:cs="宋体"/>
          <w:b/>
          <w:sz w:val="24"/>
        </w:rPr>
        <w:t>进场施工</w:t>
      </w:r>
      <w:r>
        <w:rPr>
          <w:rFonts w:hint="eastAsia" w:ascii="宋体" w:hAnsi="宋体" w:cs="宋体"/>
          <w:b/>
          <w:sz w:val="24"/>
        </w:rPr>
        <w:t>后</w:t>
      </w:r>
      <w:r>
        <w:rPr>
          <w:rFonts w:ascii="宋体" w:hAnsi="宋体" w:cs="宋体"/>
          <w:b/>
          <w:sz w:val="24"/>
        </w:rPr>
        <w:t>30个工作日</w:t>
      </w:r>
      <w:r>
        <w:rPr>
          <w:rFonts w:hint="eastAsia" w:ascii="宋体" w:hAnsi="宋体" w:cs="宋体"/>
          <w:b/>
          <w:sz w:val="24"/>
        </w:rPr>
        <w:t>内</w:t>
      </w:r>
      <w:r>
        <w:rPr>
          <w:rFonts w:hint="eastAsia" w:ascii="宋体" w:hAnsi="宋体" w:cs="宋体"/>
          <w:sz w:val="24"/>
        </w:rPr>
        <w:t>完成全部项目施工及调试。</w:t>
      </w:r>
    </w:p>
    <w:p>
      <w:pPr>
        <w:spacing w:line="360" w:lineRule="auto"/>
        <w:ind w:firstLine="480" w:firstLineChars="200"/>
        <w:jc w:val="left"/>
        <w:rPr>
          <w:rFonts w:ascii="宋体" w:hAnsi="宋体" w:cs="宋体"/>
          <w:sz w:val="24"/>
        </w:rPr>
      </w:pPr>
      <w:r>
        <w:rPr>
          <w:rFonts w:ascii="宋体" w:hAnsi="宋体" w:cs="宋体"/>
          <w:sz w:val="24"/>
        </w:rPr>
        <w:t>2</w:t>
      </w:r>
      <w:r>
        <w:rPr>
          <w:rFonts w:hint="eastAsia" w:ascii="宋体" w:hAnsi="宋体" w:cs="宋体"/>
          <w:sz w:val="24"/>
        </w:rPr>
        <w:t>、交货地点：华北电力大学核学院指定地点</w:t>
      </w:r>
    </w:p>
    <w:p>
      <w:pPr>
        <w:spacing w:line="360" w:lineRule="auto"/>
        <w:ind w:firstLine="480" w:firstLineChars="200"/>
        <w:jc w:val="left"/>
        <w:rPr>
          <w:rFonts w:ascii="宋体" w:hAnsi="宋体" w:cs="宋体"/>
          <w:sz w:val="24"/>
        </w:rPr>
      </w:pPr>
      <w:r>
        <w:rPr>
          <w:rFonts w:ascii="宋体" w:hAnsi="宋体" w:cs="宋体"/>
          <w:sz w:val="24"/>
        </w:rPr>
        <w:t>3</w:t>
      </w:r>
      <w:r>
        <w:rPr>
          <w:rFonts w:hint="eastAsia" w:ascii="宋体" w:hAnsi="宋体" w:cs="宋体"/>
          <w:sz w:val="24"/>
        </w:rPr>
        <w:t>、投标书中需提供工程施工设计、组织及具体实施方案。</w:t>
      </w:r>
    </w:p>
    <w:p>
      <w:pPr>
        <w:spacing w:line="360" w:lineRule="auto"/>
        <w:ind w:firstLine="480" w:firstLineChars="200"/>
        <w:jc w:val="left"/>
        <w:rPr>
          <w:rFonts w:ascii="宋体" w:hAnsi="宋体" w:cs="宋体"/>
          <w:b/>
          <w:sz w:val="24"/>
        </w:rPr>
      </w:pPr>
      <w:r>
        <w:rPr>
          <w:rFonts w:ascii="宋体" w:hAnsi="宋体" w:cs="宋体"/>
          <w:sz w:val="24"/>
        </w:rPr>
        <w:t>4</w:t>
      </w:r>
      <w:r>
        <w:rPr>
          <w:rFonts w:hint="eastAsia" w:ascii="宋体" w:hAnsi="宋体" w:cs="宋体"/>
          <w:sz w:val="24"/>
        </w:rPr>
        <w:t>、说明：本招标项目设置招标控制价，招标控制价为：</w:t>
      </w:r>
      <w:r>
        <w:rPr>
          <w:rFonts w:ascii="宋体" w:hAnsi="宋体" w:cs="宋体"/>
          <w:b/>
          <w:sz w:val="24"/>
        </w:rPr>
        <w:t>76</w:t>
      </w:r>
      <w:r>
        <w:rPr>
          <w:rFonts w:hint="eastAsia" w:ascii="宋体" w:hAnsi="宋体" w:cs="宋体"/>
          <w:sz w:val="24"/>
        </w:rPr>
        <w:t>万元，超出控制价的投标视为非实质性响应</w:t>
      </w:r>
      <w:r>
        <w:rPr>
          <w:rFonts w:hint="eastAsia" w:ascii="宋体" w:hAnsi="宋体" w:cs="宋体"/>
          <w:b/>
          <w:sz w:val="24"/>
        </w:rPr>
        <w:t>。</w:t>
      </w:r>
    </w:p>
    <w:p>
      <w:pPr>
        <w:pStyle w:val="115"/>
        <w:numPr>
          <w:ilvl w:val="0"/>
          <w:numId w:val="5"/>
        </w:numPr>
        <w:spacing w:line="360" w:lineRule="auto"/>
        <w:ind w:left="0" w:firstLine="0" w:firstLineChars="0"/>
        <w:jc w:val="left"/>
        <w:rPr>
          <w:rFonts w:ascii="宋体" w:hAnsi="宋体"/>
          <w:b/>
          <w:sz w:val="24"/>
        </w:rPr>
      </w:pPr>
      <w:r>
        <w:rPr>
          <w:rFonts w:hint="eastAsia" w:ascii="宋体" w:hAnsi="宋体"/>
          <w:b/>
          <w:sz w:val="24"/>
        </w:rPr>
        <w:t>踏勘要求：</w:t>
      </w:r>
    </w:p>
    <w:p>
      <w:pPr>
        <w:spacing w:line="360" w:lineRule="auto"/>
        <w:ind w:firstLine="480" w:firstLineChars="200"/>
        <w:rPr>
          <w:rFonts w:ascii="宋体" w:hAnsi="宋体"/>
          <w:sz w:val="24"/>
        </w:rPr>
      </w:pPr>
      <w:r>
        <w:rPr>
          <w:rFonts w:hint="eastAsia" w:ascii="宋体" w:hAnsi="宋体"/>
          <w:sz w:val="24"/>
        </w:rPr>
        <w:t>本项目不组织地勘。网络、</w:t>
      </w:r>
      <w:r>
        <w:rPr>
          <w:rFonts w:ascii="宋体" w:hAnsi="宋体"/>
          <w:sz w:val="24"/>
        </w:rPr>
        <w:t>强电</w:t>
      </w:r>
      <w:r>
        <w:rPr>
          <w:rFonts w:hint="eastAsia" w:ascii="宋体" w:hAnsi="宋体"/>
          <w:sz w:val="24"/>
        </w:rPr>
        <w:t>入户</w:t>
      </w:r>
      <w:r>
        <w:rPr>
          <w:rFonts w:ascii="宋体" w:hAnsi="宋体"/>
          <w:sz w:val="24"/>
        </w:rPr>
        <w:t>线缆</w:t>
      </w:r>
      <w:r>
        <w:rPr>
          <w:rFonts w:hint="eastAsia" w:ascii="宋体" w:hAnsi="宋体"/>
          <w:sz w:val="24"/>
        </w:rPr>
        <w:t>已解决</w:t>
      </w:r>
      <w:r>
        <w:rPr>
          <w:rFonts w:ascii="宋体" w:hAnsi="宋体"/>
          <w:sz w:val="24"/>
        </w:rPr>
        <w:t>，投标人须充分考虑入户后电源容量分配及后期冗余问题</w:t>
      </w:r>
      <w:r>
        <w:rPr>
          <w:rFonts w:hint="eastAsia" w:ascii="宋体" w:hAnsi="宋体"/>
          <w:sz w:val="24"/>
        </w:rPr>
        <w:t>和</w:t>
      </w:r>
      <w:r>
        <w:rPr>
          <w:rFonts w:ascii="宋体" w:hAnsi="宋体"/>
          <w:sz w:val="24"/>
        </w:rPr>
        <w:t>网络使用问题</w:t>
      </w:r>
      <w:r>
        <w:rPr>
          <w:rFonts w:hint="eastAsia" w:ascii="宋体" w:hAnsi="宋体"/>
          <w:sz w:val="24"/>
        </w:rPr>
        <w:t>。</w:t>
      </w:r>
      <w:r>
        <w:rPr>
          <w:rFonts w:ascii="宋体" w:hAnsi="宋体"/>
          <w:sz w:val="24"/>
        </w:rPr>
        <w:t xml:space="preserve"> </w:t>
      </w:r>
    </w:p>
    <w:p>
      <w:pPr>
        <w:spacing w:line="360" w:lineRule="auto"/>
        <w:rPr>
          <w:rFonts w:ascii="宋体" w:hAnsi="宋体"/>
          <w:b/>
          <w:sz w:val="24"/>
          <w:shd w:val="clear" w:color="auto" w:fill="FFFFFF" w:themeFill="background1"/>
        </w:rPr>
      </w:pPr>
      <w:r>
        <w:rPr>
          <w:rFonts w:ascii="宋体" w:hAnsi="宋体"/>
          <w:b/>
          <w:sz w:val="24"/>
          <w:shd w:val="clear" w:color="auto" w:fill="FFFFFF" w:themeFill="background1"/>
        </w:rPr>
        <w:t>5.</w:t>
      </w:r>
      <w:r>
        <w:rPr>
          <w:rFonts w:hint="eastAsia" w:ascii="宋体" w:hAnsi="宋体"/>
          <w:b/>
          <w:sz w:val="24"/>
          <w:shd w:val="clear" w:color="auto" w:fill="FFFFFF" w:themeFill="background1"/>
        </w:rPr>
        <w:t>技术标准</w:t>
      </w:r>
    </w:p>
    <w:tbl>
      <w:tblPr>
        <w:tblStyle w:val="50"/>
        <w:tblW w:w="9061" w:type="dxa"/>
        <w:tblInd w:w="0" w:type="dxa"/>
        <w:tblLayout w:type="fixed"/>
        <w:tblCellMar>
          <w:top w:w="0" w:type="dxa"/>
          <w:left w:w="108" w:type="dxa"/>
          <w:bottom w:w="0" w:type="dxa"/>
          <w:right w:w="108" w:type="dxa"/>
        </w:tblCellMar>
      </w:tblPr>
      <w:tblGrid>
        <w:gridCol w:w="392"/>
        <w:gridCol w:w="739"/>
        <w:gridCol w:w="1076"/>
        <w:gridCol w:w="6154"/>
        <w:gridCol w:w="700"/>
      </w:tblGrid>
      <w:tr>
        <w:tblPrEx>
          <w:tblLayout w:type="fixed"/>
          <w:tblCellMar>
            <w:top w:w="0" w:type="dxa"/>
            <w:left w:w="108" w:type="dxa"/>
            <w:bottom w:w="0" w:type="dxa"/>
            <w:right w:w="108" w:type="dxa"/>
          </w:tblCellMar>
        </w:tblPrEx>
        <w:trPr>
          <w:trHeight w:val="285" w:hRule="atLeast"/>
        </w:trPr>
        <w:tc>
          <w:tcPr>
            <w:tcW w:w="392" w:type="dxa"/>
            <w:tcBorders>
              <w:top w:val="single" w:color="auto" w:sz="4" w:space="0"/>
              <w:left w:val="single" w:color="auto" w:sz="4" w:space="0"/>
              <w:bottom w:val="single" w:color="auto" w:sz="4" w:space="0"/>
              <w:right w:val="single" w:color="auto" w:sz="4" w:space="0"/>
            </w:tcBorders>
            <w:shd w:val="clear" w:color="auto" w:fill="auto"/>
            <w:vAlign w:val="bottom"/>
          </w:tcPr>
          <w:p>
            <w:pPr>
              <w:widowControl/>
              <w:spacing w:line="360" w:lineRule="auto"/>
              <w:jc w:val="center"/>
              <w:rPr>
                <w:rFonts w:ascii="宋体" w:hAnsi="宋体" w:cs="宋体"/>
                <w:kern w:val="0"/>
                <w:sz w:val="24"/>
              </w:rPr>
            </w:pPr>
            <w:r>
              <w:rPr>
                <w:rFonts w:hint="eastAsia" w:ascii="宋体" w:hAnsi="宋体" w:cs="宋体"/>
                <w:kern w:val="0"/>
                <w:sz w:val="24"/>
              </w:rPr>
              <w:t>序号</w:t>
            </w:r>
          </w:p>
        </w:tc>
        <w:tc>
          <w:tcPr>
            <w:tcW w:w="739" w:type="dxa"/>
            <w:tcBorders>
              <w:top w:val="single" w:color="auto" w:sz="4" w:space="0"/>
              <w:left w:val="nil"/>
              <w:bottom w:val="single" w:color="auto" w:sz="4" w:space="0"/>
              <w:right w:val="single" w:color="auto" w:sz="4" w:space="0"/>
            </w:tcBorders>
            <w:shd w:val="clear" w:color="auto" w:fill="auto"/>
            <w:vAlign w:val="bottom"/>
          </w:tcPr>
          <w:p>
            <w:pPr>
              <w:widowControl/>
              <w:spacing w:line="360" w:lineRule="auto"/>
              <w:jc w:val="center"/>
              <w:rPr>
                <w:rFonts w:ascii="宋体" w:hAnsi="宋体" w:cs="宋体"/>
                <w:kern w:val="0"/>
                <w:sz w:val="24"/>
              </w:rPr>
            </w:pPr>
            <w:r>
              <w:rPr>
                <w:rFonts w:hint="eastAsia" w:ascii="宋体" w:hAnsi="宋体" w:cs="宋体"/>
                <w:kern w:val="0"/>
                <w:sz w:val="24"/>
              </w:rPr>
              <w:t>货物名称</w:t>
            </w:r>
          </w:p>
        </w:tc>
        <w:tc>
          <w:tcPr>
            <w:tcW w:w="7230" w:type="dxa"/>
            <w:gridSpan w:val="2"/>
            <w:tcBorders>
              <w:top w:val="single" w:color="auto" w:sz="4" w:space="0"/>
              <w:left w:val="nil"/>
              <w:bottom w:val="single" w:color="auto" w:sz="4" w:space="0"/>
              <w:right w:val="single" w:color="auto" w:sz="4" w:space="0"/>
            </w:tcBorders>
            <w:shd w:val="clear" w:color="auto" w:fill="auto"/>
            <w:vAlign w:val="bottom"/>
          </w:tcPr>
          <w:p>
            <w:pPr>
              <w:widowControl/>
              <w:spacing w:line="360" w:lineRule="auto"/>
              <w:jc w:val="center"/>
              <w:rPr>
                <w:rFonts w:ascii="宋体" w:hAnsi="宋体" w:cs="宋体"/>
                <w:kern w:val="0"/>
                <w:sz w:val="24"/>
              </w:rPr>
            </w:pPr>
            <w:r>
              <w:rPr>
                <w:rFonts w:hint="eastAsia" w:ascii="宋体" w:hAnsi="宋体" w:cs="宋体"/>
                <w:kern w:val="0"/>
                <w:sz w:val="24"/>
              </w:rPr>
              <w:t>功能描述及要求</w:t>
            </w:r>
          </w:p>
        </w:tc>
        <w:tc>
          <w:tcPr>
            <w:tcW w:w="700" w:type="dxa"/>
            <w:tcBorders>
              <w:top w:val="single" w:color="auto" w:sz="4" w:space="0"/>
              <w:left w:val="nil"/>
              <w:bottom w:val="single" w:color="auto" w:sz="4" w:space="0"/>
              <w:right w:val="single" w:color="auto" w:sz="4" w:space="0"/>
            </w:tcBorders>
            <w:shd w:val="clear" w:color="auto" w:fill="auto"/>
            <w:vAlign w:val="bottom"/>
          </w:tcPr>
          <w:p>
            <w:pPr>
              <w:widowControl/>
              <w:spacing w:line="360" w:lineRule="auto"/>
              <w:jc w:val="center"/>
              <w:rPr>
                <w:rFonts w:ascii="宋体" w:hAnsi="宋体" w:cs="宋体"/>
                <w:kern w:val="0"/>
                <w:sz w:val="24"/>
              </w:rPr>
            </w:pPr>
            <w:r>
              <w:rPr>
                <w:rFonts w:hint="eastAsia" w:ascii="宋体" w:hAnsi="宋体" w:cs="宋体"/>
                <w:kern w:val="0"/>
                <w:sz w:val="24"/>
              </w:rPr>
              <w:t>数量</w:t>
            </w:r>
          </w:p>
        </w:tc>
      </w:tr>
      <w:tr>
        <w:tblPrEx>
          <w:tblLayout w:type="fixed"/>
          <w:tblCellMar>
            <w:top w:w="0" w:type="dxa"/>
            <w:left w:w="108" w:type="dxa"/>
            <w:bottom w:w="0" w:type="dxa"/>
            <w:right w:w="108" w:type="dxa"/>
          </w:tblCellMar>
        </w:tblPrEx>
        <w:trPr>
          <w:trHeight w:val="285" w:hRule="atLeast"/>
        </w:trPr>
        <w:tc>
          <w:tcPr>
            <w:tcW w:w="392"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w:t>
            </w:r>
          </w:p>
        </w:tc>
        <w:tc>
          <w:tcPr>
            <w:tcW w:w="739"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核反应堆物理屏蔽高性能计算分析系统研发</w:t>
            </w:r>
          </w:p>
        </w:tc>
        <w:tc>
          <w:tcPr>
            <w:tcW w:w="1076" w:type="dxa"/>
            <w:vMerge w:val="restart"/>
            <w:tcBorders>
              <w:top w:val="nil"/>
              <w:left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核反应堆燃耗计算系统</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本系统用于核反应堆的堆芯燃耗计算，通过</w:t>
            </w:r>
            <w:r>
              <w:rPr>
                <w:rFonts w:ascii="宋体" w:hAnsi="宋体" w:cs="宋体"/>
                <w:kern w:val="0"/>
                <w:sz w:val="24"/>
              </w:rPr>
              <w:t>本系统</w:t>
            </w:r>
            <w:r>
              <w:rPr>
                <w:rFonts w:hint="eastAsia" w:ascii="宋体" w:hAnsi="宋体" w:cs="宋体"/>
                <w:kern w:val="0"/>
                <w:sz w:val="24"/>
              </w:rPr>
              <w:t>的</w:t>
            </w:r>
            <w:r>
              <w:rPr>
                <w:rFonts w:ascii="宋体" w:hAnsi="宋体" w:cs="宋体"/>
                <w:kern w:val="0"/>
                <w:sz w:val="24"/>
              </w:rPr>
              <w:t>计算与运行，</w:t>
            </w:r>
            <w:r>
              <w:rPr>
                <w:rFonts w:hint="eastAsia" w:ascii="宋体" w:hAnsi="宋体" w:cs="宋体"/>
                <w:kern w:val="0"/>
                <w:sz w:val="24"/>
              </w:rPr>
              <w:t>可输出反应堆堆芯燃料关键核素随燃耗时间的核子密度变化规律。输出形式</w:t>
            </w:r>
            <w:r>
              <w:rPr>
                <w:rFonts w:ascii="宋体" w:hAnsi="宋体" w:cs="宋体"/>
                <w:kern w:val="0"/>
                <w:sz w:val="24"/>
              </w:rPr>
              <w:t>需满足校方使用要求；</w:t>
            </w:r>
          </w:p>
        </w:tc>
        <w:tc>
          <w:tcPr>
            <w:tcW w:w="700" w:type="dxa"/>
            <w:vMerge w:val="restart"/>
            <w:tcBorders>
              <w:top w:val="nil"/>
              <w:left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1套　</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left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可输出堆芯关键核素核子密度随燃耗小时、天、年的变化规律，每个燃耗时间步长计算时间</w:t>
            </w:r>
            <w:r>
              <w:rPr>
                <w:rFonts w:ascii="宋体" w:hAnsi="宋体" w:cs="宋体"/>
                <w:kern w:val="0"/>
                <w:sz w:val="24"/>
              </w:rPr>
              <w:t>&lt; 10秒；需适应于</w:t>
            </w:r>
            <w:r>
              <w:rPr>
                <w:rFonts w:hint="eastAsia" w:ascii="宋体" w:hAnsi="宋体" w:cs="宋体"/>
                <w:kern w:val="0"/>
                <w:sz w:val="24"/>
              </w:rPr>
              <w:t>学院各</w:t>
            </w:r>
            <w:r>
              <w:rPr>
                <w:rFonts w:ascii="宋体" w:hAnsi="宋体" w:cs="宋体"/>
                <w:kern w:val="0"/>
                <w:sz w:val="24"/>
              </w:rPr>
              <w:t>实验场景；</w:t>
            </w:r>
          </w:p>
        </w:tc>
        <w:tc>
          <w:tcPr>
            <w:tcW w:w="700" w:type="dxa"/>
            <w:vMerge w:val="continue"/>
            <w:tcBorders>
              <w:left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34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left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具备支持二代压水堆、三代压水堆的燃耗计算能力。可实现</w:t>
            </w:r>
            <w:r>
              <w:rPr>
                <w:rFonts w:ascii="宋体" w:hAnsi="宋体" w:cs="宋体"/>
                <w:kern w:val="0"/>
                <w:sz w:val="24"/>
              </w:rPr>
              <w:t>多并发，</w:t>
            </w:r>
            <w:r>
              <w:rPr>
                <w:rFonts w:hint="eastAsia" w:ascii="宋体" w:hAnsi="宋体" w:cs="宋体"/>
                <w:kern w:val="0"/>
                <w:sz w:val="24"/>
              </w:rPr>
              <w:t>高效运算</w:t>
            </w:r>
            <w:r>
              <w:rPr>
                <w:rFonts w:ascii="宋体" w:hAnsi="宋体" w:cs="宋体"/>
                <w:kern w:val="0"/>
                <w:sz w:val="24"/>
              </w:rPr>
              <w:t>；</w:t>
            </w:r>
          </w:p>
        </w:tc>
        <w:tc>
          <w:tcPr>
            <w:tcW w:w="700" w:type="dxa"/>
            <w:vMerge w:val="continue"/>
            <w:tcBorders>
              <w:left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64"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left"/>
              <w:rPr>
                <w:rFonts w:ascii="宋体" w:hAnsi="宋体" w:cs="宋体"/>
                <w:kern w:val="0"/>
                <w:sz w:val="24"/>
              </w:rPr>
            </w:pPr>
            <w:r>
              <w:rPr>
                <w:rFonts w:ascii="宋体" w:hAnsi="宋体" w:cs="宋体"/>
                <w:kern w:val="0"/>
                <w:sz w:val="24"/>
              </w:rPr>
              <w:t>#投标人需自行解决</w:t>
            </w:r>
            <w:r>
              <w:rPr>
                <w:rFonts w:hint="eastAsia" w:ascii="宋体" w:hAnsi="宋体" w:cs="宋体"/>
                <w:kern w:val="0"/>
                <w:sz w:val="24"/>
              </w:rPr>
              <w:t>涉及</w:t>
            </w:r>
            <w:r>
              <w:rPr>
                <w:rFonts w:ascii="宋体" w:hAnsi="宋体" w:cs="宋体"/>
                <w:kern w:val="0"/>
                <w:sz w:val="24"/>
              </w:rPr>
              <w:t>核反应堆燃耗计算的相关理论基础知识，</w:t>
            </w:r>
            <w:r>
              <w:rPr>
                <w:rFonts w:hint="eastAsia" w:ascii="宋体" w:hAnsi="宋体" w:cs="宋体"/>
                <w:kern w:val="0"/>
                <w:sz w:val="24"/>
              </w:rPr>
              <w:t>采购人</w:t>
            </w:r>
            <w:r>
              <w:rPr>
                <w:rFonts w:ascii="宋体" w:hAnsi="宋体" w:cs="宋体"/>
                <w:kern w:val="0"/>
                <w:sz w:val="24"/>
              </w:rPr>
              <w:t>不负责进行业务培训；</w:t>
            </w:r>
          </w:p>
        </w:tc>
        <w:tc>
          <w:tcPr>
            <w:tcW w:w="700" w:type="dxa"/>
            <w:vMerge w:val="continue"/>
            <w:tcBorders>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956"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核反应堆多维度离散纵标法输运计算分析系统</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求解中子</w:t>
            </w:r>
            <w:r>
              <w:rPr>
                <w:rFonts w:ascii="宋体" w:hAnsi="宋体" w:cs="宋体"/>
                <w:kern w:val="0"/>
                <w:sz w:val="24"/>
              </w:rPr>
              <w:t>/光子输运方程，用于核反应堆屏蔽计算。</w:t>
            </w:r>
          </w:p>
        </w:tc>
        <w:tc>
          <w:tcPr>
            <w:tcW w:w="700"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1套　</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系统具备一维</w:t>
            </w:r>
            <w:r>
              <w:rPr>
                <w:rFonts w:ascii="宋体" w:hAnsi="宋体" w:cs="宋体"/>
                <w:kern w:val="0"/>
                <w:sz w:val="24"/>
              </w:rPr>
              <w:t xml:space="preserve">/三维核反应堆几何模拟及中子/光子通量密度计算能力，1D </w:t>
            </w:r>
            <w:r>
              <w:rPr>
                <w:rFonts w:hint="eastAsia" w:ascii="宋体" w:hAnsi="宋体" w:cs="宋体"/>
                <w:kern w:val="0"/>
                <w:sz w:val="24"/>
              </w:rPr>
              <w:t>计算时间〈</w:t>
            </w:r>
            <w:r>
              <w:rPr>
                <w:rFonts w:ascii="宋体" w:hAnsi="宋体" w:cs="宋体"/>
                <w:kern w:val="0"/>
                <w:sz w:val="24"/>
              </w:rPr>
              <w:t>1分钟，3D计算时</w:t>
            </w:r>
            <w:r>
              <w:rPr>
                <w:rFonts w:hint="eastAsia" w:ascii="宋体" w:hAnsi="宋体" w:cs="宋体"/>
                <w:kern w:val="0"/>
                <w:sz w:val="24"/>
              </w:rPr>
              <w:t>间</w:t>
            </w:r>
            <w:r>
              <w:rPr>
                <w:rFonts w:ascii="宋体" w:hAnsi="宋体" w:cs="宋体"/>
                <w:kern w:val="0"/>
                <w:sz w:val="24"/>
              </w:rPr>
              <w:t>CPU&lt;1小时；</w:t>
            </w:r>
          </w:p>
        </w:tc>
        <w:tc>
          <w:tcPr>
            <w:tcW w:w="700"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可实现串行及多核多</w:t>
            </w:r>
            <w:r>
              <w:rPr>
                <w:rFonts w:ascii="宋体" w:hAnsi="宋体" w:cs="宋体"/>
                <w:kern w:val="0"/>
                <w:sz w:val="24"/>
              </w:rPr>
              <w:t>CPU并行计算。</w:t>
            </w:r>
          </w:p>
        </w:tc>
        <w:tc>
          <w:tcPr>
            <w:tcW w:w="700"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649"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投标人研发能力</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投标人具备软件能力成熟度认证CMMI3</w:t>
            </w:r>
            <w:r>
              <w:rPr>
                <w:rFonts w:hint="eastAsia" w:ascii="宋体" w:hAnsi="宋体" w:cs="宋体"/>
                <w:kern w:val="0"/>
                <w:sz w:val="24"/>
              </w:rPr>
              <w:t>及以上；</w:t>
            </w:r>
          </w:p>
        </w:tc>
        <w:tc>
          <w:tcPr>
            <w:tcW w:w="700" w:type="dxa"/>
            <w:tcBorders>
              <w:top w:val="nil"/>
              <w:left w:val="nil"/>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　</w:t>
            </w:r>
          </w:p>
          <w:p>
            <w:pPr>
              <w:spacing w:line="360" w:lineRule="auto"/>
              <w:jc w:val="center"/>
              <w:rPr>
                <w:rFonts w:ascii="宋体" w:hAnsi="宋体" w:cs="宋体"/>
                <w:kern w:val="0"/>
                <w:sz w:val="24"/>
              </w:rPr>
            </w:pPr>
            <w:r>
              <w:rPr>
                <w:rFonts w:hint="eastAsia" w:ascii="宋体" w:hAnsi="宋体" w:cs="宋体"/>
                <w:kern w:val="0"/>
                <w:sz w:val="24"/>
              </w:rPr>
              <w:t>　</w:t>
            </w:r>
          </w:p>
        </w:tc>
      </w:tr>
      <w:tr>
        <w:tblPrEx>
          <w:tblLayout w:type="fixed"/>
          <w:tblCellMar>
            <w:top w:w="0" w:type="dxa"/>
            <w:left w:w="108" w:type="dxa"/>
            <w:bottom w:w="0" w:type="dxa"/>
            <w:right w:w="108" w:type="dxa"/>
          </w:tblCellMar>
        </w:tblPrEx>
        <w:trPr>
          <w:trHeight w:val="285" w:hRule="atLeast"/>
        </w:trPr>
        <w:tc>
          <w:tcPr>
            <w:tcW w:w="392"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2</w:t>
            </w:r>
          </w:p>
        </w:tc>
        <w:tc>
          <w:tcPr>
            <w:tcW w:w="739"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核反应堆物理屏蔽高性能</w:t>
            </w:r>
            <w:r>
              <w:rPr>
                <w:rFonts w:ascii="宋体" w:hAnsi="宋体" w:cs="宋体"/>
                <w:kern w:val="0"/>
                <w:sz w:val="24"/>
              </w:rPr>
              <w:br w:type="textWrapping"/>
            </w:r>
            <w:r>
              <w:rPr>
                <w:rFonts w:hint="eastAsia" w:ascii="宋体" w:hAnsi="宋体" w:cs="宋体"/>
                <w:kern w:val="0"/>
                <w:sz w:val="24"/>
              </w:rPr>
              <w:t>计算分析系统终端</w:t>
            </w: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设备制造商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sz w:val="24"/>
              </w:rPr>
              <w:t>设备产地需位于中国</w:t>
            </w:r>
          </w:p>
        </w:tc>
        <w:tc>
          <w:tcPr>
            <w:tcW w:w="70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2套</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高度</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5U机架式（塔式）</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CPU</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2颗</w:t>
            </w:r>
            <w:r>
              <w:rPr>
                <w:rFonts w:hint="eastAsia" w:ascii="宋体" w:hAnsi="宋体" w:cs="宋体"/>
                <w:kern w:val="0"/>
                <w:sz w:val="24"/>
              </w:rPr>
              <w:t>性能不低于</w:t>
            </w:r>
            <w:r>
              <w:rPr>
                <w:rFonts w:ascii="宋体" w:hAnsi="宋体" w:cs="宋体"/>
                <w:kern w:val="0"/>
                <w:sz w:val="24"/>
              </w:rPr>
              <w:t>Intel Xeon E5-2699 V3 系列CPU</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性能不低于英特尔</w:t>
            </w:r>
            <w:r>
              <w:rPr>
                <w:rFonts w:ascii="宋体" w:hAnsi="宋体" w:cs="宋体"/>
                <w:kern w:val="0"/>
                <w:sz w:val="24"/>
              </w:rPr>
              <w:t>C610芯片组</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内存</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内存插槽：≥</w:t>
            </w:r>
            <w:r>
              <w:rPr>
                <w:rFonts w:ascii="宋体" w:hAnsi="宋体" w:cs="宋体"/>
                <w:kern w:val="0"/>
                <w:sz w:val="24"/>
              </w:rPr>
              <w:t>24 个DIMM 插槽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内存类型：每条</w:t>
            </w:r>
            <w:r>
              <w:rPr>
                <w:rFonts w:ascii="宋体" w:hAnsi="宋体" w:cs="宋体"/>
                <w:kern w:val="0"/>
                <w:sz w:val="24"/>
              </w:rPr>
              <w:t>16 GB</w:t>
            </w:r>
            <w:r>
              <w:rPr>
                <w:rFonts w:hint="eastAsia" w:ascii="宋体" w:hAnsi="宋体" w:cs="宋体"/>
                <w:kern w:val="0"/>
                <w:sz w:val="24"/>
              </w:rPr>
              <w:t>或</w:t>
            </w:r>
            <w:r>
              <w:rPr>
                <w:rFonts w:ascii="宋体" w:hAnsi="宋体" w:cs="宋体"/>
                <w:kern w:val="0"/>
                <w:sz w:val="24"/>
              </w:rPr>
              <w:t>32 GB DDR4</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最大内存容量：≥</w:t>
            </w:r>
            <w:r>
              <w:rPr>
                <w:rFonts w:ascii="宋体" w:hAnsi="宋体" w:cs="宋体"/>
                <w:kern w:val="0"/>
                <w:sz w:val="24"/>
              </w:rPr>
              <w:t>768 GB</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本次配置：当前配置≥</w:t>
            </w:r>
            <w:r>
              <w:rPr>
                <w:rFonts w:ascii="宋体" w:hAnsi="宋体" w:cs="宋体"/>
                <w:kern w:val="0"/>
                <w:sz w:val="24"/>
              </w:rPr>
              <w:t>128 GB  DDR4内存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81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硬盘</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支持硬盘类型：支持</w:t>
            </w:r>
            <w:r>
              <w:rPr>
                <w:rFonts w:ascii="宋体" w:hAnsi="宋体" w:cs="宋体"/>
                <w:kern w:val="0"/>
                <w:sz w:val="24"/>
              </w:rPr>
              <w:t xml:space="preserve">7.2K 10K 15K SAS硬盘,SATA硬盘，支持SSD硬盘， </w:t>
            </w:r>
            <w:r>
              <w:rPr>
                <w:rFonts w:hint="eastAsia" w:ascii="宋体" w:hAnsi="宋体" w:cs="宋体"/>
                <w:kern w:val="0"/>
                <w:sz w:val="24"/>
              </w:rPr>
              <w:t>支持</w:t>
            </w:r>
            <w:r>
              <w:rPr>
                <w:rFonts w:ascii="宋体" w:hAnsi="宋体" w:cs="宋体"/>
                <w:kern w:val="0"/>
                <w:sz w:val="24"/>
              </w:rPr>
              <w:t>SAS2.0或PCIE接口</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本地最大支持硬盘数量：</w:t>
            </w:r>
            <w:r>
              <w:rPr>
                <w:rFonts w:ascii="宋体" w:hAnsi="宋体" w:cs="宋体"/>
                <w:kern w:val="0"/>
                <w:sz w:val="24"/>
              </w:rPr>
              <w:t xml:space="preserve"> </w:t>
            </w:r>
            <w:r>
              <w:rPr>
                <w:rFonts w:hint="eastAsia" w:ascii="宋体" w:hAnsi="宋体" w:cs="宋体"/>
                <w:kern w:val="0"/>
                <w:sz w:val="24"/>
              </w:rPr>
              <w:t>≥</w:t>
            </w:r>
            <w:r>
              <w:rPr>
                <w:rFonts w:ascii="宋体" w:hAnsi="宋体" w:cs="宋体"/>
                <w:kern w:val="0"/>
                <w:sz w:val="24"/>
              </w:rPr>
              <w:t>32块硬盘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本次配置：前配置 </w:t>
            </w:r>
            <w:r>
              <w:rPr>
                <w:rFonts w:ascii="宋体" w:hAnsi="宋体" w:cs="宋体"/>
                <w:kern w:val="0"/>
                <w:sz w:val="24"/>
              </w:rPr>
              <w:t>5块</w:t>
            </w:r>
            <w:r>
              <w:rPr>
                <w:rFonts w:hint="eastAsia" w:ascii="宋体" w:hAnsi="宋体" w:cs="宋体"/>
                <w:kern w:val="0"/>
                <w:sz w:val="24"/>
              </w:rPr>
              <w:t>≥</w:t>
            </w:r>
            <w:r>
              <w:rPr>
                <w:rFonts w:ascii="宋体" w:hAnsi="宋体" w:cs="宋体"/>
                <w:kern w:val="0"/>
                <w:sz w:val="24"/>
              </w:rPr>
              <w:t>8TB SAS热插拔硬盘,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RAID卡</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#RAID卡，缓存≥512MB，可扩展缓存上限≥8GB</w:t>
            </w:r>
            <w:r>
              <w:rPr>
                <w:rFonts w:hint="eastAsia" w:ascii="宋体" w:hAnsi="宋体" w:cs="宋体"/>
                <w:kern w:val="0"/>
                <w:sz w:val="24"/>
              </w:rPr>
              <w:t>，带后备电池保护</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网卡</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2个千兆以太网卡，带TOE；支持故障切换和负载均衡功能。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根据用户需要定制：</w:t>
            </w:r>
            <w:r>
              <w:rPr>
                <w:rFonts w:ascii="宋体" w:hAnsi="宋体" w:cs="宋体"/>
                <w:kern w:val="0"/>
                <w:sz w:val="24"/>
              </w:rPr>
              <w:t>2个10Gb</w:t>
            </w:r>
            <w:r>
              <w:rPr>
                <w:rFonts w:hint="eastAsia" w:ascii="宋体" w:hAnsi="宋体" w:cs="宋体"/>
                <w:kern w:val="0"/>
                <w:sz w:val="24"/>
              </w:rPr>
              <w:t>插卡</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8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管理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#前面板上配备有液晶屏，可显示默认或定制信息，包括但不限于IP地址、服务器名称、支持服务编号等。</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PCI-E</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8个PCIe 插槽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其中</w:t>
            </w:r>
            <w:r>
              <w:rPr>
                <w:rFonts w:ascii="宋体" w:hAnsi="宋体" w:cs="宋体"/>
                <w:kern w:val="0"/>
                <w:sz w:val="24"/>
              </w:rPr>
              <w:t>x16 带宽的全长、全高型x16 插槽≥4，</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x8 带宽的全长、全高型x8 插槽≥4</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PCI-E SSD</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支持不低</w:t>
            </w:r>
            <w:r>
              <w:rPr>
                <w:rFonts w:ascii="宋体" w:hAnsi="宋体" w:cs="宋体"/>
                <w:kern w:val="0"/>
                <w:sz w:val="24"/>
              </w:rPr>
              <w:t>4颗PCIE SSD硬盘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GPU</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4个内部GPU支持，</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光驱</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8X SATA DVD-ROM</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虚拟化支持</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主板集成双</w:t>
            </w:r>
            <w:r>
              <w:rPr>
                <w:rFonts w:ascii="宋体" w:hAnsi="宋体" w:cs="宋体"/>
                <w:kern w:val="0"/>
                <w:sz w:val="24"/>
              </w:rPr>
              <w:t>SD冗余虚拟化卡</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55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管理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配置独立远程管理卡（支持远程监控图形界面</w:t>
            </w:r>
            <w:r>
              <w:rPr>
                <w:rFonts w:ascii="宋体" w:hAnsi="宋体" w:cs="宋体"/>
                <w:kern w:val="0"/>
                <w:sz w:val="24"/>
              </w:rPr>
              <w:t>, 可实现与操作系统无关的远程对服务器的完全控制，包括</w:t>
            </w:r>
            <w:r>
              <w:rPr>
                <w:rFonts w:hint="eastAsia" w:ascii="宋体" w:hAnsi="宋体" w:cs="宋体"/>
                <w:kern w:val="0"/>
                <w:sz w:val="24"/>
              </w:rPr>
              <w:t>但不限于远程的开关机、重启、更新</w:t>
            </w:r>
            <w:r>
              <w:rPr>
                <w:rFonts w:ascii="宋体" w:hAnsi="宋体" w:cs="宋体"/>
                <w:kern w:val="0"/>
                <w:sz w:val="24"/>
              </w:rPr>
              <w:t>Firmware, 虚拟KVM, 虚拟软驱, 虚拟光驱操作）；主板集成驱动程序SD卡，可以将驱动程序等存放于存储空间，安装Windows OS不需要导航盘和驱动盘；带管理软件，支持IPv6。允许用户独立于操作系统状态之外（免代理安装方式）远程访问、监控、维修、修复和升级服务器。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电源</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2个热插拔冗余电源。</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378"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能耗管理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可监控、报告及控制处理器、内存及系统级的能耗，允许通过一体化管理控制台实现基于策略的功耗封顶。</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风扇</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配置热插拨冗余风扇</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82"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服务</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提供原厂商3</w:t>
            </w:r>
            <w:r>
              <w:rPr>
                <w:rFonts w:hint="eastAsia" w:ascii="宋体" w:hAnsi="宋体" w:cs="宋体"/>
                <w:kern w:val="0"/>
                <w:sz w:val="24"/>
              </w:rPr>
              <w:t>年</w:t>
            </w:r>
            <w:r>
              <w:rPr>
                <w:rFonts w:ascii="宋体" w:hAnsi="宋体" w:cs="宋体"/>
                <w:kern w:val="0"/>
                <w:sz w:val="24"/>
              </w:rPr>
              <w:t>7</w:t>
            </w:r>
            <w:r>
              <w:rPr>
                <w:rFonts w:hint="eastAsia" w:ascii="宋体" w:hAnsi="宋体" w:cs="宋体"/>
                <w:kern w:val="0"/>
                <w:sz w:val="24"/>
              </w:rPr>
              <w:t>×</w:t>
            </w:r>
            <w:r>
              <w:rPr>
                <w:rFonts w:ascii="宋体" w:hAnsi="宋体" w:cs="宋体"/>
                <w:kern w:val="0"/>
                <w:sz w:val="24"/>
              </w:rPr>
              <w:t>24</w:t>
            </w:r>
            <w:r>
              <w:rPr>
                <w:rFonts w:hint="eastAsia" w:ascii="宋体" w:hAnsi="宋体" w:cs="宋体"/>
                <w:kern w:val="0"/>
                <w:sz w:val="24"/>
              </w:rPr>
              <w:t>×</w:t>
            </w:r>
            <w:r>
              <w:rPr>
                <w:rFonts w:ascii="宋体" w:hAnsi="宋体" w:cs="宋体"/>
                <w:kern w:val="0"/>
                <w:sz w:val="24"/>
              </w:rPr>
              <w:t>4现场和备件服务</w:t>
            </w:r>
            <w:r>
              <w:rPr>
                <w:rFonts w:hint="eastAsia" w:ascii="宋体" w:hAnsi="宋体" w:cs="宋体"/>
                <w:kern w:val="0"/>
                <w:sz w:val="24"/>
              </w:rPr>
              <w:t>承诺函；</w:t>
            </w:r>
          </w:p>
          <w:p>
            <w:pPr>
              <w:widowControl/>
              <w:spacing w:line="360" w:lineRule="auto"/>
              <w:jc w:val="left"/>
              <w:rPr>
                <w:rFonts w:ascii="宋体" w:hAnsi="宋体" w:cs="宋体"/>
                <w:kern w:val="0"/>
                <w:sz w:val="24"/>
              </w:rPr>
            </w:pPr>
            <w:r>
              <w:rPr>
                <w:rFonts w:hint="eastAsia" w:ascii="宋体" w:hAnsi="宋体" w:cs="宋体"/>
                <w:kern w:val="0"/>
                <w:sz w:val="24"/>
              </w:rPr>
              <w:t>提供专用报修电话；</w:t>
            </w:r>
          </w:p>
          <w:p>
            <w:pPr>
              <w:widowControl/>
              <w:spacing w:line="360" w:lineRule="auto"/>
              <w:jc w:val="left"/>
              <w:rPr>
                <w:rFonts w:ascii="宋体" w:hAnsi="宋体" w:cs="宋体"/>
                <w:kern w:val="0"/>
                <w:sz w:val="24"/>
              </w:rPr>
            </w:pPr>
            <w:r>
              <w:rPr>
                <w:rFonts w:hint="eastAsia" w:ascii="宋体" w:hAnsi="宋体" w:cs="宋体"/>
                <w:kern w:val="0"/>
                <w:sz w:val="24"/>
              </w:rPr>
              <w:t>提供一名原厂专署技术客户经理跟踪整个服务事件以及紧急派遣，专署技术客户经理提供与电话支持同步的现场故障诊断。需</w:t>
            </w:r>
            <w:r>
              <w:rPr>
                <w:rFonts w:ascii="宋体" w:hAnsi="宋体" w:cs="宋体"/>
                <w:kern w:val="0"/>
                <w:sz w:val="24"/>
              </w:rPr>
              <w:t>出具书面</w:t>
            </w:r>
            <w:r>
              <w:rPr>
                <w:rFonts w:hint="eastAsia" w:ascii="宋体" w:hAnsi="宋体" w:cs="宋体"/>
                <w:kern w:val="0"/>
                <w:sz w:val="24"/>
              </w:rPr>
              <w:t>承诺函</w:t>
            </w:r>
            <w:r>
              <w:rPr>
                <w:rFonts w:ascii="宋体" w:hAnsi="宋体" w:cs="宋体"/>
                <w:kern w:val="0"/>
                <w:sz w:val="24"/>
              </w:rPr>
              <w:t>；</w:t>
            </w:r>
          </w:p>
          <w:p>
            <w:pPr>
              <w:widowControl/>
              <w:spacing w:line="360" w:lineRule="auto"/>
              <w:jc w:val="left"/>
              <w:rPr>
                <w:rFonts w:ascii="宋体" w:hAnsi="宋体" w:cs="宋体"/>
                <w:kern w:val="0"/>
                <w:sz w:val="24"/>
              </w:rPr>
            </w:pPr>
            <w:r>
              <w:rPr>
                <w:rFonts w:hint="eastAsia" w:ascii="宋体" w:hAnsi="宋体" w:cs="宋体"/>
                <w:kern w:val="0"/>
                <w:sz w:val="24"/>
              </w:rPr>
              <w:t>提供原厂商质保与服务承诺函（原件）；</w:t>
            </w:r>
          </w:p>
          <w:p>
            <w:pPr>
              <w:widowControl/>
              <w:spacing w:line="360" w:lineRule="auto"/>
              <w:jc w:val="left"/>
              <w:rPr>
                <w:rFonts w:ascii="宋体" w:hAnsi="宋体" w:cs="宋体"/>
                <w:kern w:val="0"/>
                <w:sz w:val="24"/>
              </w:rPr>
            </w:pPr>
            <w:r>
              <w:rPr>
                <w:rFonts w:hint="eastAsia" w:ascii="宋体" w:hAnsi="宋体" w:cs="宋体"/>
                <w:kern w:val="0"/>
                <w:sz w:val="24"/>
              </w:rPr>
              <w:t>提供原厂商针对本项目的授权书（原件）；</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设备制造商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sz w:val="24"/>
              </w:rPr>
              <w:t xml:space="preserve"> </w:t>
            </w:r>
            <w:r>
              <w:rPr>
                <w:rFonts w:hint="eastAsia" w:ascii="宋体" w:hAnsi="宋体"/>
                <w:sz w:val="24"/>
              </w:rPr>
              <w:t>设备产地需位于中国</w:t>
            </w:r>
          </w:p>
        </w:tc>
        <w:tc>
          <w:tcPr>
            <w:tcW w:w="70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1套</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高度</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5U机架式（塔式）</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CPU</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2颗</w:t>
            </w:r>
            <w:r>
              <w:rPr>
                <w:rFonts w:hint="eastAsia" w:ascii="宋体" w:hAnsi="宋体" w:cs="宋体"/>
                <w:kern w:val="0"/>
                <w:sz w:val="24"/>
              </w:rPr>
              <w:t>性能不低于</w:t>
            </w:r>
            <w:r>
              <w:rPr>
                <w:rFonts w:ascii="宋体" w:hAnsi="宋体" w:cs="宋体"/>
                <w:kern w:val="0"/>
                <w:sz w:val="24"/>
              </w:rPr>
              <w:t>Intel Xeon E5-2620 V4 系列CPU</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性能不低于英特尔</w:t>
            </w:r>
            <w:r>
              <w:rPr>
                <w:rFonts w:ascii="宋体" w:hAnsi="宋体" w:cs="宋体"/>
                <w:kern w:val="0"/>
                <w:sz w:val="24"/>
              </w:rPr>
              <w:t>C610芯片组</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内存</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内存插槽：≥</w:t>
            </w:r>
            <w:r>
              <w:rPr>
                <w:rFonts w:ascii="宋体" w:hAnsi="宋体" w:cs="宋体"/>
                <w:kern w:val="0"/>
                <w:sz w:val="24"/>
              </w:rPr>
              <w:t>24 个DIMM 插槽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内存类型：每条</w:t>
            </w:r>
            <w:r>
              <w:rPr>
                <w:rFonts w:ascii="宋体" w:hAnsi="宋体" w:cs="宋体"/>
                <w:kern w:val="0"/>
                <w:sz w:val="24"/>
              </w:rPr>
              <w:t>16 GB</w:t>
            </w:r>
            <w:r>
              <w:rPr>
                <w:rFonts w:hint="eastAsia" w:ascii="宋体" w:hAnsi="宋体" w:cs="宋体"/>
                <w:kern w:val="0"/>
                <w:sz w:val="24"/>
              </w:rPr>
              <w:t>或</w:t>
            </w:r>
            <w:r>
              <w:rPr>
                <w:rFonts w:ascii="宋体" w:hAnsi="宋体" w:cs="宋体"/>
                <w:kern w:val="0"/>
                <w:sz w:val="24"/>
              </w:rPr>
              <w:t>32 GB DDR4</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最大内存容量：≥</w:t>
            </w:r>
            <w:r>
              <w:rPr>
                <w:rFonts w:ascii="宋体" w:hAnsi="宋体" w:cs="宋体"/>
                <w:kern w:val="0"/>
                <w:sz w:val="24"/>
              </w:rPr>
              <w:t>768 GB</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本次配置：当前配置≥</w:t>
            </w:r>
            <w:r>
              <w:rPr>
                <w:rFonts w:ascii="宋体" w:hAnsi="宋体" w:cs="宋体"/>
                <w:kern w:val="0"/>
                <w:sz w:val="24"/>
              </w:rPr>
              <w:t>32 GB  DDR4内存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81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硬盘</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支持硬盘类型：支持</w:t>
            </w:r>
            <w:r>
              <w:rPr>
                <w:rFonts w:ascii="宋体" w:hAnsi="宋体" w:cs="宋体"/>
                <w:kern w:val="0"/>
                <w:sz w:val="24"/>
              </w:rPr>
              <w:t>7.2K 10K 15K SAS硬盘,SATA硬盘，支持SSD硬盘，</w:t>
            </w:r>
            <w:r>
              <w:rPr>
                <w:rFonts w:hint="eastAsia" w:ascii="宋体" w:hAnsi="宋体" w:cs="宋体"/>
                <w:kern w:val="0"/>
                <w:sz w:val="24"/>
              </w:rPr>
              <w:t>支持</w:t>
            </w:r>
            <w:r>
              <w:rPr>
                <w:rFonts w:ascii="宋体" w:hAnsi="宋体" w:cs="宋体"/>
                <w:kern w:val="0"/>
                <w:sz w:val="24"/>
              </w:rPr>
              <w:t>SAS2.0或PCIE接口</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本地最大支持硬盘数量：</w:t>
            </w:r>
            <w:r>
              <w:rPr>
                <w:rFonts w:ascii="宋体" w:hAnsi="宋体" w:cs="宋体"/>
                <w:kern w:val="0"/>
                <w:sz w:val="24"/>
              </w:rPr>
              <w:t xml:space="preserve"> </w:t>
            </w:r>
            <w:r>
              <w:rPr>
                <w:rFonts w:hint="eastAsia" w:ascii="宋体" w:hAnsi="宋体" w:cs="宋体"/>
                <w:kern w:val="0"/>
                <w:sz w:val="24"/>
              </w:rPr>
              <w:t>≥</w:t>
            </w:r>
            <w:r>
              <w:rPr>
                <w:rFonts w:ascii="宋体" w:hAnsi="宋体" w:cs="宋体"/>
                <w:kern w:val="0"/>
                <w:sz w:val="24"/>
              </w:rPr>
              <w:t>32块硬盘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本次配置：前配置 </w:t>
            </w:r>
            <w:r>
              <w:rPr>
                <w:rFonts w:ascii="宋体" w:hAnsi="宋体" w:cs="宋体"/>
                <w:kern w:val="0"/>
                <w:sz w:val="24"/>
              </w:rPr>
              <w:t>3块</w:t>
            </w:r>
            <w:r>
              <w:rPr>
                <w:rFonts w:hint="eastAsia" w:ascii="宋体" w:hAnsi="宋体" w:cs="宋体"/>
                <w:kern w:val="0"/>
                <w:sz w:val="24"/>
              </w:rPr>
              <w:t>≥</w:t>
            </w:r>
            <w:r>
              <w:rPr>
                <w:rFonts w:ascii="宋体" w:hAnsi="宋体" w:cs="宋体"/>
                <w:kern w:val="0"/>
                <w:sz w:val="24"/>
              </w:rPr>
              <w:t>6TB SAS热插拔硬盘,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RAID卡</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#RAID卡，缓存≥512MB，可扩展缓存上限≥8GB</w:t>
            </w:r>
            <w:r>
              <w:rPr>
                <w:rFonts w:hint="eastAsia" w:ascii="宋体" w:hAnsi="宋体" w:cs="宋体"/>
                <w:kern w:val="0"/>
                <w:sz w:val="24"/>
              </w:rPr>
              <w:t>，带后备电池保护</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网卡</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2个千兆以太网卡，带TOE；支持故障切换和负载均衡功能。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根据用户需要定制：</w:t>
            </w:r>
            <w:r>
              <w:rPr>
                <w:rFonts w:ascii="宋体" w:hAnsi="宋体" w:cs="宋体"/>
                <w:kern w:val="0"/>
                <w:sz w:val="24"/>
              </w:rPr>
              <w:t>2个10Gb</w:t>
            </w:r>
            <w:r>
              <w:rPr>
                <w:rFonts w:hint="eastAsia" w:ascii="宋体" w:hAnsi="宋体" w:cs="宋体"/>
                <w:kern w:val="0"/>
                <w:sz w:val="24"/>
              </w:rPr>
              <w:t>插卡</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38"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管理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#前面板上配备有液晶屏，可显示默认或定制信息，包括但不限于IP地址、服务器名称、支持服务编号等。</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PCI-E</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8个PCIe 插槽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其中</w:t>
            </w:r>
            <w:r>
              <w:rPr>
                <w:rFonts w:ascii="宋体" w:hAnsi="宋体" w:cs="宋体"/>
                <w:kern w:val="0"/>
                <w:sz w:val="24"/>
              </w:rPr>
              <w:t>x16 带宽的全长、全高型x16 插槽≥4，</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x8 带宽的全长、全高型x8 插槽≥4</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PCI-E SSD</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支持不低</w:t>
            </w:r>
            <w:r>
              <w:rPr>
                <w:rFonts w:ascii="宋体" w:hAnsi="宋体" w:cs="宋体"/>
                <w:kern w:val="0"/>
                <w:sz w:val="24"/>
              </w:rPr>
              <w:t>4颗PCIE SSD硬盘</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GPU</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4个内部GPU支持，</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光驱</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8X SATA DVD-ROM</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虚拟化支持</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主板集成双</w:t>
            </w:r>
            <w:r>
              <w:rPr>
                <w:rFonts w:ascii="宋体" w:hAnsi="宋体" w:cs="宋体"/>
                <w:kern w:val="0"/>
                <w:sz w:val="24"/>
              </w:rPr>
              <w:t>SD冗余虚拟化卡</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942"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管理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配置独立远程管理卡（支持远程监控图形界面</w:t>
            </w:r>
            <w:r>
              <w:rPr>
                <w:rFonts w:ascii="宋体" w:hAnsi="宋体" w:cs="宋体"/>
                <w:kern w:val="0"/>
                <w:sz w:val="24"/>
              </w:rPr>
              <w:t>, 可实现与操作系统无关的远程对服务器的完全控制，包括远程的开关机、重启、更新Firmware, 虚拟KVM, 虚拟软驱, 虚拟光驱等操作）；主板集成驱动程序SD卡，可以将驱动程序等存放于存储空间，安装Windows OS不需要导航盘和驱动盘；带管理软件，使用统一的管理界面，支持IPv6。允许用户独立于操作系统状态之外（免代理安装方式）远程访问、监控、维修、修复和升级服务器。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电源</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2个热插拔冗余电源</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81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能耗管理</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可监控、报告及控制处理器、内存及系统级的能耗，允许通过一体化管理控制台实现基于策略的功耗封顶</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风扇</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配置热插拨冗余风扇</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16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服务</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提供原厂商3</w:t>
            </w:r>
            <w:r>
              <w:rPr>
                <w:rFonts w:hint="eastAsia" w:ascii="宋体" w:hAnsi="宋体" w:cs="宋体"/>
                <w:kern w:val="0"/>
                <w:sz w:val="24"/>
              </w:rPr>
              <w:t>年</w:t>
            </w:r>
            <w:r>
              <w:rPr>
                <w:rFonts w:ascii="宋体" w:hAnsi="宋体" w:cs="宋体"/>
                <w:kern w:val="0"/>
                <w:sz w:val="24"/>
              </w:rPr>
              <w:t>7×24×4</w:t>
            </w:r>
            <w:r>
              <w:rPr>
                <w:rFonts w:hint="eastAsia" w:ascii="宋体" w:hAnsi="宋体" w:cs="宋体"/>
                <w:kern w:val="0"/>
                <w:sz w:val="24"/>
              </w:rPr>
              <w:t>现场和备件服务承诺函；</w:t>
            </w:r>
          </w:p>
          <w:p>
            <w:pPr>
              <w:widowControl/>
              <w:spacing w:line="360" w:lineRule="auto"/>
              <w:jc w:val="left"/>
              <w:rPr>
                <w:rFonts w:ascii="宋体" w:hAnsi="宋体" w:cs="宋体"/>
                <w:kern w:val="0"/>
                <w:sz w:val="24"/>
              </w:rPr>
            </w:pPr>
            <w:r>
              <w:rPr>
                <w:rFonts w:hint="eastAsia" w:ascii="宋体" w:hAnsi="宋体" w:cs="宋体"/>
                <w:kern w:val="0"/>
                <w:sz w:val="24"/>
              </w:rPr>
              <w:t>提供专用报修电话；</w:t>
            </w:r>
          </w:p>
          <w:p>
            <w:pPr>
              <w:widowControl/>
              <w:spacing w:line="360" w:lineRule="auto"/>
              <w:jc w:val="left"/>
              <w:rPr>
                <w:rFonts w:ascii="宋体" w:hAnsi="宋体" w:cs="宋体"/>
                <w:kern w:val="0"/>
                <w:sz w:val="24"/>
              </w:rPr>
            </w:pPr>
            <w:r>
              <w:rPr>
                <w:rFonts w:hint="eastAsia" w:ascii="宋体" w:hAnsi="宋体" w:cs="宋体"/>
                <w:kern w:val="0"/>
                <w:sz w:val="24"/>
              </w:rPr>
              <w:t>提供一名原厂专署技术客户经理跟踪整个服务事件以及紧急派遣，专署技术客户经理提供与电话支持同步的现场故障诊断。需</w:t>
            </w:r>
            <w:r>
              <w:rPr>
                <w:rFonts w:ascii="宋体" w:hAnsi="宋体" w:cs="宋体"/>
                <w:kern w:val="0"/>
                <w:sz w:val="24"/>
              </w:rPr>
              <w:t>出具书面</w:t>
            </w:r>
            <w:r>
              <w:rPr>
                <w:rFonts w:hint="eastAsia" w:ascii="宋体" w:hAnsi="宋体" w:cs="宋体"/>
                <w:kern w:val="0"/>
                <w:sz w:val="24"/>
              </w:rPr>
              <w:t>承诺函</w:t>
            </w:r>
            <w:r>
              <w:rPr>
                <w:rFonts w:ascii="宋体" w:hAnsi="宋体" w:cs="宋体"/>
                <w:kern w:val="0"/>
                <w:sz w:val="24"/>
              </w:rPr>
              <w:t>；</w:t>
            </w:r>
          </w:p>
          <w:p>
            <w:pPr>
              <w:widowControl/>
              <w:spacing w:line="360" w:lineRule="auto"/>
              <w:jc w:val="left"/>
              <w:rPr>
                <w:rFonts w:ascii="宋体" w:hAnsi="宋体" w:cs="宋体"/>
                <w:kern w:val="0"/>
                <w:sz w:val="24"/>
              </w:rPr>
            </w:pPr>
            <w:r>
              <w:rPr>
                <w:rFonts w:hint="eastAsia" w:ascii="宋体" w:hAnsi="宋体" w:cs="宋体"/>
                <w:kern w:val="0"/>
                <w:sz w:val="24"/>
              </w:rPr>
              <w:t>提供原厂商质保与服务承诺函（原件）；</w:t>
            </w:r>
          </w:p>
          <w:p>
            <w:pPr>
              <w:widowControl/>
              <w:spacing w:line="360" w:lineRule="auto"/>
              <w:jc w:val="left"/>
              <w:rPr>
                <w:rFonts w:ascii="宋体" w:hAnsi="宋体" w:cs="宋体"/>
                <w:kern w:val="0"/>
                <w:sz w:val="24"/>
              </w:rPr>
            </w:pPr>
            <w:r>
              <w:rPr>
                <w:rFonts w:hint="eastAsia" w:ascii="宋体" w:hAnsi="宋体" w:cs="宋体"/>
                <w:kern w:val="0"/>
                <w:sz w:val="24"/>
              </w:rPr>
              <w:t>提供原厂商针对本项目的授权书（原件）；</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系统分析图形工作站</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配置应不低于</w:t>
            </w:r>
          </w:p>
          <w:p>
            <w:pPr>
              <w:widowControl/>
              <w:spacing w:line="360" w:lineRule="auto"/>
              <w:jc w:val="left"/>
              <w:rPr>
                <w:rFonts w:ascii="宋体" w:hAnsi="宋体" w:cs="宋体"/>
                <w:kern w:val="0"/>
                <w:sz w:val="24"/>
              </w:rPr>
            </w:pPr>
            <w:r>
              <w:rPr>
                <w:rFonts w:ascii="宋体" w:hAnsi="宋体" w:cs="宋体"/>
                <w:kern w:val="0"/>
                <w:sz w:val="24"/>
              </w:rPr>
              <w:t>CPU:I7-8700/16G内存/256G固态硬盘+2T机械硬盘 NVIDIA GTX1050Ti-4G显卡/24</w:t>
            </w:r>
            <w:r>
              <w:rPr>
                <w:rFonts w:hint="eastAsia" w:ascii="宋体" w:hAnsi="宋体" w:cs="宋体"/>
                <w:kern w:val="0"/>
                <w:sz w:val="24"/>
              </w:rPr>
              <w:t>英寸液晶显示器；键盘鼠标；网卡</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16套</w:t>
            </w: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系统应用移动终端</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配置应不低于</w:t>
            </w:r>
          </w:p>
          <w:p>
            <w:pPr>
              <w:widowControl/>
              <w:spacing w:line="360" w:lineRule="auto"/>
              <w:jc w:val="left"/>
              <w:rPr>
                <w:rFonts w:ascii="宋体" w:hAnsi="宋体" w:cs="宋体"/>
                <w:kern w:val="0"/>
                <w:sz w:val="24"/>
              </w:rPr>
            </w:pPr>
            <w:r>
              <w:rPr>
                <w:rFonts w:ascii="宋体" w:hAnsi="宋体" w:cs="宋体"/>
                <w:kern w:val="0"/>
                <w:sz w:val="24"/>
              </w:rPr>
              <w:t>15.6英寸显示器/CPU：E-2176M/32G内存/1T固态固态硬盘/P600 4G显卡/高分屏；</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1套</w:t>
            </w:r>
          </w:p>
        </w:tc>
      </w:tr>
      <w:tr>
        <w:tblPrEx>
          <w:tblLayout w:type="fixed"/>
          <w:tblCellMar>
            <w:top w:w="0" w:type="dxa"/>
            <w:left w:w="108" w:type="dxa"/>
            <w:bottom w:w="0" w:type="dxa"/>
            <w:right w:w="108" w:type="dxa"/>
          </w:tblCellMar>
        </w:tblPrEx>
        <w:trPr>
          <w:trHeight w:val="540"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系统应用高性能移动工作站</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配置应不低于</w:t>
            </w:r>
          </w:p>
          <w:p>
            <w:pPr>
              <w:widowControl/>
              <w:spacing w:line="360" w:lineRule="auto"/>
              <w:jc w:val="left"/>
              <w:rPr>
                <w:rFonts w:ascii="宋体" w:hAnsi="宋体" w:cs="宋体"/>
                <w:kern w:val="0"/>
                <w:sz w:val="24"/>
              </w:rPr>
            </w:pPr>
            <w:r>
              <w:rPr>
                <w:rFonts w:ascii="宋体" w:hAnsi="宋体" w:cs="宋体"/>
                <w:kern w:val="0"/>
                <w:sz w:val="24"/>
              </w:rPr>
              <w:t>i7-8550u/16G /512G@0TCD定制/ 2G独显/ 高分屏 /</w:t>
            </w:r>
            <w:r>
              <w:rPr>
                <w:rFonts w:hint="eastAsia" w:ascii="宋体" w:hAnsi="宋体" w:cs="宋体"/>
                <w:kern w:val="0"/>
                <w:sz w:val="24"/>
              </w:rPr>
              <w:t>背光键盘；预装</w:t>
            </w:r>
            <w:r>
              <w:rPr>
                <w:rFonts w:ascii="宋体" w:hAnsi="宋体" w:cs="宋体"/>
                <w:kern w:val="0"/>
                <w:sz w:val="24"/>
              </w:rPr>
              <w:t>Win10；</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1套</w:t>
            </w:r>
          </w:p>
        </w:tc>
      </w:tr>
      <w:tr>
        <w:tblPrEx>
          <w:tblLayout w:type="fixed"/>
          <w:tblCellMar>
            <w:top w:w="0" w:type="dxa"/>
            <w:left w:w="108" w:type="dxa"/>
            <w:bottom w:w="0" w:type="dxa"/>
            <w:right w:w="108" w:type="dxa"/>
          </w:tblCellMar>
        </w:tblPrEx>
        <w:trPr>
          <w:trHeight w:val="855"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设备购置整体需求</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独立产品需提供生产厂商出具的售后服务承诺函，原厂售后服务时间不低于</w:t>
            </w:r>
            <w:r>
              <w:rPr>
                <w:rFonts w:ascii="宋体" w:hAnsi="宋体" w:cs="宋体"/>
                <w:kern w:val="0"/>
                <w:sz w:val="24"/>
              </w:rPr>
              <w:t>3年；</w:t>
            </w:r>
          </w:p>
        </w:tc>
        <w:tc>
          <w:tcPr>
            <w:tcW w:w="700" w:type="dxa"/>
            <w:vMerge w:val="restart"/>
            <w:tcBorders>
              <w:top w:val="nil"/>
              <w:left w:val="nil"/>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1项　</w:t>
            </w:r>
          </w:p>
          <w:p>
            <w:pPr>
              <w:spacing w:line="360" w:lineRule="auto"/>
              <w:jc w:val="center"/>
              <w:rPr>
                <w:rFonts w:ascii="宋体" w:hAnsi="宋体" w:cs="宋体"/>
                <w:kern w:val="0"/>
                <w:sz w:val="24"/>
              </w:rPr>
            </w:pPr>
            <w:r>
              <w:rPr>
                <w:rFonts w:hint="eastAsia" w:ascii="宋体" w:hAnsi="宋体" w:cs="宋体"/>
                <w:kern w:val="0"/>
                <w:sz w:val="24"/>
              </w:rPr>
              <w:t>　</w:t>
            </w:r>
          </w:p>
        </w:tc>
      </w:tr>
      <w:tr>
        <w:tblPrEx>
          <w:tblLayout w:type="fixed"/>
          <w:tblCellMar>
            <w:top w:w="0" w:type="dxa"/>
            <w:left w:w="108" w:type="dxa"/>
            <w:bottom w:w="0" w:type="dxa"/>
            <w:right w:w="108" w:type="dxa"/>
          </w:tblCellMar>
        </w:tblPrEx>
        <w:trPr>
          <w:trHeight w:val="981" w:hRule="atLeast"/>
        </w:trPr>
        <w:tc>
          <w:tcPr>
            <w:tcW w:w="392"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#所有设备需支持到货查询。</w:t>
            </w:r>
            <w:r>
              <w:rPr>
                <w:rFonts w:hint="eastAsia" w:ascii="宋体" w:hAnsi="宋体" w:cs="宋体"/>
                <w:kern w:val="0"/>
                <w:sz w:val="24"/>
              </w:rPr>
              <w:t>到货查询最终使用人非华北电力大学，将终止合同。</w:t>
            </w:r>
          </w:p>
        </w:tc>
        <w:tc>
          <w:tcPr>
            <w:tcW w:w="700" w:type="dxa"/>
            <w:vMerge w:val="continue"/>
            <w:tcBorders>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3</w:t>
            </w:r>
          </w:p>
        </w:tc>
        <w:tc>
          <w:tcPr>
            <w:tcW w:w="739"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备品备件</w:t>
            </w: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硬盘</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 xml:space="preserve">2TB 7200转 256M SATA3 </w:t>
            </w:r>
            <w:r>
              <w:rPr>
                <w:rFonts w:hint="eastAsia" w:ascii="宋体" w:hAnsi="宋体" w:cs="宋体"/>
                <w:kern w:val="0"/>
                <w:sz w:val="24"/>
              </w:rPr>
              <w:t>台式机机械硬盘</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5块</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内存</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 xml:space="preserve">8G DDR4 2666 </w:t>
            </w:r>
            <w:r>
              <w:rPr>
                <w:rFonts w:hint="eastAsia" w:ascii="宋体" w:hAnsi="宋体" w:cs="宋体"/>
                <w:kern w:val="0"/>
                <w:sz w:val="24"/>
              </w:rPr>
              <w:t>台式机内存</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2条</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 xml:space="preserve">8G DDR3 1600 </w:t>
            </w:r>
            <w:r>
              <w:rPr>
                <w:rFonts w:hint="eastAsia" w:ascii="宋体" w:hAnsi="宋体" w:cs="宋体"/>
                <w:kern w:val="0"/>
                <w:sz w:val="24"/>
              </w:rPr>
              <w:t>台式机内存</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1条</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000000"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ascii="宋体" w:hAnsi="宋体" w:cs="宋体"/>
                <w:kern w:val="0"/>
                <w:sz w:val="24"/>
              </w:rPr>
              <w:t xml:space="preserve">4G DDR3 1600 </w:t>
            </w:r>
            <w:r>
              <w:rPr>
                <w:rFonts w:hint="eastAsia" w:ascii="宋体" w:hAnsi="宋体" w:cs="宋体"/>
                <w:kern w:val="0"/>
                <w:sz w:val="24"/>
              </w:rPr>
              <w:t>台式机内存</w:t>
            </w:r>
          </w:p>
        </w:tc>
        <w:tc>
          <w:tcPr>
            <w:tcW w:w="70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7条</w:t>
            </w:r>
          </w:p>
        </w:tc>
      </w:tr>
      <w:tr>
        <w:tblPrEx>
          <w:tblLayout w:type="fixed"/>
          <w:tblCellMar>
            <w:top w:w="0" w:type="dxa"/>
            <w:left w:w="108" w:type="dxa"/>
            <w:bottom w:w="0" w:type="dxa"/>
            <w:right w:w="108" w:type="dxa"/>
          </w:tblCellMar>
        </w:tblPrEx>
        <w:trPr>
          <w:trHeight w:val="697" w:hRule="atLeast"/>
        </w:trPr>
        <w:tc>
          <w:tcPr>
            <w:tcW w:w="392" w:type="dxa"/>
            <w:vMerge w:val="restart"/>
            <w:tcBorders>
              <w:top w:val="nil"/>
              <w:left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4</w:t>
            </w:r>
          </w:p>
        </w:tc>
        <w:tc>
          <w:tcPr>
            <w:tcW w:w="739" w:type="dxa"/>
            <w:vMerge w:val="restart"/>
            <w:tcBorders>
              <w:top w:val="nil"/>
              <w:left w:val="nil"/>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综合布线</w:t>
            </w:r>
          </w:p>
        </w:tc>
        <w:tc>
          <w:tcPr>
            <w:tcW w:w="1076"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总体要求</w:t>
            </w:r>
          </w:p>
        </w:tc>
        <w:tc>
          <w:tcPr>
            <w:tcW w:w="6154"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完成本次项目所有设备的深化设计以及集成，包含未列出但必需的所有施工材料；</w:t>
            </w:r>
            <w:r>
              <w:rPr>
                <w:rFonts w:ascii="宋体" w:hAnsi="宋体" w:cs="宋体"/>
                <w:kern w:val="0"/>
                <w:sz w:val="24"/>
              </w:rPr>
              <w:br w:type="textWrapping"/>
            </w:r>
            <w:r>
              <w:rPr>
                <w:rFonts w:ascii="宋体" w:hAnsi="宋体" w:cs="宋体"/>
                <w:kern w:val="0"/>
                <w:sz w:val="24"/>
              </w:rPr>
              <w:t>#点位数：20个；</w:t>
            </w:r>
            <w:r>
              <w:rPr>
                <w:rFonts w:ascii="宋体" w:hAnsi="宋体" w:cs="宋体"/>
                <w:kern w:val="0"/>
                <w:sz w:val="24"/>
              </w:rPr>
              <w:br w:type="textWrapping"/>
            </w:r>
            <w:r>
              <w:rPr>
                <w:rFonts w:ascii="宋体" w:hAnsi="宋体" w:cs="宋体"/>
                <w:kern w:val="0"/>
                <w:sz w:val="24"/>
              </w:rPr>
              <w:t>#需根据现场情况进行环境、风格设计与改造，包含空间建设及综合布线，本项目为交钥匙工程，中标方在完成本次招投标活动涉及的供货及集成工作的同时，还需要完成与此前购置设备的联合调试与安装，需提供系统搭建相关音频线、视频线、网线、电源线等辅材辅料。</w:t>
            </w:r>
            <w:r>
              <w:rPr>
                <w:rFonts w:ascii="宋体" w:hAnsi="宋体" w:cs="宋体"/>
                <w:kern w:val="0"/>
                <w:sz w:val="24"/>
              </w:rPr>
              <w:br w:type="textWrapping"/>
            </w:r>
            <w:r>
              <w:rPr>
                <w:rFonts w:ascii="宋体" w:hAnsi="宋体" w:cs="宋体"/>
                <w:kern w:val="0"/>
                <w:sz w:val="24"/>
              </w:rPr>
              <w:t>#需对机房后续建设所需的空间、电力、布线进行充分考虑，并预留相关空间、线缆；</w:t>
            </w:r>
            <w:r>
              <w:rPr>
                <w:rFonts w:ascii="宋体" w:hAnsi="宋体" w:cs="宋体"/>
                <w:kern w:val="0"/>
                <w:sz w:val="24"/>
              </w:rPr>
              <w:br w:type="textWrapping"/>
            </w:r>
            <w:r>
              <w:rPr>
                <w:rFonts w:hint="eastAsia" w:ascii="宋体" w:hAnsi="宋体" w:cs="宋体"/>
                <w:kern w:val="0"/>
                <w:sz w:val="24"/>
              </w:rPr>
              <w:t>系统集成及布线安装施工需严格遵循安全施工的原则并遵循相关国家或行业标准（包含但不限于以下标准）；</w:t>
            </w:r>
            <w:r>
              <w:rPr>
                <w:rFonts w:ascii="宋体" w:hAnsi="宋体" w:cs="宋体"/>
                <w:kern w:val="0"/>
                <w:sz w:val="24"/>
              </w:rPr>
              <w:br w:type="textWrapping"/>
            </w:r>
            <w:r>
              <w:rPr>
                <w:rFonts w:hint="eastAsia" w:ascii="宋体" w:hAnsi="宋体" w:cs="宋体"/>
                <w:kern w:val="0"/>
                <w:sz w:val="24"/>
              </w:rPr>
              <w:t>《中国建筑电气设计规范》；《建筑与建筑群综合布线系统工程设计规范》</w:t>
            </w:r>
            <w:r>
              <w:rPr>
                <w:rFonts w:ascii="宋体" w:hAnsi="宋体" w:cs="宋体"/>
                <w:kern w:val="0"/>
                <w:sz w:val="24"/>
              </w:rPr>
              <w:t xml:space="preserve"> GB/T 50311-2000；</w:t>
            </w:r>
            <w:r>
              <w:rPr>
                <w:rFonts w:ascii="宋体" w:hAnsi="宋体" w:cs="宋体"/>
                <w:kern w:val="0"/>
                <w:sz w:val="24"/>
              </w:rPr>
              <w:br w:type="textWrapping"/>
            </w:r>
            <w:r>
              <w:rPr>
                <w:rFonts w:hint="eastAsia" w:ascii="宋体" w:hAnsi="宋体" w:cs="宋体"/>
                <w:kern w:val="0"/>
                <w:sz w:val="24"/>
              </w:rPr>
              <w:t>《建筑与建筑群综合布线系统工程施工及验收规范》</w:t>
            </w:r>
            <w:r>
              <w:rPr>
                <w:rFonts w:ascii="宋体" w:hAnsi="宋体" w:cs="宋体"/>
                <w:kern w:val="0"/>
                <w:sz w:val="24"/>
              </w:rPr>
              <w:t>GB/T 50312-2000；</w:t>
            </w:r>
            <w:r>
              <w:rPr>
                <w:rFonts w:ascii="宋体" w:hAnsi="宋体" w:cs="宋体"/>
                <w:kern w:val="0"/>
                <w:sz w:val="24"/>
              </w:rPr>
              <w:br w:type="textWrapping"/>
            </w:r>
            <w:r>
              <w:rPr>
                <w:rFonts w:hint="eastAsia" w:ascii="宋体" w:hAnsi="宋体" w:cs="宋体"/>
                <w:kern w:val="0"/>
                <w:sz w:val="24"/>
              </w:rPr>
              <w:t>《信息技术用户建筑群的通用布缆》</w:t>
            </w:r>
            <w:r>
              <w:rPr>
                <w:rFonts w:ascii="宋体" w:hAnsi="宋体" w:cs="宋体"/>
                <w:kern w:val="0"/>
                <w:sz w:val="24"/>
              </w:rPr>
              <w:t xml:space="preserve"> GB/T 18233-2000；</w:t>
            </w:r>
            <w:r>
              <w:rPr>
                <w:rFonts w:ascii="宋体" w:hAnsi="宋体" w:cs="宋体"/>
                <w:kern w:val="0"/>
                <w:sz w:val="24"/>
              </w:rPr>
              <w:br w:type="textWrapping"/>
            </w:r>
            <w:r>
              <w:rPr>
                <w:rFonts w:ascii="宋体" w:hAnsi="宋体" w:cs="宋体"/>
                <w:kern w:val="0"/>
                <w:sz w:val="24"/>
              </w:rPr>
              <w:t>ISO／ICE IS 11801结构化布线标准。</w:t>
            </w:r>
            <w:r>
              <w:rPr>
                <w:rFonts w:ascii="宋体" w:hAnsi="宋体" w:cs="宋体"/>
                <w:kern w:val="0"/>
                <w:sz w:val="24"/>
              </w:rPr>
              <w:br w:type="textWrapping"/>
            </w:r>
            <w:r>
              <w:rPr>
                <w:rFonts w:hint="eastAsia" w:ascii="宋体" w:hAnsi="宋体" w:cs="宋体"/>
                <w:kern w:val="0"/>
                <w:sz w:val="24"/>
              </w:rPr>
              <w:t>所有线缆</w:t>
            </w:r>
            <w:r>
              <w:rPr>
                <w:rFonts w:ascii="宋体" w:hAnsi="宋体" w:cs="宋体"/>
                <w:kern w:val="0"/>
                <w:sz w:val="24"/>
              </w:rPr>
              <w:t>需</w:t>
            </w:r>
            <w:r>
              <w:rPr>
                <w:rFonts w:hint="eastAsia" w:ascii="宋体" w:hAnsi="宋体" w:cs="宋体"/>
                <w:kern w:val="0"/>
                <w:sz w:val="24"/>
              </w:rPr>
              <w:t>使用</w:t>
            </w:r>
            <w:r>
              <w:rPr>
                <w:rFonts w:ascii="宋体" w:hAnsi="宋体" w:cs="宋体"/>
                <w:kern w:val="0"/>
                <w:sz w:val="24"/>
              </w:rPr>
              <w:t>六类线缆，</w:t>
            </w:r>
            <w:r>
              <w:rPr>
                <w:rFonts w:hint="eastAsia" w:ascii="宋体" w:hAnsi="宋体" w:cs="宋体"/>
                <w:kern w:val="0"/>
                <w:sz w:val="24"/>
              </w:rPr>
              <w:t>综合布线工程交付前需完成福禄克测试，并提供完成的测试报告；</w:t>
            </w:r>
            <w:r>
              <w:rPr>
                <w:rFonts w:ascii="宋体" w:hAnsi="宋体" w:cs="宋体"/>
                <w:kern w:val="0"/>
                <w:sz w:val="24"/>
              </w:rPr>
              <w:br w:type="textWrapping"/>
            </w:r>
            <w:r>
              <w:rPr>
                <w:rFonts w:ascii="宋体" w:hAnsi="宋体" w:cs="宋体"/>
                <w:kern w:val="0"/>
                <w:sz w:val="24"/>
              </w:rPr>
              <w:t>#为保证项目建设期间施工标准，资料员等需具备相关资格证书；</w:t>
            </w:r>
          </w:p>
        </w:tc>
        <w:tc>
          <w:tcPr>
            <w:tcW w:w="700" w:type="dxa"/>
            <w:vMerge w:val="restart"/>
            <w:tcBorders>
              <w:top w:val="nil"/>
              <w:left w:val="nil"/>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1项</w:t>
            </w:r>
          </w:p>
        </w:tc>
      </w:tr>
      <w:tr>
        <w:tblPrEx>
          <w:tblLayout w:type="fixed"/>
          <w:tblCellMar>
            <w:top w:w="0" w:type="dxa"/>
            <w:left w:w="108" w:type="dxa"/>
            <w:bottom w:w="0" w:type="dxa"/>
            <w:right w:w="108" w:type="dxa"/>
          </w:tblCellMar>
        </w:tblPrEx>
        <w:trPr>
          <w:trHeight w:val="1170" w:hRule="atLeast"/>
        </w:trPr>
        <w:tc>
          <w:tcPr>
            <w:tcW w:w="392" w:type="dxa"/>
            <w:vMerge w:val="continue"/>
            <w:tcBorders>
              <w:left w:val="single" w:color="auto" w:sz="4" w:space="0"/>
              <w:bottom w:val="nil"/>
              <w:right w:val="single" w:color="auto" w:sz="4" w:space="0"/>
            </w:tcBorders>
            <w:shd w:val="clear" w:color="auto" w:fill="auto"/>
            <w:vAlign w:val="center"/>
          </w:tcPr>
          <w:p>
            <w:pPr>
              <w:widowControl/>
              <w:spacing w:line="360" w:lineRule="auto"/>
              <w:jc w:val="center"/>
              <w:rPr>
                <w:rFonts w:ascii="宋体" w:hAnsi="宋体" w:cs="宋体"/>
                <w:kern w:val="0"/>
                <w:sz w:val="24"/>
              </w:rPr>
            </w:pPr>
          </w:p>
        </w:tc>
        <w:tc>
          <w:tcPr>
            <w:tcW w:w="739" w:type="dxa"/>
            <w:vMerge w:val="continue"/>
            <w:tcBorders>
              <w:left w:val="nil"/>
              <w:bottom w:val="nil"/>
              <w:right w:val="single" w:color="auto" w:sz="4" w:space="0"/>
            </w:tcBorders>
            <w:shd w:val="clear" w:color="auto" w:fill="auto"/>
            <w:vAlign w:val="center"/>
          </w:tcPr>
          <w:p>
            <w:pPr>
              <w:widowControl/>
              <w:spacing w:line="360" w:lineRule="auto"/>
              <w:jc w:val="center"/>
              <w:rPr>
                <w:rFonts w:ascii="宋体" w:hAnsi="宋体" w:cs="宋体"/>
                <w:kern w:val="0"/>
                <w:sz w:val="24"/>
              </w:rPr>
            </w:pPr>
          </w:p>
        </w:tc>
        <w:tc>
          <w:tcPr>
            <w:tcW w:w="1076" w:type="dxa"/>
            <w:tcBorders>
              <w:top w:val="single" w:color="auto" w:sz="4" w:space="0"/>
              <w:left w:val="nil"/>
              <w:bottom w:val="nil"/>
              <w:right w:val="single" w:color="auto" w:sz="4" w:space="0"/>
            </w:tcBorders>
            <w:shd w:val="clear" w:color="auto" w:fill="auto"/>
            <w:vAlign w:val="center"/>
          </w:tcPr>
          <w:p>
            <w:pPr>
              <w:spacing w:line="360" w:lineRule="auto"/>
              <w:jc w:val="center"/>
              <w:rPr>
                <w:rFonts w:ascii="宋体" w:hAnsi="宋体" w:cs="宋体"/>
                <w:kern w:val="0"/>
                <w:sz w:val="24"/>
              </w:rPr>
            </w:pPr>
            <w:r>
              <w:rPr>
                <w:rFonts w:hint="eastAsia" w:ascii="宋体" w:hAnsi="宋体" w:cs="宋体"/>
                <w:kern w:val="0"/>
                <w:sz w:val="24"/>
              </w:rPr>
              <w:t>综合布线</w:t>
            </w:r>
            <w:r>
              <w:rPr>
                <w:rFonts w:ascii="宋体" w:hAnsi="宋体" w:cs="宋体"/>
                <w:kern w:val="0"/>
                <w:sz w:val="24"/>
              </w:rPr>
              <w:t>工程实施要求</w:t>
            </w:r>
          </w:p>
        </w:tc>
        <w:tc>
          <w:tcPr>
            <w:tcW w:w="6154" w:type="dxa"/>
            <w:tcBorders>
              <w:top w:val="single" w:color="auto" w:sz="4" w:space="0"/>
              <w:left w:val="nil"/>
              <w:bottom w:val="nil"/>
              <w:right w:val="single" w:color="auto" w:sz="4" w:space="0"/>
            </w:tcBorders>
            <w:shd w:val="clear" w:color="auto" w:fill="auto"/>
            <w:vAlign w:val="center"/>
          </w:tcPr>
          <w:p>
            <w:pPr>
              <w:spacing w:line="360" w:lineRule="auto"/>
              <w:jc w:val="left"/>
              <w:rPr>
                <w:rFonts w:ascii="宋体" w:hAnsi="宋体" w:cs="宋体"/>
                <w:kern w:val="0"/>
                <w:sz w:val="24"/>
              </w:rPr>
            </w:pPr>
            <w:r>
              <w:rPr>
                <w:rFonts w:ascii="宋体" w:hAnsi="宋体" w:cs="宋体"/>
                <w:kern w:val="0"/>
                <w:sz w:val="24"/>
              </w:rPr>
              <w:t>#因本项目实施场地限制</w:t>
            </w:r>
            <w:r>
              <w:rPr>
                <w:rFonts w:hint="eastAsia" w:ascii="宋体" w:hAnsi="宋体" w:cs="宋体"/>
                <w:kern w:val="0"/>
                <w:sz w:val="24"/>
              </w:rPr>
              <w:t>及</w:t>
            </w:r>
            <w:r>
              <w:rPr>
                <w:rFonts w:ascii="宋体" w:hAnsi="宋体" w:cs="宋体"/>
                <w:kern w:val="0"/>
                <w:sz w:val="24"/>
              </w:rPr>
              <w:t>精密性，要求本项目综合布线工程需严格按照相关规程执行，投标人须组织完善的实施团队，必须选派项目经理、机电工程专业建造师及相关</w:t>
            </w:r>
            <w:r>
              <w:rPr>
                <w:rFonts w:hint="eastAsia" w:ascii="宋体" w:hAnsi="宋体" w:cs="宋体"/>
                <w:kern w:val="0"/>
                <w:sz w:val="24"/>
              </w:rPr>
              <w:t>专业技术人员</w:t>
            </w:r>
            <w:r>
              <w:rPr>
                <w:rFonts w:ascii="宋体" w:hAnsi="宋体" w:cs="宋体"/>
                <w:kern w:val="0"/>
                <w:sz w:val="24"/>
              </w:rPr>
              <w:t>、企业管理人员到场，项目实施期间，将</w:t>
            </w:r>
            <w:r>
              <w:rPr>
                <w:rFonts w:hint="eastAsia" w:ascii="宋体" w:hAnsi="宋体" w:cs="宋体"/>
                <w:kern w:val="0"/>
                <w:sz w:val="24"/>
              </w:rPr>
              <w:t>对</w:t>
            </w:r>
            <w:r>
              <w:rPr>
                <w:rFonts w:ascii="宋体" w:hAnsi="宋体" w:cs="宋体"/>
                <w:kern w:val="0"/>
                <w:sz w:val="24"/>
              </w:rPr>
              <w:t>执行人员严格执行签到制</w:t>
            </w:r>
            <w:r>
              <w:rPr>
                <w:rFonts w:hint="eastAsia" w:ascii="宋体" w:hAnsi="宋体" w:cs="宋体"/>
                <w:kern w:val="0"/>
                <w:sz w:val="24"/>
              </w:rPr>
              <w:t>，所有人员</w:t>
            </w:r>
            <w:r>
              <w:rPr>
                <w:rFonts w:ascii="宋体" w:hAnsi="宋体" w:cs="宋体"/>
                <w:kern w:val="0"/>
                <w:sz w:val="24"/>
              </w:rPr>
              <w:t>需执证上岗。</w:t>
            </w:r>
          </w:p>
        </w:tc>
        <w:tc>
          <w:tcPr>
            <w:tcW w:w="700" w:type="dxa"/>
            <w:vMerge w:val="continue"/>
            <w:tcBorders>
              <w:left w:val="nil"/>
              <w:bottom w:val="nil"/>
              <w:right w:val="single" w:color="auto" w:sz="4" w:space="0"/>
            </w:tcBorders>
            <w:shd w:val="clear" w:color="auto" w:fill="auto"/>
            <w:vAlign w:val="center"/>
          </w:tcPr>
          <w:p>
            <w:pPr>
              <w:widowControl/>
              <w:spacing w:line="360" w:lineRule="auto"/>
              <w:jc w:val="center"/>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5</w:t>
            </w:r>
          </w:p>
        </w:tc>
        <w:tc>
          <w:tcPr>
            <w:tcW w:w="73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核反应堆物理屏蔽高性能</w:t>
            </w:r>
            <w:r>
              <w:rPr>
                <w:rFonts w:ascii="宋体" w:hAnsi="宋体" w:cs="宋体"/>
                <w:kern w:val="0"/>
                <w:sz w:val="24"/>
              </w:rPr>
              <w:br w:type="textWrapping"/>
            </w:r>
            <w:r>
              <w:rPr>
                <w:rFonts w:hint="eastAsia" w:ascii="宋体" w:hAnsi="宋体" w:cs="宋体"/>
                <w:kern w:val="0"/>
                <w:sz w:val="24"/>
              </w:rPr>
              <w:t>计算分析组网</w:t>
            </w:r>
            <w:r>
              <w:rPr>
                <w:rFonts w:ascii="宋体" w:hAnsi="宋体" w:cs="宋体"/>
                <w:kern w:val="0"/>
                <w:sz w:val="24"/>
              </w:rPr>
              <w:t>运维</w:t>
            </w:r>
            <w:r>
              <w:rPr>
                <w:rFonts w:hint="eastAsia" w:ascii="宋体" w:hAnsi="宋体" w:cs="宋体"/>
                <w:kern w:val="0"/>
                <w:sz w:val="24"/>
              </w:rPr>
              <w:t>管理系统及运维保障</w:t>
            </w:r>
          </w:p>
        </w:tc>
        <w:tc>
          <w:tcPr>
            <w:tcW w:w="1076"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运维保障</w:t>
            </w:r>
          </w:p>
        </w:tc>
        <w:tc>
          <w:tcPr>
            <w:tcW w:w="6154" w:type="dxa"/>
            <w:tcBorders>
              <w:top w:val="single" w:color="auto" w:sz="4" w:space="0"/>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#项目建设完成后，进入试运行阶段，试运行时间不少于1个自然月；</w:t>
            </w:r>
            <w:r>
              <w:rPr>
                <w:rFonts w:hint="eastAsia" w:ascii="宋体" w:hAnsi="宋体" w:cs="宋体"/>
                <w:kern w:val="0"/>
                <w:sz w:val="24"/>
              </w:rPr>
              <w:t>试运行期间，中标人组织完整的试运行运维团队，保证试运行期间能够提供及时有效的运维保障工作；项目组相关人员应具备相关认证；</w:t>
            </w:r>
          </w:p>
        </w:tc>
        <w:tc>
          <w:tcPr>
            <w:tcW w:w="70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1项</w:t>
            </w: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运维管理系统技术要求</w:t>
            </w: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项目建成后，除人员运维外，还需同期建设</w:t>
            </w:r>
            <w:r>
              <w:rPr>
                <w:rFonts w:ascii="宋体" w:hAnsi="宋体" w:cs="宋体"/>
                <w:kern w:val="0"/>
                <w:sz w:val="24"/>
              </w:rPr>
              <w:t>IT运维管理系统，相关功能及要求：</w:t>
            </w:r>
          </w:p>
        </w:tc>
        <w:tc>
          <w:tcPr>
            <w:tcW w:w="70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ascii="宋体" w:hAnsi="宋体" w:cs="宋体"/>
                <w:kern w:val="0"/>
                <w:sz w:val="24"/>
              </w:rPr>
              <w:t>1套</w:t>
            </w: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1.系统管理: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提供用户、部门、角色、地理位置等基础管理功能。</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提供分级的权限管理和设置。</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提供日志功能，日志记录应具体到对某个设备做了何种操作；各个用户所执行的各种操作也应详细的记录；管理员可对操作记录进行查询、删除以及进一步处理。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系统主体功能基于</w:t>
            </w:r>
            <w:r>
              <w:rPr>
                <w:rFonts w:ascii="宋体" w:hAnsi="宋体" w:cs="宋体"/>
                <w:kern w:val="0"/>
                <w:sz w:val="24"/>
              </w:rPr>
              <w:t>B/S架构，用户通过主流浏览器便可进行日常运维工作。</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支持不同网段双网卡网络。</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对于相关安全性要求较高的操作，要求提供</w:t>
            </w:r>
            <w:r>
              <w:rPr>
                <w:rFonts w:ascii="宋体" w:hAnsi="宋体" w:cs="宋体"/>
                <w:kern w:val="0"/>
                <w:sz w:val="24"/>
              </w:rPr>
              <w:t>C/S架构的客户端。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2.运维管理: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可以自定义运维类别，并可以根据不同的类别进行表单自定义。</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提供服务台功能，将日常运维工作统一进行分发与处理。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117"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请求完成后，处理人员可以选择是否解决方案提供为知识库，供日后类似问题再次发生时查看，请求人可以对此次请求的进度及质量进行评价，系统支持管理员定义默认的请求评价规则。在整个请求处理过程中，系统至少包含邮件、短信、页面、微信在线提醒等通知方式。</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在整个请求处理过程中，系统支持与资产进行联动。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319"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系统支持移动化办公，用户可以在智能手机微信端进行相关的运维工作。</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支持日志管理、查询。</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支持值班管理，可灵活管理值班模板，进行自动化排班，填写值班日志、进行日志统计和值班查询。</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3.设备资产:</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可以自定义分类，并可根据不同的分类进行属性自定义扩展。</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79"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可以利用移动终端</w:t>
            </w:r>
            <w:r>
              <w:rPr>
                <w:rFonts w:ascii="宋体" w:hAnsi="宋体" w:cs="宋体"/>
                <w:kern w:val="0"/>
                <w:sz w:val="24"/>
              </w:rPr>
              <w:t>APP进行条码扫描，查询设备信息，并支持进行设备维护。</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24"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支持批量添加和导入，可以直接从在线设备列表中导入交换机和服务器等资产，与网管等管理联动可以有效的掌握资产的在线运行信息，使用情况和所在位置。</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603"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支持对设备生命周期</w:t>
            </w:r>
            <w:r>
              <w:rPr>
                <w:rFonts w:ascii="宋体" w:hAnsi="宋体" w:cs="宋体"/>
                <w:kern w:val="0"/>
                <w:sz w:val="24"/>
              </w:rPr>
              <w:t>(入库、领用、借用、维修、报废)管理的全过程记录，并在相应的流转过程中与运维管理进行关联形成电子化的单据信息并可打印。对设备质保期的管理、预警。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支持自定义资产的供应商，厂商及型号，合同等关联的第三方属性。</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94"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可以查询某个位置所有的设备资产的情况及某个资产的位置和运行情况。</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支持通过移动端实现配置的生命周期的移动化管理。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4.知识库管理: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提供支持人员提交经验和知识的输入接口或界面。</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提供知识库内容的审查功能。</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提供完善的查询功能，例如：查询关键字、知识列表等。</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不同等级的用户管理不同的知识库内容。</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提供知识库的分类整理，易于扩展、调整。</w:t>
            </w:r>
            <w:r>
              <w:rPr>
                <w:rFonts w:ascii="宋体" w:hAnsi="宋体" w:cs="宋体"/>
                <w:kern w:val="0"/>
                <w:sz w:val="24"/>
              </w:rPr>
              <w:t xml:space="preserve">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知识库支持</w:t>
            </w:r>
            <w:r>
              <w:rPr>
                <w:rFonts w:ascii="宋体" w:hAnsi="宋体" w:cs="宋体"/>
                <w:kern w:val="0"/>
                <w:sz w:val="24"/>
              </w:rPr>
              <w:t>Word/Excel/TXT等格式文档作为附件的输入和输出。</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5.服务器监控与管理: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9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可以对给定的</w:t>
            </w:r>
            <w:r>
              <w:rPr>
                <w:rFonts w:ascii="宋体" w:hAnsi="宋体" w:cs="宋体"/>
                <w:kern w:val="0"/>
                <w:sz w:val="24"/>
              </w:rPr>
              <w:t>IP地址范围内的服务器进行扫描，发现服务器以及服务器上的标准应用和开放的端口，对IP地址</w:t>
            </w:r>
            <w:r>
              <w:rPr>
                <w:rFonts w:hint="eastAsia" w:ascii="宋体" w:hAnsi="宋体" w:cs="宋体"/>
                <w:kern w:val="0"/>
                <w:sz w:val="24"/>
              </w:rPr>
              <w:t>分配，服务器运行状况，服务器描述、操作系统和中间件、管理员、服务器配置等用户需求信息进行管理。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通过服务器拓扑图实时监控服务器的运行状态以及服务器上应用的运行状态，包括业务资源、应用的运行状态。</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通过配置服务器</w:t>
            </w:r>
            <w:r>
              <w:rPr>
                <w:rFonts w:ascii="宋体" w:hAnsi="宋体" w:cs="宋体"/>
                <w:kern w:val="0"/>
                <w:sz w:val="24"/>
              </w:rPr>
              <w:t>SNMP协议了解服务器的运行情况，包括服务器的CPU利用率、内存使用率、磁盘I/O情况、网络流量情况等信息，并且可以根据信息画出跟踪图表。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w:t>
            </w:r>
            <w:r>
              <w:rPr>
                <w:rFonts w:ascii="宋体" w:hAnsi="宋体" w:cs="宋体"/>
                <w:kern w:val="0"/>
                <w:sz w:val="24"/>
              </w:rPr>
              <w:t xml:space="preserve"> Windows、Linux、UNIX、VMware ESX/ESXi Server等操作系统的实现监控管理。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支持将服务器同其设备配置信息进行绑定，拓扑图中查看服务器运行状态信息时可查看服务器相关资产配置信息。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6.业务资源监控与管理: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65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支持对服务器上</w:t>
            </w:r>
            <w:r>
              <w:rPr>
                <w:rFonts w:ascii="宋体" w:hAnsi="宋体" w:cs="宋体"/>
                <w:kern w:val="0"/>
                <w:sz w:val="24"/>
              </w:rPr>
              <w:t>Oracle、SQLServer等数据库的实时监控管理，能对数据库进程信息监测：进程占用CPU时间、内存大小、数据库进程总数等。</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07"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能监测数据库表空间运行：制定表空间的使用空间大小，表空间使用率等、读</w:t>
            </w:r>
            <w:r>
              <w:rPr>
                <w:rFonts w:ascii="宋体" w:hAnsi="宋体" w:cs="宋体"/>
                <w:kern w:val="0"/>
                <w:sz w:val="24"/>
              </w:rPr>
              <w:t>/写表空间平均时间，能监测数据库文件性能。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能监测数据库会话信息：缓冲区命中率、已连接的用户数、空闲的连接数。</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w:t>
            </w:r>
            <w:r>
              <w:rPr>
                <w:rFonts w:ascii="宋体" w:hAnsi="宋体" w:cs="宋体"/>
                <w:kern w:val="0"/>
                <w:sz w:val="24"/>
              </w:rPr>
              <w:t>Tomcat、Apache等中间件进行监控，包括服务器名称、服务器版本、服务器监听端口、当前服务器是否激活。</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7.应用监控与管理: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支持对标准</w:t>
            </w:r>
            <w:r>
              <w:rPr>
                <w:rFonts w:ascii="宋体" w:hAnsi="宋体" w:cs="宋体"/>
                <w:kern w:val="0"/>
                <w:sz w:val="24"/>
              </w:rPr>
              <w:t>URL的连通性进行监控，用户可以根据设定的包含或不包含关键字、响应时间来制定相应告警策略；支持将URL监测绑定到对应服务器。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支持对服务端口进行监控，可自定义服务端口。</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系统支持对不可</w:t>
            </w:r>
            <w:r>
              <w:rPr>
                <w:rFonts w:ascii="宋体" w:hAnsi="宋体" w:cs="宋体"/>
                <w:kern w:val="0"/>
                <w:sz w:val="24"/>
              </w:rPr>
              <w:t>SNMP管理的设备进行PING通断性监测； PING通断监测异常、恢复时可进行告警。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支持对主机进程监视，可设置关键应用进程，支持进程启动和停止报警。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支持服务器的应用服务监控，可设置关键服务启动和停止报警。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 xml:space="preserve">8.网络拓扑功能: </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53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支持主流品牌网络设备厂商的有线网络设备和无线网络设备进行拓扑发现，遇到其它的品牌，也能支持使用通用的拓扑发现算法对其他品牌的网络设备组成的网络进行拓扑发现。</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7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拓扑图中动态显示每台交换机当前的状态，每条链路的双向流量，支持自定义告警阈值，超过告警阈值的设备给出告警信息。通过拓扑图可以选择查看交换机的各种信息，包括端口信息、配线信息、端口状态、用户</w:t>
            </w:r>
            <w:r>
              <w:rPr>
                <w:rFonts w:ascii="宋体" w:hAnsi="宋体" w:cs="宋体"/>
                <w:kern w:val="0"/>
                <w:sz w:val="24"/>
              </w:rPr>
              <w:t>IP、MAC等信息。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拓扑图支持自动、手动刷新。当网络拓扑发生变化时，可以与新的拓扑保持一致。</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拓扑图中每条链路可显示最近</w:t>
            </w:r>
            <w:r>
              <w:rPr>
                <w:rFonts w:ascii="宋体" w:hAnsi="宋体" w:cs="宋体"/>
                <w:kern w:val="0"/>
                <w:sz w:val="24"/>
              </w:rPr>
              <w:t>12小时的历史数据流量，包括上行、下行流量。并通过此界面直接打开近1天、1周、1月、1年的历史数据流量。</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拓扑图支持按照星型、树型、圆型进行自动布局，同时支持固定坐标的自定义布局。</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9.网络监控功能: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支持全网运行状态总览，包含设备运行状态统计、设备厂商统计、最新告警时间、故障设备列表、关键设备</w:t>
            </w:r>
            <w:r>
              <w:rPr>
                <w:rFonts w:ascii="宋体" w:hAnsi="宋体" w:cs="宋体"/>
                <w:kern w:val="0"/>
                <w:sz w:val="24"/>
              </w:rPr>
              <w:t>CPU历史曲线等信息。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53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以图形方式显示每一台设备的运行状态。自动获取设备</w:t>
            </w:r>
            <w:r>
              <w:rPr>
                <w:rFonts w:ascii="宋体" w:hAnsi="宋体" w:cs="宋体"/>
                <w:kern w:val="0"/>
                <w:sz w:val="24"/>
              </w:rPr>
              <w:t>IP地址、MAC地址、名称、描述、运行状态等信息，显示设备所属的子拓扑页面的链接，根据设备IP快速检索到设备记录。</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监控并记录所有设备的互联接口的流量、</w:t>
            </w:r>
            <w:r>
              <w:rPr>
                <w:rFonts w:ascii="宋体" w:hAnsi="宋体" w:cs="宋体"/>
                <w:kern w:val="0"/>
                <w:sz w:val="24"/>
              </w:rPr>
              <w:t>CPU、内存利用率，支持按照日、周、月、年进行流量图绘制。</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支持设备接口一览表，实时显示每个接口的平均出入流量、每秒收到的单播包数、广播包数、错包数和丢包数。支持查看接口的流量历史数据。</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对无线网络中的无线控制器、无线</w:t>
            </w:r>
            <w:r>
              <w:rPr>
                <w:rFonts w:ascii="宋体" w:hAnsi="宋体" w:cs="宋体"/>
                <w:kern w:val="0"/>
                <w:sz w:val="24"/>
              </w:rPr>
              <w:t>AP、无线终端进行自动发现，并监控AP、终端的在线状态；支持对无线AP上连接的终端数进行记录，提供查询统计功能。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10.终端监控与IP地址管理: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76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要求终端信息包括</w:t>
            </w:r>
            <w:r>
              <w:rPr>
                <w:rFonts w:ascii="宋体" w:hAnsi="宋体" w:cs="宋体"/>
                <w:kern w:val="0"/>
                <w:sz w:val="24"/>
              </w:rPr>
              <w:t>IP地址、MAC地址、上连设备端口、计算机名、用户登录名、分区和最近出现时间。</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7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要求系统具有学习功能，能够自动更新终端</w:t>
            </w:r>
            <w:r>
              <w:rPr>
                <w:rFonts w:ascii="宋体" w:hAnsi="宋体" w:cs="宋体"/>
                <w:kern w:val="0"/>
                <w:sz w:val="24"/>
              </w:rPr>
              <w:t>IP地址、交换机端口、计算机名改变。提供方便的终端查询功能，接入日志提供终端交换机端口的流量数据，自动生成交换机连接计算机终端及不可管理设备的星型物理拓扑图。</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53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要求拓扑图连线上直接显示端口的实时流量，线条箭头能够指示流量方向；可以选择流量类型和方向；类型包括流量、单播包、广播包、错包、丢包、负荷、线速、广播包比例和峰值；</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要求系统具有终端告警功能，可以报告新终端、</w:t>
            </w:r>
            <w:r>
              <w:rPr>
                <w:rFonts w:ascii="宋体" w:hAnsi="宋体" w:cs="宋体"/>
                <w:kern w:val="0"/>
                <w:sz w:val="24"/>
              </w:rPr>
              <w:t>IP地址改变、端口改变、计算机名改变事件，提供事件的首次发现时间和最近发现时间。</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可以自动发现网络中划分的子网信息，包括网络地址、子网掩码、三层设备地址、可用的</w:t>
            </w:r>
            <w:r>
              <w:rPr>
                <w:rFonts w:ascii="宋体" w:hAnsi="宋体" w:cs="宋体"/>
                <w:kern w:val="0"/>
                <w:sz w:val="24"/>
              </w:rPr>
              <w:t>IP地址数、当前子网内使用的IP地址数、IP地址使用率等信息。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11.虚拟化平台监控与管理: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支持对安装了</w:t>
            </w:r>
            <w:r>
              <w:rPr>
                <w:rFonts w:ascii="宋体" w:hAnsi="宋体" w:cs="宋体"/>
                <w:kern w:val="0"/>
                <w:sz w:val="24"/>
              </w:rPr>
              <w:t>VMware ESX的虚拟化服务器进行监控，包括服务器的运行状态、CPU使用率、内存使用率、硬盘信息、网络流量情况等信息。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支持对虚拟机进行监控，包括虚拟机的运行状态、</w:t>
            </w:r>
            <w:r>
              <w:rPr>
                <w:rFonts w:ascii="宋体" w:hAnsi="宋体" w:cs="宋体"/>
                <w:kern w:val="0"/>
                <w:sz w:val="24"/>
              </w:rPr>
              <w:t>CPU使用率、内存使用率、各磁盘使用率、进程等信息。</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支持对虚拟机进行开机、关机、重启、远程桌面等操作。</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支持虚拟化拓扑图集中展示数据中心、虚拟化服务器、虚拟机的运行状态，数据实时刷新。虚拟化拓扑图中显示最新告警事件。</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提供</w:t>
            </w:r>
            <w:r>
              <w:rPr>
                <w:rFonts w:ascii="宋体" w:hAnsi="宋体" w:cs="宋体"/>
                <w:kern w:val="0"/>
                <w:sz w:val="24"/>
              </w:rPr>
              <w:t>VMware架构的映射与发现功能，自动化构建虚拟环境依赖关系，为用户提供复杂虚拟化架构的完整、清晰、实时的可视性图形界面。</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12.视图管理:</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系统能根据业务系统、服务器、组织结构来自动生成业务视图，并支持自定义业务视图，并与监控体系实时联动。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系统支持机柜视图，在机柜中实时展示设备的位置、运行状态。</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13.性能查询及报表：</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对各类资源的性能数据进行记录，并统一查询性能数据，支持自定义查询类型、查询时间，支持对查询指标进行过滤。</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02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支持对各类资源的性能数据进行</w:t>
            </w:r>
            <w:r>
              <w:rPr>
                <w:rFonts w:ascii="宋体" w:hAnsi="宋体" w:cs="宋体"/>
                <w:kern w:val="0"/>
                <w:sz w:val="24"/>
              </w:rPr>
              <w:t>TOP-N排行查询，至少包含响应时间、可用性、CPU利用率、流量的性能查询。</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故障</w:t>
            </w:r>
            <w:r>
              <w:rPr>
                <w:rFonts w:ascii="宋体" w:hAnsi="宋体" w:cs="宋体"/>
                <w:kern w:val="0"/>
                <w:sz w:val="24"/>
              </w:rPr>
              <w:t>TOP-N排行、可用性排行可按资源类型进行筛选。</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510"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要求系统提供网络设备表、服务器表、入网计算机表的导出功能。</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ascii="宋体" w:hAnsi="宋体" w:cs="宋体"/>
                <w:kern w:val="0"/>
                <w:sz w:val="24"/>
              </w:rPr>
              <w:t>14.资源统一告警: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127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网络设备监控要求具备报警确认机制，即首次发现故障并不转发报警，根据不同的报警类型再进行不同次数的故障确认，确认为故障后进行报警。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983"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要求支持</w:t>
            </w:r>
            <w:r>
              <w:rPr>
                <w:rFonts w:ascii="宋体" w:hAnsi="宋体" w:cs="宋体"/>
                <w:kern w:val="0"/>
                <w:sz w:val="24"/>
              </w:rPr>
              <w:t>SNMP无响应、服务端口无响应、进程不存在、关键接口异常、URL监测异常、PING无响应、JDBC无法连接到数据库、HTTP无法连接到目标服务器等故障类报警；CPU利用率超过阈值、接口流量超过阈值、温度超过阈值、湿度超过阈值、内存利用率超过阈值、硬盘利用率超过阈值、数据库连接时间超过阈值、数据库表空间利用率超过阈值、数据库缓存命中率超过阈值、Apache响应时间超过阈值、IIS当前连接数超过阈值、已用连接数百分比异常、接口单播包超过阈值、接口广播包超过阈值、IIS当前用户数超过阈值等阈值类报警；新计算机、IP地址改变、上连设备改变、计算机名改变等终端类报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664"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研发能力及软件为成品证明</w:t>
            </w:r>
          </w:p>
        </w:tc>
        <w:tc>
          <w:tcPr>
            <w:tcW w:w="6154" w:type="dxa"/>
            <w:tcBorders>
              <w:top w:val="nil"/>
              <w:left w:val="nil"/>
              <w:bottom w:val="single" w:color="auto" w:sz="4" w:space="0"/>
              <w:right w:val="single" w:color="auto" w:sz="4" w:space="0"/>
            </w:tcBorders>
            <w:shd w:val="clear" w:color="000000" w:fill="FFFFFF"/>
            <w:vAlign w:val="center"/>
          </w:tcPr>
          <w:p>
            <w:pPr>
              <w:spacing w:line="360" w:lineRule="auto"/>
              <w:jc w:val="left"/>
              <w:rPr>
                <w:rFonts w:ascii="宋体" w:hAnsi="宋体" w:cs="宋体"/>
                <w:kern w:val="0"/>
                <w:sz w:val="24"/>
              </w:rPr>
            </w:pPr>
            <w:r>
              <w:rPr>
                <w:rFonts w:ascii="宋体" w:hAnsi="宋体" w:cs="宋体"/>
                <w:kern w:val="0"/>
                <w:sz w:val="24"/>
              </w:rPr>
              <w:t>#本系统需为已完成研发的成熟</w:t>
            </w:r>
            <w:r>
              <w:rPr>
                <w:rFonts w:hint="eastAsia" w:ascii="宋体" w:hAnsi="宋体" w:cs="宋体"/>
                <w:kern w:val="0"/>
                <w:sz w:val="24"/>
              </w:rPr>
              <w:t>产品，提供软件著作权证书；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r>
        <w:tblPrEx>
          <w:tblLayout w:type="fixed"/>
          <w:tblCellMar>
            <w:top w:w="0" w:type="dxa"/>
            <w:left w:w="108" w:type="dxa"/>
            <w:bottom w:w="0" w:type="dxa"/>
            <w:right w:w="108" w:type="dxa"/>
          </w:tblCellMar>
        </w:tblPrEx>
        <w:trPr>
          <w:trHeight w:val="285" w:hRule="atLeast"/>
        </w:trPr>
        <w:tc>
          <w:tcPr>
            <w:tcW w:w="392"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739"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1076"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c>
          <w:tcPr>
            <w:tcW w:w="6154" w:type="dxa"/>
            <w:tcBorders>
              <w:top w:val="nil"/>
              <w:left w:val="nil"/>
              <w:bottom w:val="single" w:color="auto" w:sz="4" w:space="0"/>
              <w:right w:val="single" w:color="auto" w:sz="4" w:space="0"/>
            </w:tcBorders>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软件生产厂商需具备</w:t>
            </w:r>
            <w:r>
              <w:rPr>
                <w:rFonts w:ascii="宋体" w:hAnsi="宋体" w:cs="宋体"/>
                <w:kern w:val="0"/>
                <w:sz w:val="24"/>
              </w:rPr>
              <w:t>CMMI3</w:t>
            </w:r>
            <w:r>
              <w:rPr>
                <w:rFonts w:hint="eastAsia" w:ascii="宋体" w:hAnsi="宋体" w:cs="宋体"/>
                <w:kern w:val="0"/>
                <w:sz w:val="24"/>
              </w:rPr>
              <w:t>及以上证书；</w:t>
            </w:r>
          </w:p>
        </w:tc>
        <w:tc>
          <w:tcPr>
            <w:tcW w:w="700"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 w:val="24"/>
              </w:rPr>
            </w:pPr>
          </w:p>
        </w:tc>
      </w:tr>
    </w:tbl>
    <w:p>
      <w:pPr>
        <w:spacing w:line="360" w:lineRule="auto"/>
        <w:rPr>
          <w:rFonts w:ascii="宋体" w:hAnsi="宋体"/>
          <w:sz w:val="24"/>
        </w:rPr>
      </w:pPr>
    </w:p>
    <w:p/>
    <w:p>
      <w:pPr>
        <w:widowControl/>
        <w:jc w:val="left"/>
      </w:pPr>
      <w:r>
        <w:br w:type="page"/>
      </w:r>
    </w:p>
    <w:p/>
    <w:p>
      <w:pPr>
        <w:pStyle w:val="2"/>
        <w:spacing w:line="360" w:lineRule="auto"/>
        <w:rPr>
          <w:rFonts w:asciiTheme="minorEastAsia" w:hAnsiTheme="minorEastAsia" w:eastAsiaTheme="minorEastAsia"/>
          <w:sz w:val="30"/>
          <w:szCs w:val="30"/>
        </w:rPr>
      </w:pPr>
      <w:bookmarkStart w:id="195" w:name="_Toc347613278"/>
      <w:bookmarkEnd w:id="195"/>
      <w:bookmarkStart w:id="196" w:name="_Toc518508195"/>
      <w:bookmarkEnd w:id="196"/>
      <w:bookmarkStart w:id="197" w:name="_Toc518508199"/>
      <w:bookmarkEnd w:id="197"/>
      <w:bookmarkStart w:id="198" w:name="_Toc518508204"/>
      <w:bookmarkEnd w:id="198"/>
      <w:bookmarkStart w:id="199" w:name="_Toc518508193"/>
      <w:bookmarkEnd w:id="199"/>
      <w:bookmarkStart w:id="200" w:name="_Toc518508192"/>
      <w:bookmarkEnd w:id="200"/>
      <w:bookmarkStart w:id="201" w:name="_Toc518508202"/>
      <w:bookmarkEnd w:id="201"/>
      <w:bookmarkStart w:id="202" w:name="_Toc518508186"/>
      <w:bookmarkEnd w:id="202"/>
      <w:bookmarkStart w:id="203" w:name="_Toc518508198"/>
      <w:bookmarkEnd w:id="203"/>
      <w:bookmarkStart w:id="204" w:name="_Toc518508190"/>
      <w:bookmarkEnd w:id="204"/>
      <w:bookmarkStart w:id="205" w:name="_Toc347680426"/>
      <w:bookmarkEnd w:id="205"/>
      <w:bookmarkStart w:id="206" w:name="_Toc518508196"/>
      <w:bookmarkEnd w:id="206"/>
      <w:bookmarkStart w:id="207" w:name="_Toc518508201"/>
      <w:bookmarkEnd w:id="207"/>
      <w:bookmarkStart w:id="208" w:name="_Toc518508197"/>
      <w:bookmarkEnd w:id="208"/>
      <w:bookmarkStart w:id="209" w:name="_Toc347680808"/>
      <w:bookmarkEnd w:id="209"/>
      <w:bookmarkStart w:id="210" w:name="_Toc518508189"/>
      <w:bookmarkEnd w:id="210"/>
      <w:bookmarkStart w:id="211" w:name="_Toc518508194"/>
      <w:bookmarkEnd w:id="211"/>
      <w:bookmarkStart w:id="212" w:name="_Toc518508188"/>
      <w:bookmarkEnd w:id="212"/>
      <w:bookmarkStart w:id="213" w:name="_Toc518508200"/>
      <w:bookmarkEnd w:id="213"/>
      <w:bookmarkStart w:id="214" w:name="_Toc518508203"/>
      <w:bookmarkEnd w:id="214"/>
      <w:bookmarkStart w:id="215" w:name="_Toc347671292"/>
      <w:bookmarkEnd w:id="215"/>
      <w:bookmarkStart w:id="216" w:name="_Toc518508187"/>
      <w:bookmarkEnd w:id="216"/>
      <w:bookmarkStart w:id="217" w:name="_Toc518508185"/>
      <w:bookmarkEnd w:id="217"/>
      <w:bookmarkStart w:id="218" w:name="_Toc518508191"/>
      <w:bookmarkEnd w:id="218"/>
      <w:bookmarkStart w:id="219" w:name="_Toc529435055"/>
      <w:r>
        <w:rPr>
          <w:rFonts w:hint="eastAsia" w:asciiTheme="minorEastAsia" w:hAnsiTheme="minorEastAsia" w:eastAsiaTheme="minorEastAsia"/>
          <w:sz w:val="30"/>
          <w:szCs w:val="30"/>
        </w:rPr>
        <w:t>第五章评分办法及评分标准</w:t>
      </w:r>
      <w:bookmarkEnd w:id="193"/>
      <w:bookmarkEnd w:id="194"/>
      <w:bookmarkEnd w:id="21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一、评标办法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1、评标委员会评委根据评分标准对照各投标人的投标文件内容进行评分。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2、计分方法：将各评标委员对同一投标单位的得分合计后取平均值，即为该投标单位的最终得分。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3、评标结果按评审后得分由高到低顺序排列。得分相同的，按投标报价由低到高顺序排列。得分且投标报价相同的，按照技术指标优劣顺序排列。</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采购人将确定排名第一的中标候选人为中标人。排名第一的中标候选人放弃中标、因不可抗力提出不能履行合同，采购人可以确定排名第二的中标候选人为中标人。排名第二的中标候选人因前款规定的同样原因不能签订合同的，采购人可以确定排名第三的中标候选人为中标人，以此类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提供相同品牌产品且通过资格审查、符合性审查的不同投标人参加同一合同项下投标的，按一家投标人计算，评审后得分最高的同品牌投标人获得中标人推荐资格；评审得分相同的，按照投标报价由低到高顺序排列，得分且投标报价相同的，按技术指标优劣顺序排列，其他同品牌投标人不作为中标候选人。</w:t>
      </w:r>
      <w:r>
        <w:rPr>
          <w:rFonts w:asciiTheme="minorEastAsia" w:hAnsiTheme="minorEastAsia" w:eastAsiaTheme="minorEastAsia"/>
          <w:sz w:val="24"/>
        </w:rPr>
        <w:t xml:space="preserve"> </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二、评分标准</w:t>
      </w:r>
    </w:p>
    <w:tbl>
      <w:tblPr>
        <w:tblStyle w:val="50"/>
        <w:tblW w:w="9061" w:type="dxa"/>
        <w:tblInd w:w="0" w:type="dxa"/>
        <w:tblLayout w:type="fixed"/>
        <w:tblCellMar>
          <w:top w:w="0" w:type="dxa"/>
          <w:left w:w="108" w:type="dxa"/>
          <w:bottom w:w="0" w:type="dxa"/>
          <w:right w:w="108" w:type="dxa"/>
        </w:tblCellMar>
      </w:tblPr>
      <w:tblGrid>
        <w:gridCol w:w="785"/>
        <w:gridCol w:w="7461"/>
        <w:gridCol w:w="815"/>
      </w:tblGrid>
      <w:tr>
        <w:tblPrEx>
          <w:tblLayout w:type="fixed"/>
          <w:tblCellMar>
            <w:top w:w="0" w:type="dxa"/>
            <w:left w:w="108" w:type="dxa"/>
            <w:bottom w:w="0" w:type="dxa"/>
            <w:right w:w="108" w:type="dxa"/>
          </w:tblCellMar>
        </w:tblPrEx>
        <w:trPr>
          <w:trHeight w:val="746" w:hRule="atLeast"/>
        </w:trPr>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序号</w:t>
            </w:r>
          </w:p>
        </w:tc>
        <w:tc>
          <w:tcPr>
            <w:tcW w:w="7461"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评分因素</w:t>
            </w:r>
          </w:p>
        </w:tc>
        <w:tc>
          <w:tcPr>
            <w:tcW w:w="81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最高分值</w:t>
            </w:r>
          </w:p>
        </w:tc>
      </w:tr>
      <w:tr>
        <w:tblPrEx>
          <w:tblLayout w:type="fixed"/>
          <w:tblCellMar>
            <w:top w:w="0" w:type="dxa"/>
            <w:left w:w="108" w:type="dxa"/>
            <w:bottom w:w="0" w:type="dxa"/>
            <w:right w:w="108" w:type="dxa"/>
          </w:tblCellMar>
        </w:tblPrEx>
        <w:trPr>
          <w:trHeight w:val="746" w:hRule="atLeast"/>
        </w:trPr>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价格</w:t>
            </w:r>
          </w:p>
        </w:tc>
        <w:tc>
          <w:tcPr>
            <w:tcW w:w="7461"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left"/>
              <w:rPr>
                <w:rFonts w:hAnsi="宋体"/>
                <w:kern w:val="0"/>
                <w:szCs w:val="21"/>
              </w:rPr>
            </w:pPr>
            <w:r>
              <w:rPr>
                <w:rFonts w:hAnsi="宋体"/>
                <w:kern w:val="0"/>
                <w:szCs w:val="21"/>
              </w:rPr>
              <w:t>投标报价得分=</w:t>
            </w:r>
            <w:r>
              <w:rPr>
                <w:rFonts w:hint="eastAsia" w:hAnsi="宋体"/>
                <w:kern w:val="0"/>
                <w:szCs w:val="21"/>
              </w:rPr>
              <w:t>（</w:t>
            </w:r>
            <w:r>
              <w:rPr>
                <w:rFonts w:hAnsi="宋体"/>
                <w:kern w:val="0"/>
                <w:szCs w:val="21"/>
              </w:rPr>
              <w:t>评标基准价／投标报价</w:t>
            </w:r>
            <w:r>
              <w:rPr>
                <w:rFonts w:hint="eastAsia" w:hAnsi="宋体"/>
                <w:kern w:val="0"/>
                <w:szCs w:val="21"/>
              </w:rPr>
              <w:t>）</w:t>
            </w:r>
            <w:r>
              <w:rPr>
                <w:rFonts w:hAnsi="宋体"/>
                <w:kern w:val="0"/>
                <w:szCs w:val="21"/>
              </w:rPr>
              <w:t>×40％×100</w:t>
            </w:r>
          </w:p>
          <w:p>
            <w:pPr>
              <w:widowControl/>
              <w:spacing w:line="360" w:lineRule="auto"/>
              <w:jc w:val="left"/>
              <w:rPr>
                <w:rFonts w:ascii="宋体" w:hAnsi="宋体" w:cs="宋体"/>
                <w:kern w:val="0"/>
                <w:szCs w:val="21"/>
              </w:rPr>
            </w:pPr>
            <w:r>
              <w:rPr>
                <w:rFonts w:hAnsi="宋体"/>
                <w:kern w:val="0"/>
                <w:szCs w:val="21"/>
              </w:rPr>
              <w:t>实质性满足招标文件要求且投标价格最低的投标报价为评标基准价，其价格分为满分。</w:t>
            </w:r>
          </w:p>
        </w:tc>
        <w:tc>
          <w:tcPr>
            <w:tcW w:w="815"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4</w:t>
            </w:r>
            <w:r>
              <w:rPr>
                <w:rFonts w:ascii="宋体" w:hAnsi="宋体" w:cs="宋体"/>
                <w:kern w:val="0"/>
                <w:szCs w:val="21"/>
              </w:rPr>
              <w:t>0</w:t>
            </w:r>
          </w:p>
        </w:tc>
      </w:tr>
      <w:tr>
        <w:tblPrEx>
          <w:tblLayout w:type="fixed"/>
          <w:tblCellMar>
            <w:top w:w="0" w:type="dxa"/>
            <w:left w:w="108" w:type="dxa"/>
            <w:bottom w:w="0" w:type="dxa"/>
            <w:right w:w="108" w:type="dxa"/>
          </w:tblCellMar>
        </w:tblPrEx>
        <w:trPr>
          <w:trHeight w:val="450" w:hRule="atLeast"/>
        </w:trPr>
        <w:tc>
          <w:tcPr>
            <w:tcW w:w="785" w:type="dxa"/>
            <w:vMerge w:val="restart"/>
            <w:tcBorders>
              <w:top w:val="nil"/>
              <w:left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r>
              <w:rPr>
                <w:rFonts w:hint="eastAsia" w:ascii="宋体" w:hAnsi="宋体" w:cs="宋体"/>
                <w:kern w:val="0"/>
                <w:szCs w:val="21"/>
              </w:rPr>
              <w:t>企业状况</w:t>
            </w: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投标人具有有效的ISO9001质量管理体系认证证书、ISO14001环境管理体系认证证书、</w:t>
            </w:r>
            <w:r>
              <w:rPr>
                <w:rFonts w:ascii="宋体" w:hAnsi="宋体" w:cs="宋体"/>
                <w:kern w:val="0"/>
                <w:szCs w:val="21"/>
              </w:rPr>
              <w:t>OHSAS18001</w:t>
            </w:r>
            <w:r>
              <w:rPr>
                <w:rFonts w:hint="eastAsia" w:ascii="宋体" w:hAnsi="宋体" w:cs="宋体"/>
                <w:kern w:val="0"/>
                <w:szCs w:val="21"/>
              </w:rPr>
              <w:t>认证证书及高新技术企业证书，得4分；</w:t>
            </w:r>
            <w:r>
              <w:rPr>
                <w:rFonts w:ascii="宋体" w:hAnsi="宋体" w:cs="宋体"/>
                <w:kern w:val="0"/>
                <w:szCs w:val="21"/>
              </w:rPr>
              <w:t xml:space="preserve"> </w:t>
            </w:r>
          </w:p>
        </w:tc>
        <w:tc>
          <w:tcPr>
            <w:tcW w:w="81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ascii="宋体" w:hAnsi="宋体" w:cs="宋体"/>
                <w:kern w:val="0"/>
                <w:szCs w:val="21"/>
              </w:rPr>
              <w:t>4</w:t>
            </w:r>
          </w:p>
        </w:tc>
      </w:tr>
      <w:tr>
        <w:tblPrEx>
          <w:tblLayout w:type="fixed"/>
          <w:tblCellMar>
            <w:top w:w="0" w:type="dxa"/>
            <w:left w:w="108" w:type="dxa"/>
            <w:bottom w:w="0" w:type="dxa"/>
            <w:right w:w="108" w:type="dxa"/>
          </w:tblCellMar>
        </w:tblPrEx>
        <w:trPr>
          <w:trHeight w:val="351" w:hRule="atLeast"/>
        </w:trPr>
        <w:tc>
          <w:tcPr>
            <w:tcW w:w="785" w:type="dxa"/>
            <w:vMerge w:val="continue"/>
            <w:tcBorders>
              <w:left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投标人具有国家信息安全测评信息安全服务资质（安全工程类）一级得5分。二级证书的3分，没有不得分</w:t>
            </w:r>
          </w:p>
        </w:tc>
        <w:tc>
          <w:tcPr>
            <w:tcW w:w="81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5</w:t>
            </w:r>
          </w:p>
        </w:tc>
      </w:tr>
      <w:tr>
        <w:tblPrEx>
          <w:tblLayout w:type="fixed"/>
          <w:tblCellMar>
            <w:top w:w="0" w:type="dxa"/>
            <w:left w:w="108" w:type="dxa"/>
            <w:bottom w:w="0" w:type="dxa"/>
            <w:right w:w="108" w:type="dxa"/>
          </w:tblCellMar>
        </w:tblPrEx>
        <w:trPr>
          <w:trHeight w:val="351" w:hRule="atLeast"/>
        </w:trPr>
        <w:tc>
          <w:tcPr>
            <w:tcW w:w="785" w:type="dxa"/>
            <w:vMerge w:val="continue"/>
            <w:tcBorders>
              <w:left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投标人且具备ITSS信息技术服务运行维护标准一级证书，得5分；二级证书的3分，没有不得分</w:t>
            </w:r>
          </w:p>
        </w:tc>
        <w:tc>
          <w:tcPr>
            <w:tcW w:w="81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5</w:t>
            </w:r>
          </w:p>
        </w:tc>
      </w:tr>
      <w:tr>
        <w:tblPrEx>
          <w:tblLayout w:type="fixed"/>
          <w:tblCellMar>
            <w:top w:w="0" w:type="dxa"/>
            <w:left w:w="108" w:type="dxa"/>
            <w:bottom w:w="0" w:type="dxa"/>
            <w:right w:w="108" w:type="dxa"/>
          </w:tblCellMar>
        </w:tblPrEx>
        <w:trPr>
          <w:trHeight w:val="351" w:hRule="atLeast"/>
        </w:trPr>
        <w:tc>
          <w:tcPr>
            <w:tcW w:w="785" w:type="dxa"/>
            <w:vMerge w:val="continue"/>
            <w:tcBorders>
              <w:left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投标人具有信息系统集成及服务壹级证书，得</w:t>
            </w:r>
            <w:r>
              <w:rPr>
                <w:rFonts w:ascii="宋体" w:hAnsi="宋体" w:cs="宋体"/>
                <w:kern w:val="0"/>
                <w:szCs w:val="21"/>
              </w:rPr>
              <w:t>1分。</w:t>
            </w:r>
          </w:p>
        </w:tc>
        <w:tc>
          <w:tcPr>
            <w:tcW w:w="815"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1</w:t>
            </w:r>
          </w:p>
        </w:tc>
      </w:tr>
      <w:tr>
        <w:tblPrEx>
          <w:tblLayout w:type="fixed"/>
          <w:tblCellMar>
            <w:top w:w="0" w:type="dxa"/>
            <w:left w:w="108" w:type="dxa"/>
            <w:bottom w:w="0" w:type="dxa"/>
            <w:right w:w="108" w:type="dxa"/>
          </w:tblCellMar>
        </w:tblPrEx>
        <w:trPr>
          <w:trHeight w:val="216" w:hRule="atLeast"/>
        </w:trPr>
        <w:tc>
          <w:tcPr>
            <w:tcW w:w="785" w:type="dxa"/>
            <w:vMerge w:val="continue"/>
            <w:tcBorders>
              <w:left w:val="single" w:color="auto" w:sz="4" w:space="0"/>
              <w:bottom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p>
        </w:tc>
        <w:tc>
          <w:tcPr>
            <w:tcW w:w="7461"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left"/>
              <w:rPr>
                <w:rFonts w:ascii="宋体" w:hAnsi="宋体" w:cs="宋体"/>
                <w:kern w:val="0"/>
                <w:szCs w:val="21"/>
              </w:rPr>
            </w:pPr>
            <w:r>
              <w:rPr>
                <w:rFonts w:hint="eastAsia" w:ascii="宋体" w:hAnsi="宋体" w:cs="宋体"/>
                <w:kern w:val="0"/>
                <w:szCs w:val="21"/>
              </w:rPr>
              <w:t>投标人具有电子与智能化工程专业承包二级及以上资质证书得</w:t>
            </w:r>
            <w:r>
              <w:rPr>
                <w:rFonts w:ascii="宋体" w:hAnsi="宋体" w:cs="宋体"/>
                <w:kern w:val="0"/>
                <w:szCs w:val="21"/>
              </w:rPr>
              <w:t>1分</w:t>
            </w:r>
          </w:p>
        </w:tc>
        <w:tc>
          <w:tcPr>
            <w:tcW w:w="815"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r>
              <w:rPr>
                <w:rFonts w:ascii="宋体" w:hAnsi="宋体" w:cs="宋体"/>
                <w:kern w:val="0"/>
                <w:szCs w:val="21"/>
              </w:rPr>
              <w:t>1</w:t>
            </w:r>
          </w:p>
        </w:tc>
      </w:tr>
      <w:tr>
        <w:tblPrEx>
          <w:tblLayout w:type="fixed"/>
          <w:tblCellMar>
            <w:top w:w="0" w:type="dxa"/>
            <w:left w:w="108" w:type="dxa"/>
            <w:bottom w:w="0" w:type="dxa"/>
            <w:right w:w="108" w:type="dxa"/>
          </w:tblCellMar>
        </w:tblPrEx>
        <w:trPr>
          <w:trHeight w:val="216" w:hRule="atLeast"/>
        </w:trPr>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r>
              <w:rPr>
                <w:rFonts w:hint="eastAsia" w:ascii="宋体" w:hAnsi="宋体" w:cs="宋体"/>
                <w:kern w:val="0"/>
                <w:szCs w:val="21"/>
              </w:rPr>
              <w:t>文件编制</w:t>
            </w:r>
          </w:p>
        </w:tc>
        <w:tc>
          <w:tcPr>
            <w:tcW w:w="7461"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投标文件的编制和装订符合招标文件要求，页码完整、字体清晰、书面整洁、内容详实，得2分；</w:t>
            </w:r>
          </w:p>
          <w:p>
            <w:pPr>
              <w:spacing w:line="360" w:lineRule="auto"/>
              <w:jc w:val="left"/>
              <w:rPr>
                <w:rFonts w:ascii="宋体" w:hAnsi="宋体" w:cs="宋体"/>
                <w:kern w:val="0"/>
                <w:szCs w:val="21"/>
              </w:rPr>
            </w:pPr>
            <w:r>
              <w:rPr>
                <w:rFonts w:hint="eastAsia" w:ascii="宋体" w:hAnsi="宋体" w:cs="宋体"/>
                <w:kern w:val="0"/>
                <w:szCs w:val="21"/>
              </w:rPr>
              <w:t>页码较完整、字体较清晰、书面较整洁、内较详实，得0分。</w:t>
            </w:r>
          </w:p>
        </w:tc>
        <w:tc>
          <w:tcPr>
            <w:tcW w:w="815"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r>
              <w:rPr>
                <w:rFonts w:hint="eastAsia" w:ascii="宋体" w:hAnsi="宋体" w:cs="宋体"/>
                <w:kern w:val="0"/>
                <w:szCs w:val="21"/>
              </w:rPr>
              <w:t>2</w:t>
            </w:r>
          </w:p>
        </w:tc>
      </w:tr>
      <w:tr>
        <w:tblPrEx>
          <w:tblLayout w:type="fixed"/>
          <w:tblCellMar>
            <w:top w:w="0" w:type="dxa"/>
            <w:left w:w="108" w:type="dxa"/>
            <w:bottom w:w="0" w:type="dxa"/>
            <w:right w:w="108" w:type="dxa"/>
          </w:tblCellMar>
        </w:tblPrEx>
        <w:trPr>
          <w:trHeight w:val="216" w:hRule="atLeast"/>
        </w:trPr>
        <w:tc>
          <w:tcPr>
            <w:tcW w:w="785"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r>
              <w:rPr>
                <w:rFonts w:hint="eastAsia" w:ascii="宋体" w:hAnsi="宋体" w:cs="宋体"/>
                <w:kern w:val="0"/>
                <w:szCs w:val="21"/>
              </w:rPr>
              <w:t>业绩</w:t>
            </w:r>
          </w:p>
        </w:tc>
        <w:tc>
          <w:tcPr>
            <w:tcW w:w="7461" w:type="dxa"/>
            <w:tcBorders>
              <w:top w:val="single" w:color="auto" w:sz="4" w:space="0"/>
              <w:left w:val="nil"/>
              <w:bottom w:val="single" w:color="auto" w:sz="4" w:space="0"/>
              <w:right w:val="single" w:color="auto" w:sz="4" w:space="0"/>
            </w:tcBorders>
            <w:shd w:val="clear" w:color="auto" w:fill="auto"/>
            <w:vAlign w:val="center"/>
          </w:tcPr>
          <w:p>
            <w:pPr>
              <w:spacing w:before="240" w:line="360" w:lineRule="auto"/>
              <w:jc w:val="left"/>
              <w:rPr>
                <w:rFonts w:ascii="宋体" w:hAnsi="宋体" w:cs="宋体"/>
                <w:kern w:val="0"/>
                <w:szCs w:val="21"/>
              </w:rPr>
            </w:pPr>
            <w:r>
              <w:rPr>
                <w:rFonts w:hint="eastAsia" w:ascii="宋体" w:hAnsi="宋体" w:cs="宋体"/>
                <w:kern w:val="0"/>
                <w:szCs w:val="21"/>
              </w:rPr>
              <w:t>投标人提供近三年项目类似案例，每提供一个有效业绩得1分，最高得5分。（有效业绩证明须包含：包含货物清单、签字页、金额页在内的合同关键页；不符合上述要求或未按要求提供有效证明材料的业绩在评审时将不予承认。）</w:t>
            </w:r>
          </w:p>
        </w:tc>
        <w:tc>
          <w:tcPr>
            <w:tcW w:w="815"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center"/>
              <w:rPr>
                <w:rFonts w:ascii="宋体" w:hAnsi="宋体" w:cs="宋体"/>
                <w:kern w:val="0"/>
                <w:szCs w:val="21"/>
              </w:rPr>
            </w:pPr>
            <w:r>
              <w:rPr>
                <w:rFonts w:hint="eastAsia" w:ascii="宋体" w:hAnsi="宋体" w:cs="宋体"/>
                <w:kern w:val="0"/>
                <w:szCs w:val="21"/>
              </w:rPr>
              <w:t>5</w:t>
            </w:r>
          </w:p>
        </w:tc>
      </w:tr>
      <w:tr>
        <w:tblPrEx>
          <w:tblLayout w:type="fixed"/>
          <w:tblCellMar>
            <w:top w:w="0" w:type="dxa"/>
            <w:left w:w="108" w:type="dxa"/>
            <w:bottom w:w="0" w:type="dxa"/>
            <w:right w:w="108" w:type="dxa"/>
          </w:tblCellMar>
        </w:tblPrEx>
        <w:trPr>
          <w:trHeight w:val="285" w:hRule="atLeast"/>
        </w:trPr>
        <w:tc>
          <w:tcPr>
            <w:tcW w:w="78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ascii="宋体" w:hAnsi="宋体" w:cs="宋体"/>
                <w:kern w:val="0"/>
                <w:szCs w:val="21"/>
              </w:rPr>
              <w:t>技术响应</w:t>
            </w: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rPr>
                <w:rFonts w:ascii="宋体" w:hAnsi="宋体" w:cs="宋体"/>
                <w:kern w:val="0"/>
                <w:szCs w:val="21"/>
              </w:rPr>
            </w:pPr>
            <w:r>
              <w:rPr>
                <w:rFonts w:hint="eastAsia" w:ascii="宋体" w:hAnsi="宋体" w:cs="宋体"/>
                <w:kern w:val="0"/>
                <w:szCs w:val="21"/>
              </w:rPr>
              <w:t>根据投标文件技术响应，全部指标满足招标文件得</w:t>
            </w:r>
            <w:r>
              <w:rPr>
                <w:rFonts w:ascii="宋体" w:hAnsi="宋体" w:cs="宋体"/>
                <w:kern w:val="0"/>
                <w:szCs w:val="21"/>
              </w:rPr>
              <w:t>20</w:t>
            </w:r>
            <w:r>
              <w:rPr>
                <w:rFonts w:hint="eastAsia" w:ascii="宋体" w:hAnsi="宋体" w:cs="宋体"/>
                <w:kern w:val="0"/>
                <w:szCs w:val="21"/>
              </w:rPr>
              <w:t>分。</w:t>
            </w:r>
          </w:p>
        </w:tc>
        <w:tc>
          <w:tcPr>
            <w:tcW w:w="81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ascii="宋体" w:hAnsi="宋体" w:cs="宋体"/>
                <w:kern w:val="0"/>
                <w:szCs w:val="21"/>
              </w:rPr>
              <w:t>20</w:t>
            </w:r>
          </w:p>
        </w:tc>
      </w:tr>
      <w:tr>
        <w:tblPrEx>
          <w:tblLayout w:type="fixed"/>
          <w:tblCellMar>
            <w:top w:w="0" w:type="dxa"/>
            <w:left w:w="108" w:type="dxa"/>
            <w:bottom w:w="0" w:type="dxa"/>
            <w:right w:w="108" w:type="dxa"/>
          </w:tblCellMar>
        </w:tblPrEx>
        <w:trPr>
          <w:trHeight w:val="540"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标注</w:t>
            </w:r>
            <w:r>
              <w:rPr>
                <w:rFonts w:hint="eastAsia" w:ascii="宋体" w:hAnsi="宋体" w:cs="宋体"/>
                <w:b/>
                <w:bCs/>
                <w:kern w:val="0"/>
                <w:szCs w:val="21"/>
              </w:rPr>
              <w:t>#项</w:t>
            </w:r>
            <w:r>
              <w:rPr>
                <w:rFonts w:hint="eastAsia" w:ascii="宋体" w:hAnsi="宋体" w:cs="宋体"/>
                <w:kern w:val="0"/>
                <w:szCs w:val="21"/>
              </w:rPr>
              <w:t>为重要指标，标注#项如有1项负偏离在</w:t>
            </w:r>
            <w:r>
              <w:rPr>
                <w:rFonts w:ascii="宋体" w:hAnsi="宋体" w:cs="宋体"/>
                <w:kern w:val="0"/>
                <w:szCs w:val="21"/>
              </w:rPr>
              <w:t>20</w:t>
            </w:r>
            <w:r>
              <w:rPr>
                <w:rFonts w:hint="eastAsia" w:ascii="宋体" w:hAnsi="宋体" w:cs="宋体"/>
                <w:kern w:val="0"/>
                <w:szCs w:val="21"/>
              </w:rPr>
              <w:t>分基础上扣3分，其他一般技术指标负偏离在1</w:t>
            </w:r>
            <w:r>
              <w:rPr>
                <w:rFonts w:ascii="宋体" w:hAnsi="宋体" w:cs="宋体"/>
                <w:kern w:val="0"/>
                <w:szCs w:val="21"/>
              </w:rPr>
              <w:t>5</w:t>
            </w:r>
            <w:r>
              <w:rPr>
                <w:rFonts w:hint="eastAsia" w:ascii="宋体" w:hAnsi="宋体" w:cs="宋体"/>
                <w:kern w:val="0"/>
                <w:szCs w:val="21"/>
              </w:rPr>
              <w:t>分基础上扣2分，扣完为止。</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r>
        <w:tblPrEx>
          <w:tblLayout w:type="fixed"/>
          <w:tblCellMar>
            <w:top w:w="0" w:type="dxa"/>
            <w:left w:w="108" w:type="dxa"/>
            <w:bottom w:w="0" w:type="dxa"/>
            <w:right w:w="108" w:type="dxa"/>
          </w:tblCellMar>
        </w:tblPrEx>
        <w:trPr>
          <w:trHeight w:val="285" w:hRule="atLeast"/>
        </w:trPr>
        <w:tc>
          <w:tcPr>
            <w:tcW w:w="78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实施方案</w:t>
            </w: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技术可行且具备很好的经济性、稳定性、兼容性及创新点先进，提供详细工期计划，得2分；</w:t>
            </w:r>
          </w:p>
        </w:tc>
        <w:tc>
          <w:tcPr>
            <w:tcW w:w="81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ascii="宋体" w:hAnsi="宋体" w:cs="宋体"/>
                <w:kern w:val="0"/>
                <w:szCs w:val="21"/>
              </w:rPr>
              <w:t>2</w:t>
            </w:r>
          </w:p>
        </w:tc>
      </w:tr>
      <w:tr>
        <w:tblPrEx>
          <w:tblLayout w:type="fixed"/>
          <w:tblCellMar>
            <w:top w:w="0" w:type="dxa"/>
            <w:left w:w="108" w:type="dxa"/>
            <w:bottom w:w="0" w:type="dxa"/>
            <w:right w:w="108" w:type="dxa"/>
          </w:tblCellMar>
        </w:tblPrEx>
        <w:trPr>
          <w:trHeight w:val="285"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技术可行、经济性与稳定性、兼容性较差，且无创新点，无法提供详细设计工期计划，得0-1分。</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r>
        <w:tblPrEx>
          <w:tblLayout w:type="fixed"/>
          <w:tblCellMar>
            <w:top w:w="0" w:type="dxa"/>
            <w:left w:w="108" w:type="dxa"/>
            <w:bottom w:w="0" w:type="dxa"/>
            <w:right w:w="108" w:type="dxa"/>
          </w:tblCellMar>
        </w:tblPrEx>
        <w:trPr>
          <w:trHeight w:val="736" w:hRule="atLeast"/>
        </w:trPr>
        <w:tc>
          <w:tcPr>
            <w:tcW w:w="785" w:type="dxa"/>
            <w:vMerge w:val="restart"/>
            <w:tcBorders>
              <w:top w:val="nil"/>
              <w:left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售后服务</w:t>
            </w:r>
          </w:p>
        </w:tc>
        <w:tc>
          <w:tcPr>
            <w:tcW w:w="7461" w:type="dxa"/>
            <w:tcBorders>
              <w:top w:val="nil"/>
              <w:left w:val="nil"/>
              <w:bottom w:val="single" w:color="auto" w:sz="4" w:space="0"/>
              <w:right w:val="single" w:color="auto" w:sz="4" w:space="0"/>
            </w:tcBorders>
            <w:shd w:val="clear" w:color="auto" w:fill="auto"/>
            <w:vAlign w:val="center"/>
          </w:tcPr>
          <w:p>
            <w:pPr>
              <w:spacing w:line="360" w:lineRule="auto"/>
              <w:jc w:val="left"/>
              <w:rPr>
                <w:rFonts w:ascii="宋体" w:hAnsi="宋体" w:cs="宋体"/>
                <w:kern w:val="0"/>
                <w:szCs w:val="21"/>
              </w:rPr>
            </w:pPr>
            <w:r>
              <w:rPr>
                <w:rFonts w:hint="eastAsia" w:ascii="宋体" w:hAnsi="宋体" w:cs="宋体"/>
                <w:kern w:val="0"/>
                <w:szCs w:val="21"/>
              </w:rPr>
              <w:t>售后服务体系完善、承诺服务内容优越、培训计划科学合理、对业主有利、售后服务人员组织结构合理、维护体系健全、技术支持保障到位，得2分；</w:t>
            </w:r>
          </w:p>
        </w:tc>
        <w:tc>
          <w:tcPr>
            <w:tcW w:w="815" w:type="dxa"/>
            <w:vMerge w:val="restart"/>
            <w:tcBorders>
              <w:top w:val="nil"/>
              <w:left w:val="nil"/>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2</w:t>
            </w:r>
          </w:p>
        </w:tc>
      </w:tr>
      <w:tr>
        <w:tblPrEx>
          <w:tblLayout w:type="fixed"/>
          <w:tblCellMar>
            <w:top w:w="0" w:type="dxa"/>
            <w:left w:w="108" w:type="dxa"/>
            <w:bottom w:w="0" w:type="dxa"/>
            <w:right w:w="108" w:type="dxa"/>
          </w:tblCellMar>
        </w:tblPrEx>
        <w:trPr>
          <w:trHeight w:val="704" w:hRule="atLeast"/>
        </w:trPr>
        <w:tc>
          <w:tcPr>
            <w:tcW w:w="785" w:type="dxa"/>
            <w:vMerge w:val="continue"/>
            <w:tcBorders>
              <w:left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p>
        </w:tc>
        <w:tc>
          <w:tcPr>
            <w:tcW w:w="7461"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left"/>
              <w:rPr>
                <w:rFonts w:ascii="宋体" w:hAnsi="宋体" w:cs="宋体"/>
                <w:kern w:val="0"/>
                <w:szCs w:val="21"/>
              </w:rPr>
            </w:pPr>
            <w:r>
              <w:rPr>
                <w:rFonts w:hint="eastAsia" w:ascii="宋体" w:hAnsi="宋体" w:cs="宋体"/>
                <w:kern w:val="0"/>
                <w:szCs w:val="21"/>
              </w:rPr>
              <w:t>售后服务体系较完善、承诺服务内容较优越、培训计划科学合理、对业主有利、售后服务人员组织结构较合理、维护体系较健全、技术支持保障较到位，得1分；</w:t>
            </w:r>
          </w:p>
        </w:tc>
        <w:tc>
          <w:tcPr>
            <w:tcW w:w="815" w:type="dxa"/>
            <w:vMerge w:val="continue"/>
            <w:tcBorders>
              <w:left w:val="nil"/>
              <w:right w:val="single" w:color="auto" w:sz="4" w:space="0"/>
            </w:tcBorders>
            <w:shd w:val="clear" w:color="auto" w:fill="auto"/>
            <w:vAlign w:val="center"/>
          </w:tcPr>
          <w:p>
            <w:pPr>
              <w:widowControl/>
              <w:spacing w:line="360" w:lineRule="auto"/>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900" w:hRule="atLeast"/>
        </w:trPr>
        <w:tc>
          <w:tcPr>
            <w:tcW w:w="785" w:type="dxa"/>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p>
        </w:tc>
        <w:tc>
          <w:tcPr>
            <w:tcW w:w="7461" w:type="dxa"/>
            <w:tcBorders>
              <w:top w:val="single" w:color="auto" w:sz="4" w:space="0"/>
              <w:left w:val="nil"/>
              <w:bottom w:val="single" w:color="auto" w:sz="4" w:space="0"/>
              <w:right w:val="single" w:color="auto" w:sz="4" w:space="0"/>
            </w:tcBorders>
            <w:shd w:val="clear" w:color="auto" w:fill="auto"/>
            <w:vAlign w:val="center"/>
          </w:tcPr>
          <w:p>
            <w:pPr>
              <w:spacing w:line="360" w:lineRule="auto"/>
              <w:jc w:val="left"/>
              <w:rPr>
                <w:rFonts w:ascii="宋体" w:hAnsi="宋体" w:cs="宋体"/>
                <w:kern w:val="0"/>
                <w:szCs w:val="21"/>
              </w:rPr>
            </w:pPr>
            <w:r>
              <w:rPr>
                <w:rFonts w:hint="eastAsia" w:ascii="宋体" w:hAnsi="宋体" w:cs="宋体"/>
                <w:kern w:val="0"/>
                <w:szCs w:val="21"/>
              </w:rPr>
              <w:t>售后服务体系较完善、承诺服务内容较优越、培训计划科学合理、对业主有利、售后服务人员组织结构较合理、维护体系较健全、技术支持保障较差，得0分；</w:t>
            </w:r>
          </w:p>
        </w:tc>
        <w:tc>
          <w:tcPr>
            <w:tcW w:w="815" w:type="dxa"/>
            <w:vMerge w:val="continue"/>
            <w:tcBorders>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285" w:hRule="atLeast"/>
        </w:trPr>
        <w:tc>
          <w:tcPr>
            <w:tcW w:w="78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kern w:val="0"/>
                <w:szCs w:val="21"/>
              </w:rPr>
              <w:t>项目团队</w:t>
            </w: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拟派项目经理具备高级项目经理证书（即具有“信息系统集成及服务项目管理人员证书，登记级别为高级项目经理）（需提供近三个月投标人为拟派人员缴纳社保的证明文件），每派一名高级项目经理得1分，最高得3分；</w:t>
            </w:r>
          </w:p>
        </w:tc>
        <w:tc>
          <w:tcPr>
            <w:tcW w:w="81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kern w:val="0"/>
                <w:szCs w:val="21"/>
              </w:rPr>
            </w:pPr>
            <w:r>
              <w:rPr>
                <w:rFonts w:ascii="宋体" w:hAnsi="宋体" w:cs="宋体"/>
                <w:kern w:val="0"/>
                <w:szCs w:val="21"/>
              </w:rPr>
              <w:t>13</w:t>
            </w:r>
          </w:p>
        </w:tc>
      </w:tr>
      <w:tr>
        <w:tblPrEx>
          <w:tblLayout w:type="fixed"/>
          <w:tblCellMar>
            <w:top w:w="0" w:type="dxa"/>
            <w:left w:w="108" w:type="dxa"/>
            <w:bottom w:w="0" w:type="dxa"/>
            <w:right w:w="108" w:type="dxa"/>
          </w:tblCellMar>
        </w:tblPrEx>
        <w:trPr>
          <w:trHeight w:val="810"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拟派项目经理（即具有“信息系统集成及服务项目管理人员证书，登记级别为项目经理）具备类似项目施工经验（需提供近三个月投标人为拟派人员缴纳社保的证明文件），每派一名有相关经验的项目经理得0.5分，最高得2分；</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r>
        <w:tblPrEx>
          <w:tblLayout w:type="fixed"/>
          <w:tblCellMar>
            <w:top w:w="0" w:type="dxa"/>
            <w:left w:w="108" w:type="dxa"/>
            <w:bottom w:w="0" w:type="dxa"/>
            <w:right w:w="108" w:type="dxa"/>
          </w:tblCellMar>
        </w:tblPrEx>
        <w:trPr>
          <w:trHeight w:val="810"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项目实施团队中包括机电工程类二级（含）以上建造师，提供聘用企业为投标人、专业类别为机电工程的二级建造师证书（需提供近三个月投标人为拟派人员缴纳社保的证明文件）每提供一个证书得1分，最高得4分；</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r>
        <w:tblPrEx>
          <w:tblLayout w:type="fixed"/>
          <w:tblCellMar>
            <w:top w:w="0" w:type="dxa"/>
            <w:left w:w="108" w:type="dxa"/>
            <w:bottom w:w="0" w:type="dxa"/>
            <w:right w:w="108" w:type="dxa"/>
          </w:tblCellMar>
        </w:tblPrEx>
        <w:trPr>
          <w:trHeight w:val="810"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提供拟派驻本项目建设企业单位管理人员证书（材料员、资料员、电气施工员），全部提供得1分，（需提供近三个月投标人为拟派人员缴纳社保的证明文件）最高得1分；</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r>
        <w:tblPrEx>
          <w:tblLayout w:type="fixed"/>
          <w:tblCellMar>
            <w:top w:w="0" w:type="dxa"/>
            <w:left w:w="108" w:type="dxa"/>
            <w:bottom w:w="0" w:type="dxa"/>
            <w:right w:w="108" w:type="dxa"/>
          </w:tblCellMar>
        </w:tblPrEx>
        <w:trPr>
          <w:trHeight w:val="540"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提供投标人三类人员安全生产考核合格证书（专职安全员、项目负责人、企业主要负责人）每提供1个得1分，最高得2分（需提供近三个月投标人为拟派人员缴纳社保的证明文件）；</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r>
        <w:tblPrEx>
          <w:tblLayout w:type="fixed"/>
          <w:tblCellMar>
            <w:top w:w="0" w:type="dxa"/>
            <w:left w:w="108" w:type="dxa"/>
            <w:bottom w:w="0" w:type="dxa"/>
            <w:right w:w="108" w:type="dxa"/>
          </w:tblCellMar>
        </w:tblPrEx>
        <w:trPr>
          <w:trHeight w:val="540" w:hRule="atLeast"/>
        </w:trPr>
        <w:tc>
          <w:tcPr>
            <w:tcW w:w="78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c>
          <w:tcPr>
            <w:tcW w:w="7461" w:type="dxa"/>
            <w:tcBorders>
              <w:top w:val="nil"/>
              <w:left w:val="nil"/>
              <w:bottom w:val="single" w:color="auto" w:sz="4" w:space="0"/>
              <w:right w:val="single" w:color="auto" w:sz="4" w:space="0"/>
            </w:tcBorders>
            <w:shd w:val="clear" w:color="auto" w:fill="auto"/>
            <w:vAlign w:val="center"/>
          </w:tcPr>
          <w:p>
            <w:pPr>
              <w:widowControl/>
              <w:spacing w:line="360" w:lineRule="auto"/>
              <w:jc w:val="left"/>
              <w:rPr>
                <w:rFonts w:ascii="宋体" w:hAnsi="宋体" w:cs="宋体"/>
                <w:kern w:val="0"/>
                <w:szCs w:val="21"/>
              </w:rPr>
            </w:pPr>
            <w:r>
              <w:rPr>
                <w:rFonts w:hint="eastAsia" w:ascii="宋体" w:hAnsi="宋体" w:cs="宋体"/>
                <w:kern w:val="0"/>
                <w:szCs w:val="21"/>
              </w:rPr>
              <w:t>项目建设完成后，项目进入试运行，投标人需针对本项目组织IT运维项目组，完成巡检保障服务，IT运维项目组需选派IT运维巡检人员不少于10人，且完成不少于20个工作日的巡检维护服务，IT运维项目组选派人员中至少2人具有IT运维项目经理证书（需提供近三个月投标人为拟派人员缴纳社保的证明文件），得</w:t>
            </w:r>
            <w:r>
              <w:rPr>
                <w:rFonts w:ascii="宋体" w:hAnsi="宋体" w:cs="宋体"/>
                <w:kern w:val="0"/>
                <w:szCs w:val="21"/>
              </w:rPr>
              <w:t>1分</w:t>
            </w:r>
            <w:r>
              <w:rPr>
                <w:rFonts w:hint="eastAsia" w:ascii="宋体" w:hAnsi="宋体" w:cs="宋体"/>
                <w:kern w:val="0"/>
                <w:szCs w:val="21"/>
              </w:rPr>
              <w:t>。</w:t>
            </w:r>
          </w:p>
        </w:tc>
        <w:tc>
          <w:tcPr>
            <w:tcW w:w="815" w:type="dxa"/>
            <w:vMerge w:val="continue"/>
            <w:tcBorders>
              <w:top w:val="nil"/>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kern w:val="0"/>
                <w:szCs w:val="21"/>
              </w:rPr>
            </w:pPr>
          </w:p>
        </w:tc>
      </w:tr>
    </w:tbl>
    <w:p>
      <w:pPr>
        <w:widowControl/>
        <w:spacing w:line="360" w:lineRule="auto"/>
        <w:jc w:val="left"/>
        <w:rPr>
          <w:rFonts w:asciiTheme="minorEastAsia" w:hAnsiTheme="minorEastAsia" w:eastAsiaTheme="minorEastAsia"/>
          <w:b/>
        </w:rPr>
      </w:pPr>
      <w:bookmarkStart w:id="220" w:name="_Toc310195731"/>
      <w:r>
        <w:rPr>
          <w:rFonts w:hint="eastAsia" w:asciiTheme="minorEastAsia" w:hAnsiTheme="minorEastAsia" w:eastAsiaTheme="minorEastAsia"/>
          <w:b/>
        </w:rPr>
        <w:t>注：1.根据《政府采购促进中小企业发展暂行办法》（财库[2011]181号）和《关于促进残疾人就业政府采购政策的通知》（财库〔2017〕141号）的规定，对满足价格扣除条件且在投标文件中按格式提交了《投标人企业类型声明函》，其投标报价扣除7%后参与评审（如适用）。监狱企业视同小型、微型企业，监狱企业参加政府采购活动时，应当提供由省级以上监狱管理局、戒毒管理局(含新疆生产建设兵团)出具的属于监狱企业的证明文件复印件并加盖公章，否则将不予认定。残疾人福利性单位视同小型、微型企业参加政府采购活动时，需提供《残疾人福利性单位声明函》。残疾人福利性单位属于小型、微型企业的，不重复享受政策。</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评分细则外政策加分：（以下产品须提供最新一期在中华人民共和国财政部网站（http://www.mof.gov.cn）/中国政府采购网（http://www.ccgp.gov.cn）/国家发展改革委网站（http://www.ndrc.gov.cn）/中国质量认证中心网站（http://www.cqc.com.cn）清单截图及相关证明材料并加盖公章）：</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2.1节能产品</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投标人所投产品列入财政部、国家发展改革委发布的“节能产品政府采购清单”，属于强制采购范围的，投标人应提供清单中强制采购范围内的节能产品，否则作无效投标处理。</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投标人提供产品列入“节能产品政府采购清单”中规定优先采购产品的酌情给1-2分。</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2.2环保产品</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投标人提供产品列入财政部、环境保护部发布的“环境标志产品政府采购清单”中，属于优先采购的环保产品的，且环保认证证书在有效截止日期内（投标人提供相关证明材料）的酌情给1-2分。</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2.3投标人提供清单中的产品须在投标文件中显著位置注明产品的所属类型、名称、制造商、品牌、型号以及在清单中的位置。</w:t>
      </w:r>
    </w:p>
    <w:p>
      <w:pPr>
        <w:widowControl/>
        <w:spacing w:line="360" w:lineRule="auto"/>
        <w:jc w:val="left"/>
        <w:rPr>
          <w:rFonts w:asciiTheme="minorEastAsia" w:hAnsiTheme="minorEastAsia" w:eastAsiaTheme="minorEastAsia"/>
          <w:b/>
          <w:sz w:val="24"/>
        </w:rPr>
      </w:pPr>
      <w:r>
        <w:rPr>
          <w:rFonts w:asciiTheme="minorEastAsia" w:hAnsiTheme="minorEastAsia" w:eastAsiaTheme="minorEastAsia"/>
          <w:b/>
          <w:sz w:val="24"/>
        </w:rPr>
        <w:br w:type="page"/>
      </w:r>
    </w:p>
    <w:p>
      <w:pPr>
        <w:pStyle w:val="2"/>
        <w:spacing w:line="360" w:lineRule="auto"/>
        <w:rPr>
          <w:rFonts w:asciiTheme="minorEastAsia" w:hAnsiTheme="minorEastAsia" w:eastAsiaTheme="minorEastAsia"/>
          <w:sz w:val="24"/>
          <w:szCs w:val="24"/>
        </w:rPr>
      </w:pPr>
      <w:bookmarkStart w:id="221" w:name="_Toc529435056"/>
      <w:r>
        <w:rPr>
          <w:rFonts w:hint="eastAsia" w:asciiTheme="minorEastAsia" w:hAnsiTheme="minorEastAsia" w:eastAsiaTheme="minorEastAsia"/>
          <w:sz w:val="24"/>
          <w:szCs w:val="24"/>
        </w:rPr>
        <w:t>第六章合同一般条款</w:t>
      </w:r>
      <w:bookmarkEnd w:id="220"/>
      <w:bookmarkEnd w:id="221"/>
    </w:p>
    <w:p>
      <w:pPr>
        <w:pStyle w:val="5"/>
        <w:tabs>
          <w:tab w:val="left" w:pos="900"/>
        </w:tabs>
        <w:spacing w:line="360" w:lineRule="auto"/>
        <w:rPr>
          <w:rFonts w:asciiTheme="minorEastAsia" w:hAnsiTheme="minorEastAsia" w:eastAsiaTheme="minorEastAsia"/>
          <w:sz w:val="24"/>
          <w:szCs w:val="24"/>
        </w:rPr>
      </w:pPr>
      <w:bookmarkStart w:id="222" w:name="_Ref467379225"/>
      <w:bookmarkStart w:id="223" w:name="_Ref467379109"/>
      <w:bookmarkStart w:id="224" w:name="_Ref467379101"/>
      <w:bookmarkStart w:id="225" w:name="_Ref467379094"/>
      <w:bookmarkStart w:id="226" w:name="_Toc529435057"/>
      <w:bookmarkStart w:id="227" w:name="_Toc487900349"/>
      <w:bookmarkStart w:id="228" w:name="_Ref467378499"/>
      <w:bookmarkStart w:id="229" w:name="_Ref467379205"/>
      <w:bookmarkStart w:id="230" w:name="_Toc310195732"/>
      <w:bookmarkStart w:id="231" w:name="_Ref467378404"/>
      <w:bookmarkStart w:id="232" w:name="_Ref467379214"/>
      <w:bookmarkStart w:id="233" w:name="_Ref467378463"/>
      <w:bookmarkStart w:id="234" w:name="_Ref467379195"/>
      <w:r>
        <w:rPr>
          <w:rFonts w:hint="eastAsia" w:asciiTheme="minorEastAsia" w:hAnsiTheme="minorEastAsia" w:eastAsiaTheme="minorEastAsia"/>
          <w:sz w:val="24"/>
          <w:szCs w:val="24"/>
        </w:rPr>
        <w:t>1. 定义</w:t>
      </w:r>
      <w:bookmarkEnd w:id="222"/>
      <w:bookmarkEnd w:id="223"/>
      <w:bookmarkEnd w:id="224"/>
      <w:bookmarkEnd w:id="225"/>
      <w:bookmarkEnd w:id="226"/>
      <w:bookmarkEnd w:id="227"/>
      <w:bookmarkEnd w:id="228"/>
      <w:bookmarkEnd w:id="229"/>
      <w:bookmarkEnd w:id="230"/>
      <w:bookmarkEnd w:id="231"/>
      <w:bookmarkEnd w:id="232"/>
      <w:bookmarkEnd w:id="233"/>
      <w:bookmarkEnd w:id="234"/>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本合同中的下列术语应解释为：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 “合同”系指买卖双方签署的、合同格式中载明的买卖双方所达成的协议，包括所有的附件、附录和构成合同的其它文件。</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 “合同价”系指根据合同约定，卖方在完全履行合同义务后买方应付给卖方的价格。</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 “货物”系指卖方根据合同约定须向买方提供的一切设备、机械、仪表、备件、工具、手册等其它相关资料。</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 “服务”系指根据合同约定卖方承担与供货有关的辅助服务，如运输、保险、及安装、调试、提供技术援助、培训和其他类似的服务。</w:t>
      </w:r>
    </w:p>
    <w:p>
      <w:pPr>
        <w:spacing w:line="360" w:lineRule="auto"/>
        <w:rPr>
          <w:rFonts w:asciiTheme="minorEastAsia" w:hAnsiTheme="minorEastAsia" w:eastAsiaTheme="minorEastAsia"/>
          <w:sz w:val="24"/>
        </w:rPr>
      </w:pPr>
      <w:bookmarkStart w:id="235" w:name="_Ref467378840"/>
      <w:r>
        <w:rPr>
          <w:rFonts w:hint="eastAsia" w:asciiTheme="minorEastAsia" w:hAnsiTheme="minorEastAsia" w:eastAsiaTheme="minorEastAsia"/>
          <w:sz w:val="24"/>
        </w:rPr>
        <w:t>1.5 “买方”系指采购人或购买货物的单位。</w:t>
      </w:r>
      <w:bookmarkEnd w:id="235"/>
    </w:p>
    <w:p>
      <w:pPr>
        <w:spacing w:line="360" w:lineRule="auto"/>
        <w:rPr>
          <w:rFonts w:asciiTheme="minorEastAsia" w:hAnsiTheme="minorEastAsia" w:eastAsiaTheme="minorEastAsia"/>
          <w:sz w:val="24"/>
        </w:rPr>
      </w:pPr>
      <w:bookmarkStart w:id="236" w:name="_Ref467379400"/>
      <w:r>
        <w:rPr>
          <w:rFonts w:hint="eastAsia" w:asciiTheme="minorEastAsia" w:hAnsiTheme="minorEastAsia" w:eastAsiaTheme="minorEastAsia"/>
          <w:sz w:val="24"/>
        </w:rPr>
        <w:t>1.6 “卖方”系指根据合同约定提供货物及相关服务的投标人，即中标人。</w:t>
      </w:r>
      <w:bookmarkEnd w:id="236"/>
    </w:p>
    <w:p>
      <w:pPr>
        <w:tabs>
          <w:tab w:val="left" w:pos="900"/>
        </w:tabs>
        <w:spacing w:line="360" w:lineRule="auto"/>
        <w:rPr>
          <w:rFonts w:asciiTheme="minorEastAsia" w:hAnsiTheme="minorEastAsia" w:eastAsiaTheme="minorEastAsia"/>
          <w:sz w:val="24"/>
        </w:rPr>
      </w:pPr>
      <w:bookmarkStart w:id="237" w:name="_Ref467379436"/>
      <w:r>
        <w:rPr>
          <w:rFonts w:hint="eastAsia" w:asciiTheme="minorEastAsia" w:hAnsiTheme="minorEastAsia" w:eastAsiaTheme="minorEastAsia"/>
          <w:sz w:val="24"/>
        </w:rPr>
        <w:t>1.7 “现场”系指合同约定货物将要运至和安装的地点。</w:t>
      </w:r>
      <w:bookmarkEnd w:id="237"/>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 “验收”系指合同双方依据强制性的国家技术质量规范和合同约定，确认合同项下的货物符合合同规定的活动。</w:t>
      </w:r>
    </w:p>
    <w:p>
      <w:pPr>
        <w:pStyle w:val="5"/>
        <w:spacing w:before="240" w:after="0" w:line="360" w:lineRule="auto"/>
        <w:rPr>
          <w:rFonts w:asciiTheme="minorEastAsia" w:hAnsiTheme="minorEastAsia" w:eastAsiaTheme="minorEastAsia"/>
          <w:sz w:val="24"/>
          <w:szCs w:val="24"/>
        </w:rPr>
      </w:pPr>
      <w:bookmarkStart w:id="238" w:name="_Toc529435058"/>
      <w:bookmarkStart w:id="239" w:name="_Toc310195733"/>
      <w:bookmarkStart w:id="240" w:name="_Toc487900350"/>
      <w:r>
        <w:rPr>
          <w:rFonts w:hint="eastAsia" w:asciiTheme="minorEastAsia" w:hAnsiTheme="minorEastAsia" w:eastAsiaTheme="minorEastAsia"/>
          <w:sz w:val="24"/>
          <w:szCs w:val="24"/>
        </w:rPr>
        <w:t>2．技术规范</w:t>
      </w:r>
      <w:bookmarkEnd w:id="238"/>
      <w:bookmarkEnd w:id="239"/>
      <w:bookmarkEnd w:id="240"/>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pPr>
        <w:pStyle w:val="5"/>
        <w:spacing w:before="240" w:after="0" w:line="360" w:lineRule="auto"/>
        <w:rPr>
          <w:rFonts w:asciiTheme="minorEastAsia" w:hAnsiTheme="minorEastAsia" w:eastAsiaTheme="minorEastAsia"/>
          <w:sz w:val="24"/>
          <w:szCs w:val="24"/>
        </w:rPr>
      </w:pPr>
      <w:bookmarkStart w:id="241" w:name="_Toc310195734"/>
      <w:bookmarkStart w:id="242" w:name="_Toc529435059"/>
      <w:bookmarkStart w:id="243" w:name="_Toc487900351"/>
      <w:r>
        <w:rPr>
          <w:rFonts w:hint="eastAsia" w:asciiTheme="minorEastAsia" w:hAnsiTheme="minorEastAsia" w:eastAsiaTheme="minorEastAsia"/>
          <w:sz w:val="24"/>
          <w:szCs w:val="24"/>
        </w:rPr>
        <w:t>3. 知识产权</w:t>
      </w:r>
      <w:bookmarkEnd w:id="241"/>
      <w:bookmarkEnd w:id="242"/>
      <w:bookmarkEnd w:id="24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pPr>
        <w:pStyle w:val="5"/>
        <w:spacing w:before="240" w:after="0" w:line="360" w:lineRule="auto"/>
        <w:rPr>
          <w:rFonts w:asciiTheme="minorEastAsia" w:hAnsiTheme="minorEastAsia" w:eastAsiaTheme="minorEastAsia"/>
          <w:sz w:val="24"/>
          <w:szCs w:val="24"/>
        </w:rPr>
      </w:pPr>
      <w:bookmarkStart w:id="244" w:name="_Toc487900352"/>
      <w:bookmarkStart w:id="245" w:name="_Toc529435060"/>
      <w:bookmarkStart w:id="246" w:name="_Toc310195735"/>
      <w:r>
        <w:rPr>
          <w:rFonts w:hint="eastAsia" w:asciiTheme="minorEastAsia" w:hAnsiTheme="minorEastAsia" w:eastAsiaTheme="minorEastAsia"/>
          <w:sz w:val="24"/>
          <w:szCs w:val="24"/>
        </w:rPr>
        <w:t>4. 包装要求</w:t>
      </w:r>
      <w:bookmarkEnd w:id="244"/>
      <w:bookmarkEnd w:id="245"/>
      <w:bookmarkEnd w:id="246"/>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4.2 每件包装箱内应附一份详细装箱单和质量合格证。</w:t>
      </w:r>
    </w:p>
    <w:p>
      <w:pPr>
        <w:pStyle w:val="5"/>
        <w:spacing w:before="240" w:line="360" w:lineRule="auto"/>
        <w:rPr>
          <w:rFonts w:asciiTheme="minorEastAsia" w:hAnsiTheme="minorEastAsia" w:eastAsiaTheme="minorEastAsia"/>
          <w:sz w:val="24"/>
          <w:szCs w:val="24"/>
        </w:rPr>
      </w:pPr>
      <w:bookmarkStart w:id="247" w:name="_Toc310195736"/>
      <w:bookmarkStart w:id="248" w:name="_Toc487900353"/>
      <w:bookmarkStart w:id="249" w:name="_Toc529435061"/>
      <w:r>
        <w:rPr>
          <w:rFonts w:hint="eastAsia" w:asciiTheme="minorEastAsia" w:hAnsiTheme="minorEastAsia" w:eastAsiaTheme="minorEastAsia"/>
          <w:sz w:val="24"/>
          <w:szCs w:val="24"/>
        </w:rPr>
        <w:t>5. 装运标志</w:t>
      </w:r>
      <w:bookmarkEnd w:id="247"/>
      <w:bookmarkEnd w:id="248"/>
      <w:bookmarkEnd w:id="249"/>
    </w:p>
    <w:p>
      <w:pPr>
        <w:spacing w:line="360" w:lineRule="auto"/>
        <w:ind w:left="720" w:hanging="720"/>
        <w:rPr>
          <w:rFonts w:asciiTheme="minorEastAsia" w:hAnsiTheme="minorEastAsia" w:eastAsiaTheme="minorEastAsia"/>
          <w:sz w:val="24"/>
        </w:rPr>
      </w:pPr>
      <w:r>
        <w:rPr>
          <w:rFonts w:hint="eastAsia" w:asciiTheme="minorEastAsia" w:hAnsiTheme="minorEastAsia" w:eastAsiaTheme="minorEastAsia"/>
          <w:sz w:val="24"/>
        </w:rPr>
        <w:t>5.1 卖方应在每一包装箱的四侧用不褪色的油漆以醒目的中文字样做出下列标记：</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收货人：</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合同号：</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装运标志：</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收货人代号：</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目的地：</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货物名称、品目号和箱号：</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毛重／净重：</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尺寸(长×宽×高以厘米计)：</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pPr>
        <w:pStyle w:val="5"/>
        <w:spacing w:before="240" w:after="0" w:line="360" w:lineRule="auto"/>
        <w:rPr>
          <w:rFonts w:asciiTheme="minorEastAsia" w:hAnsiTheme="minorEastAsia" w:eastAsiaTheme="minorEastAsia"/>
          <w:sz w:val="24"/>
          <w:szCs w:val="24"/>
        </w:rPr>
      </w:pPr>
      <w:bookmarkStart w:id="250" w:name="_Ref467379527"/>
      <w:bookmarkStart w:id="251" w:name="_Toc529435062"/>
      <w:bookmarkStart w:id="252" w:name="_Ref467379536"/>
      <w:bookmarkStart w:id="253" w:name="_Toc310195737"/>
      <w:bookmarkStart w:id="254" w:name="_Ref467378541"/>
      <w:bookmarkStart w:id="255" w:name="_Ref467378591"/>
      <w:bookmarkStart w:id="256" w:name="_Ref467379542"/>
      <w:bookmarkStart w:id="257" w:name="_Toc487900354"/>
      <w:r>
        <w:rPr>
          <w:rFonts w:hint="eastAsia" w:asciiTheme="minorEastAsia" w:hAnsiTheme="minorEastAsia" w:eastAsiaTheme="minorEastAsia"/>
          <w:sz w:val="24"/>
          <w:szCs w:val="24"/>
        </w:rPr>
        <w:t>6. 交货方式</w:t>
      </w:r>
      <w:bookmarkEnd w:id="250"/>
      <w:bookmarkEnd w:id="251"/>
      <w:bookmarkEnd w:id="252"/>
      <w:bookmarkEnd w:id="253"/>
      <w:bookmarkEnd w:id="254"/>
      <w:bookmarkEnd w:id="255"/>
      <w:bookmarkEnd w:id="256"/>
      <w:bookmarkEnd w:id="257"/>
    </w:p>
    <w:p>
      <w:pPr>
        <w:spacing w:line="360" w:lineRule="auto"/>
        <w:rPr>
          <w:rFonts w:asciiTheme="minorEastAsia" w:hAnsiTheme="minorEastAsia" w:eastAsiaTheme="minorEastAsia"/>
          <w:sz w:val="24"/>
        </w:rPr>
      </w:pPr>
      <w:bookmarkStart w:id="258" w:name="_Ref467379657"/>
      <w:r>
        <w:rPr>
          <w:rFonts w:hint="eastAsia" w:asciiTheme="minorEastAsia" w:hAnsiTheme="minorEastAsia" w:eastAsiaTheme="minorEastAsia"/>
          <w:sz w:val="24"/>
        </w:rPr>
        <w:t>6.1 交货方式一般为下列其中一种，具体在合同特殊条款中规定。</w:t>
      </w:r>
      <w:bookmarkEnd w:id="258"/>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6.1.1 现场交货：卖方负责办理运输和保险，将货物运抵现场。有关运输和保险的一切费用由卖方承担。所有货物运抵现场的日期为交货日期。</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6.1.2 工厂交货：由卖方负责代办运输和保险事宜。运输费和保险费由买方承担。运输部门出具收据的日期为交货日期。</w:t>
      </w:r>
    </w:p>
    <w:p>
      <w:pPr>
        <w:spacing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6.1.3 买方自提货物：由买方在合同规定地点自行办理提货。提单日期为交货日期。</w:t>
      </w:r>
    </w:p>
    <w:p>
      <w:pPr>
        <w:spacing w:line="360" w:lineRule="auto"/>
        <w:ind w:left="2"/>
        <w:rPr>
          <w:rFonts w:asciiTheme="minorEastAsia" w:hAnsiTheme="minorEastAsia" w:eastAsiaTheme="minorEastAsia"/>
          <w:sz w:val="24"/>
        </w:rPr>
      </w:pPr>
      <w:r>
        <w:rPr>
          <w:rFonts w:hint="eastAsia" w:asciiTheme="minorEastAsia" w:hAnsiTheme="minorEastAsia" w:eastAsiaTheme="minorEastAsia"/>
          <w:sz w:val="24"/>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6.3 在现场交货和工厂交货条件下，卖方装运的货物不应超过合同规定的数量或重量。否则，卖方应对超运部分引起的一切后果负责。</w:t>
      </w:r>
    </w:p>
    <w:p>
      <w:pPr>
        <w:pStyle w:val="5"/>
        <w:spacing w:before="240" w:after="0" w:line="360" w:lineRule="auto"/>
        <w:rPr>
          <w:rFonts w:asciiTheme="minorEastAsia" w:hAnsiTheme="minorEastAsia" w:eastAsiaTheme="minorEastAsia"/>
          <w:sz w:val="24"/>
          <w:szCs w:val="24"/>
        </w:rPr>
      </w:pPr>
      <w:bookmarkStart w:id="259" w:name="_Toc310195738"/>
      <w:bookmarkStart w:id="260" w:name="_Toc487900355"/>
      <w:bookmarkStart w:id="261" w:name="_Toc529435063"/>
      <w:r>
        <w:rPr>
          <w:rFonts w:hint="eastAsia" w:asciiTheme="minorEastAsia" w:hAnsiTheme="minorEastAsia" w:eastAsiaTheme="minorEastAsia"/>
          <w:sz w:val="24"/>
          <w:szCs w:val="24"/>
        </w:rPr>
        <w:t>7. 装运通知</w:t>
      </w:r>
      <w:bookmarkEnd w:id="259"/>
      <w:bookmarkEnd w:id="260"/>
      <w:bookmarkEnd w:id="26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7.1 在现场交货和工厂交货条件下的货物，在卖方已通知买方货物已备妥待运输后24小时之内，卖方应将合同号、货名、数量、毛重、总体积(立方米)、运输工具名称及装运日期，以电报或传真通知买方。</w:t>
      </w:r>
    </w:p>
    <w:p>
      <w:pPr>
        <w:pStyle w:val="34"/>
        <w:spacing w:before="0" w:line="360" w:lineRule="auto"/>
        <w:ind w:left="0" w:firstLine="0"/>
        <w:rPr>
          <w:rFonts w:asciiTheme="minorEastAsia" w:hAnsiTheme="minorEastAsia" w:eastAsiaTheme="minorEastAsia"/>
          <w:sz w:val="24"/>
          <w:szCs w:val="24"/>
        </w:rPr>
      </w:pPr>
      <w:r>
        <w:rPr>
          <w:rFonts w:hint="eastAsia" w:asciiTheme="minorEastAsia" w:hAnsiTheme="minorEastAsia" w:eastAsiaTheme="minorEastAsia"/>
          <w:sz w:val="24"/>
          <w:szCs w:val="24"/>
        </w:rPr>
        <w:t>7.2 如因卖方延误将上述内容用电报或传真通知买方，由此引起的一切后果损失应由卖方负责。</w:t>
      </w:r>
    </w:p>
    <w:p>
      <w:pPr>
        <w:pStyle w:val="5"/>
        <w:spacing w:before="240" w:after="0" w:line="360" w:lineRule="auto"/>
        <w:rPr>
          <w:rFonts w:asciiTheme="minorEastAsia" w:hAnsiTheme="minorEastAsia" w:eastAsiaTheme="minorEastAsia"/>
          <w:sz w:val="24"/>
          <w:szCs w:val="24"/>
        </w:rPr>
      </w:pPr>
      <w:bookmarkStart w:id="262" w:name="_Toc487900356"/>
      <w:bookmarkStart w:id="263" w:name="_Toc310195739"/>
      <w:bookmarkStart w:id="264" w:name="_Toc529435064"/>
      <w:r>
        <w:rPr>
          <w:rFonts w:hint="eastAsia" w:asciiTheme="minorEastAsia" w:hAnsiTheme="minorEastAsia" w:eastAsiaTheme="minorEastAsia"/>
          <w:sz w:val="24"/>
          <w:szCs w:val="24"/>
        </w:rPr>
        <w:t>8. 保险</w:t>
      </w:r>
      <w:bookmarkEnd w:id="262"/>
      <w:bookmarkEnd w:id="263"/>
      <w:bookmarkEnd w:id="26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8.1 如果货物是按现场交货方式或工厂交货方式报价的，由卖方办理保险，按照发票金额的110％办理“一切险”，保险范围包括卖方承诺装运的货物；如果货物是按买方自提货物方式报价的，其保险由买方办理。</w:t>
      </w:r>
    </w:p>
    <w:p>
      <w:pPr>
        <w:pStyle w:val="5"/>
        <w:spacing w:before="240" w:after="0" w:line="360" w:lineRule="auto"/>
        <w:rPr>
          <w:rFonts w:asciiTheme="minorEastAsia" w:hAnsiTheme="minorEastAsia" w:eastAsiaTheme="minorEastAsia"/>
          <w:sz w:val="24"/>
          <w:szCs w:val="24"/>
        </w:rPr>
      </w:pPr>
      <w:bookmarkStart w:id="265" w:name="_Toc529435065"/>
      <w:bookmarkStart w:id="266" w:name="_Ref467379807"/>
      <w:bookmarkStart w:id="267" w:name="_Toc310195740"/>
      <w:bookmarkStart w:id="268" w:name="_Ref467379793"/>
      <w:bookmarkStart w:id="269" w:name="_Toc487900357"/>
      <w:r>
        <w:rPr>
          <w:rFonts w:hint="eastAsia" w:asciiTheme="minorEastAsia" w:hAnsiTheme="minorEastAsia" w:eastAsiaTheme="minorEastAsia"/>
          <w:sz w:val="24"/>
          <w:szCs w:val="24"/>
        </w:rPr>
        <w:t>9 付款条件</w:t>
      </w:r>
      <w:bookmarkEnd w:id="265"/>
      <w:bookmarkEnd w:id="266"/>
      <w:bookmarkEnd w:id="267"/>
      <w:bookmarkEnd w:id="268"/>
      <w:bookmarkEnd w:id="269"/>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9.1 付款条件见“合同专用条款”。</w:t>
      </w:r>
    </w:p>
    <w:p>
      <w:pPr>
        <w:pStyle w:val="5"/>
        <w:spacing w:before="240" w:after="0" w:line="360" w:lineRule="auto"/>
        <w:rPr>
          <w:rFonts w:asciiTheme="minorEastAsia" w:hAnsiTheme="minorEastAsia" w:eastAsiaTheme="minorEastAsia"/>
          <w:sz w:val="24"/>
          <w:szCs w:val="24"/>
        </w:rPr>
      </w:pPr>
      <w:bookmarkStart w:id="270" w:name="_Ref467379863"/>
      <w:bookmarkStart w:id="271" w:name="_Toc487900358"/>
      <w:bookmarkStart w:id="272" w:name="_Ref467379852"/>
      <w:bookmarkStart w:id="273" w:name="_Toc529435066"/>
      <w:bookmarkStart w:id="274" w:name="_Toc310195741"/>
      <w:bookmarkStart w:id="275" w:name="_Ref467379923"/>
      <w:r>
        <w:rPr>
          <w:rFonts w:hint="eastAsia" w:asciiTheme="minorEastAsia" w:hAnsiTheme="minorEastAsia" w:eastAsiaTheme="minorEastAsia"/>
          <w:sz w:val="24"/>
          <w:szCs w:val="24"/>
        </w:rPr>
        <w:t>10 .技术资料</w:t>
      </w:r>
      <w:bookmarkEnd w:id="270"/>
      <w:bookmarkEnd w:id="271"/>
      <w:bookmarkEnd w:id="272"/>
      <w:bookmarkEnd w:id="273"/>
      <w:bookmarkEnd w:id="274"/>
      <w:bookmarkEnd w:id="27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10.1 合同项下技术资料(除合同特殊条款规定外)将以下列方式交付：</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合同生效后</w:t>
      </w:r>
      <w:r>
        <w:rPr>
          <w:rFonts w:hint="eastAsia" w:asciiTheme="minorEastAsia" w:hAnsiTheme="minorEastAsia" w:eastAsiaTheme="minorEastAsia"/>
          <w:sz w:val="24"/>
          <w:u w:val="single"/>
        </w:rPr>
        <w:t xml:space="preserve">  10  </w:t>
      </w:r>
      <w:r>
        <w:rPr>
          <w:rFonts w:hint="eastAsia" w:asciiTheme="minorEastAsia" w:hAnsiTheme="minorEastAsia" w:eastAsiaTheme="minorEastAsia"/>
          <w:sz w:val="24"/>
        </w:rPr>
        <w:t>天之内，卖方应将每台设备和仪器的中文技术资料一套，如目录索引、图纸、操作手册、使用指南、维修指南和／或服务手册和示意图寄给买方。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10.2 另外一套完整的上述资料应包装好随同每批货物一起发运。</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10.3 如果买方确认卖方提供的技术资料不完整或在运输过程中丢失，卖方将在收到买方通知后</w:t>
      </w:r>
      <w:r>
        <w:rPr>
          <w:rFonts w:hint="eastAsia" w:asciiTheme="minorEastAsia" w:hAnsiTheme="minorEastAsia" w:eastAsiaTheme="minorEastAsia"/>
          <w:sz w:val="24"/>
          <w:u w:val="single"/>
        </w:rPr>
        <w:t xml:space="preserve">  3 </w:t>
      </w:r>
      <w:r>
        <w:rPr>
          <w:rFonts w:hint="eastAsia" w:asciiTheme="minorEastAsia" w:hAnsiTheme="minorEastAsia" w:eastAsiaTheme="minorEastAsia"/>
          <w:sz w:val="24"/>
        </w:rPr>
        <w:t>天内将这些资料免费寄给买方。</w:t>
      </w:r>
    </w:p>
    <w:p>
      <w:pPr>
        <w:pStyle w:val="5"/>
        <w:spacing w:before="240" w:after="0" w:line="360" w:lineRule="auto"/>
        <w:rPr>
          <w:rFonts w:asciiTheme="minorEastAsia" w:hAnsiTheme="minorEastAsia" w:eastAsiaTheme="minorEastAsia"/>
          <w:sz w:val="24"/>
          <w:szCs w:val="24"/>
        </w:rPr>
      </w:pPr>
      <w:bookmarkStart w:id="276" w:name="_Ref467379937"/>
      <w:bookmarkStart w:id="277" w:name="_Toc529435067"/>
      <w:bookmarkStart w:id="278" w:name="_Toc487900359"/>
      <w:bookmarkStart w:id="279" w:name="_Ref467377962"/>
      <w:bookmarkStart w:id="280" w:name="_Ref467377798"/>
      <w:bookmarkStart w:id="281" w:name="_Ref467379946"/>
      <w:bookmarkStart w:id="282" w:name="_Toc310195742"/>
      <w:r>
        <w:rPr>
          <w:rFonts w:hint="eastAsia" w:asciiTheme="minorEastAsia" w:hAnsiTheme="minorEastAsia" w:eastAsiaTheme="minorEastAsia"/>
          <w:sz w:val="24"/>
          <w:szCs w:val="24"/>
        </w:rPr>
        <w:t>11. 质量保证</w:t>
      </w:r>
      <w:bookmarkEnd w:id="276"/>
      <w:bookmarkEnd w:id="277"/>
      <w:bookmarkEnd w:id="278"/>
      <w:bookmarkEnd w:id="279"/>
      <w:bookmarkEnd w:id="280"/>
      <w:bookmarkEnd w:id="281"/>
      <w:bookmarkEnd w:id="282"/>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11.1 卖方应保证货物是全新、未使用过的，并完全符合强制性的国家技术质量规范和合同规定的质量、规格、性能和技术规范等的要求。</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天内应免费维修或更换有缺陷的货物或部件。</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11.4 如果卖方在收到通知后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天内没有弥补缺陷，买方可采取必要的补救措施，但由此引发的风险和费用将由卖方承担。</w:t>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11.5 合同项下货物的质量保证期为自货物通过最终验收起个月。</w:t>
      </w:r>
      <w:r>
        <w:rPr>
          <w:rFonts w:hint="eastAsia" w:asciiTheme="minorEastAsia" w:hAnsiTheme="minorEastAsia" w:eastAsiaTheme="minorEastAsia"/>
          <w:b/>
          <w:sz w:val="24"/>
        </w:rPr>
        <w:t>详见合同特殊条款.</w:t>
      </w:r>
    </w:p>
    <w:p>
      <w:pPr>
        <w:pStyle w:val="5"/>
        <w:spacing w:before="240" w:after="0" w:line="360" w:lineRule="auto"/>
        <w:rPr>
          <w:rFonts w:asciiTheme="minorEastAsia" w:hAnsiTheme="minorEastAsia" w:eastAsiaTheme="minorEastAsia"/>
          <w:sz w:val="24"/>
          <w:szCs w:val="24"/>
        </w:rPr>
      </w:pPr>
      <w:bookmarkStart w:id="283" w:name="_Toc487900360"/>
      <w:bookmarkStart w:id="284" w:name="_Ref467378018"/>
      <w:bookmarkStart w:id="285" w:name="_Toc529435068"/>
      <w:bookmarkStart w:id="286" w:name="_Toc310195743"/>
      <w:r>
        <w:rPr>
          <w:rFonts w:hint="eastAsia" w:asciiTheme="minorEastAsia" w:hAnsiTheme="minorEastAsia" w:eastAsiaTheme="minorEastAsia"/>
          <w:sz w:val="24"/>
          <w:szCs w:val="24"/>
        </w:rPr>
        <w:t>12. 检验</w:t>
      </w:r>
      <w:bookmarkEnd w:id="283"/>
      <w:bookmarkEnd w:id="284"/>
      <w:r>
        <w:rPr>
          <w:rFonts w:hint="eastAsia" w:asciiTheme="minorEastAsia" w:hAnsiTheme="minorEastAsia" w:eastAsiaTheme="minorEastAsia"/>
          <w:sz w:val="24"/>
          <w:szCs w:val="24"/>
        </w:rPr>
        <w:t>和验收</w:t>
      </w:r>
      <w:bookmarkEnd w:id="285"/>
      <w:bookmarkEnd w:id="286"/>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12.2 货物运抵现场后，买方应在</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30</w:t>
      </w:r>
      <w:r>
        <w:rPr>
          <w:rFonts w:hint="eastAsia" w:asciiTheme="minorEastAsia" w:hAnsiTheme="minorEastAsia" w:eastAsiaTheme="minorEastAsia"/>
          <w:sz w:val="24"/>
        </w:rPr>
        <w:t>日内组织验收，并制作验收备忘录，签署验收意见并报政府采购监督管理部门备案。</w:t>
      </w:r>
    </w:p>
    <w:p>
      <w:pPr>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12.3 如果任何被检验或测试的货物不能满足规格的要求，买方可以拒绝接受该货物，卖方应更换被拒绝的货物，或者免费进行必要的修改以满足规格的要求。</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12.4 买方有在货物制造过程中派人员监造的权利, 卖方有义务为买方监造人员行使该权利提供方便。</w:t>
      </w:r>
    </w:p>
    <w:p>
      <w:pPr>
        <w:spacing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12.5 制造厂对所供货物进行机械运转试验和性能试验时，必须提前通知买方。</w:t>
      </w:r>
    </w:p>
    <w:p>
      <w:pPr>
        <w:pStyle w:val="5"/>
        <w:spacing w:before="240" w:after="0" w:line="360" w:lineRule="auto"/>
        <w:rPr>
          <w:rFonts w:asciiTheme="minorEastAsia" w:hAnsiTheme="minorEastAsia" w:eastAsiaTheme="minorEastAsia"/>
          <w:sz w:val="24"/>
          <w:szCs w:val="24"/>
        </w:rPr>
      </w:pPr>
      <w:bookmarkStart w:id="287" w:name="_Toc310195744"/>
      <w:bookmarkStart w:id="288" w:name="_Toc487900361"/>
      <w:bookmarkStart w:id="289" w:name="_Toc529435069"/>
      <w:r>
        <w:rPr>
          <w:rFonts w:hint="eastAsia" w:asciiTheme="minorEastAsia" w:hAnsiTheme="minorEastAsia" w:eastAsiaTheme="minorEastAsia"/>
          <w:sz w:val="24"/>
          <w:szCs w:val="24"/>
        </w:rPr>
        <w:t>13. 索赔</w:t>
      </w:r>
      <w:bookmarkEnd w:id="287"/>
      <w:bookmarkEnd w:id="288"/>
      <w:bookmarkEnd w:id="28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pPr>
        <w:spacing w:line="360" w:lineRule="auto"/>
        <w:rPr>
          <w:rFonts w:asciiTheme="minorEastAsia" w:hAnsiTheme="minorEastAsia" w:eastAsiaTheme="minorEastAsia"/>
          <w:sz w:val="24"/>
        </w:rPr>
      </w:pPr>
      <w:bookmarkStart w:id="290" w:name="_Ref467378076"/>
      <w:r>
        <w:rPr>
          <w:rFonts w:hint="eastAsia" w:asciiTheme="minorEastAsia" w:hAnsiTheme="minorEastAsia" w:eastAsiaTheme="minorEastAsia"/>
          <w:sz w:val="24"/>
        </w:rPr>
        <w:t>13.2 在根据合同第11条和第12条规定的检验期和质量保证期内，如果卖方对买方提出的索赔负有责任，卖方应按照买方同意的下列一种或多种方式解决索赔事宜：</w:t>
      </w:r>
      <w:bookmarkEnd w:id="290"/>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13.2.2 根据货物低劣程度、损坏程度以及买方所遭受损失的数额，经买卖双方商定降低货物的价格，或由有权的部门评估，以降低后的价格或评估价格为准。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13.3 如果在买方发出索赔通知后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天内，卖方未作答复，上述索赔应视为已被卖方接受。如卖方未能在买方提出索赔通知后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pPr>
        <w:pStyle w:val="5"/>
        <w:spacing w:before="240" w:after="0" w:line="360" w:lineRule="auto"/>
        <w:rPr>
          <w:rFonts w:asciiTheme="minorEastAsia" w:hAnsiTheme="minorEastAsia" w:eastAsiaTheme="minorEastAsia"/>
          <w:sz w:val="24"/>
          <w:szCs w:val="24"/>
        </w:rPr>
      </w:pPr>
      <w:bookmarkStart w:id="291" w:name="_Toc487900362"/>
      <w:bookmarkStart w:id="292" w:name="_Toc310195745"/>
      <w:bookmarkStart w:id="293" w:name="_Toc529435070"/>
      <w:r>
        <w:rPr>
          <w:rFonts w:hint="eastAsia" w:asciiTheme="minorEastAsia" w:hAnsiTheme="minorEastAsia" w:eastAsiaTheme="minorEastAsia"/>
          <w:sz w:val="24"/>
          <w:szCs w:val="24"/>
        </w:rPr>
        <w:t>14. 迟延交货</w:t>
      </w:r>
      <w:bookmarkEnd w:id="291"/>
      <w:bookmarkEnd w:id="292"/>
      <w:bookmarkEnd w:id="293"/>
    </w:p>
    <w:p>
      <w:pPr>
        <w:spacing w:before="120" w:line="360" w:lineRule="auto"/>
        <w:ind w:left="901" w:hanging="960"/>
        <w:rPr>
          <w:rFonts w:asciiTheme="minorEastAsia" w:hAnsiTheme="minorEastAsia" w:eastAsiaTheme="minorEastAsia"/>
          <w:sz w:val="24"/>
        </w:rPr>
      </w:pPr>
      <w:r>
        <w:rPr>
          <w:rFonts w:hint="eastAsia" w:asciiTheme="minorEastAsia" w:hAnsiTheme="minorEastAsia" w:eastAsiaTheme="minorEastAsia"/>
          <w:sz w:val="24"/>
        </w:rPr>
        <w:t>14.1 卖方应按照“货物需求一览表及技术规格”中买方规定的时间表交货和提供服务。</w:t>
      </w:r>
    </w:p>
    <w:p>
      <w:pPr>
        <w:spacing w:before="120"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14.2 如果卖方无正当理由迟延交货，买方有权提出违约损失赔偿或解除合同。</w:t>
      </w: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14.3 在履行合同过程中，如果卖方遇到不能按时交货和提供服务的情况，应及时以书面形式将不能按时交货的理由、预期延误时间通知买方。买方收到卖方通知后，认为其理由正当的，可酌情延长交货时间。</w:t>
      </w:r>
    </w:p>
    <w:p>
      <w:pPr>
        <w:pStyle w:val="5"/>
        <w:spacing w:before="240" w:after="0" w:line="360" w:lineRule="auto"/>
        <w:rPr>
          <w:rFonts w:asciiTheme="minorEastAsia" w:hAnsiTheme="minorEastAsia" w:eastAsiaTheme="minorEastAsia"/>
          <w:sz w:val="24"/>
          <w:szCs w:val="24"/>
        </w:rPr>
      </w:pPr>
      <w:bookmarkStart w:id="294" w:name="_Toc487900363"/>
      <w:bookmarkStart w:id="295" w:name="_Toc310195746"/>
      <w:bookmarkStart w:id="296" w:name="_Toc529435071"/>
      <w:r>
        <w:rPr>
          <w:rFonts w:hint="eastAsia" w:asciiTheme="minorEastAsia" w:hAnsiTheme="minorEastAsia" w:eastAsiaTheme="minorEastAsia"/>
          <w:sz w:val="24"/>
          <w:szCs w:val="24"/>
        </w:rPr>
        <w:t>15. 违约赔偿</w:t>
      </w:r>
      <w:bookmarkEnd w:id="294"/>
      <w:bookmarkEnd w:id="295"/>
      <w:bookmarkEnd w:id="296"/>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pPr>
        <w:pStyle w:val="5"/>
        <w:spacing w:before="240" w:after="0" w:line="360" w:lineRule="auto"/>
        <w:rPr>
          <w:rFonts w:asciiTheme="minorEastAsia" w:hAnsiTheme="minorEastAsia" w:eastAsiaTheme="minorEastAsia"/>
          <w:sz w:val="24"/>
          <w:szCs w:val="24"/>
        </w:rPr>
      </w:pPr>
      <w:bookmarkStart w:id="297" w:name="_Toc529435072"/>
      <w:bookmarkStart w:id="298" w:name="_Toc487900364"/>
      <w:bookmarkStart w:id="299" w:name="_Ref467378121"/>
      <w:bookmarkStart w:id="300" w:name="_Toc310195747"/>
      <w:r>
        <w:rPr>
          <w:rFonts w:hint="eastAsia" w:asciiTheme="minorEastAsia" w:hAnsiTheme="minorEastAsia" w:eastAsiaTheme="minorEastAsia"/>
          <w:sz w:val="24"/>
          <w:szCs w:val="24"/>
        </w:rPr>
        <w:t>16. 不可抗力</w:t>
      </w:r>
      <w:bookmarkEnd w:id="297"/>
      <w:bookmarkEnd w:id="298"/>
      <w:bookmarkEnd w:id="299"/>
      <w:bookmarkEnd w:id="300"/>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16.1 如果双方中任何一方遭遇法律规定的不可抗力，致使合同履行受阻时，履行合同的期限应予延长，延长的期限应相当于不可抗力所影响的时间。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16.2 受事故影响的一方应在不可抗力的事故发生后尽快书面形式通知另一方，并在事故发生后</w:t>
      </w:r>
      <w:r>
        <w:rPr>
          <w:rFonts w:hint="eastAsia" w:asciiTheme="minorEastAsia" w:hAnsiTheme="minorEastAsia" w:eastAsiaTheme="minorEastAsia"/>
          <w:sz w:val="24"/>
          <w:u w:val="single"/>
        </w:rPr>
        <w:t xml:space="preserve">  14  </w:t>
      </w:r>
      <w:r>
        <w:rPr>
          <w:rFonts w:hint="eastAsia" w:asciiTheme="minorEastAsia" w:hAnsiTheme="minorEastAsia" w:eastAsiaTheme="minorEastAsia"/>
          <w:sz w:val="24"/>
        </w:rPr>
        <w:t>天内，将有关部门出具的证明文件送达另一方。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16.3不可抗力使合同的某些内容有变更必要的， 双方应通过协商在</w:t>
      </w:r>
      <w:r>
        <w:rPr>
          <w:rFonts w:hint="eastAsia" w:asciiTheme="minorEastAsia" w:hAnsiTheme="minorEastAsia" w:eastAsiaTheme="minorEastAsia"/>
          <w:sz w:val="24"/>
          <w:u w:val="single"/>
        </w:rPr>
        <w:t xml:space="preserve"> 28 </w:t>
      </w:r>
      <w:r>
        <w:rPr>
          <w:rFonts w:hint="eastAsia" w:asciiTheme="minorEastAsia" w:hAnsiTheme="minorEastAsia" w:eastAsiaTheme="minorEastAsia"/>
          <w:sz w:val="24"/>
        </w:rPr>
        <w:t>日内达成进一步履行合同的协议，因不可抗力致使合同不能履行的，合同终止。</w:t>
      </w:r>
    </w:p>
    <w:p>
      <w:pPr>
        <w:pStyle w:val="5"/>
        <w:spacing w:before="240" w:after="0" w:line="360" w:lineRule="auto"/>
        <w:rPr>
          <w:rFonts w:asciiTheme="minorEastAsia" w:hAnsiTheme="minorEastAsia" w:eastAsiaTheme="minorEastAsia"/>
          <w:sz w:val="24"/>
          <w:szCs w:val="24"/>
        </w:rPr>
      </w:pPr>
      <w:bookmarkStart w:id="301" w:name="_Toc529435073"/>
      <w:bookmarkStart w:id="302" w:name="_Toc310195748"/>
      <w:bookmarkStart w:id="303" w:name="_Toc487900365"/>
      <w:r>
        <w:rPr>
          <w:rFonts w:hint="eastAsia" w:asciiTheme="minorEastAsia" w:hAnsiTheme="minorEastAsia" w:eastAsiaTheme="minorEastAsia"/>
          <w:sz w:val="24"/>
          <w:szCs w:val="24"/>
        </w:rPr>
        <w:t>17. 税费</w:t>
      </w:r>
      <w:bookmarkEnd w:id="301"/>
      <w:bookmarkEnd w:id="302"/>
      <w:bookmarkEnd w:id="303"/>
    </w:p>
    <w:p>
      <w:pPr>
        <w:spacing w:before="120"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17.1 与本合同有关的一切税费均适用中华人民共和国法律的相关规定。</w:t>
      </w:r>
    </w:p>
    <w:p>
      <w:pPr>
        <w:pStyle w:val="5"/>
        <w:spacing w:line="360" w:lineRule="auto"/>
        <w:rPr>
          <w:rFonts w:asciiTheme="minorEastAsia" w:hAnsiTheme="minorEastAsia" w:eastAsiaTheme="minorEastAsia"/>
          <w:sz w:val="24"/>
          <w:szCs w:val="24"/>
        </w:rPr>
      </w:pPr>
      <w:bookmarkStart w:id="304" w:name="_Hlt487900425"/>
      <w:bookmarkEnd w:id="304"/>
      <w:bookmarkStart w:id="305" w:name="_Toc487900366"/>
      <w:bookmarkStart w:id="306" w:name="_Toc310195749"/>
      <w:bookmarkStart w:id="307" w:name="_Toc529435074"/>
      <w:r>
        <w:rPr>
          <w:rFonts w:hint="eastAsia" w:asciiTheme="minorEastAsia" w:hAnsiTheme="minorEastAsia" w:eastAsiaTheme="minorEastAsia"/>
          <w:sz w:val="24"/>
          <w:szCs w:val="24"/>
        </w:rPr>
        <w:t>18. 仲裁</w:t>
      </w:r>
      <w:bookmarkEnd w:id="305"/>
      <w:bookmarkEnd w:id="306"/>
      <w:bookmarkEnd w:id="307"/>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18.1 买卖双方应通过友好协商，解决在执行本合同中所发生的或与本合同有关的一切争端。如果协商不成的，任何一方均可申请北京仲裁委员会进行仲裁。</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18.2 仲裁裁决应为最终裁决，对双方均具有约束力，当事人应当履行。当事人一方在规定时间内不履行仲裁机构的仲裁裁决的，另一方可以申请人民法院强制执行。</w:t>
      </w:r>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18.3 仲裁费除仲裁机构另有裁决外，应由败诉方负担。</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18.4 在仲裁期间，除正在进行仲裁的合同条款外，合同的其它部分应继续执行。</w:t>
      </w:r>
    </w:p>
    <w:p>
      <w:pPr>
        <w:pStyle w:val="5"/>
        <w:spacing w:before="240" w:after="0" w:line="360" w:lineRule="auto"/>
        <w:rPr>
          <w:rFonts w:asciiTheme="minorEastAsia" w:hAnsiTheme="minorEastAsia" w:eastAsiaTheme="minorEastAsia"/>
          <w:sz w:val="24"/>
          <w:szCs w:val="24"/>
        </w:rPr>
      </w:pPr>
      <w:bookmarkStart w:id="308" w:name="_Toc487900367"/>
      <w:bookmarkStart w:id="309" w:name="_Toc310195750"/>
      <w:bookmarkStart w:id="310" w:name="_Toc529435075"/>
      <w:r>
        <w:rPr>
          <w:rFonts w:hint="eastAsia" w:asciiTheme="minorEastAsia" w:hAnsiTheme="minorEastAsia" w:eastAsiaTheme="minorEastAsia"/>
          <w:sz w:val="24"/>
          <w:szCs w:val="24"/>
        </w:rPr>
        <w:t>19. 违约解除合同</w:t>
      </w:r>
      <w:bookmarkEnd w:id="308"/>
      <w:bookmarkEnd w:id="309"/>
      <w:bookmarkEnd w:id="310"/>
    </w:p>
    <w:p>
      <w:pPr>
        <w:spacing w:line="360" w:lineRule="auto"/>
        <w:rPr>
          <w:rFonts w:asciiTheme="minorEastAsia" w:hAnsiTheme="minorEastAsia" w:eastAsiaTheme="minorEastAsia"/>
          <w:sz w:val="24"/>
        </w:rPr>
      </w:pPr>
      <w:bookmarkStart w:id="311" w:name="_Ref467378234"/>
      <w:r>
        <w:rPr>
          <w:rFonts w:hint="eastAsia" w:asciiTheme="minorEastAsia" w:hAnsiTheme="minorEastAsia" w:eastAsiaTheme="minorEastAsia"/>
          <w:sz w:val="24"/>
        </w:rPr>
        <w:t>19.1 在卖方违约的情况下，买方经政府采购监督管理部门同意后，可向卖方发出书面通知，部分或全部终止合同。同时保留向卖方追诉的权利。</w:t>
      </w:r>
      <w:bookmarkEnd w:id="31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19.1.1 卖方未能在合同规定的限期或买方同意延长的限期内，提供全部或部分货物的；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19.1.2 卖方未能履行合同规定的其它主要义务的；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 买方认为卖方在本合同履行过程中有腐败和欺诈行为的。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19.1.3.1“腐败行为”和“欺诈行为”定义如下:</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19.1.3.1.1“腐败行为”是指提供/给予/接受或索取任何有价值的东西来影响买方在合同签定、履行过程中的行为。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19.1.3.1.2“欺诈行为”是指为了影响合同签定、履行过程中，以谎报事实的方法，损害买方的利益的行为。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pStyle w:val="5"/>
        <w:spacing w:before="240" w:after="0" w:line="360" w:lineRule="auto"/>
        <w:rPr>
          <w:rFonts w:asciiTheme="minorEastAsia" w:hAnsiTheme="minorEastAsia" w:eastAsiaTheme="minorEastAsia"/>
          <w:sz w:val="24"/>
          <w:szCs w:val="24"/>
        </w:rPr>
      </w:pPr>
      <w:bookmarkStart w:id="312" w:name="_Toc529435076"/>
      <w:bookmarkStart w:id="313" w:name="_Toc310195751"/>
      <w:bookmarkStart w:id="314" w:name="_Toc487900368"/>
      <w:r>
        <w:rPr>
          <w:rFonts w:hint="eastAsia" w:asciiTheme="minorEastAsia" w:hAnsiTheme="minorEastAsia" w:eastAsiaTheme="minorEastAsia"/>
          <w:sz w:val="24"/>
          <w:szCs w:val="24"/>
        </w:rPr>
        <w:t>20. 破产终止合同</w:t>
      </w:r>
      <w:bookmarkEnd w:id="312"/>
      <w:bookmarkEnd w:id="313"/>
      <w:bookmarkEnd w:id="31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pPr>
        <w:pStyle w:val="5"/>
        <w:spacing w:before="240" w:after="0" w:line="360" w:lineRule="auto"/>
        <w:rPr>
          <w:rFonts w:asciiTheme="minorEastAsia" w:hAnsiTheme="minorEastAsia" w:eastAsiaTheme="minorEastAsia"/>
          <w:sz w:val="24"/>
          <w:szCs w:val="24"/>
        </w:rPr>
      </w:pPr>
      <w:bookmarkStart w:id="315" w:name="_Toc310195752"/>
      <w:bookmarkStart w:id="316" w:name="_Toc487900369"/>
      <w:bookmarkStart w:id="317" w:name="_Toc529435077"/>
      <w:r>
        <w:rPr>
          <w:rFonts w:hint="eastAsia" w:asciiTheme="minorEastAsia" w:hAnsiTheme="minorEastAsia" w:eastAsiaTheme="minorEastAsia"/>
          <w:sz w:val="24"/>
          <w:szCs w:val="24"/>
        </w:rPr>
        <w:t>21. 转让和分包</w:t>
      </w:r>
      <w:bookmarkEnd w:id="315"/>
      <w:bookmarkEnd w:id="316"/>
      <w:bookmarkEnd w:id="317"/>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21.1 </w:t>
      </w:r>
      <w:r>
        <w:rPr>
          <w:rFonts w:hint="eastAsia" w:asciiTheme="minorEastAsia" w:hAnsiTheme="minorEastAsia" w:eastAsiaTheme="minorEastAsia"/>
          <w:b/>
          <w:sz w:val="24"/>
        </w:rPr>
        <w:t>政府采购合同不能转让。</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21.2 经买方和政府采购监督管理部门事先书面同意 卖方可以将合同项下非主体、非关键性工作分包给他人完成。接受分包的人应当具备相应的资格条件，并不得再次分包。分包不能解除卖方履行本合同的责任和义务。</w:t>
      </w:r>
    </w:p>
    <w:p>
      <w:pPr>
        <w:pStyle w:val="5"/>
        <w:spacing w:before="240" w:after="0" w:line="360" w:lineRule="auto"/>
        <w:rPr>
          <w:rFonts w:asciiTheme="minorEastAsia" w:hAnsiTheme="minorEastAsia" w:eastAsiaTheme="minorEastAsia"/>
          <w:sz w:val="24"/>
          <w:szCs w:val="24"/>
        </w:rPr>
      </w:pPr>
      <w:bookmarkStart w:id="318" w:name="_Toc310195753"/>
      <w:bookmarkStart w:id="319" w:name="_Toc529435078"/>
      <w:bookmarkStart w:id="320" w:name="_Toc487900370"/>
      <w:r>
        <w:rPr>
          <w:rFonts w:hint="eastAsia" w:asciiTheme="minorEastAsia" w:hAnsiTheme="minorEastAsia" w:eastAsiaTheme="minorEastAsia"/>
          <w:sz w:val="24"/>
          <w:szCs w:val="24"/>
        </w:rPr>
        <w:t>22. 合同修改</w:t>
      </w:r>
      <w:bookmarkEnd w:id="318"/>
      <w:bookmarkEnd w:id="319"/>
      <w:bookmarkEnd w:id="320"/>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22.1 买方和卖方都不得擅自变更本合同，但合同继续履行将损害国家和社会公共利益的除外。如必须对合同条款进行改动时，由双方当事人提出书面的合同修改意见，并经政府采购监督管理部门同意后签署。</w:t>
      </w:r>
    </w:p>
    <w:p>
      <w:pPr>
        <w:pStyle w:val="5"/>
        <w:spacing w:before="240" w:after="0" w:line="360" w:lineRule="auto"/>
        <w:rPr>
          <w:rFonts w:asciiTheme="minorEastAsia" w:hAnsiTheme="minorEastAsia" w:eastAsiaTheme="minorEastAsia"/>
          <w:sz w:val="24"/>
          <w:szCs w:val="24"/>
        </w:rPr>
      </w:pPr>
      <w:bookmarkStart w:id="321" w:name="_Toc310195754"/>
      <w:bookmarkStart w:id="322" w:name="_Toc529435079"/>
      <w:bookmarkStart w:id="323" w:name="_Toc487900371"/>
      <w:r>
        <w:rPr>
          <w:rFonts w:hint="eastAsia" w:asciiTheme="minorEastAsia" w:hAnsiTheme="minorEastAsia" w:eastAsiaTheme="minorEastAsia"/>
          <w:sz w:val="24"/>
          <w:szCs w:val="24"/>
        </w:rPr>
        <w:t>23. 通知</w:t>
      </w:r>
      <w:bookmarkEnd w:id="321"/>
      <w:bookmarkEnd w:id="322"/>
      <w:bookmarkEnd w:id="32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23.1 本合同任何一方给另一方的通知，都应以书面形式发送，而另一方也应以书面形式确认并发送到对方明确的地址。</w:t>
      </w:r>
    </w:p>
    <w:p>
      <w:pPr>
        <w:pStyle w:val="5"/>
        <w:spacing w:before="240" w:after="0" w:line="360" w:lineRule="auto"/>
        <w:rPr>
          <w:rFonts w:asciiTheme="minorEastAsia" w:hAnsiTheme="minorEastAsia" w:eastAsiaTheme="minorEastAsia"/>
          <w:sz w:val="24"/>
          <w:szCs w:val="24"/>
        </w:rPr>
      </w:pPr>
      <w:bookmarkStart w:id="324" w:name="_Toc529435080"/>
      <w:bookmarkStart w:id="325" w:name="_Toc310195755"/>
      <w:bookmarkStart w:id="326" w:name="_Toc487900372"/>
      <w:r>
        <w:rPr>
          <w:rFonts w:hint="eastAsia" w:asciiTheme="minorEastAsia" w:hAnsiTheme="minorEastAsia" w:eastAsiaTheme="minorEastAsia"/>
          <w:sz w:val="24"/>
          <w:szCs w:val="24"/>
        </w:rPr>
        <w:t>24. 计量单位</w:t>
      </w:r>
      <w:bookmarkEnd w:id="324"/>
      <w:bookmarkEnd w:id="325"/>
      <w:bookmarkEnd w:id="326"/>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24.1 除技术规范中另有规定外,计量单位均使用国家法定计量单位。</w:t>
      </w:r>
    </w:p>
    <w:p>
      <w:pPr>
        <w:pStyle w:val="5"/>
        <w:spacing w:before="240" w:after="0" w:line="360" w:lineRule="auto"/>
        <w:rPr>
          <w:rFonts w:asciiTheme="minorEastAsia" w:hAnsiTheme="minorEastAsia" w:eastAsiaTheme="minorEastAsia"/>
          <w:sz w:val="24"/>
          <w:szCs w:val="24"/>
        </w:rPr>
      </w:pPr>
      <w:bookmarkStart w:id="327" w:name="_Toc529435081"/>
      <w:bookmarkStart w:id="328" w:name="_Toc487900373"/>
      <w:bookmarkStart w:id="329" w:name="_Toc310195756"/>
      <w:r>
        <w:rPr>
          <w:rFonts w:hint="eastAsia" w:asciiTheme="minorEastAsia" w:hAnsiTheme="minorEastAsia" w:eastAsiaTheme="minorEastAsia"/>
          <w:sz w:val="24"/>
          <w:szCs w:val="24"/>
        </w:rPr>
        <w:t>25. 适用法律</w:t>
      </w:r>
      <w:bookmarkEnd w:id="327"/>
      <w:bookmarkEnd w:id="328"/>
      <w:bookmarkEnd w:id="329"/>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25.1 本合同应按照中华人民共和国的法律进行解释。</w:t>
      </w:r>
    </w:p>
    <w:p>
      <w:pPr>
        <w:pStyle w:val="5"/>
        <w:spacing w:before="240" w:after="0" w:line="360" w:lineRule="auto"/>
        <w:rPr>
          <w:rFonts w:asciiTheme="minorEastAsia" w:hAnsiTheme="minorEastAsia" w:eastAsiaTheme="minorEastAsia"/>
          <w:sz w:val="24"/>
          <w:szCs w:val="24"/>
        </w:rPr>
      </w:pPr>
      <w:bookmarkStart w:id="330" w:name="_Toc487900374"/>
      <w:bookmarkStart w:id="331" w:name="_Toc529435082"/>
      <w:bookmarkStart w:id="332" w:name="_Toc310195757"/>
      <w:r>
        <w:rPr>
          <w:rFonts w:hint="eastAsia" w:asciiTheme="minorEastAsia" w:hAnsiTheme="minorEastAsia" w:eastAsiaTheme="minorEastAsia"/>
          <w:sz w:val="24"/>
          <w:szCs w:val="24"/>
        </w:rPr>
        <w:t>26. 合同生效</w:t>
      </w:r>
      <w:bookmarkEnd w:id="330"/>
      <w:r>
        <w:rPr>
          <w:rFonts w:hint="eastAsia" w:asciiTheme="minorEastAsia" w:hAnsiTheme="minorEastAsia" w:eastAsiaTheme="minorEastAsia"/>
          <w:sz w:val="24"/>
          <w:szCs w:val="24"/>
        </w:rPr>
        <w:t>和其它</w:t>
      </w:r>
      <w:bookmarkEnd w:id="331"/>
      <w:bookmarkEnd w:id="332"/>
    </w:p>
    <w:p>
      <w:pPr>
        <w:pStyle w:val="4"/>
        <w:spacing w:line="360" w:lineRule="auto"/>
        <w:ind w:left="2" w:firstLine="0"/>
        <w:rPr>
          <w:rFonts w:asciiTheme="minorEastAsia" w:hAnsiTheme="minorEastAsia" w:eastAsiaTheme="minorEastAsia"/>
          <w:szCs w:val="24"/>
        </w:rPr>
      </w:pPr>
      <w:r>
        <w:rPr>
          <w:rFonts w:hint="eastAsia" w:asciiTheme="minorEastAsia" w:hAnsiTheme="minorEastAsia" w:eastAsiaTheme="minorEastAsia"/>
          <w:szCs w:val="24"/>
        </w:rPr>
        <w:t xml:space="preserve">26.1 </w:t>
      </w:r>
      <w:r>
        <w:rPr>
          <w:rFonts w:hint="eastAsia" w:asciiTheme="minorEastAsia" w:hAnsiTheme="minorEastAsia" w:eastAsiaTheme="minorEastAsia"/>
          <w:kern w:val="2"/>
          <w:szCs w:val="24"/>
        </w:rPr>
        <w:t>政府采购项目的采购合同内容的确定应以招标文件和投标文件为基础，不得违背其实质性内容。政府采购项目的采购合同自签订之日起七个工作日内，买方应当将合同副本报同级政府采购监督管理部门备案。合同将在双方签字盖章后开始生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26.2 本合同一式</w:t>
      </w:r>
      <w:r>
        <w:rPr>
          <w:rFonts w:hint="eastAsia" w:asciiTheme="minorEastAsia" w:hAnsiTheme="minorEastAsia" w:eastAsiaTheme="minorEastAsia"/>
          <w:sz w:val="24"/>
          <w:u w:val="single"/>
        </w:rPr>
        <w:t xml:space="preserve">  8 </w:t>
      </w:r>
      <w:r>
        <w:rPr>
          <w:rFonts w:hint="eastAsia" w:asciiTheme="minorEastAsia" w:hAnsiTheme="minorEastAsia" w:eastAsiaTheme="minorEastAsia"/>
          <w:sz w:val="24"/>
        </w:rPr>
        <w:t>份，具有同等法律效力。买方执</w:t>
      </w:r>
      <w:r>
        <w:rPr>
          <w:rFonts w:hint="eastAsia" w:asciiTheme="minorEastAsia" w:hAnsiTheme="minorEastAsia" w:eastAsiaTheme="minorEastAsia"/>
          <w:sz w:val="24"/>
          <w:u w:val="single"/>
        </w:rPr>
        <w:t xml:space="preserve"> 4 </w:t>
      </w:r>
      <w:r>
        <w:rPr>
          <w:rFonts w:hint="eastAsia" w:asciiTheme="minorEastAsia" w:hAnsiTheme="minorEastAsia" w:eastAsiaTheme="minorEastAsia"/>
          <w:sz w:val="24"/>
        </w:rPr>
        <w:t>份，卖方,执</w:t>
      </w:r>
      <w:r>
        <w:rPr>
          <w:rFonts w:hint="eastAsia" w:asciiTheme="minorEastAsia" w:hAnsiTheme="minorEastAsia" w:eastAsiaTheme="minorEastAsia"/>
          <w:sz w:val="24"/>
          <w:u w:val="single"/>
        </w:rPr>
        <w:t xml:space="preserve">  2 </w:t>
      </w:r>
      <w:r>
        <w:rPr>
          <w:rFonts w:hint="eastAsia" w:asciiTheme="minorEastAsia" w:hAnsiTheme="minorEastAsia" w:eastAsiaTheme="minorEastAsia"/>
          <w:sz w:val="24"/>
        </w:rPr>
        <w:t xml:space="preserve">份，采购代理机构执 </w:t>
      </w:r>
      <w:r>
        <w:rPr>
          <w:rFonts w:hint="eastAsia" w:asciiTheme="minorEastAsia" w:hAnsiTheme="minorEastAsia" w:eastAsiaTheme="minorEastAsia"/>
          <w:sz w:val="24"/>
          <w:u w:val="single"/>
        </w:rPr>
        <w:t xml:space="preserve"> 2 </w:t>
      </w:r>
      <w:r>
        <w:rPr>
          <w:rFonts w:hint="eastAsia" w:asciiTheme="minorEastAsia" w:hAnsiTheme="minorEastAsia" w:eastAsiaTheme="minorEastAsia"/>
          <w:sz w:val="24"/>
        </w:rPr>
        <w:t xml:space="preserve"> 份。</w:t>
      </w:r>
    </w:p>
    <w:p>
      <w:pPr>
        <w:spacing w:line="360" w:lineRule="auto"/>
        <w:rPr>
          <w:rFonts w:asciiTheme="minorEastAsia" w:hAnsiTheme="minorEastAsia" w:eastAsiaTheme="minorEastAsia"/>
          <w:sz w:val="24"/>
        </w:rPr>
      </w:pPr>
    </w:p>
    <w:p>
      <w:pPr>
        <w:pStyle w:val="2"/>
        <w:spacing w:line="360" w:lineRule="auto"/>
        <w:rPr>
          <w:rFonts w:asciiTheme="minorEastAsia" w:hAnsiTheme="minorEastAsia" w:eastAsiaTheme="minorEastAsia"/>
          <w:sz w:val="24"/>
          <w:szCs w:val="24"/>
        </w:rPr>
      </w:pPr>
      <w:bookmarkStart w:id="333" w:name="_Toc310195758"/>
      <w:bookmarkStart w:id="334" w:name="_Toc529435083"/>
      <w:r>
        <w:rPr>
          <w:rFonts w:hint="eastAsia" w:asciiTheme="minorEastAsia" w:hAnsiTheme="minorEastAsia" w:eastAsiaTheme="minorEastAsia"/>
          <w:sz w:val="24"/>
          <w:szCs w:val="24"/>
        </w:rPr>
        <w:t>第七章</w:t>
      </w:r>
      <w:bookmarkStart w:id="335" w:name="_Toc310195759"/>
      <w:r>
        <w:rPr>
          <w:rFonts w:hint="eastAsia" w:asciiTheme="minorEastAsia" w:hAnsiTheme="minorEastAsia" w:eastAsiaTheme="minorEastAsia"/>
          <w:sz w:val="24"/>
          <w:szCs w:val="24"/>
        </w:rPr>
        <w:t>合同专用条款</w:t>
      </w:r>
      <w:bookmarkEnd w:id="333"/>
      <w:bookmarkEnd w:id="334"/>
      <w:bookmarkEnd w:id="335"/>
    </w:p>
    <w:p>
      <w:pPr>
        <w:spacing w:line="360" w:lineRule="auto"/>
        <w:rPr>
          <w:rFonts w:asciiTheme="minorEastAsia" w:hAnsiTheme="minorEastAsia" w:eastAsiaTheme="minorEastAsia"/>
          <w:b/>
          <w:sz w:val="24"/>
        </w:rPr>
      </w:pPr>
    </w:p>
    <w:p>
      <w:pPr>
        <w:spacing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合同专用条款是合同一般条款的补充和修改。如果两者之间有抵触，应以专用条款为准。合同专用条款的序号将与合同一般条款序号相对应。</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1、定义</w:t>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1.5买方：本合同买方系指：</w:t>
      </w:r>
      <w:r>
        <w:rPr>
          <w:rFonts w:hint="eastAsia" w:asciiTheme="minorEastAsia" w:hAnsiTheme="minorEastAsia" w:eastAsiaTheme="minorEastAsia"/>
          <w:sz w:val="24"/>
          <w:u w:val="single"/>
        </w:rPr>
        <w:t>华北电力大学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1.6卖方：本合同卖方系指：</w:t>
      </w:r>
      <w:r>
        <w:rPr>
          <w:rFonts w:hint="eastAsia" w:asciiTheme="minorEastAsia" w:hAnsiTheme="minorEastAsia" w:eastAsiaTheme="minorEastAsia"/>
          <w:sz w:val="24"/>
          <w:u w:val="single"/>
        </w:rPr>
        <w:t>中标人</w:t>
      </w:r>
    </w:p>
    <w:p>
      <w:pPr>
        <w:spacing w:line="360" w:lineRule="auto"/>
        <w:ind w:firstLine="480" w:firstLineChars="200"/>
        <w:jc w:val="left"/>
        <w:rPr>
          <w:rFonts w:cs="宋体" w:asciiTheme="minorEastAsia" w:hAnsiTheme="minorEastAsia" w:eastAsiaTheme="minorEastAsia"/>
          <w:szCs w:val="21"/>
        </w:rPr>
      </w:pPr>
      <w:r>
        <w:rPr>
          <w:rFonts w:hint="eastAsia" w:asciiTheme="minorEastAsia" w:hAnsiTheme="minorEastAsia" w:eastAsiaTheme="minorEastAsia"/>
          <w:sz w:val="24"/>
        </w:rPr>
        <w:t>1.7现场：本合同项下的货物安装地点位于：</w:t>
      </w:r>
      <w:r>
        <w:rPr>
          <w:rFonts w:hint="eastAsia" w:asciiTheme="minorEastAsia" w:hAnsiTheme="minorEastAsia" w:eastAsiaTheme="minorEastAsia"/>
          <w:sz w:val="24"/>
          <w:u w:val="single"/>
        </w:rPr>
        <w:t>华北电力大学核学院指定地点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6、交货方式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6.1.1　本合同项下的交货方式为：适用合同条款6.1.1。</w:t>
      </w:r>
    </w:p>
    <w:p>
      <w:pPr>
        <w:spacing w:line="360" w:lineRule="auto"/>
        <w:ind w:left="840" w:hanging="840" w:hangingChars="350"/>
        <w:rPr>
          <w:rFonts w:asciiTheme="minorEastAsia" w:hAnsiTheme="minorEastAsia" w:eastAsiaTheme="minorEastAsia"/>
          <w:sz w:val="24"/>
        </w:rPr>
      </w:pPr>
      <w:r>
        <w:rPr>
          <w:rFonts w:asciiTheme="minorEastAsia" w:hAnsiTheme="minorEastAsia" w:eastAsiaTheme="minorEastAsia"/>
          <w:sz w:val="24"/>
        </w:rPr>
        <w:t>6.1.1</w:t>
      </w:r>
      <w:r>
        <w:rPr>
          <w:rFonts w:hint="eastAsia" w:asciiTheme="minorEastAsia" w:hAnsiTheme="minorEastAsia" w:eastAsiaTheme="minorEastAsia"/>
          <w:sz w:val="24"/>
        </w:rPr>
        <w:t>交货时间：合同签订后，项目具备施工条件起，软件系统研发时间为</w:t>
      </w:r>
      <w:r>
        <w:rPr>
          <w:rFonts w:asciiTheme="minorEastAsia" w:hAnsiTheme="minorEastAsia" w:eastAsiaTheme="minorEastAsia"/>
          <w:sz w:val="24"/>
        </w:rPr>
        <w:t>35天，</w:t>
      </w:r>
      <w:r>
        <w:rPr>
          <w:rFonts w:hint="eastAsia" w:asciiTheme="minorEastAsia" w:hAnsiTheme="minorEastAsia" w:eastAsiaTheme="minorEastAsia"/>
          <w:sz w:val="24"/>
        </w:rPr>
        <w:t>分析终端3</w:t>
      </w:r>
      <w:r>
        <w:rPr>
          <w:rFonts w:asciiTheme="minorEastAsia" w:hAnsiTheme="minorEastAsia" w:eastAsiaTheme="minorEastAsia"/>
          <w:sz w:val="24"/>
        </w:rPr>
        <w:t>0</w:t>
      </w:r>
      <w:r>
        <w:rPr>
          <w:rFonts w:hint="eastAsia" w:asciiTheme="minorEastAsia" w:hAnsiTheme="minorEastAsia" w:eastAsiaTheme="minorEastAsia"/>
          <w:sz w:val="24"/>
        </w:rPr>
        <w:t>天内完成到货安装，</w:t>
      </w:r>
      <w:r>
        <w:rPr>
          <w:rFonts w:asciiTheme="minorEastAsia" w:hAnsiTheme="minorEastAsia" w:eastAsiaTheme="minorEastAsia"/>
          <w:sz w:val="24"/>
        </w:rPr>
        <w:t>综合布线系统进场施工后30个工作日内完成全部项目施工及调试。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9.1、付款条件：</w:t>
      </w:r>
    </w:p>
    <w:p>
      <w:pPr>
        <w:spacing w:line="360" w:lineRule="auto"/>
        <w:rPr>
          <w:rFonts w:cs="Arial" w:asciiTheme="minorEastAsia" w:hAnsiTheme="minorEastAsia" w:eastAsiaTheme="minorEastAsia"/>
          <w:sz w:val="24"/>
        </w:rPr>
      </w:pPr>
      <w:r>
        <w:rPr>
          <w:rFonts w:hint="eastAsia" w:asciiTheme="minorEastAsia" w:hAnsiTheme="minorEastAsia" w:eastAsiaTheme="minorEastAsia"/>
          <w:sz w:val="24"/>
        </w:rPr>
        <w:t>1）</w:t>
      </w:r>
      <w:r>
        <w:rPr>
          <w:rFonts w:hint="eastAsia" w:cs="Arial" w:asciiTheme="minorEastAsia" w:hAnsiTheme="minorEastAsia" w:eastAsiaTheme="minorEastAsia"/>
          <w:sz w:val="24"/>
        </w:rPr>
        <w:t>预付款：合同签署生效后10 个工作日内，甲方向乙方预付合同总金额的</w:t>
      </w:r>
      <w:r>
        <w:rPr>
          <w:rFonts w:cs="Arial" w:asciiTheme="minorEastAsia" w:hAnsiTheme="minorEastAsia" w:eastAsiaTheme="minorEastAsia"/>
          <w:sz w:val="24"/>
        </w:rPr>
        <w:t>4</w:t>
      </w:r>
      <w:r>
        <w:rPr>
          <w:rFonts w:hint="eastAsia" w:cs="Arial" w:asciiTheme="minorEastAsia" w:hAnsiTheme="minorEastAsia" w:eastAsiaTheme="minorEastAsia"/>
          <w:sz w:val="24"/>
        </w:rPr>
        <w:t>0％。</w:t>
      </w:r>
    </w:p>
    <w:p>
      <w:pPr>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2) 交货验收后付款：交货验收合格后10 个工作日内，甲方向乙方支付合同总金额的60％。</w:t>
      </w:r>
    </w:p>
    <w:p>
      <w:pPr>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3)质保金：项目完成验收日起3日内，乙方向甲方支付合同额</w:t>
      </w:r>
      <w:r>
        <w:rPr>
          <w:rFonts w:cs="Arial" w:asciiTheme="minorEastAsia" w:hAnsiTheme="minorEastAsia" w:eastAsiaTheme="minorEastAsia"/>
          <w:sz w:val="24"/>
        </w:rPr>
        <w:t>10</w:t>
      </w:r>
      <w:r>
        <w:rPr>
          <w:rFonts w:hint="eastAsia" w:cs="Arial" w:asciiTheme="minorEastAsia" w:hAnsiTheme="minorEastAsia" w:eastAsiaTheme="minorEastAsia"/>
          <w:sz w:val="24"/>
        </w:rPr>
        <w:t>%的质保金，验收合格1年后1</w:t>
      </w:r>
      <w:r>
        <w:rPr>
          <w:rFonts w:cs="Arial" w:asciiTheme="minorEastAsia" w:hAnsiTheme="minorEastAsia" w:eastAsiaTheme="minorEastAsia"/>
          <w:sz w:val="24"/>
        </w:rPr>
        <w:t>0</w:t>
      </w:r>
      <w:r>
        <w:rPr>
          <w:rFonts w:hint="eastAsia" w:cs="Arial" w:asciiTheme="minorEastAsia" w:hAnsiTheme="minorEastAsia" w:eastAsiaTheme="minorEastAsia"/>
          <w:sz w:val="24"/>
        </w:rPr>
        <w:t>个工作日内，如无售后问题，甲方退还质保金；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11、质量保证：</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11.3 如果卖方在收到通知后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天内没有弥补缺陷，买方可采取必要的补救措施，但风险和费用将由卖方承担。</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11.5 合同项下货物的质量保证期为自货物通过最终验收起至少不低于</w:t>
      </w:r>
      <w:r>
        <w:rPr>
          <w:rFonts w:asciiTheme="minorEastAsia" w:hAnsiTheme="minorEastAsia" w:eastAsiaTheme="minorEastAsia"/>
          <w:b/>
          <w:sz w:val="24"/>
          <w:u w:val="single"/>
        </w:rPr>
        <w:t>36</w:t>
      </w:r>
      <w:r>
        <w:rPr>
          <w:rFonts w:hint="eastAsia" w:asciiTheme="minorEastAsia" w:hAnsiTheme="minorEastAsia" w:eastAsiaTheme="minorEastAsia"/>
          <w:sz w:val="24"/>
        </w:rPr>
        <w:t>个月。（</w:t>
      </w:r>
      <w:r>
        <w:rPr>
          <w:rFonts w:hint="eastAsia" w:asciiTheme="minorEastAsia" w:hAnsiTheme="minorEastAsia" w:eastAsiaTheme="minorEastAsia"/>
          <w:b/>
          <w:sz w:val="24"/>
        </w:rPr>
        <w:t>如有特殊要求，则以“技术规格”中的要求为准</w:t>
      </w:r>
      <w:r>
        <w:rPr>
          <w:rFonts w:hint="eastAsia" w:asciiTheme="minorEastAsia" w:hAnsiTheme="minorEastAsia" w:eastAsiaTheme="minorEastAsia"/>
          <w:sz w:val="24"/>
        </w:rPr>
        <w:t>）</w:t>
      </w:r>
    </w:p>
    <w:p>
      <w:pPr>
        <w:spacing w:line="360" w:lineRule="auto"/>
        <w:rPr>
          <w:rFonts w:asciiTheme="minorEastAsia" w:hAnsiTheme="minorEastAsia" w:eastAsiaTheme="minorEastAsia"/>
          <w:sz w:val="24"/>
        </w:rPr>
      </w:pPr>
      <w:r>
        <w:rPr>
          <w:rFonts w:asciiTheme="minorEastAsia" w:hAnsiTheme="minorEastAsia" w:eastAsiaTheme="minorEastAsia"/>
          <w:sz w:val="24"/>
        </w:rPr>
        <w:br w:type="page"/>
      </w:r>
    </w:p>
    <w:p>
      <w:pPr>
        <w:pStyle w:val="2"/>
        <w:spacing w:line="360" w:lineRule="auto"/>
        <w:rPr>
          <w:rFonts w:asciiTheme="minorEastAsia" w:hAnsiTheme="minorEastAsia" w:eastAsiaTheme="minorEastAsia"/>
          <w:sz w:val="24"/>
          <w:szCs w:val="24"/>
        </w:rPr>
      </w:pPr>
      <w:bookmarkStart w:id="336" w:name="_Toc310195760"/>
      <w:bookmarkStart w:id="337" w:name="_Toc529435084"/>
      <w:r>
        <w:rPr>
          <w:rFonts w:hint="eastAsia" w:asciiTheme="minorEastAsia" w:hAnsiTheme="minorEastAsia" w:eastAsiaTheme="minorEastAsia"/>
          <w:sz w:val="24"/>
          <w:szCs w:val="24"/>
        </w:rPr>
        <w:t>第八章政府采购合同格式</w:t>
      </w:r>
      <w:bookmarkEnd w:id="336"/>
      <w:bookmarkEnd w:id="337"/>
    </w:p>
    <w:p>
      <w:pPr>
        <w:spacing w:line="360" w:lineRule="auto"/>
        <w:jc w:val="center"/>
        <w:rPr>
          <w:rFonts w:asciiTheme="minorEastAsia" w:hAnsiTheme="minorEastAsia" w:eastAsiaTheme="minorEastAsia"/>
          <w:sz w:val="24"/>
        </w:rPr>
      </w:pPr>
      <w:r>
        <w:rPr>
          <w:rFonts w:asciiTheme="minorEastAsia" w:hAnsiTheme="minorEastAsia" w:eastAsiaTheme="minorEastAsia"/>
        </w:rPr>
        <w:t>(此为参考版本，以实际签订为准)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合同编号：</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bookmarkStart w:id="338" w:name="_Hlt487972895"/>
      <w:bookmarkEnd w:id="338"/>
      <w:bookmarkStart w:id="339" w:name="_Toc487900382"/>
    </w:p>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政府采购合同</w:t>
      </w:r>
      <w:bookmarkEnd w:id="339"/>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p>
    <w:p>
      <w:pPr>
        <w:spacing w:before="120" w:line="360" w:lineRule="auto"/>
        <w:ind w:left="1440"/>
        <w:rPr>
          <w:rFonts w:asciiTheme="minorEastAsia" w:hAnsiTheme="minorEastAsia" w:eastAsiaTheme="minorEastAsia"/>
          <w:sz w:val="24"/>
        </w:rPr>
      </w:pPr>
      <w:r>
        <w:rPr>
          <w:rFonts w:hint="eastAsia" w:asciiTheme="minorEastAsia" w:hAnsiTheme="minorEastAsia" w:eastAsiaTheme="minorEastAsia"/>
          <w:sz w:val="24"/>
        </w:rPr>
        <w:t>项目名称：</w:t>
      </w:r>
    </w:p>
    <w:p>
      <w:pPr>
        <w:spacing w:before="120" w:line="360" w:lineRule="auto"/>
        <w:rPr>
          <w:rFonts w:asciiTheme="minorEastAsia" w:hAnsiTheme="minorEastAsia" w:eastAsiaTheme="minorEastAsia"/>
          <w:sz w:val="24"/>
        </w:rPr>
      </w:pPr>
    </w:p>
    <w:p>
      <w:pPr>
        <w:spacing w:before="120" w:line="360" w:lineRule="auto"/>
        <w:ind w:left="1440"/>
        <w:rPr>
          <w:rFonts w:asciiTheme="minorEastAsia" w:hAnsiTheme="minorEastAsia" w:eastAsiaTheme="minorEastAsia"/>
          <w:sz w:val="24"/>
          <w:u w:val="single"/>
        </w:rPr>
      </w:pPr>
      <w:r>
        <w:rPr>
          <w:rFonts w:hint="eastAsia" w:asciiTheme="minorEastAsia" w:hAnsiTheme="minorEastAsia" w:eastAsiaTheme="minorEastAsia"/>
          <w:sz w:val="24"/>
        </w:rPr>
        <w:t>货物名称：</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p>
    <w:p>
      <w:pPr>
        <w:spacing w:before="120" w:line="360" w:lineRule="auto"/>
        <w:ind w:left="1440"/>
        <w:rPr>
          <w:rFonts w:asciiTheme="minorEastAsia" w:hAnsiTheme="minorEastAsia" w:eastAsiaTheme="minorEastAsia"/>
          <w:sz w:val="24"/>
        </w:rPr>
      </w:pPr>
      <w:r>
        <w:rPr>
          <w:rFonts w:hint="eastAsia" w:asciiTheme="minorEastAsia" w:hAnsiTheme="minorEastAsia" w:eastAsiaTheme="minorEastAsia"/>
          <w:sz w:val="24"/>
        </w:rPr>
        <w:t>买　　方：</w:t>
      </w:r>
    </w:p>
    <w:p>
      <w:pPr>
        <w:pStyle w:val="32"/>
        <w:spacing w:before="120" w:line="360" w:lineRule="auto"/>
        <w:rPr>
          <w:rFonts w:asciiTheme="minorEastAsia" w:hAnsiTheme="minorEastAsia" w:eastAsiaTheme="minorEastAsia"/>
          <w:sz w:val="24"/>
          <w:szCs w:val="24"/>
        </w:rPr>
      </w:pPr>
    </w:p>
    <w:p>
      <w:pPr>
        <w:spacing w:before="120" w:line="360" w:lineRule="auto"/>
        <w:ind w:left="1440"/>
        <w:rPr>
          <w:rFonts w:asciiTheme="minorEastAsia" w:hAnsiTheme="minorEastAsia" w:eastAsiaTheme="minorEastAsia"/>
          <w:sz w:val="24"/>
          <w:u w:val="single"/>
        </w:rPr>
      </w:pPr>
      <w:r>
        <w:rPr>
          <w:rFonts w:hint="eastAsia" w:asciiTheme="minorEastAsia" w:hAnsiTheme="minorEastAsia" w:eastAsiaTheme="minorEastAsia"/>
          <w:sz w:val="24"/>
        </w:rPr>
        <w:t>卖　　方：</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p>
    <w:p>
      <w:pPr>
        <w:spacing w:before="120" w:line="360" w:lineRule="auto"/>
        <w:ind w:left="1438" w:leftChars="685"/>
        <w:rPr>
          <w:rFonts w:asciiTheme="minorEastAsia" w:hAnsiTheme="minorEastAsia" w:eastAsiaTheme="minorEastAsia"/>
          <w:sz w:val="24"/>
          <w:u w:val="single"/>
        </w:rPr>
      </w:pPr>
      <w:r>
        <w:rPr>
          <w:rFonts w:hint="eastAsia" w:asciiTheme="minorEastAsia" w:hAnsiTheme="minorEastAsia" w:eastAsiaTheme="minorEastAsia"/>
          <w:sz w:val="24"/>
        </w:rPr>
        <w:t>签署日期：</w:t>
      </w:r>
    </w:p>
    <w:p>
      <w:pPr>
        <w:spacing w:before="120" w:line="360" w:lineRule="auto"/>
        <w:rPr>
          <w:rFonts w:asciiTheme="minorEastAsia" w:hAnsiTheme="minorEastAsia" w:eastAsiaTheme="minorEastAsia"/>
          <w:sz w:val="24"/>
          <w:u w:val="single"/>
        </w:rPr>
      </w:pPr>
    </w:p>
    <w:p>
      <w:pPr>
        <w:spacing w:before="120" w:line="360" w:lineRule="auto"/>
        <w:jc w:val="center"/>
        <w:rPr>
          <w:rFonts w:asciiTheme="minorEastAsia" w:hAnsiTheme="minorEastAsia" w:eastAsiaTheme="minorEastAsia"/>
          <w:b/>
          <w:sz w:val="24"/>
        </w:rPr>
      </w:pPr>
      <w:r>
        <w:rPr>
          <w:rFonts w:hint="eastAsia" w:asciiTheme="minorEastAsia" w:hAnsiTheme="minorEastAsia" w:eastAsiaTheme="minorEastAsia"/>
          <w:sz w:val="24"/>
        </w:rPr>
        <w:br w:type="page"/>
      </w:r>
      <w:r>
        <w:rPr>
          <w:rFonts w:hint="eastAsia" w:asciiTheme="minorEastAsia" w:hAnsiTheme="minorEastAsia" w:eastAsiaTheme="minorEastAsia"/>
          <w:b/>
          <w:sz w:val="24"/>
        </w:rPr>
        <w:t>合　　　同　　　书</w:t>
      </w:r>
    </w:p>
    <w:p>
      <w:pPr>
        <w:spacing w:before="120" w:line="360" w:lineRule="auto"/>
        <w:rPr>
          <w:rFonts w:asciiTheme="minorEastAsia" w:hAnsiTheme="minorEastAsia" w:eastAsiaTheme="minorEastAsia"/>
          <w:sz w:val="24"/>
        </w:rPr>
      </w:pPr>
    </w:p>
    <w:p>
      <w:pPr>
        <w:spacing w:before="120" w:line="360" w:lineRule="auto"/>
        <w:ind w:firstLine="720"/>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(买方)</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(项目名称)中所</w:t>
      </w: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需</w:t>
      </w:r>
      <w:r>
        <w:rPr>
          <w:rFonts w:hint="eastAsia" w:asciiTheme="minorEastAsia" w:hAnsiTheme="minorEastAsia" w:eastAsiaTheme="minorEastAsia"/>
          <w:sz w:val="24"/>
          <w:u w:val="single"/>
        </w:rPr>
        <w:t>　　　　　　　</w:t>
      </w:r>
      <w:r>
        <w:rPr>
          <w:rFonts w:hint="eastAsia" w:asciiTheme="minorEastAsia" w:hAnsiTheme="minorEastAsia" w:eastAsiaTheme="minorEastAsia"/>
          <w:sz w:val="24"/>
        </w:rPr>
        <w:t>(货物名称)经(采购代理机构)以</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号招标文件在国内</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（公开/邀请）招标。经评标委员会评定</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(卖方)为中标人。买、卖双方同意按照下面的条款和条件，签署本合同。</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1、合同文件</w:t>
      </w:r>
    </w:p>
    <w:p>
      <w:pPr>
        <w:spacing w:before="120" w:line="360" w:lineRule="auto"/>
        <w:ind w:firstLine="720"/>
        <w:rPr>
          <w:rFonts w:asciiTheme="minorEastAsia" w:hAnsiTheme="minorEastAsia" w:eastAsiaTheme="minorEastAsia"/>
          <w:sz w:val="24"/>
        </w:rPr>
      </w:pPr>
      <w:r>
        <w:rPr>
          <w:rFonts w:hint="eastAsia" w:asciiTheme="minorEastAsia" w:hAnsiTheme="minorEastAsia" w:eastAsiaTheme="minorEastAsia"/>
          <w:sz w:val="24"/>
        </w:rPr>
        <w:t>下列文件构成本合同的组成部分，应该认为是一个整体，彼此相互解释，相互补充。为便于解释，组成合同的多个文件的优先支配地位的次序如下：</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a.</w:t>
      </w:r>
      <w:r>
        <w:rPr>
          <w:rFonts w:hint="eastAsia" w:asciiTheme="minorEastAsia" w:hAnsiTheme="minorEastAsia" w:eastAsiaTheme="minorEastAsia"/>
          <w:sz w:val="24"/>
        </w:rPr>
        <w:tab/>
      </w:r>
      <w:r>
        <w:rPr>
          <w:rFonts w:hint="eastAsia" w:asciiTheme="minorEastAsia" w:hAnsiTheme="minorEastAsia" w:eastAsiaTheme="minorEastAsia"/>
          <w:sz w:val="24"/>
        </w:rPr>
        <w:t>本合同书　</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b.</w:t>
      </w:r>
      <w:r>
        <w:rPr>
          <w:rFonts w:hint="eastAsia" w:asciiTheme="minorEastAsia" w:hAnsiTheme="minorEastAsia" w:eastAsiaTheme="minorEastAsia"/>
          <w:sz w:val="24"/>
        </w:rPr>
        <w:tab/>
      </w:r>
      <w:r>
        <w:rPr>
          <w:rFonts w:hint="eastAsia" w:asciiTheme="minorEastAsia" w:hAnsiTheme="minorEastAsia" w:eastAsiaTheme="minorEastAsia"/>
          <w:sz w:val="24"/>
        </w:rPr>
        <w:t>中标通知书</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c.</w:t>
      </w:r>
      <w:r>
        <w:rPr>
          <w:rFonts w:hint="eastAsia" w:asciiTheme="minorEastAsia" w:hAnsiTheme="minorEastAsia" w:eastAsiaTheme="minorEastAsia"/>
          <w:sz w:val="24"/>
        </w:rPr>
        <w:tab/>
      </w:r>
      <w:r>
        <w:rPr>
          <w:rFonts w:hint="eastAsia" w:asciiTheme="minorEastAsia" w:hAnsiTheme="minorEastAsia" w:eastAsiaTheme="minorEastAsia"/>
          <w:sz w:val="24"/>
        </w:rPr>
        <w:t>协议</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d.</w:t>
      </w:r>
      <w:r>
        <w:rPr>
          <w:rFonts w:hint="eastAsia" w:asciiTheme="minorEastAsia" w:hAnsiTheme="minorEastAsia" w:eastAsiaTheme="minorEastAsia"/>
          <w:sz w:val="24"/>
        </w:rPr>
        <w:tab/>
      </w:r>
      <w:r>
        <w:rPr>
          <w:rFonts w:hint="eastAsia" w:asciiTheme="minorEastAsia" w:hAnsiTheme="minorEastAsia" w:eastAsiaTheme="minorEastAsia"/>
          <w:sz w:val="24"/>
        </w:rPr>
        <w:t>投标文件</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(含澄清文件)</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e.</w:t>
      </w:r>
      <w:r>
        <w:rPr>
          <w:rFonts w:hint="eastAsia" w:asciiTheme="minorEastAsia" w:hAnsiTheme="minorEastAsia" w:eastAsiaTheme="minorEastAsia"/>
          <w:sz w:val="24"/>
        </w:rPr>
        <w:tab/>
      </w:r>
      <w:r>
        <w:rPr>
          <w:rFonts w:hint="eastAsia" w:asciiTheme="minorEastAsia" w:hAnsiTheme="minorEastAsia" w:eastAsiaTheme="minorEastAsia"/>
          <w:sz w:val="24"/>
        </w:rPr>
        <w:t>招标文件</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(含招标文件补充通知)</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2、货物和数量</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本合同货物：</w:t>
      </w:r>
      <w:r>
        <w:rPr>
          <w:rFonts w:hint="eastAsia" w:asciiTheme="minorEastAsia" w:hAnsiTheme="minorEastAsia" w:eastAsiaTheme="minorEastAsia"/>
          <w:sz w:val="24"/>
          <w:u w:val="single"/>
        </w:rPr>
        <w:t>　　　　　　　　　　　　</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数量：</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3、合同总价</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本合同总价为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元人民币。</w:t>
      </w:r>
    </w:p>
    <w:p>
      <w:pPr>
        <w:spacing w:before="120" w:line="360" w:lineRule="auto"/>
        <w:ind w:firstLine="454"/>
        <w:rPr>
          <w:rFonts w:asciiTheme="minorEastAsia" w:hAnsiTheme="minorEastAsia" w:eastAsiaTheme="minorEastAsia"/>
          <w:sz w:val="24"/>
          <w:u w:val="single"/>
        </w:rPr>
      </w:pPr>
      <w:r>
        <w:rPr>
          <w:rFonts w:hint="eastAsia" w:asciiTheme="minorEastAsia" w:hAnsiTheme="minorEastAsia" w:eastAsiaTheme="minorEastAsia"/>
          <w:sz w:val="24"/>
        </w:rPr>
        <w:t>分项价格：</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4、付款方式</w:t>
      </w:r>
    </w:p>
    <w:p>
      <w:pPr>
        <w:spacing w:before="12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本合同的付款方式为：</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5、本合同货物的交货时间及交货地点</w:t>
      </w:r>
    </w:p>
    <w:p>
      <w:pPr>
        <w:spacing w:before="12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交货时间：</w:t>
      </w:r>
      <w:r>
        <w:rPr>
          <w:rFonts w:hint="eastAsia" w:asciiTheme="minorEastAsia" w:hAnsiTheme="minorEastAsia" w:eastAsiaTheme="minorEastAsia"/>
          <w:sz w:val="24"/>
          <w:u w:val="single"/>
        </w:rPr>
        <w:t>　　　　　　　　　　　　　　　　</w:t>
      </w:r>
    </w:p>
    <w:p>
      <w:pPr>
        <w:spacing w:before="12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交货地点：</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6、合同的生效。</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本合同经双方全权代表签署、加盖单位印章生效。</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买　方：</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卖　方：</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　　名　称：(印章)　　　　　　　　　名　称：(印章)</w:t>
      </w:r>
    </w:p>
    <w:p>
      <w:pPr>
        <w:spacing w:before="120" w:line="360" w:lineRule="auto"/>
        <w:rPr>
          <w:rFonts w:asciiTheme="minorEastAsia" w:hAnsiTheme="minorEastAsia" w:eastAsiaTheme="minorEastAsia"/>
          <w:sz w:val="24"/>
        </w:rPr>
      </w:pPr>
    </w:p>
    <w:p>
      <w:pPr>
        <w:spacing w:before="12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年　月　日　　　　　　　　　　　年　月　日</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授权代表(签字)：</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授权代表(签字)：</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地　　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地　　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邮政编码：</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邮政编码：</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电　　话：</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电　　话：</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纳税人识别号：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纳税人识别号：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开户银行：</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开户银行：</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联 行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asciiTheme="minorEastAsia" w:hAnsiTheme="minorEastAsia" w:eastAsiaTheme="minorEastAsia"/>
          <w:sz w:val="24"/>
        </w:rPr>
        <w:t xml:space="preserve">       </w:t>
      </w:r>
      <w:r>
        <w:rPr>
          <w:rFonts w:hint="eastAsia" w:asciiTheme="minorEastAsia" w:hAnsiTheme="minorEastAsia" w:eastAsiaTheme="minorEastAsia"/>
          <w:sz w:val="24"/>
        </w:rPr>
        <w:t>联 行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帐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帐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sectPr>
          <w:footerReference r:id="rId6" w:type="first"/>
          <w:footerReference r:id="rId5" w:type="even"/>
          <w:pgSz w:w="11907" w:h="16840"/>
          <w:pgMar w:top="1400" w:right="1418" w:bottom="1089" w:left="1418" w:header="851" w:footer="1117" w:gutter="0"/>
          <w:cols w:space="720" w:num="1"/>
          <w:titlePg/>
          <w:docGrid w:linePitch="312" w:charSpace="0"/>
        </w:sectPr>
      </w:pPr>
    </w:p>
    <w:p>
      <w:pPr>
        <w:pStyle w:val="2"/>
        <w:spacing w:line="360" w:lineRule="auto"/>
        <w:rPr>
          <w:rFonts w:asciiTheme="minorEastAsia" w:hAnsiTheme="minorEastAsia" w:eastAsiaTheme="minorEastAsia"/>
          <w:sz w:val="24"/>
          <w:szCs w:val="24"/>
        </w:rPr>
      </w:pPr>
      <w:bookmarkStart w:id="340" w:name="_Toc310195761"/>
      <w:bookmarkStart w:id="341" w:name="_Toc529435085"/>
      <w:bookmarkStart w:id="342" w:name="_Ref467988698"/>
      <w:bookmarkStart w:id="343" w:name="_Toc520356217"/>
      <w:bookmarkStart w:id="344" w:name="_Toc236642990"/>
      <w:bookmarkStart w:id="345" w:name="_Toc480942349"/>
      <w:r>
        <w:rPr>
          <w:rFonts w:hint="eastAsia" w:asciiTheme="minorEastAsia" w:hAnsiTheme="minorEastAsia" w:eastAsiaTheme="minorEastAsia"/>
          <w:sz w:val="24"/>
          <w:szCs w:val="24"/>
        </w:rPr>
        <w:t>第九章投标文件格式</w:t>
      </w:r>
      <w:bookmarkEnd w:id="340"/>
      <w:bookmarkEnd w:id="341"/>
    </w:p>
    <w:bookmarkEnd w:id="342"/>
    <w:bookmarkEnd w:id="343"/>
    <w:bookmarkEnd w:id="344"/>
    <w:bookmarkEnd w:id="345"/>
    <w:p>
      <w:pPr>
        <w:pStyle w:val="5"/>
        <w:tabs>
          <w:tab w:val="left" w:pos="900"/>
        </w:tabs>
        <w:spacing w:line="360" w:lineRule="auto"/>
        <w:jc w:val="center"/>
        <w:rPr>
          <w:rFonts w:asciiTheme="minorEastAsia" w:hAnsiTheme="minorEastAsia" w:eastAsiaTheme="minorEastAsia"/>
          <w:sz w:val="24"/>
        </w:rPr>
      </w:pPr>
      <w:bookmarkStart w:id="346" w:name="_Toc514926454"/>
      <w:bookmarkStart w:id="347" w:name="_Toc497235042"/>
      <w:bookmarkStart w:id="348" w:name="_Toc529435086"/>
      <w:bookmarkStart w:id="349" w:name="_Toc310195762"/>
      <w:r>
        <w:rPr>
          <w:rFonts w:asciiTheme="minorEastAsia" w:hAnsiTheme="minorEastAsia" w:eastAsiaTheme="minorEastAsia"/>
          <w:sz w:val="24"/>
        </w:rPr>
        <w:t>1 投 标 函</w:t>
      </w:r>
      <w:bookmarkEnd w:id="346"/>
      <w:bookmarkEnd w:id="347"/>
      <w:bookmarkEnd w:id="348"/>
    </w:p>
    <w:p>
      <w:pPr>
        <w:tabs>
          <w:tab w:val="left" w:pos="5580"/>
        </w:tabs>
        <w:spacing w:before="120" w:line="360" w:lineRule="auto"/>
        <w:jc w:val="center"/>
        <w:rPr>
          <w:rFonts w:asciiTheme="minorEastAsia" w:hAnsiTheme="minorEastAsia" w:eastAsiaTheme="minorEastAsia"/>
          <w:b/>
          <w:sz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致：（采购代理机构）</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根据贵方为(项目名称)项目招标采购货物的投标邀请(招标编号),签字代表 (姓名、职务)经正式授权并代表投标人（投标人名称、地址）提交下述文件正本一份及副本份及电子文档____套：</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1.投标一览表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2.投标分项报价表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3.货物说明一览表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4.技术规格响应/偏离表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5.商务条款响应/偏离表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6.资格证明文件</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7.按招标文件投标须知和技术规格要求提供的其它有关文件</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8.以（支票/汇票）形式出具的投标保证金，金额为人民币（金额数和币种）。</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在此，签字代表宣布同意如下：</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1）所附投标价格表中规定的应提交和交付的货物投标总价为人民币（注明币种，并用文字和数字表示的投标总价）。</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2）投标人将按招标文件的规定履行合同责任和义务。</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3）投标人已详细审查全部招标文件。我们完全理解并同意放弃对这方面有不明及误解的权力。</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4）本投标有效期为自开标日起 90个日历日。</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5）在规定的开标时间后，投标人保证遵守招标文件中有关保证金的规定。</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6）根据投标须知第1条规定，我方承诺，与买方聘请的为此项目提供咨询服务的公司及任何附属机构均无关联，我方不是买方的附属机构。</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7）投标人同意提供按照贵方可能要求的与其投标有关的一切数据或资料，完全理解贵方不一定接受最低价的投标或收到的任何投标。</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8）与本投标有关的一切正式往来信函请寄：</w:t>
      </w:r>
    </w:p>
    <w:p>
      <w:pPr>
        <w:pStyle w:val="20"/>
        <w:tabs>
          <w:tab w:val="left" w:pos="5580"/>
        </w:tabs>
        <w:spacing w:line="360" w:lineRule="auto"/>
        <w:ind w:left="420"/>
        <w:jc w:val="left"/>
        <w:rPr>
          <w:rFonts w:cs="宋体" w:asciiTheme="minorEastAsia" w:hAnsiTheme="minorEastAsia" w:eastAsiaTheme="minorEastAsia"/>
          <w:sz w:val="24"/>
          <w:szCs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地址：_________________________     传真：____________________________</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电话：_________________________     电子函件：________________________</w:t>
      </w:r>
    </w:p>
    <w:p>
      <w:pPr>
        <w:pStyle w:val="20"/>
        <w:tabs>
          <w:tab w:val="left" w:pos="5580"/>
        </w:tabs>
        <w:spacing w:line="360" w:lineRule="auto"/>
        <w:ind w:left="420"/>
        <w:jc w:val="left"/>
        <w:rPr>
          <w:rFonts w:cs="宋体" w:asciiTheme="minorEastAsia" w:hAnsiTheme="minorEastAsia" w:eastAsiaTheme="minorEastAsia"/>
          <w:sz w:val="24"/>
          <w:szCs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投标人授权代表签字：_______________</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投标人名称：_______________________</w:t>
      </w:r>
    </w:p>
    <w:p>
      <w:pPr>
        <w:pStyle w:val="20"/>
        <w:tabs>
          <w:tab w:val="left" w:pos="5580"/>
        </w:tabs>
        <w:spacing w:line="360" w:lineRule="auto"/>
        <w:ind w:left="420"/>
        <w:jc w:val="left"/>
        <w:rPr>
          <w:rFonts w:cs="宋体" w:asciiTheme="minorEastAsia" w:hAnsiTheme="minorEastAsia" w:eastAsiaTheme="minorEastAsia"/>
          <w:sz w:val="24"/>
          <w:szCs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开户名全称：</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开户银行：</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银行帐号：</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公    章：</w:t>
      </w:r>
    </w:p>
    <w:p>
      <w:pPr>
        <w:pStyle w:val="20"/>
        <w:tabs>
          <w:tab w:val="left" w:pos="5580"/>
        </w:tabs>
        <w:spacing w:line="360" w:lineRule="auto"/>
        <w:ind w:left="420"/>
        <w:jc w:val="left"/>
        <w:rPr>
          <w:rFonts w:asciiTheme="minorEastAsia" w:hAnsiTheme="minorEastAsia" w:eastAsiaTheme="minorEastAsia"/>
          <w:sz w:val="24"/>
          <w:u w:val="single"/>
        </w:rPr>
        <w:sectPr>
          <w:headerReference r:id="rId7" w:type="first"/>
          <w:footerReference r:id="rId8" w:type="first"/>
          <w:pgSz w:w="11907" w:h="16840"/>
          <w:pgMar w:top="1089" w:right="1418" w:bottom="1400" w:left="1418" w:header="851" w:footer="851" w:gutter="0"/>
          <w:cols w:space="720" w:num="1"/>
          <w:docGrid w:linePitch="462" w:charSpace="0"/>
        </w:sectPr>
      </w:pPr>
      <w:r>
        <w:rPr>
          <w:rFonts w:hint="eastAsia" w:cs="宋体" w:asciiTheme="minorEastAsia" w:hAnsiTheme="minorEastAsia" w:eastAsiaTheme="minorEastAsia"/>
          <w:sz w:val="24"/>
          <w:szCs w:val="24"/>
        </w:rPr>
        <w:t>日    期：</w:t>
      </w:r>
    </w:p>
    <w:p>
      <w:pPr>
        <w:pStyle w:val="5"/>
        <w:spacing w:line="360" w:lineRule="auto"/>
        <w:ind w:left="899" w:hanging="899"/>
        <w:jc w:val="center"/>
        <w:rPr>
          <w:rFonts w:asciiTheme="minorEastAsia" w:hAnsiTheme="minorEastAsia" w:eastAsiaTheme="minorEastAsia"/>
          <w:sz w:val="24"/>
        </w:rPr>
      </w:pPr>
      <w:bookmarkStart w:id="350" w:name="_Toc497235043"/>
      <w:bookmarkStart w:id="351" w:name="_Toc529435087"/>
      <w:bookmarkStart w:id="352" w:name="_Toc514926455"/>
      <w:r>
        <w:rPr>
          <w:rFonts w:asciiTheme="minorEastAsia" w:hAnsiTheme="minorEastAsia" w:eastAsiaTheme="minorEastAsia"/>
          <w:sz w:val="24"/>
        </w:rPr>
        <w:t>2 投标一览表</w:t>
      </w:r>
      <w:bookmarkEnd w:id="350"/>
      <w:bookmarkEnd w:id="351"/>
      <w:bookmarkEnd w:id="352"/>
    </w:p>
    <w:p>
      <w:pPr>
        <w:tabs>
          <w:tab w:val="left" w:pos="1800"/>
          <w:tab w:val="left" w:pos="5580"/>
        </w:tabs>
        <w:spacing w:line="360" w:lineRule="auto"/>
        <w:ind w:firstLine="600" w:firstLineChars="250"/>
        <w:jc w:val="left"/>
        <w:rPr>
          <w:rFonts w:asciiTheme="minorEastAsia" w:hAnsiTheme="minorEastAsia" w:eastAsiaTheme="minorEastAsia"/>
          <w:sz w:val="24"/>
        </w:rPr>
      </w:pPr>
      <w:r>
        <w:rPr>
          <w:rFonts w:hint="eastAsia" w:asciiTheme="minorEastAsia" w:hAnsiTheme="minorEastAsia" w:eastAsiaTheme="minorEastAsia"/>
          <w:sz w:val="24"/>
        </w:rPr>
        <w:t>项目名称：                                                               项目编号：</w:t>
      </w:r>
    </w:p>
    <w:tbl>
      <w:tblPr>
        <w:tblStyle w:val="50"/>
        <w:tblW w:w="13610"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851"/>
        <w:gridCol w:w="1985"/>
        <w:gridCol w:w="1985"/>
        <w:gridCol w:w="1985"/>
        <w:gridCol w:w="2268"/>
        <w:gridCol w:w="2268"/>
        <w:gridCol w:w="226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1985"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货物名称</w:t>
            </w:r>
          </w:p>
        </w:tc>
        <w:tc>
          <w:tcPr>
            <w:tcW w:w="1985"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投标总价</w:t>
            </w:r>
          </w:p>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（单位：元）</w:t>
            </w:r>
          </w:p>
        </w:tc>
        <w:tc>
          <w:tcPr>
            <w:tcW w:w="1985"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投标保证金</w:t>
            </w:r>
          </w:p>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（有/无）</w:t>
            </w:r>
          </w:p>
        </w:tc>
        <w:tc>
          <w:tcPr>
            <w:tcW w:w="2268"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交货期</w:t>
            </w:r>
          </w:p>
        </w:tc>
        <w:tc>
          <w:tcPr>
            <w:tcW w:w="2268"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交货地点</w:t>
            </w:r>
          </w:p>
        </w:tc>
        <w:tc>
          <w:tcPr>
            <w:tcW w:w="2268"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restart"/>
            <w:vAlign w:val="center"/>
          </w:tcPr>
          <w:p>
            <w:pPr>
              <w:tabs>
                <w:tab w:val="left" w:pos="5580"/>
              </w:tabs>
              <w:spacing w:line="360" w:lineRule="auto"/>
              <w:jc w:val="center"/>
              <w:rPr>
                <w:rFonts w:asciiTheme="minorEastAsia" w:hAnsiTheme="minorEastAsia" w:eastAsiaTheme="minorEastAsia"/>
                <w:sz w:val="24"/>
              </w:rPr>
            </w:pPr>
          </w:p>
        </w:tc>
        <w:tc>
          <w:tcPr>
            <w:tcW w:w="2268" w:type="dxa"/>
            <w:vMerge w:val="restart"/>
            <w:vAlign w:val="center"/>
          </w:tcPr>
          <w:p>
            <w:pPr>
              <w:tabs>
                <w:tab w:val="left" w:pos="5580"/>
              </w:tabs>
              <w:spacing w:line="360" w:lineRule="auto"/>
              <w:jc w:val="center"/>
              <w:rPr>
                <w:rFonts w:asciiTheme="minorEastAsia" w:hAnsiTheme="minorEastAsia" w:eastAsiaTheme="minorEastAsia"/>
                <w:sz w:val="24"/>
              </w:rPr>
            </w:pPr>
          </w:p>
        </w:tc>
        <w:tc>
          <w:tcPr>
            <w:tcW w:w="2268" w:type="dxa"/>
            <w:vMerge w:val="restart"/>
            <w:vAlign w:val="center"/>
          </w:tcPr>
          <w:p>
            <w:pPr>
              <w:tabs>
                <w:tab w:val="left" w:pos="5580"/>
              </w:tabs>
              <w:spacing w:line="360" w:lineRule="auto"/>
              <w:jc w:val="center"/>
              <w:rPr>
                <w:rFonts w:asciiTheme="minorEastAsia" w:hAnsiTheme="minorEastAsia" w:eastAsiaTheme="minorEastAsia"/>
                <w:sz w:val="24"/>
              </w:rPr>
            </w:pPr>
          </w:p>
        </w:tc>
        <w:tc>
          <w:tcPr>
            <w:tcW w:w="2268" w:type="dxa"/>
            <w:vMerge w:val="restart"/>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2836" w:type="dxa"/>
            <w:gridSpan w:val="2"/>
            <w:tcBorders>
              <w:bottom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合计</w:t>
            </w:r>
          </w:p>
        </w:tc>
        <w:tc>
          <w:tcPr>
            <w:tcW w:w="10774" w:type="dxa"/>
            <w:gridSpan w:val="5"/>
            <w:tcBorders>
              <w:bottom w:val="single" w:color="auto" w:sz="12" w:space="0"/>
            </w:tcBorders>
            <w:vAlign w:val="center"/>
          </w:tcPr>
          <w:p>
            <w:pPr>
              <w:tabs>
                <w:tab w:val="left" w:pos="5580"/>
              </w:tabs>
              <w:spacing w:line="360" w:lineRule="auto"/>
              <w:jc w:val="center"/>
              <w:rPr>
                <w:rFonts w:asciiTheme="minorEastAsia" w:hAnsiTheme="minorEastAsia" w:eastAsiaTheme="minorEastAsia"/>
                <w:sz w:val="24"/>
              </w:rPr>
            </w:pPr>
          </w:p>
        </w:tc>
      </w:tr>
    </w:tbl>
    <w:p>
      <w:pPr>
        <w:pStyle w:val="20"/>
        <w:tabs>
          <w:tab w:val="left" w:pos="5580"/>
        </w:tabs>
        <w:spacing w:before="120"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投标人名称（盖章）：</w:t>
      </w:r>
    </w:p>
    <w:p>
      <w:pPr>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投标人代表（签字）：</w:t>
      </w:r>
    </w:p>
    <w:p>
      <w:pPr>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注:1、此表应按投标人须知的规定密封标记并单独递交。</w:t>
      </w:r>
    </w:p>
    <w:p>
      <w:pPr>
        <w:spacing w:line="360" w:lineRule="auto"/>
        <w:rPr>
          <w:rFonts w:asciiTheme="minorEastAsia" w:hAnsiTheme="minorEastAsia" w:eastAsiaTheme="minorEastAsia"/>
          <w:sz w:val="24"/>
        </w:rPr>
        <w:sectPr>
          <w:footerReference r:id="rId9" w:type="default"/>
          <w:pgSz w:w="16840" w:h="11907" w:orient="landscape"/>
          <w:pgMar w:top="1418" w:right="1400" w:bottom="1418" w:left="1089" w:header="851" w:footer="992" w:gutter="0"/>
          <w:cols w:space="720" w:num="1"/>
          <w:docGrid w:linePitch="312" w:charSpace="0"/>
        </w:sectPr>
      </w:pPr>
      <w:r>
        <w:rPr>
          <w:rFonts w:hint="eastAsia" w:asciiTheme="minorEastAsia" w:hAnsiTheme="minorEastAsia" w:eastAsiaTheme="minorEastAsia"/>
          <w:sz w:val="24"/>
          <w:szCs w:val="21"/>
          <w:lang w:val="zh-CN"/>
        </w:rPr>
        <w:t>2、此表中，投标总价应和“3投标分项报价表” 中的总价相一致。</w:t>
      </w:r>
    </w:p>
    <w:p>
      <w:pPr>
        <w:pStyle w:val="5"/>
        <w:spacing w:line="360" w:lineRule="auto"/>
        <w:ind w:left="899" w:hanging="899"/>
        <w:jc w:val="center"/>
        <w:rPr>
          <w:rFonts w:asciiTheme="minorEastAsia" w:hAnsiTheme="minorEastAsia" w:eastAsiaTheme="minorEastAsia"/>
          <w:sz w:val="24"/>
          <w:szCs w:val="24"/>
        </w:rPr>
      </w:pPr>
      <w:bookmarkStart w:id="353" w:name="_Toc529435088"/>
      <w:bookmarkStart w:id="354" w:name="_Toc497235044"/>
      <w:bookmarkStart w:id="355" w:name="_Toc514926456"/>
      <w:bookmarkStart w:id="356" w:name="_Toc366858502"/>
      <w:bookmarkStart w:id="357" w:name="_Toc310195765"/>
      <w:r>
        <w:rPr>
          <w:rFonts w:asciiTheme="minorEastAsia" w:hAnsiTheme="minorEastAsia" w:eastAsiaTheme="minorEastAsia"/>
          <w:sz w:val="24"/>
          <w:szCs w:val="24"/>
        </w:rPr>
        <w:t>3 投标分项报价表</w:t>
      </w:r>
      <w:bookmarkEnd w:id="353"/>
      <w:bookmarkEnd w:id="354"/>
      <w:bookmarkEnd w:id="355"/>
      <w:bookmarkEnd w:id="356"/>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投标人名称：___________                                                项目编号：_______________ </w:t>
      </w:r>
    </w:p>
    <w:tbl>
      <w:tblPr>
        <w:tblStyle w:val="50"/>
        <w:tblW w:w="1407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037"/>
        <w:gridCol w:w="1596"/>
        <w:gridCol w:w="1449"/>
        <w:gridCol w:w="2556"/>
        <w:gridCol w:w="2169"/>
        <w:gridCol w:w="241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序号</w:t>
            </w:r>
          </w:p>
        </w:tc>
        <w:tc>
          <w:tcPr>
            <w:tcW w:w="3037"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名称</w:t>
            </w:r>
          </w:p>
        </w:tc>
        <w:tc>
          <w:tcPr>
            <w:tcW w:w="1596"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型号和规格</w:t>
            </w:r>
          </w:p>
        </w:tc>
        <w:tc>
          <w:tcPr>
            <w:tcW w:w="1449"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数量</w:t>
            </w:r>
          </w:p>
        </w:tc>
        <w:tc>
          <w:tcPr>
            <w:tcW w:w="2556"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原产地和制造商名称</w:t>
            </w:r>
          </w:p>
        </w:tc>
        <w:tc>
          <w:tcPr>
            <w:tcW w:w="2169"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单价</w:t>
            </w:r>
          </w:p>
        </w:tc>
        <w:tc>
          <w:tcPr>
            <w:tcW w:w="2415"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1.</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2.</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3.</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4.</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5.</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6.</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7.</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1658" w:type="dxa"/>
            <w:gridSpan w:val="6"/>
            <w:tcBorders>
              <w:bottom w:val="single" w:color="auto" w:sz="12" w:space="0"/>
            </w:tcBorders>
            <w:vAlign w:val="center"/>
          </w:tcPr>
          <w:p>
            <w:pPr>
              <w:pStyle w:val="20"/>
              <w:spacing w:before="156" w:line="360" w:lineRule="auto"/>
              <w:jc w:val="right"/>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总计</w:t>
            </w:r>
          </w:p>
        </w:tc>
        <w:tc>
          <w:tcPr>
            <w:tcW w:w="2415"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r>
    </w:tbl>
    <w:p>
      <w:pPr>
        <w:pStyle w:val="20"/>
        <w:spacing w:line="360" w:lineRule="auto"/>
        <w:rPr>
          <w:rFonts w:asciiTheme="minorEastAsia" w:hAnsiTheme="minorEastAsia" w:eastAsiaTheme="minorEastAsia"/>
          <w:sz w:val="24"/>
          <w:szCs w:val="24"/>
        </w:rPr>
      </w:pPr>
    </w:p>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投标人名称（盖章）：</w:t>
      </w:r>
    </w:p>
    <w:p>
      <w:pPr>
        <w:pStyle w:val="20"/>
        <w:tabs>
          <w:tab w:val="left" w:pos="5580"/>
        </w:tabs>
        <w:spacing w:before="120" w:line="360" w:lineRule="auto"/>
        <w:rPr>
          <w:rFonts w:asciiTheme="minorEastAsia" w:hAnsiTheme="minorEastAsia" w:eastAsiaTheme="minorEastAsia"/>
          <w:sz w:val="24"/>
          <w:szCs w:val="24"/>
        </w:rPr>
      </w:pPr>
    </w:p>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注:1.如果单价计算的结果与总价不一致，以单价金额计算结果为准。</w:t>
      </w: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2.上述各项的详细分项报价，应另页描述。</w:t>
      </w:r>
    </w:p>
    <w:p>
      <w:pPr>
        <w:pStyle w:val="5"/>
        <w:spacing w:line="360" w:lineRule="auto"/>
        <w:ind w:left="899" w:hanging="899"/>
        <w:jc w:val="center"/>
        <w:rPr>
          <w:rFonts w:asciiTheme="minorEastAsia" w:hAnsiTheme="minorEastAsia" w:eastAsiaTheme="minorEastAsia"/>
          <w:sz w:val="24"/>
          <w:szCs w:val="24"/>
        </w:rPr>
      </w:pPr>
      <w:bookmarkStart w:id="358" w:name="_Toc514926457"/>
      <w:bookmarkStart w:id="359" w:name="_Toc366858503"/>
      <w:bookmarkStart w:id="360" w:name="_Toc497235045"/>
      <w:bookmarkStart w:id="361" w:name="_Toc529435089"/>
      <w:r>
        <w:rPr>
          <w:rFonts w:asciiTheme="minorEastAsia" w:hAnsiTheme="minorEastAsia" w:eastAsiaTheme="minorEastAsia"/>
          <w:sz w:val="24"/>
          <w:szCs w:val="24"/>
        </w:rPr>
        <w:t>4 货物说明一览表</w:t>
      </w:r>
      <w:bookmarkEnd w:id="358"/>
      <w:bookmarkEnd w:id="359"/>
      <w:bookmarkEnd w:id="360"/>
      <w:bookmarkEnd w:id="361"/>
    </w:p>
    <w:p>
      <w:pPr>
        <w:pStyle w:val="20"/>
        <w:spacing w:line="360" w:lineRule="auto"/>
        <w:rPr>
          <w:rFonts w:asciiTheme="minorEastAsia" w:hAnsiTheme="minorEastAsia" w:eastAsiaTheme="minorEastAsia"/>
          <w:sz w:val="24"/>
          <w:szCs w:val="24"/>
        </w:rPr>
      </w:pP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投标人名称：______________                                                               项目编号：______________ </w:t>
      </w:r>
    </w:p>
    <w:tbl>
      <w:tblPr>
        <w:tblStyle w:val="50"/>
        <w:tblW w:w="1389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61"/>
        <w:gridCol w:w="2567"/>
        <w:gridCol w:w="1701"/>
        <w:gridCol w:w="2268"/>
        <w:gridCol w:w="2268"/>
        <w:gridCol w:w="226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品目号</w:t>
            </w:r>
          </w:p>
        </w:tc>
        <w:tc>
          <w:tcPr>
            <w:tcW w:w="186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货物名称</w:t>
            </w:r>
          </w:p>
        </w:tc>
        <w:tc>
          <w:tcPr>
            <w:tcW w:w="2567"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主要规格</w:t>
            </w:r>
          </w:p>
        </w:tc>
        <w:tc>
          <w:tcPr>
            <w:tcW w:w="170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数量</w:t>
            </w:r>
          </w:p>
        </w:tc>
        <w:tc>
          <w:tcPr>
            <w:tcW w:w="2268"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交货期</w:t>
            </w:r>
          </w:p>
        </w:tc>
        <w:tc>
          <w:tcPr>
            <w:tcW w:w="2268"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交货地点</w:t>
            </w:r>
          </w:p>
        </w:tc>
        <w:tc>
          <w:tcPr>
            <w:tcW w:w="2268"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其它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186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567"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170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268"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268"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268"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r>
    </w:tbl>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投标人名称（盖章）：</w:t>
      </w:r>
    </w:p>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注：各项货物详细技术性能可另页描述。</w:t>
      </w:r>
    </w:p>
    <w:p>
      <w:pPr>
        <w:pStyle w:val="20"/>
        <w:spacing w:line="360" w:lineRule="auto"/>
        <w:ind w:firstLine="360" w:firstLineChars="150"/>
        <w:rPr>
          <w:rFonts w:asciiTheme="minorEastAsia" w:hAnsiTheme="minorEastAsia" w:eastAsiaTheme="minorEastAsia"/>
          <w:sz w:val="24"/>
        </w:rPr>
        <w:sectPr>
          <w:pgSz w:w="16840" w:h="11907" w:orient="landscape"/>
          <w:pgMar w:top="1418" w:right="1400" w:bottom="1418" w:left="1089" w:header="851" w:footer="992" w:gutter="0"/>
          <w:cols w:space="720" w:num="1"/>
          <w:docGrid w:linePitch="312" w:charSpace="0"/>
        </w:sectPr>
      </w:pPr>
    </w:p>
    <w:bookmarkEnd w:id="357"/>
    <w:p>
      <w:pPr>
        <w:pStyle w:val="5"/>
        <w:spacing w:before="0" w:line="360" w:lineRule="auto"/>
        <w:ind w:left="899" w:hanging="899"/>
        <w:jc w:val="center"/>
        <w:rPr>
          <w:rFonts w:asciiTheme="minorEastAsia" w:hAnsiTheme="minorEastAsia" w:eastAsiaTheme="minorEastAsia"/>
          <w:sz w:val="24"/>
        </w:rPr>
      </w:pPr>
      <w:bookmarkStart w:id="362" w:name="_Toc529435090"/>
      <w:bookmarkStart w:id="363" w:name="_Toc514926458"/>
      <w:bookmarkStart w:id="364" w:name="_Toc497235046"/>
      <w:r>
        <w:rPr>
          <w:rFonts w:asciiTheme="minorEastAsia" w:hAnsiTheme="minorEastAsia" w:eastAsiaTheme="minorEastAsia"/>
          <w:sz w:val="24"/>
        </w:rPr>
        <w:t>5 技术规格偏离表</w:t>
      </w:r>
      <w:bookmarkEnd w:id="362"/>
      <w:bookmarkEnd w:id="363"/>
      <w:bookmarkEnd w:id="364"/>
    </w:p>
    <w:p>
      <w:pPr>
        <w:pStyle w:val="20"/>
        <w:spacing w:line="360" w:lineRule="auto"/>
        <w:rPr>
          <w:rFonts w:asciiTheme="minorEastAsia" w:hAnsiTheme="minorEastAsia" w:eastAsiaTheme="minorEastAsia"/>
          <w:sz w:val="24"/>
        </w:rPr>
      </w:pPr>
    </w:p>
    <w:p>
      <w:pPr>
        <w:pStyle w:val="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项目名称:___________                              项目编号:______________ </w:t>
      </w:r>
    </w:p>
    <w:tbl>
      <w:tblPr>
        <w:tblStyle w:val="50"/>
        <w:tblW w:w="9641"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1384"/>
        <w:gridCol w:w="1701"/>
        <w:gridCol w:w="1842"/>
        <w:gridCol w:w="1311"/>
        <w:gridCol w:w="8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序号</w:t>
            </w:r>
          </w:p>
        </w:tc>
        <w:tc>
          <w:tcPr>
            <w:tcW w:w="170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货物名称</w:t>
            </w:r>
          </w:p>
        </w:tc>
        <w:tc>
          <w:tcPr>
            <w:tcW w:w="1384"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招标文件条目号</w:t>
            </w:r>
          </w:p>
        </w:tc>
        <w:tc>
          <w:tcPr>
            <w:tcW w:w="170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招标规格</w:t>
            </w:r>
          </w:p>
        </w:tc>
        <w:tc>
          <w:tcPr>
            <w:tcW w:w="1842"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投标规格</w:t>
            </w:r>
          </w:p>
        </w:tc>
        <w:tc>
          <w:tcPr>
            <w:tcW w:w="131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响应/偏离</w:t>
            </w:r>
          </w:p>
        </w:tc>
        <w:tc>
          <w:tcPr>
            <w:tcW w:w="85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85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70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384"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70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842"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31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85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r>
    </w:tbl>
    <w:p>
      <w:pPr>
        <w:pStyle w:val="20"/>
        <w:spacing w:line="360" w:lineRule="auto"/>
        <w:ind w:left="360" w:hanging="360" w:hangingChars="150"/>
        <w:rPr>
          <w:rFonts w:asciiTheme="minorEastAsia" w:hAnsiTheme="minorEastAsia" w:eastAsiaTheme="minorEastAsia"/>
          <w:sz w:val="24"/>
        </w:rPr>
      </w:pPr>
      <w:r>
        <w:rPr>
          <w:rFonts w:asciiTheme="minorEastAsia" w:hAnsiTheme="minorEastAsia" w:eastAsiaTheme="minorEastAsia"/>
          <w:sz w:val="24"/>
        </w:rPr>
        <w:t>1、投标人的技术偏差必须如实填写，并应对偏差情况做出必要说明。投标人应对故意隐瞒技术偏差的行为承担责任。对招标文件有任何偏离应列明“正偏离”或“负偏离”，并标明“其他无偏离”。</w:t>
      </w:r>
    </w:p>
    <w:p>
      <w:pPr>
        <w:pStyle w:val="20"/>
        <w:spacing w:line="360" w:lineRule="auto"/>
        <w:rPr>
          <w:rFonts w:asciiTheme="minorEastAsia" w:hAnsiTheme="minorEastAsia" w:eastAsiaTheme="minorEastAsia"/>
          <w:sz w:val="24"/>
        </w:rPr>
      </w:pPr>
      <w:r>
        <w:rPr>
          <w:rFonts w:asciiTheme="minorEastAsia" w:hAnsiTheme="minorEastAsia" w:eastAsiaTheme="minorEastAsia"/>
          <w:sz w:val="24"/>
        </w:rPr>
        <w:t>2、对招标文件无偏离应标明“无偏离”。</w:t>
      </w:r>
    </w:p>
    <w:p>
      <w:pPr>
        <w:pStyle w:val="20"/>
        <w:tabs>
          <w:tab w:val="left" w:pos="5580"/>
        </w:tabs>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投标人名称（盖章）：</w:t>
      </w:r>
    </w:p>
    <w:p>
      <w:pPr>
        <w:pStyle w:val="20"/>
        <w:tabs>
          <w:tab w:val="left" w:pos="5580"/>
        </w:tabs>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法人授权代表（签字）：</w:t>
      </w:r>
    </w:p>
    <w:p>
      <w:pPr>
        <w:pStyle w:val="20"/>
        <w:tabs>
          <w:tab w:val="left" w:pos="5580"/>
        </w:tabs>
        <w:spacing w:before="120" w:line="360" w:lineRule="auto"/>
        <w:rPr>
          <w:rFonts w:asciiTheme="minorEastAsia" w:hAnsiTheme="minorEastAsia" w:eastAsiaTheme="minorEastAsia"/>
          <w:sz w:val="18"/>
          <w:szCs w:val="18"/>
        </w:rPr>
      </w:pPr>
      <w:r>
        <w:rPr>
          <w:rFonts w:hint="eastAsia" w:asciiTheme="minorEastAsia" w:hAnsiTheme="minorEastAsia" w:eastAsiaTheme="minorEastAsia"/>
          <w:sz w:val="24"/>
        </w:rPr>
        <w:t>注：此表格经法人授权代表签字方有效。</w:t>
      </w:r>
    </w:p>
    <w:p>
      <w:pPr>
        <w:pStyle w:val="5"/>
        <w:spacing w:before="0" w:line="360" w:lineRule="auto"/>
        <w:ind w:left="899" w:hanging="899"/>
        <w:jc w:val="center"/>
        <w:rPr>
          <w:rFonts w:asciiTheme="minorEastAsia" w:hAnsiTheme="minorEastAsia" w:eastAsiaTheme="minorEastAsia"/>
          <w:sz w:val="24"/>
        </w:rPr>
      </w:pPr>
      <w:r>
        <w:rPr>
          <w:rFonts w:asciiTheme="minorEastAsia" w:hAnsiTheme="minorEastAsia" w:eastAsiaTheme="minorEastAsia"/>
          <w:sz w:val="24"/>
        </w:rPr>
        <w:br w:type="page"/>
      </w:r>
      <w:bookmarkStart w:id="365" w:name="_Toc514926459"/>
      <w:bookmarkStart w:id="366" w:name="_Toc529435091"/>
      <w:bookmarkStart w:id="367" w:name="_Toc497235047"/>
      <w:r>
        <w:rPr>
          <w:rFonts w:asciiTheme="minorEastAsia" w:hAnsiTheme="minorEastAsia" w:eastAsiaTheme="minorEastAsia"/>
          <w:sz w:val="24"/>
        </w:rPr>
        <w:t>6 商务条款偏离表</w:t>
      </w:r>
      <w:bookmarkEnd w:id="365"/>
      <w:bookmarkEnd w:id="366"/>
      <w:bookmarkEnd w:id="367"/>
    </w:p>
    <w:p>
      <w:pPr>
        <w:pStyle w:val="20"/>
        <w:spacing w:line="360" w:lineRule="auto"/>
        <w:rPr>
          <w:rFonts w:asciiTheme="minorEastAsia" w:hAnsiTheme="minorEastAsia" w:eastAsiaTheme="minorEastAsia"/>
          <w:sz w:val="24"/>
        </w:rPr>
      </w:pPr>
    </w:p>
    <w:p>
      <w:pPr>
        <w:pStyle w:val="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项目名称:_____________                           项目编号:_____________ </w:t>
      </w:r>
    </w:p>
    <w:tbl>
      <w:tblPr>
        <w:tblStyle w:val="50"/>
        <w:tblW w:w="9075"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85"/>
        <w:gridCol w:w="2623"/>
        <w:gridCol w:w="2624"/>
        <w:gridCol w:w="9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1985"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招标文件条目号</w:t>
            </w:r>
          </w:p>
        </w:tc>
        <w:tc>
          <w:tcPr>
            <w:tcW w:w="2623"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招标文件商务条款</w:t>
            </w:r>
          </w:p>
        </w:tc>
        <w:tc>
          <w:tcPr>
            <w:tcW w:w="2624"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投标文件商务条款</w:t>
            </w:r>
          </w:p>
        </w:tc>
        <w:tc>
          <w:tcPr>
            <w:tcW w:w="992"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985"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2623"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2624"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992"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r>
    </w:tbl>
    <w:p>
      <w:pPr>
        <w:pStyle w:val="20"/>
        <w:spacing w:line="360" w:lineRule="auto"/>
        <w:rPr>
          <w:rFonts w:asciiTheme="minorEastAsia" w:hAnsiTheme="minorEastAsia" w:eastAsiaTheme="minorEastAsia"/>
          <w:sz w:val="24"/>
        </w:rPr>
      </w:pPr>
      <w:r>
        <w:rPr>
          <w:rFonts w:asciiTheme="minorEastAsia" w:hAnsiTheme="minorEastAsia" w:eastAsiaTheme="minorEastAsia"/>
          <w:sz w:val="24"/>
        </w:rPr>
        <w:t> 注：投标人如果对包括交货期、付款方式/条件、质保期及合同条款在内的商务条款的响应有任何偏离，请在本表中详细填写；如对商务条款没有偏离，请注明“无偏离”。</w:t>
      </w:r>
    </w:p>
    <w:p>
      <w:pPr>
        <w:pStyle w:val="20"/>
        <w:spacing w:line="360" w:lineRule="auto"/>
        <w:rPr>
          <w:rFonts w:asciiTheme="minorEastAsia" w:hAnsiTheme="minorEastAsia" w:eastAsiaTheme="minorEastAsia"/>
          <w:sz w:val="24"/>
        </w:rPr>
      </w:pPr>
    </w:p>
    <w:p>
      <w:pPr>
        <w:pStyle w:val="20"/>
        <w:tabs>
          <w:tab w:val="left" w:pos="5580"/>
        </w:tabs>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投标人名称（盖章）：</w:t>
      </w:r>
    </w:p>
    <w:p>
      <w:pPr>
        <w:pStyle w:val="20"/>
        <w:tabs>
          <w:tab w:val="left" w:pos="5580"/>
        </w:tabs>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法人授权代表（签字）：</w:t>
      </w:r>
    </w:p>
    <w:p>
      <w:pPr>
        <w:pStyle w:val="20"/>
        <w:tabs>
          <w:tab w:val="left" w:pos="5580"/>
        </w:tabs>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注：此表格经法人授权代表签字方有效。</w:t>
      </w:r>
    </w:p>
    <w:p>
      <w:pPr>
        <w:pStyle w:val="5"/>
        <w:numPr>
          <w:ilvl w:val="0"/>
          <w:numId w:val="6"/>
        </w:numPr>
        <w:spacing w:line="360" w:lineRule="auto"/>
        <w:jc w:val="center"/>
        <w:rPr>
          <w:rFonts w:asciiTheme="minorEastAsia" w:hAnsiTheme="minorEastAsia" w:eastAsiaTheme="minorEastAsia"/>
          <w:sz w:val="24"/>
        </w:rPr>
      </w:pPr>
      <w:bookmarkStart w:id="368" w:name="_Toc514926460"/>
      <w:bookmarkStart w:id="369" w:name="_Toc497235048"/>
      <w:bookmarkStart w:id="370" w:name="_Toc529435092"/>
      <w:r>
        <w:rPr>
          <w:rFonts w:asciiTheme="minorEastAsia" w:hAnsiTheme="minorEastAsia" w:eastAsiaTheme="minorEastAsia"/>
          <w:sz w:val="24"/>
        </w:rPr>
        <w:t>资格证明文件</w:t>
      </w:r>
      <w:bookmarkEnd w:id="368"/>
      <w:bookmarkEnd w:id="369"/>
      <w:bookmarkEnd w:id="370"/>
    </w:p>
    <w:p>
      <w:pPr>
        <w:pStyle w:val="115"/>
        <w:spacing w:line="360" w:lineRule="auto"/>
        <w:ind w:firstLine="0" w:firstLineChars="0"/>
        <w:rPr>
          <w:rFonts w:asciiTheme="minorEastAsia" w:hAnsiTheme="minorEastAsia" w:eastAsiaTheme="minorEastAsia"/>
        </w:rPr>
      </w:pPr>
      <w:r>
        <w:rPr>
          <w:rFonts w:asciiTheme="minorEastAsia" w:hAnsiTheme="minorEastAsia" w:eastAsiaTheme="minorEastAsia"/>
          <w:sz w:val="24"/>
        </w:rPr>
        <w:t>7-1</w:t>
      </w:r>
      <w:r>
        <w:rPr>
          <w:rFonts w:hint="eastAsia" w:asciiTheme="minorEastAsia" w:hAnsiTheme="minorEastAsia" w:eastAsiaTheme="minorEastAsia"/>
          <w:sz w:val="24"/>
        </w:rPr>
        <w:t>《营业执照》、《组织机构代码证》、《税务登记证》或三证合一的《营业执照》副本复印件（须加盖本单位公章）；注：事业单位提供《事业单位法人证书》、民办非企业单位提供《民办非企业登记证书》副本复印件（须加盖本单位公章）。</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w:t>
      </w:r>
      <w:r>
        <w:rPr>
          <w:rFonts w:hint="eastAsia" w:asciiTheme="minorEastAsia" w:hAnsiTheme="minorEastAsia" w:eastAsiaTheme="minorEastAsia"/>
          <w:kern w:val="2"/>
          <w:szCs w:val="24"/>
        </w:rPr>
        <w:t>2</w:t>
      </w:r>
      <w:r>
        <w:rPr>
          <w:rFonts w:asciiTheme="minorEastAsia" w:hAnsiTheme="minorEastAsia" w:eastAsiaTheme="minorEastAsia"/>
          <w:kern w:val="2"/>
          <w:szCs w:val="24"/>
        </w:rPr>
        <w:t>法定代表人授权书原件（格式见第九章）</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w:t>
      </w:r>
      <w:r>
        <w:rPr>
          <w:rFonts w:hint="eastAsia" w:asciiTheme="minorEastAsia" w:hAnsiTheme="minorEastAsia" w:eastAsiaTheme="minorEastAsia"/>
          <w:kern w:val="2"/>
          <w:szCs w:val="24"/>
        </w:rPr>
        <w:t>3</w:t>
      </w:r>
      <w:r>
        <w:rPr>
          <w:rFonts w:asciiTheme="minorEastAsia" w:hAnsiTheme="minorEastAsia" w:eastAsiaTheme="minorEastAsia"/>
          <w:kern w:val="2"/>
          <w:szCs w:val="24"/>
        </w:rPr>
        <w:t>法人授权代表身份证复印件（须加盖本单位公章）</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kern w:val="2"/>
          <w:szCs w:val="24"/>
        </w:rPr>
        <w:t>7-4制造商资格声明</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kern w:val="2"/>
          <w:szCs w:val="24"/>
        </w:rPr>
        <w:t>7-5代理商、经销商的资格声明（制造商不需提供此声明）</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kern w:val="2"/>
          <w:szCs w:val="24"/>
        </w:rPr>
        <w:t>7-6</w:t>
      </w:r>
      <w:r>
        <w:rPr>
          <w:rFonts w:asciiTheme="minorEastAsia" w:hAnsiTheme="minorEastAsia" w:eastAsiaTheme="minorEastAsia"/>
        </w:rPr>
        <w:t>制造商授权书</w:t>
      </w:r>
      <w:r>
        <w:rPr>
          <w:rFonts w:hint="eastAsia" w:asciiTheme="minorEastAsia" w:hAnsiTheme="minorEastAsia" w:eastAsiaTheme="minorEastAsia"/>
        </w:rPr>
        <w:t>（</w:t>
      </w:r>
      <w:r>
        <w:rPr>
          <w:rFonts w:hint="eastAsia" w:asciiTheme="minorEastAsia" w:hAnsiTheme="minorEastAsia" w:eastAsiaTheme="minorEastAsia"/>
          <w:szCs w:val="24"/>
        </w:rPr>
        <w:t>接受厂家代理商的转授权，但需提供上述代理关系的证明）（进口产品</w:t>
      </w:r>
      <w:r>
        <w:rPr>
          <w:rFonts w:hint="eastAsia" w:asciiTheme="minorEastAsia" w:hAnsiTheme="minorEastAsia" w:eastAsiaTheme="minorEastAsia"/>
        </w:rPr>
        <w:t>适用</w:t>
      </w:r>
      <w:r>
        <w:rPr>
          <w:rFonts w:hint="eastAsia" w:asciiTheme="minorEastAsia" w:hAnsiTheme="minorEastAsia" w:eastAsiaTheme="minorEastAsia"/>
          <w:szCs w:val="24"/>
        </w:rPr>
        <w:t>）</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rPr>
        <w:t>7-</w:t>
      </w:r>
      <w:r>
        <w:rPr>
          <w:rFonts w:asciiTheme="minorEastAsia" w:hAnsiTheme="minorEastAsia" w:eastAsiaTheme="minorEastAsia"/>
        </w:rPr>
        <w:t>7</w:t>
      </w:r>
      <w:r>
        <w:rPr>
          <w:rFonts w:hint="eastAsia" w:asciiTheme="minorEastAsia" w:hAnsiTheme="minorEastAsia" w:eastAsiaTheme="minorEastAsia"/>
        </w:rPr>
        <w:t>提供经会计师事务所出具的2017年度完整的财务审计报告复印件，并加盖投标人公章。如投标人无法提供2017年度完整的审计报告，则须提供银行出具的资信证明</w:t>
      </w:r>
      <w:r>
        <w:rPr>
          <w:rFonts w:asciiTheme="minorEastAsia" w:hAnsiTheme="minorEastAsia" w:eastAsiaTheme="minorEastAsia"/>
          <w:kern w:val="2"/>
          <w:szCs w:val="24"/>
        </w:rPr>
        <w:t>。</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说明：1、银行资信证明是指</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参加本次投标截止日前</w:t>
      </w:r>
      <w:r>
        <w:rPr>
          <w:rFonts w:hint="eastAsia" w:asciiTheme="minorEastAsia" w:hAnsiTheme="minorEastAsia" w:eastAsiaTheme="minorEastAsia"/>
          <w:kern w:val="2"/>
          <w:szCs w:val="24"/>
        </w:rPr>
        <w:t>三个月</w:t>
      </w:r>
      <w:r>
        <w:rPr>
          <w:rFonts w:asciiTheme="minorEastAsia" w:hAnsiTheme="minorEastAsia" w:eastAsiaTheme="minorEastAsia"/>
          <w:kern w:val="2"/>
          <w:szCs w:val="24"/>
        </w:rPr>
        <w:t>内银行出具的资信证明（成立一年内的公司可提交验资证明复印件并加盖本单位公章）,且无收受人和项目的限制，但开具银行有限制规定的除外；</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2、提供的银行资信证明必须是完整的</w:t>
      </w:r>
      <w:r>
        <w:rPr>
          <w:rFonts w:hint="eastAsia" w:asciiTheme="minorEastAsia" w:hAnsiTheme="minorEastAsia" w:eastAsiaTheme="minorEastAsia"/>
          <w:kern w:val="2"/>
          <w:szCs w:val="24"/>
        </w:rPr>
        <w:t>原件</w:t>
      </w:r>
      <w:r>
        <w:rPr>
          <w:rFonts w:asciiTheme="minorEastAsia" w:hAnsiTheme="minorEastAsia" w:eastAsiaTheme="minorEastAsia"/>
          <w:kern w:val="2"/>
          <w:szCs w:val="24"/>
        </w:rPr>
        <w:t>（正反面）</w:t>
      </w:r>
      <w:r>
        <w:rPr>
          <w:rFonts w:hint="eastAsia" w:asciiTheme="minorEastAsia" w:hAnsiTheme="minorEastAsia" w:eastAsiaTheme="minorEastAsia"/>
          <w:kern w:val="2"/>
          <w:szCs w:val="24"/>
        </w:rPr>
        <w:t>复印件无效</w:t>
      </w:r>
      <w:r>
        <w:rPr>
          <w:rFonts w:asciiTheme="minorEastAsia" w:hAnsiTheme="minorEastAsia" w:eastAsiaTheme="minorEastAsia"/>
          <w:kern w:val="2"/>
          <w:szCs w:val="24"/>
        </w:rPr>
        <w:t>；</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3、银行资信证明应能说明该</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与银行之间业务往来正常，企业信誉良好等；</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4、银行出具的存款证明不能替代银行资信证明，存款证明无效；</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5、政府采购投标担保函格式见 第</w:t>
      </w:r>
      <w:r>
        <w:rPr>
          <w:rFonts w:hint="eastAsia" w:asciiTheme="minorEastAsia" w:hAnsiTheme="minorEastAsia" w:eastAsiaTheme="minorEastAsia"/>
          <w:kern w:val="2"/>
          <w:szCs w:val="24"/>
        </w:rPr>
        <w:t>七</w:t>
      </w:r>
      <w:r>
        <w:rPr>
          <w:rFonts w:asciiTheme="minorEastAsia" w:hAnsiTheme="minorEastAsia" w:eastAsiaTheme="minorEastAsia"/>
          <w:kern w:val="2"/>
          <w:szCs w:val="24"/>
        </w:rPr>
        <w:t>章 投标文件（格式16）。</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7-8有依法缴纳社会保障资金的良好记录（</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逐月交纳社会保障资金的，须提供参加本次政府采购活动</w:t>
      </w:r>
      <w:r>
        <w:rPr>
          <w:rFonts w:hint="eastAsia" w:asciiTheme="minorEastAsia" w:hAnsiTheme="minorEastAsia" w:eastAsiaTheme="minorEastAsia"/>
        </w:rPr>
        <w:t>连续近三个月</w:t>
      </w:r>
      <w:r>
        <w:rPr>
          <w:rFonts w:asciiTheme="minorEastAsia" w:hAnsiTheme="minorEastAsia" w:eastAsiaTheme="minorEastAsia"/>
          <w:kern w:val="2"/>
          <w:szCs w:val="24"/>
        </w:rPr>
        <w:t>的缴纳社会保障资金的入账票据凭证复印件；</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逐年交纳社会保障资金的，须提供参加本次政府采购活动上年度缴纳社会保障资金的入账票据凭证复印件。缴纳社会保障资金的入账票据凭证复印件须加盖本单位公章。）</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7-9</w:t>
      </w:r>
      <w:r>
        <w:rPr>
          <w:rFonts w:hint="eastAsia" w:asciiTheme="minorEastAsia" w:hAnsiTheme="minorEastAsia" w:eastAsiaTheme="minorEastAsia"/>
        </w:rPr>
        <w:t>连续近三个月</w:t>
      </w:r>
      <w:r>
        <w:rPr>
          <w:rFonts w:asciiTheme="minorEastAsia" w:hAnsiTheme="minorEastAsia" w:eastAsiaTheme="minorEastAsia"/>
          <w:kern w:val="2"/>
          <w:szCs w:val="24"/>
        </w:rPr>
        <w:t>的依法缴纳税收的的入账票据凭证复印件（须加盖本单位公章）</w:t>
      </w:r>
    </w:p>
    <w:p>
      <w:pPr>
        <w:spacing w:line="360" w:lineRule="auto"/>
        <w:rPr>
          <w:rFonts w:asciiTheme="minorEastAsia" w:hAnsiTheme="minorEastAsia" w:eastAsiaTheme="minorEastAsia"/>
          <w:sz w:val="24"/>
        </w:rPr>
      </w:pPr>
      <w:r>
        <w:rPr>
          <w:rFonts w:asciiTheme="minorEastAsia" w:hAnsiTheme="minorEastAsia" w:eastAsiaTheme="minorEastAsia"/>
          <w:sz w:val="24"/>
        </w:rPr>
        <w:t>7-10参加本次政府采购活动前三年内，在经营活动中没有重大违法记录的声明（</w:t>
      </w:r>
      <w:r>
        <w:rPr>
          <w:rFonts w:hint="eastAsia" w:asciiTheme="minorEastAsia" w:hAnsiTheme="minorEastAsia" w:eastAsiaTheme="minorEastAsia"/>
          <w:sz w:val="24"/>
        </w:rPr>
        <w:t>供应商</w:t>
      </w:r>
      <w:r>
        <w:rPr>
          <w:rFonts w:asciiTheme="minorEastAsia" w:hAnsiTheme="minorEastAsia" w:eastAsiaTheme="minorEastAsia"/>
          <w:sz w:val="24"/>
        </w:rPr>
        <w:t>须提供此声明，法定代表人或法人授权代表签字，须加盖本单位公章）</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11投标人应提供在信用中国网站（www.creditchina.gov.cn）“信用信息”、中国政府采购网（www.ccgp.gov.cn）“政府采购严重违法失信行为信息记录”信用记录查询结果打印页面并加盖公章</w:t>
      </w:r>
    </w:p>
    <w:p>
      <w:pPr>
        <w:spacing w:line="360" w:lineRule="auto"/>
        <w:rPr>
          <w:rFonts w:asciiTheme="minorEastAsia" w:hAnsiTheme="minorEastAsia" w:eastAsiaTheme="minorEastAsia"/>
          <w:sz w:val="24"/>
        </w:rPr>
      </w:pPr>
      <w:r>
        <w:rPr>
          <w:rFonts w:asciiTheme="minorEastAsia" w:hAnsiTheme="minorEastAsia" w:eastAsiaTheme="minorEastAsia"/>
          <w:sz w:val="24"/>
        </w:rPr>
        <w:t>7-12</w:t>
      </w:r>
      <w:r>
        <w:rPr>
          <w:rFonts w:hint="eastAsia" w:asciiTheme="minorEastAsia" w:hAnsiTheme="minorEastAsia" w:eastAsiaTheme="minorEastAsia"/>
          <w:sz w:val="24"/>
        </w:rPr>
        <w:t>供应商</w:t>
      </w:r>
      <w:r>
        <w:rPr>
          <w:rFonts w:asciiTheme="minorEastAsia" w:hAnsiTheme="minorEastAsia" w:eastAsiaTheme="minorEastAsia"/>
          <w:sz w:val="24"/>
        </w:rPr>
        <w:t>认为必要的其他资格证明文件复印件（须加盖本单位公章）。</w:t>
      </w:r>
    </w:p>
    <w:p>
      <w:pPr>
        <w:spacing w:line="360" w:lineRule="auto"/>
        <w:jc w:val="center"/>
        <w:rPr>
          <w:rFonts w:asciiTheme="minorEastAsia" w:hAnsiTheme="minorEastAsia" w:eastAsiaTheme="minorEastAsia"/>
          <w:b/>
          <w:sz w:val="24"/>
        </w:rPr>
      </w:pPr>
      <w:r>
        <w:rPr>
          <w:rFonts w:asciiTheme="minorEastAsia" w:hAnsiTheme="minorEastAsia" w:eastAsiaTheme="minorEastAsia"/>
          <w:sz w:val="24"/>
        </w:rPr>
        <w:br w:type="page"/>
      </w:r>
      <w:r>
        <w:rPr>
          <w:rFonts w:hint="eastAsia" w:asciiTheme="minorEastAsia" w:hAnsiTheme="minorEastAsia" w:eastAsiaTheme="minorEastAsia"/>
          <w:sz w:val="24"/>
        </w:rPr>
        <w:t>7-1</w:t>
      </w:r>
      <w:r>
        <w:rPr>
          <w:rFonts w:asciiTheme="minorEastAsia" w:hAnsiTheme="minorEastAsia" w:eastAsiaTheme="minorEastAsia"/>
          <w:sz w:val="24"/>
        </w:rPr>
        <w:t xml:space="preserve"> </w:t>
      </w:r>
      <w:r>
        <w:rPr>
          <w:rFonts w:hint="eastAsia" w:asciiTheme="minorEastAsia" w:hAnsiTheme="minorEastAsia" w:eastAsiaTheme="minorEastAsia"/>
          <w:sz w:val="24"/>
        </w:rPr>
        <w:t>《营业执照》、《组织机构代码证》、《税务登记证》或三证合一的《营业执照》副本复印件（须加盖本单位公章）；注：事业单位提供《事业单位法人证书》、民办非企业单位提供《民办非企业登记证书》副本复印件（须加盖本单位公章）。</w:t>
      </w:r>
    </w:p>
    <w:p>
      <w:pPr>
        <w:spacing w:line="360" w:lineRule="auto"/>
        <w:rPr>
          <w:rFonts w:asciiTheme="minorEastAsia" w:hAnsiTheme="minorEastAsia" w:eastAsiaTheme="minorEastAsia"/>
          <w:sz w:val="24"/>
        </w:rPr>
      </w:pP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br w:type="page"/>
      </w:r>
      <w:r>
        <w:rPr>
          <w:rFonts w:asciiTheme="minorEastAsia" w:hAnsiTheme="minorEastAsia" w:eastAsiaTheme="minorEastAsia"/>
          <w:sz w:val="24"/>
        </w:rPr>
        <w:t>7-</w:t>
      </w:r>
      <w:r>
        <w:rPr>
          <w:rFonts w:hint="eastAsia" w:asciiTheme="minorEastAsia" w:hAnsiTheme="minorEastAsia" w:eastAsiaTheme="minorEastAsia"/>
          <w:sz w:val="24"/>
        </w:rPr>
        <w:t>2</w:t>
      </w:r>
      <w:r>
        <w:rPr>
          <w:rFonts w:asciiTheme="minorEastAsia" w:hAnsiTheme="minorEastAsia" w:eastAsiaTheme="minorEastAsia"/>
          <w:sz w:val="24"/>
        </w:rPr>
        <w:t xml:space="preserve"> 法定代表人授权书（格式）</w:t>
      </w:r>
    </w:p>
    <w:p>
      <w:pPr>
        <w:spacing w:line="360" w:lineRule="auto"/>
        <w:jc w:val="center"/>
        <w:rPr>
          <w:rFonts w:asciiTheme="minorEastAsia" w:hAnsiTheme="minorEastAsia" w:eastAsiaTheme="minorEastAsia"/>
          <w:sz w:val="24"/>
          <w:szCs w:val="20"/>
          <w:u w:val="single"/>
        </w:rPr>
      </w:pPr>
    </w:p>
    <w:p>
      <w:pPr>
        <w:pStyle w:val="2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本授权书声明：注册于</w:t>
      </w:r>
      <w:r>
        <w:rPr>
          <w:rFonts w:hint="eastAsia" w:asciiTheme="minorEastAsia" w:hAnsiTheme="minorEastAsia" w:eastAsiaTheme="minorEastAsia"/>
          <w:iCs/>
          <w:sz w:val="24"/>
          <w:u w:val="single"/>
        </w:rPr>
        <w:t>（国家或地区的名称）</w:t>
      </w:r>
      <w:r>
        <w:rPr>
          <w:rFonts w:hint="eastAsia" w:asciiTheme="minorEastAsia" w:hAnsiTheme="minorEastAsia" w:eastAsiaTheme="minorEastAsia"/>
          <w:sz w:val="24"/>
        </w:rPr>
        <w:t>的</w:t>
      </w:r>
      <w:r>
        <w:rPr>
          <w:rFonts w:hint="eastAsia" w:asciiTheme="minorEastAsia" w:hAnsiTheme="minorEastAsia" w:eastAsiaTheme="minorEastAsia"/>
          <w:iCs/>
          <w:sz w:val="24"/>
          <w:u w:val="single"/>
        </w:rPr>
        <w:t>（公司名称）</w:t>
      </w:r>
      <w:r>
        <w:rPr>
          <w:rFonts w:hint="eastAsia" w:asciiTheme="minorEastAsia" w:hAnsiTheme="minorEastAsia" w:eastAsiaTheme="minorEastAsia"/>
          <w:sz w:val="24"/>
        </w:rPr>
        <w:t>的在下面签字的（</w:t>
      </w:r>
      <w:r>
        <w:rPr>
          <w:rFonts w:hint="eastAsia" w:asciiTheme="minorEastAsia" w:hAnsiTheme="minorEastAsia" w:eastAsiaTheme="minorEastAsia"/>
          <w:sz w:val="24"/>
          <w:u w:val="single"/>
        </w:rPr>
        <w:t>法定代表人姓名、职务</w:t>
      </w:r>
      <w:r>
        <w:rPr>
          <w:rFonts w:hint="eastAsia" w:asciiTheme="minorEastAsia" w:hAnsiTheme="minorEastAsia" w:eastAsiaTheme="minorEastAsia"/>
          <w:sz w:val="24"/>
        </w:rPr>
        <w:t>）代表本公司授权</w:t>
      </w:r>
      <w:r>
        <w:rPr>
          <w:rFonts w:hint="eastAsia" w:asciiTheme="minorEastAsia" w:hAnsiTheme="minorEastAsia" w:eastAsiaTheme="minorEastAsia"/>
          <w:iCs/>
          <w:sz w:val="24"/>
          <w:u w:val="single"/>
        </w:rPr>
        <w:t>（单位名称）</w:t>
      </w:r>
      <w:r>
        <w:rPr>
          <w:rFonts w:hint="eastAsia" w:asciiTheme="minorEastAsia" w:hAnsiTheme="minorEastAsia" w:eastAsiaTheme="minorEastAsia"/>
          <w:sz w:val="24"/>
        </w:rPr>
        <w:t>的在下面签字的</w:t>
      </w:r>
      <w:r>
        <w:rPr>
          <w:rFonts w:hint="eastAsia" w:asciiTheme="minorEastAsia" w:hAnsiTheme="minorEastAsia" w:eastAsiaTheme="minorEastAsia"/>
          <w:iCs/>
          <w:sz w:val="24"/>
          <w:u w:val="single"/>
        </w:rPr>
        <w:t>（被授权人的姓名、职务）</w:t>
      </w:r>
      <w:r>
        <w:rPr>
          <w:rFonts w:hint="eastAsia" w:asciiTheme="minorEastAsia" w:hAnsiTheme="minorEastAsia" w:eastAsiaTheme="minorEastAsia"/>
          <w:sz w:val="24"/>
        </w:rPr>
        <w:t>为本公司的合法代理人，就</w:t>
      </w:r>
      <w:r>
        <w:rPr>
          <w:rFonts w:hint="eastAsia" w:asciiTheme="minorEastAsia" w:hAnsiTheme="minorEastAsia" w:eastAsiaTheme="minorEastAsia"/>
          <w:iCs/>
          <w:sz w:val="24"/>
          <w:u w:val="single"/>
        </w:rPr>
        <w:t>（项目名称）</w:t>
      </w:r>
      <w:r>
        <w:rPr>
          <w:rFonts w:hint="eastAsia" w:asciiTheme="minorEastAsia" w:hAnsiTheme="minorEastAsia" w:eastAsiaTheme="minorEastAsia"/>
          <w:sz w:val="24"/>
        </w:rPr>
        <w:t>投标，以本公司名义处理一切与之有关的事务。　　</w:t>
      </w:r>
    </w:p>
    <w:p>
      <w:pPr>
        <w:pStyle w:val="20"/>
        <w:tabs>
          <w:tab w:val="left" w:pos="5580"/>
        </w:tabs>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 xml:space="preserve">本授权书于 </w:t>
      </w:r>
      <w:r>
        <w:rPr>
          <w:rFonts w:asciiTheme="minorEastAsia" w:hAnsiTheme="minorEastAsia" w:eastAsiaTheme="minorEastAsia"/>
          <w:sz w:val="24"/>
        </w:rPr>
        <w:t xml:space="preserve"> </w:t>
      </w:r>
      <w:r>
        <w:rPr>
          <w:rFonts w:hint="eastAsia" w:asciiTheme="minorEastAsia" w:hAnsiTheme="minorEastAsia" w:eastAsiaTheme="minorEastAsia"/>
          <w:sz w:val="24"/>
        </w:rPr>
        <w:t>年 月 日签字生效，特此声明。</w:t>
      </w:r>
    </w:p>
    <w:p>
      <w:pPr>
        <w:pStyle w:val="20"/>
        <w:tabs>
          <w:tab w:val="left" w:pos="5580"/>
        </w:tabs>
        <w:spacing w:line="360" w:lineRule="auto"/>
        <w:ind w:firstLine="480"/>
        <w:rPr>
          <w:rFonts w:asciiTheme="minorEastAsia" w:hAnsiTheme="minorEastAsia" w:eastAsiaTheme="minorEastAsia"/>
          <w:sz w:val="24"/>
        </w:rPr>
      </w:pPr>
    </w:p>
    <w:p>
      <w:pPr>
        <w:pStyle w:val="20"/>
        <w:tabs>
          <w:tab w:val="left" w:pos="5580"/>
        </w:tabs>
        <w:spacing w:line="360" w:lineRule="auto"/>
        <w:rPr>
          <w:rFonts w:asciiTheme="minorEastAsia" w:hAnsiTheme="minorEastAsia" w:eastAsiaTheme="minorEastAsia"/>
          <w:sz w:val="24"/>
        </w:rPr>
      </w:pPr>
    </w:p>
    <w:p>
      <w:pPr>
        <w:pStyle w:val="20"/>
        <w:tabs>
          <w:tab w:val="left" w:pos="4200"/>
        </w:tabs>
        <w:spacing w:line="360" w:lineRule="auto"/>
        <w:rPr>
          <w:rFonts w:asciiTheme="minorEastAsia" w:hAnsiTheme="minorEastAsia" w:eastAsiaTheme="minorEastAsia"/>
          <w:sz w:val="24"/>
        </w:rPr>
      </w:pPr>
    </w:p>
    <w:p>
      <w:pPr>
        <w:pStyle w:val="20"/>
        <w:tabs>
          <w:tab w:val="left" w:pos="4200"/>
        </w:tabs>
        <w:spacing w:line="360" w:lineRule="auto"/>
        <w:ind w:firstLine="3158" w:firstLineChars="1316"/>
        <w:rPr>
          <w:rFonts w:asciiTheme="minorEastAsia" w:hAnsiTheme="minorEastAsia" w:eastAsiaTheme="minorEastAsia"/>
          <w:sz w:val="24"/>
        </w:rPr>
      </w:pPr>
      <w:r>
        <w:rPr>
          <w:rFonts w:hint="eastAsia" w:asciiTheme="minorEastAsia" w:hAnsiTheme="minorEastAsia" w:eastAsiaTheme="minorEastAsia"/>
          <w:sz w:val="24"/>
        </w:rPr>
        <w:t>法定代表人签字或盖章：</w:t>
      </w:r>
      <w:r>
        <w:rPr>
          <w:rFonts w:hint="eastAsia" w:asciiTheme="minorEastAsia" w:hAnsiTheme="minorEastAsia" w:eastAsiaTheme="minorEastAsia"/>
          <w:sz w:val="24"/>
          <w:u w:val="single"/>
        </w:rPr>
        <w:t>　　　　　　　　　　　</w:t>
      </w:r>
    </w:p>
    <w:p>
      <w:pPr>
        <w:pStyle w:val="20"/>
        <w:tabs>
          <w:tab w:val="left" w:pos="4200"/>
        </w:tabs>
        <w:spacing w:line="360" w:lineRule="auto"/>
        <w:ind w:firstLine="3158" w:firstLineChars="1316"/>
        <w:rPr>
          <w:rFonts w:asciiTheme="minorEastAsia" w:hAnsiTheme="minorEastAsia" w:eastAsiaTheme="minorEastAsia"/>
          <w:sz w:val="24"/>
        </w:rPr>
      </w:pPr>
      <w:r>
        <w:rPr>
          <w:rFonts w:hint="eastAsia" w:asciiTheme="minorEastAsia" w:hAnsiTheme="minorEastAsia" w:eastAsiaTheme="minorEastAsia"/>
          <w:sz w:val="24"/>
        </w:rPr>
        <w:t>法人授权代表签字：</w:t>
      </w:r>
      <w:r>
        <w:rPr>
          <w:rFonts w:hint="eastAsia" w:asciiTheme="minorEastAsia" w:hAnsiTheme="minorEastAsia" w:eastAsiaTheme="minorEastAsia"/>
          <w:sz w:val="24"/>
          <w:u w:val="single"/>
        </w:rPr>
        <w:t>　　　　　　　　　　　　　</w:t>
      </w:r>
    </w:p>
    <w:p>
      <w:pPr>
        <w:pStyle w:val="20"/>
        <w:tabs>
          <w:tab w:val="left" w:pos="4200"/>
        </w:tabs>
        <w:spacing w:line="360" w:lineRule="auto"/>
        <w:ind w:firstLine="3158" w:firstLineChars="1316"/>
        <w:rPr>
          <w:rFonts w:asciiTheme="minorEastAsia" w:hAnsiTheme="minorEastAsia" w:eastAsiaTheme="minorEastAsia"/>
          <w:sz w:val="24"/>
        </w:rPr>
      </w:pPr>
      <w:r>
        <w:rPr>
          <w:rFonts w:hint="eastAsia" w:asciiTheme="minorEastAsia" w:hAnsiTheme="minorEastAsia" w:eastAsiaTheme="minorEastAsia"/>
          <w:sz w:val="24"/>
        </w:rPr>
        <w:t>投标人</w:t>
      </w:r>
      <w:r>
        <w:rPr>
          <w:rFonts w:asciiTheme="minorEastAsia" w:hAnsiTheme="minorEastAsia" w:eastAsiaTheme="minorEastAsia"/>
          <w:sz w:val="24"/>
        </w:rPr>
        <w:t>(</w:t>
      </w:r>
      <w:r>
        <w:rPr>
          <w:rFonts w:hint="eastAsia" w:asciiTheme="minorEastAsia" w:hAnsiTheme="minorEastAsia" w:eastAsiaTheme="minorEastAsia"/>
          <w:sz w:val="24"/>
        </w:rPr>
        <w:t>盖章</w:t>
      </w:r>
      <w:r>
        <w:rPr>
          <w:rFonts w:asciiTheme="minorEastAsia" w:hAnsiTheme="minorEastAsia" w:eastAsiaTheme="minorEastAsia"/>
          <w:sz w:val="24"/>
        </w:rPr>
        <w:t>)</w:t>
      </w:r>
      <w:r>
        <w:rPr>
          <w:rFonts w:hint="eastAsia" w:asciiTheme="minorEastAsia" w:hAnsiTheme="minorEastAsia" w:eastAsiaTheme="minorEastAsia"/>
          <w:sz w:val="24"/>
        </w:rPr>
        <w:t>：</w:t>
      </w:r>
      <w:r>
        <w:rPr>
          <w:rFonts w:hint="eastAsia" w:asciiTheme="minorEastAsia" w:hAnsiTheme="minorEastAsia" w:eastAsiaTheme="minorEastAsia"/>
          <w:sz w:val="24"/>
          <w:u w:val="single"/>
        </w:rPr>
        <w:t>　　　　　　　　　　　　　　　</w:t>
      </w:r>
    </w:p>
    <w:p>
      <w:pPr>
        <w:pStyle w:val="20"/>
        <w:tabs>
          <w:tab w:val="left" w:pos="5580"/>
        </w:tabs>
        <w:spacing w:line="360" w:lineRule="auto"/>
        <w:rPr>
          <w:rFonts w:asciiTheme="minorEastAsia" w:hAnsiTheme="minorEastAsia" w:eastAsiaTheme="minorEastAsia"/>
          <w:sz w:val="24"/>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tabs>
          <w:tab w:val="left" w:pos="5580"/>
        </w:tabs>
        <w:spacing w:before="240" w:line="360" w:lineRule="auto"/>
        <w:ind w:left="1911" w:leftChars="910"/>
        <w:rPr>
          <w:rFonts w:asciiTheme="minorEastAsia" w:hAnsiTheme="minorEastAsia" w:eastAsiaTheme="minorEastAsia"/>
          <w:sz w:val="24"/>
          <w:szCs w:val="20"/>
          <w:u w:val="single"/>
        </w:rPr>
      </w:pP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注：</w:t>
      </w:r>
      <w:r>
        <w:rPr>
          <w:rFonts w:asciiTheme="minorEastAsia" w:hAnsiTheme="minorEastAsia" w:eastAsiaTheme="minorEastAsia"/>
          <w:sz w:val="24"/>
          <w:u w:val="single"/>
        </w:rPr>
        <w:t>1</w:t>
      </w:r>
      <w:r>
        <w:rPr>
          <w:rFonts w:hint="eastAsia" w:asciiTheme="minorEastAsia" w:hAnsiTheme="minorEastAsia" w:eastAsiaTheme="minorEastAsia"/>
          <w:sz w:val="24"/>
          <w:u w:val="single"/>
        </w:rPr>
        <w:t>、附法人授权代表身份证复印件并加盖投标人公章。</w:t>
      </w:r>
    </w:p>
    <w:p>
      <w:pPr>
        <w:spacing w:line="360" w:lineRule="auto"/>
        <w:ind w:firstLine="480" w:firstLineChars="200"/>
        <w:rPr>
          <w:rFonts w:asciiTheme="minorEastAsia" w:hAnsiTheme="minorEastAsia" w:eastAsiaTheme="minorEastAsia"/>
          <w:szCs w:val="20"/>
        </w:rPr>
      </w:pPr>
      <w:r>
        <w:rPr>
          <w:rFonts w:asciiTheme="minorEastAsia" w:hAnsiTheme="minorEastAsia" w:eastAsiaTheme="minorEastAsia"/>
          <w:sz w:val="24"/>
          <w:u w:val="single"/>
        </w:rPr>
        <w:t>2</w:t>
      </w:r>
      <w:r>
        <w:rPr>
          <w:rFonts w:hint="eastAsia" w:asciiTheme="minorEastAsia" w:hAnsiTheme="minorEastAsia" w:eastAsiaTheme="minorEastAsia"/>
          <w:sz w:val="24"/>
          <w:u w:val="single"/>
        </w:rPr>
        <w:t>、本授权书须严格按照格式要求完整填写各项内容，由法定代表人签字或加盖签名章和法人授权代表签字并加盖投标人公章方为有效，否则视其授权书无效。</w:t>
      </w:r>
      <w:r>
        <w:rPr>
          <w:rFonts w:asciiTheme="minorEastAsia" w:hAnsiTheme="minorEastAsia" w:eastAsiaTheme="minorEastAsia"/>
          <w:szCs w:val="20"/>
          <w:u w:val="single"/>
        </w:rPr>
        <w:t xml:space="preserve"> </w:t>
      </w:r>
    </w:p>
    <w:p>
      <w:pPr>
        <w:widowControl/>
        <w:spacing w:line="360" w:lineRule="auto"/>
        <w:jc w:val="center"/>
        <w:rPr>
          <w:rFonts w:asciiTheme="minorEastAsia" w:hAnsiTheme="minorEastAsia" w:eastAsiaTheme="minorEastAsia"/>
          <w:szCs w:val="20"/>
        </w:rPr>
      </w:pPr>
      <w:r>
        <w:rPr>
          <w:rFonts w:asciiTheme="minorEastAsia" w:hAnsiTheme="minorEastAsia" w:eastAsiaTheme="minorEastAsia"/>
          <w:szCs w:val="20"/>
        </w:rPr>
        <w:br w:type="page"/>
      </w:r>
      <w:r>
        <w:rPr>
          <w:rFonts w:asciiTheme="minorEastAsia" w:hAnsiTheme="minorEastAsia" w:eastAsiaTheme="minorEastAsia"/>
          <w:sz w:val="24"/>
        </w:rPr>
        <w:t>7-</w:t>
      </w:r>
      <w:r>
        <w:rPr>
          <w:rFonts w:hint="eastAsia" w:asciiTheme="minorEastAsia" w:hAnsiTheme="minorEastAsia" w:eastAsiaTheme="minorEastAsia"/>
          <w:sz w:val="24"/>
        </w:rPr>
        <w:t>3</w:t>
      </w:r>
      <w:r>
        <w:rPr>
          <w:rFonts w:asciiTheme="minorEastAsia" w:hAnsiTheme="minorEastAsia" w:eastAsiaTheme="minorEastAsia"/>
          <w:sz w:val="24"/>
        </w:rPr>
        <w:t>法人授权代表身份证复印件（须加盖本单位公章）</w:t>
      </w:r>
    </w:p>
    <w:p>
      <w:pPr>
        <w:spacing w:line="360" w:lineRule="auto"/>
        <w:jc w:val="center"/>
        <w:rPr>
          <w:rFonts w:asciiTheme="minorEastAsia" w:hAnsiTheme="minorEastAsia" w:eastAsiaTheme="minorEastAsia"/>
        </w:rPr>
      </w:pPr>
      <w:r>
        <w:rPr>
          <w:rFonts w:asciiTheme="minorEastAsia" w:hAnsiTheme="minorEastAsia" w:eastAsiaTheme="minorEastAsia"/>
        </w:rPr>
        <w:br w:type="page"/>
      </w: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4</w:t>
      </w:r>
      <w:r>
        <w:rPr>
          <w:rFonts w:asciiTheme="minorEastAsia" w:hAnsiTheme="minorEastAsia" w:eastAsiaTheme="minorEastAsia"/>
          <w:sz w:val="24"/>
        </w:rPr>
        <w:t>制造商资格声明</w:t>
      </w:r>
    </w:p>
    <w:p>
      <w:pPr>
        <w:tabs>
          <w:tab w:val="left" w:pos="5580"/>
        </w:tabs>
        <w:spacing w:before="120" w:line="360" w:lineRule="auto"/>
        <w:jc w:val="center"/>
        <w:rPr>
          <w:rFonts w:asciiTheme="minorEastAsia" w:hAnsiTheme="minorEastAsia" w:eastAsiaTheme="minorEastAsia"/>
          <w:b/>
          <w:sz w:val="24"/>
        </w:rPr>
      </w:pPr>
      <w:bookmarkStart w:id="371" w:name="_Ref467990056"/>
      <w:bookmarkStart w:id="372" w:name="_Toc520125060"/>
      <w:bookmarkStart w:id="373" w:name="_Ref467990098"/>
      <w:bookmarkStart w:id="374" w:name="_Toc520356225"/>
      <w:bookmarkStart w:id="375" w:name="_Toc480942356"/>
      <w:r>
        <w:rPr>
          <w:rFonts w:asciiTheme="minorEastAsia" w:hAnsiTheme="minorEastAsia" w:eastAsiaTheme="minorEastAsia"/>
          <w:b/>
          <w:sz w:val="24"/>
        </w:rPr>
        <w:t xml:space="preserve">    </w:t>
      </w:r>
    </w:p>
    <w:p>
      <w:pPr>
        <w:numPr>
          <w:ilvl w:val="0"/>
          <w:numId w:val="7"/>
        </w:num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名称及概况 ：</w:t>
      </w:r>
    </w:p>
    <w:p>
      <w:pPr>
        <w:tabs>
          <w:tab w:val="left" w:pos="5580"/>
        </w:tabs>
        <w:spacing w:before="120" w:line="360" w:lineRule="auto"/>
        <w:ind w:firstLine="360"/>
        <w:rPr>
          <w:rFonts w:asciiTheme="minorEastAsia" w:hAnsiTheme="minorEastAsia" w:eastAsiaTheme="minorEastAsia"/>
          <w:sz w:val="24"/>
        </w:rPr>
      </w:pPr>
      <w:r>
        <w:rPr>
          <w:rFonts w:asciiTheme="minorEastAsia" w:hAnsiTheme="minorEastAsia" w:eastAsiaTheme="minorEastAsia"/>
          <w:sz w:val="24"/>
        </w:rPr>
        <w:t>(1)制造厂家名称：</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rPr>
      </w:pPr>
      <w:r>
        <w:rPr>
          <w:rFonts w:asciiTheme="minorEastAsia" w:hAnsiTheme="minorEastAsia" w:eastAsiaTheme="minorEastAsia"/>
          <w:sz w:val="24"/>
        </w:rPr>
        <w:t>(2)地址及邮编：</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(3)成立和注册日期：</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(4)主管部门：</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(5)企业性质：</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(6)法人代表：</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(7)职员人数：</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960"/>
        <w:rPr>
          <w:rFonts w:asciiTheme="minorEastAsia" w:hAnsiTheme="minorEastAsia" w:eastAsiaTheme="minorEastAsia"/>
          <w:sz w:val="24"/>
          <w:u w:val="single"/>
        </w:rPr>
      </w:pPr>
      <w:r>
        <w:rPr>
          <w:rFonts w:asciiTheme="minorEastAsia" w:hAnsiTheme="minorEastAsia" w:eastAsiaTheme="minorEastAsia"/>
          <w:sz w:val="24"/>
        </w:rPr>
        <w:t>一般工人：</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960"/>
        <w:rPr>
          <w:rFonts w:asciiTheme="minorEastAsia" w:hAnsiTheme="minorEastAsia" w:eastAsiaTheme="minorEastAsia"/>
          <w:sz w:val="24"/>
          <w:u w:val="single"/>
        </w:rPr>
      </w:pPr>
      <w:r>
        <w:rPr>
          <w:rFonts w:asciiTheme="minorEastAsia" w:hAnsiTheme="minorEastAsia" w:eastAsiaTheme="minorEastAsia"/>
          <w:sz w:val="24"/>
        </w:rPr>
        <w:t>技术人员：</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firstLine="360"/>
        <w:rPr>
          <w:rFonts w:asciiTheme="minorEastAsia" w:hAnsiTheme="minorEastAsia" w:eastAsiaTheme="minorEastAsia"/>
          <w:sz w:val="24"/>
        </w:rPr>
      </w:pPr>
      <w:r>
        <w:rPr>
          <w:rFonts w:asciiTheme="minorEastAsia" w:hAnsiTheme="minorEastAsia" w:eastAsiaTheme="minorEastAsia"/>
          <w:sz w:val="24"/>
        </w:rPr>
        <w:t>(8)近期资产负债表(到</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rPr>
        <w:t>年</w:t>
      </w:r>
      <w:r>
        <w:rPr>
          <w:rFonts w:asciiTheme="minorEastAsia" w:hAnsiTheme="minorEastAsia" w:eastAsiaTheme="minorEastAsia"/>
          <w:sz w:val="24"/>
          <w:u w:val="single"/>
        </w:rPr>
        <w:t xml:space="preserve">       </w:t>
      </w:r>
      <w:r>
        <w:rPr>
          <w:rFonts w:asciiTheme="minorEastAsia" w:hAnsiTheme="minorEastAsia" w:eastAsiaTheme="minorEastAsia"/>
          <w:sz w:val="24"/>
        </w:rPr>
        <w:t>月</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rPr>
        <w:t>日止)</w:t>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(1)固定资产：</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原值：</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净值：</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(2)流动资金：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(3)长期负债：</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(4)短期负债：</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(5)资金来源</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自有资金：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银行贷款：</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(6)资金类型：</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生产资金：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非生产资金：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 xml:space="preserve">     </w:t>
      </w:r>
      <w:r>
        <w:rPr>
          <w:rFonts w:asciiTheme="minorEastAsia" w:hAnsiTheme="minorEastAsia" w:eastAsiaTheme="minorEastAsia"/>
          <w:sz w:val="24"/>
          <w:u w:val="single"/>
        </w:rPr>
        <w:tab/>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2、（1)关于制造投标货物的设施及其它情况：</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工厂名称地址　　生产的项目　　　　　年生产能力　　　　　职工人数</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　　　_____________　　　　____________　　　　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　　　_____________　　　　____________　　　　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(2)本制造厂不生产，而须从其它制造厂购买的主要零部件</w:t>
      </w:r>
    </w:p>
    <w:p>
      <w:pPr>
        <w:tabs>
          <w:tab w:val="left" w:pos="5580"/>
        </w:tabs>
        <w:spacing w:before="120" w:line="360" w:lineRule="auto"/>
        <w:ind w:firstLine="960"/>
        <w:rPr>
          <w:rFonts w:asciiTheme="minorEastAsia" w:hAnsiTheme="minorEastAsia" w:eastAsiaTheme="minorEastAsia"/>
          <w:sz w:val="24"/>
        </w:rPr>
      </w:pPr>
      <w:r>
        <w:rPr>
          <w:rFonts w:asciiTheme="minorEastAsia" w:hAnsiTheme="minorEastAsia" w:eastAsiaTheme="minorEastAsia"/>
          <w:sz w:val="24"/>
        </w:rPr>
        <w:t>制造厂家名称和地址__________________　　　　　　　　______________　　　　　　　　</w:t>
      </w:r>
    </w:p>
    <w:p>
      <w:pPr>
        <w:tabs>
          <w:tab w:val="left" w:pos="5580"/>
        </w:tabs>
        <w:spacing w:before="120" w:line="360" w:lineRule="auto"/>
        <w:ind w:firstLine="960"/>
        <w:rPr>
          <w:rFonts w:asciiTheme="minorEastAsia" w:hAnsiTheme="minorEastAsia" w:eastAsiaTheme="minorEastAsia"/>
          <w:sz w:val="24"/>
        </w:rPr>
      </w:pPr>
      <w:r>
        <w:rPr>
          <w:rFonts w:asciiTheme="minorEastAsia" w:hAnsiTheme="minorEastAsia" w:eastAsiaTheme="minorEastAsia"/>
          <w:sz w:val="24"/>
        </w:rPr>
        <w:t>主要零部件名称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3、制造厂家生产此投标货物的历史(年数)：</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___________________________________________________________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___________________________________________________________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4、近三年该货物主要销售给国内、外主要客户的名称地址：</w:t>
      </w:r>
    </w:p>
    <w:p>
      <w:pPr>
        <w:tabs>
          <w:tab w:val="left" w:pos="5580"/>
        </w:tabs>
        <w:spacing w:before="120" w:line="360" w:lineRule="auto"/>
        <w:ind w:firstLine="813" w:firstLineChars="339"/>
        <w:rPr>
          <w:rFonts w:asciiTheme="minorEastAsia" w:hAnsiTheme="minorEastAsia" w:eastAsiaTheme="minorEastAsia"/>
          <w:sz w:val="24"/>
        </w:rPr>
      </w:pPr>
      <w:r>
        <w:rPr>
          <w:rFonts w:asciiTheme="minorEastAsia" w:hAnsiTheme="minorEastAsia" w:eastAsiaTheme="minorEastAsia"/>
          <w:sz w:val="24"/>
        </w:rPr>
        <w:t>名称和地址　　　　　　　</w:t>
      </w:r>
      <w:r>
        <w:rPr>
          <w:rFonts w:hint="eastAsia" w:asciiTheme="minorEastAsia" w:hAnsiTheme="minorEastAsia" w:eastAsiaTheme="minorEastAsia"/>
          <w:sz w:val="24"/>
        </w:rPr>
        <w:t xml:space="preserve">                       </w:t>
      </w:r>
      <w:r>
        <w:rPr>
          <w:rFonts w:asciiTheme="minorEastAsia" w:hAnsiTheme="minorEastAsia" w:eastAsiaTheme="minorEastAsia"/>
          <w:sz w:val="24"/>
        </w:rPr>
        <w:t>销售项目和数量</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w:t>
      </w:r>
      <w:r>
        <w:rPr>
          <w:rFonts w:asciiTheme="minorEastAsia" w:hAnsiTheme="minorEastAsia" w:eastAsiaTheme="minorEastAsia"/>
          <w:sz w:val="24"/>
        </w:rPr>
        <w:tab/>
      </w:r>
      <w:r>
        <w:rPr>
          <w:rFonts w:asciiTheme="minorEastAsia" w:hAnsiTheme="minorEastAsia" w:eastAsiaTheme="minorEastAsia"/>
          <w:sz w:val="24"/>
        </w:rPr>
        <w:t>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w:t>
      </w:r>
      <w:r>
        <w:rPr>
          <w:rFonts w:asciiTheme="minorEastAsia" w:hAnsiTheme="minorEastAsia" w:eastAsiaTheme="minorEastAsia"/>
          <w:sz w:val="24"/>
        </w:rPr>
        <w:tab/>
      </w:r>
      <w:r>
        <w:rPr>
          <w:rFonts w:asciiTheme="minorEastAsia" w:hAnsiTheme="minorEastAsia" w:eastAsiaTheme="minorEastAsia"/>
          <w:sz w:val="24"/>
        </w:rPr>
        <w:t>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出口销售额：________________________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5、近三年的年营业额：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年份　　 　　　国内　　　 　　出口　 　　　　总额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6、易损件供应商的名称和地址：</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部件名称　　　　　　　　　　　　　供应商</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　　　　　　　　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　　__________________　　　　　　　　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7、有关开户银行的名称和地址：_______________________________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8、其他情况：_______________________________________________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兹证明上述声明是真实、正确的，并提供了全部能提供的资料和数据，我们同意遵照贵方要求出示有关证明文件。</w:t>
      </w:r>
    </w:p>
    <w:p>
      <w:pPr>
        <w:tabs>
          <w:tab w:val="left" w:pos="5580"/>
        </w:tabs>
        <w:spacing w:before="120" w:line="360" w:lineRule="auto"/>
        <w:rPr>
          <w:rFonts w:asciiTheme="minorEastAsia" w:hAnsiTheme="minorEastAsia" w:eastAsiaTheme="minorEastAsia"/>
          <w:sz w:val="24"/>
        </w:rPr>
      </w:pP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日期：_____年______月______日</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制造商名称：__________________________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法人授权代表 (签字)：______________</w:t>
      </w:r>
      <w:r>
        <w:rPr>
          <w:rFonts w:asciiTheme="minorEastAsia" w:hAnsiTheme="minorEastAsia" w:eastAsiaTheme="minorEastAsia"/>
          <w:sz w:val="24"/>
          <w:u w:val="single"/>
        </w:rPr>
        <w:t>__</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法人授权代表的职务：__________________　　      电话号：__________________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制造商盖章：__________________________　　      传真号：__________________</w:t>
      </w:r>
    </w:p>
    <w:bookmarkEnd w:id="371"/>
    <w:bookmarkEnd w:id="372"/>
    <w:bookmarkEnd w:id="373"/>
    <w:bookmarkEnd w:id="374"/>
    <w:bookmarkEnd w:id="375"/>
    <w:p>
      <w:pPr>
        <w:spacing w:line="360" w:lineRule="auto"/>
        <w:jc w:val="center"/>
        <w:rPr>
          <w:rFonts w:asciiTheme="minorEastAsia" w:hAnsiTheme="minorEastAsia" w:eastAsiaTheme="minorEastAsia"/>
          <w:sz w:val="24"/>
        </w:rPr>
      </w:pP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w:t>
      </w:r>
      <w:r>
        <w:rPr>
          <w:rFonts w:hint="eastAsia" w:asciiTheme="minorEastAsia" w:hAnsiTheme="minorEastAsia" w:eastAsiaTheme="minorEastAsia"/>
          <w:sz w:val="24"/>
        </w:rPr>
        <w:t>5</w:t>
      </w:r>
      <w:r>
        <w:rPr>
          <w:rFonts w:asciiTheme="minorEastAsia" w:hAnsiTheme="minorEastAsia" w:eastAsiaTheme="minorEastAsia"/>
          <w:sz w:val="24"/>
        </w:rPr>
        <w:t xml:space="preserve"> 代理商、经销商的资格声明（制造商不需提供此声明）</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1、名称及概况：</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(1)供应商名称：_______________________________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(2)地址及邮编：_______________________________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(3)成立和注册日期：___________________________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　　(4)主管部门：_________________________________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(5)公司性质：_________________________________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(6)法人代表：_________________________________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(7)职员人数：_________________________________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(8)近期资产负债表(到____年______月_______日止)</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〈1〉固定资产：__________________________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原值：______________________________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净值：______________________________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〈2〉流动资金：__________________________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〈3〉长期负债：__________________________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〈4〉短期负债：__________________________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〈5〉资金来源：</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自有资金：__________________________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银行贷款：__________________________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〈6〉资金类型：_____________________</w:t>
      </w:r>
      <w:r>
        <w:rPr>
          <w:rFonts w:asciiTheme="minorEastAsia" w:hAnsiTheme="minorEastAsia" w:eastAsiaTheme="minorEastAsia"/>
          <w:sz w:val="24"/>
          <w:u w:val="single"/>
        </w:rPr>
        <w:t xml:space="preserve">_  </w:t>
      </w:r>
      <w:r>
        <w:rPr>
          <w:rFonts w:asciiTheme="minorEastAsia" w:hAnsiTheme="minorEastAsia" w:eastAsiaTheme="minorEastAsia"/>
          <w:sz w:val="24"/>
        </w:rPr>
        <w:t>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商业性：____________________________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非商业性：__________________________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2、最近三年的年度总营业额：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年份　　　　　国内　　　 　　出口　 　　　　总额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3、最近三年投标货物主要销售给国内及国外用户名称及地址：</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名称和地址　　　　　　　销售的项目和数量</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(1)出口销售：</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(2)国内销售：</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4、同意为</w:t>
      </w:r>
      <w:r>
        <w:rPr>
          <w:rFonts w:hint="eastAsia" w:asciiTheme="minorEastAsia" w:hAnsiTheme="minorEastAsia" w:eastAsiaTheme="minorEastAsia"/>
          <w:sz w:val="24"/>
        </w:rPr>
        <w:t>供应商</w:t>
      </w:r>
      <w:r>
        <w:rPr>
          <w:rFonts w:asciiTheme="minorEastAsia" w:hAnsiTheme="minorEastAsia" w:eastAsiaTheme="minorEastAsia"/>
          <w:sz w:val="24"/>
        </w:rPr>
        <w:t>制造投标货物的制造厂并附有制造厂的资格声明：</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制造厂名称和地址　　　　　制造项目和数量</w:t>
      </w:r>
    </w:p>
    <w:p>
      <w:pPr>
        <w:tabs>
          <w:tab w:val="left" w:pos="360"/>
          <w:tab w:val="left" w:pos="5580"/>
        </w:tabs>
        <w:spacing w:before="120" w:line="360" w:lineRule="auto"/>
        <w:ind w:firstLine="360"/>
        <w:rPr>
          <w:rFonts w:asciiTheme="minorEastAsia" w:hAnsiTheme="minorEastAsia" w:eastAsiaTheme="minorEastAsia"/>
          <w:sz w:val="24"/>
        </w:rPr>
      </w:pPr>
      <w:r>
        <w:rPr>
          <w:rFonts w:asciiTheme="minorEastAsia" w:hAnsiTheme="minorEastAsia" w:eastAsiaTheme="minorEastAsia"/>
          <w:sz w:val="24"/>
        </w:rPr>
        <w:t>_____________________　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　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5、须由其它制造厂家供应和制造的部件(如果有的话)：</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制造厂名称和地址　　　　　　制造项目</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　_______________________</w:t>
      </w:r>
    </w:p>
    <w:p>
      <w:pPr>
        <w:tabs>
          <w:tab w:val="left" w:pos="5580"/>
        </w:tabs>
        <w:spacing w:before="12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_____________________　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6、最近三年中与各经销商成交的此种投标货物(如果有的话)：</w:t>
      </w:r>
    </w:p>
    <w:p>
      <w:pPr>
        <w:tabs>
          <w:tab w:val="left" w:pos="5580"/>
        </w:tabs>
        <w:spacing w:before="120" w:line="360" w:lineRule="auto"/>
        <w:ind w:firstLine="840" w:firstLineChars="350"/>
        <w:rPr>
          <w:rFonts w:asciiTheme="minorEastAsia" w:hAnsiTheme="minorEastAsia" w:eastAsiaTheme="minorEastAsia"/>
          <w:sz w:val="24"/>
        </w:rPr>
      </w:pPr>
      <w:r>
        <w:rPr>
          <w:rFonts w:asciiTheme="minorEastAsia" w:hAnsiTheme="minorEastAsia" w:eastAsiaTheme="minorEastAsia"/>
          <w:sz w:val="24"/>
        </w:rPr>
        <w:t>合同号：___________________________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签字日期：_________________________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产品名称：_________________________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数量：_____________________________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合同金额___________________________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7、有关开户银行的名称和地址：_____________________________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供应商</w:t>
      </w:r>
      <w:r>
        <w:rPr>
          <w:rFonts w:asciiTheme="minorEastAsia" w:hAnsiTheme="minorEastAsia" w:eastAsiaTheme="minorEastAsia"/>
          <w:sz w:val="24"/>
        </w:rPr>
        <w:t>认为需要声明的其他情况</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兹证明上述声明是真实、正确的，并提供了全部能提供的资料和数据，我们同意遵照贵方要求出示有关证明文件。</w:t>
      </w:r>
    </w:p>
    <w:p>
      <w:pPr>
        <w:tabs>
          <w:tab w:val="left" w:pos="5580"/>
        </w:tabs>
        <w:spacing w:before="120" w:line="360" w:lineRule="auto"/>
        <w:rPr>
          <w:rFonts w:asciiTheme="minorEastAsia" w:hAnsiTheme="minorEastAsia" w:eastAsiaTheme="minorEastAsia"/>
          <w:sz w:val="24"/>
        </w:rPr>
      </w:pP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日期：________________________________________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法人授权代表(签字)：__________________________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法人授权代表的职务：__________________________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电话：________________________________________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传真：________________________________________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rPr>
        <w:t>公章：_______________________________________________</w:t>
      </w:r>
    </w:p>
    <w:p>
      <w:pPr>
        <w:widowControl/>
        <w:spacing w:line="360" w:lineRule="auto"/>
        <w:jc w:val="center"/>
        <w:rPr>
          <w:rFonts w:asciiTheme="minorEastAsia" w:hAnsiTheme="minorEastAsia" w:eastAsiaTheme="minorEastAsia"/>
        </w:rPr>
      </w:pPr>
      <w:r>
        <w:rPr>
          <w:rFonts w:asciiTheme="minorEastAsia" w:hAnsiTheme="minorEastAsia" w:eastAsiaTheme="minorEastAsia"/>
        </w:rPr>
        <w:br w:type="page"/>
      </w:r>
    </w:p>
    <w:p>
      <w:pPr>
        <w:widowControl/>
        <w:spacing w:line="360" w:lineRule="auto"/>
        <w:jc w:val="center"/>
        <w:rPr>
          <w:rFonts w:asciiTheme="minorEastAsia" w:hAnsiTheme="minorEastAsia" w:eastAsiaTheme="minorEastAsia"/>
        </w:rPr>
      </w:pPr>
    </w:p>
    <w:p>
      <w:pPr>
        <w:widowControl/>
        <w:spacing w:line="360" w:lineRule="auto"/>
        <w:jc w:val="center"/>
        <w:rPr>
          <w:rFonts w:asciiTheme="minorEastAsia" w:hAnsiTheme="minorEastAsia" w:eastAsiaTheme="minorEastAsia"/>
        </w:rPr>
      </w:pPr>
      <w:r>
        <w:rPr>
          <w:rFonts w:hint="eastAsia" w:asciiTheme="minorEastAsia" w:hAnsiTheme="minorEastAsia" w:eastAsiaTheme="minorEastAsia"/>
          <w:sz w:val="24"/>
        </w:rPr>
        <w:t>7-</w:t>
      </w:r>
      <w:r>
        <w:rPr>
          <w:rFonts w:asciiTheme="minorEastAsia" w:hAnsiTheme="minorEastAsia" w:eastAsiaTheme="minorEastAsia"/>
          <w:sz w:val="24"/>
        </w:rPr>
        <w:t>6</w:t>
      </w:r>
      <w:r>
        <w:rPr>
          <w:rFonts w:hint="eastAsia" w:asciiTheme="minorEastAsia" w:hAnsiTheme="minorEastAsia" w:eastAsiaTheme="minorEastAsia"/>
          <w:sz w:val="24"/>
        </w:rPr>
        <w:t>制造商授权书</w:t>
      </w:r>
    </w:p>
    <w:p>
      <w:pPr>
        <w:spacing w:line="360" w:lineRule="auto"/>
        <w:jc w:val="center"/>
        <w:rPr>
          <w:rFonts w:asciiTheme="minorEastAsia" w:hAnsiTheme="minorEastAsia" w:eastAsiaTheme="minorEastAsia"/>
          <w:sz w:val="24"/>
          <w:u w:val="single"/>
        </w:rPr>
      </w:pPr>
    </w:p>
    <w:p>
      <w:pPr>
        <w:spacing w:line="360" w:lineRule="auto"/>
        <w:jc w:val="left"/>
        <w:rPr>
          <w:rFonts w:asciiTheme="minorEastAsia" w:hAnsiTheme="minorEastAsia" w:eastAsiaTheme="minorEastAsia"/>
          <w:sz w:val="24"/>
          <w:u w:val="single"/>
        </w:rPr>
      </w:pPr>
      <w:r>
        <w:rPr>
          <w:rFonts w:hint="eastAsia" w:asciiTheme="minorEastAsia" w:hAnsiTheme="minorEastAsia" w:eastAsiaTheme="minorEastAsia"/>
          <w:sz w:val="24"/>
        </w:rPr>
        <w:t>致：</w:t>
      </w:r>
      <w:r>
        <w:rPr>
          <w:rFonts w:hint="eastAsia" w:asciiTheme="minorEastAsia" w:hAnsiTheme="minorEastAsia" w:eastAsiaTheme="minorEastAsia"/>
          <w:i/>
          <w:sz w:val="24"/>
          <w:u w:val="single"/>
        </w:rPr>
        <w:t>（采购代理机构 ）</w:t>
      </w:r>
    </w:p>
    <w:p>
      <w:pPr>
        <w:pStyle w:val="20"/>
        <w:tabs>
          <w:tab w:val="left" w:pos="55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我们（</w:t>
      </w:r>
      <w:r>
        <w:rPr>
          <w:rFonts w:hint="eastAsia" w:asciiTheme="minorEastAsia" w:hAnsiTheme="minorEastAsia" w:eastAsiaTheme="minorEastAsia"/>
          <w:i/>
          <w:sz w:val="24"/>
          <w:u w:val="single"/>
        </w:rPr>
        <w:t>制造商名称</w:t>
      </w:r>
      <w:r>
        <w:rPr>
          <w:rFonts w:hint="eastAsia" w:asciiTheme="minorEastAsia" w:hAnsiTheme="minorEastAsia" w:eastAsiaTheme="minorEastAsia"/>
          <w:sz w:val="24"/>
        </w:rPr>
        <w:t>）是按（</w:t>
      </w:r>
      <w:r>
        <w:rPr>
          <w:rFonts w:hint="eastAsia" w:asciiTheme="minorEastAsia" w:hAnsiTheme="minorEastAsia" w:eastAsiaTheme="minorEastAsia"/>
          <w:i/>
          <w:sz w:val="24"/>
          <w:u w:val="single"/>
        </w:rPr>
        <w:t>国家/地区名称</w:t>
      </w:r>
      <w:r>
        <w:rPr>
          <w:rFonts w:hint="eastAsia" w:asciiTheme="minorEastAsia" w:hAnsiTheme="minorEastAsia" w:eastAsiaTheme="minorEastAsia"/>
          <w:sz w:val="24"/>
        </w:rPr>
        <w:t>）法律成立的一家制造商，主要营业地点设在（</w:t>
      </w:r>
      <w:r>
        <w:rPr>
          <w:rFonts w:hint="eastAsia" w:asciiTheme="minorEastAsia" w:hAnsiTheme="minorEastAsia" w:eastAsiaTheme="minorEastAsia"/>
          <w:i/>
          <w:sz w:val="24"/>
          <w:u w:val="single"/>
        </w:rPr>
        <w:t>制造商地址</w:t>
      </w:r>
      <w:r>
        <w:rPr>
          <w:rFonts w:hint="eastAsia" w:asciiTheme="minorEastAsia" w:hAnsiTheme="minorEastAsia" w:eastAsiaTheme="minorEastAsia"/>
          <w:sz w:val="24"/>
        </w:rPr>
        <w:t>）。兹指派按（</w:t>
      </w:r>
      <w:r>
        <w:rPr>
          <w:rFonts w:hint="eastAsia" w:asciiTheme="minorEastAsia" w:hAnsiTheme="minorEastAsia" w:eastAsiaTheme="minorEastAsia"/>
          <w:i/>
          <w:sz w:val="24"/>
          <w:u w:val="single"/>
        </w:rPr>
        <w:t>国家/地区名称</w:t>
      </w:r>
      <w:r>
        <w:rPr>
          <w:rFonts w:hint="eastAsia" w:asciiTheme="minorEastAsia" w:hAnsiTheme="minorEastAsia" w:eastAsiaTheme="minorEastAsia"/>
          <w:sz w:val="24"/>
        </w:rPr>
        <w:t>）的法律正式成立的，主要营业地点设在（</w:t>
      </w:r>
      <w:r>
        <w:rPr>
          <w:rFonts w:hint="eastAsia" w:asciiTheme="minorEastAsia" w:hAnsiTheme="minorEastAsia" w:eastAsiaTheme="minorEastAsia"/>
          <w:i/>
          <w:sz w:val="24"/>
          <w:u w:val="single"/>
        </w:rPr>
        <w:t>投标人地址</w:t>
      </w:r>
      <w:r>
        <w:rPr>
          <w:rFonts w:hint="eastAsia" w:asciiTheme="minorEastAsia" w:hAnsiTheme="minorEastAsia" w:eastAsiaTheme="minorEastAsia"/>
          <w:sz w:val="24"/>
        </w:rPr>
        <w:t>）的（</w:t>
      </w:r>
      <w:r>
        <w:rPr>
          <w:rFonts w:hint="eastAsia" w:asciiTheme="minorEastAsia" w:hAnsiTheme="minorEastAsia" w:eastAsiaTheme="minorEastAsia"/>
          <w:i/>
          <w:sz w:val="24"/>
          <w:u w:val="single"/>
        </w:rPr>
        <w:t>投标人名称</w:t>
      </w:r>
      <w:r>
        <w:rPr>
          <w:rFonts w:hint="eastAsia" w:asciiTheme="minorEastAsia" w:hAnsiTheme="minorEastAsia" w:eastAsiaTheme="minorEastAsia"/>
          <w:sz w:val="24"/>
        </w:rPr>
        <w:t>）作为我方真正的合法的代理人进行下列有效的活动：</w:t>
      </w:r>
    </w:p>
    <w:p>
      <w:pPr>
        <w:spacing w:line="360" w:lineRule="auto"/>
        <w:ind w:firstLine="480" w:firstLineChars="200"/>
        <w:rPr>
          <w:rFonts w:asciiTheme="minorEastAsia" w:hAnsiTheme="minorEastAsia" w:eastAsiaTheme="minorEastAsia"/>
          <w:sz w:val="24"/>
          <w:szCs w:val="21"/>
          <w:lang w:val="zh-CN" w:eastAsia="zh-CN"/>
        </w:rPr>
      </w:pPr>
      <w:bookmarkStart w:id="376" w:name="_Toc451254545"/>
      <w:bookmarkStart w:id="377" w:name="_Toc441043400"/>
      <w:r>
        <w:rPr>
          <w:rFonts w:hint="eastAsia" w:asciiTheme="minorEastAsia" w:hAnsiTheme="minorEastAsia" w:eastAsiaTheme="minorEastAsia"/>
          <w:sz w:val="24"/>
          <w:szCs w:val="21"/>
          <w:lang w:val="zh-CN" w:eastAsia="zh-CN"/>
        </w:rPr>
        <w:t>（1）代表我方办理贵方第</w:t>
      </w:r>
      <w:r>
        <w:rPr>
          <w:rFonts w:hint="eastAsia" w:asciiTheme="minorEastAsia" w:hAnsiTheme="minorEastAsia" w:eastAsiaTheme="minorEastAsia"/>
          <w:sz w:val="24"/>
          <w:szCs w:val="21"/>
          <w:u w:val="single"/>
          <w:lang w:val="zh-CN" w:eastAsia="zh-CN"/>
        </w:rPr>
        <w:t>　　（项目编号）　　</w:t>
      </w:r>
      <w:r>
        <w:rPr>
          <w:rFonts w:hint="eastAsia" w:asciiTheme="minorEastAsia" w:hAnsiTheme="minorEastAsia" w:eastAsiaTheme="minorEastAsia"/>
          <w:sz w:val="24"/>
          <w:szCs w:val="21"/>
          <w:lang w:val="zh-CN" w:eastAsia="zh-CN"/>
        </w:rPr>
        <w:t>号投标邀请要求提供的由我方制造的货物的有关事宜，并对我方具有约束力。</w:t>
      </w:r>
      <w:bookmarkEnd w:id="376"/>
      <w:bookmarkEnd w:id="377"/>
    </w:p>
    <w:p>
      <w:pPr>
        <w:pStyle w:val="20"/>
        <w:tabs>
          <w:tab w:val="left" w:pos="55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（2）作为制造商，我方保证以投标合作者来约束自己，并对该投标共同和分别承担招标文件中所规定的义务。</w:t>
      </w:r>
    </w:p>
    <w:p>
      <w:pPr>
        <w:pStyle w:val="20"/>
        <w:tabs>
          <w:tab w:val="left" w:pos="55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（3）我方兹授予</w:t>
      </w:r>
      <w:r>
        <w:rPr>
          <w:rFonts w:hint="eastAsia" w:asciiTheme="minorEastAsia" w:hAnsiTheme="minorEastAsia" w:eastAsiaTheme="minorEastAsia"/>
          <w:sz w:val="24"/>
          <w:u w:val="single"/>
        </w:rPr>
        <w:t>　　（投标人名称）　　</w:t>
      </w:r>
      <w:r>
        <w:rPr>
          <w:rFonts w:hint="eastAsia" w:asciiTheme="minorEastAsia" w:hAnsiTheme="minorEastAsia" w:eastAsiaTheme="minorEastAsia"/>
          <w:sz w:val="24"/>
        </w:rPr>
        <w:t>全权办理和履行上述我方为完成上述各点所必须的事宜，具有替换或撤销的全权。兹确认</w:t>
      </w:r>
      <w:r>
        <w:rPr>
          <w:rFonts w:hint="eastAsia" w:asciiTheme="minorEastAsia" w:hAnsiTheme="minorEastAsia" w:eastAsiaTheme="minorEastAsia"/>
          <w:sz w:val="24"/>
          <w:u w:val="single"/>
        </w:rPr>
        <w:t>　　（投标人名称）　　</w:t>
      </w:r>
      <w:r>
        <w:rPr>
          <w:rFonts w:hint="eastAsia" w:asciiTheme="minorEastAsia" w:hAnsiTheme="minorEastAsia" w:eastAsiaTheme="minorEastAsia"/>
          <w:sz w:val="24"/>
        </w:rPr>
        <w:t>或其正式授权代表依此合法地办理一切事宜。</w:t>
      </w:r>
    </w:p>
    <w:p>
      <w:pPr>
        <w:pStyle w:val="20"/>
        <w:tabs>
          <w:tab w:val="left" w:pos="5580"/>
        </w:tabs>
        <w:spacing w:line="360" w:lineRule="auto"/>
        <w:ind w:left="479" w:leftChars="228"/>
        <w:rPr>
          <w:rFonts w:asciiTheme="minorEastAsia" w:hAnsiTheme="minorEastAsia" w:eastAsiaTheme="minorEastAsia"/>
          <w:sz w:val="24"/>
        </w:rPr>
      </w:pPr>
      <w:r>
        <w:rPr>
          <w:rFonts w:hint="eastAsia" w:asciiTheme="minorEastAsia" w:hAnsiTheme="minorEastAsia" w:eastAsiaTheme="minorEastAsia"/>
          <w:sz w:val="24"/>
        </w:rPr>
        <w:t>我方于</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年</w:t>
      </w:r>
      <w:r>
        <w:rPr>
          <w:rFonts w:hint="eastAsia" w:asciiTheme="minorEastAsia" w:hAnsiTheme="minorEastAsia" w:eastAsiaTheme="minorEastAsia"/>
          <w:sz w:val="24"/>
          <w:u w:val="single"/>
        </w:rPr>
        <w:t>　　　</w:t>
      </w:r>
      <w:r>
        <w:rPr>
          <w:rFonts w:hint="eastAsia" w:asciiTheme="minorEastAsia" w:hAnsiTheme="minorEastAsia" w:eastAsiaTheme="minorEastAsia"/>
          <w:sz w:val="24"/>
        </w:rPr>
        <w:t>月</w:t>
      </w:r>
      <w:r>
        <w:rPr>
          <w:rFonts w:hint="eastAsia" w:asciiTheme="minorEastAsia" w:hAnsiTheme="minorEastAsia" w:eastAsiaTheme="minorEastAsia"/>
          <w:sz w:val="24"/>
          <w:u w:val="single"/>
        </w:rPr>
        <w:t>　　　</w:t>
      </w:r>
      <w:r>
        <w:rPr>
          <w:rFonts w:hint="eastAsia" w:asciiTheme="minorEastAsia" w:hAnsiTheme="minorEastAsia" w:eastAsiaTheme="minorEastAsia"/>
          <w:sz w:val="24"/>
        </w:rPr>
        <w:t>日签署本文件，（投标人名称）于</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年</w:t>
      </w:r>
      <w:r>
        <w:rPr>
          <w:rFonts w:hint="eastAsia" w:asciiTheme="minorEastAsia" w:hAnsiTheme="minorEastAsia" w:eastAsiaTheme="minorEastAsia"/>
          <w:sz w:val="24"/>
          <w:u w:val="single"/>
        </w:rPr>
        <w:t>　　</w:t>
      </w:r>
      <w:r>
        <w:rPr>
          <w:rFonts w:hint="eastAsia" w:asciiTheme="minorEastAsia" w:hAnsiTheme="minorEastAsia" w:eastAsiaTheme="minorEastAsia"/>
          <w:sz w:val="24"/>
        </w:rPr>
        <w:t>月</w:t>
      </w:r>
    </w:p>
    <w:p>
      <w:pPr>
        <w:pStyle w:val="20"/>
        <w:tabs>
          <w:tab w:val="left" w:pos="5580"/>
        </w:tabs>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日接受此件，以此为证。</w:t>
      </w:r>
    </w:p>
    <w:p>
      <w:pPr>
        <w:pStyle w:val="20"/>
        <w:tabs>
          <w:tab w:val="left" w:pos="5580"/>
        </w:tabs>
        <w:spacing w:line="360" w:lineRule="auto"/>
        <w:rPr>
          <w:rFonts w:asciiTheme="minorEastAsia" w:hAnsiTheme="minorEastAsia" w:eastAsiaTheme="minorEastAsia"/>
          <w:sz w:val="24"/>
        </w:rPr>
      </w:pPr>
    </w:p>
    <w:tbl>
      <w:tblPr>
        <w:tblStyle w:val="50"/>
        <w:tblW w:w="4644" w:type="dxa"/>
        <w:tblInd w:w="0" w:type="dxa"/>
        <w:tblLayout w:type="fixed"/>
        <w:tblCellMar>
          <w:top w:w="0" w:type="dxa"/>
          <w:left w:w="108" w:type="dxa"/>
          <w:bottom w:w="0" w:type="dxa"/>
          <w:right w:w="108" w:type="dxa"/>
        </w:tblCellMar>
      </w:tblPr>
      <w:tblGrid>
        <w:gridCol w:w="3369"/>
        <w:gridCol w:w="1275"/>
      </w:tblGrid>
      <w:tr>
        <w:tblPrEx>
          <w:tblLayout w:type="fixed"/>
          <w:tblCellMar>
            <w:top w:w="0" w:type="dxa"/>
            <w:left w:w="108" w:type="dxa"/>
            <w:bottom w:w="0" w:type="dxa"/>
            <w:right w:w="108" w:type="dxa"/>
          </w:tblCellMar>
        </w:tblPrEx>
        <w:tc>
          <w:tcPr>
            <w:tcW w:w="3369" w:type="dxa"/>
          </w:tcPr>
          <w:p>
            <w:pPr>
              <w:pStyle w:val="20"/>
              <w:tabs>
                <w:tab w:val="left" w:pos="5580"/>
              </w:tabs>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制造商名称：</w:t>
            </w:r>
          </w:p>
        </w:tc>
        <w:tc>
          <w:tcPr>
            <w:tcW w:w="1275" w:type="dxa"/>
          </w:tcPr>
          <w:p>
            <w:pPr>
              <w:pStyle w:val="20"/>
              <w:tabs>
                <w:tab w:val="left" w:pos="5580"/>
              </w:tabs>
              <w:spacing w:line="360" w:lineRule="auto"/>
              <w:jc w:val="left"/>
              <w:rPr>
                <w:rFonts w:cs="Courier New" w:asciiTheme="minorEastAsia" w:hAnsiTheme="minorEastAsia" w:eastAsiaTheme="minorEastAsia"/>
                <w:sz w:val="24"/>
                <w:u w:val="single"/>
              </w:rPr>
            </w:pPr>
            <w:r>
              <w:rPr>
                <w:rFonts w:hint="eastAsia" w:cs="Courier New" w:asciiTheme="minorEastAsia" w:hAnsiTheme="minorEastAsia" w:eastAsiaTheme="minorEastAsia"/>
                <w:sz w:val="24"/>
                <w:u w:val="single"/>
              </w:rPr>
              <w:t xml:space="preserve">                            </w:t>
            </w:r>
          </w:p>
        </w:tc>
      </w:tr>
      <w:tr>
        <w:tblPrEx>
          <w:tblLayout w:type="fixed"/>
          <w:tblCellMar>
            <w:top w:w="0" w:type="dxa"/>
            <w:left w:w="108" w:type="dxa"/>
            <w:bottom w:w="0" w:type="dxa"/>
            <w:right w:w="108" w:type="dxa"/>
          </w:tblCellMar>
        </w:tblPrEx>
        <w:tc>
          <w:tcPr>
            <w:tcW w:w="3369" w:type="dxa"/>
          </w:tcPr>
          <w:p>
            <w:pPr>
              <w:pStyle w:val="20"/>
              <w:tabs>
                <w:tab w:val="left" w:pos="5580"/>
              </w:tabs>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签字人签名：</w:t>
            </w:r>
          </w:p>
        </w:tc>
        <w:tc>
          <w:tcPr>
            <w:tcW w:w="1275" w:type="dxa"/>
          </w:tcPr>
          <w:p>
            <w:pPr>
              <w:pStyle w:val="20"/>
              <w:tabs>
                <w:tab w:val="left" w:pos="5580"/>
              </w:tabs>
              <w:spacing w:line="360" w:lineRule="auto"/>
              <w:rPr>
                <w:rFonts w:cs="Courier New" w:asciiTheme="minorEastAsia" w:hAnsiTheme="minorEastAsia" w:eastAsiaTheme="minorEastAsia"/>
                <w:sz w:val="24"/>
                <w:u w:val="single"/>
              </w:rPr>
            </w:pPr>
            <w:r>
              <w:rPr>
                <w:rFonts w:hint="eastAsia" w:cs="Courier New" w:asciiTheme="minorEastAsia" w:hAnsiTheme="minorEastAsia" w:eastAsiaTheme="minorEastAsia"/>
                <w:sz w:val="24"/>
                <w:u w:val="single"/>
              </w:rPr>
              <w:t xml:space="preserve">                       </w:t>
            </w:r>
          </w:p>
        </w:tc>
      </w:tr>
    </w:tbl>
    <w:p>
      <w:pPr>
        <w:spacing w:line="360" w:lineRule="auto"/>
        <w:ind w:left="1084" w:hanging="1084" w:hangingChars="450"/>
        <w:rPr>
          <w:rFonts w:asciiTheme="minorEastAsia" w:hAnsiTheme="minorEastAsia" w:eastAsiaTheme="minorEastAsia"/>
          <w:b/>
          <w:bCs/>
          <w:sz w:val="24"/>
          <w:u w:val="single"/>
        </w:rPr>
      </w:pPr>
    </w:p>
    <w:p>
      <w:pPr>
        <w:spacing w:line="360" w:lineRule="auto"/>
        <w:ind w:left="1084" w:hanging="1084" w:hangingChars="450"/>
        <w:rPr>
          <w:rFonts w:asciiTheme="minorEastAsia" w:hAnsiTheme="minorEastAsia" w:eastAsiaTheme="minorEastAsia"/>
          <w:b/>
          <w:bCs/>
          <w:sz w:val="24"/>
          <w:u w:val="single"/>
        </w:rPr>
      </w:pPr>
    </w:p>
    <w:p>
      <w:pPr>
        <w:spacing w:line="360" w:lineRule="auto"/>
        <w:ind w:left="1084" w:hanging="1084" w:hangingChars="450"/>
        <w:rPr>
          <w:rFonts w:asciiTheme="minorEastAsia" w:hAnsiTheme="minorEastAsia" w:eastAsiaTheme="minorEastAsia"/>
          <w:b/>
          <w:bCs/>
          <w:sz w:val="24"/>
          <w:u w:val="single"/>
        </w:rPr>
      </w:pPr>
    </w:p>
    <w:p>
      <w:pPr>
        <w:spacing w:line="360" w:lineRule="auto"/>
        <w:ind w:left="1084" w:hanging="1084" w:hangingChars="450"/>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注：</w:t>
      </w:r>
    </w:p>
    <w:p>
      <w:pPr>
        <w:spacing w:line="360" w:lineRule="auto"/>
        <w:jc w:val="left"/>
        <w:rPr>
          <w:rFonts w:asciiTheme="minorEastAsia" w:hAnsiTheme="minorEastAsia" w:eastAsiaTheme="minorEastAsia"/>
          <w:bCs/>
          <w:sz w:val="22"/>
          <w:szCs w:val="22"/>
        </w:rPr>
      </w:pPr>
      <w:r>
        <w:rPr>
          <w:rFonts w:hint="eastAsia" w:asciiTheme="minorEastAsia" w:hAnsiTheme="minorEastAsia" w:eastAsiaTheme="minorEastAsia"/>
          <w:bCs/>
          <w:sz w:val="22"/>
          <w:szCs w:val="22"/>
        </w:rPr>
        <w:t>1：如制造厂商投标，可不提供此授权。否则投标人须提供原制造厂商出具的针对本项目的授权接受厂家代理商的转授权，但需提供上述代理关系的证明）；</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bCs/>
          <w:sz w:val="22"/>
          <w:szCs w:val="22"/>
        </w:rPr>
        <w:t>2：此</w:t>
      </w:r>
      <w:r>
        <w:rPr>
          <w:rFonts w:hint="eastAsia" w:asciiTheme="minorEastAsia" w:hAnsiTheme="minorEastAsia" w:eastAsiaTheme="minorEastAsia"/>
          <w:sz w:val="22"/>
          <w:szCs w:val="22"/>
        </w:rPr>
        <w:t>授权函格式为参考格式，制造商可依据自身实际情况自行出具授权函。如采用此授权函格</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sz w:val="22"/>
          <w:szCs w:val="22"/>
        </w:rPr>
        <w:t>式，则须严格按照格式要求完整填写各项内容，并由</w:t>
      </w:r>
      <w:r>
        <w:rPr>
          <w:rFonts w:hint="eastAsia" w:cs="Courier New" w:asciiTheme="minorEastAsia" w:hAnsiTheme="minorEastAsia" w:eastAsiaTheme="minorEastAsia"/>
          <w:sz w:val="22"/>
          <w:szCs w:val="22"/>
        </w:rPr>
        <w:t>制造商</w:t>
      </w:r>
      <w:r>
        <w:rPr>
          <w:rFonts w:hint="eastAsia" w:asciiTheme="minorEastAsia" w:hAnsiTheme="minorEastAsia" w:eastAsiaTheme="minorEastAsia"/>
          <w:sz w:val="22"/>
          <w:szCs w:val="22"/>
        </w:rPr>
        <w:t>盖章签字方为有效。:</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sz w:val="22"/>
          <w:szCs w:val="22"/>
        </w:rPr>
        <w:t>3：如制造商已授权其他经销商参与本项目的投标，则制造商不得参与本项目的投标，否则其被</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sz w:val="22"/>
          <w:szCs w:val="22"/>
        </w:rPr>
        <w:t>授权经销商将视为无效投标。</w:t>
      </w:r>
    </w:p>
    <w:p>
      <w:pPr>
        <w:spacing w:line="360" w:lineRule="auto"/>
        <w:jc w:val="center"/>
        <w:rPr>
          <w:rFonts w:asciiTheme="minorEastAsia" w:hAnsiTheme="minorEastAsia" w:eastAsiaTheme="minorEastAsia"/>
        </w:rPr>
      </w:pPr>
    </w:p>
    <w:p>
      <w:pPr>
        <w:widowControl/>
        <w:spacing w:line="360" w:lineRule="auto"/>
        <w:jc w:val="left"/>
        <w:rPr>
          <w:rFonts w:asciiTheme="minorEastAsia" w:hAnsiTheme="minorEastAsia" w:eastAsiaTheme="minorEastAsia"/>
        </w:rPr>
      </w:pPr>
      <w:r>
        <w:rPr>
          <w:rFonts w:asciiTheme="minorEastAsia" w:hAnsiTheme="minorEastAsia" w:eastAsiaTheme="minorEastAsia"/>
        </w:rPr>
        <w:br w:type="page"/>
      </w:r>
    </w:p>
    <w:p>
      <w:pPr>
        <w:spacing w:line="360" w:lineRule="auto"/>
        <w:jc w:val="center"/>
        <w:rPr>
          <w:rFonts w:asciiTheme="minorEastAsia" w:hAnsiTheme="minorEastAsia" w:eastAsiaTheme="minorEastAsia"/>
        </w:rPr>
      </w:pPr>
    </w:p>
    <w:p>
      <w:pPr>
        <w:spacing w:line="360" w:lineRule="auto"/>
        <w:jc w:val="center"/>
        <w:rPr>
          <w:rFonts w:asciiTheme="minorEastAsia" w:hAnsiTheme="minorEastAsia" w:eastAsiaTheme="minorEastAsia"/>
        </w:rPr>
      </w:pPr>
      <w:r>
        <w:rPr>
          <w:rFonts w:hint="eastAsia" w:asciiTheme="minorEastAsia" w:hAnsiTheme="minorEastAsia" w:eastAsiaTheme="minorEastAsia"/>
          <w:sz w:val="24"/>
        </w:rPr>
        <w:t>7-</w:t>
      </w:r>
      <w:r>
        <w:rPr>
          <w:rFonts w:asciiTheme="minorEastAsia" w:hAnsiTheme="minorEastAsia" w:eastAsiaTheme="minorEastAsia"/>
          <w:sz w:val="24"/>
        </w:rPr>
        <w:t>7</w:t>
      </w:r>
      <w:r>
        <w:rPr>
          <w:rFonts w:hint="eastAsia" w:asciiTheme="minorEastAsia" w:hAnsiTheme="minorEastAsia" w:eastAsiaTheme="minorEastAsia"/>
          <w:sz w:val="24"/>
        </w:rPr>
        <w:t>提供经会计师事务所出具的2017年度完整的财务审计报告（须包含资产负债表、利润表、现金流量表及财务报表附注）复印件，并加盖投标人公章。如投标人无法提供2017年度完整的审计报告，</w:t>
      </w:r>
      <w:r>
        <w:rPr>
          <w:rFonts w:asciiTheme="minorEastAsia" w:hAnsiTheme="minorEastAsia" w:eastAsiaTheme="minorEastAsia"/>
          <w:sz w:val="24"/>
        </w:rPr>
        <w:t>则须提供银行出具的资信证明。</w:t>
      </w:r>
    </w:p>
    <w:p>
      <w:pPr>
        <w:spacing w:line="360" w:lineRule="auto"/>
        <w:ind w:left="1559" w:leftChars="228" w:hanging="1080" w:hangingChars="450"/>
        <w:jc w:val="left"/>
        <w:rPr>
          <w:rFonts w:asciiTheme="minorEastAsia" w:hAnsiTheme="minorEastAsia" w:eastAsiaTheme="minorEastAsia"/>
          <w:sz w:val="24"/>
        </w:rPr>
      </w:pPr>
      <w:r>
        <w:rPr>
          <w:rFonts w:asciiTheme="minorEastAsia" w:hAnsiTheme="minorEastAsia" w:eastAsiaTheme="minorEastAsia"/>
          <w:sz w:val="24"/>
        </w:rPr>
        <w:t>说明：1、银行资信证明是指</w:t>
      </w:r>
      <w:r>
        <w:rPr>
          <w:rFonts w:hint="eastAsia" w:asciiTheme="minorEastAsia" w:hAnsiTheme="minorEastAsia" w:eastAsiaTheme="minorEastAsia"/>
          <w:sz w:val="24"/>
        </w:rPr>
        <w:t>供应商</w:t>
      </w:r>
      <w:r>
        <w:rPr>
          <w:rFonts w:asciiTheme="minorEastAsia" w:hAnsiTheme="minorEastAsia" w:eastAsiaTheme="minorEastAsia"/>
          <w:sz w:val="24"/>
        </w:rPr>
        <w:t>参加本次投标截止日前一年内银行出具的资信证明（成立一年内的公司可提交验资证明复印件并加盖本单位公章）,且无收受人和项目的限制，但开具银行有限制规定的除外；</w:t>
      </w:r>
    </w:p>
    <w:p>
      <w:pPr>
        <w:spacing w:line="360" w:lineRule="auto"/>
        <w:ind w:left="1496" w:leftChars="541" w:hanging="360" w:hangingChars="150"/>
        <w:rPr>
          <w:rFonts w:asciiTheme="minorEastAsia" w:hAnsiTheme="minorEastAsia" w:eastAsiaTheme="minorEastAsia"/>
          <w:sz w:val="24"/>
        </w:rPr>
      </w:pPr>
      <w:r>
        <w:rPr>
          <w:rFonts w:asciiTheme="minorEastAsia" w:hAnsiTheme="minorEastAsia" w:eastAsiaTheme="minorEastAsia"/>
          <w:sz w:val="24"/>
        </w:rPr>
        <w:t>2、提供的银行资信证明必须是完整的</w:t>
      </w:r>
      <w:r>
        <w:rPr>
          <w:rFonts w:hint="eastAsia" w:asciiTheme="minorEastAsia" w:hAnsiTheme="minorEastAsia" w:eastAsiaTheme="minorEastAsia"/>
          <w:sz w:val="24"/>
        </w:rPr>
        <w:t>原件</w:t>
      </w:r>
      <w:r>
        <w:rPr>
          <w:rFonts w:asciiTheme="minorEastAsia" w:hAnsiTheme="minorEastAsia" w:eastAsiaTheme="minorEastAsia"/>
          <w:sz w:val="24"/>
        </w:rPr>
        <w:t>（正反面）</w:t>
      </w:r>
      <w:r>
        <w:rPr>
          <w:rFonts w:hint="eastAsia" w:asciiTheme="minorEastAsia" w:hAnsiTheme="minorEastAsia" w:eastAsiaTheme="minorEastAsia"/>
          <w:sz w:val="24"/>
        </w:rPr>
        <w:t xml:space="preserve">复印件无效 </w:t>
      </w:r>
    </w:p>
    <w:p>
      <w:pPr>
        <w:spacing w:line="360" w:lineRule="auto"/>
        <w:ind w:left="777" w:leftChars="370" w:firstLine="360" w:firstLineChars="150"/>
        <w:rPr>
          <w:rFonts w:asciiTheme="minorEastAsia" w:hAnsiTheme="minorEastAsia" w:eastAsiaTheme="minorEastAsia"/>
          <w:sz w:val="24"/>
        </w:rPr>
      </w:pPr>
      <w:r>
        <w:rPr>
          <w:rFonts w:asciiTheme="minorEastAsia" w:hAnsiTheme="minorEastAsia" w:eastAsiaTheme="minorEastAsia"/>
          <w:sz w:val="24"/>
        </w:rPr>
        <w:t xml:space="preserve">3、银行资信证明的开具银行明确规定复印无效的，须提交原件； </w:t>
      </w:r>
    </w:p>
    <w:p>
      <w:pPr>
        <w:spacing w:line="360" w:lineRule="auto"/>
        <w:ind w:left="1496" w:leftChars="541" w:hanging="360" w:hangingChars="150"/>
        <w:rPr>
          <w:rFonts w:asciiTheme="minorEastAsia" w:hAnsiTheme="minorEastAsia" w:eastAsiaTheme="minorEastAsia"/>
          <w:sz w:val="24"/>
        </w:rPr>
      </w:pPr>
      <w:r>
        <w:rPr>
          <w:rFonts w:asciiTheme="minorEastAsia" w:hAnsiTheme="minorEastAsia" w:eastAsiaTheme="minorEastAsia"/>
          <w:sz w:val="24"/>
        </w:rPr>
        <w:t>4、银行资信证明应能说明该</w:t>
      </w:r>
      <w:r>
        <w:rPr>
          <w:rFonts w:hint="eastAsia" w:asciiTheme="minorEastAsia" w:hAnsiTheme="minorEastAsia" w:eastAsiaTheme="minorEastAsia"/>
          <w:sz w:val="24"/>
        </w:rPr>
        <w:t>供应商</w:t>
      </w:r>
      <w:r>
        <w:rPr>
          <w:rFonts w:asciiTheme="minorEastAsia" w:hAnsiTheme="minorEastAsia" w:eastAsiaTheme="minorEastAsia"/>
          <w:sz w:val="24"/>
        </w:rPr>
        <w:t>与银行之间业务往来正常，企业信誉良好等；</w:t>
      </w:r>
    </w:p>
    <w:p>
      <w:pPr>
        <w:spacing w:line="360" w:lineRule="auto"/>
        <w:ind w:left="777" w:leftChars="370" w:firstLine="360" w:firstLineChars="150"/>
        <w:rPr>
          <w:rFonts w:asciiTheme="minorEastAsia" w:hAnsiTheme="minorEastAsia" w:eastAsiaTheme="minorEastAsia"/>
          <w:sz w:val="24"/>
        </w:rPr>
      </w:pPr>
      <w:r>
        <w:rPr>
          <w:rFonts w:asciiTheme="minorEastAsia" w:hAnsiTheme="minorEastAsia" w:eastAsiaTheme="minorEastAsia"/>
          <w:sz w:val="24"/>
        </w:rPr>
        <w:t>5、银行出具的存款证明不能替代银行资信证明，存款证明无效；</w:t>
      </w: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7-8有依法缴纳社会保障资金的良好记录</w:t>
      </w:r>
    </w:p>
    <w:p>
      <w:pPr>
        <w:spacing w:line="360" w:lineRule="auto"/>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供应商</w:t>
      </w:r>
      <w:r>
        <w:rPr>
          <w:rFonts w:asciiTheme="minorEastAsia" w:hAnsiTheme="minorEastAsia" w:eastAsiaTheme="minorEastAsia"/>
          <w:sz w:val="24"/>
        </w:rPr>
        <w:t>逐月交纳社会保障资金的，须提供参加本次政府采购活动</w:t>
      </w:r>
      <w:r>
        <w:rPr>
          <w:rFonts w:hint="eastAsia" w:asciiTheme="minorEastAsia" w:hAnsiTheme="minorEastAsia" w:eastAsiaTheme="minorEastAsia"/>
          <w:sz w:val="24"/>
        </w:rPr>
        <w:t>近三个月</w:t>
      </w:r>
      <w:r>
        <w:rPr>
          <w:rFonts w:asciiTheme="minorEastAsia" w:hAnsiTheme="minorEastAsia" w:eastAsiaTheme="minorEastAsia"/>
          <w:sz w:val="24"/>
        </w:rPr>
        <w:t>的缴纳社会保障资金的入账票据凭证复印件；</w:t>
      </w:r>
      <w:r>
        <w:rPr>
          <w:rFonts w:hint="eastAsia" w:asciiTheme="minorEastAsia" w:hAnsiTheme="minorEastAsia" w:eastAsiaTheme="minorEastAsia"/>
          <w:sz w:val="24"/>
        </w:rPr>
        <w:t>供应商</w:t>
      </w:r>
      <w:r>
        <w:rPr>
          <w:rFonts w:asciiTheme="minorEastAsia" w:hAnsiTheme="minorEastAsia" w:eastAsiaTheme="minorEastAsia"/>
          <w:sz w:val="24"/>
        </w:rPr>
        <w:t>逐年交纳社会保障资金的，须提供参加本次政府采购活动上年度缴纳社会保障资金的入账票据凭证复印件。缴纳社会保障资金的入账票据凭证复印件须加盖本单位公章。）</w:t>
      </w: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7-9</w:t>
      </w:r>
      <w:r>
        <w:rPr>
          <w:rFonts w:hint="eastAsia" w:asciiTheme="minorEastAsia" w:hAnsiTheme="minorEastAsia" w:eastAsiaTheme="minorEastAsia"/>
          <w:sz w:val="24"/>
        </w:rPr>
        <w:t>近三个月</w:t>
      </w:r>
      <w:r>
        <w:rPr>
          <w:rFonts w:asciiTheme="minorEastAsia" w:hAnsiTheme="minorEastAsia" w:eastAsiaTheme="minorEastAsia"/>
          <w:sz w:val="24"/>
        </w:rPr>
        <w:t>的依法缴纳税收的的入账票据凭证复印件（须加盖本单位公章）</w:t>
      </w: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7-10参加本次政府采购活动前三年内，在经营活动中没有重大违法记录的声明（</w:t>
      </w:r>
      <w:r>
        <w:rPr>
          <w:rFonts w:hint="eastAsia" w:asciiTheme="minorEastAsia" w:hAnsiTheme="minorEastAsia" w:eastAsiaTheme="minorEastAsia"/>
          <w:sz w:val="24"/>
        </w:rPr>
        <w:t>供应商</w:t>
      </w:r>
      <w:r>
        <w:rPr>
          <w:rFonts w:asciiTheme="minorEastAsia" w:hAnsiTheme="minorEastAsia" w:eastAsiaTheme="minorEastAsia"/>
          <w:sz w:val="24"/>
        </w:rPr>
        <w:t>须提供此声明，法定代表人或法人授权代表签字，须加盖本单位公章）</w:t>
      </w:r>
    </w:p>
    <w:p>
      <w:pPr>
        <w:autoSpaceDE w:val="0"/>
        <w:autoSpaceDN w:val="0"/>
        <w:adjustRightInd w:val="0"/>
        <w:spacing w:line="360" w:lineRule="auto"/>
        <w:jc w:val="left"/>
        <w:rPr>
          <w:rFonts w:asciiTheme="minorEastAsia" w:hAnsiTheme="minorEastAsia" w:eastAsiaTheme="minorEastAsia"/>
          <w:kern w:val="0"/>
          <w:sz w:val="24"/>
          <w:szCs w:val="20"/>
        </w:rPr>
      </w:pPr>
    </w:p>
    <w:p>
      <w:pPr>
        <w:autoSpaceDE w:val="0"/>
        <w:autoSpaceDN w:val="0"/>
        <w:adjustRightInd w:val="0"/>
        <w:spacing w:line="360" w:lineRule="auto"/>
        <w:jc w:val="left"/>
        <w:rPr>
          <w:rFonts w:asciiTheme="minorEastAsia" w:hAnsiTheme="minorEastAsia" w:eastAsiaTheme="minorEastAsia"/>
          <w:b/>
          <w:kern w:val="0"/>
          <w:sz w:val="24"/>
          <w:szCs w:val="20"/>
        </w:rPr>
      </w:pPr>
      <w:r>
        <w:rPr>
          <w:rFonts w:asciiTheme="minorEastAsia" w:hAnsiTheme="minorEastAsia" w:eastAsiaTheme="minorEastAsia"/>
          <w:b/>
          <w:kern w:val="0"/>
          <w:sz w:val="24"/>
          <w:szCs w:val="20"/>
        </w:rPr>
        <w:t>致：</w:t>
      </w:r>
    </w:p>
    <w:p>
      <w:pPr>
        <w:autoSpaceDE w:val="0"/>
        <w:autoSpaceDN w:val="0"/>
        <w:adjustRightInd w:val="0"/>
        <w:spacing w:line="360" w:lineRule="auto"/>
        <w:jc w:val="left"/>
        <w:rPr>
          <w:rFonts w:asciiTheme="minorEastAsia" w:hAnsiTheme="minorEastAsia" w:eastAsiaTheme="minorEastAsia"/>
          <w:kern w:val="0"/>
          <w:sz w:val="24"/>
          <w:szCs w:val="20"/>
        </w:rPr>
      </w:pPr>
    </w:p>
    <w:p>
      <w:pPr>
        <w:autoSpaceDE w:val="0"/>
        <w:autoSpaceDN w:val="0"/>
        <w:adjustRightInd w:val="0"/>
        <w:spacing w:line="360" w:lineRule="auto"/>
        <w:ind w:firstLine="480" w:firstLineChars="200"/>
        <w:jc w:val="left"/>
        <w:rPr>
          <w:rFonts w:asciiTheme="minorEastAsia" w:hAnsiTheme="minorEastAsia" w:eastAsiaTheme="minorEastAsia"/>
          <w:kern w:val="0"/>
          <w:sz w:val="24"/>
          <w:szCs w:val="20"/>
        </w:rPr>
      </w:pPr>
      <w:r>
        <w:rPr>
          <w:rFonts w:asciiTheme="minorEastAsia" w:hAnsiTheme="minorEastAsia" w:eastAsiaTheme="minorEastAsia"/>
          <w:kern w:val="0"/>
          <w:sz w:val="24"/>
          <w:szCs w:val="20"/>
        </w:rPr>
        <w:t>我公司在参加本次采购活动前三年内，在经营活动中没有重大违法记录。</w:t>
      </w:r>
    </w:p>
    <w:p>
      <w:pPr>
        <w:autoSpaceDE w:val="0"/>
        <w:autoSpaceDN w:val="0"/>
        <w:adjustRightInd w:val="0"/>
        <w:spacing w:line="360" w:lineRule="auto"/>
        <w:ind w:firstLine="480" w:firstLineChars="200"/>
        <w:jc w:val="left"/>
        <w:rPr>
          <w:rFonts w:asciiTheme="minorEastAsia" w:hAnsiTheme="minorEastAsia" w:eastAsiaTheme="minorEastAsia"/>
          <w:kern w:val="0"/>
          <w:sz w:val="24"/>
          <w:szCs w:val="20"/>
        </w:rPr>
      </w:pPr>
    </w:p>
    <w:p>
      <w:pPr>
        <w:autoSpaceDE w:val="0"/>
        <w:autoSpaceDN w:val="0"/>
        <w:adjustRightInd w:val="0"/>
        <w:spacing w:line="360" w:lineRule="auto"/>
        <w:ind w:firstLine="480" w:firstLineChars="200"/>
        <w:jc w:val="left"/>
        <w:rPr>
          <w:rFonts w:asciiTheme="minorEastAsia" w:hAnsiTheme="minorEastAsia" w:eastAsiaTheme="minorEastAsia"/>
          <w:kern w:val="0"/>
          <w:sz w:val="24"/>
          <w:szCs w:val="20"/>
        </w:rPr>
      </w:pPr>
      <w:r>
        <w:rPr>
          <w:rFonts w:asciiTheme="minorEastAsia" w:hAnsiTheme="minorEastAsia" w:eastAsiaTheme="minorEastAsia"/>
          <w:kern w:val="0"/>
          <w:sz w:val="24"/>
          <w:szCs w:val="20"/>
        </w:rPr>
        <w:t>特此声明。</w:t>
      </w:r>
    </w:p>
    <w:p>
      <w:pPr>
        <w:autoSpaceDE w:val="0"/>
        <w:autoSpaceDN w:val="0"/>
        <w:adjustRightInd w:val="0"/>
        <w:spacing w:line="360" w:lineRule="auto"/>
        <w:ind w:firstLine="560" w:firstLineChars="200"/>
        <w:jc w:val="left"/>
        <w:rPr>
          <w:rFonts w:asciiTheme="minorEastAsia" w:hAnsiTheme="minorEastAsia" w:eastAsiaTheme="minorEastAsia"/>
          <w:kern w:val="0"/>
          <w:sz w:val="28"/>
          <w:szCs w:val="20"/>
        </w:rPr>
      </w:pPr>
    </w:p>
    <w:p>
      <w:pPr>
        <w:autoSpaceDE w:val="0"/>
        <w:autoSpaceDN w:val="0"/>
        <w:adjustRightInd w:val="0"/>
        <w:spacing w:line="360" w:lineRule="auto"/>
        <w:ind w:firstLine="560" w:firstLineChars="200"/>
        <w:jc w:val="left"/>
        <w:rPr>
          <w:rFonts w:asciiTheme="minorEastAsia" w:hAnsiTheme="minorEastAsia" w:eastAsiaTheme="minorEastAsia"/>
          <w:kern w:val="0"/>
          <w:sz w:val="28"/>
          <w:szCs w:val="20"/>
        </w:rPr>
      </w:pPr>
    </w:p>
    <w:p>
      <w:pPr>
        <w:autoSpaceDE w:val="0"/>
        <w:autoSpaceDN w:val="0"/>
        <w:adjustRightInd w:val="0"/>
        <w:spacing w:line="360" w:lineRule="auto"/>
        <w:ind w:left="567" w:leftChars="270"/>
        <w:jc w:val="left"/>
        <w:rPr>
          <w:rFonts w:asciiTheme="minorEastAsia" w:hAnsiTheme="minorEastAsia" w:eastAsiaTheme="minorEastAsia"/>
          <w:kern w:val="0"/>
          <w:sz w:val="28"/>
          <w:szCs w:val="20"/>
        </w:rPr>
      </w:pPr>
    </w:p>
    <w:p>
      <w:pPr>
        <w:wordWrap w:val="0"/>
        <w:autoSpaceDE w:val="0"/>
        <w:autoSpaceDN w:val="0"/>
        <w:adjustRightInd w:val="0"/>
        <w:spacing w:line="360" w:lineRule="auto"/>
        <w:jc w:val="right"/>
        <w:rPr>
          <w:rFonts w:asciiTheme="minorEastAsia" w:hAnsiTheme="minorEastAsia" w:eastAsiaTheme="minorEastAsia"/>
          <w:kern w:val="0"/>
          <w:sz w:val="24"/>
        </w:rPr>
      </w:pPr>
      <w:r>
        <w:rPr>
          <w:rFonts w:asciiTheme="minorEastAsia" w:hAnsiTheme="minorEastAsia" w:eastAsiaTheme="minorEastAsia"/>
          <w:kern w:val="0"/>
          <w:sz w:val="24"/>
        </w:rPr>
        <w:t>法定代表人或法人授权代表签字：</w:t>
      </w:r>
      <w:r>
        <w:rPr>
          <w:rFonts w:hint="eastAsia" w:asciiTheme="minorEastAsia" w:hAnsiTheme="minorEastAsia" w:eastAsiaTheme="minorEastAsia"/>
          <w:kern w:val="0"/>
          <w:sz w:val="24"/>
        </w:rPr>
        <w:t xml:space="preserve">       </w:t>
      </w:r>
    </w:p>
    <w:p>
      <w:pPr>
        <w:autoSpaceDE w:val="0"/>
        <w:autoSpaceDN w:val="0"/>
        <w:adjustRightInd w:val="0"/>
        <w:spacing w:line="360" w:lineRule="auto"/>
        <w:jc w:val="right"/>
        <w:rPr>
          <w:rFonts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asciiTheme="minorEastAsia" w:hAnsiTheme="minorEastAsia" w:eastAsiaTheme="minorEastAsia"/>
          <w:kern w:val="0"/>
          <w:sz w:val="24"/>
        </w:rPr>
      </w:pPr>
    </w:p>
    <w:p>
      <w:pPr>
        <w:wordWrap w:val="0"/>
        <w:autoSpaceDE w:val="0"/>
        <w:autoSpaceDN w:val="0"/>
        <w:adjustRightInd w:val="0"/>
        <w:spacing w:line="360" w:lineRule="auto"/>
        <w:ind w:firstLine="480" w:firstLineChars="200"/>
        <w:jc w:val="right"/>
        <w:rPr>
          <w:rFonts w:asciiTheme="minorEastAsia" w:hAnsiTheme="minorEastAsia" w:eastAsiaTheme="minorEastAsia"/>
          <w:kern w:val="0"/>
          <w:sz w:val="24"/>
        </w:rPr>
      </w:pPr>
      <w:r>
        <w:rPr>
          <w:rFonts w:hint="eastAsia" w:asciiTheme="minorEastAsia" w:hAnsiTheme="minorEastAsia" w:eastAsiaTheme="minorEastAsia"/>
          <w:kern w:val="0"/>
          <w:sz w:val="24"/>
        </w:rPr>
        <w:t>供应商</w:t>
      </w:r>
      <w:r>
        <w:rPr>
          <w:rFonts w:asciiTheme="minorEastAsia" w:hAnsiTheme="minorEastAsia" w:eastAsiaTheme="minorEastAsia"/>
          <w:kern w:val="0"/>
          <w:sz w:val="24"/>
        </w:rPr>
        <w:t>公章：</w:t>
      </w:r>
      <w:r>
        <w:rPr>
          <w:rFonts w:hint="eastAsia" w:asciiTheme="minorEastAsia" w:hAnsiTheme="minorEastAsia" w:eastAsiaTheme="minorEastAsia"/>
          <w:kern w:val="0"/>
          <w:sz w:val="24"/>
        </w:rPr>
        <w:t xml:space="preserve">              </w:t>
      </w:r>
    </w:p>
    <w:p>
      <w:pPr>
        <w:autoSpaceDE w:val="0"/>
        <w:autoSpaceDN w:val="0"/>
        <w:adjustRightInd w:val="0"/>
        <w:spacing w:line="360" w:lineRule="auto"/>
        <w:ind w:firstLine="480" w:firstLineChars="200"/>
        <w:jc w:val="right"/>
        <w:rPr>
          <w:rFonts w:asciiTheme="minorEastAsia" w:hAnsiTheme="minorEastAsia" w:eastAsiaTheme="minorEastAsia"/>
          <w:kern w:val="0"/>
          <w:sz w:val="24"/>
        </w:rPr>
      </w:pPr>
    </w:p>
    <w:p>
      <w:pPr>
        <w:autoSpaceDE w:val="0"/>
        <w:autoSpaceDN w:val="0"/>
        <w:adjustRightInd w:val="0"/>
        <w:spacing w:line="360" w:lineRule="auto"/>
        <w:jc w:val="left"/>
        <w:rPr>
          <w:rFonts w:asciiTheme="minorEastAsia" w:hAnsiTheme="minorEastAsia" w:eastAsiaTheme="minorEastAsia"/>
          <w:kern w:val="0"/>
          <w:sz w:val="24"/>
        </w:rPr>
      </w:pPr>
    </w:p>
    <w:p>
      <w:pPr>
        <w:wordWrap w:val="0"/>
        <w:autoSpaceDE w:val="0"/>
        <w:autoSpaceDN w:val="0"/>
        <w:adjustRightInd w:val="0"/>
        <w:spacing w:line="360" w:lineRule="auto"/>
        <w:jc w:val="right"/>
        <w:rPr>
          <w:rFonts w:asciiTheme="minorEastAsia" w:hAnsiTheme="minorEastAsia" w:eastAsiaTheme="minorEastAsia"/>
          <w:kern w:val="0"/>
          <w:sz w:val="24"/>
        </w:rPr>
      </w:pPr>
      <w:r>
        <w:rPr>
          <w:rFonts w:asciiTheme="minorEastAsia" w:hAnsiTheme="minorEastAsia" w:eastAsiaTheme="minorEastAsia"/>
          <w:kern w:val="0"/>
          <w:sz w:val="24"/>
        </w:rPr>
        <w:t>年    月    日</w:t>
      </w:r>
      <w:r>
        <w:rPr>
          <w:rFonts w:hint="eastAsia" w:asciiTheme="minorEastAsia" w:hAnsiTheme="minorEastAsia" w:eastAsiaTheme="minorEastAsia"/>
          <w:kern w:val="0"/>
          <w:sz w:val="24"/>
        </w:rPr>
        <w:t xml:space="preserve">  </w:t>
      </w:r>
    </w:p>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 </w:t>
      </w:r>
    </w:p>
    <w:p>
      <w:pPr>
        <w:spacing w:line="360" w:lineRule="auto"/>
        <w:rPr>
          <w:rFonts w:asciiTheme="minorEastAsia" w:hAnsiTheme="minorEastAsia" w:eastAsiaTheme="minorEastAsia"/>
          <w:sz w:val="24"/>
        </w:rPr>
      </w:pPr>
      <w:r>
        <w:rPr>
          <w:rFonts w:asciiTheme="minorEastAsia" w:hAnsiTheme="minorEastAsia" w:eastAsiaTheme="minorEastAsia"/>
          <w:sz w:val="24"/>
        </w:rPr>
        <w:br w:type="page"/>
      </w:r>
      <w:r>
        <w:rPr>
          <w:rFonts w:hint="eastAsia" w:asciiTheme="minorEastAsia" w:hAnsiTheme="minorEastAsia" w:eastAsiaTheme="minorEastAsia"/>
          <w:sz w:val="24"/>
        </w:rPr>
        <w:t>7-</w:t>
      </w:r>
      <w:r>
        <w:rPr>
          <w:rFonts w:asciiTheme="minorEastAsia" w:hAnsiTheme="minorEastAsia" w:eastAsiaTheme="minorEastAsia"/>
          <w:sz w:val="24"/>
        </w:rPr>
        <w:t>11投标人应提供在信用中国网站（www.creditchina.gov.cn）“信用信息”、中国政府采购网（www.ccgp.gov.cn）“政府采购严重违法失信行为信息记录”信用记录查询结果打印页面并加盖公章</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rPr>
      </w:pPr>
      <w:r>
        <w:rPr>
          <w:rFonts w:hint="eastAsia" w:asciiTheme="minorEastAsia" w:hAnsiTheme="minorEastAsia" w:eastAsiaTheme="minorEastAsia"/>
          <w:sz w:val="24"/>
        </w:rPr>
        <w:t>7-</w:t>
      </w:r>
      <w:r>
        <w:rPr>
          <w:rFonts w:asciiTheme="minorEastAsia" w:hAnsiTheme="minorEastAsia" w:eastAsiaTheme="minorEastAsia"/>
          <w:sz w:val="24"/>
        </w:rPr>
        <w:t>12</w:t>
      </w:r>
      <w:r>
        <w:rPr>
          <w:rFonts w:hint="eastAsia" w:asciiTheme="minorEastAsia" w:hAnsiTheme="minorEastAsia" w:eastAsiaTheme="minorEastAsia"/>
          <w:sz w:val="24"/>
        </w:rPr>
        <w:t>供应商</w:t>
      </w:r>
      <w:r>
        <w:rPr>
          <w:rFonts w:asciiTheme="minorEastAsia" w:hAnsiTheme="minorEastAsia" w:eastAsiaTheme="minorEastAsia"/>
          <w:sz w:val="24"/>
        </w:rPr>
        <w:t>认为必要的其他资格证明文件复印件（须加盖本单位公章）。</w:t>
      </w:r>
    </w:p>
    <w:p>
      <w:pPr>
        <w:widowControl/>
        <w:spacing w:line="360" w:lineRule="auto"/>
        <w:jc w:val="left"/>
        <w:rPr>
          <w:rFonts w:asciiTheme="minorEastAsia" w:hAnsiTheme="minorEastAsia" w:eastAsiaTheme="minorEastAsia"/>
          <w:sz w:val="24"/>
        </w:rPr>
      </w:pPr>
      <w:bookmarkStart w:id="378" w:name="_Toc497235049"/>
      <w:r>
        <w:rPr>
          <w:rFonts w:asciiTheme="minorEastAsia" w:hAnsiTheme="minorEastAsia" w:eastAsiaTheme="minorEastAsia"/>
          <w:sz w:val="24"/>
        </w:rPr>
        <w:br w:type="page"/>
      </w:r>
    </w:p>
    <w:p>
      <w:pPr>
        <w:spacing w:line="360" w:lineRule="auto"/>
        <w:rPr>
          <w:rFonts w:asciiTheme="minorEastAsia" w:hAnsiTheme="minorEastAsia" w:eastAsiaTheme="minorEastAsia"/>
          <w:sz w:val="28"/>
          <w:szCs w:val="28"/>
        </w:rPr>
      </w:pPr>
    </w:p>
    <w:p>
      <w:pPr>
        <w:pStyle w:val="5"/>
        <w:spacing w:before="0" w:line="360" w:lineRule="auto"/>
        <w:ind w:left="899" w:hanging="899"/>
        <w:jc w:val="center"/>
        <w:rPr>
          <w:rFonts w:asciiTheme="minorEastAsia" w:hAnsiTheme="minorEastAsia" w:eastAsiaTheme="minorEastAsia"/>
          <w:sz w:val="28"/>
          <w:szCs w:val="28"/>
        </w:rPr>
      </w:pPr>
      <w:bookmarkStart w:id="379" w:name="_Toc514926461"/>
      <w:bookmarkStart w:id="380" w:name="_Toc529435093"/>
      <w:r>
        <w:rPr>
          <w:rFonts w:asciiTheme="minorEastAsia" w:hAnsiTheme="minorEastAsia" w:eastAsiaTheme="minorEastAsia"/>
          <w:sz w:val="28"/>
          <w:szCs w:val="28"/>
        </w:rPr>
        <w:t>8 业绩案例一览表</w:t>
      </w:r>
      <w:bookmarkEnd w:id="378"/>
      <w:bookmarkEnd w:id="379"/>
      <w:bookmarkEnd w:id="380"/>
    </w:p>
    <w:tbl>
      <w:tblPr>
        <w:tblStyle w:val="50"/>
        <w:tblW w:w="92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序号</w:t>
            </w:r>
          </w:p>
        </w:tc>
        <w:tc>
          <w:tcPr>
            <w:tcW w:w="198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项目名称</w:t>
            </w:r>
          </w:p>
        </w:tc>
        <w:tc>
          <w:tcPr>
            <w:tcW w:w="126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用户名称</w:t>
            </w:r>
          </w:p>
        </w:tc>
        <w:tc>
          <w:tcPr>
            <w:tcW w:w="126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合同金额</w:t>
            </w:r>
          </w:p>
        </w:tc>
        <w:tc>
          <w:tcPr>
            <w:tcW w:w="144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用户联系人</w:t>
            </w:r>
          </w:p>
        </w:tc>
        <w:tc>
          <w:tcPr>
            <w:tcW w:w="1778"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用户联系电话</w:t>
            </w:r>
          </w:p>
        </w:tc>
        <w:tc>
          <w:tcPr>
            <w:tcW w:w="72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bl>
    <w:p>
      <w:pPr>
        <w:tabs>
          <w:tab w:val="left" w:pos="5580"/>
        </w:tabs>
        <w:spacing w:before="360" w:line="360" w:lineRule="auto"/>
        <w:ind w:left="1232" w:leftChars="300" w:hanging="602" w:hangingChars="250"/>
        <w:rPr>
          <w:rFonts w:asciiTheme="minorEastAsia" w:hAnsiTheme="minorEastAsia" w:eastAsiaTheme="minorEastAsia"/>
          <w:sz w:val="24"/>
        </w:rPr>
      </w:pPr>
      <w:r>
        <w:rPr>
          <w:rFonts w:hint="eastAsia" w:asciiTheme="minorEastAsia" w:hAnsiTheme="minorEastAsia" w:eastAsiaTheme="minorEastAsia"/>
          <w:b/>
          <w:kern w:val="0"/>
          <w:sz w:val="24"/>
          <w:szCs w:val="20"/>
        </w:rPr>
        <w:t>注：</w:t>
      </w:r>
      <w:r>
        <w:rPr>
          <w:rFonts w:hint="eastAsia" w:asciiTheme="minorEastAsia" w:hAnsiTheme="minorEastAsia" w:eastAsiaTheme="minorEastAsia"/>
          <w:b/>
          <w:sz w:val="24"/>
        </w:rPr>
        <w:t>（所提供合同必须包括合同首页、金额所在页、签字盖章页，评委保留对上述资料原件审核的权力）。</w:t>
      </w: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sectPr>
          <w:footerReference r:id="rId12" w:type="first"/>
          <w:footerReference r:id="rId10" w:type="default"/>
          <w:footerReference r:id="rId11" w:type="even"/>
          <w:pgSz w:w="11907" w:h="16840"/>
          <w:pgMar w:top="1089" w:right="1418" w:bottom="1400" w:left="1418" w:header="851" w:footer="992" w:gutter="0"/>
          <w:cols w:space="720" w:num="1"/>
          <w:docGrid w:linePitch="312" w:charSpace="0"/>
        </w:sectPr>
      </w:pPr>
    </w:p>
    <w:p>
      <w:pPr>
        <w:pStyle w:val="5"/>
        <w:spacing w:line="360" w:lineRule="auto"/>
        <w:ind w:left="899" w:hanging="899"/>
        <w:jc w:val="center"/>
        <w:rPr>
          <w:rFonts w:asciiTheme="minorEastAsia" w:hAnsiTheme="minorEastAsia" w:eastAsiaTheme="minorEastAsia"/>
          <w:b w:val="0"/>
          <w:sz w:val="30"/>
          <w:szCs w:val="30"/>
        </w:rPr>
      </w:pPr>
      <w:bookmarkStart w:id="381" w:name="_Toc529435094"/>
      <w:bookmarkStart w:id="382" w:name="_Toc514926462"/>
      <w:bookmarkStart w:id="383" w:name="_Toc497235050"/>
      <w:r>
        <w:rPr>
          <w:rFonts w:asciiTheme="minorEastAsia" w:hAnsiTheme="minorEastAsia" w:eastAsiaTheme="minorEastAsia"/>
          <w:sz w:val="30"/>
          <w:szCs w:val="30"/>
        </w:rPr>
        <w:t>9 供应商基本情况表</w:t>
      </w:r>
      <w:bookmarkEnd w:id="381"/>
      <w:bookmarkEnd w:id="382"/>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供应商名称：（公章）                                                               填表日期：</w:t>
      </w:r>
    </w:p>
    <w:tbl>
      <w:tblPr>
        <w:tblStyle w:val="50"/>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地  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p>
          <w:p>
            <w:pPr>
              <w:spacing w:line="360" w:lineRule="auto"/>
              <w:ind w:left="1080" w:hanging="1080" w:hangingChars="450"/>
              <w:rPr>
                <w:rFonts w:asciiTheme="minorEastAsia" w:hAnsiTheme="minorEastAsia" w:eastAsiaTheme="minorEastAsia"/>
                <w:sz w:val="24"/>
              </w:rPr>
            </w:pPr>
            <w:r>
              <w:rPr>
                <w:rFonts w:hint="eastAsia" w:asciiTheme="minorEastAsia" w:hAnsiTheme="minorEastAsia" w:eastAsiaTheme="minorEastAsia"/>
                <w:sz w:val="24"/>
              </w:rPr>
              <w:t xml:space="preserve">           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生产工人       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万   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万   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自有资金</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银行贷款</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原值   万元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净值   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    </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非生产性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占地面积</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房屋建筑面积        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厂房建筑面积        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bl>
    <w:p>
      <w:pPr>
        <w:pStyle w:val="4"/>
        <w:spacing w:line="360" w:lineRule="auto"/>
        <w:rPr>
          <w:rFonts w:asciiTheme="minorEastAsia" w:hAnsiTheme="minorEastAsia" w:eastAsiaTheme="minorEastAsia"/>
        </w:rPr>
        <w:sectPr>
          <w:pgSz w:w="16840" w:h="11907" w:orient="landscape"/>
          <w:pgMar w:top="1418" w:right="1089" w:bottom="1418" w:left="1400" w:header="851" w:footer="992" w:gutter="0"/>
          <w:cols w:space="720" w:num="1"/>
          <w:docGrid w:linePitch="312" w:charSpace="0"/>
        </w:sectPr>
      </w:pPr>
    </w:p>
    <w:p>
      <w:pPr>
        <w:pStyle w:val="4"/>
        <w:spacing w:line="360" w:lineRule="auto"/>
        <w:ind w:firstLine="0"/>
        <w:rPr>
          <w:rFonts w:asciiTheme="minorEastAsia" w:hAnsiTheme="minorEastAsia" w:eastAsiaTheme="minorEastAsia"/>
        </w:rPr>
      </w:pPr>
    </w:p>
    <w:p>
      <w:pPr>
        <w:pStyle w:val="5"/>
        <w:spacing w:line="360" w:lineRule="auto"/>
        <w:ind w:left="899" w:hanging="899"/>
        <w:jc w:val="center"/>
        <w:rPr>
          <w:rFonts w:asciiTheme="minorEastAsia" w:hAnsiTheme="minorEastAsia" w:eastAsiaTheme="minorEastAsia"/>
          <w:b w:val="0"/>
          <w:sz w:val="30"/>
          <w:szCs w:val="30"/>
        </w:rPr>
      </w:pPr>
      <w:bookmarkStart w:id="384" w:name="_Toc529435095"/>
      <w:bookmarkStart w:id="385" w:name="_Toc514926463"/>
      <w:r>
        <w:rPr>
          <w:rFonts w:asciiTheme="minorEastAsia" w:hAnsiTheme="minorEastAsia" w:eastAsiaTheme="minorEastAsia"/>
          <w:sz w:val="30"/>
          <w:szCs w:val="30"/>
        </w:rPr>
        <w:t>10 拟用于本项目人员资格和经历情况（如适用）</w:t>
      </w:r>
      <w:bookmarkEnd w:id="384"/>
      <w:bookmarkEnd w:id="385"/>
      <w:r>
        <w:rPr>
          <w:rFonts w:asciiTheme="minorEastAsia" w:hAnsiTheme="minorEastAsia" w:eastAsiaTheme="minorEastAsia"/>
          <w:sz w:val="30"/>
          <w:szCs w:val="30"/>
        </w:rPr>
        <w:t xml:space="preserve"> </w:t>
      </w:r>
    </w:p>
    <w:p>
      <w:pPr>
        <w:pStyle w:val="4"/>
        <w:spacing w:line="360" w:lineRule="auto"/>
        <w:rPr>
          <w:rFonts w:asciiTheme="minorEastAsia" w:hAnsiTheme="minorEastAsia" w:eastAsiaTheme="minorEastAsia"/>
        </w:rPr>
        <w:sectPr>
          <w:pgSz w:w="11907" w:h="16840"/>
          <w:pgMar w:top="1089" w:right="1418" w:bottom="1400" w:left="1418" w:header="851" w:footer="992" w:gutter="0"/>
          <w:cols w:space="720" w:num="1"/>
          <w:docGrid w:linePitch="312" w:charSpace="0"/>
        </w:sectPr>
      </w:pPr>
    </w:p>
    <w:p>
      <w:pPr>
        <w:pStyle w:val="4"/>
        <w:spacing w:line="360" w:lineRule="auto"/>
        <w:rPr>
          <w:rFonts w:asciiTheme="minorEastAsia" w:hAnsiTheme="minorEastAsia" w:eastAsiaTheme="minorEastAsia"/>
        </w:rPr>
      </w:pPr>
    </w:p>
    <w:p>
      <w:pPr>
        <w:pStyle w:val="5"/>
        <w:spacing w:line="360" w:lineRule="auto"/>
        <w:ind w:left="899" w:hanging="899"/>
        <w:jc w:val="center"/>
        <w:rPr>
          <w:rFonts w:asciiTheme="minorEastAsia" w:hAnsiTheme="minorEastAsia" w:eastAsiaTheme="minorEastAsia"/>
          <w:sz w:val="30"/>
          <w:szCs w:val="30"/>
        </w:rPr>
        <w:sectPr>
          <w:pgSz w:w="11907" w:h="16840"/>
          <w:pgMar w:top="1089" w:right="1418" w:bottom="1400" w:left="1418" w:header="851" w:footer="992" w:gutter="0"/>
          <w:cols w:space="720" w:num="1"/>
          <w:docGrid w:linePitch="312" w:charSpace="0"/>
        </w:sectPr>
      </w:pPr>
      <w:bookmarkStart w:id="386" w:name="_Toc529435096"/>
      <w:bookmarkStart w:id="387" w:name="_Toc514926464"/>
      <w:r>
        <w:rPr>
          <w:rFonts w:asciiTheme="minorEastAsia" w:hAnsiTheme="minorEastAsia" w:eastAsiaTheme="minorEastAsia"/>
          <w:sz w:val="30"/>
          <w:szCs w:val="30"/>
        </w:rPr>
        <w:t>11 技术方案</w:t>
      </w:r>
      <w:bookmarkEnd w:id="386"/>
      <w:bookmarkEnd w:id="387"/>
    </w:p>
    <w:p>
      <w:pPr>
        <w:pStyle w:val="5"/>
        <w:spacing w:line="360" w:lineRule="auto"/>
        <w:ind w:left="899" w:hanging="899"/>
        <w:jc w:val="center"/>
        <w:rPr>
          <w:rFonts w:asciiTheme="minorEastAsia" w:hAnsiTheme="minorEastAsia" w:eastAsiaTheme="minorEastAsia"/>
          <w:sz w:val="30"/>
          <w:szCs w:val="30"/>
        </w:rPr>
        <w:sectPr>
          <w:pgSz w:w="11907" w:h="16840"/>
          <w:pgMar w:top="1089" w:right="1418" w:bottom="1400" w:left="1418" w:header="851" w:footer="992" w:gutter="0"/>
          <w:cols w:space="720" w:num="1"/>
          <w:docGrid w:linePitch="312" w:charSpace="0"/>
        </w:sectPr>
      </w:pPr>
      <w:bookmarkStart w:id="388" w:name="_Toc529435097"/>
      <w:bookmarkStart w:id="389" w:name="_Toc514926465"/>
      <w:r>
        <w:rPr>
          <w:rFonts w:asciiTheme="minorEastAsia" w:hAnsiTheme="minorEastAsia" w:eastAsiaTheme="minorEastAsia"/>
          <w:sz w:val="30"/>
          <w:szCs w:val="30"/>
        </w:rPr>
        <w:t>12 售后服务及培训计划以</w:t>
      </w:r>
      <w:bookmarkEnd w:id="388"/>
      <w:bookmarkEnd w:id="389"/>
    </w:p>
    <w:p>
      <w:pPr>
        <w:pStyle w:val="5"/>
        <w:spacing w:line="360" w:lineRule="auto"/>
        <w:ind w:left="899" w:hanging="899"/>
        <w:jc w:val="center"/>
        <w:rPr>
          <w:rFonts w:asciiTheme="minorEastAsia" w:hAnsiTheme="minorEastAsia" w:eastAsiaTheme="minorEastAsia"/>
          <w:sz w:val="30"/>
          <w:szCs w:val="30"/>
        </w:rPr>
      </w:pPr>
      <w:bookmarkStart w:id="390" w:name="_Toc529435098"/>
      <w:bookmarkStart w:id="391" w:name="_Toc514926466"/>
      <w:r>
        <w:rPr>
          <w:rFonts w:asciiTheme="minorEastAsia" w:hAnsiTheme="minorEastAsia" w:eastAsiaTheme="minorEastAsia"/>
          <w:sz w:val="30"/>
          <w:szCs w:val="30"/>
        </w:rPr>
        <w:t>1</w:t>
      </w:r>
      <w:bookmarkEnd w:id="383"/>
      <w:r>
        <w:rPr>
          <w:rFonts w:asciiTheme="minorEastAsia" w:hAnsiTheme="minorEastAsia" w:eastAsiaTheme="minorEastAsia"/>
          <w:sz w:val="30"/>
          <w:szCs w:val="30"/>
        </w:rPr>
        <w:t>3</w:t>
      </w:r>
      <w:r>
        <w:rPr>
          <w:rFonts w:hint="eastAsia" w:asciiTheme="minorEastAsia" w:hAnsiTheme="minorEastAsia" w:eastAsiaTheme="minorEastAsia"/>
          <w:sz w:val="30"/>
          <w:szCs w:val="30"/>
        </w:rPr>
        <w:t xml:space="preserve"> </w:t>
      </w:r>
      <w:r>
        <w:rPr>
          <w:rFonts w:asciiTheme="minorEastAsia" w:hAnsiTheme="minorEastAsia" w:eastAsiaTheme="minorEastAsia"/>
          <w:sz w:val="30"/>
          <w:szCs w:val="30"/>
        </w:rPr>
        <w:t>投标保证金</w:t>
      </w:r>
      <w:bookmarkEnd w:id="390"/>
    </w:p>
    <w:p>
      <w:pPr>
        <w:spacing w:line="360" w:lineRule="auto"/>
        <w:jc w:val="center"/>
        <w:rPr>
          <w:rFonts w:asciiTheme="minorEastAsia" w:hAnsiTheme="minorEastAsia" w:eastAsiaTheme="minorEastAsia"/>
          <w:b/>
        </w:rPr>
      </w:pPr>
      <w:r>
        <w:rPr>
          <w:rFonts w:asciiTheme="minorEastAsia" w:hAnsiTheme="minorEastAsia" w:eastAsiaTheme="minorEastAsia"/>
        </w:rPr>
        <w:t>（凭据复印件加盖公章）</w:t>
      </w:r>
      <w:bookmarkEnd w:id="391"/>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widowControl/>
        <w:spacing w:line="360" w:lineRule="auto"/>
        <w:jc w:val="left"/>
        <w:rPr>
          <w:rFonts w:asciiTheme="minorEastAsia" w:hAnsiTheme="minorEastAsia" w:eastAsiaTheme="minorEastAsia"/>
        </w:rPr>
      </w:pPr>
    </w:p>
    <w:p>
      <w:pPr>
        <w:spacing w:line="360" w:lineRule="auto"/>
        <w:rPr>
          <w:rFonts w:asciiTheme="minorEastAsia" w:hAnsiTheme="minorEastAsia" w:eastAsiaTheme="minorEastAsia"/>
        </w:rPr>
        <w:sectPr>
          <w:pgSz w:w="11907" w:h="16840"/>
          <w:pgMar w:top="1089" w:right="1418" w:bottom="1400" w:left="1418" w:header="851" w:footer="992" w:gutter="0"/>
          <w:cols w:space="720" w:num="1"/>
          <w:docGrid w:linePitch="312" w:charSpace="0"/>
        </w:sectPr>
      </w:pPr>
    </w:p>
    <w:p>
      <w:pPr>
        <w:spacing w:line="360" w:lineRule="auto"/>
        <w:rPr>
          <w:rFonts w:asciiTheme="minorEastAsia" w:hAnsiTheme="minorEastAsia" w:eastAsiaTheme="minorEastAsia"/>
        </w:rPr>
      </w:pPr>
    </w:p>
    <w:p>
      <w:pPr>
        <w:pStyle w:val="5"/>
        <w:spacing w:line="360" w:lineRule="auto"/>
        <w:jc w:val="center"/>
        <w:rPr>
          <w:rFonts w:asciiTheme="minorEastAsia" w:hAnsiTheme="minorEastAsia" w:eastAsiaTheme="minorEastAsia"/>
          <w:b w:val="0"/>
          <w:sz w:val="30"/>
          <w:szCs w:val="30"/>
        </w:rPr>
      </w:pPr>
      <w:bookmarkStart w:id="392" w:name="_Toc497235052"/>
      <w:bookmarkStart w:id="393" w:name="_Toc514926467"/>
      <w:bookmarkStart w:id="394" w:name="_Toc529435099"/>
      <w:r>
        <w:rPr>
          <w:rFonts w:asciiTheme="minorEastAsia" w:hAnsiTheme="minorEastAsia" w:eastAsiaTheme="minorEastAsia"/>
          <w:sz w:val="30"/>
          <w:szCs w:val="30"/>
        </w:rPr>
        <w:t>14 履约保证金保函（中标后开具）</w:t>
      </w:r>
      <w:bookmarkEnd w:id="392"/>
      <w:bookmarkEnd w:id="393"/>
      <w:bookmarkEnd w:id="394"/>
    </w:p>
    <w:p>
      <w:pPr>
        <w:pStyle w:val="20"/>
        <w:spacing w:line="360" w:lineRule="auto"/>
        <w:jc w:val="right"/>
        <w:rPr>
          <w:rFonts w:asciiTheme="minorEastAsia" w:hAnsiTheme="minorEastAsia" w:eastAsiaTheme="minorEastAsia"/>
          <w:sz w:val="24"/>
          <w:szCs w:val="24"/>
        </w:rPr>
      </w:pPr>
      <w:r>
        <w:rPr>
          <w:rFonts w:asciiTheme="minorEastAsia" w:hAnsiTheme="minorEastAsia" w:eastAsiaTheme="minorEastAsia"/>
          <w:sz w:val="24"/>
          <w:szCs w:val="24"/>
        </w:rPr>
        <w:t>开具日期：</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致：</w:t>
      </w:r>
      <w:r>
        <w:rPr>
          <w:rFonts w:asciiTheme="minorEastAsia" w:hAnsiTheme="minorEastAsia" w:eastAsiaTheme="minorEastAsia"/>
          <w:i/>
          <w:sz w:val="24"/>
          <w:szCs w:val="24"/>
          <w:u w:val="single"/>
        </w:rPr>
        <w:t>(招标人名称)</w:t>
      </w:r>
    </w:p>
    <w:p>
      <w:pPr>
        <w:pStyle w:val="20"/>
        <w:spacing w:line="360" w:lineRule="auto"/>
        <w:ind w:firstLine="420"/>
        <w:rPr>
          <w:rFonts w:asciiTheme="minorEastAsia" w:hAnsiTheme="minorEastAsia" w:eastAsiaTheme="minorEastAsia"/>
          <w:sz w:val="24"/>
          <w:szCs w:val="24"/>
        </w:rPr>
      </w:pPr>
      <w:r>
        <w:rPr>
          <w:rFonts w:asciiTheme="minorEastAsia" w:hAnsiTheme="minorEastAsia" w:eastAsiaTheme="minorEastAsia"/>
          <w:sz w:val="24"/>
          <w:szCs w:val="24"/>
        </w:rPr>
        <w:t>本保函作为贵方与(</w:t>
      </w:r>
      <w:r>
        <w:rPr>
          <w:rFonts w:asciiTheme="minorEastAsia" w:hAnsiTheme="minorEastAsia" w:eastAsiaTheme="minorEastAsia"/>
          <w:i/>
          <w:sz w:val="24"/>
          <w:szCs w:val="24"/>
          <w:u w:val="single"/>
        </w:rPr>
        <w:t>卖方名称</w:t>
      </w:r>
      <w:r>
        <w:rPr>
          <w:rFonts w:asciiTheme="minorEastAsia" w:hAnsiTheme="minorEastAsia" w:eastAsiaTheme="minorEastAsia"/>
          <w:sz w:val="24"/>
          <w:szCs w:val="24"/>
        </w:rPr>
        <w:t>)(以下简称卖方)于________年_____月____日就________项目(以下简称项目)项下提供(</w:t>
      </w:r>
      <w:r>
        <w:rPr>
          <w:rFonts w:asciiTheme="minorEastAsia" w:hAnsiTheme="minorEastAsia" w:eastAsiaTheme="minorEastAsia"/>
          <w:i/>
          <w:sz w:val="24"/>
          <w:szCs w:val="24"/>
          <w:u w:val="single"/>
        </w:rPr>
        <w:t xml:space="preserve">         名称</w:t>
      </w:r>
      <w:r>
        <w:rPr>
          <w:rFonts w:asciiTheme="minorEastAsia" w:hAnsiTheme="minorEastAsia" w:eastAsiaTheme="minorEastAsia"/>
          <w:sz w:val="24"/>
          <w:szCs w:val="24"/>
        </w:rPr>
        <w:t>)签订的(</w:t>
      </w:r>
      <w:r>
        <w:rPr>
          <w:rFonts w:asciiTheme="minorEastAsia" w:hAnsiTheme="minorEastAsia" w:eastAsiaTheme="minorEastAsia"/>
          <w:i/>
          <w:sz w:val="24"/>
          <w:szCs w:val="24"/>
          <w:u w:val="single"/>
        </w:rPr>
        <w:t>合同号</w:t>
      </w:r>
      <w:r>
        <w:rPr>
          <w:rFonts w:asciiTheme="minorEastAsia" w:hAnsiTheme="minorEastAsia" w:eastAsiaTheme="minorEastAsia"/>
          <w:sz w:val="24"/>
          <w:szCs w:val="24"/>
        </w:rPr>
        <w:t>)号合同的履约保函。</w:t>
      </w:r>
    </w:p>
    <w:p>
      <w:pPr>
        <w:pStyle w:val="20"/>
        <w:spacing w:line="360" w:lineRule="auto"/>
        <w:ind w:firstLine="420"/>
        <w:rPr>
          <w:rFonts w:asciiTheme="minorEastAsia" w:hAnsiTheme="minorEastAsia" w:eastAsiaTheme="minorEastAsia"/>
          <w:sz w:val="24"/>
          <w:szCs w:val="24"/>
        </w:rPr>
      </w:pPr>
      <w:r>
        <w:rPr>
          <w:rFonts w:asciiTheme="minorEastAsia" w:hAnsiTheme="minorEastAsia" w:eastAsiaTheme="minorEastAsia"/>
          <w:sz w:val="24"/>
          <w:szCs w:val="24"/>
        </w:rPr>
        <w:t>(</w:t>
      </w:r>
      <w:r>
        <w:rPr>
          <w:rFonts w:asciiTheme="minorEastAsia" w:hAnsiTheme="minorEastAsia" w:eastAsiaTheme="minorEastAsia"/>
          <w:i/>
          <w:sz w:val="24"/>
          <w:szCs w:val="24"/>
          <w:u w:val="single"/>
        </w:rPr>
        <w:t>出具保函的银行名称</w:t>
      </w:r>
      <w:r>
        <w:rPr>
          <w:rFonts w:asciiTheme="minorEastAsia" w:hAnsiTheme="minorEastAsia" w:eastAsiaTheme="minorEastAsia"/>
          <w:sz w:val="24"/>
          <w:szCs w:val="24"/>
        </w:rPr>
        <w:t>)(以下简称银行)无条件地、不可撤销地具结保证本行、其继承人和受让人无追索地向贵方以(</w:t>
      </w:r>
      <w:r>
        <w:rPr>
          <w:rFonts w:asciiTheme="minorEastAsia" w:hAnsiTheme="minorEastAsia" w:eastAsiaTheme="minorEastAsia"/>
          <w:i/>
          <w:sz w:val="24"/>
          <w:szCs w:val="24"/>
          <w:u w:val="single"/>
        </w:rPr>
        <w:t>货币名称</w:t>
      </w:r>
      <w:r>
        <w:rPr>
          <w:rFonts w:asciiTheme="minorEastAsia" w:hAnsiTheme="minorEastAsia" w:eastAsiaTheme="minorEastAsia"/>
          <w:sz w:val="24"/>
          <w:szCs w:val="24"/>
        </w:rPr>
        <w:t>)支付总额不超过(</w:t>
      </w:r>
      <w:r>
        <w:rPr>
          <w:rFonts w:asciiTheme="minorEastAsia" w:hAnsiTheme="minorEastAsia" w:eastAsiaTheme="minorEastAsia"/>
          <w:i/>
          <w:sz w:val="24"/>
          <w:szCs w:val="24"/>
          <w:u w:val="single"/>
        </w:rPr>
        <w:t>货币数量</w:t>
      </w:r>
      <w:r>
        <w:rPr>
          <w:rFonts w:asciiTheme="minorEastAsia" w:hAnsiTheme="minorEastAsia" w:eastAsiaTheme="minorEastAsia"/>
          <w:sz w:val="24"/>
          <w:szCs w:val="24"/>
        </w:rPr>
        <w:t>),即相当于合同价格的%,并以此约定如下:</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1.只要贵方确定卖方未能忠实地履行所有合同文件的规定和双方此后一致同意的修改、补充和变动,包括更改和/或修补贵方认为有缺陷的</w:t>
      </w:r>
      <w:r>
        <w:rPr>
          <w:rFonts w:hint="eastAsia" w:asciiTheme="minorEastAsia" w:hAnsiTheme="minorEastAsia" w:eastAsiaTheme="minorEastAsia"/>
          <w:sz w:val="24"/>
          <w:szCs w:val="24"/>
        </w:rPr>
        <w:t>产品</w:t>
      </w:r>
      <w:r>
        <w:rPr>
          <w:rFonts w:asciiTheme="minorEastAsia" w:hAnsiTheme="minorEastAsia" w:eastAsiaTheme="minorEastAsia"/>
          <w:sz w:val="24"/>
          <w:szCs w:val="24"/>
        </w:rPr>
        <w:t>(以下简称违约),无论卖方有任何反对,本行将凭贵方关于卖方违约说明的书面通知,立即按贵方提出的累计总额不超过上述金额的款项和按贵方通知规定的方式付给贵方。</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2.本保函项下的任何支付应为免税和净值。对于现有或将来的税收、关税、收费、费用扣减或预提税款，不论这些款项是何种性质和由谁征收，都不应从本保函项下的支付中扣除。</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4.本保函在本合同规定的保证期期满前完全有效。</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谨启</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出具保函银行名称____________________________</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签字人姓名和职务____________________________</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签字人签名__________________________________</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公章______________________</w:t>
      </w:r>
      <w:r>
        <w:rPr>
          <w:rFonts w:asciiTheme="minorEastAsia" w:hAnsiTheme="minorEastAsia" w:eastAsiaTheme="minorEastAsia"/>
          <w:sz w:val="24"/>
          <w:szCs w:val="24"/>
          <w:u w:val="single"/>
        </w:rPr>
        <w:t>____________</w:t>
      </w:r>
      <w:r>
        <w:rPr>
          <w:rFonts w:asciiTheme="minorEastAsia" w:hAnsiTheme="minorEastAsia" w:eastAsiaTheme="minorEastAsia"/>
          <w:sz w:val="24"/>
          <w:szCs w:val="24"/>
        </w:rPr>
        <w:t>______</w:t>
      </w:r>
    </w:p>
    <w:p>
      <w:pPr>
        <w:pStyle w:val="5"/>
        <w:spacing w:before="0" w:line="360" w:lineRule="auto"/>
        <w:ind w:left="899" w:hanging="899"/>
        <w:jc w:val="center"/>
        <w:rPr>
          <w:rFonts w:asciiTheme="minorEastAsia" w:hAnsiTheme="minorEastAsia" w:eastAsiaTheme="minorEastAsia"/>
          <w:b w:val="0"/>
          <w:sz w:val="30"/>
          <w:szCs w:val="30"/>
        </w:rPr>
      </w:pPr>
      <w:r>
        <w:rPr>
          <w:rFonts w:asciiTheme="minorEastAsia" w:hAnsiTheme="minorEastAsia" w:eastAsiaTheme="minorEastAsia"/>
        </w:rPr>
        <w:br w:type="page"/>
      </w:r>
      <w:bookmarkStart w:id="395" w:name="_Toc514926468"/>
      <w:bookmarkStart w:id="396" w:name="_Toc529435100"/>
      <w:bookmarkStart w:id="397" w:name="_Toc497235053"/>
      <w:r>
        <w:rPr>
          <w:rFonts w:asciiTheme="minorEastAsia" w:hAnsiTheme="minorEastAsia" w:eastAsiaTheme="minorEastAsia"/>
          <w:sz w:val="30"/>
          <w:szCs w:val="30"/>
        </w:rPr>
        <w:t>15 中标服务费承诺书</w:t>
      </w:r>
      <w:bookmarkEnd w:id="395"/>
      <w:bookmarkEnd w:id="396"/>
      <w:bookmarkEnd w:id="397"/>
    </w:p>
    <w:p>
      <w:pPr>
        <w:pStyle w:val="4"/>
        <w:spacing w:line="360" w:lineRule="auto"/>
        <w:rPr>
          <w:rFonts w:asciiTheme="minorEastAsia" w:hAnsiTheme="minorEastAsia" w:eastAsiaTheme="minorEastAsia"/>
        </w:rPr>
      </w:pP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致：北京华采招标代理有限公司</w:t>
      </w:r>
    </w:p>
    <w:p>
      <w:pPr>
        <w:widowControl/>
        <w:spacing w:line="360" w:lineRule="auto"/>
        <w:ind w:firstLine="480" w:firstLineChars="200"/>
        <w:jc w:val="left"/>
        <w:rPr>
          <w:rFonts w:cs="宋体" w:asciiTheme="minorEastAsia" w:hAnsiTheme="minorEastAsia" w:eastAsiaTheme="minorEastAsia"/>
          <w:kern w:val="0"/>
          <w:sz w:val="24"/>
        </w:rPr>
      </w:pPr>
      <w:r>
        <w:rPr>
          <w:rFonts w:hint="eastAsia" w:asciiTheme="minorEastAsia" w:hAnsiTheme="minorEastAsia" w:eastAsiaTheme="minorEastAsia"/>
          <w:sz w:val="24"/>
        </w:rPr>
        <w:t>我们在贵公司组织的</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项目招标中若获中标（招标文件编号：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），我们保证在领取中标通知书时按招标文件的规定，以支票、电汇或现金，向贵公司一次性支付应该交纳的中标服务费用。收费标准参照原国家计价格[2002]1980号文、</w:t>
      </w:r>
      <w:r>
        <w:rPr>
          <w:rFonts w:hint="eastAsia" w:cs="宋体" w:asciiTheme="minorEastAsia" w:hAnsiTheme="minorEastAsia" w:eastAsiaTheme="minorEastAsia"/>
          <w:kern w:val="0"/>
          <w:sz w:val="24"/>
        </w:rPr>
        <w:t>发改办价格[2003]857号文及</w:t>
      </w:r>
      <w:r>
        <w:rPr>
          <w:rFonts w:cs="宋体" w:asciiTheme="minorEastAsia" w:hAnsiTheme="minorEastAsia" w:eastAsiaTheme="minorEastAsia"/>
          <w:kern w:val="0"/>
          <w:sz w:val="24"/>
        </w:rPr>
        <w:t>发改价格</w:t>
      </w:r>
      <w:r>
        <w:rPr>
          <w:rFonts w:asciiTheme="minorEastAsia" w:hAnsiTheme="minorEastAsia" w:eastAsiaTheme="minorEastAsia"/>
          <w:kern w:val="0"/>
          <w:sz w:val="24"/>
        </w:rPr>
        <w:t>[2011]534</w:t>
      </w:r>
      <w:r>
        <w:rPr>
          <w:rFonts w:cs="宋体" w:asciiTheme="minorEastAsia" w:hAnsiTheme="minorEastAsia" w:eastAsiaTheme="minorEastAsia"/>
          <w:kern w:val="0"/>
          <w:sz w:val="24"/>
        </w:rPr>
        <w:t>号</w:t>
      </w:r>
      <w:r>
        <w:rPr>
          <w:rFonts w:hint="eastAsia" w:cs="宋体" w:asciiTheme="minorEastAsia" w:hAnsiTheme="minorEastAsia" w:eastAsiaTheme="minorEastAsia"/>
          <w:kern w:val="0"/>
          <w:sz w:val="24"/>
        </w:rPr>
        <w:t>文有关规定向中标人收取</w:t>
      </w:r>
      <w:r>
        <w:rPr>
          <w:rFonts w:hint="eastAsia" w:asciiTheme="minorEastAsia" w:hAnsiTheme="minorEastAsia" w:eastAsiaTheme="minorEastAsia"/>
          <w:sz w:val="24"/>
        </w:rPr>
        <w:t>中标服务费用。</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特此承诺</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承诺方法定名称：</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地址：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电话：</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传真：</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邮编：</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承诺方法人授权代表签字：</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（承诺方盖章）</w:t>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ab/>
      </w:r>
      <w:r>
        <w:rPr>
          <w:rFonts w:hint="eastAsia" w:asciiTheme="minorEastAsia" w:hAnsiTheme="minorEastAsia" w:eastAsiaTheme="minorEastAsia"/>
          <w:sz w:val="24"/>
        </w:rPr>
        <w:t>承诺日期：</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tabs>
          <w:tab w:val="left" w:pos="5580"/>
        </w:tabs>
        <w:spacing w:before="360" w:line="360" w:lineRule="auto"/>
        <w:rPr>
          <w:rFonts w:asciiTheme="minorEastAsia" w:hAnsiTheme="minorEastAsia" w:eastAsiaTheme="minorEastAsia"/>
          <w:bCs/>
          <w:sz w:val="24"/>
        </w:rPr>
      </w:pPr>
    </w:p>
    <w:p>
      <w:pPr>
        <w:tabs>
          <w:tab w:val="left" w:pos="5580"/>
        </w:tabs>
        <w:spacing w:before="360" w:line="360" w:lineRule="auto"/>
        <w:rPr>
          <w:rFonts w:asciiTheme="minorEastAsia" w:hAnsiTheme="minorEastAsia" w:eastAsiaTheme="minorEastAsia"/>
          <w:bCs/>
          <w:sz w:val="24"/>
        </w:rPr>
      </w:pPr>
    </w:p>
    <w:p>
      <w:pPr>
        <w:pStyle w:val="5"/>
        <w:spacing w:line="360" w:lineRule="auto"/>
        <w:ind w:left="899" w:hanging="899"/>
        <w:jc w:val="center"/>
        <w:rPr>
          <w:rFonts w:asciiTheme="minorEastAsia" w:hAnsiTheme="minorEastAsia" w:eastAsiaTheme="minorEastAsia"/>
          <w:b w:val="0"/>
          <w:sz w:val="30"/>
          <w:szCs w:val="30"/>
        </w:rPr>
      </w:pPr>
      <w:r>
        <w:rPr>
          <w:rFonts w:asciiTheme="minorEastAsia" w:hAnsiTheme="minorEastAsia" w:eastAsiaTheme="minorEastAsia"/>
        </w:rPr>
        <w:br w:type="page"/>
      </w:r>
      <w:bookmarkStart w:id="398" w:name="_Toc529435101"/>
      <w:bookmarkStart w:id="399" w:name="_Toc497235054"/>
      <w:bookmarkStart w:id="400" w:name="_Toc514926469"/>
      <w:r>
        <w:rPr>
          <w:rFonts w:asciiTheme="minorEastAsia" w:hAnsiTheme="minorEastAsia" w:eastAsiaTheme="minorEastAsia"/>
          <w:sz w:val="30"/>
          <w:szCs w:val="30"/>
        </w:rPr>
        <w:t>16 政府采购信用担保投标担保函格式</w:t>
      </w:r>
      <w:bookmarkEnd w:id="398"/>
      <w:bookmarkEnd w:id="399"/>
      <w:bookmarkEnd w:id="400"/>
    </w:p>
    <w:p>
      <w:pPr>
        <w:spacing w:line="360" w:lineRule="auto"/>
        <w:ind w:left="1080" w:leftChars="257" w:hanging="540"/>
        <w:jc w:val="center"/>
        <w:rPr>
          <w:rFonts w:asciiTheme="minorEastAsia" w:hAnsiTheme="minorEastAsia" w:eastAsiaTheme="minorEastAsia"/>
          <w:sz w:val="24"/>
        </w:rPr>
      </w:pP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政府采购投标担保函（项目用）</w:t>
      </w:r>
    </w:p>
    <w:p>
      <w:pPr>
        <w:spacing w:line="360" w:lineRule="auto"/>
        <w:ind w:firstLine="7680" w:firstLineChars="3200"/>
        <w:rPr>
          <w:rFonts w:asciiTheme="minorEastAsia" w:hAnsiTheme="minorEastAsia" w:eastAsiaTheme="minorEastAsia"/>
          <w:sz w:val="24"/>
        </w:rPr>
      </w:pPr>
      <w:r>
        <w:rPr>
          <w:rFonts w:hint="eastAsia" w:asciiTheme="minorEastAsia" w:hAnsiTheme="minorEastAsia" w:eastAsiaTheme="minorEastAsia"/>
          <w:sz w:val="24"/>
        </w:rPr>
        <w:t>编号：</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（采购人或采购代理机构）：</w:t>
      </w:r>
    </w:p>
    <w:p>
      <w:pPr>
        <w:spacing w:line="360" w:lineRule="auto"/>
        <w:rPr>
          <w:rFonts w:asciiTheme="minorEastAsia" w:hAnsiTheme="minorEastAsia" w:eastAsiaTheme="minorEastAsia"/>
          <w:sz w:val="24"/>
        </w:rPr>
      </w:pP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鉴于（以下简称“投标人”）拟参加编号为的</w:t>
      </w:r>
    </w:p>
    <w:p>
      <w:pPr>
        <w:spacing w:before="240" w:beforeLines="100" w:line="360" w:lineRule="auto"/>
        <w:rPr>
          <w:rFonts w:asciiTheme="minorEastAsia" w:hAnsiTheme="minorEastAsia" w:eastAsiaTheme="minorEastAsia"/>
          <w:sz w:val="24"/>
        </w:rPr>
      </w:pPr>
      <w:r>
        <w:rPr>
          <w:rFonts w:hint="eastAsia" w:asciiTheme="minorEastAsia" w:hAnsiTheme="minorEastAsia" w:eastAsiaTheme="minorEastAsia"/>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一、保证责任的情形及保证金额</w:t>
      </w:r>
    </w:p>
    <w:p>
      <w:pPr>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（一）在投标人出现下列情形之一时，我方承担保证责任：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1．中标后投标人无正当理由不与采购人或者采购代理机构签订《政府采购合同》；</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2．招标文件规定的投标人应当交纳保证金的其他情形。</w:t>
      </w:r>
    </w:p>
    <w:p>
      <w:pPr>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（二）我方承担保证责任的最高金额为人民币元（大写），即本项目的投标保证金金额。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二、保证的方式及保证期间</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我方保证的方式为：连带责任保证。</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我方的保证期间为：自本保函生效之日起个月止。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三、承担保证责任的程序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1．你方要求我方承担保证责任的，应在本保函保证期间内向我方发出书面索赔通知。索赔通知应写明要求索赔的金额，支付款项应到达的账号，并附有证明投标人发生我方应承担保证责任情形的事实材料。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2．我方在收到索赔通知及相关证明材料后，在</w:t>
      </w:r>
      <w:r>
        <w:rPr>
          <w:rFonts w:hint="eastAsia" w:asciiTheme="minorEastAsia" w:hAnsiTheme="minorEastAsia" w:eastAsiaTheme="minorEastAsia"/>
          <w:sz w:val="24"/>
          <w:u w:val="single"/>
        </w:rPr>
        <w:t>　　　</w:t>
      </w:r>
      <w:r>
        <w:rPr>
          <w:rFonts w:hint="eastAsia" w:asciiTheme="minorEastAsia" w:hAnsiTheme="minorEastAsia" w:eastAsiaTheme="minorEastAsia"/>
          <w:sz w:val="24"/>
        </w:rPr>
        <w:t>个工作日内进行审查，符合应承担保证责任情形的，我方应按照你方的要求代投标人向你方支付投标保证金。</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四、保证责任的终止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1．保证期间届满你方未向我方书面主张保证责任的，自保证期间届满次日起，我方保证责任自动终止。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2．我方按照本保函向你贵方履行了保证责任后，自我方向你贵方支付款项（支付款项从我方账户划出）之日起，保证责任终止。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3．按照法律法规的规定或出现我方保证责任终止的其它情形的，我方在本保函项下的保证责任亦终止。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五、免责条款</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1．依照法律规定或你方与投标人的另行约定，全部或者部分免除投标人投标保证金义务时，我方亦免除相应的保证责任。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2．因你方原因致使投标人发生本保函第一条第（一）款约定情形的，我方不承担保证责任。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3．因不可抗力造成投标人发生本保函第一条约定情形的，我方不承担保证责任。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4．你方或其他有权机关对招标文件进行任何澄清或修改，加重我方保证责任的，我方对加重部分不承担保证责任，但该澄清或修改经我方事先书面同意的除外。</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六、争议的解决</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因本保函发生的纠纷，由你我双方协商解决，协商不成的，通过诉讼程序解决，诉讼管辖地法院为法院。</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七、保函的生效</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本保函自我方加盖公章之日起生效。</w:t>
      </w:r>
    </w:p>
    <w:p>
      <w:pPr>
        <w:spacing w:line="360" w:lineRule="auto"/>
        <w:ind w:firstLine="6360" w:firstLineChars="2650"/>
        <w:rPr>
          <w:rFonts w:asciiTheme="minorEastAsia" w:hAnsiTheme="minorEastAsia" w:eastAsiaTheme="minorEastAsia"/>
          <w:sz w:val="24"/>
        </w:rPr>
      </w:pPr>
      <w:r>
        <w:rPr>
          <w:rFonts w:hint="eastAsia" w:asciiTheme="minorEastAsia" w:hAnsiTheme="minorEastAsia" w:eastAsiaTheme="minorEastAsia"/>
          <w:sz w:val="24"/>
        </w:rPr>
        <w:t>保证人：（公章）</w:t>
      </w:r>
    </w:p>
    <w:p>
      <w:pPr>
        <w:spacing w:line="360" w:lineRule="auto"/>
        <w:rPr>
          <w:rFonts w:asciiTheme="minorEastAsia" w:hAnsiTheme="minorEastAsia" w:eastAsiaTheme="minorEastAsia"/>
          <w:sz w:val="24"/>
        </w:rPr>
      </w:pPr>
    </w:p>
    <w:p>
      <w:pPr>
        <w:spacing w:line="360" w:lineRule="auto"/>
        <w:ind w:firstLine="6600" w:firstLineChars="2750"/>
        <w:rPr>
          <w:rFonts w:asciiTheme="minorEastAsia" w:hAnsiTheme="minorEastAsia" w:eastAsiaTheme="minorEastAsia"/>
          <w:sz w:val="24"/>
        </w:rPr>
      </w:pPr>
      <w:r>
        <w:rPr>
          <w:rFonts w:hint="eastAsia" w:asciiTheme="minorEastAsia" w:hAnsiTheme="minorEastAsia" w:eastAsiaTheme="minorEastAsia"/>
          <w:sz w:val="24"/>
        </w:rPr>
        <w:t>年月日</w:t>
      </w:r>
    </w:p>
    <w:p>
      <w:pPr>
        <w:spacing w:line="360" w:lineRule="auto"/>
        <w:rPr>
          <w:rFonts w:asciiTheme="minorEastAsia" w:hAnsiTheme="minorEastAsia" w:eastAsiaTheme="minorEastAsia"/>
          <w:bCs/>
          <w:sz w:val="24"/>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5"/>
        <w:spacing w:line="360" w:lineRule="auto"/>
        <w:ind w:left="899" w:hanging="899"/>
        <w:jc w:val="center"/>
        <w:rPr>
          <w:rFonts w:asciiTheme="minorEastAsia" w:hAnsiTheme="minorEastAsia" w:eastAsiaTheme="minorEastAsia"/>
          <w:b w:val="0"/>
          <w:sz w:val="30"/>
          <w:szCs w:val="30"/>
        </w:rPr>
      </w:pPr>
      <w:bookmarkStart w:id="401" w:name="_Toc529435102"/>
      <w:bookmarkStart w:id="402" w:name="_Toc497235055"/>
      <w:bookmarkStart w:id="403" w:name="_Toc514926470"/>
      <w:r>
        <w:rPr>
          <w:rFonts w:asciiTheme="minorEastAsia" w:hAnsiTheme="minorEastAsia" w:eastAsiaTheme="minorEastAsia"/>
          <w:sz w:val="30"/>
          <w:szCs w:val="30"/>
        </w:rPr>
        <w:t>17 政府采购信用担保履约担保函格式</w:t>
      </w:r>
      <w:bookmarkEnd w:id="401"/>
      <w:bookmarkEnd w:id="402"/>
      <w:bookmarkEnd w:id="403"/>
    </w:p>
    <w:p>
      <w:pPr>
        <w:spacing w:line="360" w:lineRule="auto"/>
        <w:ind w:firstLine="2704" w:firstLineChars="1127"/>
        <w:rPr>
          <w:rFonts w:asciiTheme="minorEastAsia" w:hAnsiTheme="minorEastAsia" w:eastAsiaTheme="minorEastAsia"/>
          <w:sz w:val="24"/>
        </w:rPr>
      </w:pPr>
      <w:r>
        <w:rPr>
          <w:rFonts w:hint="eastAsia" w:asciiTheme="minorEastAsia" w:hAnsiTheme="minorEastAsia" w:eastAsiaTheme="minorEastAsia"/>
          <w:sz w:val="24"/>
        </w:rPr>
        <w:t>政府采购履约担保函（项目用）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编号：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鉴于你方与（以下简称供应商）于年月日签定编号为的《政府采购合同》（以下简称主合同），且依据该合同的约定，供应商应在年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月日前向你方交纳履约保证金，且可以履约担保函的形式交纳履约保证金。应供应商的申请，我方以保证的方式向你方提供如下履约保证金担保：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一、保证责任的情形及保证金额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（一）在供应商出现下列情形之一时，我方承担保证责任：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1．将中标项目转让给他人，或者在投标文件中未说明，且未经采购招标机构人同意，将中标项目分包给他人的；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2．主合同约定的应当交纳履约保证金的情形: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（1）未按主合同约定的质量、数量和期限供应货物/提供服务/完成工程的；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（二）我方的保证范围是主合同约定的合同价款总额的%数额为元（大写），币种为。（即主合同履约保证金金额）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二、保证的方式及保证期间</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我方保证的方式为：连带责任保证。</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我方保证的期间为：自本合同生效之日起至供应商按照主合同约定的供货/完工期限届满后日内。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如果供应商未按主合同约定向贵方供应货物/提供服务/完成工程的，由我方在保证金额内向你方支付上述款项。</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三、承担保证责任的程序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1．你方要求我方承担保证责任的，应在本保函保证期间内向我方发出书面索赔通知。索赔通知应写明要求索赔的金额，支付款项应到达的账号。并附有证明供应商违约事实的证明材料。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如果你方与供应商因货物质量问题产生争议，你方还需同时提供部门出具的质量检测报告，或经诉讼（仲裁）程序裁决后的裁决书、调解书，本保证人即按照检测结果或裁决书、调解书决定是否承担保证责任。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2．我方收到你方的书面索赔通知及相应证明材料，在工作日内进行核定后按照本保函的承诺承担保证责任。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四、保证责任的终止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2．我方按照本保函向你方履行了保证责任后，自我方向你方支付款项（支付款项从我方账户划出）之日起，保证责任即终止。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3．按照法律法规的规定或出现应终止我方保证责任的其它情形的，我方在本保函项下的保证责任亦终止。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五、免责条款</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1．因你方违反主合同约定致使供应商不能履行义务的，我方不承担保证责任。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2．依照法律法规的规定或你方与供应商的另行约定，全部或者部分免除供应商应交纳的保证金义务的，我方亦免除相应的保证责任。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3．因不可抗力造成供应商不能履行供货义务的，我方不承担保证责任。</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六、争议的解决</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因本保函发生的纠纷，由你我双方协商解决，协商不成的，通过诉讼程序解决，诉讼管辖地法院为法院。</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七、保函的生效</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本保函自我方加盖公章之日起生效。</w:t>
      </w:r>
    </w:p>
    <w:p>
      <w:pPr>
        <w:spacing w:before="240" w:beforeLines="100" w:line="360" w:lineRule="auto"/>
        <w:ind w:firstLine="6960" w:firstLineChars="2900"/>
        <w:rPr>
          <w:rFonts w:asciiTheme="minorEastAsia" w:hAnsiTheme="minorEastAsia" w:eastAsiaTheme="minorEastAsia"/>
          <w:sz w:val="24"/>
        </w:rPr>
      </w:pPr>
      <w:r>
        <w:rPr>
          <w:rFonts w:hint="eastAsia" w:asciiTheme="minorEastAsia" w:hAnsiTheme="minorEastAsia" w:eastAsiaTheme="minorEastAsia"/>
          <w:sz w:val="24"/>
        </w:rPr>
        <w:t>保证人：（公章）</w:t>
      </w:r>
    </w:p>
    <w:p>
      <w:pPr>
        <w:spacing w:before="240" w:beforeLines="100" w:line="360" w:lineRule="auto"/>
        <w:ind w:firstLine="6960" w:firstLineChars="2900"/>
        <w:rPr>
          <w:rFonts w:asciiTheme="minorEastAsia" w:hAnsiTheme="minorEastAsia" w:eastAsiaTheme="minorEastAsia"/>
          <w:sz w:val="24"/>
        </w:rPr>
      </w:pPr>
      <w:r>
        <w:rPr>
          <w:rFonts w:hint="eastAsia" w:asciiTheme="minorEastAsia" w:hAnsiTheme="minorEastAsia" w:eastAsiaTheme="minorEastAsia"/>
          <w:sz w:val="24"/>
        </w:rPr>
        <w:t>年   月    日</w:t>
      </w:r>
    </w:p>
    <w:p>
      <w:pPr>
        <w:pStyle w:val="5"/>
        <w:spacing w:line="360" w:lineRule="auto"/>
        <w:ind w:left="899" w:hanging="899"/>
        <w:jc w:val="center"/>
        <w:rPr>
          <w:rFonts w:asciiTheme="minorEastAsia" w:hAnsiTheme="minorEastAsia" w:eastAsiaTheme="minorEastAsia"/>
          <w:b w:val="0"/>
        </w:rPr>
      </w:pPr>
      <w:r>
        <w:rPr>
          <w:rFonts w:asciiTheme="minorEastAsia" w:hAnsiTheme="minorEastAsia" w:eastAsiaTheme="minorEastAsia"/>
          <w:szCs w:val="24"/>
        </w:rPr>
        <w:br w:type="page"/>
      </w:r>
      <w:bookmarkStart w:id="404" w:name="_Toc497235056"/>
      <w:bookmarkStart w:id="405" w:name="_Toc529435103"/>
      <w:bookmarkStart w:id="406" w:name="_Toc514926471"/>
      <w:r>
        <w:rPr>
          <w:rFonts w:asciiTheme="minorEastAsia" w:hAnsiTheme="minorEastAsia" w:eastAsiaTheme="minorEastAsia"/>
        </w:rPr>
        <w:t>18 投标人企业类型声明函</w:t>
      </w:r>
      <w:bookmarkEnd w:id="404"/>
      <w:bookmarkEnd w:id="405"/>
      <w:bookmarkEnd w:id="406"/>
    </w:p>
    <w:p>
      <w:pPr>
        <w:spacing w:line="360" w:lineRule="auto"/>
        <w:ind w:left="1080" w:leftChars="257" w:hanging="540"/>
        <w:jc w:val="center"/>
        <w:rPr>
          <w:rFonts w:asciiTheme="minorEastAsia" w:hAnsiTheme="minorEastAsia" w:eastAsiaTheme="minorEastAsia"/>
          <w:b/>
          <w:kern w:val="0"/>
          <w:sz w:val="24"/>
          <w:szCs w:val="20"/>
        </w:rPr>
      </w:pPr>
    </w:p>
    <w:p>
      <w:pPr>
        <w:widowControl/>
        <w:snapToGrid w:val="0"/>
        <w:spacing w:before="240" w:beforeLines="100" w:after="100" w:afterAutospacing="1" w:line="360" w:lineRule="auto"/>
        <w:jc w:val="left"/>
        <w:rPr>
          <w:rFonts w:asciiTheme="minorEastAsia" w:hAnsiTheme="minorEastAsia" w:eastAsiaTheme="minorEastAsia"/>
          <w:sz w:val="24"/>
        </w:rPr>
      </w:pPr>
      <w:r>
        <w:rPr>
          <w:rFonts w:cs="宋体" w:asciiTheme="minorEastAsia" w:hAnsiTheme="minorEastAsia" w:eastAsiaTheme="minorEastAsia"/>
          <w:kern w:val="0"/>
          <w:szCs w:val="21"/>
        </w:rPr>
        <w:t>　</w:t>
      </w:r>
      <w:r>
        <w:rPr>
          <w:rFonts w:asciiTheme="minorEastAsia" w:hAnsiTheme="minorEastAsia" w:eastAsiaTheme="minorEastAsia"/>
          <w:sz w:val="24"/>
        </w:rPr>
        <w:t>本公司郑重声明，根据《政府采购促进中小企业发展暂行办法》（财库[2011]181号）的规定，本公司为______（请填写：</w:t>
      </w:r>
      <w:r>
        <w:rPr>
          <w:rFonts w:hint="eastAsia" w:asciiTheme="minorEastAsia" w:hAnsiTheme="minorEastAsia" w:eastAsiaTheme="minorEastAsia"/>
          <w:sz w:val="24"/>
        </w:rPr>
        <w:t>大型、</w:t>
      </w:r>
      <w:r>
        <w:rPr>
          <w:rFonts w:asciiTheme="minorEastAsia" w:hAnsiTheme="minorEastAsia" w:eastAsiaTheme="minorEastAsia"/>
          <w:sz w:val="24"/>
        </w:rPr>
        <w:t>中型、小型、微型）企业。即，本公司同时满足以下条件：</w:t>
      </w:r>
    </w:p>
    <w:p>
      <w:pPr>
        <w:widowControl/>
        <w:snapToGrid w:val="0"/>
        <w:spacing w:before="240" w:beforeLines="100" w:after="100" w:afterAutospacing="1" w:line="360" w:lineRule="auto"/>
        <w:jc w:val="left"/>
        <w:rPr>
          <w:rFonts w:asciiTheme="minorEastAsia" w:hAnsiTheme="minorEastAsia" w:eastAsiaTheme="minorEastAsia"/>
          <w:sz w:val="24"/>
        </w:rPr>
      </w:pPr>
      <w:r>
        <w:rPr>
          <w:rFonts w:asciiTheme="minorEastAsia" w:hAnsiTheme="minorEastAsia" w:eastAsiaTheme="minorEastAsia"/>
          <w:sz w:val="24"/>
        </w:rPr>
        <w:t>　　1.根据《工业和信息化部、国家统计局、国家发展和改革委员会、财政部关于印发中小企业划型标准规定的通知》（工信部联企业[2011]300号）规定的划分标准，本公司为______（请填写：</w:t>
      </w:r>
      <w:r>
        <w:rPr>
          <w:rFonts w:hint="eastAsia" w:asciiTheme="minorEastAsia" w:hAnsiTheme="minorEastAsia" w:eastAsiaTheme="minorEastAsia"/>
          <w:sz w:val="24"/>
        </w:rPr>
        <w:t>大型、</w:t>
      </w:r>
      <w:r>
        <w:rPr>
          <w:rFonts w:asciiTheme="minorEastAsia" w:hAnsiTheme="minorEastAsia" w:eastAsiaTheme="minorEastAsia"/>
          <w:sz w:val="24"/>
        </w:rPr>
        <w:t>中型、小型、微型）企业。</w:t>
      </w:r>
    </w:p>
    <w:p>
      <w:pPr>
        <w:widowControl/>
        <w:snapToGrid w:val="0"/>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2.本公司参加______单位的______项目采购活动</w:t>
      </w:r>
      <w:r>
        <w:rPr>
          <w:rFonts w:hint="eastAsia" w:asciiTheme="minorEastAsia" w:hAnsiTheme="minorEastAsia" w:eastAsiaTheme="minorEastAsia"/>
          <w:sz w:val="24"/>
        </w:rPr>
        <w:t>（按投标形式选择填写）：</w:t>
      </w:r>
    </w:p>
    <w:p>
      <w:pPr>
        <w:widowControl/>
        <w:snapToGri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（1）□本公司为直接投标人</w:t>
      </w:r>
      <w:r>
        <w:rPr>
          <w:rFonts w:asciiTheme="minorEastAsia" w:hAnsiTheme="minorEastAsia" w:eastAsiaTheme="minorEastAsia"/>
          <w:sz w:val="24"/>
        </w:rPr>
        <w:t>提供本企业制造的货物，由本企业承担工程、提供服务</w:t>
      </w:r>
      <w:r>
        <w:rPr>
          <w:rFonts w:hint="eastAsia" w:asciiTheme="minorEastAsia" w:hAnsiTheme="minorEastAsia" w:eastAsiaTheme="minorEastAsia"/>
          <w:sz w:val="24"/>
        </w:rPr>
        <w:t>。</w:t>
      </w:r>
    </w:p>
    <w:p>
      <w:pPr>
        <w:widowControl/>
        <w:snapToGri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（2）□本公司为代理商，</w:t>
      </w:r>
      <w:r>
        <w:rPr>
          <w:rFonts w:asciiTheme="minorEastAsia" w:hAnsiTheme="minorEastAsia" w:eastAsiaTheme="minorEastAsia"/>
          <w:sz w:val="24"/>
        </w:rPr>
        <w:t>提供其他______（请填写：中型、小型、微型）企业制造的货物。本条所称货物不包括使用大型企业注册商标的货物。</w:t>
      </w:r>
      <w:r>
        <w:rPr>
          <w:rFonts w:hint="eastAsia" w:asciiTheme="minorEastAsia" w:hAnsiTheme="minorEastAsia" w:eastAsiaTheme="minorEastAsia"/>
          <w:sz w:val="24"/>
        </w:rPr>
        <w:t>（后附制造商</w:t>
      </w:r>
      <w:r>
        <w:rPr>
          <w:rFonts w:asciiTheme="minorEastAsia" w:hAnsiTheme="minorEastAsia" w:eastAsiaTheme="minorEastAsia"/>
          <w:sz w:val="24"/>
        </w:rPr>
        <w:t>投标人企业类型声明函</w:t>
      </w:r>
      <w:r>
        <w:rPr>
          <w:rFonts w:hint="eastAsia" w:asciiTheme="minorEastAsia" w:hAnsiTheme="minorEastAsia" w:eastAsiaTheme="minorEastAsia"/>
          <w:sz w:val="24"/>
        </w:rPr>
        <w:t>）</w:t>
      </w:r>
    </w:p>
    <w:p>
      <w:pPr>
        <w:widowControl/>
        <w:snapToGri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（3）□本公司为联合体一方，</w:t>
      </w:r>
      <w:r>
        <w:rPr>
          <w:rFonts w:asciiTheme="minorEastAsia" w:hAnsiTheme="minorEastAsia" w:eastAsiaTheme="minorEastAsia"/>
          <w:sz w:val="24"/>
        </w:rPr>
        <w:t>提供本企业制造的货物，由本企业承担工程、提供服务</w:t>
      </w:r>
      <w:r>
        <w:rPr>
          <w:rFonts w:hint="eastAsia" w:asciiTheme="minorEastAsia" w:hAnsiTheme="minorEastAsia" w:eastAsiaTheme="minorEastAsia"/>
          <w:sz w:val="24"/>
        </w:rPr>
        <w:t>。我公司提供</w:t>
      </w:r>
      <w:r>
        <w:rPr>
          <w:rFonts w:asciiTheme="minorEastAsia" w:hAnsiTheme="minorEastAsia" w:eastAsiaTheme="minorEastAsia"/>
          <w:sz w:val="24"/>
        </w:rPr>
        <w:t>协议合同金额占到</w:t>
      </w:r>
      <w:r>
        <w:rPr>
          <w:rFonts w:hint="eastAsia" w:asciiTheme="minorEastAsia" w:hAnsiTheme="minorEastAsia" w:eastAsiaTheme="minorEastAsia"/>
          <w:sz w:val="24"/>
        </w:rPr>
        <w:t>共同投标</w:t>
      </w:r>
      <w:r>
        <w:rPr>
          <w:rFonts w:asciiTheme="minorEastAsia" w:hAnsiTheme="minorEastAsia" w:eastAsiaTheme="minorEastAsia"/>
          <w:sz w:val="24"/>
        </w:rPr>
        <w:t>协议合同总金额</w:t>
      </w:r>
      <w:r>
        <w:rPr>
          <w:rFonts w:hint="eastAsia" w:asciiTheme="minorEastAsia" w:hAnsiTheme="minorEastAsia" w:eastAsiaTheme="minorEastAsia"/>
          <w:sz w:val="24"/>
        </w:rPr>
        <w:t>的比例为。</w:t>
      </w:r>
    </w:p>
    <w:p>
      <w:pPr>
        <w:widowControl/>
        <w:snapToGrid w:val="0"/>
        <w:spacing w:before="240" w:beforeLines="100" w:after="100" w:afterAutospacing="1" w:line="360" w:lineRule="auto"/>
        <w:jc w:val="left"/>
        <w:rPr>
          <w:rFonts w:asciiTheme="minorEastAsia" w:hAnsiTheme="minorEastAsia" w:eastAsiaTheme="minorEastAsia"/>
          <w:sz w:val="24"/>
        </w:rPr>
      </w:pPr>
      <w:r>
        <w:rPr>
          <w:rFonts w:asciiTheme="minorEastAsia" w:hAnsiTheme="minorEastAsia" w:eastAsiaTheme="minorEastAsia"/>
          <w:sz w:val="24"/>
        </w:rPr>
        <w:t>　　本公司对上述声明的真实性负责。如有虚假，将依法承担相应责任。</w:t>
      </w:r>
    </w:p>
    <w:p>
      <w:pPr>
        <w:widowControl/>
        <w:snapToGrid w:val="0"/>
        <w:spacing w:before="240" w:beforeLines="100" w:after="100" w:afterAutospacing="1" w:line="360" w:lineRule="auto"/>
        <w:jc w:val="left"/>
        <w:rPr>
          <w:rFonts w:asciiTheme="minorEastAsia" w:hAnsiTheme="minorEastAsia" w:eastAsiaTheme="minorEastAsia"/>
          <w:sz w:val="24"/>
        </w:rPr>
      </w:pPr>
      <w:r>
        <w:rPr>
          <w:rFonts w:asciiTheme="minorEastAsia" w:hAnsiTheme="minorEastAsia" w:eastAsiaTheme="minorEastAsia"/>
          <w:sz w:val="24"/>
        </w:rPr>
        <w:t>　　企业名称（盖章）：</w:t>
      </w:r>
    </w:p>
    <w:p>
      <w:pPr>
        <w:widowControl/>
        <w:snapToGrid w:val="0"/>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日　期：</w:t>
      </w:r>
    </w:p>
    <w:p>
      <w:pPr>
        <w:spacing w:before="240" w:beforeLines="100" w:line="360" w:lineRule="auto"/>
        <w:ind w:left="1222" w:leftChars="257" w:hanging="682" w:hangingChars="325"/>
        <w:jc w:val="center"/>
        <w:rPr>
          <w:rFonts w:asciiTheme="minorEastAsia" w:hAnsiTheme="minorEastAsia" w:eastAsiaTheme="minorEastAsia"/>
          <w:sz w:val="24"/>
        </w:rPr>
      </w:pPr>
      <w:r>
        <w:rPr>
          <w:rFonts w:asciiTheme="minorEastAsia" w:hAnsiTheme="minorEastAsia" w:eastAsiaTheme="minorEastAsia"/>
        </w:rPr>
        <w:br w:type="page"/>
      </w:r>
      <w:r>
        <w:rPr>
          <w:rFonts w:hint="eastAsia" w:asciiTheme="minorEastAsia" w:hAnsiTheme="minorEastAsia" w:eastAsiaTheme="minorEastAsia"/>
          <w:sz w:val="24"/>
        </w:rPr>
        <w:t>制造商</w:t>
      </w:r>
      <w:r>
        <w:rPr>
          <w:rFonts w:asciiTheme="minorEastAsia" w:hAnsiTheme="minorEastAsia" w:eastAsiaTheme="minorEastAsia"/>
          <w:sz w:val="24"/>
        </w:rPr>
        <w:t>投标人企业类型声明函</w:t>
      </w:r>
    </w:p>
    <w:p>
      <w:pPr>
        <w:spacing w:line="360" w:lineRule="auto"/>
        <w:ind w:left="1080" w:leftChars="257" w:hanging="540"/>
        <w:jc w:val="center"/>
        <w:rPr>
          <w:rFonts w:asciiTheme="minorEastAsia" w:hAnsiTheme="minorEastAsia" w:eastAsiaTheme="minorEastAsia"/>
          <w:b/>
          <w:kern w:val="0"/>
          <w:sz w:val="24"/>
          <w:szCs w:val="20"/>
        </w:rPr>
      </w:pPr>
    </w:p>
    <w:p>
      <w:pPr>
        <w:widowControl/>
        <w:spacing w:before="240" w:beforeLines="100" w:after="100" w:afterAutospacing="1" w:line="360" w:lineRule="auto"/>
        <w:ind w:firstLine="720" w:firstLineChars="300"/>
        <w:jc w:val="left"/>
        <w:rPr>
          <w:rFonts w:asciiTheme="minorEastAsia" w:hAnsiTheme="minorEastAsia" w:eastAsiaTheme="minorEastAsia"/>
          <w:sz w:val="24"/>
        </w:rPr>
      </w:pPr>
      <w:r>
        <w:rPr>
          <w:rFonts w:asciiTheme="minorEastAsia" w:hAnsiTheme="minorEastAsia" w:eastAsiaTheme="minorEastAsia"/>
          <w:sz w:val="24"/>
        </w:rPr>
        <w:t>本公司</w:t>
      </w:r>
      <w:r>
        <w:rPr>
          <w:rFonts w:hint="eastAsia" w:asciiTheme="minorEastAsia" w:hAnsiTheme="minorEastAsia" w:eastAsiaTheme="minorEastAsia"/>
          <w:sz w:val="24"/>
        </w:rPr>
        <w:t>作</w:t>
      </w:r>
      <w:r>
        <w:rPr>
          <w:rFonts w:asciiTheme="minorEastAsia" w:hAnsiTheme="minorEastAsia" w:eastAsiaTheme="minorEastAsia"/>
          <w:sz w:val="24"/>
        </w:rPr>
        <w:t>为______单位的______</w:t>
      </w:r>
      <w:r>
        <w:rPr>
          <w:rFonts w:hint="eastAsia" w:asciiTheme="minorEastAsia" w:hAnsiTheme="minorEastAsia" w:eastAsiaTheme="minorEastAsia"/>
          <w:sz w:val="24"/>
        </w:rPr>
        <w:t>项目的设备制造商，</w:t>
      </w:r>
      <w:r>
        <w:rPr>
          <w:rFonts w:asciiTheme="minorEastAsia" w:hAnsiTheme="minorEastAsia" w:eastAsiaTheme="minorEastAsia"/>
          <w:sz w:val="24"/>
        </w:rPr>
        <w:t>参加</w:t>
      </w:r>
      <w:r>
        <w:rPr>
          <w:rFonts w:hint="eastAsia" w:asciiTheme="minorEastAsia" w:hAnsiTheme="minorEastAsia" w:eastAsiaTheme="minorEastAsia"/>
          <w:sz w:val="24"/>
        </w:rPr>
        <w:t>政府</w:t>
      </w:r>
      <w:r>
        <w:rPr>
          <w:rFonts w:asciiTheme="minorEastAsia" w:hAnsiTheme="minorEastAsia" w:eastAsiaTheme="minorEastAsia"/>
          <w:sz w:val="24"/>
        </w:rPr>
        <w:t>采购活动</w:t>
      </w:r>
      <w:r>
        <w:rPr>
          <w:rFonts w:hint="eastAsia" w:asciiTheme="minorEastAsia" w:hAnsiTheme="minorEastAsia" w:eastAsiaTheme="minorEastAsia"/>
          <w:sz w:val="24"/>
        </w:rPr>
        <w:t>。</w:t>
      </w:r>
      <w:r>
        <w:rPr>
          <w:rFonts w:asciiTheme="minorEastAsia" w:hAnsiTheme="minorEastAsia" w:eastAsiaTheme="minorEastAsia"/>
          <w:sz w:val="24"/>
        </w:rPr>
        <w:t>根据《政府采购促进中小企业发展暂行办法》（财库[2011]181号）的规定</w:t>
      </w:r>
      <w:r>
        <w:rPr>
          <w:rFonts w:hint="eastAsia" w:asciiTheme="minorEastAsia" w:hAnsiTheme="minorEastAsia" w:eastAsiaTheme="minorEastAsia"/>
          <w:sz w:val="24"/>
        </w:rPr>
        <w:t>，及</w:t>
      </w:r>
      <w:r>
        <w:rPr>
          <w:rFonts w:asciiTheme="minorEastAsia" w:hAnsiTheme="minorEastAsia" w:eastAsiaTheme="minorEastAsia"/>
          <w:sz w:val="24"/>
        </w:rPr>
        <w:t>《工业和信息化部、国家统计局、国家发展和改革委员会、财政部关于印发中小企业划型标准规定的通知》（工信部联企业[2011]300号）规定的划分标准，</w:t>
      </w:r>
      <w:r>
        <w:rPr>
          <w:rFonts w:hint="eastAsia" w:asciiTheme="minorEastAsia" w:hAnsiTheme="minorEastAsia" w:eastAsiaTheme="minorEastAsia"/>
          <w:sz w:val="24"/>
        </w:rPr>
        <w:t>作出如下声明：</w:t>
      </w:r>
    </w:p>
    <w:p>
      <w:pPr>
        <w:widowControl/>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本公司为______（请填写：中型、小型、微型）企业</w:t>
      </w:r>
      <w:r>
        <w:rPr>
          <w:rFonts w:hint="eastAsia" w:asciiTheme="minorEastAsia" w:hAnsiTheme="minorEastAsia" w:eastAsiaTheme="minorEastAsia"/>
          <w:sz w:val="24"/>
        </w:rPr>
        <w:t>，</w:t>
      </w:r>
      <w:r>
        <w:rPr>
          <w:rFonts w:asciiTheme="minorEastAsia" w:hAnsiTheme="minorEastAsia" w:eastAsiaTheme="minorEastAsia"/>
          <w:sz w:val="24"/>
        </w:rPr>
        <w:t>提供本企业制造的货物，由本企业承担工程、提供服务。</w:t>
      </w:r>
    </w:p>
    <w:p>
      <w:pPr>
        <w:widowControl/>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本公司对上述声明的真实性负责。如有虚假，将依法承担相应责任。</w:t>
      </w: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r>
        <w:rPr>
          <w:rFonts w:asciiTheme="minorEastAsia" w:hAnsiTheme="minorEastAsia" w:eastAsiaTheme="minorEastAsia"/>
          <w:sz w:val="24"/>
        </w:rPr>
        <w:t>企业名称（盖章）：</w:t>
      </w:r>
    </w:p>
    <w:p>
      <w:pPr>
        <w:widowControl/>
        <w:spacing w:before="100" w:beforeAutospacing="1" w:after="100" w:afterAutospacing="1" w:line="360" w:lineRule="auto"/>
        <w:ind w:firstLine="5040" w:firstLineChars="2100"/>
        <w:jc w:val="left"/>
        <w:rPr>
          <w:rFonts w:asciiTheme="minorEastAsia" w:hAnsiTheme="minorEastAsia" w:eastAsiaTheme="minorEastAsia"/>
          <w:sz w:val="24"/>
        </w:rPr>
      </w:pPr>
      <w:r>
        <w:rPr>
          <w:rFonts w:asciiTheme="minorEastAsia" w:hAnsiTheme="minorEastAsia" w:eastAsiaTheme="minorEastAsia"/>
          <w:sz w:val="24"/>
        </w:rPr>
        <w:t>　　日　期：</w:t>
      </w:r>
    </w:p>
    <w:p>
      <w:pPr>
        <w:tabs>
          <w:tab w:val="left" w:pos="5580"/>
        </w:tabs>
        <w:spacing w:before="360" w:line="360" w:lineRule="auto"/>
        <w:ind w:left="540" w:firstLine="360"/>
        <w:rPr>
          <w:rFonts w:asciiTheme="minorEastAsia" w:hAnsiTheme="minorEastAsia" w:eastAsiaTheme="minorEastAsia"/>
          <w:bCs/>
          <w:sz w:val="24"/>
        </w:rPr>
      </w:pPr>
    </w:p>
    <w:p>
      <w:pPr>
        <w:tabs>
          <w:tab w:val="left" w:pos="5580"/>
        </w:tabs>
        <w:spacing w:before="360" w:line="360" w:lineRule="auto"/>
        <w:ind w:left="540" w:firstLine="360"/>
        <w:rPr>
          <w:rFonts w:asciiTheme="minorEastAsia" w:hAnsiTheme="minorEastAsia" w:eastAsiaTheme="minorEastAsia"/>
          <w:bCs/>
          <w:sz w:val="24"/>
        </w:rPr>
      </w:pPr>
    </w:p>
    <w:p>
      <w:pPr>
        <w:tabs>
          <w:tab w:val="left" w:pos="5580"/>
        </w:tabs>
        <w:spacing w:before="120" w:line="360" w:lineRule="auto"/>
        <w:ind w:left="-2" w:leftChars="-1" w:firstLine="2"/>
        <w:jc w:val="center"/>
        <w:rPr>
          <w:rFonts w:asciiTheme="minorEastAsia" w:hAnsiTheme="minorEastAsia" w:eastAsiaTheme="minorEastAsia"/>
          <w:sz w:val="24"/>
        </w:rPr>
      </w:pPr>
    </w:p>
    <w:p>
      <w:pPr>
        <w:pStyle w:val="4"/>
        <w:spacing w:line="360" w:lineRule="auto"/>
        <w:rPr>
          <w:rFonts w:asciiTheme="minorEastAsia" w:hAnsiTheme="minorEastAsia" w:eastAsiaTheme="minorEastAsia"/>
        </w:rPr>
        <w:sectPr>
          <w:pgSz w:w="11907" w:h="16840"/>
          <w:pgMar w:top="1089" w:right="1418" w:bottom="1400" w:left="1418" w:header="851" w:footer="992" w:gutter="0"/>
          <w:cols w:space="720" w:num="1"/>
          <w:docGrid w:linePitch="312" w:charSpace="0"/>
        </w:sectPr>
      </w:pPr>
    </w:p>
    <w:p>
      <w:pPr>
        <w:pStyle w:val="5"/>
        <w:spacing w:line="360" w:lineRule="auto"/>
        <w:ind w:left="899" w:hanging="899"/>
        <w:jc w:val="center"/>
        <w:rPr>
          <w:rFonts w:asciiTheme="minorEastAsia" w:hAnsiTheme="minorEastAsia" w:eastAsiaTheme="minorEastAsia"/>
          <w:b w:val="0"/>
        </w:rPr>
      </w:pPr>
      <w:bookmarkStart w:id="407" w:name="_Toc529435104"/>
      <w:bookmarkStart w:id="408" w:name="_Toc514926472"/>
      <w:bookmarkStart w:id="409" w:name="_Toc497235057"/>
      <w:r>
        <w:rPr>
          <w:rFonts w:asciiTheme="minorEastAsia" w:hAnsiTheme="minorEastAsia" w:eastAsiaTheme="minorEastAsia"/>
        </w:rPr>
        <w:t>19 残疾人福利性单位声明函 （格式）（如适用）</w:t>
      </w:r>
      <w:bookmarkEnd w:id="407"/>
      <w:bookmarkEnd w:id="408"/>
      <w:bookmarkEnd w:id="409"/>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r>
        <w:rPr>
          <w:rFonts w:hint="eastAsia" w:asciiTheme="minorEastAsia" w:hAnsiTheme="minorEastAsia" w:eastAsiaTheme="minor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4"/>
        <w:spacing w:line="360" w:lineRule="auto"/>
        <w:rPr>
          <w:rFonts w:asciiTheme="minorEastAsia" w:hAnsiTheme="minorEastAsia" w:eastAsiaTheme="minorEastAsia"/>
        </w:rPr>
      </w:pPr>
      <w:r>
        <w:rPr>
          <w:rFonts w:hint="eastAsia" w:asciiTheme="minorEastAsia" w:hAnsiTheme="minorEastAsia" w:eastAsiaTheme="minorEastAsia"/>
        </w:rPr>
        <w:t>本单位对上述声明的真实性负责。如有虚假，将依法承担相应责任。</w:t>
      </w: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r>
        <w:rPr>
          <w:rFonts w:hint="eastAsia" w:asciiTheme="minorEastAsia" w:hAnsiTheme="minorEastAsia" w:eastAsiaTheme="minorEastAsia"/>
        </w:rPr>
        <w:t>单位名称（盖章）：</w:t>
      </w:r>
    </w:p>
    <w:p>
      <w:pPr>
        <w:pStyle w:val="4"/>
        <w:spacing w:line="360" w:lineRule="auto"/>
        <w:rPr>
          <w:rFonts w:asciiTheme="minorEastAsia" w:hAnsiTheme="minorEastAsia" w:eastAsiaTheme="minorEastAsia"/>
        </w:rPr>
      </w:pPr>
      <w:r>
        <w:rPr>
          <w:rFonts w:hint="eastAsia" w:asciiTheme="minorEastAsia" w:hAnsiTheme="minorEastAsia" w:eastAsiaTheme="minorEastAsia"/>
        </w:rPr>
        <w:t>日  期：</w:t>
      </w:r>
      <w:bookmarkEnd w:id="349"/>
    </w:p>
    <w:sectPr>
      <w:footerReference r:id="rId14" w:type="first"/>
      <w:footerReference r:id="rId13" w:type="even"/>
      <w:pgSz w:w="11907" w:h="16840"/>
      <w:pgMar w:top="1400" w:right="1418" w:bottom="1089"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kzidenz Grotesk BQ">
    <w:altName w:val="新宋体"/>
    <w:panose1 w:val="00000000000000000000"/>
    <w:charset w:val="00"/>
    <w:family w:val="swiss"/>
    <w:pitch w:val="default"/>
    <w:sig w:usb0="00000000" w:usb1="00000000" w:usb2="00000010" w:usb3="00000000" w:csb0="00040001" w:csb1="00000000"/>
  </w:font>
  <w:font w:name="Frutiger Roman">
    <w:altName w:val="Lucida Sans Unicode"/>
    <w:panose1 w:val="00000000000000000000"/>
    <w:charset w:val="00"/>
    <w:family w:val="swiss"/>
    <w:pitch w:val="default"/>
    <w:sig w:usb0="00000000" w:usb1="00000000" w:usb2="00000000" w:usb3="00000000" w:csb0="00000013"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新宋体">
    <w:panose1 w:val="02010609030101010101"/>
    <w:charset w:val="86"/>
    <w:family w:val="auto"/>
    <w:pitch w:val="default"/>
    <w:sig w:usb0="00000283" w:usb1="288F0000" w:usb2="00000006" w:usb3="00000000" w:csb0="00040001" w:csb1="00000000"/>
  </w:font>
  <w:font w:name="Lucida Sans Unicode">
    <w:panose1 w:val="020B0602030504020204"/>
    <w:charset w:val="00"/>
    <w:family w:val="auto"/>
    <w:pitch w:val="default"/>
    <w:sig w:usb0="80001AFF" w:usb1="0000396B" w:usb2="00000000" w:usb3="00000000" w:csb0="200000BF" w:csb1="D7F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separate"/>
    </w:r>
    <w:r>
      <w:rPr>
        <w:rStyle w:val="47"/>
      </w:rPr>
      <w:t>20</w:t>
    </w:r>
    <w:r>
      <w:fldChar w:fldCharType="end"/>
    </w:r>
  </w:p>
  <w:p>
    <w:pPr>
      <w:pStyle w:val="26"/>
      <w:ind w:left="6300" w:hanging="6300" w:hangingChars="3500"/>
      <w:jc w:val="both"/>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rFonts w:hint="eastAsia"/>
      </w:rPr>
      <w:t>25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szCs w:val="18"/>
      </w:rPr>
    </w:pPr>
    <w:r>
      <w:rPr>
        <w:rFonts w:hint="eastAsia"/>
      </w:rPr>
      <w:t xml:space="preserve">                                         2                        </w:t>
    </w:r>
    <w:r>
      <w:rPr>
        <w:rFonts w:hint="eastAsia"/>
        <w:szCs w:val="18"/>
      </w:rPr>
      <w:t>北京华采招标代理有限公司(HCZB)</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page" w:x="8193" w:y="-153"/>
      <w:rPr>
        <w:rStyle w:val="47"/>
      </w:rPr>
    </w:pPr>
    <w:r>
      <w:fldChar w:fldCharType="begin"/>
    </w:r>
    <w:r>
      <w:rPr>
        <w:rStyle w:val="47"/>
      </w:rPr>
      <w:instrText xml:space="preserve">PAGE  </w:instrText>
    </w:r>
    <w:r>
      <w:fldChar w:fldCharType="separate"/>
    </w:r>
    <w:r>
      <w:rPr>
        <w:rStyle w:val="47"/>
      </w:rPr>
      <w:t>55</w:t>
    </w:r>
    <w:r>
      <w:fldChar w:fldCharType="end"/>
    </w:r>
  </w:p>
  <w:p>
    <w:pPr>
      <w:pStyle w:val="26"/>
      <w:ind w:right="360"/>
      <w:jc w:val="center"/>
      <w:rPr>
        <w:rFonts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separate"/>
    </w:r>
    <w:r>
      <w:rPr>
        <w:rStyle w:val="47"/>
      </w:rPr>
      <w:t>91</w:t>
    </w:r>
    <w:r>
      <w:fldChar w:fldCharType="end"/>
    </w:r>
  </w:p>
  <w:p>
    <w:pPr>
      <w:pStyle w:val="26"/>
      <w:jc w:val="center"/>
    </w:pPr>
  </w:p>
  <w:p>
    <w:pPr>
      <w:pStyle w:val="26"/>
      <w:jc w:val="right"/>
      <w:rPr>
        <w:rFonts w:hAnsi="宋体"/>
      </w:rPr>
    </w:pPr>
    <w:r>
      <w:rPr>
        <w:rFonts w:hint="eastAsia" w:ascii="仿宋_GB2312" w:eastAsia="仿宋_GB2312"/>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separate"/>
    </w:r>
    <w:r>
      <w:rPr>
        <w:rStyle w:val="47"/>
      </w:rPr>
      <w:t>66</w:t>
    </w:r>
    <w:r>
      <w:fldChar w:fldCharType="end"/>
    </w:r>
  </w:p>
  <w:p>
    <w:pPr>
      <w:pStyle w:val="26"/>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47"/>
      </w:rPr>
    </w:pPr>
  </w:p>
  <w:p>
    <w:pPr>
      <w:pStyle w:val="26"/>
      <w:ind w:right="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47"/>
      </w:rPr>
    </w:pPr>
  </w:p>
  <w:p>
    <w:pPr>
      <w:pStyle w:val="26"/>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lvl w:ilvl="0" w:tentative="0">
      <w:start w:val="1"/>
      <w:numFmt w:val="decimal"/>
      <w:lvlText w:val="%1、"/>
      <w:lvlJc w:val="left"/>
      <w:pPr>
        <w:tabs>
          <w:tab w:val="left" w:pos="360"/>
        </w:tabs>
        <w:ind w:left="360" w:hanging="360"/>
      </w:pPr>
      <w:rPr>
        <w:rFonts w:hint="default" w:cs="Times New Roman"/>
      </w:rPr>
    </w:lvl>
  </w:abstractNum>
  <w:abstractNum w:abstractNumId="1">
    <w:nsid w:val="0000000A"/>
    <w:multiLevelType w:val="multilevel"/>
    <w:tmpl w:val="0000000A"/>
    <w:lvl w:ilvl="0" w:tentative="0">
      <w:start w:val="29"/>
      <w:numFmt w:val="decimal"/>
      <w:lvlText w:val="%1"/>
      <w:lvlJc w:val="left"/>
      <w:pPr>
        <w:ind w:left="480" w:hanging="480"/>
      </w:pPr>
      <w:rPr>
        <w:rFonts w:hint="default"/>
      </w:rPr>
    </w:lvl>
    <w:lvl w:ilvl="1" w:tentative="0">
      <w:start w:val="4"/>
      <w:numFmt w:val="decimal"/>
      <w:lvlText w:val="%1.%2"/>
      <w:lvlJc w:val="left"/>
      <w:pPr>
        <w:ind w:left="481" w:hanging="480"/>
      </w:pPr>
      <w:rPr>
        <w:rFonts w:hint="default"/>
      </w:rPr>
    </w:lvl>
    <w:lvl w:ilvl="2" w:tentative="0">
      <w:start w:val="1"/>
      <w:numFmt w:val="decimal"/>
      <w:lvlText w:val="%1.%2.%3"/>
      <w:lvlJc w:val="left"/>
      <w:pPr>
        <w:ind w:left="722" w:hanging="720"/>
      </w:pPr>
      <w:rPr>
        <w:rFonts w:hint="default"/>
      </w:rPr>
    </w:lvl>
    <w:lvl w:ilvl="3" w:tentative="0">
      <w:start w:val="1"/>
      <w:numFmt w:val="decimal"/>
      <w:lvlText w:val="%1.%2.%3.%4"/>
      <w:lvlJc w:val="left"/>
      <w:pPr>
        <w:ind w:left="1083" w:hanging="1080"/>
      </w:pPr>
      <w:rPr>
        <w:rFonts w:hint="default"/>
      </w:rPr>
    </w:lvl>
    <w:lvl w:ilvl="4" w:tentative="0">
      <w:start w:val="1"/>
      <w:numFmt w:val="decimal"/>
      <w:lvlText w:val="%1.%2.%3.%4.%5"/>
      <w:lvlJc w:val="left"/>
      <w:pPr>
        <w:ind w:left="1084" w:hanging="1080"/>
      </w:pPr>
      <w:rPr>
        <w:rFonts w:hint="default"/>
      </w:rPr>
    </w:lvl>
    <w:lvl w:ilvl="5" w:tentative="0">
      <w:start w:val="1"/>
      <w:numFmt w:val="decimal"/>
      <w:lvlText w:val="%1.%2.%3.%4.%5.%6"/>
      <w:lvlJc w:val="left"/>
      <w:pPr>
        <w:ind w:left="1445" w:hanging="1440"/>
      </w:pPr>
      <w:rPr>
        <w:rFonts w:hint="default"/>
      </w:rPr>
    </w:lvl>
    <w:lvl w:ilvl="6" w:tentative="0">
      <w:start w:val="1"/>
      <w:numFmt w:val="decimal"/>
      <w:lvlText w:val="%1.%2.%3.%4.%5.%6.%7"/>
      <w:lvlJc w:val="left"/>
      <w:pPr>
        <w:ind w:left="1806" w:hanging="1800"/>
      </w:pPr>
      <w:rPr>
        <w:rFonts w:hint="default"/>
      </w:rPr>
    </w:lvl>
    <w:lvl w:ilvl="7" w:tentative="0">
      <w:start w:val="1"/>
      <w:numFmt w:val="decimal"/>
      <w:lvlText w:val="%1.%2.%3.%4.%5.%6.%7.%8"/>
      <w:lvlJc w:val="left"/>
      <w:pPr>
        <w:ind w:left="1807" w:hanging="1800"/>
      </w:pPr>
      <w:rPr>
        <w:rFonts w:hint="default"/>
      </w:rPr>
    </w:lvl>
    <w:lvl w:ilvl="8" w:tentative="0">
      <w:start w:val="1"/>
      <w:numFmt w:val="decimal"/>
      <w:lvlText w:val="%1.%2.%3.%4.%5.%6.%7.%8.%9"/>
      <w:lvlJc w:val="left"/>
      <w:pPr>
        <w:ind w:left="2168" w:hanging="2160"/>
      </w:pPr>
      <w:rPr>
        <w:rFonts w:hint="default"/>
      </w:rPr>
    </w:lvl>
  </w:abstractNum>
  <w:abstractNum w:abstractNumId="2">
    <w:nsid w:val="0000000C"/>
    <w:multiLevelType w:val="multilevel"/>
    <w:tmpl w:val="0000000C"/>
    <w:lvl w:ilvl="0" w:tentative="0">
      <w:start w:val="1"/>
      <w:numFmt w:val="decimal"/>
      <w:lvlText w:val="%1"/>
      <w:lvlJc w:val="left"/>
      <w:pPr>
        <w:tabs>
          <w:tab w:val="left" w:pos="360"/>
        </w:tabs>
        <w:ind w:left="360" w:hanging="360"/>
      </w:pPr>
      <w:rPr>
        <w:rFonts w:hint="default"/>
      </w:rPr>
    </w:lvl>
    <w:lvl w:ilvl="1" w:tentative="0">
      <w:start w:val="3"/>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39"/>
    <w:multiLevelType w:val="multilevel"/>
    <w:tmpl w:val="00000039"/>
    <w:lvl w:ilvl="0" w:tentative="0">
      <w:start w:val="1"/>
      <w:numFmt w:val="bullet"/>
      <w:pStyle w:val="111"/>
      <w:lvlText w:val=""/>
      <w:lvlJc w:val="left"/>
      <w:pPr>
        <w:tabs>
          <w:tab w:val="left" w:pos="576"/>
        </w:tabs>
        <w:ind w:left="576" w:hanging="288"/>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308C34B7"/>
    <w:multiLevelType w:val="singleLevel"/>
    <w:tmpl w:val="308C34B7"/>
    <w:lvl w:ilvl="0" w:tentative="0">
      <w:start w:val="1"/>
      <w:numFmt w:val="decimal"/>
      <w:suff w:val="nothing"/>
      <w:lvlText w:val="（%1）"/>
      <w:lvlJc w:val="left"/>
    </w:lvl>
  </w:abstractNum>
  <w:abstractNum w:abstractNumId="5">
    <w:nsid w:val="46C94A72"/>
    <w:multiLevelType w:val="multilevel"/>
    <w:tmpl w:val="46C94A72"/>
    <w:lvl w:ilvl="0" w:tentative="0">
      <w:start w:val="1"/>
      <w:numFmt w:val="decimal"/>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BDD3166"/>
    <w:multiLevelType w:val="multilevel"/>
    <w:tmpl w:val="7BDD3166"/>
    <w:lvl w:ilvl="0" w:tentative="0">
      <w:start w:val="7"/>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2"/>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4AE"/>
    <w:rsid w:val="000027D7"/>
    <w:rsid w:val="00003C60"/>
    <w:rsid w:val="0000592D"/>
    <w:rsid w:val="00010114"/>
    <w:rsid w:val="0001313D"/>
    <w:rsid w:val="00014835"/>
    <w:rsid w:val="00014D55"/>
    <w:rsid w:val="00015961"/>
    <w:rsid w:val="00016877"/>
    <w:rsid w:val="000176EE"/>
    <w:rsid w:val="0002467A"/>
    <w:rsid w:val="000260B1"/>
    <w:rsid w:val="00030234"/>
    <w:rsid w:val="00030B93"/>
    <w:rsid w:val="00031E1F"/>
    <w:rsid w:val="00033F4A"/>
    <w:rsid w:val="0003508C"/>
    <w:rsid w:val="00035C9F"/>
    <w:rsid w:val="0003672A"/>
    <w:rsid w:val="00041519"/>
    <w:rsid w:val="000447B8"/>
    <w:rsid w:val="00045C8B"/>
    <w:rsid w:val="00047D3B"/>
    <w:rsid w:val="00047E8E"/>
    <w:rsid w:val="00050F56"/>
    <w:rsid w:val="00055D9F"/>
    <w:rsid w:val="00057145"/>
    <w:rsid w:val="000609DA"/>
    <w:rsid w:val="0006104B"/>
    <w:rsid w:val="000612E3"/>
    <w:rsid w:val="00063DE8"/>
    <w:rsid w:val="0006493B"/>
    <w:rsid w:val="00064B4B"/>
    <w:rsid w:val="00066B22"/>
    <w:rsid w:val="000725DB"/>
    <w:rsid w:val="000726C0"/>
    <w:rsid w:val="00075B86"/>
    <w:rsid w:val="00075D75"/>
    <w:rsid w:val="00077859"/>
    <w:rsid w:val="00080985"/>
    <w:rsid w:val="000843E2"/>
    <w:rsid w:val="000849EB"/>
    <w:rsid w:val="000879DE"/>
    <w:rsid w:val="000913AA"/>
    <w:rsid w:val="00093845"/>
    <w:rsid w:val="00093B61"/>
    <w:rsid w:val="000956A9"/>
    <w:rsid w:val="00096DA8"/>
    <w:rsid w:val="000A0CA7"/>
    <w:rsid w:val="000A5C5E"/>
    <w:rsid w:val="000B4F2A"/>
    <w:rsid w:val="000B6D97"/>
    <w:rsid w:val="000C2900"/>
    <w:rsid w:val="000C54AA"/>
    <w:rsid w:val="000D13C5"/>
    <w:rsid w:val="000D2CFF"/>
    <w:rsid w:val="000D30ED"/>
    <w:rsid w:val="000D4591"/>
    <w:rsid w:val="000D790A"/>
    <w:rsid w:val="000E0903"/>
    <w:rsid w:val="000E0BE2"/>
    <w:rsid w:val="000E54E8"/>
    <w:rsid w:val="000E6BFD"/>
    <w:rsid w:val="000F00D3"/>
    <w:rsid w:val="001019D7"/>
    <w:rsid w:val="00103DAB"/>
    <w:rsid w:val="00103FB0"/>
    <w:rsid w:val="0010752B"/>
    <w:rsid w:val="001142A2"/>
    <w:rsid w:val="0011534F"/>
    <w:rsid w:val="0012101E"/>
    <w:rsid w:val="0012116F"/>
    <w:rsid w:val="001236B4"/>
    <w:rsid w:val="0012512E"/>
    <w:rsid w:val="001262F1"/>
    <w:rsid w:val="001302C7"/>
    <w:rsid w:val="00135AED"/>
    <w:rsid w:val="00145987"/>
    <w:rsid w:val="00145D5D"/>
    <w:rsid w:val="00146DA2"/>
    <w:rsid w:val="00147210"/>
    <w:rsid w:val="00154315"/>
    <w:rsid w:val="00155872"/>
    <w:rsid w:val="00156A60"/>
    <w:rsid w:val="00160922"/>
    <w:rsid w:val="001617C2"/>
    <w:rsid w:val="00166FBA"/>
    <w:rsid w:val="00167FA7"/>
    <w:rsid w:val="00171FD9"/>
    <w:rsid w:val="00172074"/>
    <w:rsid w:val="00172A27"/>
    <w:rsid w:val="0017338E"/>
    <w:rsid w:val="00175E55"/>
    <w:rsid w:val="00176C5E"/>
    <w:rsid w:val="00191364"/>
    <w:rsid w:val="00191D44"/>
    <w:rsid w:val="00193957"/>
    <w:rsid w:val="00196C26"/>
    <w:rsid w:val="001976EB"/>
    <w:rsid w:val="0019783F"/>
    <w:rsid w:val="001A1DDB"/>
    <w:rsid w:val="001A2DF7"/>
    <w:rsid w:val="001A3F5B"/>
    <w:rsid w:val="001A61A6"/>
    <w:rsid w:val="001A6FB7"/>
    <w:rsid w:val="001B4B52"/>
    <w:rsid w:val="001C0C6C"/>
    <w:rsid w:val="001C3096"/>
    <w:rsid w:val="001C64C1"/>
    <w:rsid w:val="001C69DD"/>
    <w:rsid w:val="001D3208"/>
    <w:rsid w:val="001D479E"/>
    <w:rsid w:val="001D5E90"/>
    <w:rsid w:val="001D7C24"/>
    <w:rsid w:val="001E04F1"/>
    <w:rsid w:val="001E42F6"/>
    <w:rsid w:val="001E496F"/>
    <w:rsid w:val="001E6906"/>
    <w:rsid w:val="001F15ED"/>
    <w:rsid w:val="001F1BE7"/>
    <w:rsid w:val="001F21FB"/>
    <w:rsid w:val="001F435B"/>
    <w:rsid w:val="001F4791"/>
    <w:rsid w:val="001F4CBF"/>
    <w:rsid w:val="001F7688"/>
    <w:rsid w:val="0020031F"/>
    <w:rsid w:val="00200B80"/>
    <w:rsid w:val="00202E32"/>
    <w:rsid w:val="00204786"/>
    <w:rsid w:val="002052CA"/>
    <w:rsid w:val="0021502C"/>
    <w:rsid w:val="0022019A"/>
    <w:rsid w:val="00225527"/>
    <w:rsid w:val="00226C27"/>
    <w:rsid w:val="002302FF"/>
    <w:rsid w:val="00231F42"/>
    <w:rsid w:val="0023457F"/>
    <w:rsid w:val="00235202"/>
    <w:rsid w:val="00242CB9"/>
    <w:rsid w:val="00244D63"/>
    <w:rsid w:val="002461DC"/>
    <w:rsid w:val="0024742A"/>
    <w:rsid w:val="00254AD4"/>
    <w:rsid w:val="00263353"/>
    <w:rsid w:val="002641BF"/>
    <w:rsid w:val="002657D5"/>
    <w:rsid w:val="00273BE3"/>
    <w:rsid w:val="00280F68"/>
    <w:rsid w:val="002831E5"/>
    <w:rsid w:val="0028590C"/>
    <w:rsid w:val="00287213"/>
    <w:rsid w:val="002972CB"/>
    <w:rsid w:val="002A1881"/>
    <w:rsid w:val="002A3106"/>
    <w:rsid w:val="002A5781"/>
    <w:rsid w:val="002A771D"/>
    <w:rsid w:val="002B1C22"/>
    <w:rsid w:val="002B2269"/>
    <w:rsid w:val="002B24EE"/>
    <w:rsid w:val="002B29A9"/>
    <w:rsid w:val="002B2CC6"/>
    <w:rsid w:val="002C3B75"/>
    <w:rsid w:val="002C4D0D"/>
    <w:rsid w:val="002C6B06"/>
    <w:rsid w:val="002D037A"/>
    <w:rsid w:val="002D5785"/>
    <w:rsid w:val="002D7149"/>
    <w:rsid w:val="002E542A"/>
    <w:rsid w:val="002E79A5"/>
    <w:rsid w:val="0030224A"/>
    <w:rsid w:val="00305768"/>
    <w:rsid w:val="003114EA"/>
    <w:rsid w:val="0031375F"/>
    <w:rsid w:val="00313B05"/>
    <w:rsid w:val="00320848"/>
    <w:rsid w:val="00321819"/>
    <w:rsid w:val="003227FD"/>
    <w:rsid w:val="00322CBB"/>
    <w:rsid w:val="00323894"/>
    <w:rsid w:val="0032623D"/>
    <w:rsid w:val="00326BA7"/>
    <w:rsid w:val="00330CA9"/>
    <w:rsid w:val="00335B85"/>
    <w:rsid w:val="003426F8"/>
    <w:rsid w:val="00345132"/>
    <w:rsid w:val="00345DDF"/>
    <w:rsid w:val="00352856"/>
    <w:rsid w:val="00353806"/>
    <w:rsid w:val="00354588"/>
    <w:rsid w:val="0035612A"/>
    <w:rsid w:val="00356168"/>
    <w:rsid w:val="003601B9"/>
    <w:rsid w:val="00361893"/>
    <w:rsid w:val="00366071"/>
    <w:rsid w:val="00366C5B"/>
    <w:rsid w:val="003670E3"/>
    <w:rsid w:val="00370CC3"/>
    <w:rsid w:val="00370DF1"/>
    <w:rsid w:val="003729AF"/>
    <w:rsid w:val="00372DEC"/>
    <w:rsid w:val="003766C1"/>
    <w:rsid w:val="00383A5B"/>
    <w:rsid w:val="00384234"/>
    <w:rsid w:val="00393171"/>
    <w:rsid w:val="00394ED9"/>
    <w:rsid w:val="00397DB3"/>
    <w:rsid w:val="003A294D"/>
    <w:rsid w:val="003A2A91"/>
    <w:rsid w:val="003A7016"/>
    <w:rsid w:val="003A7877"/>
    <w:rsid w:val="003A7B51"/>
    <w:rsid w:val="003B1A26"/>
    <w:rsid w:val="003B2FD0"/>
    <w:rsid w:val="003B5FB2"/>
    <w:rsid w:val="003C0595"/>
    <w:rsid w:val="003C3723"/>
    <w:rsid w:val="003C4D64"/>
    <w:rsid w:val="003C67AD"/>
    <w:rsid w:val="003C68EC"/>
    <w:rsid w:val="003C716B"/>
    <w:rsid w:val="003D03B9"/>
    <w:rsid w:val="003D34ED"/>
    <w:rsid w:val="003D5033"/>
    <w:rsid w:val="003D6157"/>
    <w:rsid w:val="003D75E6"/>
    <w:rsid w:val="003E0DF2"/>
    <w:rsid w:val="003E28FC"/>
    <w:rsid w:val="003E7C8F"/>
    <w:rsid w:val="003F1418"/>
    <w:rsid w:val="003F2824"/>
    <w:rsid w:val="00400654"/>
    <w:rsid w:val="00401438"/>
    <w:rsid w:val="004063B9"/>
    <w:rsid w:val="004131F5"/>
    <w:rsid w:val="00414941"/>
    <w:rsid w:val="004156F6"/>
    <w:rsid w:val="00420C54"/>
    <w:rsid w:val="004225B9"/>
    <w:rsid w:val="00423B3A"/>
    <w:rsid w:val="00424E5D"/>
    <w:rsid w:val="00424E62"/>
    <w:rsid w:val="00431FF3"/>
    <w:rsid w:val="00443EAB"/>
    <w:rsid w:val="00446DE4"/>
    <w:rsid w:val="0045216F"/>
    <w:rsid w:val="004542D4"/>
    <w:rsid w:val="00454C5F"/>
    <w:rsid w:val="00455CE8"/>
    <w:rsid w:val="004605FB"/>
    <w:rsid w:val="00460CA4"/>
    <w:rsid w:val="00465118"/>
    <w:rsid w:val="004652B7"/>
    <w:rsid w:val="004670AE"/>
    <w:rsid w:val="0047250D"/>
    <w:rsid w:val="00473FDA"/>
    <w:rsid w:val="004743C0"/>
    <w:rsid w:val="00474F60"/>
    <w:rsid w:val="00493D49"/>
    <w:rsid w:val="004A1188"/>
    <w:rsid w:val="004A1490"/>
    <w:rsid w:val="004A1A7E"/>
    <w:rsid w:val="004A2B45"/>
    <w:rsid w:val="004A4FC0"/>
    <w:rsid w:val="004A6997"/>
    <w:rsid w:val="004B00B5"/>
    <w:rsid w:val="004B158B"/>
    <w:rsid w:val="004B371B"/>
    <w:rsid w:val="004B4A69"/>
    <w:rsid w:val="004B74DD"/>
    <w:rsid w:val="004C3CC6"/>
    <w:rsid w:val="004D0939"/>
    <w:rsid w:val="004D1133"/>
    <w:rsid w:val="004D115C"/>
    <w:rsid w:val="004D6CC1"/>
    <w:rsid w:val="004D6FB9"/>
    <w:rsid w:val="004D7810"/>
    <w:rsid w:val="004E28B1"/>
    <w:rsid w:val="004F6896"/>
    <w:rsid w:val="00500052"/>
    <w:rsid w:val="00500ECA"/>
    <w:rsid w:val="005046AE"/>
    <w:rsid w:val="005046E8"/>
    <w:rsid w:val="0051319F"/>
    <w:rsid w:val="00513A58"/>
    <w:rsid w:val="00514860"/>
    <w:rsid w:val="00516615"/>
    <w:rsid w:val="005208A8"/>
    <w:rsid w:val="005272C6"/>
    <w:rsid w:val="00527329"/>
    <w:rsid w:val="00530903"/>
    <w:rsid w:val="00530AAA"/>
    <w:rsid w:val="005311DB"/>
    <w:rsid w:val="00535C91"/>
    <w:rsid w:val="00540408"/>
    <w:rsid w:val="005415F3"/>
    <w:rsid w:val="00545067"/>
    <w:rsid w:val="00545F51"/>
    <w:rsid w:val="00546C7C"/>
    <w:rsid w:val="0055528B"/>
    <w:rsid w:val="0055673F"/>
    <w:rsid w:val="00560B93"/>
    <w:rsid w:val="00561348"/>
    <w:rsid w:val="005635E8"/>
    <w:rsid w:val="00564EFD"/>
    <w:rsid w:val="00574936"/>
    <w:rsid w:val="00576BE0"/>
    <w:rsid w:val="00577F17"/>
    <w:rsid w:val="00581209"/>
    <w:rsid w:val="00583E5C"/>
    <w:rsid w:val="0058596F"/>
    <w:rsid w:val="005920EB"/>
    <w:rsid w:val="00594CBA"/>
    <w:rsid w:val="005A097A"/>
    <w:rsid w:val="005A10D4"/>
    <w:rsid w:val="005A379F"/>
    <w:rsid w:val="005B32E2"/>
    <w:rsid w:val="005B3F72"/>
    <w:rsid w:val="005B600E"/>
    <w:rsid w:val="005B7155"/>
    <w:rsid w:val="005B7160"/>
    <w:rsid w:val="005C088F"/>
    <w:rsid w:val="005C1383"/>
    <w:rsid w:val="005C47D1"/>
    <w:rsid w:val="005D39DB"/>
    <w:rsid w:val="005D57F1"/>
    <w:rsid w:val="005D7123"/>
    <w:rsid w:val="005E06F1"/>
    <w:rsid w:val="005E1DD9"/>
    <w:rsid w:val="005E63B8"/>
    <w:rsid w:val="005E6ABF"/>
    <w:rsid w:val="005E799E"/>
    <w:rsid w:val="005F0FF6"/>
    <w:rsid w:val="005F29D9"/>
    <w:rsid w:val="005F35A6"/>
    <w:rsid w:val="005F3EB3"/>
    <w:rsid w:val="005F53DC"/>
    <w:rsid w:val="005F70EB"/>
    <w:rsid w:val="005F7DFA"/>
    <w:rsid w:val="0060312E"/>
    <w:rsid w:val="00605DD8"/>
    <w:rsid w:val="00605F68"/>
    <w:rsid w:val="00606C11"/>
    <w:rsid w:val="00615555"/>
    <w:rsid w:val="00617286"/>
    <w:rsid w:val="00617585"/>
    <w:rsid w:val="006240BC"/>
    <w:rsid w:val="00626405"/>
    <w:rsid w:val="00627207"/>
    <w:rsid w:val="00627290"/>
    <w:rsid w:val="00627382"/>
    <w:rsid w:val="00632146"/>
    <w:rsid w:val="00633752"/>
    <w:rsid w:val="00635CD2"/>
    <w:rsid w:val="00636C99"/>
    <w:rsid w:val="00642EF2"/>
    <w:rsid w:val="00643C26"/>
    <w:rsid w:val="00644491"/>
    <w:rsid w:val="00644D01"/>
    <w:rsid w:val="0064580B"/>
    <w:rsid w:val="00651D0F"/>
    <w:rsid w:val="006546FF"/>
    <w:rsid w:val="00654863"/>
    <w:rsid w:val="00654C50"/>
    <w:rsid w:val="006555A3"/>
    <w:rsid w:val="00655AE2"/>
    <w:rsid w:val="006564F8"/>
    <w:rsid w:val="00657A12"/>
    <w:rsid w:val="00657CE4"/>
    <w:rsid w:val="00657E8A"/>
    <w:rsid w:val="00660CA2"/>
    <w:rsid w:val="006631BE"/>
    <w:rsid w:val="00663B57"/>
    <w:rsid w:val="00665839"/>
    <w:rsid w:val="00665CEA"/>
    <w:rsid w:val="0066751F"/>
    <w:rsid w:val="00667C27"/>
    <w:rsid w:val="00673780"/>
    <w:rsid w:val="00674505"/>
    <w:rsid w:val="006747AB"/>
    <w:rsid w:val="006749BD"/>
    <w:rsid w:val="006776B0"/>
    <w:rsid w:val="00677E1D"/>
    <w:rsid w:val="0068115E"/>
    <w:rsid w:val="006814AC"/>
    <w:rsid w:val="0068340D"/>
    <w:rsid w:val="00684E6C"/>
    <w:rsid w:val="00685570"/>
    <w:rsid w:val="00686E6F"/>
    <w:rsid w:val="00687A37"/>
    <w:rsid w:val="006926F2"/>
    <w:rsid w:val="006944C1"/>
    <w:rsid w:val="00694D96"/>
    <w:rsid w:val="006964B2"/>
    <w:rsid w:val="00696C1B"/>
    <w:rsid w:val="006A01EF"/>
    <w:rsid w:val="006A2460"/>
    <w:rsid w:val="006B4C9D"/>
    <w:rsid w:val="006C0075"/>
    <w:rsid w:val="006C119B"/>
    <w:rsid w:val="006C1269"/>
    <w:rsid w:val="006C1F30"/>
    <w:rsid w:val="006C31B1"/>
    <w:rsid w:val="006C6621"/>
    <w:rsid w:val="006C7A3D"/>
    <w:rsid w:val="006D11A4"/>
    <w:rsid w:val="006D1CDC"/>
    <w:rsid w:val="006D45A8"/>
    <w:rsid w:val="006E1CB7"/>
    <w:rsid w:val="006E64CA"/>
    <w:rsid w:val="006E6614"/>
    <w:rsid w:val="006E712C"/>
    <w:rsid w:val="006F4309"/>
    <w:rsid w:val="007003BD"/>
    <w:rsid w:val="00700F43"/>
    <w:rsid w:val="00701C70"/>
    <w:rsid w:val="007021CA"/>
    <w:rsid w:val="00703BE0"/>
    <w:rsid w:val="00703F18"/>
    <w:rsid w:val="00704B02"/>
    <w:rsid w:val="00711D76"/>
    <w:rsid w:val="00712E95"/>
    <w:rsid w:val="00713C6E"/>
    <w:rsid w:val="00713FF8"/>
    <w:rsid w:val="007163C5"/>
    <w:rsid w:val="007175D4"/>
    <w:rsid w:val="00720FF0"/>
    <w:rsid w:val="0072266F"/>
    <w:rsid w:val="00723F31"/>
    <w:rsid w:val="00725508"/>
    <w:rsid w:val="00734C3B"/>
    <w:rsid w:val="00736C5A"/>
    <w:rsid w:val="007375D7"/>
    <w:rsid w:val="00752B89"/>
    <w:rsid w:val="00753B6A"/>
    <w:rsid w:val="00754CA0"/>
    <w:rsid w:val="0076072C"/>
    <w:rsid w:val="00761F85"/>
    <w:rsid w:val="00762139"/>
    <w:rsid w:val="007638DB"/>
    <w:rsid w:val="007638FE"/>
    <w:rsid w:val="00772A14"/>
    <w:rsid w:val="00777726"/>
    <w:rsid w:val="00780FFA"/>
    <w:rsid w:val="00781B93"/>
    <w:rsid w:val="00784C6C"/>
    <w:rsid w:val="00790A8B"/>
    <w:rsid w:val="00790B4B"/>
    <w:rsid w:val="00792A20"/>
    <w:rsid w:val="007949DD"/>
    <w:rsid w:val="00796264"/>
    <w:rsid w:val="00796650"/>
    <w:rsid w:val="007A63E8"/>
    <w:rsid w:val="007A7FC6"/>
    <w:rsid w:val="007B1D5C"/>
    <w:rsid w:val="007B60EF"/>
    <w:rsid w:val="007B6D34"/>
    <w:rsid w:val="007B7415"/>
    <w:rsid w:val="007C3143"/>
    <w:rsid w:val="007C37D2"/>
    <w:rsid w:val="007C5707"/>
    <w:rsid w:val="007C714A"/>
    <w:rsid w:val="007C7A0B"/>
    <w:rsid w:val="007C7FF1"/>
    <w:rsid w:val="007D2317"/>
    <w:rsid w:val="007D64AA"/>
    <w:rsid w:val="007E1B99"/>
    <w:rsid w:val="007E333A"/>
    <w:rsid w:val="007E6260"/>
    <w:rsid w:val="007F4264"/>
    <w:rsid w:val="007F782F"/>
    <w:rsid w:val="00803522"/>
    <w:rsid w:val="008043F9"/>
    <w:rsid w:val="00806EFB"/>
    <w:rsid w:val="0080736D"/>
    <w:rsid w:val="00807FCF"/>
    <w:rsid w:val="008107C8"/>
    <w:rsid w:val="00812C76"/>
    <w:rsid w:val="00814765"/>
    <w:rsid w:val="00821C40"/>
    <w:rsid w:val="008226C3"/>
    <w:rsid w:val="00831029"/>
    <w:rsid w:val="0083242D"/>
    <w:rsid w:val="00834555"/>
    <w:rsid w:val="00835453"/>
    <w:rsid w:val="008417AC"/>
    <w:rsid w:val="008432CF"/>
    <w:rsid w:val="00850CD3"/>
    <w:rsid w:val="00850E3D"/>
    <w:rsid w:val="0085138A"/>
    <w:rsid w:val="00854686"/>
    <w:rsid w:val="008579BA"/>
    <w:rsid w:val="00861D91"/>
    <w:rsid w:val="0086614F"/>
    <w:rsid w:val="0086733D"/>
    <w:rsid w:val="00870609"/>
    <w:rsid w:val="00870C25"/>
    <w:rsid w:val="008716EE"/>
    <w:rsid w:val="008733FA"/>
    <w:rsid w:val="008755FD"/>
    <w:rsid w:val="008775CE"/>
    <w:rsid w:val="00877D9E"/>
    <w:rsid w:val="00882499"/>
    <w:rsid w:val="00884FE1"/>
    <w:rsid w:val="00886F9E"/>
    <w:rsid w:val="008907AD"/>
    <w:rsid w:val="00892484"/>
    <w:rsid w:val="008929E8"/>
    <w:rsid w:val="008961A4"/>
    <w:rsid w:val="00896987"/>
    <w:rsid w:val="00897527"/>
    <w:rsid w:val="008976E8"/>
    <w:rsid w:val="008A2573"/>
    <w:rsid w:val="008A7FA8"/>
    <w:rsid w:val="008B41AE"/>
    <w:rsid w:val="008B55A6"/>
    <w:rsid w:val="008C0436"/>
    <w:rsid w:val="008C4353"/>
    <w:rsid w:val="008C4822"/>
    <w:rsid w:val="008C58B2"/>
    <w:rsid w:val="008C778A"/>
    <w:rsid w:val="008C7AD4"/>
    <w:rsid w:val="008D06D3"/>
    <w:rsid w:val="008D09B1"/>
    <w:rsid w:val="008D0E1D"/>
    <w:rsid w:val="008D0E49"/>
    <w:rsid w:val="008D1353"/>
    <w:rsid w:val="008D2792"/>
    <w:rsid w:val="008D7B28"/>
    <w:rsid w:val="008E07A9"/>
    <w:rsid w:val="008E2BD0"/>
    <w:rsid w:val="008E2FD7"/>
    <w:rsid w:val="008E3D27"/>
    <w:rsid w:val="008E4A43"/>
    <w:rsid w:val="008E5285"/>
    <w:rsid w:val="008E6F1E"/>
    <w:rsid w:val="008F064C"/>
    <w:rsid w:val="0090063B"/>
    <w:rsid w:val="009007F5"/>
    <w:rsid w:val="0090436F"/>
    <w:rsid w:val="00907A7A"/>
    <w:rsid w:val="00912A9D"/>
    <w:rsid w:val="00913C65"/>
    <w:rsid w:val="0091404A"/>
    <w:rsid w:val="00915DB3"/>
    <w:rsid w:val="0091780A"/>
    <w:rsid w:val="00922578"/>
    <w:rsid w:val="0092425A"/>
    <w:rsid w:val="009252CA"/>
    <w:rsid w:val="00925BE8"/>
    <w:rsid w:val="0092668E"/>
    <w:rsid w:val="009316D2"/>
    <w:rsid w:val="00937C62"/>
    <w:rsid w:val="00941697"/>
    <w:rsid w:val="009434DD"/>
    <w:rsid w:val="0094564D"/>
    <w:rsid w:val="00956DDB"/>
    <w:rsid w:val="009578EE"/>
    <w:rsid w:val="00960260"/>
    <w:rsid w:val="00961253"/>
    <w:rsid w:val="00961CA9"/>
    <w:rsid w:val="00961FD0"/>
    <w:rsid w:val="00961FF0"/>
    <w:rsid w:val="00962B75"/>
    <w:rsid w:val="00962FB4"/>
    <w:rsid w:val="00966C31"/>
    <w:rsid w:val="0096770D"/>
    <w:rsid w:val="009679D4"/>
    <w:rsid w:val="00967E33"/>
    <w:rsid w:val="0097143D"/>
    <w:rsid w:val="009714F5"/>
    <w:rsid w:val="009725A2"/>
    <w:rsid w:val="009733B5"/>
    <w:rsid w:val="00973B36"/>
    <w:rsid w:val="00975AF7"/>
    <w:rsid w:val="009810D6"/>
    <w:rsid w:val="009815EF"/>
    <w:rsid w:val="00982AA9"/>
    <w:rsid w:val="00983690"/>
    <w:rsid w:val="00983A0E"/>
    <w:rsid w:val="00986086"/>
    <w:rsid w:val="009905AC"/>
    <w:rsid w:val="00990DE3"/>
    <w:rsid w:val="00991B3B"/>
    <w:rsid w:val="00997E76"/>
    <w:rsid w:val="009A1061"/>
    <w:rsid w:val="009A1951"/>
    <w:rsid w:val="009A20A3"/>
    <w:rsid w:val="009A3E88"/>
    <w:rsid w:val="009A3F57"/>
    <w:rsid w:val="009B3918"/>
    <w:rsid w:val="009B7D40"/>
    <w:rsid w:val="009C5D5C"/>
    <w:rsid w:val="009D3555"/>
    <w:rsid w:val="009D3D26"/>
    <w:rsid w:val="009F3215"/>
    <w:rsid w:val="009F3F33"/>
    <w:rsid w:val="00A00959"/>
    <w:rsid w:val="00A03D1F"/>
    <w:rsid w:val="00A073F8"/>
    <w:rsid w:val="00A11484"/>
    <w:rsid w:val="00A16813"/>
    <w:rsid w:val="00A17194"/>
    <w:rsid w:val="00A2148C"/>
    <w:rsid w:val="00A2572A"/>
    <w:rsid w:val="00A2637A"/>
    <w:rsid w:val="00A34CF1"/>
    <w:rsid w:val="00A3559B"/>
    <w:rsid w:val="00A35E5A"/>
    <w:rsid w:val="00A36E87"/>
    <w:rsid w:val="00A4204D"/>
    <w:rsid w:val="00A4339E"/>
    <w:rsid w:val="00A44101"/>
    <w:rsid w:val="00A458B5"/>
    <w:rsid w:val="00A46A6A"/>
    <w:rsid w:val="00A55903"/>
    <w:rsid w:val="00A5795E"/>
    <w:rsid w:val="00A57DAD"/>
    <w:rsid w:val="00A64E74"/>
    <w:rsid w:val="00A65992"/>
    <w:rsid w:val="00A66018"/>
    <w:rsid w:val="00A71275"/>
    <w:rsid w:val="00A727DC"/>
    <w:rsid w:val="00A74A0B"/>
    <w:rsid w:val="00A81589"/>
    <w:rsid w:val="00A81B3F"/>
    <w:rsid w:val="00A83E98"/>
    <w:rsid w:val="00A83EE4"/>
    <w:rsid w:val="00A84EB8"/>
    <w:rsid w:val="00A8523C"/>
    <w:rsid w:val="00A8676C"/>
    <w:rsid w:val="00A90741"/>
    <w:rsid w:val="00A90BB0"/>
    <w:rsid w:val="00A97A54"/>
    <w:rsid w:val="00AA0B85"/>
    <w:rsid w:val="00AA11BA"/>
    <w:rsid w:val="00AA6170"/>
    <w:rsid w:val="00AB1682"/>
    <w:rsid w:val="00AB1831"/>
    <w:rsid w:val="00AB2712"/>
    <w:rsid w:val="00AB2A9D"/>
    <w:rsid w:val="00AB2BEB"/>
    <w:rsid w:val="00AB59FA"/>
    <w:rsid w:val="00AB6E80"/>
    <w:rsid w:val="00AB6F8E"/>
    <w:rsid w:val="00AC04FD"/>
    <w:rsid w:val="00AC40F8"/>
    <w:rsid w:val="00AC4D42"/>
    <w:rsid w:val="00AC4E33"/>
    <w:rsid w:val="00AC61BB"/>
    <w:rsid w:val="00AC657E"/>
    <w:rsid w:val="00AD413C"/>
    <w:rsid w:val="00AD5FF4"/>
    <w:rsid w:val="00AD741B"/>
    <w:rsid w:val="00AD76D2"/>
    <w:rsid w:val="00AF0F99"/>
    <w:rsid w:val="00AF147A"/>
    <w:rsid w:val="00AF6488"/>
    <w:rsid w:val="00B00C5D"/>
    <w:rsid w:val="00B02B61"/>
    <w:rsid w:val="00B078B1"/>
    <w:rsid w:val="00B11024"/>
    <w:rsid w:val="00B12AFA"/>
    <w:rsid w:val="00B152DC"/>
    <w:rsid w:val="00B16A8D"/>
    <w:rsid w:val="00B208CC"/>
    <w:rsid w:val="00B215F7"/>
    <w:rsid w:val="00B22415"/>
    <w:rsid w:val="00B25148"/>
    <w:rsid w:val="00B25F76"/>
    <w:rsid w:val="00B31480"/>
    <w:rsid w:val="00B3286D"/>
    <w:rsid w:val="00B37AC4"/>
    <w:rsid w:val="00B37C1C"/>
    <w:rsid w:val="00B4163B"/>
    <w:rsid w:val="00B417E8"/>
    <w:rsid w:val="00B42E2A"/>
    <w:rsid w:val="00B44FDD"/>
    <w:rsid w:val="00B51A7C"/>
    <w:rsid w:val="00B52C2F"/>
    <w:rsid w:val="00B60AD9"/>
    <w:rsid w:val="00B61015"/>
    <w:rsid w:val="00B624EB"/>
    <w:rsid w:val="00B63FFC"/>
    <w:rsid w:val="00B64143"/>
    <w:rsid w:val="00B70CFA"/>
    <w:rsid w:val="00B735C8"/>
    <w:rsid w:val="00B75673"/>
    <w:rsid w:val="00B80CB3"/>
    <w:rsid w:val="00B822A2"/>
    <w:rsid w:val="00B8449A"/>
    <w:rsid w:val="00B86043"/>
    <w:rsid w:val="00B902CE"/>
    <w:rsid w:val="00B91461"/>
    <w:rsid w:val="00B922E5"/>
    <w:rsid w:val="00BA2261"/>
    <w:rsid w:val="00BA46B9"/>
    <w:rsid w:val="00BA54CC"/>
    <w:rsid w:val="00BA5BDC"/>
    <w:rsid w:val="00BA6C25"/>
    <w:rsid w:val="00BB5B3C"/>
    <w:rsid w:val="00BB616D"/>
    <w:rsid w:val="00BC29AD"/>
    <w:rsid w:val="00BC39B3"/>
    <w:rsid w:val="00BC4853"/>
    <w:rsid w:val="00BC6B61"/>
    <w:rsid w:val="00BC7B67"/>
    <w:rsid w:val="00BD751E"/>
    <w:rsid w:val="00BD7F5D"/>
    <w:rsid w:val="00BD7FB5"/>
    <w:rsid w:val="00BE0B15"/>
    <w:rsid w:val="00BE5700"/>
    <w:rsid w:val="00BE62D8"/>
    <w:rsid w:val="00BF1844"/>
    <w:rsid w:val="00BF3463"/>
    <w:rsid w:val="00BF3C61"/>
    <w:rsid w:val="00BF45BE"/>
    <w:rsid w:val="00BF52B3"/>
    <w:rsid w:val="00BF5917"/>
    <w:rsid w:val="00BF6935"/>
    <w:rsid w:val="00BF7D72"/>
    <w:rsid w:val="00C008C1"/>
    <w:rsid w:val="00C00B3D"/>
    <w:rsid w:val="00C01BFB"/>
    <w:rsid w:val="00C03595"/>
    <w:rsid w:val="00C059AA"/>
    <w:rsid w:val="00C05D80"/>
    <w:rsid w:val="00C07A39"/>
    <w:rsid w:val="00C07F52"/>
    <w:rsid w:val="00C12363"/>
    <w:rsid w:val="00C3324E"/>
    <w:rsid w:val="00C33F71"/>
    <w:rsid w:val="00C43B80"/>
    <w:rsid w:val="00C4484E"/>
    <w:rsid w:val="00C45A37"/>
    <w:rsid w:val="00C469F1"/>
    <w:rsid w:val="00C47333"/>
    <w:rsid w:val="00C516CE"/>
    <w:rsid w:val="00C52521"/>
    <w:rsid w:val="00C54F26"/>
    <w:rsid w:val="00C6179E"/>
    <w:rsid w:val="00C67DD2"/>
    <w:rsid w:val="00C70C6C"/>
    <w:rsid w:val="00C732C4"/>
    <w:rsid w:val="00C73CED"/>
    <w:rsid w:val="00C76CF2"/>
    <w:rsid w:val="00C81082"/>
    <w:rsid w:val="00C82D8D"/>
    <w:rsid w:val="00C82EC5"/>
    <w:rsid w:val="00C831A3"/>
    <w:rsid w:val="00C91D96"/>
    <w:rsid w:val="00C925DE"/>
    <w:rsid w:val="00C93CE6"/>
    <w:rsid w:val="00C93F0A"/>
    <w:rsid w:val="00C94412"/>
    <w:rsid w:val="00C95E56"/>
    <w:rsid w:val="00C96BC4"/>
    <w:rsid w:val="00CA00DB"/>
    <w:rsid w:val="00CA3AD3"/>
    <w:rsid w:val="00CA57FC"/>
    <w:rsid w:val="00CA700B"/>
    <w:rsid w:val="00CB1D76"/>
    <w:rsid w:val="00CB1E46"/>
    <w:rsid w:val="00CB3B5B"/>
    <w:rsid w:val="00CB6104"/>
    <w:rsid w:val="00CB6E42"/>
    <w:rsid w:val="00CC3CEA"/>
    <w:rsid w:val="00CC556A"/>
    <w:rsid w:val="00CC6B3A"/>
    <w:rsid w:val="00CD05AF"/>
    <w:rsid w:val="00CD1733"/>
    <w:rsid w:val="00CD3149"/>
    <w:rsid w:val="00CD4033"/>
    <w:rsid w:val="00CE016D"/>
    <w:rsid w:val="00CE0443"/>
    <w:rsid w:val="00CE4F7E"/>
    <w:rsid w:val="00CE7BDF"/>
    <w:rsid w:val="00CF5FBF"/>
    <w:rsid w:val="00CF6FFF"/>
    <w:rsid w:val="00D00B7A"/>
    <w:rsid w:val="00D032B2"/>
    <w:rsid w:val="00D046C2"/>
    <w:rsid w:val="00D04DDB"/>
    <w:rsid w:val="00D05BBB"/>
    <w:rsid w:val="00D06B7E"/>
    <w:rsid w:val="00D10C76"/>
    <w:rsid w:val="00D1269A"/>
    <w:rsid w:val="00D14C7D"/>
    <w:rsid w:val="00D15F48"/>
    <w:rsid w:val="00D221CD"/>
    <w:rsid w:val="00D225BC"/>
    <w:rsid w:val="00D2663D"/>
    <w:rsid w:val="00D2686B"/>
    <w:rsid w:val="00D335BC"/>
    <w:rsid w:val="00D42259"/>
    <w:rsid w:val="00D424A4"/>
    <w:rsid w:val="00D42EBB"/>
    <w:rsid w:val="00D43777"/>
    <w:rsid w:val="00D47FBB"/>
    <w:rsid w:val="00D51105"/>
    <w:rsid w:val="00D520E6"/>
    <w:rsid w:val="00D567BC"/>
    <w:rsid w:val="00D56C66"/>
    <w:rsid w:val="00D57001"/>
    <w:rsid w:val="00D622C9"/>
    <w:rsid w:val="00D670BA"/>
    <w:rsid w:val="00D67CA2"/>
    <w:rsid w:val="00D71D2D"/>
    <w:rsid w:val="00D7381E"/>
    <w:rsid w:val="00D74126"/>
    <w:rsid w:val="00D751D6"/>
    <w:rsid w:val="00D80469"/>
    <w:rsid w:val="00D82303"/>
    <w:rsid w:val="00D82844"/>
    <w:rsid w:val="00D8658F"/>
    <w:rsid w:val="00D873EB"/>
    <w:rsid w:val="00D9149C"/>
    <w:rsid w:val="00D91F3A"/>
    <w:rsid w:val="00D9461D"/>
    <w:rsid w:val="00D9629D"/>
    <w:rsid w:val="00D96508"/>
    <w:rsid w:val="00D9683B"/>
    <w:rsid w:val="00DA0F52"/>
    <w:rsid w:val="00DA0FB1"/>
    <w:rsid w:val="00DA2C5D"/>
    <w:rsid w:val="00DA377F"/>
    <w:rsid w:val="00DA3CAD"/>
    <w:rsid w:val="00DA7653"/>
    <w:rsid w:val="00DB4DF9"/>
    <w:rsid w:val="00DB5519"/>
    <w:rsid w:val="00DC0641"/>
    <w:rsid w:val="00DC2364"/>
    <w:rsid w:val="00DC4C0E"/>
    <w:rsid w:val="00DC680B"/>
    <w:rsid w:val="00DC7D0E"/>
    <w:rsid w:val="00DD4882"/>
    <w:rsid w:val="00DD786E"/>
    <w:rsid w:val="00DE4144"/>
    <w:rsid w:val="00DE5625"/>
    <w:rsid w:val="00DE56AE"/>
    <w:rsid w:val="00DE6ACF"/>
    <w:rsid w:val="00DE73DB"/>
    <w:rsid w:val="00DE79B8"/>
    <w:rsid w:val="00DF142C"/>
    <w:rsid w:val="00DF4490"/>
    <w:rsid w:val="00DF44E9"/>
    <w:rsid w:val="00DF62E1"/>
    <w:rsid w:val="00E005B1"/>
    <w:rsid w:val="00E01F6D"/>
    <w:rsid w:val="00E0306F"/>
    <w:rsid w:val="00E03C37"/>
    <w:rsid w:val="00E05C46"/>
    <w:rsid w:val="00E06442"/>
    <w:rsid w:val="00E07140"/>
    <w:rsid w:val="00E07C26"/>
    <w:rsid w:val="00E14BE7"/>
    <w:rsid w:val="00E172DC"/>
    <w:rsid w:val="00E1773F"/>
    <w:rsid w:val="00E22757"/>
    <w:rsid w:val="00E22DEE"/>
    <w:rsid w:val="00E252C2"/>
    <w:rsid w:val="00E34460"/>
    <w:rsid w:val="00E412C3"/>
    <w:rsid w:val="00E41FC4"/>
    <w:rsid w:val="00E420AC"/>
    <w:rsid w:val="00E430FA"/>
    <w:rsid w:val="00E50CA9"/>
    <w:rsid w:val="00E57625"/>
    <w:rsid w:val="00E649C6"/>
    <w:rsid w:val="00E655C3"/>
    <w:rsid w:val="00E72385"/>
    <w:rsid w:val="00E73FD2"/>
    <w:rsid w:val="00E74297"/>
    <w:rsid w:val="00E7711D"/>
    <w:rsid w:val="00E80CC8"/>
    <w:rsid w:val="00E82809"/>
    <w:rsid w:val="00E82F57"/>
    <w:rsid w:val="00E83D42"/>
    <w:rsid w:val="00E845A3"/>
    <w:rsid w:val="00E853B5"/>
    <w:rsid w:val="00E85DFD"/>
    <w:rsid w:val="00E9061D"/>
    <w:rsid w:val="00E9424F"/>
    <w:rsid w:val="00E955C9"/>
    <w:rsid w:val="00E96B73"/>
    <w:rsid w:val="00E97548"/>
    <w:rsid w:val="00E97B6C"/>
    <w:rsid w:val="00EA384C"/>
    <w:rsid w:val="00EA4921"/>
    <w:rsid w:val="00EA5484"/>
    <w:rsid w:val="00EA64BE"/>
    <w:rsid w:val="00EA6C30"/>
    <w:rsid w:val="00EB1FAE"/>
    <w:rsid w:val="00EB2C8E"/>
    <w:rsid w:val="00EB49D0"/>
    <w:rsid w:val="00EB4FB5"/>
    <w:rsid w:val="00EB53F2"/>
    <w:rsid w:val="00EB793A"/>
    <w:rsid w:val="00EB7DA0"/>
    <w:rsid w:val="00EC08DF"/>
    <w:rsid w:val="00EC0E8D"/>
    <w:rsid w:val="00EC15B0"/>
    <w:rsid w:val="00EC625A"/>
    <w:rsid w:val="00EC7105"/>
    <w:rsid w:val="00EC7B40"/>
    <w:rsid w:val="00EE06BC"/>
    <w:rsid w:val="00EE1217"/>
    <w:rsid w:val="00EE1E8E"/>
    <w:rsid w:val="00EE49E5"/>
    <w:rsid w:val="00EE4AC3"/>
    <w:rsid w:val="00EE62EC"/>
    <w:rsid w:val="00EF098C"/>
    <w:rsid w:val="00EF135F"/>
    <w:rsid w:val="00EF61C7"/>
    <w:rsid w:val="00EF6771"/>
    <w:rsid w:val="00F00B03"/>
    <w:rsid w:val="00F020AF"/>
    <w:rsid w:val="00F02971"/>
    <w:rsid w:val="00F04047"/>
    <w:rsid w:val="00F101F9"/>
    <w:rsid w:val="00F1392E"/>
    <w:rsid w:val="00F13B01"/>
    <w:rsid w:val="00F17195"/>
    <w:rsid w:val="00F17B73"/>
    <w:rsid w:val="00F17CCD"/>
    <w:rsid w:val="00F2298F"/>
    <w:rsid w:val="00F23FC7"/>
    <w:rsid w:val="00F24F67"/>
    <w:rsid w:val="00F257ED"/>
    <w:rsid w:val="00F273AD"/>
    <w:rsid w:val="00F32D35"/>
    <w:rsid w:val="00F341D2"/>
    <w:rsid w:val="00F355AB"/>
    <w:rsid w:val="00F35F7F"/>
    <w:rsid w:val="00F375E7"/>
    <w:rsid w:val="00F407A6"/>
    <w:rsid w:val="00F44966"/>
    <w:rsid w:val="00F504D1"/>
    <w:rsid w:val="00F54522"/>
    <w:rsid w:val="00F6078A"/>
    <w:rsid w:val="00F625CF"/>
    <w:rsid w:val="00F62AD3"/>
    <w:rsid w:val="00F63484"/>
    <w:rsid w:val="00F64DBC"/>
    <w:rsid w:val="00F701F5"/>
    <w:rsid w:val="00F7567E"/>
    <w:rsid w:val="00F77DC1"/>
    <w:rsid w:val="00F81291"/>
    <w:rsid w:val="00F8572B"/>
    <w:rsid w:val="00F90E81"/>
    <w:rsid w:val="00F91677"/>
    <w:rsid w:val="00F977D7"/>
    <w:rsid w:val="00FA2A10"/>
    <w:rsid w:val="00FA3405"/>
    <w:rsid w:val="00FA45E3"/>
    <w:rsid w:val="00FA4B2C"/>
    <w:rsid w:val="00FB0E92"/>
    <w:rsid w:val="00FB117C"/>
    <w:rsid w:val="00FB2E34"/>
    <w:rsid w:val="00FB459E"/>
    <w:rsid w:val="00FB62B7"/>
    <w:rsid w:val="00FB6872"/>
    <w:rsid w:val="00FB6BCB"/>
    <w:rsid w:val="00FC2B2C"/>
    <w:rsid w:val="00FC6BDF"/>
    <w:rsid w:val="00FC7322"/>
    <w:rsid w:val="00FD0969"/>
    <w:rsid w:val="00FD6598"/>
    <w:rsid w:val="00FE18CF"/>
    <w:rsid w:val="00FE2273"/>
    <w:rsid w:val="00FF064C"/>
    <w:rsid w:val="00FF1D00"/>
    <w:rsid w:val="00FF4BCC"/>
    <w:rsid w:val="00FF6367"/>
    <w:rsid w:val="00FF7AD7"/>
    <w:rsid w:val="034F198D"/>
    <w:rsid w:val="056F7409"/>
    <w:rsid w:val="060D2539"/>
    <w:rsid w:val="0AC427C9"/>
    <w:rsid w:val="0D5B5EFF"/>
    <w:rsid w:val="0DA624F9"/>
    <w:rsid w:val="0F194AB0"/>
    <w:rsid w:val="0FC86FC1"/>
    <w:rsid w:val="14AC106F"/>
    <w:rsid w:val="1787321F"/>
    <w:rsid w:val="1822573D"/>
    <w:rsid w:val="19165D40"/>
    <w:rsid w:val="1A1307F7"/>
    <w:rsid w:val="1BE74891"/>
    <w:rsid w:val="223E1ED5"/>
    <w:rsid w:val="23F05C63"/>
    <w:rsid w:val="24907C83"/>
    <w:rsid w:val="25301A1F"/>
    <w:rsid w:val="258961FC"/>
    <w:rsid w:val="26EC738C"/>
    <w:rsid w:val="29232706"/>
    <w:rsid w:val="2D000648"/>
    <w:rsid w:val="2D3601E3"/>
    <w:rsid w:val="2E226A44"/>
    <w:rsid w:val="31DC0733"/>
    <w:rsid w:val="347D0A4A"/>
    <w:rsid w:val="351A1908"/>
    <w:rsid w:val="35A22AD4"/>
    <w:rsid w:val="381C28BC"/>
    <w:rsid w:val="383D5061"/>
    <w:rsid w:val="3903265F"/>
    <w:rsid w:val="397C22C3"/>
    <w:rsid w:val="4AD3126B"/>
    <w:rsid w:val="4C5C70AD"/>
    <w:rsid w:val="59953A00"/>
    <w:rsid w:val="5A373D83"/>
    <w:rsid w:val="5A666315"/>
    <w:rsid w:val="60784D57"/>
    <w:rsid w:val="61FB0BAD"/>
    <w:rsid w:val="63D57B8E"/>
    <w:rsid w:val="63EC5914"/>
    <w:rsid w:val="651C7808"/>
    <w:rsid w:val="68F56996"/>
    <w:rsid w:val="6FE25BEB"/>
    <w:rsid w:val="74D04F32"/>
    <w:rsid w:val="763D0971"/>
    <w:rsid w:val="76DA67C2"/>
    <w:rsid w:val="78BA6F1E"/>
    <w:rsid w:val="7F0947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autoSpaceDE w:val="0"/>
      <w:autoSpaceDN w:val="0"/>
      <w:adjustRightInd w:val="0"/>
      <w:spacing w:before="240" w:after="120" w:line="300" w:lineRule="auto"/>
      <w:jc w:val="center"/>
      <w:outlineLvl w:val="0"/>
    </w:pPr>
    <w:rPr>
      <w:b/>
      <w:bCs/>
      <w:kern w:val="44"/>
      <w:sz w:val="44"/>
      <w:szCs w:val="44"/>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Cambria" w:hAnsi="Cambria"/>
      <w:b/>
      <w:bCs/>
      <w:sz w:val="32"/>
      <w:szCs w:val="32"/>
    </w:rPr>
  </w:style>
  <w:style w:type="paragraph" w:styleId="5">
    <w:name w:val="heading 3"/>
    <w:basedOn w:val="1"/>
    <w:next w:val="4"/>
    <w:link w:val="55"/>
    <w:qFormat/>
    <w:uiPriority w:val="0"/>
    <w:pPr>
      <w:keepNext/>
      <w:keepLines/>
      <w:autoSpaceDE w:val="0"/>
      <w:autoSpaceDN w:val="0"/>
      <w:adjustRightInd w:val="0"/>
      <w:spacing w:before="360" w:after="120"/>
      <w:jc w:val="left"/>
      <w:outlineLvl w:val="2"/>
    </w:pPr>
    <w:rPr>
      <w:b/>
      <w:bCs/>
      <w:sz w:val="32"/>
      <w:szCs w:val="32"/>
    </w:rPr>
  </w:style>
  <w:style w:type="paragraph" w:styleId="6">
    <w:name w:val="heading 4"/>
    <w:basedOn w:val="1"/>
    <w:next w:val="1"/>
    <w:link w:val="56"/>
    <w:qFormat/>
    <w:uiPriority w:val="0"/>
    <w:pPr>
      <w:keepNext/>
      <w:keepLines/>
      <w:spacing w:before="280" w:after="290" w:line="374" w:lineRule="auto"/>
      <w:outlineLvl w:val="3"/>
    </w:pPr>
    <w:rPr>
      <w:rFonts w:ascii="Arial" w:hAnsi="Arial" w:eastAsia="黑体"/>
      <w:b/>
      <w:bCs/>
      <w:sz w:val="28"/>
      <w:szCs w:val="28"/>
    </w:rPr>
  </w:style>
  <w:style w:type="character" w:default="1" w:styleId="45">
    <w:name w:val="Default Paragraph Font"/>
    <w:semiHidden/>
    <w:unhideWhenUsed/>
    <w:uiPriority w:val="1"/>
  </w:style>
  <w:style w:type="table" w:default="1" w:styleId="50">
    <w:name w:val="Normal Table"/>
    <w:semiHidden/>
    <w:unhideWhenUsed/>
    <w:uiPriority w:val="99"/>
    <w:tblPr>
      <w:tblLayout w:type="fixed"/>
      <w:tblCellMar>
        <w:top w:w="0" w:type="dxa"/>
        <w:left w:w="108" w:type="dxa"/>
        <w:bottom w:w="0" w:type="dxa"/>
        <w:right w:w="108" w:type="dxa"/>
      </w:tblCellMar>
    </w:tblPr>
  </w:style>
  <w:style w:type="paragraph" w:styleId="4">
    <w:name w:val="Normal Indent"/>
    <w:basedOn w:val="1"/>
    <w:link w:val="53"/>
    <w:qFormat/>
    <w:uiPriority w:val="0"/>
    <w:pPr>
      <w:autoSpaceDE w:val="0"/>
      <w:autoSpaceDN w:val="0"/>
      <w:adjustRightInd w:val="0"/>
      <w:ind w:firstLine="420"/>
      <w:jc w:val="left"/>
    </w:pPr>
    <w:rPr>
      <w:rFonts w:ascii="宋体"/>
      <w:kern w:val="0"/>
      <w:sz w:val="24"/>
      <w:szCs w:val="20"/>
    </w:rPr>
  </w:style>
  <w:style w:type="paragraph" w:styleId="7">
    <w:name w:val="annotation subject"/>
    <w:basedOn w:val="1"/>
    <w:next w:val="8"/>
    <w:link w:val="58"/>
    <w:qFormat/>
    <w:uiPriority w:val="0"/>
    <w:pPr>
      <w:jc w:val="left"/>
    </w:pPr>
    <w:rPr>
      <w:b/>
      <w:bCs/>
    </w:rPr>
  </w:style>
  <w:style w:type="paragraph" w:styleId="8">
    <w:name w:val="annotation text"/>
    <w:basedOn w:val="1"/>
    <w:link w:val="57"/>
    <w:qFormat/>
    <w:uiPriority w:val="99"/>
    <w:pPr>
      <w:jc w:val="left"/>
    </w:pPr>
  </w:style>
  <w:style w:type="paragraph" w:styleId="9">
    <w:name w:val="toc 7"/>
    <w:basedOn w:val="1"/>
    <w:next w:val="1"/>
    <w:qFormat/>
    <w:uiPriority w:val="39"/>
    <w:pPr>
      <w:ind w:left="1260"/>
      <w:jc w:val="left"/>
    </w:pPr>
    <w:rPr>
      <w:sz w:val="20"/>
      <w:szCs w:val="20"/>
    </w:rPr>
  </w:style>
  <w:style w:type="paragraph" w:styleId="10">
    <w:name w:val="Body Text First Indent"/>
    <w:basedOn w:val="11"/>
    <w:link w:val="60"/>
    <w:qFormat/>
    <w:uiPriority w:val="0"/>
    <w:pPr>
      <w:tabs>
        <w:tab w:val="left" w:pos="567"/>
      </w:tabs>
      <w:spacing w:before="0" w:after="120" w:line="240" w:lineRule="auto"/>
      <w:ind w:firstLine="420" w:firstLineChars="100"/>
    </w:pPr>
  </w:style>
  <w:style w:type="paragraph" w:styleId="11">
    <w:name w:val="Body Text"/>
    <w:basedOn w:val="1"/>
    <w:link w:val="59"/>
    <w:qFormat/>
    <w:uiPriority w:val="0"/>
    <w:pPr>
      <w:tabs>
        <w:tab w:val="left" w:pos="567"/>
      </w:tabs>
      <w:spacing w:before="120" w:line="22" w:lineRule="atLeast"/>
    </w:pPr>
    <w:rPr>
      <w:sz w:val="24"/>
    </w:rPr>
  </w:style>
  <w:style w:type="paragraph" w:styleId="12">
    <w:name w:val="index 8"/>
    <w:basedOn w:val="1"/>
    <w:next w:val="1"/>
    <w:qFormat/>
    <w:uiPriority w:val="0"/>
    <w:pPr>
      <w:ind w:left="1400" w:leftChars="1400"/>
    </w:pPr>
  </w:style>
  <w:style w:type="paragraph" w:styleId="13">
    <w:name w:val="index 5"/>
    <w:basedOn w:val="1"/>
    <w:next w:val="1"/>
    <w:qFormat/>
    <w:uiPriority w:val="0"/>
    <w:pPr>
      <w:ind w:left="800" w:leftChars="800"/>
    </w:pPr>
  </w:style>
  <w:style w:type="paragraph" w:styleId="14">
    <w:name w:val="Document Map"/>
    <w:basedOn w:val="1"/>
    <w:link w:val="62"/>
    <w:qFormat/>
    <w:uiPriority w:val="0"/>
    <w:pPr>
      <w:shd w:val="clear" w:color="auto" w:fill="000080"/>
    </w:pPr>
    <w:rPr>
      <w:kern w:val="0"/>
      <w:sz w:val="16"/>
      <w:szCs w:val="16"/>
    </w:rPr>
  </w:style>
  <w:style w:type="paragraph" w:styleId="15">
    <w:name w:val="index 6"/>
    <w:basedOn w:val="1"/>
    <w:next w:val="1"/>
    <w:qFormat/>
    <w:uiPriority w:val="0"/>
    <w:pPr>
      <w:ind w:left="1000" w:leftChars="1000"/>
    </w:pPr>
  </w:style>
  <w:style w:type="paragraph" w:styleId="16">
    <w:name w:val="Body Text Indent"/>
    <w:basedOn w:val="1"/>
    <w:link w:val="63"/>
    <w:qFormat/>
    <w:uiPriority w:val="0"/>
    <w:pPr>
      <w:tabs>
        <w:tab w:val="left" w:pos="5580"/>
      </w:tabs>
      <w:spacing w:before="120" w:line="360" w:lineRule="auto"/>
      <w:ind w:firstLine="454"/>
    </w:pPr>
    <w:rPr>
      <w:sz w:val="24"/>
    </w:rPr>
  </w:style>
  <w:style w:type="paragraph" w:styleId="17">
    <w:name w:val="index 4"/>
    <w:basedOn w:val="1"/>
    <w:next w:val="1"/>
    <w:qFormat/>
    <w:uiPriority w:val="0"/>
    <w:pPr>
      <w:ind w:left="600" w:leftChars="600"/>
    </w:pPr>
  </w:style>
  <w:style w:type="paragraph" w:styleId="18">
    <w:name w:val="toc 5"/>
    <w:basedOn w:val="1"/>
    <w:next w:val="1"/>
    <w:qFormat/>
    <w:uiPriority w:val="39"/>
    <w:pPr>
      <w:ind w:left="840"/>
      <w:jc w:val="left"/>
    </w:pPr>
    <w:rPr>
      <w:sz w:val="20"/>
      <w:szCs w:val="20"/>
    </w:rPr>
  </w:style>
  <w:style w:type="paragraph" w:styleId="19">
    <w:name w:val="toc 3"/>
    <w:basedOn w:val="1"/>
    <w:next w:val="1"/>
    <w:qFormat/>
    <w:uiPriority w:val="39"/>
    <w:pPr>
      <w:ind w:left="420"/>
      <w:jc w:val="left"/>
    </w:pPr>
    <w:rPr>
      <w:sz w:val="20"/>
      <w:szCs w:val="20"/>
    </w:rPr>
  </w:style>
  <w:style w:type="paragraph" w:styleId="20">
    <w:name w:val="Plain Text"/>
    <w:basedOn w:val="1"/>
    <w:link w:val="64"/>
    <w:qFormat/>
    <w:uiPriority w:val="0"/>
    <w:rPr>
      <w:rFonts w:ascii="宋体" w:hAnsi="Courier New"/>
      <w:szCs w:val="21"/>
    </w:rPr>
  </w:style>
  <w:style w:type="paragraph" w:styleId="21">
    <w:name w:val="toc 8"/>
    <w:basedOn w:val="1"/>
    <w:next w:val="1"/>
    <w:qFormat/>
    <w:uiPriority w:val="39"/>
    <w:pPr>
      <w:ind w:left="1470"/>
      <w:jc w:val="left"/>
    </w:pPr>
    <w:rPr>
      <w:sz w:val="20"/>
      <w:szCs w:val="20"/>
    </w:rPr>
  </w:style>
  <w:style w:type="paragraph" w:styleId="22">
    <w:name w:val="index 3"/>
    <w:basedOn w:val="1"/>
    <w:next w:val="1"/>
    <w:qFormat/>
    <w:uiPriority w:val="0"/>
    <w:pPr>
      <w:ind w:left="400" w:leftChars="400"/>
    </w:pPr>
  </w:style>
  <w:style w:type="paragraph" w:styleId="23">
    <w:name w:val="Date"/>
    <w:basedOn w:val="1"/>
    <w:next w:val="1"/>
    <w:link w:val="65"/>
    <w:qFormat/>
    <w:uiPriority w:val="0"/>
    <w:pPr>
      <w:ind w:left="100" w:leftChars="2500"/>
    </w:pPr>
    <w:rPr>
      <w:sz w:val="24"/>
    </w:rPr>
  </w:style>
  <w:style w:type="paragraph" w:styleId="24">
    <w:name w:val="Body Text Indent 2"/>
    <w:basedOn w:val="1"/>
    <w:link w:val="66"/>
    <w:qFormat/>
    <w:uiPriority w:val="0"/>
    <w:pPr>
      <w:ind w:firstLine="480" w:firstLineChars="200"/>
    </w:pPr>
    <w:rPr>
      <w:sz w:val="24"/>
    </w:rPr>
  </w:style>
  <w:style w:type="paragraph" w:styleId="25">
    <w:name w:val="Balloon Text"/>
    <w:basedOn w:val="1"/>
    <w:link w:val="67"/>
    <w:qFormat/>
    <w:uiPriority w:val="0"/>
    <w:rPr>
      <w:sz w:val="18"/>
      <w:szCs w:val="18"/>
    </w:rPr>
  </w:style>
  <w:style w:type="paragraph" w:styleId="26">
    <w:name w:val="footer"/>
    <w:basedOn w:val="1"/>
    <w:link w:val="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28">
    <w:name w:val="Signature"/>
    <w:basedOn w:val="1"/>
    <w:link w:val="116"/>
    <w:qFormat/>
    <w:uiPriority w:val="0"/>
    <w:pPr>
      <w:adjustRightInd w:val="0"/>
      <w:spacing w:after="600" w:line="312" w:lineRule="atLeast"/>
      <w:jc w:val="center"/>
      <w:textAlignment w:val="baseline"/>
    </w:pPr>
    <w:rPr>
      <w:rFonts w:eastAsia="仿宋_GB2312"/>
      <w:kern w:val="0"/>
      <w:sz w:val="24"/>
      <w:szCs w:val="20"/>
      <w:lang w:val="zh-CN"/>
    </w:rPr>
  </w:style>
  <w:style w:type="paragraph" w:styleId="29">
    <w:name w:val="toc 1"/>
    <w:basedOn w:val="1"/>
    <w:next w:val="1"/>
    <w:qFormat/>
    <w:uiPriority w:val="39"/>
    <w:pPr>
      <w:spacing w:before="120"/>
      <w:jc w:val="left"/>
    </w:pPr>
    <w:rPr>
      <w:b/>
      <w:bCs/>
      <w:iCs/>
      <w:sz w:val="24"/>
    </w:rPr>
  </w:style>
  <w:style w:type="paragraph" w:styleId="30">
    <w:name w:val="toc 4"/>
    <w:basedOn w:val="1"/>
    <w:next w:val="1"/>
    <w:qFormat/>
    <w:uiPriority w:val="39"/>
    <w:pPr>
      <w:ind w:left="630"/>
      <w:jc w:val="left"/>
    </w:pPr>
    <w:rPr>
      <w:sz w:val="20"/>
      <w:szCs w:val="20"/>
    </w:rPr>
  </w:style>
  <w:style w:type="paragraph" w:styleId="31">
    <w:name w:val="index heading"/>
    <w:basedOn w:val="1"/>
    <w:next w:val="32"/>
    <w:qFormat/>
    <w:uiPriority w:val="0"/>
  </w:style>
  <w:style w:type="paragraph" w:styleId="32">
    <w:name w:val="index 1"/>
    <w:basedOn w:val="1"/>
    <w:next w:val="1"/>
    <w:qFormat/>
    <w:uiPriority w:val="0"/>
    <w:rPr>
      <w:szCs w:val="20"/>
    </w:rPr>
  </w:style>
  <w:style w:type="paragraph" w:styleId="33">
    <w:name w:val="toc 6"/>
    <w:basedOn w:val="1"/>
    <w:next w:val="1"/>
    <w:qFormat/>
    <w:uiPriority w:val="39"/>
    <w:pPr>
      <w:ind w:left="1050"/>
      <w:jc w:val="left"/>
    </w:pPr>
    <w:rPr>
      <w:sz w:val="20"/>
      <w:szCs w:val="20"/>
    </w:rPr>
  </w:style>
  <w:style w:type="paragraph" w:styleId="34">
    <w:name w:val="Body Text Indent 3"/>
    <w:basedOn w:val="1"/>
    <w:link w:val="70"/>
    <w:qFormat/>
    <w:uiPriority w:val="0"/>
    <w:pPr>
      <w:autoSpaceDE w:val="0"/>
      <w:autoSpaceDN w:val="0"/>
      <w:adjustRightInd w:val="0"/>
      <w:spacing w:before="120" w:line="22" w:lineRule="atLeast"/>
      <w:ind w:left="720" w:firstLine="480"/>
      <w:jc w:val="left"/>
    </w:pPr>
    <w:rPr>
      <w:sz w:val="16"/>
      <w:szCs w:val="16"/>
    </w:rPr>
  </w:style>
  <w:style w:type="paragraph" w:styleId="35">
    <w:name w:val="index 7"/>
    <w:basedOn w:val="1"/>
    <w:next w:val="1"/>
    <w:qFormat/>
    <w:uiPriority w:val="0"/>
    <w:pPr>
      <w:ind w:left="1200" w:leftChars="1200"/>
    </w:pPr>
  </w:style>
  <w:style w:type="paragraph" w:styleId="36">
    <w:name w:val="index 9"/>
    <w:basedOn w:val="1"/>
    <w:next w:val="1"/>
    <w:qFormat/>
    <w:uiPriority w:val="0"/>
    <w:pPr>
      <w:ind w:left="1600" w:leftChars="1600"/>
    </w:pPr>
  </w:style>
  <w:style w:type="paragraph" w:styleId="37">
    <w:name w:val="table of figures"/>
    <w:basedOn w:val="1"/>
    <w:next w:val="1"/>
    <w:qFormat/>
    <w:uiPriority w:val="0"/>
    <w:pPr>
      <w:ind w:left="840" w:leftChars="200" w:hanging="420" w:hangingChars="200"/>
    </w:pPr>
  </w:style>
  <w:style w:type="paragraph" w:styleId="38">
    <w:name w:val="toc 2"/>
    <w:basedOn w:val="1"/>
    <w:next w:val="1"/>
    <w:qFormat/>
    <w:uiPriority w:val="39"/>
    <w:pPr>
      <w:tabs>
        <w:tab w:val="right" w:leader="underscore" w:pos="9061"/>
      </w:tabs>
      <w:spacing w:before="120"/>
    </w:pPr>
    <w:rPr>
      <w:rFonts w:ascii="宋体" w:hAnsi="宋体"/>
      <w:bCs/>
      <w:i/>
      <w:color w:val="000000"/>
      <w:kern w:val="44"/>
      <w:sz w:val="24"/>
    </w:rPr>
  </w:style>
  <w:style w:type="paragraph" w:styleId="39">
    <w:name w:val="toc 9"/>
    <w:basedOn w:val="1"/>
    <w:next w:val="1"/>
    <w:qFormat/>
    <w:uiPriority w:val="39"/>
    <w:pPr>
      <w:ind w:left="1680"/>
      <w:jc w:val="left"/>
    </w:pPr>
    <w:rPr>
      <w:sz w:val="20"/>
      <w:szCs w:val="20"/>
    </w:rPr>
  </w:style>
  <w:style w:type="paragraph" w:styleId="40">
    <w:name w:val="Body Text 2"/>
    <w:basedOn w:val="1"/>
    <w:link w:val="117"/>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1">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2">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2"/>
    <w:basedOn w:val="1"/>
    <w:next w:val="1"/>
    <w:qFormat/>
    <w:uiPriority w:val="0"/>
    <w:pPr>
      <w:ind w:left="200" w:leftChars="200"/>
    </w:pPr>
  </w:style>
  <w:style w:type="character" w:styleId="46">
    <w:name w:val="Strong"/>
    <w:qFormat/>
    <w:uiPriority w:val="0"/>
    <w:rPr>
      <w:b/>
      <w:bCs/>
    </w:rPr>
  </w:style>
  <w:style w:type="character" w:styleId="47">
    <w:name w:val="page number"/>
    <w:qFormat/>
    <w:uiPriority w:val="0"/>
    <w:rPr>
      <w:rFonts w:cs="Times New Roman"/>
    </w:rPr>
  </w:style>
  <w:style w:type="character" w:styleId="48">
    <w:name w:val="Hyperlink"/>
    <w:qFormat/>
    <w:uiPriority w:val="99"/>
    <w:rPr>
      <w:rFonts w:cs="Times New Roman"/>
      <w:color w:val="0000FF"/>
      <w:u w:val="single"/>
    </w:rPr>
  </w:style>
  <w:style w:type="character" w:styleId="49">
    <w:name w:val="annotation reference"/>
    <w:qFormat/>
    <w:uiPriority w:val="99"/>
    <w:rPr>
      <w:rFonts w:cs="Times New Roman"/>
      <w:sz w:val="21"/>
      <w:szCs w:val="21"/>
    </w:rPr>
  </w:style>
  <w:style w:type="table" w:styleId="51">
    <w:name w:val="Table Grid"/>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52">
    <w:name w:val="标题 1 Char"/>
    <w:link w:val="2"/>
    <w:qFormat/>
    <w:uiPriority w:val="0"/>
    <w:rPr>
      <w:rFonts w:cs="Times New Roman"/>
      <w:b/>
      <w:bCs/>
      <w:kern w:val="44"/>
      <w:sz w:val="44"/>
      <w:szCs w:val="44"/>
    </w:rPr>
  </w:style>
  <w:style w:type="character" w:customStyle="1" w:styleId="53">
    <w:name w:val="正文缩进 Char"/>
    <w:link w:val="4"/>
    <w:qFormat/>
    <w:uiPriority w:val="0"/>
    <w:rPr>
      <w:rFonts w:ascii="宋体"/>
      <w:sz w:val="24"/>
    </w:rPr>
  </w:style>
  <w:style w:type="character" w:customStyle="1" w:styleId="54">
    <w:name w:val="标题 2 Char"/>
    <w:link w:val="3"/>
    <w:qFormat/>
    <w:uiPriority w:val="0"/>
    <w:rPr>
      <w:rFonts w:ascii="Cambria" w:hAnsi="Cambria" w:eastAsia="宋体" w:cs="Times New Roman"/>
      <w:b/>
      <w:bCs/>
      <w:kern w:val="2"/>
      <w:sz w:val="32"/>
      <w:szCs w:val="32"/>
    </w:rPr>
  </w:style>
  <w:style w:type="character" w:customStyle="1" w:styleId="55">
    <w:name w:val="标题 3 Char"/>
    <w:link w:val="5"/>
    <w:qFormat/>
    <w:uiPriority w:val="0"/>
    <w:rPr>
      <w:rFonts w:cs="Times New Roman"/>
      <w:b/>
      <w:bCs/>
      <w:kern w:val="2"/>
      <w:sz w:val="32"/>
      <w:szCs w:val="32"/>
    </w:rPr>
  </w:style>
  <w:style w:type="character" w:customStyle="1" w:styleId="56">
    <w:name w:val="标题 4 Char"/>
    <w:link w:val="6"/>
    <w:qFormat/>
    <w:uiPriority w:val="0"/>
    <w:rPr>
      <w:rFonts w:ascii="Arial" w:hAnsi="Arial" w:eastAsia="黑体"/>
      <w:b/>
      <w:bCs/>
      <w:kern w:val="2"/>
      <w:sz w:val="28"/>
      <w:szCs w:val="28"/>
    </w:rPr>
  </w:style>
  <w:style w:type="character" w:customStyle="1" w:styleId="57">
    <w:name w:val="批注文字 Char"/>
    <w:link w:val="8"/>
    <w:qFormat/>
    <w:uiPriority w:val="99"/>
    <w:rPr>
      <w:kern w:val="2"/>
      <w:sz w:val="21"/>
      <w:szCs w:val="24"/>
    </w:rPr>
  </w:style>
  <w:style w:type="character" w:customStyle="1" w:styleId="58">
    <w:name w:val="批注主题 Char"/>
    <w:link w:val="7"/>
    <w:qFormat/>
    <w:uiPriority w:val="0"/>
    <w:rPr>
      <w:rFonts w:cs="Times New Roman"/>
      <w:b/>
      <w:bCs/>
      <w:kern w:val="2"/>
      <w:sz w:val="21"/>
      <w:szCs w:val="24"/>
    </w:rPr>
  </w:style>
  <w:style w:type="character" w:customStyle="1" w:styleId="59">
    <w:name w:val="正文文本 Char"/>
    <w:link w:val="11"/>
    <w:qFormat/>
    <w:uiPriority w:val="0"/>
    <w:rPr>
      <w:rFonts w:cs="Times New Roman"/>
      <w:kern w:val="2"/>
      <w:sz w:val="24"/>
      <w:szCs w:val="24"/>
    </w:rPr>
  </w:style>
  <w:style w:type="character" w:customStyle="1" w:styleId="60">
    <w:name w:val="正文首行缩进 Char"/>
    <w:basedOn w:val="61"/>
    <w:link w:val="10"/>
    <w:qFormat/>
    <w:uiPriority w:val="0"/>
    <w:rPr>
      <w:kern w:val="2"/>
      <w:sz w:val="21"/>
      <w:szCs w:val="24"/>
    </w:rPr>
  </w:style>
  <w:style w:type="character" w:customStyle="1" w:styleId="61">
    <w:name w:val="正文文本 Char1"/>
    <w:qFormat/>
    <w:uiPriority w:val="0"/>
    <w:rPr>
      <w:kern w:val="2"/>
      <w:sz w:val="21"/>
      <w:szCs w:val="24"/>
    </w:rPr>
  </w:style>
  <w:style w:type="character" w:customStyle="1" w:styleId="62">
    <w:name w:val="文档结构图 Char"/>
    <w:link w:val="14"/>
    <w:qFormat/>
    <w:uiPriority w:val="0"/>
    <w:rPr>
      <w:sz w:val="16"/>
      <w:szCs w:val="0"/>
    </w:rPr>
  </w:style>
  <w:style w:type="character" w:customStyle="1" w:styleId="63">
    <w:name w:val="正文文本缩进 Char"/>
    <w:link w:val="16"/>
    <w:qFormat/>
    <w:uiPriority w:val="0"/>
    <w:rPr>
      <w:rFonts w:cs="Times New Roman"/>
      <w:kern w:val="2"/>
      <w:sz w:val="24"/>
      <w:szCs w:val="24"/>
    </w:rPr>
  </w:style>
  <w:style w:type="character" w:customStyle="1" w:styleId="64">
    <w:name w:val="纯文本 Char3"/>
    <w:link w:val="20"/>
    <w:qFormat/>
    <w:uiPriority w:val="0"/>
    <w:rPr>
      <w:rFonts w:ascii="宋体" w:hAnsi="Courier New" w:cs="Courier New"/>
      <w:kern w:val="2"/>
      <w:sz w:val="21"/>
      <w:szCs w:val="21"/>
    </w:rPr>
  </w:style>
  <w:style w:type="character" w:customStyle="1" w:styleId="65">
    <w:name w:val="日期 Char"/>
    <w:link w:val="23"/>
    <w:qFormat/>
    <w:uiPriority w:val="0"/>
    <w:rPr>
      <w:rFonts w:cs="Times New Roman"/>
      <w:kern w:val="2"/>
      <w:sz w:val="24"/>
      <w:szCs w:val="24"/>
    </w:rPr>
  </w:style>
  <w:style w:type="character" w:customStyle="1" w:styleId="66">
    <w:name w:val="正文文本缩进 2 Char"/>
    <w:link w:val="24"/>
    <w:qFormat/>
    <w:uiPriority w:val="0"/>
    <w:rPr>
      <w:rFonts w:cs="Times New Roman"/>
      <w:kern w:val="2"/>
      <w:sz w:val="24"/>
      <w:szCs w:val="24"/>
    </w:rPr>
  </w:style>
  <w:style w:type="character" w:customStyle="1" w:styleId="67">
    <w:name w:val="批注框文本 Char"/>
    <w:link w:val="25"/>
    <w:qFormat/>
    <w:uiPriority w:val="0"/>
    <w:rPr>
      <w:kern w:val="2"/>
      <w:sz w:val="18"/>
      <w:szCs w:val="18"/>
    </w:rPr>
  </w:style>
  <w:style w:type="character" w:customStyle="1" w:styleId="68">
    <w:name w:val="页脚 Char"/>
    <w:link w:val="26"/>
    <w:qFormat/>
    <w:uiPriority w:val="99"/>
    <w:rPr>
      <w:rFonts w:ascii="宋体" w:cs="Times New Roman"/>
      <w:sz w:val="18"/>
    </w:rPr>
  </w:style>
  <w:style w:type="character" w:customStyle="1" w:styleId="69">
    <w:name w:val="页眉 Char"/>
    <w:link w:val="27"/>
    <w:qFormat/>
    <w:uiPriority w:val="0"/>
    <w:rPr>
      <w:rFonts w:cs="Times New Roman"/>
      <w:kern w:val="2"/>
      <w:sz w:val="18"/>
      <w:szCs w:val="18"/>
    </w:rPr>
  </w:style>
  <w:style w:type="character" w:customStyle="1" w:styleId="70">
    <w:name w:val="正文文本缩进 3 Char"/>
    <w:link w:val="34"/>
    <w:qFormat/>
    <w:uiPriority w:val="0"/>
    <w:rPr>
      <w:rFonts w:cs="Times New Roman"/>
      <w:kern w:val="2"/>
      <w:sz w:val="16"/>
      <w:szCs w:val="16"/>
    </w:rPr>
  </w:style>
  <w:style w:type="character" w:customStyle="1" w:styleId="71">
    <w:name w:val="HTML 预设格式 Char"/>
    <w:link w:val="42"/>
    <w:qFormat/>
    <w:uiPriority w:val="0"/>
    <w:rPr>
      <w:rFonts w:ascii="Arial" w:hAnsi="Arial" w:cs="Arial"/>
      <w:sz w:val="24"/>
      <w:szCs w:val="24"/>
    </w:rPr>
  </w:style>
  <w:style w:type="character" w:customStyle="1" w:styleId="72">
    <w:name w:val="纯文本 Char2"/>
    <w:qFormat/>
    <w:uiPriority w:val="0"/>
    <w:rPr>
      <w:rFonts w:ascii="宋体" w:hAnsi="Courier New" w:cs="Courier New"/>
      <w:kern w:val="2"/>
      <w:sz w:val="21"/>
      <w:szCs w:val="21"/>
    </w:rPr>
  </w:style>
  <w:style w:type="character" w:customStyle="1" w:styleId="73">
    <w:name w:val="highlight1"/>
    <w:qFormat/>
    <w:uiPriority w:val="0"/>
    <w:rPr>
      <w:shd w:val="clear" w:color="auto" w:fill="FFFF00"/>
    </w:rPr>
  </w:style>
  <w:style w:type="character" w:customStyle="1" w:styleId="74">
    <w:name w:val="正文文本缩进 3 Char1"/>
    <w:qFormat/>
    <w:uiPriority w:val="0"/>
    <w:rPr>
      <w:kern w:val="2"/>
      <w:sz w:val="16"/>
      <w:szCs w:val="16"/>
    </w:rPr>
  </w:style>
  <w:style w:type="character" w:customStyle="1" w:styleId="75">
    <w:name w:val="正文文本缩进 Char1"/>
    <w:qFormat/>
    <w:uiPriority w:val="0"/>
    <w:rPr>
      <w:kern w:val="2"/>
      <w:sz w:val="21"/>
      <w:szCs w:val="24"/>
    </w:rPr>
  </w:style>
  <w:style w:type="character" w:customStyle="1" w:styleId="76">
    <w:name w:val="文档结构图 Char1"/>
    <w:qFormat/>
    <w:uiPriority w:val="0"/>
    <w:rPr>
      <w:rFonts w:ascii="宋体"/>
      <w:kern w:val="2"/>
      <w:sz w:val="18"/>
      <w:szCs w:val="18"/>
    </w:rPr>
  </w:style>
  <w:style w:type="character" w:customStyle="1" w:styleId="77">
    <w:name w:val="Char Char13"/>
    <w:qFormat/>
    <w:uiPriority w:val="0"/>
    <w:rPr>
      <w:rFonts w:cs="Times New Roman"/>
      <w:b/>
      <w:bCs/>
      <w:kern w:val="2"/>
      <w:sz w:val="32"/>
      <w:szCs w:val="32"/>
    </w:rPr>
  </w:style>
  <w:style w:type="character" w:customStyle="1" w:styleId="78">
    <w:name w:val="批注主题 Char1"/>
    <w:qFormat/>
    <w:uiPriority w:val="0"/>
    <w:rPr>
      <w:b/>
      <w:bCs/>
      <w:kern w:val="2"/>
      <w:sz w:val="21"/>
      <w:szCs w:val="24"/>
    </w:rPr>
  </w:style>
  <w:style w:type="character" w:customStyle="1" w:styleId="79">
    <w:name w:val="apple-converted-space"/>
    <w:qFormat/>
    <w:uiPriority w:val="0"/>
  </w:style>
  <w:style w:type="character" w:customStyle="1" w:styleId="80">
    <w:name w:val="页眉 Char1"/>
    <w:qFormat/>
    <w:uiPriority w:val="0"/>
    <w:rPr>
      <w:kern w:val="2"/>
      <w:sz w:val="18"/>
      <w:szCs w:val="18"/>
    </w:rPr>
  </w:style>
  <w:style w:type="character" w:customStyle="1" w:styleId="81">
    <w:name w:val="页脚 Char1"/>
    <w:qFormat/>
    <w:uiPriority w:val="0"/>
    <w:rPr>
      <w:kern w:val="2"/>
      <w:sz w:val="18"/>
      <w:szCs w:val="18"/>
    </w:rPr>
  </w:style>
  <w:style w:type="character" w:customStyle="1" w:styleId="82">
    <w:name w:val="普通文字1 Char Char"/>
    <w:qFormat/>
    <w:uiPriority w:val="0"/>
    <w:rPr>
      <w:rFonts w:ascii="宋体" w:hAnsi="Courier New" w:eastAsia="宋体"/>
      <w:kern w:val="2"/>
      <w:sz w:val="21"/>
      <w:lang w:val="en-US" w:eastAsia="zh-CN" w:bidi="ar-SA"/>
    </w:rPr>
  </w:style>
  <w:style w:type="character" w:customStyle="1" w:styleId="83">
    <w:name w:val="标题 3 Char Char"/>
    <w:qFormat/>
    <w:uiPriority w:val="0"/>
    <w:rPr>
      <w:rFonts w:hint="eastAsia" w:ascii="宋体" w:hAnsi="宋体" w:eastAsia="宋体" w:cs="Arial"/>
    </w:rPr>
  </w:style>
  <w:style w:type="character" w:customStyle="1" w:styleId="84">
    <w:name w:val="H1 Char"/>
    <w:qFormat/>
    <w:uiPriority w:val="0"/>
    <w:rPr>
      <w:rFonts w:ascii="宋体" w:hAnsi="Times New Roman" w:eastAsia="宋体" w:cs="Times New Roman"/>
      <w:b/>
      <w:kern w:val="44"/>
      <w:sz w:val="32"/>
      <w:szCs w:val="20"/>
    </w:rPr>
  </w:style>
  <w:style w:type="character" w:customStyle="1" w:styleId="85">
    <w:name w:val="标准文本 Char Char"/>
    <w:link w:val="86"/>
    <w:qFormat/>
    <w:uiPriority w:val="0"/>
    <w:rPr>
      <w:rFonts w:eastAsia="宋体" w:cs="宋体"/>
      <w:kern w:val="2"/>
      <w:sz w:val="24"/>
      <w:lang w:val="en-US" w:eastAsia="zh-CN" w:bidi="ar-SA"/>
    </w:rPr>
  </w:style>
  <w:style w:type="paragraph" w:customStyle="1" w:styleId="86">
    <w:name w:val="标准文本"/>
    <w:basedOn w:val="1"/>
    <w:link w:val="85"/>
    <w:qFormat/>
    <w:uiPriority w:val="0"/>
    <w:pPr>
      <w:spacing w:line="360" w:lineRule="auto"/>
      <w:ind w:firstLine="480" w:firstLineChars="200"/>
    </w:pPr>
    <w:rPr>
      <w:rFonts w:cs="宋体"/>
      <w:sz w:val="24"/>
      <w:szCs w:val="20"/>
    </w:rPr>
  </w:style>
  <w:style w:type="character" w:customStyle="1" w:styleId="87">
    <w:name w:val="纯文本 Char Char"/>
    <w:qFormat/>
    <w:uiPriority w:val="0"/>
    <w:rPr>
      <w:rFonts w:ascii="宋体" w:hAnsi="Courier New" w:eastAsia="宋体" w:cs="Courier New"/>
      <w:sz w:val="21"/>
      <w:szCs w:val="21"/>
      <w:u w:color="000000"/>
      <w:lang w:bidi="ar-SA"/>
    </w:rPr>
  </w:style>
  <w:style w:type="character" w:customStyle="1" w:styleId="88">
    <w:name w:val="标题2 Char"/>
    <w:qFormat/>
    <w:uiPriority w:val="0"/>
    <w:rPr>
      <w:rFonts w:ascii="Arial" w:hAnsi="Arial" w:eastAsia="黑体" w:cs="Times New Roman"/>
      <w:b/>
      <w:kern w:val="0"/>
      <w:sz w:val="30"/>
      <w:szCs w:val="20"/>
    </w:rPr>
  </w:style>
  <w:style w:type="character" w:customStyle="1" w:styleId="89">
    <w:name w:val="正文文本缩进 2 Char1"/>
    <w:qFormat/>
    <w:uiPriority w:val="0"/>
    <w:rPr>
      <w:kern w:val="2"/>
      <w:sz w:val="21"/>
      <w:szCs w:val="24"/>
    </w:rPr>
  </w:style>
  <w:style w:type="character" w:customStyle="1" w:styleId="90">
    <w:name w:val="日期 Char1"/>
    <w:qFormat/>
    <w:uiPriority w:val="0"/>
    <w:rPr>
      <w:kern w:val="2"/>
      <w:sz w:val="21"/>
      <w:szCs w:val="24"/>
    </w:rPr>
  </w:style>
  <w:style w:type="paragraph" w:customStyle="1" w:styleId="91">
    <w:name w:val="列出段落1"/>
    <w:basedOn w:val="1"/>
    <w:qFormat/>
    <w:uiPriority w:val="0"/>
    <w:pPr>
      <w:ind w:firstLine="420" w:firstLineChars="200"/>
    </w:pPr>
    <w:rPr>
      <w:rFonts w:ascii="Calibri" w:hAnsi="Calibri"/>
      <w:szCs w:val="22"/>
    </w:rPr>
  </w:style>
  <w:style w:type="paragraph" w:customStyle="1" w:styleId="92">
    <w:name w:val="List Paragraph1"/>
    <w:basedOn w:val="1"/>
    <w:qFormat/>
    <w:uiPriority w:val="0"/>
    <w:pPr>
      <w:ind w:firstLine="420" w:firstLineChars="200"/>
    </w:pPr>
    <w:rPr>
      <w:rFonts w:ascii="Calibri" w:hAnsi="Calibri"/>
      <w:szCs w:val="22"/>
    </w:rPr>
  </w:style>
  <w:style w:type="paragraph" w:customStyle="1" w:styleId="93">
    <w:name w:val="Char1"/>
    <w:basedOn w:val="1"/>
    <w:qFormat/>
    <w:uiPriority w:val="0"/>
    <w:rPr>
      <w:rFonts w:ascii="Tahoma" w:hAnsi="Tahoma" w:cs="仿宋_GB2312"/>
      <w:sz w:val="24"/>
      <w:szCs w:val="28"/>
    </w:rPr>
  </w:style>
  <w:style w:type="paragraph" w:customStyle="1" w:styleId="94">
    <w:name w:val="样式1"/>
    <w:basedOn w:val="2"/>
    <w:qFormat/>
    <w:uiPriority w:val="0"/>
    <w:pPr>
      <w:spacing w:line="360" w:lineRule="auto"/>
    </w:pPr>
    <w:rPr>
      <w:rFonts w:hAnsi="宋体"/>
      <w:sz w:val="24"/>
      <w:szCs w:val="24"/>
    </w:rPr>
  </w:style>
  <w:style w:type="paragraph" w:customStyle="1" w:styleId="95">
    <w:name w:val="Char Char Char1 Char Char Char Char"/>
    <w:basedOn w:val="1"/>
    <w:qFormat/>
    <w:uiPriority w:val="0"/>
    <w:rPr>
      <w:rFonts w:ascii="Tahoma" w:hAnsi="Tahoma"/>
      <w:sz w:val="24"/>
      <w:szCs w:val="20"/>
    </w:rPr>
  </w:style>
  <w:style w:type="paragraph" w:customStyle="1" w:styleId="96">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97">
    <w:name w:val="彩色列表 - 强调文字颜色 11"/>
    <w:basedOn w:val="1"/>
    <w:qFormat/>
    <w:uiPriority w:val="0"/>
    <w:pPr>
      <w:ind w:firstLine="420" w:firstLineChars="200"/>
    </w:pPr>
    <w:rPr>
      <w:rFonts w:ascii="Calibri" w:hAnsi="Calibri"/>
      <w:szCs w:val="22"/>
    </w:rPr>
  </w:style>
  <w:style w:type="paragraph" w:customStyle="1" w:styleId="98">
    <w:name w:val="p_0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列出段落11"/>
    <w:basedOn w:val="1"/>
    <w:qFormat/>
    <w:uiPriority w:val="34"/>
    <w:pPr>
      <w:ind w:firstLine="420" w:firstLineChars="200"/>
    </w:pPr>
    <w:rPr>
      <w:rFonts w:ascii="Calibri" w:hAnsi="Calibri"/>
      <w:szCs w:val="22"/>
    </w:rPr>
  </w:style>
  <w:style w:type="paragraph" w:customStyle="1" w:styleId="100">
    <w:name w:val="Char1 Char Char Char Char Char Char"/>
    <w:basedOn w:val="1"/>
    <w:qFormat/>
    <w:uiPriority w:val="0"/>
    <w:rPr>
      <w:rFonts w:ascii="Tahoma" w:hAnsi="Tahoma"/>
      <w:sz w:val="24"/>
      <w:szCs w:val="20"/>
    </w:rPr>
  </w:style>
  <w:style w:type="paragraph" w:customStyle="1" w:styleId="101">
    <w:name w:val="正文 + 小四"/>
    <w:basedOn w:val="1"/>
    <w:qFormat/>
    <w:uiPriority w:val="0"/>
    <w:pPr>
      <w:spacing w:line="360" w:lineRule="auto"/>
      <w:ind w:firstLine="480" w:firstLineChars="200"/>
    </w:pPr>
    <w:rPr>
      <w:sz w:val="24"/>
    </w:rPr>
  </w:style>
  <w:style w:type="paragraph" w:customStyle="1" w:styleId="102">
    <w:name w:val="Char2"/>
    <w:basedOn w:val="1"/>
    <w:qFormat/>
    <w:uiPriority w:val="0"/>
    <w:pPr>
      <w:spacing w:line="360" w:lineRule="auto"/>
      <w:ind w:firstLine="200" w:firstLineChars="200"/>
    </w:pPr>
    <w:rPr>
      <w:rFonts w:ascii="宋体" w:hAnsi="宋体" w:cs="宋体"/>
      <w:sz w:val="24"/>
    </w:rPr>
  </w:style>
  <w:style w:type="paragraph" w:customStyle="1" w:styleId="103">
    <w:name w:val="Char Char Char1 Char Char Char Char1"/>
    <w:basedOn w:val="1"/>
    <w:qFormat/>
    <w:uiPriority w:val="0"/>
    <w:rPr>
      <w:rFonts w:ascii="Tahoma" w:hAnsi="Tahoma"/>
      <w:sz w:val="24"/>
      <w:szCs w:val="20"/>
    </w:rPr>
  </w:style>
  <w:style w:type="paragraph" w:customStyle="1" w:styleId="10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
    <w:name w:val="项目正文0"/>
    <w:basedOn w:val="1"/>
    <w:qFormat/>
    <w:uiPriority w:val="0"/>
    <w:pPr>
      <w:spacing w:line="360" w:lineRule="auto"/>
      <w:ind w:firstLine="420" w:firstLineChars="200"/>
    </w:pPr>
    <w:rPr>
      <w:rFonts w:ascii="宋体" w:hAnsi="宋体"/>
      <w:szCs w:val="21"/>
    </w:rPr>
  </w:style>
  <w:style w:type="paragraph" w:customStyle="1" w:styleId="107">
    <w:name w:val="USE 1"/>
    <w:basedOn w:val="1"/>
    <w:qFormat/>
    <w:uiPriority w:val="0"/>
    <w:pPr>
      <w:spacing w:line="200" w:lineRule="atLeast"/>
      <w:jc w:val="left"/>
    </w:pPr>
    <w:rPr>
      <w:rFonts w:ascii="宋体" w:hAnsi="宋体"/>
      <w:b/>
      <w:sz w:val="24"/>
      <w:szCs w:val="20"/>
    </w:rPr>
  </w:style>
  <w:style w:type="paragraph" w:customStyle="1" w:styleId="108">
    <w:name w:val="Char1 Char Char Char Char Char Char1"/>
    <w:basedOn w:val="1"/>
    <w:qFormat/>
    <w:uiPriority w:val="0"/>
    <w:rPr>
      <w:szCs w:val="20"/>
    </w:rPr>
  </w:style>
  <w:style w:type="character" w:customStyle="1" w:styleId="109">
    <w:name w:val="纯文本 Char1"/>
    <w:qFormat/>
    <w:uiPriority w:val="99"/>
    <w:rPr>
      <w:rFonts w:ascii="宋体" w:hAnsi="Courier New" w:eastAsia="宋体" w:cs="Courier New"/>
      <w:szCs w:val="21"/>
    </w:rPr>
  </w:style>
  <w:style w:type="paragraph" w:customStyle="1" w:styleId="110">
    <w:name w:val="样式 标题 4 + 首行缩进:  0 厘米 段前: 0.5 行 段后: 0.25 行1"/>
    <w:basedOn w:val="6"/>
    <w:next w:val="107"/>
    <w:qFormat/>
    <w:uiPriority w:val="0"/>
    <w:pPr>
      <w:spacing w:beforeLines="50" w:afterLines="25" w:line="376" w:lineRule="auto"/>
    </w:pPr>
    <w:rPr>
      <w:rFonts w:eastAsia="宋体" w:cs="宋体"/>
      <w:szCs w:val="20"/>
    </w:rPr>
  </w:style>
  <w:style w:type="paragraph" w:customStyle="1" w:styleId="111">
    <w:name w:val="TEXT"/>
    <w:basedOn w:val="1"/>
    <w:qFormat/>
    <w:uiPriority w:val="0"/>
    <w:pPr>
      <w:widowControl/>
      <w:numPr>
        <w:ilvl w:val="0"/>
        <w:numId w:val="1"/>
      </w:numPr>
      <w:tabs>
        <w:tab w:val="clear" w:pos="576"/>
      </w:tabs>
      <w:spacing w:line="360" w:lineRule="auto"/>
      <w:ind w:left="0" w:firstLine="480"/>
      <w:jc w:val="left"/>
    </w:pPr>
    <w:rPr>
      <w:kern w:val="0"/>
      <w:sz w:val="24"/>
    </w:rPr>
  </w:style>
  <w:style w:type="paragraph" w:customStyle="1" w:styleId="112">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13">
    <w:name w:val="列出段落2"/>
    <w:basedOn w:val="1"/>
    <w:qFormat/>
    <w:uiPriority w:val="0"/>
    <w:pPr>
      <w:ind w:firstLine="420" w:firstLineChars="200"/>
    </w:pPr>
    <w:rPr>
      <w:szCs w:val="20"/>
    </w:rPr>
  </w:style>
  <w:style w:type="paragraph" w:customStyle="1" w:styleId="114">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styleId="115">
    <w:name w:val="List Paragraph"/>
    <w:basedOn w:val="1"/>
    <w:link w:val="149"/>
    <w:qFormat/>
    <w:uiPriority w:val="34"/>
    <w:pPr>
      <w:ind w:firstLine="420" w:firstLineChars="200"/>
    </w:pPr>
  </w:style>
  <w:style w:type="character" w:customStyle="1" w:styleId="116">
    <w:name w:val="签名 Char"/>
    <w:basedOn w:val="45"/>
    <w:link w:val="28"/>
    <w:qFormat/>
    <w:uiPriority w:val="0"/>
    <w:rPr>
      <w:rFonts w:eastAsia="仿宋_GB2312"/>
      <w:sz w:val="24"/>
      <w:lang w:val="zh-CN"/>
    </w:rPr>
  </w:style>
  <w:style w:type="character" w:customStyle="1" w:styleId="117">
    <w:name w:val="正文文本 2 Char"/>
    <w:basedOn w:val="45"/>
    <w:link w:val="40"/>
    <w:qFormat/>
    <w:uiPriority w:val="0"/>
    <w:rPr>
      <w:rFonts w:ascii="宋体"/>
      <w:color w:val="000000"/>
      <w:sz w:val="28"/>
      <w:lang w:val="en-GB"/>
    </w:rPr>
  </w:style>
  <w:style w:type="character" w:customStyle="1" w:styleId="118">
    <w:name w:val="信息标题 Char"/>
    <w:basedOn w:val="45"/>
    <w:link w:val="41"/>
    <w:qFormat/>
    <w:uiPriority w:val="0"/>
    <w:rPr>
      <w:rFonts w:ascii="Cambria" w:hAnsi="Cambria"/>
      <w:kern w:val="2"/>
      <w:sz w:val="24"/>
      <w:szCs w:val="24"/>
      <w:shd w:val="pct20" w:color="auto" w:fill="auto"/>
      <w:lang w:val="zh-CN"/>
    </w:rPr>
  </w:style>
  <w:style w:type="character" w:customStyle="1" w:styleId="119">
    <w:name w:val="medium_text1"/>
    <w:qFormat/>
    <w:uiPriority w:val="0"/>
    <w:rPr>
      <w:sz w:val="24"/>
      <w:szCs w:val="24"/>
    </w:rPr>
  </w:style>
  <w:style w:type="character" w:customStyle="1" w:styleId="120">
    <w:name w:val="页眉 Char Char"/>
    <w:qFormat/>
    <w:uiPriority w:val="0"/>
    <w:rPr>
      <w:rFonts w:cs="Times New Roman"/>
      <w:kern w:val="2"/>
      <w:sz w:val="18"/>
      <w:szCs w:val="18"/>
    </w:rPr>
  </w:style>
  <w:style w:type="character" w:customStyle="1" w:styleId="121">
    <w:name w:val="short_text1"/>
    <w:qFormat/>
    <w:uiPriority w:val="0"/>
    <w:rPr>
      <w:sz w:val="26"/>
      <w:szCs w:val="26"/>
    </w:rPr>
  </w:style>
  <w:style w:type="character" w:customStyle="1" w:styleId="122">
    <w:name w:val="纯文本 Char"/>
    <w:qFormat/>
    <w:uiPriority w:val="0"/>
    <w:rPr>
      <w:rFonts w:ascii="宋体" w:hAnsi="Courier New" w:eastAsia="宋体" w:cs="Courier New"/>
      <w:sz w:val="21"/>
      <w:szCs w:val="21"/>
      <w:u w:color="000000"/>
      <w:lang w:bidi="ar-SA"/>
    </w:rPr>
  </w:style>
  <w:style w:type="character" w:customStyle="1" w:styleId="123">
    <w:name w:val="ca-2"/>
    <w:basedOn w:val="45"/>
    <w:qFormat/>
    <w:uiPriority w:val="0"/>
  </w:style>
  <w:style w:type="character" w:customStyle="1" w:styleId="124">
    <w:name w:val="apple-style-span"/>
    <w:qFormat/>
    <w:uiPriority w:val="0"/>
    <w:rPr>
      <w:rFonts w:cs="Times New Roman"/>
    </w:rPr>
  </w:style>
  <w:style w:type="paragraph" w:customStyle="1" w:styleId="125">
    <w:name w:val="Pa9"/>
    <w:basedOn w:val="114"/>
    <w:next w:val="114"/>
    <w:qFormat/>
    <w:uiPriority w:val="0"/>
    <w:pPr>
      <w:spacing w:before="120" w:line="161" w:lineRule="atLeast"/>
    </w:pPr>
    <w:rPr>
      <w:rFonts w:cs="Times New Roman"/>
      <w:color w:val="auto"/>
    </w:rPr>
  </w:style>
  <w:style w:type="paragraph" w:customStyle="1" w:styleId="126">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127">
    <w:name w:val="Char3 Char Char Char"/>
    <w:basedOn w:val="1"/>
    <w:qFormat/>
    <w:uiPriority w:val="0"/>
  </w:style>
  <w:style w:type="paragraph" w:customStyle="1" w:styleId="128">
    <w:name w:val="pa-8"/>
    <w:basedOn w:val="1"/>
    <w:qFormat/>
    <w:uiPriority w:val="0"/>
    <w:pPr>
      <w:widowControl/>
      <w:spacing w:before="150" w:after="150"/>
      <w:jc w:val="left"/>
    </w:pPr>
    <w:rPr>
      <w:rFonts w:ascii="宋体" w:hAnsi="宋体" w:cs="宋体"/>
      <w:kern w:val="0"/>
      <w:sz w:val="24"/>
    </w:rPr>
  </w:style>
  <w:style w:type="paragraph" w:customStyle="1" w:styleId="129">
    <w:name w:val="Pa10"/>
    <w:basedOn w:val="114"/>
    <w:next w:val="114"/>
    <w:qFormat/>
    <w:uiPriority w:val="0"/>
    <w:pPr>
      <w:spacing w:line="161" w:lineRule="atLeast"/>
    </w:pPr>
    <w:rPr>
      <w:rFonts w:cs="Times New Roman"/>
      <w:color w:val="auto"/>
    </w:rPr>
  </w:style>
  <w:style w:type="paragraph" w:customStyle="1" w:styleId="130">
    <w:name w:val="pa-6"/>
    <w:basedOn w:val="1"/>
    <w:qFormat/>
    <w:uiPriority w:val="0"/>
    <w:pPr>
      <w:widowControl/>
      <w:spacing w:before="150" w:after="150"/>
      <w:jc w:val="left"/>
    </w:pPr>
    <w:rPr>
      <w:rFonts w:ascii="宋体" w:hAnsi="宋体" w:cs="宋体"/>
      <w:kern w:val="0"/>
      <w:sz w:val="24"/>
    </w:rPr>
  </w:style>
  <w:style w:type="paragraph" w:customStyle="1" w:styleId="131">
    <w:name w:val="Char Char Char"/>
    <w:basedOn w:val="1"/>
    <w:qFormat/>
    <w:uiPriority w:val="0"/>
    <w:rPr>
      <w:rFonts w:ascii="Tahoma" w:hAnsi="Tahoma"/>
      <w:sz w:val="24"/>
      <w:szCs w:val="20"/>
    </w:rPr>
  </w:style>
  <w:style w:type="paragraph" w:customStyle="1" w:styleId="132">
    <w:name w:val="修订1"/>
    <w:qFormat/>
    <w:uiPriority w:val="0"/>
    <w:rPr>
      <w:rFonts w:ascii="Times New Roman" w:hAnsi="Times New Roman" w:eastAsia="宋体" w:cs="Times New Roman"/>
      <w:kern w:val="2"/>
      <w:sz w:val="21"/>
      <w:szCs w:val="24"/>
      <w:lang w:val="en-US" w:eastAsia="zh-CN" w:bidi="ar-SA"/>
    </w:rPr>
  </w:style>
  <w:style w:type="paragraph" w:customStyle="1" w:styleId="133">
    <w:name w:val="p0"/>
    <w:basedOn w:val="1"/>
    <w:qFormat/>
    <w:uiPriority w:val="0"/>
    <w:pPr>
      <w:widowControl/>
    </w:pPr>
    <w:rPr>
      <w:kern w:val="0"/>
      <w:szCs w:val="20"/>
    </w:rPr>
  </w:style>
  <w:style w:type="paragraph" w:customStyle="1" w:styleId="134">
    <w:name w:val="正文2"/>
    <w:basedOn w:val="1"/>
    <w:qFormat/>
    <w:uiPriority w:val="0"/>
    <w:pPr>
      <w:spacing w:before="156" w:line="360" w:lineRule="auto"/>
      <w:ind w:firstLine="510" w:firstLineChars="200"/>
    </w:pPr>
    <w:rPr>
      <w:sz w:val="24"/>
      <w:szCs w:val="20"/>
    </w:rPr>
  </w:style>
  <w:style w:type="paragraph" w:customStyle="1" w:styleId="135">
    <w:name w:val="文档正文"/>
    <w:basedOn w:val="1"/>
    <w:qFormat/>
    <w:uiPriority w:val="0"/>
    <w:pPr>
      <w:adjustRightInd w:val="0"/>
      <w:spacing w:line="480" w:lineRule="atLeast"/>
      <w:ind w:firstLine="567"/>
      <w:textAlignment w:val="baseline"/>
    </w:pPr>
    <w:rPr>
      <w:kern w:val="0"/>
      <w:sz w:val="24"/>
      <w:szCs w:val="20"/>
    </w:rPr>
  </w:style>
  <w:style w:type="paragraph" w:customStyle="1" w:styleId="136">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37">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38">
    <w:name w:val="样式 标题 2 + 宋体 小四"/>
    <w:basedOn w:val="3"/>
    <w:qFormat/>
    <w:uiPriority w:val="99"/>
    <w:pPr>
      <w:autoSpaceDE/>
      <w:autoSpaceDN/>
      <w:adjustRightInd/>
      <w:spacing w:before="0" w:line="360" w:lineRule="auto"/>
      <w:jc w:val="both"/>
    </w:pPr>
    <w:rPr>
      <w:rFonts w:ascii="Times New Roman" w:hAnsi="Times New Roman"/>
      <w:sz w:val="28"/>
      <w:szCs w:val="28"/>
      <w:lang w:val="zh-CN"/>
    </w:rPr>
  </w:style>
  <w:style w:type="character" w:customStyle="1" w:styleId="139">
    <w:name w:val="正文缩进 字符1"/>
    <w:qFormat/>
    <w:uiPriority w:val="0"/>
    <w:rPr>
      <w:rFonts w:ascii="宋体"/>
      <w:sz w:val="24"/>
    </w:rPr>
  </w:style>
  <w:style w:type="paragraph" w:customStyle="1" w:styleId="140">
    <w:name w:val="Char21"/>
    <w:basedOn w:val="1"/>
    <w:qFormat/>
    <w:uiPriority w:val="0"/>
    <w:rPr>
      <w:rFonts w:ascii="Tahoma" w:hAnsi="Tahoma"/>
      <w:sz w:val="24"/>
      <w:szCs w:val="20"/>
    </w:rPr>
  </w:style>
  <w:style w:type="paragraph" w:customStyle="1" w:styleId="141">
    <w:name w:val="样式 首行缩进:  0.74 厘米"/>
    <w:basedOn w:val="1"/>
    <w:qFormat/>
    <w:uiPriority w:val="0"/>
    <w:pPr>
      <w:ind w:firstLine="420"/>
    </w:pPr>
    <w:rPr>
      <w:rFonts w:ascii="Arial" w:hAnsi="Arial" w:eastAsia="仿宋_GB2312" w:cs="Arial"/>
      <w:bCs/>
      <w:sz w:val="28"/>
      <w:szCs w:val="28"/>
    </w:rPr>
  </w:style>
  <w:style w:type="paragraph" w:customStyle="1" w:styleId="142">
    <w:name w:val="列出段落3"/>
    <w:basedOn w:val="1"/>
    <w:unhideWhenUsed/>
    <w:qFormat/>
    <w:uiPriority w:val="0"/>
    <w:pPr>
      <w:ind w:firstLine="420" w:firstLineChars="200"/>
    </w:pPr>
  </w:style>
  <w:style w:type="paragraph" w:customStyle="1" w:styleId="143">
    <w:name w:val="纯文本1"/>
    <w:basedOn w:val="1"/>
    <w:uiPriority w:val="99"/>
    <w:rPr>
      <w:rFonts w:ascii="宋体" w:hAnsi="Courier New"/>
      <w:szCs w:val="21"/>
    </w:rPr>
  </w:style>
  <w:style w:type="character" w:customStyle="1" w:styleId="144">
    <w:name w:val="Hyperlink.1"/>
    <w:uiPriority w:val="0"/>
    <w:rPr>
      <w:rFonts w:ascii="仿宋" w:hAnsi="仿宋" w:eastAsia="仿宋" w:cs="仿宋"/>
      <w:sz w:val="24"/>
      <w:szCs w:val="24"/>
      <w:lang w:val="zh-TW" w:eastAsia="zh-TW"/>
    </w:rPr>
  </w:style>
  <w:style w:type="character" w:customStyle="1" w:styleId="145">
    <w:name w:val="无 A"/>
    <w:uiPriority w:val="0"/>
  </w:style>
  <w:style w:type="character" w:customStyle="1" w:styleId="146">
    <w:name w:val="无 B"/>
    <w:uiPriority w:val="0"/>
    <w:rPr>
      <w:lang w:val="zh-TW" w:eastAsia="zh-TW"/>
    </w:rPr>
  </w:style>
  <w:style w:type="paragraph" w:customStyle="1" w:styleId="147">
    <w:name w:val="正文 A"/>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148">
    <w:name w:val="Revision"/>
    <w:hidden/>
    <w:semiHidden/>
    <w:uiPriority w:val="99"/>
    <w:rPr>
      <w:rFonts w:ascii="Times New Roman" w:hAnsi="Times New Roman" w:eastAsia="宋体" w:cs="Times New Roman"/>
      <w:kern w:val="2"/>
      <w:sz w:val="21"/>
      <w:szCs w:val="24"/>
      <w:lang w:val="en-US" w:eastAsia="zh-CN" w:bidi="ar-SA"/>
    </w:rPr>
  </w:style>
  <w:style w:type="character" w:customStyle="1" w:styleId="149">
    <w:name w:val="列出段落 Char"/>
    <w:link w:val="115"/>
    <w:uiPriority w:val="34"/>
    <w:rPr>
      <w:kern w:val="2"/>
      <w:sz w:val="21"/>
      <w:szCs w:val="24"/>
    </w:rPr>
  </w:style>
  <w:style w:type="paragraph" w:customStyle="1" w:styleId="150">
    <w:name w:val="项目编号1"/>
    <w:basedOn w:val="1"/>
    <w:uiPriority w:val="0"/>
    <w:pPr>
      <w:tabs>
        <w:tab w:val="left" w:pos="420"/>
      </w:tabs>
      <w:spacing w:line="360" w:lineRule="auto"/>
      <w:ind w:left="420" w:hanging="42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2B4499-B07D-431E-B5E1-740643EDCDA8}">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91</Pages>
  <Words>8040</Words>
  <Characters>45828</Characters>
  <Lines>381</Lines>
  <Paragraphs>107</Paragraphs>
  <TotalTime>21</TotalTime>
  <ScaleCrop>false</ScaleCrop>
  <LinksUpToDate>false</LinksUpToDate>
  <CharactersWithSpaces>53761</CharactersWithSpaces>
  <Application>WPS Office_11.1.0.7932_F1E327BC-269C-435d-A152-05C5408002CA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2018-11-07T08:48:00Z</dcterms:created>
  <dc:creator>swallow</dc:creator>
  <cp:lastModifiedBy>祸.</cp:lastModifiedBy>
  <cp:lastPrinted>2015-03-31T03:08:00Z</cp:lastPrinted>
  <dcterms:modified xsi:type="dcterms:W3CDTF">2018-11-08T02:35:56Z</dcterms:modified>
  <dc:subject>范本</dc:subject>
  <dc:title>北京市政府采购</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2052-11.1.0.7932</vt:lpwstr>
  </property>
</Properties>
</file>