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FD12C6A">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0"/>
          <w:sz w:val="40"/>
          <w:szCs w:val="40"/>
          <w:highlight w:val="none"/>
          <w:lang w:val="en-US" w:eastAsia="zh-CN"/>
        </w:rPr>
      </w:pPr>
    </w:p>
    <w:p w14:paraId="34180984">
      <w:pPr>
        <w:keepNext w:val="0"/>
        <w:keepLines w:val="0"/>
        <w:pageBreakBefore w:val="0"/>
        <w:widowControl w:val="0"/>
        <w:suppressLineNumbers w:val="0"/>
        <w:kinsoku/>
        <w:overflowPunct/>
        <w:bidi w:val="0"/>
        <w:snapToGrid/>
        <w:jc w:val="center"/>
        <w:outlineLvl w:val="0"/>
        <w:rPr>
          <w:rFonts w:hint="eastAsia" w:ascii="宋体" w:hAnsi="宋体" w:eastAsia="宋体" w:cs="宋体"/>
          <w:b/>
          <w:color w:val="auto"/>
          <w:kern w:val="0"/>
          <w:sz w:val="44"/>
          <w:szCs w:val="44"/>
          <w:highlight w:val="none"/>
          <w:lang w:val="en-US" w:eastAsia="zh-CN" w:bidi="ar-SA"/>
        </w:rPr>
      </w:pPr>
      <w:r>
        <w:rPr>
          <w:rFonts w:hint="eastAsia" w:ascii="宋体" w:hAnsi="宋体" w:cs="宋体"/>
          <w:b/>
          <w:color w:val="auto"/>
          <w:kern w:val="0"/>
          <w:sz w:val="44"/>
          <w:szCs w:val="44"/>
          <w:highlight w:val="none"/>
          <w:lang w:val="en-US" w:eastAsia="zh-CN" w:bidi="ar-SA"/>
        </w:rPr>
        <w:t>临翔区2026年学校学生食堂食材采购项目</w:t>
      </w:r>
    </w:p>
    <w:p w14:paraId="0215ED0D">
      <w:pPr>
        <w:pStyle w:val="16"/>
        <w:keepNext w:val="0"/>
        <w:keepLines w:val="0"/>
        <w:pageBreakBefore w:val="0"/>
        <w:widowControl w:val="0"/>
        <w:kinsoku/>
        <w:overflowPunct/>
        <w:bidi w:val="0"/>
        <w:snapToGrid/>
        <w:spacing w:line="413" w:lineRule="auto"/>
        <w:rPr>
          <w:rFonts w:hint="eastAsia" w:ascii="宋体" w:hAnsi="宋体" w:eastAsia="宋体" w:cs="宋体"/>
          <w:color w:val="auto"/>
          <w:sz w:val="72"/>
          <w:highlight w:val="none"/>
        </w:rPr>
      </w:pPr>
    </w:p>
    <w:p w14:paraId="5320689D">
      <w:pPr>
        <w:pStyle w:val="16"/>
        <w:keepNext w:val="0"/>
        <w:keepLines w:val="0"/>
        <w:pageBreakBefore w:val="0"/>
        <w:widowControl w:val="0"/>
        <w:kinsoku/>
        <w:overflowPunct/>
        <w:bidi w:val="0"/>
        <w:snapToGrid/>
        <w:spacing w:line="413" w:lineRule="auto"/>
        <w:jc w:val="center"/>
        <w:rPr>
          <w:rFonts w:hint="eastAsia" w:ascii="宋体" w:hAnsi="宋体" w:eastAsia="宋体" w:cs="宋体"/>
          <w:color w:val="auto"/>
          <w:sz w:val="72"/>
          <w:highlight w:val="none"/>
        </w:rPr>
      </w:pPr>
    </w:p>
    <w:p w14:paraId="02CF6E09">
      <w:pPr>
        <w:pStyle w:val="16"/>
        <w:keepNext w:val="0"/>
        <w:keepLines w:val="0"/>
        <w:pageBreakBefore w:val="0"/>
        <w:widowControl w:val="0"/>
        <w:kinsoku/>
        <w:overflowPunct/>
        <w:bidi w:val="0"/>
        <w:snapToGrid/>
        <w:spacing w:line="413" w:lineRule="auto"/>
        <w:jc w:val="center"/>
        <w:rPr>
          <w:rFonts w:hint="eastAsia" w:ascii="宋体" w:hAnsi="宋体" w:eastAsia="宋体" w:cs="宋体"/>
          <w:color w:val="auto"/>
          <w:sz w:val="72"/>
          <w:highlight w:val="none"/>
        </w:rPr>
      </w:pPr>
    </w:p>
    <w:p w14:paraId="01A53496">
      <w:pPr>
        <w:keepNext w:val="0"/>
        <w:keepLines w:val="0"/>
        <w:pageBreakBefore w:val="0"/>
        <w:widowControl w:val="0"/>
        <w:kinsoku/>
        <w:overflowPunct/>
        <w:bidi w:val="0"/>
        <w:snapToGrid/>
        <w:spacing w:line="413"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招   标   文   件</w:t>
      </w:r>
    </w:p>
    <w:p w14:paraId="0EA79C7C">
      <w:pPr>
        <w:pStyle w:val="16"/>
        <w:keepNext w:val="0"/>
        <w:keepLines w:val="0"/>
        <w:pageBreakBefore w:val="0"/>
        <w:widowControl w:val="0"/>
        <w:kinsoku/>
        <w:overflowPunct/>
        <w:bidi w:val="0"/>
        <w:snapToGrid/>
        <w:spacing w:line="413" w:lineRule="auto"/>
        <w:jc w:val="center"/>
        <w:rPr>
          <w:rFonts w:hint="eastAsia" w:ascii="宋体" w:hAnsi="宋体" w:eastAsia="宋体" w:cs="宋体"/>
          <w:color w:val="auto"/>
          <w:highlight w:val="none"/>
          <w:lang w:val="en-US" w:eastAsia="zh-CN"/>
        </w:rPr>
      </w:pPr>
      <w:bookmarkStart w:id="0" w:name="_Hlk530348224"/>
      <w:r>
        <w:rPr>
          <w:rFonts w:hint="eastAsia" w:ascii="宋体" w:hAnsi="宋体" w:eastAsia="宋体" w:cs="宋体"/>
          <w:b/>
          <w:color w:val="auto"/>
          <w:sz w:val="32"/>
          <w:szCs w:val="21"/>
          <w:highlight w:val="none"/>
          <w:lang w:val="en-US" w:eastAsia="zh-CN"/>
        </w:rPr>
        <w:t>项目</w:t>
      </w:r>
      <w:r>
        <w:rPr>
          <w:rFonts w:hint="eastAsia" w:ascii="宋体" w:hAnsi="宋体" w:eastAsia="宋体" w:cs="宋体"/>
          <w:b/>
          <w:color w:val="auto"/>
          <w:sz w:val="32"/>
          <w:szCs w:val="21"/>
          <w:highlight w:val="none"/>
        </w:rPr>
        <w:t>编号</w:t>
      </w:r>
      <w:bookmarkEnd w:id="0"/>
      <w:r>
        <w:rPr>
          <w:rFonts w:hint="eastAsia" w:hAnsi="宋体" w:cs="宋体"/>
          <w:b/>
          <w:color w:val="auto"/>
          <w:sz w:val="32"/>
          <w:szCs w:val="21"/>
          <w:highlight w:val="none"/>
          <w:lang w:eastAsia="zh-CN"/>
        </w:rPr>
        <w:t>：LCZC2026-G1-00611-YNYJ-0029</w:t>
      </w:r>
    </w:p>
    <w:p w14:paraId="5698E2FD">
      <w:pPr>
        <w:pStyle w:val="16"/>
        <w:keepNext w:val="0"/>
        <w:keepLines w:val="0"/>
        <w:pageBreakBefore w:val="0"/>
        <w:widowControl w:val="0"/>
        <w:kinsoku/>
        <w:overflowPunct/>
        <w:bidi w:val="0"/>
        <w:snapToGrid/>
        <w:spacing w:line="413" w:lineRule="auto"/>
        <w:rPr>
          <w:rFonts w:hint="eastAsia" w:ascii="宋体" w:hAnsi="宋体" w:eastAsia="宋体" w:cs="宋体"/>
          <w:color w:val="auto"/>
          <w:highlight w:val="none"/>
        </w:rPr>
      </w:pPr>
    </w:p>
    <w:p w14:paraId="3D45FD64">
      <w:pPr>
        <w:pStyle w:val="16"/>
        <w:keepNext w:val="0"/>
        <w:keepLines w:val="0"/>
        <w:pageBreakBefore w:val="0"/>
        <w:widowControl w:val="0"/>
        <w:kinsoku/>
        <w:overflowPunct/>
        <w:bidi w:val="0"/>
        <w:snapToGrid/>
        <w:spacing w:line="413" w:lineRule="auto"/>
        <w:rPr>
          <w:rFonts w:hint="eastAsia" w:ascii="宋体" w:hAnsi="宋体" w:eastAsia="宋体" w:cs="宋体"/>
          <w:color w:val="auto"/>
          <w:sz w:val="36"/>
          <w:highlight w:val="none"/>
        </w:rPr>
      </w:pPr>
    </w:p>
    <w:p w14:paraId="3EADC052">
      <w:pPr>
        <w:pStyle w:val="16"/>
        <w:keepNext w:val="0"/>
        <w:keepLines w:val="0"/>
        <w:pageBreakBefore w:val="0"/>
        <w:widowControl w:val="0"/>
        <w:kinsoku/>
        <w:overflowPunct/>
        <w:bidi w:val="0"/>
        <w:snapToGrid/>
        <w:spacing w:line="413" w:lineRule="auto"/>
        <w:rPr>
          <w:rFonts w:hint="eastAsia" w:ascii="宋体" w:hAnsi="宋体" w:eastAsia="宋体" w:cs="宋体"/>
          <w:color w:val="auto"/>
          <w:sz w:val="36"/>
          <w:highlight w:val="none"/>
        </w:rPr>
      </w:pPr>
    </w:p>
    <w:p w14:paraId="0C4A555B">
      <w:pPr>
        <w:pStyle w:val="16"/>
        <w:keepNext w:val="0"/>
        <w:keepLines w:val="0"/>
        <w:pageBreakBefore w:val="0"/>
        <w:widowControl w:val="0"/>
        <w:kinsoku/>
        <w:overflowPunct/>
        <w:bidi w:val="0"/>
        <w:snapToGrid/>
        <w:spacing w:line="413" w:lineRule="auto"/>
        <w:rPr>
          <w:rFonts w:hint="eastAsia" w:ascii="宋体" w:hAnsi="宋体" w:eastAsia="宋体" w:cs="宋体"/>
          <w:color w:val="auto"/>
          <w:sz w:val="36"/>
          <w:highlight w:val="none"/>
        </w:rPr>
      </w:pPr>
    </w:p>
    <w:p w14:paraId="1B6C4104">
      <w:pPr>
        <w:keepNext w:val="0"/>
        <w:keepLines w:val="0"/>
        <w:pageBreakBefore w:val="0"/>
        <w:widowControl w:val="0"/>
        <w:kinsoku/>
        <w:overflowPunct/>
        <w:bidi w:val="0"/>
        <w:snapToGrid/>
        <w:spacing w:line="413" w:lineRule="auto"/>
        <w:ind w:firstLine="215" w:firstLineChars="98"/>
        <w:rPr>
          <w:rFonts w:hint="eastAsia" w:ascii="宋体" w:hAnsi="宋体" w:eastAsia="宋体" w:cs="宋体"/>
          <w:color w:val="auto"/>
          <w:sz w:val="22"/>
          <w:highlight w:val="none"/>
        </w:rPr>
      </w:pPr>
    </w:p>
    <w:p w14:paraId="525A02C8">
      <w:pPr>
        <w:keepNext w:val="0"/>
        <w:keepLines w:val="0"/>
        <w:pageBreakBefore w:val="0"/>
        <w:widowControl w:val="0"/>
        <w:kinsoku/>
        <w:wordWrap/>
        <w:overflowPunct/>
        <w:topLinePunct w:val="0"/>
        <w:autoSpaceDE/>
        <w:autoSpaceDN/>
        <w:bidi w:val="0"/>
        <w:adjustRightInd/>
        <w:snapToGrid/>
        <w:spacing w:before="168" w:beforeLines="50" w:after="168" w:afterLines="50" w:line="413" w:lineRule="auto"/>
        <w:ind w:firstLine="720" w:firstLineChars="200"/>
        <w:textAlignment w:val="auto"/>
        <w:outlineLvl w:val="0"/>
        <w:rPr>
          <w:rFonts w:hint="eastAsia" w:ascii="宋体" w:hAnsi="宋体" w:eastAsia="宋体" w:cs="宋体"/>
          <w:b/>
          <w:color w:val="auto"/>
          <w:sz w:val="36"/>
          <w:szCs w:val="36"/>
          <w:highlight w:val="none"/>
          <w:lang w:eastAsia="zh-CN"/>
        </w:rPr>
      </w:pPr>
      <w:bookmarkStart w:id="1" w:name="_Toc1164"/>
      <w:bookmarkStart w:id="2" w:name="_Toc21162"/>
      <w:r>
        <w:rPr>
          <w:rFonts w:hint="eastAsia" w:ascii="宋体" w:hAnsi="宋体" w:eastAsia="宋体" w:cs="宋体"/>
          <w:b/>
          <w:color w:val="auto"/>
          <w:sz w:val="36"/>
          <w:szCs w:val="36"/>
          <w:highlight w:val="none"/>
        </w:rPr>
        <w:t>采   购   人：</w:t>
      </w:r>
      <w:bookmarkEnd w:id="1"/>
      <w:r>
        <w:rPr>
          <w:rFonts w:hint="eastAsia" w:ascii="宋体" w:hAnsi="宋体" w:cs="宋体"/>
          <w:b/>
          <w:color w:val="auto"/>
          <w:sz w:val="36"/>
          <w:szCs w:val="36"/>
          <w:highlight w:val="none"/>
          <w:lang w:eastAsia="zh-CN"/>
        </w:rPr>
        <w:t>临沧市临翔区教育体育局</w:t>
      </w:r>
      <w:bookmarkEnd w:id="2"/>
    </w:p>
    <w:p w14:paraId="50C38DF5">
      <w:pPr>
        <w:keepNext w:val="0"/>
        <w:keepLines w:val="0"/>
        <w:pageBreakBefore w:val="0"/>
        <w:widowControl w:val="0"/>
        <w:kinsoku/>
        <w:wordWrap/>
        <w:overflowPunct/>
        <w:topLinePunct w:val="0"/>
        <w:autoSpaceDE/>
        <w:autoSpaceDN/>
        <w:bidi w:val="0"/>
        <w:adjustRightInd/>
        <w:snapToGrid/>
        <w:spacing w:before="168" w:beforeLines="50" w:after="168" w:afterLines="50" w:line="413" w:lineRule="auto"/>
        <w:ind w:firstLine="720" w:firstLineChars="200"/>
        <w:textAlignment w:val="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采购代理机构</w:t>
      </w: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36"/>
          <w:highlight w:val="none"/>
          <w:lang w:eastAsia="zh-CN"/>
        </w:rPr>
        <w:t>云南亿佳工程管理有限公司</w:t>
      </w:r>
    </w:p>
    <w:p w14:paraId="2D631D4C">
      <w:pPr>
        <w:keepNext w:val="0"/>
        <w:keepLines w:val="0"/>
        <w:pageBreakBefore w:val="0"/>
        <w:widowControl w:val="0"/>
        <w:kinsoku/>
        <w:wordWrap/>
        <w:overflowPunct/>
        <w:topLinePunct w:val="0"/>
        <w:autoSpaceDE/>
        <w:autoSpaceDN/>
        <w:bidi w:val="0"/>
        <w:adjustRightInd/>
        <w:snapToGrid/>
        <w:spacing w:before="168" w:beforeLines="50" w:after="168" w:afterLines="50" w:line="413" w:lineRule="auto"/>
        <w:ind w:firstLine="720" w:firstLineChars="200"/>
        <w:textAlignment w:val="auto"/>
        <w:outlineLvl w:val="0"/>
        <w:rPr>
          <w:rFonts w:hint="eastAsia" w:ascii="宋体" w:hAnsi="宋体" w:eastAsia="宋体" w:cs="宋体"/>
          <w:b/>
          <w:color w:val="auto"/>
          <w:sz w:val="36"/>
          <w:szCs w:val="36"/>
          <w:highlight w:val="none"/>
        </w:rPr>
      </w:pPr>
      <w:bookmarkStart w:id="3" w:name="_Toc9703"/>
      <w:bookmarkStart w:id="4" w:name="_Toc3906"/>
      <w:r>
        <w:rPr>
          <w:rFonts w:hint="eastAsia" w:ascii="宋体" w:hAnsi="宋体" w:eastAsia="宋体" w:cs="宋体"/>
          <w:b/>
          <w:color w:val="auto"/>
          <w:sz w:val="36"/>
          <w:szCs w:val="36"/>
          <w:highlight w:val="none"/>
        </w:rPr>
        <w:t>日        期：202</w:t>
      </w:r>
      <w:r>
        <w:rPr>
          <w:rFonts w:hint="eastAsia" w:ascii="宋体" w:hAnsi="宋体" w:cs="宋体"/>
          <w:b/>
          <w:color w:val="auto"/>
          <w:sz w:val="36"/>
          <w:szCs w:val="36"/>
          <w:highlight w:val="none"/>
          <w:lang w:val="en-US" w:eastAsia="zh-CN"/>
        </w:rPr>
        <w:t>6</w:t>
      </w:r>
      <w:r>
        <w:rPr>
          <w:rFonts w:hint="eastAsia" w:ascii="宋体" w:hAnsi="宋体" w:eastAsia="宋体" w:cs="宋体"/>
          <w:b/>
          <w:color w:val="auto"/>
          <w:sz w:val="36"/>
          <w:szCs w:val="36"/>
          <w:highlight w:val="none"/>
        </w:rPr>
        <w:t>年</w:t>
      </w:r>
      <w:r>
        <w:rPr>
          <w:rFonts w:hint="eastAsia" w:ascii="宋体" w:hAnsi="宋体" w:cs="宋体"/>
          <w:b/>
          <w:color w:val="auto"/>
          <w:sz w:val="36"/>
          <w:szCs w:val="36"/>
          <w:highlight w:val="none"/>
          <w:lang w:val="en-US" w:eastAsia="zh-CN"/>
        </w:rPr>
        <w:t>07</w:t>
      </w:r>
      <w:r>
        <w:rPr>
          <w:rFonts w:hint="eastAsia" w:ascii="宋体" w:hAnsi="宋体" w:eastAsia="宋体" w:cs="宋体"/>
          <w:b/>
          <w:color w:val="auto"/>
          <w:sz w:val="36"/>
          <w:szCs w:val="36"/>
          <w:highlight w:val="none"/>
        </w:rPr>
        <w:t>月</w:t>
      </w:r>
      <w:bookmarkEnd w:id="3"/>
      <w:bookmarkEnd w:id="4"/>
    </w:p>
    <w:p w14:paraId="222E872E">
      <w:pPr>
        <w:keepNext w:val="0"/>
        <w:keepLines w:val="0"/>
        <w:pageBreakBefore w:val="0"/>
        <w:widowControl w:val="0"/>
        <w:kinsoku/>
        <w:overflowPunct/>
        <w:bidi w:val="0"/>
        <w:snapToGrid/>
        <w:spacing w:line="413" w:lineRule="auto"/>
        <w:rPr>
          <w:rFonts w:hint="eastAsia" w:ascii="宋体" w:hAnsi="宋体" w:eastAsia="宋体" w:cs="宋体"/>
          <w:color w:val="auto"/>
          <w:sz w:val="32"/>
          <w:szCs w:val="32"/>
          <w:highlight w:val="none"/>
        </w:rPr>
        <w:sectPr>
          <w:headerReference r:id="rId3" w:type="default"/>
          <w:footerReference r:id="rId4" w:type="default"/>
          <w:footerReference r:id="rId5" w:type="even"/>
          <w:pgSz w:w="11906" w:h="16838"/>
          <w:pgMar w:top="1361" w:right="1417" w:bottom="1361" w:left="1417" w:header="720" w:footer="720" w:gutter="0"/>
          <w:pgNumType w:fmt="decimal"/>
          <w:cols w:space="708" w:num="1"/>
          <w:docGrid w:type="linesAndChars" w:linePitch="336" w:charSpace="200"/>
        </w:sectPr>
      </w:pPr>
    </w:p>
    <w:sdt>
      <w:sdtPr>
        <w:rPr>
          <w:rFonts w:ascii="宋体" w:hAnsi="宋体" w:eastAsia="宋体" w:cs="Times New Roman"/>
          <w:b/>
          <w:bCs/>
          <w:color w:val="auto"/>
          <w:kern w:val="2"/>
          <w:sz w:val="24"/>
          <w:szCs w:val="22"/>
          <w:lang w:val="en-US" w:eastAsia="zh-CN" w:bidi="ar-SA"/>
        </w:rPr>
        <w:id w:val="147455490"/>
        <w15:color w:val="DBDBDB"/>
        <w:docPartObj>
          <w:docPartGallery w:val="Table of Contents"/>
          <w:docPartUnique/>
        </w:docPartObj>
      </w:sdtPr>
      <w:sdtEndPr>
        <w:rPr>
          <w:rFonts w:hint="eastAsia" w:ascii="宋体" w:hAnsi="宋体" w:eastAsia="宋体" w:cs="宋体"/>
          <w:b/>
          <w:bCs/>
          <w:caps/>
          <w:smallCaps/>
          <w:color w:val="auto"/>
          <w:kern w:val="2"/>
          <w:sz w:val="21"/>
          <w:szCs w:val="32"/>
          <w:highlight w:val="none"/>
          <w:lang w:val="en-US" w:eastAsia="zh-CN" w:bidi="ar-SA"/>
        </w:rPr>
      </w:sdtEndPr>
      <w:sdtContent>
        <w:p w14:paraId="22EE24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color w:val="auto"/>
            </w:rPr>
          </w:pPr>
          <w:r>
            <w:rPr>
              <w:rFonts w:ascii="宋体" w:hAnsi="宋体" w:eastAsia="宋体"/>
              <w:b/>
              <w:bCs/>
              <w:color w:val="auto"/>
              <w:sz w:val="24"/>
              <w:szCs w:val="22"/>
            </w:rPr>
            <w:t>目</w:t>
          </w:r>
          <w:r>
            <w:rPr>
              <w:rFonts w:hint="eastAsia" w:ascii="宋体" w:hAnsi="宋体" w:eastAsia="宋体"/>
              <w:b/>
              <w:bCs/>
              <w:color w:val="auto"/>
              <w:sz w:val="24"/>
              <w:szCs w:val="22"/>
              <w:lang w:val="en-US" w:eastAsia="zh-CN"/>
            </w:rPr>
            <w:t xml:space="preserve">  </w:t>
          </w:r>
          <w:r>
            <w:rPr>
              <w:rFonts w:ascii="宋体" w:hAnsi="宋体" w:eastAsia="宋体"/>
              <w:b/>
              <w:bCs/>
              <w:color w:val="auto"/>
              <w:sz w:val="24"/>
              <w:szCs w:val="22"/>
            </w:rPr>
            <w:t>录</w:t>
          </w:r>
          <w:r>
            <w:rPr>
              <w:rFonts w:hint="eastAsia" w:ascii="宋体" w:hAnsi="宋体" w:eastAsia="宋体" w:cs="宋体"/>
              <w:caps/>
              <w:smallCaps/>
              <w:color w:val="auto"/>
              <w:sz w:val="32"/>
              <w:szCs w:val="32"/>
              <w:highlight w:val="none"/>
            </w:rPr>
            <w:fldChar w:fldCharType="begin"/>
          </w:r>
          <w:r>
            <w:rPr>
              <w:rFonts w:hint="eastAsia" w:ascii="宋体" w:hAnsi="宋体" w:eastAsia="宋体" w:cs="宋体"/>
              <w:caps/>
              <w:smallCaps/>
              <w:color w:val="auto"/>
              <w:sz w:val="32"/>
              <w:szCs w:val="32"/>
              <w:highlight w:val="none"/>
            </w:rPr>
            <w:instrText xml:space="preserve">TOC \o "1-1" \h \u </w:instrText>
          </w:r>
          <w:r>
            <w:rPr>
              <w:rFonts w:hint="eastAsia" w:ascii="宋体" w:hAnsi="宋体" w:eastAsia="宋体" w:cs="宋体"/>
              <w:caps/>
              <w:smallCaps/>
              <w:color w:val="auto"/>
              <w:sz w:val="32"/>
              <w:szCs w:val="32"/>
              <w:highlight w:val="none"/>
            </w:rPr>
            <w:fldChar w:fldCharType="separate"/>
          </w:r>
        </w:p>
        <w:p w14:paraId="06D07DD7">
          <w:pPr>
            <w:pStyle w:val="22"/>
            <w:keepNext w:val="0"/>
            <w:keepLines w:val="0"/>
            <w:pageBreakBefore w:val="0"/>
            <w:widowControl w:val="0"/>
            <w:tabs>
              <w:tab w:val="right" w:leader="dot" w:pos="9072"/>
              <w:tab w:val="clear" w:pos="9628"/>
            </w:tabs>
            <w:kinsoku/>
            <w:wordWrap/>
            <w:overflowPunct/>
            <w:topLinePunct w:val="0"/>
            <w:autoSpaceDE/>
            <w:autoSpaceDN/>
            <w:bidi w:val="0"/>
            <w:adjustRightInd/>
            <w:snapToGrid/>
            <w:spacing w:before="0" w:beforeLines="0" w:after="0" w:afterLines="0" w:line="360" w:lineRule="auto"/>
            <w:textAlignment w:val="auto"/>
            <w:rPr>
              <w:color w:val="auto"/>
              <w:sz w:val="21"/>
              <w:szCs w:val="21"/>
            </w:rPr>
          </w:pPr>
          <w:r>
            <w:rPr>
              <w:rFonts w:hint="eastAsia" w:ascii="宋体" w:hAnsi="宋体" w:eastAsia="宋体" w:cs="宋体"/>
              <w:caps/>
              <w:smallCaps/>
              <w:color w:val="auto"/>
              <w:sz w:val="21"/>
              <w:szCs w:val="21"/>
              <w:highlight w:val="none"/>
            </w:rPr>
            <w:fldChar w:fldCharType="begin"/>
          </w:r>
          <w:r>
            <w:rPr>
              <w:rFonts w:hint="eastAsia" w:ascii="宋体" w:hAnsi="宋体" w:eastAsia="宋体" w:cs="宋体"/>
              <w:caps/>
              <w:smallCaps/>
              <w:color w:val="auto"/>
              <w:sz w:val="21"/>
              <w:szCs w:val="21"/>
              <w:highlight w:val="none"/>
            </w:rPr>
            <w:instrText xml:space="preserve"> HYPERLINK \l _Toc23344 </w:instrText>
          </w:r>
          <w:r>
            <w:rPr>
              <w:rFonts w:hint="eastAsia" w:ascii="宋体" w:hAnsi="宋体" w:eastAsia="宋体" w:cs="宋体"/>
              <w:caps/>
              <w:smallCaps/>
              <w:color w:val="auto"/>
              <w:sz w:val="21"/>
              <w:szCs w:val="21"/>
              <w:highlight w:val="none"/>
            </w:rPr>
            <w:fldChar w:fldCharType="separate"/>
          </w:r>
          <w:r>
            <w:rPr>
              <w:rFonts w:hint="eastAsia" w:ascii="宋体" w:hAnsi="宋体" w:eastAsia="宋体" w:cs="宋体"/>
              <w:color w:val="auto"/>
              <w:sz w:val="21"/>
              <w:szCs w:val="21"/>
              <w:highlight w:val="none"/>
            </w:rPr>
            <w:t>第一章 招标公告</w:t>
          </w:r>
          <w:r>
            <w:rPr>
              <w:color w:val="auto"/>
              <w:sz w:val="21"/>
              <w:szCs w:val="21"/>
            </w:rPr>
            <w:tab/>
          </w:r>
          <w:r>
            <w:rPr>
              <w:color w:val="auto"/>
              <w:sz w:val="21"/>
              <w:szCs w:val="21"/>
            </w:rPr>
            <w:fldChar w:fldCharType="begin"/>
          </w:r>
          <w:r>
            <w:rPr>
              <w:color w:val="auto"/>
              <w:sz w:val="21"/>
              <w:szCs w:val="21"/>
            </w:rPr>
            <w:instrText xml:space="preserve"> PAGEREF _Toc23344 \h </w:instrText>
          </w:r>
          <w:r>
            <w:rPr>
              <w:color w:val="auto"/>
              <w:sz w:val="21"/>
              <w:szCs w:val="21"/>
            </w:rPr>
            <w:fldChar w:fldCharType="separate"/>
          </w:r>
          <w:r>
            <w:rPr>
              <w:color w:val="auto"/>
              <w:sz w:val="21"/>
              <w:szCs w:val="21"/>
            </w:rPr>
            <w:t>- 1 -</w:t>
          </w:r>
          <w:r>
            <w:rPr>
              <w:color w:val="auto"/>
              <w:sz w:val="21"/>
              <w:szCs w:val="21"/>
            </w:rPr>
            <w:fldChar w:fldCharType="end"/>
          </w:r>
          <w:r>
            <w:rPr>
              <w:rFonts w:hint="eastAsia" w:ascii="宋体" w:hAnsi="宋体" w:eastAsia="宋体" w:cs="宋体"/>
              <w:caps/>
              <w:smallCaps/>
              <w:color w:val="auto"/>
              <w:sz w:val="21"/>
              <w:szCs w:val="21"/>
              <w:highlight w:val="none"/>
            </w:rPr>
            <w:fldChar w:fldCharType="end"/>
          </w:r>
        </w:p>
        <w:p w14:paraId="550473C8">
          <w:pPr>
            <w:pStyle w:val="22"/>
            <w:keepNext w:val="0"/>
            <w:keepLines w:val="0"/>
            <w:pageBreakBefore w:val="0"/>
            <w:widowControl w:val="0"/>
            <w:tabs>
              <w:tab w:val="right" w:leader="dot" w:pos="9072"/>
              <w:tab w:val="clear" w:pos="9628"/>
            </w:tabs>
            <w:kinsoku/>
            <w:wordWrap/>
            <w:overflowPunct/>
            <w:topLinePunct w:val="0"/>
            <w:autoSpaceDE/>
            <w:autoSpaceDN/>
            <w:bidi w:val="0"/>
            <w:adjustRightInd/>
            <w:snapToGrid/>
            <w:spacing w:before="0" w:beforeLines="0" w:after="0" w:afterLines="0" w:line="360" w:lineRule="auto"/>
            <w:textAlignment w:val="auto"/>
            <w:rPr>
              <w:color w:val="auto"/>
              <w:sz w:val="21"/>
              <w:szCs w:val="21"/>
            </w:rPr>
          </w:pPr>
          <w:r>
            <w:rPr>
              <w:rFonts w:hint="eastAsia" w:ascii="宋体" w:hAnsi="宋体" w:eastAsia="宋体" w:cs="宋体"/>
              <w:caps/>
              <w:smallCaps/>
              <w:color w:val="auto"/>
              <w:sz w:val="21"/>
              <w:szCs w:val="21"/>
              <w:highlight w:val="none"/>
            </w:rPr>
            <w:fldChar w:fldCharType="begin"/>
          </w:r>
          <w:r>
            <w:rPr>
              <w:rFonts w:hint="eastAsia" w:ascii="宋体" w:hAnsi="宋体" w:eastAsia="宋体" w:cs="宋体"/>
              <w:caps/>
              <w:smallCaps/>
              <w:color w:val="auto"/>
              <w:sz w:val="21"/>
              <w:szCs w:val="21"/>
              <w:highlight w:val="none"/>
            </w:rPr>
            <w:instrText xml:space="preserve"> HYPERLINK \l _Toc7609 </w:instrText>
          </w:r>
          <w:r>
            <w:rPr>
              <w:rFonts w:hint="eastAsia" w:ascii="宋体" w:hAnsi="宋体" w:eastAsia="宋体" w:cs="宋体"/>
              <w:caps/>
              <w:smallCaps/>
              <w:color w:val="auto"/>
              <w:sz w:val="21"/>
              <w:szCs w:val="21"/>
              <w:highlight w:val="none"/>
            </w:rPr>
            <w:fldChar w:fldCharType="separate"/>
          </w:r>
          <w:r>
            <w:rPr>
              <w:rFonts w:hint="eastAsia" w:ascii="宋体" w:hAnsi="宋体" w:eastAsia="宋体" w:cs="宋体"/>
              <w:color w:val="auto"/>
              <w:sz w:val="21"/>
              <w:szCs w:val="21"/>
              <w:highlight w:val="none"/>
            </w:rPr>
            <w:t xml:space="preserve">第二章 </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须知</w:t>
          </w:r>
          <w:r>
            <w:rPr>
              <w:color w:val="auto"/>
              <w:sz w:val="21"/>
              <w:szCs w:val="21"/>
            </w:rPr>
            <w:tab/>
          </w:r>
          <w:r>
            <w:rPr>
              <w:color w:val="auto"/>
              <w:sz w:val="21"/>
              <w:szCs w:val="21"/>
            </w:rPr>
            <w:fldChar w:fldCharType="begin"/>
          </w:r>
          <w:r>
            <w:rPr>
              <w:color w:val="auto"/>
              <w:sz w:val="21"/>
              <w:szCs w:val="21"/>
            </w:rPr>
            <w:instrText xml:space="preserve"> PAGEREF _Toc7609 \h </w:instrText>
          </w:r>
          <w:r>
            <w:rPr>
              <w:color w:val="auto"/>
              <w:sz w:val="21"/>
              <w:szCs w:val="21"/>
            </w:rPr>
            <w:fldChar w:fldCharType="separate"/>
          </w:r>
          <w:r>
            <w:rPr>
              <w:color w:val="auto"/>
              <w:sz w:val="21"/>
              <w:szCs w:val="21"/>
            </w:rPr>
            <w:t>- 6 -</w:t>
          </w:r>
          <w:r>
            <w:rPr>
              <w:color w:val="auto"/>
              <w:sz w:val="21"/>
              <w:szCs w:val="21"/>
            </w:rPr>
            <w:fldChar w:fldCharType="end"/>
          </w:r>
          <w:r>
            <w:rPr>
              <w:rFonts w:hint="eastAsia" w:ascii="宋体" w:hAnsi="宋体" w:eastAsia="宋体" w:cs="宋体"/>
              <w:caps/>
              <w:smallCaps/>
              <w:color w:val="auto"/>
              <w:sz w:val="21"/>
              <w:szCs w:val="21"/>
              <w:highlight w:val="none"/>
            </w:rPr>
            <w:fldChar w:fldCharType="end"/>
          </w:r>
        </w:p>
        <w:p w14:paraId="59A0B1E6">
          <w:pPr>
            <w:pStyle w:val="22"/>
            <w:keepNext w:val="0"/>
            <w:keepLines w:val="0"/>
            <w:pageBreakBefore w:val="0"/>
            <w:widowControl w:val="0"/>
            <w:tabs>
              <w:tab w:val="right" w:leader="dot" w:pos="9072"/>
              <w:tab w:val="clear" w:pos="9628"/>
            </w:tabs>
            <w:kinsoku/>
            <w:wordWrap/>
            <w:overflowPunct/>
            <w:topLinePunct w:val="0"/>
            <w:autoSpaceDE/>
            <w:autoSpaceDN/>
            <w:bidi w:val="0"/>
            <w:adjustRightInd/>
            <w:snapToGrid/>
            <w:spacing w:before="0" w:beforeLines="0" w:after="0" w:afterLines="0" w:line="360" w:lineRule="auto"/>
            <w:textAlignment w:val="auto"/>
            <w:rPr>
              <w:color w:val="auto"/>
              <w:sz w:val="21"/>
              <w:szCs w:val="21"/>
            </w:rPr>
          </w:pPr>
          <w:r>
            <w:rPr>
              <w:rFonts w:hint="eastAsia" w:ascii="宋体" w:hAnsi="宋体" w:eastAsia="宋体" w:cs="宋体"/>
              <w:caps/>
              <w:smallCaps/>
              <w:color w:val="auto"/>
              <w:sz w:val="21"/>
              <w:szCs w:val="21"/>
              <w:highlight w:val="none"/>
            </w:rPr>
            <w:fldChar w:fldCharType="begin"/>
          </w:r>
          <w:r>
            <w:rPr>
              <w:rFonts w:hint="eastAsia" w:ascii="宋体" w:hAnsi="宋体" w:eastAsia="宋体" w:cs="宋体"/>
              <w:caps/>
              <w:smallCaps/>
              <w:color w:val="auto"/>
              <w:sz w:val="21"/>
              <w:szCs w:val="21"/>
              <w:highlight w:val="none"/>
            </w:rPr>
            <w:instrText xml:space="preserve"> HYPERLINK \l _Toc8403 </w:instrText>
          </w:r>
          <w:r>
            <w:rPr>
              <w:rFonts w:hint="eastAsia" w:ascii="宋体" w:hAnsi="宋体" w:eastAsia="宋体" w:cs="宋体"/>
              <w:caps/>
              <w:smallCaps/>
              <w:color w:val="auto"/>
              <w:sz w:val="21"/>
              <w:szCs w:val="21"/>
              <w:highlight w:val="none"/>
            </w:rPr>
            <w:fldChar w:fldCharType="separate"/>
          </w:r>
          <w:r>
            <w:rPr>
              <w:rFonts w:hint="eastAsia" w:ascii="宋体" w:hAnsi="宋体" w:eastAsia="宋体" w:cs="宋体"/>
              <w:color w:val="auto"/>
              <w:sz w:val="21"/>
              <w:szCs w:val="21"/>
              <w:highlight w:val="none"/>
            </w:rPr>
            <w:t>第三章 合同格式及主要条款</w:t>
          </w:r>
          <w:r>
            <w:rPr>
              <w:color w:val="auto"/>
              <w:sz w:val="21"/>
              <w:szCs w:val="21"/>
            </w:rPr>
            <w:tab/>
          </w:r>
          <w:r>
            <w:rPr>
              <w:color w:val="auto"/>
              <w:sz w:val="21"/>
              <w:szCs w:val="21"/>
            </w:rPr>
            <w:fldChar w:fldCharType="begin"/>
          </w:r>
          <w:r>
            <w:rPr>
              <w:color w:val="auto"/>
              <w:sz w:val="21"/>
              <w:szCs w:val="21"/>
            </w:rPr>
            <w:instrText xml:space="preserve"> PAGEREF _Toc8403 \h </w:instrText>
          </w:r>
          <w:r>
            <w:rPr>
              <w:color w:val="auto"/>
              <w:sz w:val="21"/>
              <w:szCs w:val="21"/>
            </w:rPr>
            <w:fldChar w:fldCharType="separate"/>
          </w:r>
          <w:r>
            <w:rPr>
              <w:color w:val="auto"/>
              <w:sz w:val="21"/>
              <w:szCs w:val="21"/>
            </w:rPr>
            <w:t>- 24 -</w:t>
          </w:r>
          <w:r>
            <w:rPr>
              <w:color w:val="auto"/>
              <w:sz w:val="21"/>
              <w:szCs w:val="21"/>
            </w:rPr>
            <w:fldChar w:fldCharType="end"/>
          </w:r>
          <w:r>
            <w:rPr>
              <w:rFonts w:hint="eastAsia" w:ascii="宋体" w:hAnsi="宋体" w:eastAsia="宋体" w:cs="宋体"/>
              <w:caps/>
              <w:smallCaps/>
              <w:color w:val="auto"/>
              <w:sz w:val="21"/>
              <w:szCs w:val="21"/>
              <w:highlight w:val="none"/>
            </w:rPr>
            <w:fldChar w:fldCharType="end"/>
          </w:r>
        </w:p>
        <w:p w14:paraId="2E80CB11">
          <w:pPr>
            <w:pStyle w:val="22"/>
            <w:keepNext w:val="0"/>
            <w:keepLines w:val="0"/>
            <w:pageBreakBefore w:val="0"/>
            <w:widowControl w:val="0"/>
            <w:tabs>
              <w:tab w:val="right" w:leader="dot" w:pos="9072"/>
              <w:tab w:val="clear" w:pos="9628"/>
            </w:tabs>
            <w:kinsoku/>
            <w:wordWrap/>
            <w:overflowPunct/>
            <w:topLinePunct w:val="0"/>
            <w:autoSpaceDE/>
            <w:autoSpaceDN/>
            <w:bidi w:val="0"/>
            <w:adjustRightInd/>
            <w:snapToGrid/>
            <w:spacing w:before="0" w:beforeLines="0" w:after="0" w:afterLines="0" w:line="360" w:lineRule="auto"/>
            <w:textAlignment w:val="auto"/>
            <w:rPr>
              <w:color w:val="auto"/>
              <w:sz w:val="21"/>
              <w:szCs w:val="21"/>
            </w:rPr>
          </w:pPr>
          <w:r>
            <w:rPr>
              <w:rFonts w:hint="eastAsia" w:ascii="宋体" w:hAnsi="宋体" w:eastAsia="宋体" w:cs="宋体"/>
              <w:caps/>
              <w:smallCaps/>
              <w:color w:val="auto"/>
              <w:sz w:val="21"/>
              <w:szCs w:val="21"/>
              <w:highlight w:val="none"/>
            </w:rPr>
            <w:fldChar w:fldCharType="begin"/>
          </w:r>
          <w:r>
            <w:rPr>
              <w:rFonts w:hint="eastAsia" w:ascii="宋体" w:hAnsi="宋体" w:eastAsia="宋体" w:cs="宋体"/>
              <w:caps/>
              <w:smallCaps/>
              <w:color w:val="auto"/>
              <w:sz w:val="21"/>
              <w:szCs w:val="21"/>
              <w:highlight w:val="none"/>
            </w:rPr>
            <w:instrText xml:space="preserve"> HYPERLINK \l _Toc7309 </w:instrText>
          </w:r>
          <w:r>
            <w:rPr>
              <w:rFonts w:hint="eastAsia" w:ascii="宋体" w:hAnsi="宋体" w:eastAsia="宋体" w:cs="宋体"/>
              <w:caps/>
              <w:smallCaps/>
              <w:color w:val="auto"/>
              <w:sz w:val="21"/>
              <w:szCs w:val="21"/>
              <w:highlight w:val="none"/>
            </w:rPr>
            <w:fldChar w:fldCharType="separate"/>
          </w:r>
          <w:r>
            <w:rPr>
              <w:rFonts w:hint="eastAsia" w:ascii="宋体" w:hAnsi="宋体" w:eastAsia="宋体" w:cs="宋体"/>
              <w:color w:val="auto"/>
              <w:sz w:val="21"/>
              <w:szCs w:val="21"/>
              <w:highlight w:val="none"/>
              <w:lang w:val="en-US" w:eastAsia="zh-CN"/>
            </w:rPr>
            <w:t>第四章 投标文件格式</w:t>
          </w:r>
          <w:r>
            <w:rPr>
              <w:color w:val="auto"/>
              <w:sz w:val="21"/>
              <w:szCs w:val="21"/>
            </w:rPr>
            <w:tab/>
          </w:r>
          <w:r>
            <w:rPr>
              <w:color w:val="auto"/>
              <w:sz w:val="21"/>
              <w:szCs w:val="21"/>
            </w:rPr>
            <w:fldChar w:fldCharType="begin"/>
          </w:r>
          <w:r>
            <w:rPr>
              <w:color w:val="auto"/>
              <w:sz w:val="21"/>
              <w:szCs w:val="21"/>
            </w:rPr>
            <w:instrText xml:space="preserve"> PAGEREF _Toc7309 \h </w:instrText>
          </w:r>
          <w:r>
            <w:rPr>
              <w:color w:val="auto"/>
              <w:sz w:val="21"/>
              <w:szCs w:val="21"/>
            </w:rPr>
            <w:fldChar w:fldCharType="separate"/>
          </w:r>
          <w:r>
            <w:rPr>
              <w:color w:val="auto"/>
              <w:sz w:val="21"/>
              <w:szCs w:val="21"/>
            </w:rPr>
            <w:t>- 42 -</w:t>
          </w:r>
          <w:r>
            <w:rPr>
              <w:color w:val="auto"/>
              <w:sz w:val="21"/>
              <w:szCs w:val="21"/>
            </w:rPr>
            <w:fldChar w:fldCharType="end"/>
          </w:r>
          <w:r>
            <w:rPr>
              <w:rFonts w:hint="eastAsia" w:ascii="宋体" w:hAnsi="宋体" w:eastAsia="宋体" w:cs="宋体"/>
              <w:caps/>
              <w:smallCaps/>
              <w:color w:val="auto"/>
              <w:sz w:val="21"/>
              <w:szCs w:val="21"/>
              <w:highlight w:val="none"/>
            </w:rPr>
            <w:fldChar w:fldCharType="end"/>
          </w:r>
        </w:p>
        <w:p w14:paraId="2099A978">
          <w:pPr>
            <w:pStyle w:val="22"/>
            <w:keepNext w:val="0"/>
            <w:keepLines w:val="0"/>
            <w:pageBreakBefore w:val="0"/>
            <w:widowControl w:val="0"/>
            <w:tabs>
              <w:tab w:val="right" w:leader="dot" w:pos="9072"/>
              <w:tab w:val="clear" w:pos="9628"/>
            </w:tabs>
            <w:kinsoku/>
            <w:wordWrap/>
            <w:overflowPunct/>
            <w:topLinePunct w:val="0"/>
            <w:autoSpaceDE/>
            <w:autoSpaceDN/>
            <w:bidi w:val="0"/>
            <w:adjustRightInd/>
            <w:snapToGrid/>
            <w:spacing w:before="0" w:beforeLines="0" w:after="0" w:afterLines="0" w:line="360" w:lineRule="auto"/>
            <w:textAlignment w:val="auto"/>
            <w:rPr>
              <w:color w:val="auto"/>
              <w:sz w:val="21"/>
              <w:szCs w:val="21"/>
            </w:rPr>
          </w:pPr>
          <w:r>
            <w:rPr>
              <w:rFonts w:hint="eastAsia" w:ascii="宋体" w:hAnsi="宋体" w:eastAsia="宋体" w:cs="宋体"/>
              <w:caps/>
              <w:smallCaps/>
              <w:color w:val="auto"/>
              <w:sz w:val="21"/>
              <w:szCs w:val="21"/>
              <w:highlight w:val="none"/>
            </w:rPr>
            <w:fldChar w:fldCharType="begin"/>
          </w:r>
          <w:r>
            <w:rPr>
              <w:rFonts w:hint="eastAsia" w:ascii="宋体" w:hAnsi="宋体" w:eastAsia="宋体" w:cs="宋体"/>
              <w:caps/>
              <w:smallCaps/>
              <w:color w:val="auto"/>
              <w:sz w:val="21"/>
              <w:szCs w:val="21"/>
              <w:highlight w:val="none"/>
            </w:rPr>
            <w:instrText xml:space="preserve"> HYPERLINK \l _Toc21361 </w:instrText>
          </w:r>
          <w:r>
            <w:rPr>
              <w:rFonts w:hint="eastAsia" w:ascii="宋体" w:hAnsi="宋体" w:eastAsia="宋体" w:cs="宋体"/>
              <w:caps/>
              <w:smallCaps/>
              <w:color w:val="auto"/>
              <w:sz w:val="21"/>
              <w:szCs w:val="21"/>
              <w:highlight w:val="none"/>
            </w:rPr>
            <w:fldChar w:fldCharType="separate"/>
          </w:r>
          <w:r>
            <w:rPr>
              <w:rFonts w:hint="eastAsia" w:ascii="宋体" w:hAnsi="宋体" w:eastAsia="宋体" w:cs="宋体"/>
              <w:color w:val="auto"/>
              <w:sz w:val="21"/>
              <w:szCs w:val="21"/>
              <w:highlight w:val="none"/>
              <w:lang w:val="en-US" w:eastAsia="zh-CN"/>
            </w:rPr>
            <w:t>第五章 采购需求</w:t>
          </w:r>
          <w:r>
            <w:rPr>
              <w:color w:val="auto"/>
              <w:sz w:val="21"/>
              <w:szCs w:val="21"/>
            </w:rPr>
            <w:tab/>
          </w:r>
          <w:r>
            <w:rPr>
              <w:color w:val="auto"/>
              <w:sz w:val="21"/>
              <w:szCs w:val="21"/>
            </w:rPr>
            <w:fldChar w:fldCharType="begin"/>
          </w:r>
          <w:r>
            <w:rPr>
              <w:color w:val="auto"/>
              <w:sz w:val="21"/>
              <w:szCs w:val="21"/>
            </w:rPr>
            <w:instrText xml:space="preserve"> PAGEREF _Toc21361 \h </w:instrText>
          </w:r>
          <w:r>
            <w:rPr>
              <w:color w:val="auto"/>
              <w:sz w:val="21"/>
              <w:szCs w:val="21"/>
            </w:rPr>
            <w:fldChar w:fldCharType="separate"/>
          </w:r>
          <w:r>
            <w:rPr>
              <w:color w:val="auto"/>
              <w:sz w:val="21"/>
              <w:szCs w:val="21"/>
            </w:rPr>
            <w:t>- 75 -</w:t>
          </w:r>
          <w:r>
            <w:rPr>
              <w:color w:val="auto"/>
              <w:sz w:val="21"/>
              <w:szCs w:val="21"/>
            </w:rPr>
            <w:fldChar w:fldCharType="end"/>
          </w:r>
          <w:r>
            <w:rPr>
              <w:rFonts w:hint="eastAsia" w:ascii="宋体" w:hAnsi="宋体" w:eastAsia="宋体" w:cs="宋体"/>
              <w:caps/>
              <w:smallCaps/>
              <w:color w:val="auto"/>
              <w:sz w:val="21"/>
              <w:szCs w:val="21"/>
              <w:highlight w:val="none"/>
            </w:rPr>
            <w:fldChar w:fldCharType="end"/>
          </w:r>
        </w:p>
        <w:p w14:paraId="4EDC8E52">
          <w:pPr>
            <w:pStyle w:val="22"/>
            <w:keepNext w:val="0"/>
            <w:keepLines w:val="0"/>
            <w:pageBreakBefore w:val="0"/>
            <w:widowControl w:val="0"/>
            <w:tabs>
              <w:tab w:val="right" w:leader="dot" w:pos="9072"/>
              <w:tab w:val="clear" w:pos="9628"/>
            </w:tabs>
            <w:kinsoku/>
            <w:wordWrap/>
            <w:overflowPunct/>
            <w:topLinePunct w:val="0"/>
            <w:autoSpaceDE/>
            <w:autoSpaceDN/>
            <w:bidi w:val="0"/>
            <w:adjustRightInd/>
            <w:snapToGrid/>
            <w:spacing w:before="0" w:beforeLines="0" w:after="0" w:afterLines="0" w:line="360" w:lineRule="auto"/>
            <w:textAlignment w:val="auto"/>
            <w:rPr>
              <w:color w:val="auto"/>
              <w:sz w:val="21"/>
              <w:szCs w:val="21"/>
            </w:rPr>
          </w:pPr>
          <w:r>
            <w:rPr>
              <w:rFonts w:hint="eastAsia" w:ascii="宋体" w:hAnsi="宋体" w:eastAsia="宋体" w:cs="宋体"/>
              <w:caps/>
              <w:smallCaps/>
              <w:color w:val="auto"/>
              <w:sz w:val="21"/>
              <w:szCs w:val="21"/>
              <w:highlight w:val="none"/>
            </w:rPr>
            <w:fldChar w:fldCharType="begin"/>
          </w:r>
          <w:r>
            <w:rPr>
              <w:rFonts w:hint="eastAsia" w:ascii="宋体" w:hAnsi="宋体" w:eastAsia="宋体" w:cs="宋体"/>
              <w:caps/>
              <w:smallCaps/>
              <w:color w:val="auto"/>
              <w:sz w:val="21"/>
              <w:szCs w:val="21"/>
              <w:highlight w:val="none"/>
            </w:rPr>
            <w:instrText xml:space="preserve"> HYPERLINK \l _Toc15705 </w:instrText>
          </w:r>
          <w:r>
            <w:rPr>
              <w:rFonts w:hint="eastAsia" w:ascii="宋体" w:hAnsi="宋体" w:eastAsia="宋体" w:cs="宋体"/>
              <w:caps/>
              <w:smallCaps/>
              <w:color w:val="auto"/>
              <w:sz w:val="21"/>
              <w:szCs w:val="21"/>
              <w:highlight w:val="none"/>
            </w:rPr>
            <w:fldChar w:fldCharType="separate"/>
          </w:r>
          <w:r>
            <w:rPr>
              <w:rFonts w:hint="eastAsia" w:ascii="宋体" w:hAnsi="宋体" w:eastAsia="宋体" w:cs="宋体"/>
              <w:color w:val="auto"/>
              <w:sz w:val="21"/>
              <w:szCs w:val="21"/>
              <w:highlight w:val="none"/>
              <w:lang w:val="en-US" w:eastAsia="zh-CN"/>
            </w:rPr>
            <w:t>第六章 评标方法（综合评分法）</w:t>
          </w:r>
          <w:r>
            <w:rPr>
              <w:color w:val="auto"/>
              <w:sz w:val="21"/>
              <w:szCs w:val="21"/>
            </w:rPr>
            <w:tab/>
          </w:r>
          <w:r>
            <w:rPr>
              <w:color w:val="auto"/>
              <w:sz w:val="21"/>
              <w:szCs w:val="21"/>
            </w:rPr>
            <w:fldChar w:fldCharType="begin"/>
          </w:r>
          <w:r>
            <w:rPr>
              <w:color w:val="auto"/>
              <w:sz w:val="21"/>
              <w:szCs w:val="21"/>
            </w:rPr>
            <w:instrText xml:space="preserve"> PAGEREF _Toc15705 \h </w:instrText>
          </w:r>
          <w:r>
            <w:rPr>
              <w:color w:val="auto"/>
              <w:sz w:val="21"/>
              <w:szCs w:val="21"/>
            </w:rPr>
            <w:fldChar w:fldCharType="separate"/>
          </w:r>
          <w:r>
            <w:rPr>
              <w:color w:val="auto"/>
              <w:sz w:val="21"/>
              <w:szCs w:val="21"/>
            </w:rPr>
            <w:t>- 89 -</w:t>
          </w:r>
          <w:r>
            <w:rPr>
              <w:color w:val="auto"/>
              <w:sz w:val="21"/>
              <w:szCs w:val="21"/>
            </w:rPr>
            <w:fldChar w:fldCharType="end"/>
          </w:r>
          <w:r>
            <w:rPr>
              <w:rFonts w:hint="eastAsia" w:ascii="宋体" w:hAnsi="宋体" w:eastAsia="宋体" w:cs="宋体"/>
              <w:caps/>
              <w:smallCaps/>
              <w:color w:val="auto"/>
              <w:sz w:val="21"/>
              <w:szCs w:val="21"/>
              <w:highlight w:val="none"/>
            </w:rPr>
            <w:fldChar w:fldCharType="end"/>
          </w:r>
        </w:p>
        <w:p w14:paraId="14F3C5B3">
          <w:pPr>
            <w:keepNext w:val="0"/>
            <w:keepLines w:val="0"/>
            <w:pageBreakBefore w:val="0"/>
            <w:widowControl w:val="0"/>
            <w:tabs>
              <w:tab w:val="right" w:leader="dot" w:pos="9628"/>
            </w:tabs>
            <w:kinsoku/>
            <w:wordWrap/>
            <w:overflowPunct/>
            <w:topLinePunct w:val="0"/>
            <w:autoSpaceDE/>
            <w:autoSpaceDN/>
            <w:bidi w:val="0"/>
            <w:adjustRightInd/>
            <w:snapToGrid/>
            <w:spacing w:line="360" w:lineRule="auto"/>
            <w:ind w:firstLine="238"/>
            <w:jc w:val="center"/>
            <w:textAlignment w:val="auto"/>
            <w:rPr>
              <w:rFonts w:hint="eastAsia" w:ascii="宋体" w:hAnsi="宋体" w:eastAsia="宋体" w:cs="宋体"/>
              <w:caps/>
              <w:smallCaps/>
              <w:color w:val="auto"/>
              <w:kern w:val="2"/>
              <w:sz w:val="21"/>
              <w:szCs w:val="32"/>
              <w:highlight w:val="none"/>
              <w:lang w:val="en-US" w:eastAsia="zh-CN" w:bidi="ar-SA"/>
            </w:rPr>
          </w:pPr>
          <w:r>
            <w:rPr>
              <w:rFonts w:hint="eastAsia" w:ascii="宋体" w:hAnsi="宋体" w:eastAsia="宋体" w:cs="宋体"/>
              <w:caps/>
              <w:smallCaps/>
              <w:color w:val="auto"/>
              <w:szCs w:val="32"/>
              <w:highlight w:val="none"/>
            </w:rPr>
            <w:fldChar w:fldCharType="end"/>
          </w:r>
        </w:p>
      </w:sdtContent>
    </w:sdt>
    <w:p w14:paraId="4016CFBA">
      <w:pPr>
        <w:pStyle w:val="43"/>
        <w:rPr>
          <w:rFonts w:hint="eastAsia"/>
          <w:color w:val="auto"/>
        </w:rPr>
      </w:pPr>
    </w:p>
    <w:p w14:paraId="3AFF6E6E">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06983D50">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513CED5D">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22B45CA2">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600211ED">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26997536">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62D0FB3E">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59D622B4">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59B74BD3">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14A62071">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2C6D59D7">
      <w:pPr>
        <w:keepNext w:val="0"/>
        <w:keepLines w:val="0"/>
        <w:pageBreakBefore w:val="0"/>
        <w:widowControl w:val="0"/>
        <w:kinsoku/>
        <w:overflowPunct/>
        <w:bidi w:val="0"/>
        <w:snapToGrid/>
        <w:spacing w:line="413" w:lineRule="auto"/>
        <w:rPr>
          <w:rFonts w:hint="eastAsia" w:ascii="宋体" w:hAnsi="宋体" w:eastAsia="宋体" w:cs="宋体"/>
          <w:caps/>
          <w:smallCaps/>
          <w:color w:val="auto"/>
          <w:sz w:val="32"/>
          <w:szCs w:val="32"/>
          <w:highlight w:val="none"/>
        </w:rPr>
      </w:pPr>
    </w:p>
    <w:p w14:paraId="02BA97B2">
      <w:pPr>
        <w:pStyle w:val="3"/>
        <w:keepNext w:val="0"/>
        <w:keepLines w:val="0"/>
        <w:pageBreakBefore w:val="0"/>
        <w:widowControl w:val="0"/>
        <w:numPr>
          <w:ilvl w:val="0"/>
          <w:numId w:val="0"/>
        </w:numPr>
        <w:tabs>
          <w:tab w:val="left" w:pos="432"/>
          <w:tab w:val="clear" w:pos="360"/>
        </w:tabs>
        <w:kinsoku/>
        <w:overflowPunct/>
        <w:bidi w:val="0"/>
        <w:snapToGrid/>
        <w:spacing w:line="360" w:lineRule="auto"/>
        <w:jc w:val="both"/>
        <w:outlineLvl w:val="9"/>
        <w:rPr>
          <w:rFonts w:hint="eastAsia" w:ascii="宋体" w:hAnsi="宋体" w:eastAsia="宋体" w:cs="宋体"/>
          <w:b/>
          <w:color w:val="auto"/>
          <w:sz w:val="32"/>
          <w:szCs w:val="32"/>
          <w:highlight w:val="none"/>
        </w:rPr>
        <w:sectPr>
          <w:footerReference r:id="rId6" w:type="default"/>
          <w:pgSz w:w="11906" w:h="16838"/>
          <w:pgMar w:top="1440" w:right="1417" w:bottom="1440" w:left="1417" w:header="851" w:footer="992" w:gutter="0"/>
          <w:pgNumType w:fmt="decimal" w:start="1"/>
          <w:cols w:space="708" w:num="1"/>
          <w:rtlGutter w:val="0"/>
          <w:docGrid w:type="lines" w:linePitch="312" w:charSpace="0"/>
        </w:sectPr>
      </w:pPr>
      <w:bookmarkStart w:id="5" w:name="_Toc32367"/>
    </w:p>
    <w:p w14:paraId="13957A87">
      <w:pPr>
        <w:pStyle w:val="3"/>
        <w:keepNext w:val="0"/>
        <w:keepLines w:val="0"/>
        <w:pageBreakBefore w:val="0"/>
        <w:widowControl w:val="0"/>
        <w:numPr>
          <w:ilvl w:val="0"/>
          <w:numId w:val="0"/>
        </w:numPr>
        <w:tabs>
          <w:tab w:val="left" w:pos="432"/>
          <w:tab w:val="clear" w:pos="360"/>
        </w:tabs>
        <w:kinsoku/>
        <w:wordWrap/>
        <w:overflowPunct/>
        <w:topLinePunct w:val="0"/>
        <w:autoSpaceDE/>
        <w:autoSpaceDN/>
        <w:bidi w:val="0"/>
        <w:adjustRightInd/>
        <w:snapToGrid/>
        <w:spacing w:before="0" w:line="360" w:lineRule="auto"/>
        <w:jc w:val="center"/>
        <w:rPr>
          <w:rFonts w:hint="eastAsia" w:ascii="宋体" w:hAnsi="宋体" w:eastAsia="宋体" w:cs="宋体"/>
          <w:b/>
          <w:color w:val="auto"/>
          <w:sz w:val="32"/>
          <w:szCs w:val="32"/>
          <w:highlight w:val="none"/>
        </w:rPr>
      </w:pPr>
      <w:bookmarkStart w:id="6" w:name="_Toc23344"/>
      <w:bookmarkStart w:id="7" w:name="_Toc24332"/>
      <w:bookmarkStart w:id="8" w:name="_Toc1382"/>
      <w:r>
        <w:rPr>
          <w:rFonts w:hint="eastAsia" w:ascii="宋体" w:hAnsi="宋体" w:eastAsia="宋体" w:cs="宋体"/>
          <w:b/>
          <w:color w:val="auto"/>
          <w:sz w:val="32"/>
          <w:szCs w:val="32"/>
          <w:highlight w:val="none"/>
        </w:rPr>
        <w:t>第一章 招标公告</w:t>
      </w:r>
      <w:bookmarkEnd w:id="5"/>
      <w:bookmarkEnd w:id="6"/>
      <w:bookmarkEnd w:id="7"/>
      <w:bookmarkEnd w:id="8"/>
    </w:p>
    <w:p w14:paraId="1DCDACB5">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临翔区2026年学校学生食堂食材采购项目</w:t>
      </w:r>
      <w:r>
        <w:rPr>
          <w:rFonts w:hint="eastAsia" w:ascii="宋体" w:hAnsi="宋体" w:eastAsia="宋体" w:cs="宋体"/>
          <w:b/>
          <w:bCs/>
          <w:color w:val="auto"/>
          <w:sz w:val="28"/>
          <w:szCs w:val="28"/>
          <w:highlight w:val="none"/>
          <w:lang w:eastAsia="zh-CN"/>
        </w:rPr>
        <w:t>招标公告</w:t>
      </w:r>
    </w:p>
    <w:p w14:paraId="6AAC6799">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80" w:lineRule="exact"/>
        <w:ind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70A3A970">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480" w:lineRule="exact"/>
        <w:ind w:left="0" w:leftChars="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临翔区2026年学校学生食堂食材采购项目</w:t>
      </w:r>
      <w:r>
        <w:rPr>
          <w:rFonts w:hint="eastAsia" w:ascii="宋体" w:hAnsi="宋体" w:eastAsia="宋体" w:cs="宋体"/>
          <w:color w:val="auto"/>
          <w:sz w:val="21"/>
          <w:szCs w:val="21"/>
          <w:highlight w:val="none"/>
        </w:rPr>
        <w:t>的潜在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u w:val="single"/>
          <w:lang w:eastAsia="zh-CN"/>
        </w:rPr>
        <w:t>政府采购云平台（https://www.zcygov.cn/）</w:t>
      </w:r>
      <w:r>
        <w:rPr>
          <w:rFonts w:hint="eastAsia" w:ascii="宋体" w:hAnsi="宋体" w:eastAsia="宋体" w:cs="宋体"/>
          <w:color w:val="auto"/>
          <w:sz w:val="21"/>
          <w:szCs w:val="21"/>
          <w:highlight w:val="none"/>
        </w:rPr>
        <w:t>获取招标文件，并于</w:t>
      </w:r>
      <w:r>
        <w:rPr>
          <w:rFonts w:hint="eastAsia" w:ascii="宋体" w:hAnsi="宋体" w:eastAsia="宋体" w:cs="宋体"/>
          <w:color w:val="auto"/>
          <w:sz w:val="21"/>
          <w:szCs w:val="21"/>
          <w:highlight w:val="none"/>
          <w:u w:val="single"/>
          <w:lang w:eastAsia="zh-CN"/>
        </w:rPr>
        <w:t xml:space="preserve"> 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lang w:eastAsia="zh-CN"/>
        </w:rPr>
        <w:t>年</w:t>
      </w:r>
      <w:r>
        <w:rPr>
          <w:rFonts w:hint="eastAsia" w:ascii="宋体" w:hAnsi="宋体" w:cs="宋体"/>
          <w:color w:val="auto"/>
          <w:sz w:val="21"/>
          <w:szCs w:val="21"/>
          <w:highlight w:val="none"/>
          <w:u w:val="single"/>
          <w:lang w:val="en-US" w:eastAsia="zh-CN"/>
        </w:rPr>
        <w:t>08</w:t>
      </w:r>
      <w:r>
        <w:rPr>
          <w:rFonts w:hint="eastAsia" w:ascii="宋体" w:hAnsi="宋体" w:eastAsia="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lang w:eastAsia="zh-CN"/>
        </w:rPr>
        <w:t>日</w:t>
      </w:r>
      <w:r>
        <w:rPr>
          <w:rFonts w:hint="eastAsia" w:ascii="宋体" w:hAnsi="宋体" w:eastAsia="宋体" w:cs="宋体"/>
          <w:color w:val="auto"/>
          <w:sz w:val="21"/>
          <w:szCs w:val="21"/>
          <w:highlight w:val="none"/>
          <w:u w:val="single"/>
          <w:lang w:val="en-US" w:eastAsia="zh-CN"/>
        </w:rPr>
        <w:t>0</w:t>
      </w:r>
      <w:r>
        <w:rPr>
          <w:rFonts w:hint="eastAsia" w:ascii="宋体" w:hAnsi="宋体" w:eastAsia="宋体" w:cs="宋体"/>
          <w:bCs/>
          <w:color w:val="auto"/>
          <w:sz w:val="21"/>
          <w:szCs w:val="21"/>
          <w:highlight w:val="none"/>
          <w:u w:val="single"/>
          <w:lang w:val="en-US" w:eastAsia="zh-CN"/>
        </w:rPr>
        <w:t>9时00</w:t>
      </w:r>
      <w:r>
        <w:rPr>
          <w:rFonts w:hint="eastAsia" w:ascii="宋体" w:hAnsi="宋体" w:eastAsia="宋体" w:cs="宋体"/>
          <w:bCs/>
          <w:color w:val="auto"/>
          <w:sz w:val="21"/>
          <w:szCs w:val="21"/>
          <w:highlight w:val="none"/>
          <w:u w:val="single"/>
        </w:rPr>
        <w:t>分（</w:t>
      </w:r>
      <w:r>
        <w:rPr>
          <w:rFonts w:hint="eastAsia" w:ascii="宋体" w:hAnsi="宋体" w:eastAsia="宋体" w:cs="宋体"/>
          <w:bCs/>
          <w:color w:val="auto"/>
          <w:sz w:val="21"/>
          <w:szCs w:val="21"/>
          <w:highlight w:val="none"/>
        </w:rPr>
        <w:t>北京时间）前递交投标文件</w:t>
      </w:r>
      <w:r>
        <w:rPr>
          <w:rFonts w:hint="eastAsia" w:ascii="宋体" w:hAnsi="宋体" w:eastAsia="宋体" w:cs="宋体"/>
          <w:color w:val="auto"/>
          <w:sz w:val="21"/>
          <w:szCs w:val="21"/>
          <w:highlight w:val="none"/>
        </w:rPr>
        <w:t>。</w:t>
      </w:r>
    </w:p>
    <w:p w14:paraId="39A12EB1">
      <w:pPr>
        <w:pStyle w:val="2"/>
        <w:keepNext w:val="0"/>
        <w:keepLines w:val="0"/>
        <w:pageBreakBefore w:val="0"/>
        <w:widowControl w:val="0"/>
        <w:numPr>
          <w:ilvl w:val="0"/>
          <w:numId w:val="0"/>
        </w:numPr>
        <w:kinsoku/>
        <w:wordWrap/>
        <w:overflowPunct/>
        <w:topLinePunct w:val="0"/>
        <w:autoSpaceDE/>
        <w:autoSpaceDN/>
        <w:bidi w:val="0"/>
        <w:adjustRightInd/>
        <w:snapToGrid/>
        <w:spacing w:before="0" w:line="372" w:lineRule="auto"/>
        <w:ind w:right="0" w:rightChars="0" w:firstLine="422" w:firstLineChars="200"/>
        <w:jc w:val="left"/>
        <w:textAlignment w:val="auto"/>
        <w:outlineLvl w:val="1"/>
        <w:rPr>
          <w:rFonts w:hint="eastAsia" w:ascii="宋体" w:hAnsi="宋体" w:eastAsia="宋体" w:cs="宋体"/>
          <w:b/>
          <w:bCs/>
          <w:color w:val="auto"/>
          <w:sz w:val="21"/>
          <w:szCs w:val="21"/>
          <w:highlight w:val="none"/>
        </w:rPr>
      </w:pPr>
      <w:bookmarkStart w:id="9" w:name="_Toc28359002"/>
      <w:bookmarkStart w:id="10" w:name="_Toc11971"/>
      <w:bookmarkStart w:id="11" w:name="_Toc10444"/>
      <w:bookmarkStart w:id="12" w:name="_Toc35393621"/>
      <w:bookmarkStart w:id="13" w:name="_Toc27263"/>
      <w:bookmarkStart w:id="14" w:name="_Toc35393790"/>
      <w:bookmarkStart w:id="15" w:name="_Toc17449"/>
      <w:bookmarkStart w:id="16" w:name="_Toc28359079"/>
      <w:bookmarkStart w:id="17" w:name="_Toc21503"/>
      <w:bookmarkStart w:id="18" w:name="_Hlk24379207"/>
      <w:r>
        <w:rPr>
          <w:rFonts w:hint="eastAsia" w:ascii="宋体" w:hAnsi="宋体" w:eastAsia="宋体" w:cs="宋体"/>
          <w:b/>
          <w:bCs/>
          <w:color w:val="auto"/>
          <w:sz w:val="21"/>
          <w:szCs w:val="21"/>
          <w:highlight w:val="none"/>
        </w:rPr>
        <w:t>一、项目基本情况</w:t>
      </w:r>
      <w:bookmarkEnd w:id="9"/>
      <w:bookmarkEnd w:id="10"/>
      <w:bookmarkEnd w:id="11"/>
      <w:bookmarkEnd w:id="12"/>
      <w:bookmarkEnd w:id="13"/>
      <w:bookmarkEnd w:id="14"/>
      <w:bookmarkEnd w:id="15"/>
      <w:bookmarkEnd w:id="16"/>
      <w:bookmarkEnd w:id="17"/>
    </w:p>
    <w:p w14:paraId="05DFA08F">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rPr>
        <w:t>项目编号：</w:t>
      </w:r>
      <w:r>
        <w:rPr>
          <w:rFonts w:hint="eastAsia" w:ascii="宋体" w:hAnsi="宋体" w:eastAsia="宋体" w:cs="宋体"/>
          <w:b w:val="0"/>
          <w:bCs w:val="0"/>
          <w:color w:val="auto"/>
          <w:sz w:val="21"/>
          <w:szCs w:val="21"/>
          <w:highlight w:val="none"/>
        </w:rPr>
        <w:t>LCZC2026-G1-00611-YNYJ-0029</w:t>
      </w:r>
    </w:p>
    <w:bookmarkEnd w:id="18"/>
    <w:p w14:paraId="373BDACD">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项目名称：</w:t>
      </w:r>
      <w:r>
        <w:rPr>
          <w:rFonts w:hint="eastAsia" w:ascii="宋体" w:hAnsi="宋体" w:cs="宋体"/>
          <w:color w:val="auto"/>
          <w:sz w:val="21"/>
          <w:szCs w:val="21"/>
          <w:highlight w:val="none"/>
          <w:lang w:eastAsia="zh-CN"/>
        </w:rPr>
        <w:t>临翔区2026年学校学生食堂食材采购项目</w:t>
      </w:r>
    </w:p>
    <w:p w14:paraId="5FBCDBCC">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采购方式：</w:t>
      </w:r>
      <w:r>
        <w:rPr>
          <w:rFonts w:hint="eastAsia" w:ascii="宋体" w:hAnsi="宋体" w:eastAsia="宋体" w:cs="宋体"/>
          <w:color w:val="auto"/>
          <w:sz w:val="21"/>
          <w:szCs w:val="21"/>
          <w:highlight w:val="none"/>
          <w:lang w:val="en-US" w:eastAsia="zh-CN"/>
        </w:rPr>
        <w:t>公开招标</w:t>
      </w:r>
    </w:p>
    <w:p w14:paraId="300220E3">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预算金额：</w:t>
      </w:r>
      <w:r>
        <w:rPr>
          <w:rFonts w:hint="eastAsia" w:ascii="宋体" w:hAnsi="宋体" w:eastAsia="宋体" w:cs="宋体"/>
          <w:b w:val="0"/>
          <w:bCs w:val="0"/>
          <w:color w:val="auto"/>
          <w:sz w:val="21"/>
          <w:szCs w:val="21"/>
          <w:highlight w:val="none"/>
          <w:lang w:eastAsia="zh-CN"/>
        </w:rPr>
        <w:t>4091.721801</w:t>
      </w:r>
      <w:r>
        <w:rPr>
          <w:rFonts w:hint="eastAsia" w:ascii="宋体" w:hAnsi="宋体" w:eastAsia="宋体" w:cs="宋体"/>
          <w:b w:val="0"/>
          <w:bCs w:val="0"/>
          <w:color w:val="auto"/>
          <w:sz w:val="21"/>
          <w:szCs w:val="21"/>
          <w:highlight w:val="none"/>
          <w:lang w:val="en-US" w:eastAsia="zh-CN"/>
        </w:rPr>
        <w:t>万</w:t>
      </w:r>
      <w:r>
        <w:rPr>
          <w:rFonts w:hint="eastAsia" w:ascii="宋体" w:hAnsi="宋体" w:eastAsia="宋体" w:cs="宋体"/>
          <w:color w:val="auto"/>
          <w:sz w:val="21"/>
          <w:szCs w:val="21"/>
          <w:highlight w:val="none"/>
          <w:lang w:val="en-US" w:eastAsia="zh-CN"/>
        </w:rPr>
        <w:t>元</w:t>
      </w:r>
    </w:p>
    <w:p w14:paraId="5B25F1D3">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sz w:val="21"/>
          <w:szCs w:val="21"/>
          <w:highlight w:val="none"/>
          <w:lang w:eastAsia="zh-CN"/>
        </w:rPr>
        <w:t>4091.721801</w:t>
      </w:r>
      <w:r>
        <w:rPr>
          <w:rFonts w:hint="eastAsia" w:ascii="宋体" w:hAnsi="宋体" w:eastAsia="宋体" w:cs="宋体"/>
          <w:b w:val="0"/>
          <w:bCs w:val="0"/>
          <w:color w:val="auto"/>
          <w:sz w:val="21"/>
          <w:szCs w:val="21"/>
          <w:highlight w:val="none"/>
          <w:lang w:val="en-US" w:eastAsia="zh-CN"/>
        </w:rPr>
        <w:t>万</w:t>
      </w:r>
      <w:r>
        <w:rPr>
          <w:rFonts w:hint="eastAsia" w:ascii="宋体" w:hAnsi="宋体" w:eastAsia="宋体" w:cs="宋体"/>
          <w:color w:val="auto"/>
          <w:sz w:val="21"/>
          <w:szCs w:val="21"/>
          <w:highlight w:val="none"/>
          <w:lang w:val="en-US" w:eastAsia="zh-CN"/>
        </w:rPr>
        <w:t>元</w:t>
      </w:r>
    </w:p>
    <w:p w14:paraId="4FC01049">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采购需求：</w:t>
      </w:r>
    </w:p>
    <w:p w14:paraId="7985E117">
      <w:pPr>
        <w:keepNext w:val="0"/>
        <w:keepLines w:val="0"/>
        <w:pageBreakBefore w:val="0"/>
        <w:widowControl w:val="0"/>
        <w:kinsoku/>
        <w:wordWrap/>
        <w:overflowPunct/>
        <w:topLinePunct w:val="0"/>
        <w:autoSpaceDE/>
        <w:autoSpaceDN/>
        <w:bidi w:val="0"/>
        <w:adjustRightInd/>
        <w:snapToGrid/>
        <w:spacing w:line="382" w:lineRule="auto"/>
        <w:ind w:left="0"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1.采购内容：</w:t>
      </w:r>
    </w:p>
    <w:p w14:paraId="33D852FB">
      <w:pPr>
        <w:keepNext w:val="0"/>
        <w:keepLines w:val="0"/>
        <w:pageBreakBefore w:val="0"/>
        <w:widowControl w:val="0"/>
        <w:kinsoku/>
        <w:wordWrap/>
        <w:overflowPunct/>
        <w:topLinePunct w:val="0"/>
        <w:autoSpaceDE/>
        <w:autoSpaceDN/>
        <w:bidi w:val="0"/>
        <w:adjustRightInd/>
        <w:snapToGrid/>
        <w:spacing w:line="382" w:lineRule="auto"/>
        <w:ind w:lef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为进一步强化临翔区学校食堂食材采购工作，规范学校食堂食材采购安全管理，从源头和过程上做好食品安全监管，努力实现为学生提供“安全优质”食品的目标，切实改善中小学生营养状况，促进少年儿童健康成长，临沧市临翔区教育体育局拟采用公开招标方式选定本次采购供货供应商，具体如下：</w:t>
      </w:r>
    </w:p>
    <w:tbl>
      <w:tblPr>
        <w:tblStyle w:val="33"/>
        <w:tblW w:w="9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311"/>
        <w:gridCol w:w="1669"/>
        <w:gridCol w:w="731"/>
        <w:gridCol w:w="788"/>
        <w:gridCol w:w="1668"/>
        <w:gridCol w:w="1697"/>
        <w:gridCol w:w="903"/>
      </w:tblGrid>
      <w:tr w14:paraId="3788A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624" w:type="dxa"/>
            <w:vAlign w:val="center"/>
          </w:tcPr>
          <w:p w14:paraId="550312DA">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bookmarkStart w:id="19" w:name="OLE_LINK18"/>
            <w:r>
              <w:rPr>
                <w:rFonts w:hint="eastAsia" w:ascii="宋体" w:hAnsi="宋体" w:eastAsia="宋体" w:cs="宋体"/>
                <w:color w:val="auto"/>
                <w:sz w:val="21"/>
                <w:szCs w:val="21"/>
                <w:vertAlign w:val="baseline"/>
                <w:lang w:val="en-US" w:eastAsia="zh-CN"/>
              </w:rPr>
              <w:t>序号</w:t>
            </w:r>
          </w:p>
        </w:tc>
        <w:tc>
          <w:tcPr>
            <w:tcW w:w="1311" w:type="dxa"/>
            <w:vAlign w:val="center"/>
          </w:tcPr>
          <w:p w14:paraId="29E53008">
            <w:pPr>
              <w:pageBreakBefore w:val="0"/>
              <w:kinsoku/>
              <w:overflowPunct/>
              <w:topLinePunct w:val="0"/>
              <w:autoSpaceDE/>
              <w:autoSpaceDN/>
              <w:bidi w:val="0"/>
              <w:snapToGrid/>
              <w:spacing w:line="24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项目名称</w:t>
            </w:r>
          </w:p>
        </w:tc>
        <w:tc>
          <w:tcPr>
            <w:tcW w:w="1669" w:type="dxa"/>
            <w:vAlign w:val="center"/>
          </w:tcPr>
          <w:p w14:paraId="1DB60E72">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标的</w:t>
            </w:r>
            <w:r>
              <w:rPr>
                <w:rFonts w:hint="eastAsia" w:ascii="宋体" w:hAnsi="宋体" w:eastAsia="宋体" w:cs="宋体"/>
                <w:color w:val="auto"/>
                <w:sz w:val="21"/>
                <w:szCs w:val="21"/>
                <w:vertAlign w:val="baseline"/>
                <w:lang w:val="en-US" w:eastAsia="zh-CN"/>
              </w:rPr>
              <w:t>名称</w:t>
            </w:r>
          </w:p>
        </w:tc>
        <w:tc>
          <w:tcPr>
            <w:tcW w:w="731" w:type="dxa"/>
            <w:vAlign w:val="center"/>
          </w:tcPr>
          <w:p w14:paraId="15C1F78B">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数量</w:t>
            </w:r>
          </w:p>
        </w:tc>
        <w:tc>
          <w:tcPr>
            <w:tcW w:w="788" w:type="dxa"/>
            <w:vAlign w:val="center"/>
          </w:tcPr>
          <w:p w14:paraId="30CF2D10">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单位</w:t>
            </w:r>
          </w:p>
        </w:tc>
        <w:tc>
          <w:tcPr>
            <w:tcW w:w="1668" w:type="dxa"/>
            <w:vAlign w:val="center"/>
          </w:tcPr>
          <w:p w14:paraId="03B629B1">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预算单价（元）</w:t>
            </w:r>
          </w:p>
        </w:tc>
        <w:tc>
          <w:tcPr>
            <w:tcW w:w="1697" w:type="dxa"/>
            <w:vAlign w:val="center"/>
          </w:tcPr>
          <w:p w14:paraId="5F5D05F4">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总价（元）</w:t>
            </w:r>
          </w:p>
        </w:tc>
        <w:tc>
          <w:tcPr>
            <w:tcW w:w="903" w:type="dxa"/>
            <w:vAlign w:val="center"/>
          </w:tcPr>
          <w:p w14:paraId="356E4328">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备注</w:t>
            </w:r>
          </w:p>
        </w:tc>
      </w:tr>
      <w:tr w14:paraId="2AF77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624" w:type="dxa"/>
            <w:vAlign w:val="center"/>
          </w:tcPr>
          <w:p w14:paraId="54677A52">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bookmarkStart w:id="20" w:name="OLE_LINK40" w:colFirst="6" w:colLast="6"/>
            <w:bookmarkStart w:id="21" w:name="OLE_LINK38" w:colFirst="7" w:colLast="7"/>
            <w:bookmarkStart w:id="22" w:name="OLE_LINK42" w:colFirst="1" w:colLast="1"/>
            <w:r>
              <w:rPr>
                <w:rFonts w:hint="eastAsia" w:ascii="宋体" w:hAnsi="宋体" w:eastAsia="宋体" w:cs="宋体"/>
                <w:color w:val="auto"/>
                <w:sz w:val="21"/>
                <w:szCs w:val="21"/>
                <w:vertAlign w:val="baseline"/>
                <w:lang w:val="en-US" w:eastAsia="zh-CN"/>
              </w:rPr>
              <w:t>1</w:t>
            </w:r>
          </w:p>
        </w:tc>
        <w:tc>
          <w:tcPr>
            <w:tcW w:w="1311" w:type="dxa"/>
            <w:vAlign w:val="center"/>
          </w:tcPr>
          <w:p w14:paraId="47855EC1">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临翔区2026年学校学生食堂食材采购项目</w:t>
            </w:r>
          </w:p>
        </w:tc>
        <w:tc>
          <w:tcPr>
            <w:tcW w:w="1669" w:type="dxa"/>
            <w:vAlign w:val="center"/>
          </w:tcPr>
          <w:p w14:paraId="6769FFA2">
            <w:pPr>
              <w:pageBreakBefore w:val="0"/>
              <w:kinsoku/>
              <w:overflowPunct/>
              <w:topLinePunct w:val="0"/>
              <w:autoSpaceDE/>
              <w:autoSpaceDN/>
              <w:bidi w:val="0"/>
              <w:snapToGrid/>
              <w:spacing w:line="240" w:lineRule="auto"/>
              <w:jc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肉食品类、蔬菜类及辅料类</w:t>
            </w:r>
          </w:p>
        </w:tc>
        <w:tc>
          <w:tcPr>
            <w:tcW w:w="731" w:type="dxa"/>
            <w:vAlign w:val="center"/>
          </w:tcPr>
          <w:p w14:paraId="3CB4E734">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788" w:type="dxa"/>
            <w:vAlign w:val="center"/>
          </w:tcPr>
          <w:p w14:paraId="61B20245">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批</w:t>
            </w:r>
          </w:p>
        </w:tc>
        <w:tc>
          <w:tcPr>
            <w:tcW w:w="1668" w:type="dxa"/>
            <w:shd w:val="clear" w:color="auto" w:fill="auto"/>
            <w:vAlign w:val="center"/>
          </w:tcPr>
          <w:p w14:paraId="62B8D341">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val="0"/>
                <w:bCs w:val="0"/>
                <w:color w:val="auto"/>
                <w:sz w:val="21"/>
                <w:szCs w:val="21"/>
                <w:highlight w:val="none"/>
                <w:lang w:eastAsia="zh-CN"/>
              </w:rPr>
              <w:t>40917218.01</w:t>
            </w:r>
          </w:p>
        </w:tc>
        <w:tc>
          <w:tcPr>
            <w:tcW w:w="1697" w:type="dxa"/>
            <w:shd w:val="clear" w:color="auto" w:fill="auto"/>
            <w:vAlign w:val="center"/>
          </w:tcPr>
          <w:p w14:paraId="3058DEF3">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val="0"/>
                <w:bCs w:val="0"/>
                <w:color w:val="auto"/>
                <w:sz w:val="21"/>
                <w:szCs w:val="21"/>
                <w:highlight w:val="none"/>
                <w:lang w:eastAsia="zh-CN"/>
              </w:rPr>
              <w:t>40917218.01</w:t>
            </w:r>
          </w:p>
        </w:tc>
        <w:tc>
          <w:tcPr>
            <w:tcW w:w="903" w:type="dxa"/>
            <w:vAlign w:val="center"/>
          </w:tcPr>
          <w:p w14:paraId="4C2A941A">
            <w:pPr>
              <w:pageBreakBefore w:val="0"/>
              <w:kinsoku/>
              <w:overflowPunct/>
              <w:topLinePunct w:val="0"/>
              <w:autoSpaceDE/>
              <w:autoSpaceDN/>
              <w:bidi w:val="0"/>
              <w:snapToGrid/>
              <w:spacing w:line="240" w:lineRule="auto"/>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w:t>
            </w:r>
          </w:p>
        </w:tc>
      </w:tr>
      <w:bookmarkEnd w:id="19"/>
      <w:bookmarkEnd w:id="20"/>
      <w:bookmarkEnd w:id="21"/>
      <w:bookmarkEnd w:id="22"/>
    </w:tbl>
    <w:p w14:paraId="29710A80">
      <w:pPr>
        <w:keepNext w:val="0"/>
        <w:keepLines w:val="0"/>
        <w:pageBreakBefore w:val="0"/>
        <w:widowControl w:val="0"/>
        <w:kinsoku/>
        <w:wordWrap/>
        <w:overflowPunct/>
        <w:topLinePunct w:val="0"/>
        <w:autoSpaceDE/>
        <w:autoSpaceDN/>
        <w:bidi w:val="0"/>
        <w:adjustRightInd/>
        <w:snapToGrid/>
        <w:spacing w:line="382" w:lineRule="auto"/>
        <w:ind w:left="0"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注：</w:t>
      </w:r>
      <w:r>
        <w:rPr>
          <w:rFonts w:hint="eastAsia" w:ascii="宋体" w:hAnsi="宋体" w:eastAsia="宋体" w:cs="宋体"/>
          <w:b w:val="0"/>
          <w:bCs w:val="0"/>
          <w:color w:val="auto"/>
          <w:sz w:val="21"/>
          <w:szCs w:val="21"/>
          <w:highlight w:val="none"/>
          <w:lang w:val="en-US" w:eastAsia="zh-CN"/>
        </w:rPr>
        <w:t>投标人必须对所投内容进行完整报价，不得缺项、漏项，否则投标文件将按无效处理,具体要求等详见本招标文件第五章《采购需求》。</w:t>
      </w:r>
    </w:p>
    <w:p w14:paraId="7392DB83">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r>
        <w:rPr>
          <w:rFonts w:hint="eastAsia" w:ascii="宋体" w:hAnsi="宋体" w:cs="宋体"/>
          <w:b/>
          <w:bCs/>
          <w:color w:val="auto"/>
          <w:sz w:val="21"/>
          <w:szCs w:val="21"/>
          <w:highlight w:val="none"/>
          <w:lang w:val="en-US" w:eastAsia="zh-CN"/>
        </w:rPr>
        <w:t>交货地点</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临沧市临翔区纳入供餐学校指定地点。</w:t>
      </w:r>
    </w:p>
    <w:p w14:paraId="223132E7">
      <w:pPr>
        <w:keepNext w:val="0"/>
        <w:keepLines w:val="0"/>
        <w:pageBreakBefore w:val="0"/>
        <w:widowControl w:val="0"/>
        <w:suppressLineNumbers w:val="0"/>
        <w:kinsoku/>
        <w:wordWrap/>
        <w:overflowPunct/>
        <w:topLinePunct w:val="0"/>
        <w:autoSpaceDE/>
        <w:autoSpaceDN/>
        <w:bidi w:val="0"/>
        <w:adjustRightInd/>
        <w:snapToGrid/>
        <w:spacing w:line="382" w:lineRule="auto"/>
        <w:ind w:firstLine="422"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3.质量要求：</w:t>
      </w:r>
      <w:r>
        <w:rPr>
          <w:rFonts w:hint="eastAsia" w:ascii="宋体" w:hAnsi="宋体" w:eastAsia="宋体" w:cs="宋体"/>
          <w:b w:val="0"/>
          <w:bCs w:val="0"/>
          <w:color w:val="auto"/>
          <w:sz w:val="21"/>
          <w:szCs w:val="21"/>
          <w:highlight w:val="none"/>
          <w:lang w:val="en-US" w:eastAsia="zh-CN"/>
        </w:rPr>
        <w:t>（1）肉禽类：符合《中华人民共和国食品安全法》、</w:t>
      </w:r>
      <w:r>
        <w:rPr>
          <w:rFonts w:hint="eastAsia" w:ascii="宋体" w:hAnsi="宋体" w:cs="宋体"/>
          <w:b w:val="0"/>
          <w:bCs w:val="0"/>
          <w:color w:val="auto"/>
          <w:sz w:val="21"/>
          <w:szCs w:val="21"/>
          <w:highlight w:val="none"/>
          <w:lang w:val="en-US" w:eastAsia="zh-CN"/>
        </w:rPr>
        <w:t>《动物检验检疫管理办法》</w:t>
      </w:r>
      <w:r>
        <w:rPr>
          <w:rFonts w:hint="eastAsia" w:ascii="宋体" w:hAnsi="宋体" w:eastAsia="宋体" w:cs="宋体"/>
          <w:b w:val="0"/>
          <w:bCs w:val="0"/>
          <w:color w:val="auto"/>
          <w:sz w:val="21"/>
          <w:szCs w:val="21"/>
          <w:highlight w:val="none"/>
          <w:lang w:val="en-US" w:eastAsia="zh-CN"/>
        </w:rPr>
        <w:t>和国家相关质量检验标准、卫生标准及地方的相关法律法规要求。</w:t>
      </w:r>
    </w:p>
    <w:p w14:paraId="1C7D6533">
      <w:pPr>
        <w:keepNext w:val="0"/>
        <w:keepLines w:val="0"/>
        <w:pageBreakBefore w:val="0"/>
        <w:widowControl w:val="0"/>
        <w:suppressLineNumbers w:val="0"/>
        <w:kinsoku/>
        <w:wordWrap/>
        <w:overflowPunct/>
        <w:topLinePunct w:val="0"/>
        <w:autoSpaceDE/>
        <w:autoSpaceDN/>
        <w:bidi w:val="0"/>
        <w:adjustRightInd/>
        <w:snapToGrid/>
        <w:spacing w:line="382"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（2）蔬菜类：符合《中华人民共和国食品安全法》、</w:t>
      </w:r>
      <w:r>
        <w:rPr>
          <w:rFonts w:hint="eastAsia" w:ascii="宋体" w:hAnsi="宋体" w:cs="宋体"/>
          <w:b w:val="0"/>
          <w:bCs w:val="0"/>
          <w:color w:val="auto"/>
          <w:sz w:val="21"/>
          <w:szCs w:val="21"/>
          <w:highlight w:val="none"/>
          <w:lang w:val="en-US" w:eastAsia="zh-CN"/>
        </w:rPr>
        <w:t>GB/T23351-2009《国家新鲜水果和蔬菜 词汇》</w:t>
      </w:r>
      <w:r>
        <w:rPr>
          <w:rFonts w:hint="eastAsia" w:ascii="宋体" w:hAnsi="宋体" w:eastAsia="宋体" w:cs="宋体"/>
          <w:b w:val="0"/>
          <w:bCs w:val="0"/>
          <w:color w:val="auto"/>
          <w:sz w:val="21"/>
          <w:szCs w:val="21"/>
          <w:highlight w:val="none"/>
          <w:lang w:val="en-US" w:eastAsia="zh-CN"/>
        </w:rPr>
        <w:t>和国家相关质量检验标准、卫生标准及地方的相关法律法规要求，且为非转基因植物。</w:t>
      </w:r>
    </w:p>
    <w:p w14:paraId="79C10949">
      <w:pPr>
        <w:keepNext w:val="0"/>
        <w:keepLines w:val="0"/>
        <w:pageBreakBefore w:val="0"/>
        <w:widowControl w:val="0"/>
        <w:suppressLineNumbers w:val="0"/>
        <w:kinsoku/>
        <w:wordWrap/>
        <w:overflowPunct/>
        <w:topLinePunct w:val="0"/>
        <w:autoSpaceDE/>
        <w:autoSpaceDN/>
        <w:bidi w:val="0"/>
        <w:adjustRightInd/>
        <w:snapToGrid/>
        <w:spacing w:line="382" w:lineRule="auto"/>
        <w:ind w:firstLine="420" w:firstLineChars="200"/>
        <w:jc w:val="left"/>
        <w:textAlignment w:val="auto"/>
        <w:rPr>
          <w:rFonts w:hint="eastAsia" w:ascii="宋体" w:hAnsi="宋体" w:eastAsia="宋体" w:cs="宋体"/>
          <w:color w:val="auto"/>
        </w:rPr>
      </w:pPr>
      <w:r>
        <w:rPr>
          <w:rFonts w:hint="eastAsia" w:ascii="宋体" w:hAnsi="宋体" w:eastAsia="宋体" w:cs="宋体"/>
          <w:b w:val="0"/>
          <w:bCs w:val="0"/>
          <w:color w:val="auto"/>
          <w:sz w:val="21"/>
          <w:szCs w:val="21"/>
          <w:highlight w:val="none"/>
          <w:lang w:val="en-US" w:eastAsia="zh-CN"/>
        </w:rPr>
        <w:t>（3）干货及调味类：符合《中华人民共和国食品安全法》和国家相关质量检验标准、卫生标准及地方的相关法律法规要求，农药残留、重金属、亚硝酸盐不得超过国家限定范围标准；符合《中华人民共和国食品安全法》、GB2717-2018《酱油》标准、GB2719-2018《食醋》标准、SB/T10416-2007《调味料酒》、GB/T5461-2016《食用盐》、GB 2720-2015《味精》、GB13104-2014《食品安全国家标准-食糖》等标准和国家相关质量检验标准、卫生标准及地方的相关法律法规要求。</w:t>
      </w:r>
    </w:p>
    <w:p w14:paraId="306CF904">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4.配送服务要求：</w:t>
      </w:r>
      <w:r>
        <w:rPr>
          <w:rFonts w:hint="eastAsia" w:ascii="宋体" w:hAnsi="宋体" w:eastAsia="宋体" w:cs="宋体"/>
          <w:b w:val="0"/>
          <w:bCs w:val="0"/>
          <w:color w:val="auto"/>
          <w:sz w:val="21"/>
          <w:szCs w:val="21"/>
          <w:highlight w:val="none"/>
          <w:lang w:val="en-US" w:eastAsia="zh-CN"/>
        </w:rPr>
        <w:t>（1）供应商应严格按采购人需求，提供合格、优质并符合中华人民共和国有关质量标准及卫生标准和达到采购清单中技术规格要求的货物；确保其供应的货物质量达到采购人要求，如不能满足采购人要求，则采购人有权向中标供应商提出退换或索赔的要求，情节严重的提前终止年度采购合同，并承担相应经济及法律责任。</w:t>
      </w:r>
    </w:p>
    <w:p w14:paraId="707229CD">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（2）供应商应严格遵守《中华人民共和国食品安全法》、《中华人民共和国农产品质量安全法》</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《中华人民共和国产品质量法》等相关规定，一经发现供应商供应的货物存在质量问题的，除全部退货外，将取消供应商的供货资格，没收全部履约保证金，并承担由此造成的经济责任和法律责任。</w:t>
      </w:r>
    </w:p>
    <w:p w14:paraId="4A65C863">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（3）配送要求：</w:t>
      </w: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应按各学校食堂要求时间供货</w:t>
      </w:r>
      <w:r>
        <w:rPr>
          <w:rFonts w:hint="eastAsia" w:ascii="宋体" w:hAnsi="宋体" w:cs="宋体"/>
          <w:b w:val="0"/>
          <w:bCs w:val="0"/>
          <w:color w:val="auto"/>
          <w:sz w:val="21"/>
          <w:szCs w:val="21"/>
          <w:highlight w:val="none"/>
          <w:lang w:val="en-US" w:eastAsia="zh-CN"/>
        </w:rPr>
        <w:t>，并</w:t>
      </w:r>
      <w:r>
        <w:rPr>
          <w:rFonts w:hint="eastAsia" w:ascii="宋体" w:hAnsi="宋体" w:eastAsia="宋体" w:cs="宋体"/>
          <w:b w:val="0"/>
          <w:bCs w:val="0"/>
          <w:color w:val="auto"/>
          <w:sz w:val="21"/>
          <w:szCs w:val="21"/>
          <w:highlight w:val="none"/>
          <w:lang w:val="en-US" w:eastAsia="zh-CN"/>
        </w:rPr>
        <w:t>对学校食堂所需物资保证能做到日配送，偏远乡镇做到每周至少3次配送</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特殊情况下需临时增加配送任务时，供需双方结合实际商议配送。</w:t>
      </w:r>
    </w:p>
    <w:p w14:paraId="3B02DEA8">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）在合理情况下，供应商应无条件配合采购主体学校提出的配送时间，不得因配送时间推迟导致学校食堂无法按时就餐。</w:t>
      </w:r>
    </w:p>
    <w:p w14:paraId="419F2063">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val="en-US" w:eastAsia="zh-CN"/>
        </w:rPr>
        <w:t>）配送责任划分：①对提供的食品及原料因假冒伪劣、腐烂变质、过期、农药残留超标等导致校方就餐人员食物中毒或损害健康的，经疾病预防控制中心或有关法定检测机构鉴定确为食品质量原因引起的，供应商必须承担相关法律责任和赔偿责任，由此产生的一切后果均由供应商承担。</w:t>
      </w:r>
    </w:p>
    <w:p w14:paraId="1D4A3AB8">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供应商须按与学校商定的地点及有关要求按时、按质、按量将所订购的食品送达，如遇不可抗力导致不能送达，供应商需在1小时内通知学校，以便学校及时解决食品供应问题。非不可抗力因素导致食品不能送达的，由供应商承担学校相应损失（损失大小由供应商、学校、教体局和区内有关职能部门共同协商确定）。</w:t>
      </w:r>
    </w:p>
    <w:p w14:paraId="41044B76">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③供应商员工在配送食品过程中造成的意外事故（含第三人侵害、交通事故、工伤及其他不可抗因素等）造成供应商人员受损，由供应商自己承担，学校不承担任何责任。</w:t>
      </w:r>
    </w:p>
    <w:p w14:paraId="73AD22CE">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④为预防食品安全事件的发生，中标供应商在与采购人签订采购合同前必须购买年累计赔偿限额不低于</w:t>
      </w:r>
      <w:r>
        <w:rPr>
          <w:rFonts w:hint="eastAsia" w:ascii="宋体" w:hAnsi="宋体" w:cs="宋体"/>
          <w:b w:val="0"/>
          <w:bCs w:val="0"/>
          <w:color w:val="auto"/>
          <w:sz w:val="21"/>
          <w:szCs w:val="21"/>
          <w:highlight w:val="none"/>
          <w:lang w:val="en-US" w:eastAsia="zh-CN"/>
        </w:rPr>
        <w:t>1000万元的食品安全责任保险进行承保</w:t>
      </w:r>
      <w:r>
        <w:rPr>
          <w:rFonts w:hint="eastAsia" w:ascii="宋体" w:hAnsi="宋体" w:eastAsia="宋体" w:cs="宋体"/>
          <w:b w:val="0"/>
          <w:bCs w:val="0"/>
          <w:color w:val="auto"/>
          <w:sz w:val="21"/>
          <w:szCs w:val="21"/>
          <w:highlight w:val="none"/>
          <w:lang w:val="en-US" w:eastAsia="zh-CN"/>
        </w:rPr>
        <w:t>。如学校出现食品安全事件，在双方责任不明确时，所需费用由供货商、保险公司先暂付，责任认定后，由责任方承担所有费用。</w:t>
      </w:r>
    </w:p>
    <w:p w14:paraId="2CA5E369">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供应商所供应的肉食品类应来自正规的养殖场或屠宰场，有完整的养殖、检疫、屠宰等环节的记录和证明文件，确保肉品来源可追溯；确保肉类应保持新鲜，色泽正常，肉质有弹性，无异味，表面无黏液，确保肉类无疫病、无寄生虫感染；配送时随货提供《动物检疫合格证明》和《肉品品质检验合格证》。</w:t>
      </w:r>
    </w:p>
    <w:p w14:paraId="16172020">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）供应商所供应</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蔬菜类须</w:t>
      </w:r>
      <w:r>
        <w:rPr>
          <w:rFonts w:hint="eastAsia" w:ascii="宋体" w:hAnsi="宋体" w:cs="宋体"/>
          <w:b w:val="0"/>
          <w:bCs w:val="0"/>
          <w:color w:val="auto"/>
          <w:sz w:val="21"/>
          <w:szCs w:val="21"/>
          <w:highlight w:val="none"/>
          <w:lang w:val="en-US" w:eastAsia="zh-CN"/>
        </w:rPr>
        <w:t>保证</w:t>
      </w:r>
      <w:r>
        <w:rPr>
          <w:rFonts w:hint="eastAsia" w:ascii="宋体" w:hAnsi="宋体" w:eastAsia="宋体" w:cs="宋体"/>
          <w:b w:val="0"/>
          <w:bCs w:val="0"/>
          <w:color w:val="auto"/>
          <w:sz w:val="21"/>
          <w:szCs w:val="21"/>
          <w:highlight w:val="none"/>
          <w:lang w:val="en-US" w:eastAsia="zh-CN"/>
        </w:rPr>
        <w:t>符合国家农药残留限量标准</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配送时需随货提供农残自检报告或食用农产品农药残留快速检测报告单，同时采购人也有权对所供蔬菜进行不定期抽检。</w:t>
      </w:r>
    </w:p>
    <w:p w14:paraId="43C4A1A4">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7）供应商所供应的辅料类产品须保证符合《中华人民共和国食品安全法》和国家相关质量检验标准、卫生标准及地方的相关法律法规要求，农药残留、重金属、亚硝酸盐不得超过国家限定范围标准，配送时须随货提供当批次检验报告供各校点存档。</w:t>
      </w:r>
    </w:p>
    <w:p w14:paraId="15B8361D">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5.产品的防护、包装及运输要求：</w:t>
      </w:r>
      <w:r>
        <w:rPr>
          <w:rFonts w:hint="eastAsia" w:ascii="宋体" w:hAnsi="宋体" w:eastAsia="宋体" w:cs="宋体"/>
          <w:b w:val="0"/>
          <w:bCs w:val="0"/>
          <w:color w:val="auto"/>
          <w:sz w:val="21"/>
          <w:szCs w:val="21"/>
          <w:highlight w:val="none"/>
          <w:lang w:val="en-US" w:eastAsia="zh-CN"/>
        </w:rPr>
        <w:t>根据食品安全防护、包装及运输制度的规定，食品及包装须无金属丝、金属块、绳索、玻璃、尖锐器物等可能造成危害的物品。为了保证产品在运输和装卸过程中的安全，所供食材应根据其使用环境和使用日期做相应的防护包装，包装材料应无毒无害，由于包装不善导致产品包装破损、变质、受污，由供应商承担一切责任；运输车辆必须清洁、干燥、无异味；严禁与有毒、有害、有异味、易污染的物品混装混运。</w:t>
      </w:r>
    </w:p>
    <w:p w14:paraId="3D37D571">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6.验收标准：</w:t>
      </w:r>
      <w:r>
        <w:rPr>
          <w:rFonts w:hint="eastAsia" w:ascii="宋体" w:hAnsi="宋体" w:eastAsia="宋体" w:cs="宋体"/>
          <w:b w:val="0"/>
          <w:bCs w:val="0"/>
          <w:color w:val="auto"/>
          <w:sz w:val="21"/>
          <w:szCs w:val="21"/>
          <w:highlight w:val="none"/>
          <w:lang w:val="en-US" w:eastAsia="zh-CN"/>
        </w:rPr>
        <w:t>（1）供应商根据采购人需求将物资运送至指定地点后，采购人将对产品进行抽样检查，如发现有数量不足、卫生和质量等问题，供应商应按照采购人的要求采取补足、更换、召回等处理措施，及时提供相应的合格物资</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并承担由此发生的一切损失和费用。</w:t>
      </w:r>
    </w:p>
    <w:p w14:paraId="29F703EB">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（2）供应商已按照规定提供了采购方所需产品，且产品符合质量要求，采购人才会对货物进行签收。 </w:t>
      </w:r>
    </w:p>
    <w:p w14:paraId="1402DDB7">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7.售后服务要求：</w:t>
      </w:r>
      <w:r>
        <w:rPr>
          <w:rFonts w:hint="eastAsia" w:ascii="宋体" w:hAnsi="宋体" w:eastAsia="宋体" w:cs="宋体"/>
          <w:color w:val="auto"/>
          <w:sz w:val="21"/>
          <w:szCs w:val="21"/>
          <w:highlight w:val="none"/>
          <w:lang w:val="en-US" w:eastAsia="zh-CN"/>
        </w:rPr>
        <w:t>供应商须无条件更换有质量问题或有破损的产品，若出现安全问题或安全事故，应及时处理，并承担全部责任。</w:t>
      </w:r>
    </w:p>
    <w:p w14:paraId="4DDB6340">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合同履行期限：</w:t>
      </w:r>
      <w:r>
        <w:rPr>
          <w:rFonts w:hint="eastAsia" w:ascii="宋体" w:hAnsi="宋体" w:eastAsia="宋体" w:cs="宋体"/>
          <w:b w:val="0"/>
          <w:bCs w:val="0"/>
          <w:color w:val="auto"/>
          <w:sz w:val="21"/>
          <w:szCs w:val="21"/>
          <w:highlight w:val="none"/>
          <w:lang w:val="en-US" w:eastAsia="zh-CN"/>
        </w:rPr>
        <w:t>一年，具体起止时间以合同签订为准。</w:t>
      </w:r>
    </w:p>
    <w:p w14:paraId="5F2D6F37">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本项目（否）接受联合体投标。</w:t>
      </w:r>
    </w:p>
    <w:p w14:paraId="4F826552">
      <w:pPr>
        <w:pStyle w:val="2"/>
        <w:keepNext w:val="0"/>
        <w:keepLines w:val="0"/>
        <w:pageBreakBefore w:val="0"/>
        <w:widowControl w:val="0"/>
        <w:numPr>
          <w:ilvl w:val="0"/>
          <w:numId w:val="0"/>
        </w:numPr>
        <w:kinsoku/>
        <w:wordWrap/>
        <w:overflowPunct/>
        <w:topLinePunct w:val="0"/>
        <w:autoSpaceDE/>
        <w:autoSpaceDN/>
        <w:bidi w:val="0"/>
        <w:adjustRightInd/>
        <w:snapToGrid/>
        <w:spacing w:before="0" w:line="382" w:lineRule="auto"/>
        <w:ind w:left="0" w:leftChars="0" w:right="0" w:rightChars="0" w:firstLine="422" w:firstLineChars="200"/>
        <w:jc w:val="left"/>
        <w:textAlignment w:val="auto"/>
        <w:outlineLvl w:val="1"/>
        <w:rPr>
          <w:rFonts w:hint="eastAsia" w:ascii="宋体" w:hAnsi="宋体" w:eastAsia="宋体" w:cs="宋体"/>
          <w:b/>
          <w:bCs/>
          <w:color w:val="auto"/>
          <w:sz w:val="21"/>
          <w:szCs w:val="21"/>
          <w:highlight w:val="none"/>
        </w:rPr>
      </w:pPr>
      <w:bookmarkStart w:id="23" w:name="_Toc19615"/>
      <w:bookmarkStart w:id="24" w:name="_Toc35393791"/>
      <w:bookmarkStart w:id="25" w:name="_Toc1191"/>
      <w:bookmarkStart w:id="26" w:name="_Toc10926"/>
      <w:bookmarkStart w:id="27" w:name="_Toc18337"/>
      <w:bookmarkStart w:id="28" w:name="_Toc28359003"/>
      <w:bookmarkStart w:id="29" w:name="_Toc19458"/>
      <w:bookmarkStart w:id="30" w:name="_Toc35393622"/>
      <w:bookmarkStart w:id="31" w:name="_Toc28359080"/>
      <w:r>
        <w:rPr>
          <w:rFonts w:hint="eastAsia" w:ascii="宋体" w:hAnsi="宋体" w:eastAsia="宋体" w:cs="宋体"/>
          <w:b/>
          <w:bCs/>
          <w:color w:val="auto"/>
          <w:sz w:val="21"/>
          <w:szCs w:val="21"/>
          <w:highlight w:val="none"/>
        </w:rPr>
        <w:t>二、申请人的资格要求：</w:t>
      </w:r>
    </w:p>
    <w:p w14:paraId="79E5D0F0">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1.满足《中华人民共和国政府采购法》第二十二条规定；符合《中华人民共和国政府采购法实施条例》第十八条规定</w:t>
      </w:r>
      <w:r>
        <w:rPr>
          <w:rFonts w:hint="eastAsia" w:ascii="宋体" w:hAnsi="宋体" w:cs="宋体"/>
          <w:b/>
          <w:bCs/>
          <w:color w:val="auto"/>
          <w:sz w:val="21"/>
          <w:szCs w:val="21"/>
          <w:highlight w:val="none"/>
          <w:lang w:val="en-US" w:eastAsia="zh-CN"/>
        </w:rPr>
        <w:t>。</w:t>
      </w:r>
    </w:p>
    <w:p w14:paraId="4B124D54">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outlineLvl w:val="9"/>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2.落实政府采购政策需满足的资格要求：</w:t>
      </w:r>
      <w:r>
        <w:rPr>
          <w:rFonts w:hint="eastAsia" w:ascii="宋体" w:hAnsi="宋体" w:eastAsia="宋体" w:cs="宋体"/>
          <w:color w:val="auto"/>
          <w:sz w:val="21"/>
          <w:szCs w:val="21"/>
          <w:highlight w:val="none"/>
          <w:lang w:val="en-US" w:eastAsia="zh-CN"/>
        </w:rPr>
        <w:t>本项目属于专门面向中小企业采购的项目</w:t>
      </w:r>
      <w:r>
        <w:rPr>
          <w:rFonts w:hint="eastAsia" w:ascii="宋体" w:hAnsi="宋体" w:cs="宋体"/>
          <w:color w:val="auto"/>
          <w:sz w:val="21"/>
          <w:szCs w:val="21"/>
          <w:highlight w:val="none"/>
          <w:lang w:val="en-US" w:eastAsia="zh-CN"/>
        </w:rPr>
        <w:t>，监狱企业、残疾人福利性单位视同小型或微型企业。</w:t>
      </w:r>
    </w:p>
    <w:p w14:paraId="1A8E9F7C">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2" w:firstLineChars="200"/>
        <w:jc w:val="left"/>
        <w:textAlignment w:val="auto"/>
        <w:outlineLvl w:val="9"/>
        <w:rPr>
          <w:rFonts w:hint="eastAsia" w:ascii="宋体" w:hAnsi="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3.本项目的特定资格要求：</w:t>
      </w:r>
      <w:r>
        <w:rPr>
          <w:rFonts w:hint="eastAsia" w:ascii="宋体" w:hAnsi="宋体" w:cs="宋体"/>
          <w:b w:val="0"/>
          <w:bCs w:val="0"/>
          <w:color w:val="auto"/>
          <w:sz w:val="21"/>
          <w:szCs w:val="21"/>
          <w:highlight w:val="none"/>
          <w:lang w:val="en-US" w:eastAsia="zh-CN"/>
        </w:rPr>
        <w:t>3.1供应商须具有食品生产许可证或食品经营许可证或仅销售预包装食品经营者备案信息采集表。</w:t>
      </w:r>
    </w:p>
    <w:p w14:paraId="2098998F">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outlineLvl w:val="9"/>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3.2供应商近3年内未发生食品安全事故或查实食品安全负面舆论事件。</w:t>
      </w:r>
    </w:p>
    <w:p w14:paraId="50118498">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.其他具体要求详见招标文件。</w:t>
      </w:r>
    </w:p>
    <w:p w14:paraId="2317C0D8">
      <w:pPr>
        <w:pStyle w:val="2"/>
        <w:keepNext w:val="0"/>
        <w:keepLines w:val="0"/>
        <w:pageBreakBefore w:val="0"/>
        <w:widowControl w:val="0"/>
        <w:numPr>
          <w:ilvl w:val="0"/>
          <w:numId w:val="0"/>
        </w:numPr>
        <w:kinsoku/>
        <w:wordWrap/>
        <w:overflowPunct/>
        <w:topLinePunct w:val="0"/>
        <w:autoSpaceDE/>
        <w:autoSpaceDN/>
        <w:bidi w:val="0"/>
        <w:adjustRightInd/>
        <w:snapToGrid/>
        <w:spacing w:before="0" w:line="382" w:lineRule="auto"/>
        <w:ind w:left="0" w:leftChars="0" w:right="0" w:rightChars="0" w:firstLine="422" w:firstLineChars="200"/>
        <w:jc w:val="both"/>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三、获取招标文件</w:t>
      </w:r>
    </w:p>
    <w:p w14:paraId="4E6A36B1">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u w:val="singl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u w:val="single"/>
          <w:lang w:val="en-US" w:eastAsia="zh-CN"/>
        </w:rPr>
        <w:t>23</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06:00</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u w:val="singl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23:59</w:t>
      </w:r>
      <w:r>
        <w:rPr>
          <w:rFonts w:hint="eastAsia" w:ascii="宋体" w:hAnsi="宋体" w:eastAsia="宋体" w:cs="宋体"/>
          <w:color w:val="auto"/>
          <w:sz w:val="21"/>
          <w:szCs w:val="21"/>
          <w:highlight w:val="none"/>
        </w:rPr>
        <w:t>，每天上午</w:t>
      </w:r>
      <w:r>
        <w:rPr>
          <w:rFonts w:hint="eastAsia" w:ascii="宋体" w:hAnsi="宋体" w:eastAsia="宋体" w:cs="宋体"/>
          <w:color w:val="auto"/>
          <w:sz w:val="21"/>
          <w:szCs w:val="21"/>
          <w:highlight w:val="none"/>
          <w:u w:val="none"/>
          <w:lang w:val="en-US" w:eastAsia="zh-CN"/>
        </w:rPr>
        <w:t>06:00</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lang w:val="en-US" w:eastAsia="zh-CN"/>
        </w:rPr>
        <w:t>12:00</w:t>
      </w:r>
      <w:r>
        <w:rPr>
          <w:rFonts w:hint="eastAsia" w:ascii="宋体" w:hAnsi="宋体" w:eastAsia="宋体" w:cs="宋体"/>
          <w:color w:val="auto"/>
          <w:sz w:val="21"/>
          <w:szCs w:val="21"/>
          <w:highlight w:val="none"/>
        </w:rPr>
        <w:t>，下午</w:t>
      </w:r>
      <w:r>
        <w:rPr>
          <w:rFonts w:hint="eastAsia" w:ascii="宋体" w:hAnsi="宋体" w:eastAsia="宋体" w:cs="宋体"/>
          <w:color w:val="auto"/>
          <w:sz w:val="21"/>
          <w:szCs w:val="21"/>
          <w:highlight w:val="none"/>
          <w:u w:val="none"/>
          <w:lang w:val="en-US" w:eastAsia="zh-CN"/>
        </w:rPr>
        <w:t>12:00</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u w:val="none"/>
          <w:lang w:val="en-US" w:eastAsia="zh-CN"/>
        </w:rPr>
        <w:t>23:59</w:t>
      </w:r>
      <w:r>
        <w:rPr>
          <w:rFonts w:hint="eastAsia" w:ascii="宋体" w:hAnsi="宋体" w:eastAsia="宋体" w:cs="宋体"/>
          <w:color w:val="auto"/>
          <w:sz w:val="21"/>
          <w:szCs w:val="21"/>
          <w:highlight w:val="none"/>
        </w:rPr>
        <w:t>（北京时间，法定节假日除外）</w:t>
      </w:r>
      <w:r>
        <w:rPr>
          <w:rFonts w:hint="eastAsia" w:ascii="宋体" w:hAnsi="宋体" w:eastAsia="宋体" w:cs="宋体"/>
          <w:color w:val="auto"/>
          <w:sz w:val="21"/>
          <w:szCs w:val="21"/>
          <w:highlight w:val="none"/>
          <w:lang w:eastAsia="zh-CN"/>
        </w:rPr>
        <w:t>。</w:t>
      </w:r>
    </w:p>
    <w:p w14:paraId="318E46EF">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08" w:firstLineChars="200"/>
        <w:jc w:val="left"/>
        <w:textAlignment w:val="auto"/>
        <w:outlineLvl w:val="9"/>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rPr>
        <w:t>地点：</w:t>
      </w:r>
      <w:r>
        <w:rPr>
          <w:rFonts w:hint="eastAsia" w:ascii="宋体" w:hAnsi="宋体" w:eastAsia="宋体" w:cs="宋体"/>
          <w:color w:val="auto"/>
          <w:spacing w:val="-3"/>
          <w:sz w:val="21"/>
          <w:szCs w:val="21"/>
          <w:highlight w:val="none"/>
          <w:lang w:val="en-US" w:eastAsia="zh-CN"/>
        </w:rPr>
        <w:t>政府采购云平台（https://www.zcygov.cn/）。</w:t>
      </w:r>
    </w:p>
    <w:p w14:paraId="3CD92A81">
      <w:pPr>
        <w:keepNext w:val="0"/>
        <w:keepLines w:val="0"/>
        <w:pageBreakBefore w:val="0"/>
        <w:widowControl w:val="0"/>
        <w:kinsoku/>
        <w:wordWrap w:val="0"/>
        <w:overflowPunct/>
        <w:topLinePunct w:val="0"/>
        <w:autoSpaceDE/>
        <w:autoSpaceDN/>
        <w:bidi w:val="0"/>
        <w:adjustRightInd/>
        <w:snapToGrid/>
        <w:spacing w:line="382"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式：1.凡有意参加报名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2C9E36F5">
      <w:pPr>
        <w:keepNext w:val="0"/>
        <w:keepLines w:val="0"/>
        <w:pageBreakBefore w:val="0"/>
        <w:widowControl w:val="0"/>
        <w:kinsoku/>
        <w:wordWrap w:val="0"/>
        <w:overflowPunct/>
        <w:topLinePunct w:val="0"/>
        <w:autoSpaceDE/>
        <w:autoSpaceDN/>
        <w:bidi w:val="0"/>
        <w:adjustRightInd/>
        <w:snapToGrid/>
        <w:spacing w:line="382"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2.按上述要求获取文件的供应商视为合法获取了本项目采购文件，具备本项目的投标资格。</w:t>
      </w:r>
    </w:p>
    <w:p w14:paraId="59E98F9C">
      <w:pPr>
        <w:keepNext w:val="0"/>
        <w:keepLines w:val="0"/>
        <w:pageBreakBefore w:val="0"/>
        <w:widowControl w:val="0"/>
        <w:kinsoku/>
        <w:wordWrap w:val="0"/>
        <w:overflowPunct/>
        <w:topLinePunct w:val="0"/>
        <w:autoSpaceDE/>
        <w:autoSpaceDN/>
        <w:bidi w:val="0"/>
        <w:adjustRightInd/>
        <w:snapToGrid/>
        <w:spacing w:line="382"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售价（元）：0。</w:t>
      </w:r>
    </w:p>
    <w:p w14:paraId="59618FE9">
      <w:pPr>
        <w:pStyle w:val="2"/>
        <w:keepNext w:val="0"/>
        <w:keepLines w:val="0"/>
        <w:pageBreakBefore w:val="0"/>
        <w:widowControl w:val="0"/>
        <w:numPr>
          <w:ilvl w:val="0"/>
          <w:numId w:val="0"/>
        </w:numPr>
        <w:kinsoku/>
        <w:wordWrap/>
        <w:overflowPunct/>
        <w:topLinePunct w:val="0"/>
        <w:autoSpaceDE/>
        <w:autoSpaceDN/>
        <w:bidi w:val="0"/>
        <w:adjustRightInd/>
        <w:snapToGrid/>
        <w:spacing w:before="0" w:line="382" w:lineRule="auto"/>
        <w:ind w:left="0" w:leftChars="0" w:right="0" w:rightChars="0" w:firstLine="422" w:firstLineChars="200"/>
        <w:jc w:val="lef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p w14:paraId="335A939A">
      <w:pPr>
        <w:keepNext w:val="0"/>
        <w:keepLines w:val="0"/>
        <w:pageBreakBefore w:val="0"/>
        <w:widowControl w:val="0"/>
        <w:kinsoku/>
        <w:wordWrap/>
        <w:overflowPunct/>
        <w:topLinePunct w:val="0"/>
        <w:autoSpaceDE/>
        <w:autoSpaceDN/>
        <w:bidi w:val="0"/>
        <w:adjustRightInd/>
        <w:snapToGrid/>
        <w:spacing w:line="382" w:lineRule="auto"/>
        <w:ind w:left="0" w:firstLine="420" w:firstLineChars="200"/>
        <w:jc w:val="both"/>
        <w:textAlignment w:val="auto"/>
        <w:rPr>
          <w:rFonts w:hint="eastAsia" w:ascii="宋体" w:hAnsi="宋体" w:eastAsia="宋体" w:cs="宋体"/>
          <w:bCs/>
          <w:color w:val="auto"/>
          <w:sz w:val="21"/>
          <w:szCs w:val="21"/>
          <w:highlight w:val="none"/>
          <w:lang w:eastAsia="zh-CN"/>
        </w:rPr>
      </w:pPr>
      <w:bookmarkStart w:id="32" w:name="_Toc35393802"/>
      <w:bookmarkStart w:id="33" w:name="_Toc35393633"/>
      <w:bookmarkStart w:id="34" w:name="_Toc28359093"/>
      <w:bookmarkStart w:id="35" w:name="_Toc28359016"/>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u w:val="single"/>
          <w:lang w:val="en-US" w:eastAsia="zh-CN"/>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bCs/>
          <w:color w:val="auto"/>
          <w:sz w:val="21"/>
          <w:szCs w:val="21"/>
          <w:highlight w:val="none"/>
        </w:rPr>
        <w:t>年</w:t>
      </w:r>
      <w:r>
        <w:rPr>
          <w:rFonts w:hint="eastAsia" w:ascii="宋体" w:hAnsi="宋体" w:cs="宋体"/>
          <w:color w:val="auto"/>
          <w:sz w:val="21"/>
          <w:szCs w:val="21"/>
          <w:highlight w:val="none"/>
          <w:u w:val="single"/>
          <w:lang w:val="en-US" w:eastAsia="zh-CN"/>
        </w:rPr>
        <w:t>08</w:t>
      </w:r>
      <w:r>
        <w:rPr>
          <w:rFonts w:hint="eastAsia" w:ascii="宋体" w:hAnsi="宋体" w:eastAsia="宋体" w:cs="宋体"/>
          <w:bCs/>
          <w:color w:val="auto"/>
          <w:sz w:val="21"/>
          <w:szCs w:val="21"/>
          <w:highlight w:val="none"/>
        </w:rPr>
        <w:t>月</w:t>
      </w:r>
      <w:r>
        <w:rPr>
          <w:rFonts w:hint="eastAsia" w:ascii="宋体" w:hAnsi="宋体" w:cs="宋体"/>
          <w:color w:val="auto"/>
          <w:sz w:val="21"/>
          <w:szCs w:val="21"/>
          <w:highlight w:val="none"/>
          <w:u w:val="single"/>
          <w:lang w:val="en-US" w:eastAsia="zh-CN"/>
        </w:rPr>
        <w:t>12</w:t>
      </w:r>
      <w:r>
        <w:rPr>
          <w:rFonts w:hint="eastAsia" w:ascii="宋体" w:hAnsi="宋体" w:eastAsia="宋体" w:cs="宋体"/>
          <w:bCs/>
          <w:color w:val="auto"/>
          <w:sz w:val="21"/>
          <w:szCs w:val="21"/>
          <w:highlight w:val="none"/>
        </w:rPr>
        <w:t>日上午</w:t>
      </w:r>
      <w:r>
        <w:rPr>
          <w:rFonts w:hint="eastAsia" w:ascii="宋体" w:hAnsi="宋体" w:eastAsia="宋体" w:cs="宋体"/>
          <w:bCs/>
          <w:color w:val="auto"/>
          <w:sz w:val="21"/>
          <w:szCs w:val="21"/>
          <w:highlight w:val="none"/>
          <w:u w:val="single"/>
        </w:rPr>
        <w:t>09</w:t>
      </w:r>
      <w:r>
        <w:rPr>
          <w:rFonts w:hint="eastAsia" w:ascii="宋体" w:hAnsi="宋体" w:eastAsia="宋体" w:cs="宋体"/>
          <w:bCs/>
          <w:color w:val="auto"/>
          <w:sz w:val="21"/>
          <w:szCs w:val="21"/>
          <w:highlight w:val="none"/>
          <w:lang w:val="en-US" w:eastAsia="zh-CN"/>
        </w:rPr>
        <w:t>时</w:t>
      </w:r>
      <w:r>
        <w:rPr>
          <w:rFonts w:hint="eastAsia" w:ascii="宋体" w:hAnsi="宋体" w:eastAsia="宋体" w:cs="宋体"/>
          <w:bCs/>
          <w:color w:val="auto"/>
          <w:sz w:val="21"/>
          <w:szCs w:val="21"/>
          <w:highlight w:val="none"/>
          <w:u w:val="single"/>
        </w:rPr>
        <w:t>00</w:t>
      </w:r>
      <w:r>
        <w:rPr>
          <w:rFonts w:hint="eastAsia" w:ascii="宋体" w:hAnsi="宋体" w:eastAsia="宋体" w:cs="宋体"/>
          <w:bCs/>
          <w:color w:val="auto"/>
          <w:sz w:val="21"/>
          <w:szCs w:val="21"/>
          <w:highlight w:val="none"/>
        </w:rPr>
        <w:t>分（北京时间）</w:t>
      </w:r>
    </w:p>
    <w:p w14:paraId="6E5632D0">
      <w:pPr>
        <w:keepNext w:val="0"/>
        <w:keepLines w:val="0"/>
        <w:pageBreakBefore w:val="0"/>
        <w:widowControl w:val="0"/>
        <w:kinsoku/>
        <w:wordWrap/>
        <w:overflowPunct/>
        <w:topLinePunct w:val="0"/>
        <w:autoSpaceDE/>
        <w:autoSpaceDN/>
        <w:bidi w:val="0"/>
        <w:adjustRightInd/>
        <w:snapToGrid/>
        <w:spacing w:line="382" w:lineRule="auto"/>
        <w:ind w:left="0" w:firstLine="420" w:firstLineChars="200"/>
        <w:jc w:val="both"/>
        <w:textAlignment w:val="auto"/>
        <w:rPr>
          <w:rFonts w:hint="eastAsia" w:ascii="宋体" w:hAnsi="宋体" w:eastAsia="宋体" w:cs="宋体"/>
          <w:bCs/>
          <w:color w:val="auto"/>
          <w:sz w:val="21"/>
          <w:szCs w:val="21"/>
          <w:highlight w:val="none"/>
          <w:u w:val="single"/>
          <w:lang w:eastAsia="zh-CN"/>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lang w:eastAsia="zh-CN"/>
        </w:rPr>
        <w:t>请登录政采云投标客户端投标</w:t>
      </w:r>
    </w:p>
    <w:bookmarkEnd w:id="32"/>
    <w:bookmarkEnd w:id="33"/>
    <w:bookmarkEnd w:id="34"/>
    <w:bookmarkEnd w:id="35"/>
    <w:p w14:paraId="71496AF9">
      <w:pPr>
        <w:pStyle w:val="2"/>
        <w:keepNext w:val="0"/>
        <w:keepLines w:val="0"/>
        <w:pageBreakBefore w:val="0"/>
        <w:widowControl w:val="0"/>
        <w:numPr>
          <w:ilvl w:val="0"/>
          <w:numId w:val="0"/>
        </w:numPr>
        <w:kinsoku/>
        <w:wordWrap/>
        <w:overflowPunct/>
        <w:topLinePunct w:val="0"/>
        <w:autoSpaceDE/>
        <w:autoSpaceDN/>
        <w:bidi w:val="0"/>
        <w:adjustRightInd/>
        <w:snapToGrid/>
        <w:spacing w:before="0" w:line="382" w:lineRule="auto"/>
        <w:ind w:left="0" w:leftChars="0" w:right="0" w:rightChars="0" w:firstLine="422" w:firstLineChars="200"/>
        <w:jc w:val="lef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p>
    <w:p w14:paraId="2317BE31">
      <w:pPr>
        <w:keepNext w:val="0"/>
        <w:keepLines w:val="0"/>
        <w:pageBreakBefore w:val="0"/>
        <w:widowControl w:val="0"/>
        <w:kinsoku/>
        <w:wordWrap/>
        <w:overflowPunct/>
        <w:topLinePunct w:val="0"/>
        <w:autoSpaceDE/>
        <w:autoSpaceDN/>
        <w:bidi w:val="0"/>
        <w:adjustRightInd/>
        <w:snapToGrid/>
        <w:spacing w:line="382"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个工作日</w:t>
      </w:r>
    </w:p>
    <w:p w14:paraId="368F3093">
      <w:pPr>
        <w:pStyle w:val="2"/>
        <w:keepNext w:val="0"/>
        <w:keepLines w:val="0"/>
        <w:pageBreakBefore w:val="0"/>
        <w:widowControl w:val="0"/>
        <w:numPr>
          <w:ilvl w:val="0"/>
          <w:numId w:val="0"/>
        </w:numPr>
        <w:kinsoku/>
        <w:wordWrap/>
        <w:overflowPunct/>
        <w:topLinePunct w:val="0"/>
        <w:autoSpaceDE/>
        <w:autoSpaceDN/>
        <w:bidi w:val="0"/>
        <w:adjustRightInd/>
        <w:snapToGrid/>
        <w:spacing w:before="0" w:line="382" w:lineRule="auto"/>
        <w:ind w:left="0" w:leftChars="0" w:right="0" w:rightChars="0" w:firstLine="422" w:firstLineChars="200"/>
        <w:jc w:val="left"/>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六、其他补充事宜</w:t>
      </w:r>
      <w:r>
        <w:rPr>
          <w:rFonts w:hint="eastAsia" w:ascii="宋体" w:hAnsi="宋体" w:eastAsia="宋体" w:cs="宋体"/>
          <w:b/>
          <w:bCs/>
          <w:color w:val="auto"/>
          <w:sz w:val="21"/>
          <w:szCs w:val="21"/>
          <w:highlight w:val="none"/>
          <w:lang w:val="en-US" w:eastAsia="zh-CN"/>
        </w:rPr>
        <w:t xml:space="preserve"> </w:t>
      </w:r>
    </w:p>
    <w:p w14:paraId="0879D1C7">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1.开标方式：网上开标</w:t>
      </w:r>
    </w:p>
    <w:p w14:paraId="44BB1968">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2.是否需要缴纳保证金：是</w:t>
      </w:r>
    </w:p>
    <w:p w14:paraId="40799CE7">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保证金金额：</w:t>
      </w:r>
      <w:r>
        <w:rPr>
          <w:rFonts w:hint="eastAsia" w:ascii="宋体" w:hAnsi="宋体" w:cs="宋体"/>
          <w:color w:val="auto"/>
          <w:szCs w:val="21"/>
          <w:highlight w:val="none"/>
          <w:lang w:val="en-US" w:eastAsia="zh-CN"/>
        </w:rPr>
        <w:t>100000.00</w:t>
      </w:r>
      <w:r>
        <w:rPr>
          <w:rFonts w:hint="eastAsia" w:ascii="宋体" w:hAnsi="宋体" w:eastAsia="宋体" w:cs="宋体"/>
          <w:color w:val="auto"/>
          <w:szCs w:val="21"/>
          <w:highlight w:val="none"/>
          <w:lang w:val="en-US" w:eastAsia="zh-CN"/>
        </w:rPr>
        <w:t>元</w:t>
      </w:r>
    </w:p>
    <w:p w14:paraId="1A9534BC">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保证金缴纳方式：支票、汇票、本票、保函、银行转账、银行保函、保证保险等非现金形式</w:t>
      </w:r>
    </w:p>
    <w:p w14:paraId="2B73E84C">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保证金缴纳截止时间：同投标文件提交截止时间。</w:t>
      </w:r>
    </w:p>
    <w:p w14:paraId="1C835D1E">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3.其他：</w:t>
      </w:r>
    </w:p>
    <w:p w14:paraId="15E31840">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3.1发布公告的媒体：与本项目有关的通知，将在“云南省政府采购网（http://www.yngp.com）”、“政府采购云平台（https://www.zcygov.cn/）”上发布，请各投标人在递交投标文件前随时查看，以获取最新信息。因投标人不留意网站公告，导致结果由其自行负责，采购人及代理机构不承担任何责任。采购人及代理机构对其他网站发布的同类信息不承担任何责任</w:t>
      </w:r>
      <w:r>
        <w:rPr>
          <w:rFonts w:hint="eastAsia" w:ascii="宋体" w:hAnsi="宋体" w:eastAsia="宋体" w:cs="宋体"/>
          <w:color w:val="auto"/>
          <w:szCs w:val="21"/>
          <w:highlight w:val="none"/>
        </w:rPr>
        <w:t>。</w:t>
      </w:r>
    </w:p>
    <w:p w14:paraId="7BCD4F61">
      <w:pPr>
        <w:keepNext w:val="0"/>
        <w:keepLines w:val="0"/>
        <w:pageBreakBefore w:val="0"/>
        <w:widowControl w:val="0"/>
        <w:kinsoku/>
        <w:overflowPunct/>
        <w:topLinePunct w:val="0"/>
        <w:autoSpaceDE/>
        <w:autoSpaceDN/>
        <w:bidi w:val="0"/>
        <w:adjustRightInd/>
        <w:snapToGrid/>
        <w:spacing w:line="38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3.2投标文件递交方式：网上递交，递交网址为政府采购云平台（https://www.zcygov.cn/），各投标人应在开标前应确保成为政采云平台供应商，并完成CA数字证书申领。因未注册入库、未办理CA数字证书等原因造成无法投标或投标失败等后果由投标人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审阶段。开标过程中如有问题，可以发起在线异议，由代理机构给予对应的回复，在规定的异议询问时间内未提出异议的，则视为对开标结果无异议</w:t>
      </w:r>
      <w:r>
        <w:rPr>
          <w:rFonts w:hint="eastAsia" w:ascii="宋体" w:hAnsi="宋体" w:eastAsia="宋体" w:cs="宋体"/>
          <w:color w:val="auto"/>
          <w:sz w:val="21"/>
          <w:szCs w:val="21"/>
          <w:highlight w:val="none"/>
        </w:rPr>
        <w:t>。</w:t>
      </w:r>
    </w:p>
    <w:p w14:paraId="4BEF7546">
      <w:pPr>
        <w:pStyle w:val="2"/>
        <w:keepNext w:val="0"/>
        <w:keepLines w:val="0"/>
        <w:pageBreakBefore w:val="0"/>
        <w:widowControl w:val="0"/>
        <w:numPr>
          <w:ilvl w:val="0"/>
          <w:numId w:val="0"/>
        </w:numPr>
        <w:kinsoku/>
        <w:wordWrap/>
        <w:overflowPunct/>
        <w:topLinePunct w:val="0"/>
        <w:autoSpaceDE/>
        <w:autoSpaceDN/>
        <w:bidi w:val="0"/>
        <w:adjustRightInd/>
        <w:snapToGrid/>
        <w:spacing w:before="0" w:line="382" w:lineRule="auto"/>
        <w:ind w:left="0" w:leftChars="0" w:right="0" w:rightChars="0" w:firstLine="422" w:firstLineChars="200"/>
        <w:jc w:val="left"/>
        <w:textAlignment w:val="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七、对本次招标提出询问，请按以下方式联系</w:t>
      </w:r>
    </w:p>
    <w:p w14:paraId="298CA4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4EA6CF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名    称：</w:t>
      </w:r>
      <w:r>
        <w:rPr>
          <w:rFonts w:hint="eastAsia" w:ascii="宋体" w:hAnsi="宋体" w:cs="宋体"/>
          <w:color w:val="auto"/>
          <w:sz w:val="21"/>
          <w:szCs w:val="21"/>
          <w:highlight w:val="none"/>
          <w:u w:val="none"/>
          <w:lang w:val="en-US" w:eastAsia="zh-CN"/>
        </w:rPr>
        <w:t>临沧市临翔区教育体育局</w:t>
      </w:r>
    </w:p>
    <w:p w14:paraId="40507EB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地</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址：</w:t>
      </w:r>
      <w:r>
        <w:rPr>
          <w:rFonts w:hint="eastAsia" w:ascii="宋体" w:hAnsi="宋体" w:cs="宋体"/>
          <w:color w:val="auto"/>
          <w:sz w:val="21"/>
          <w:szCs w:val="21"/>
          <w:highlight w:val="none"/>
          <w:u w:val="none"/>
          <w:lang w:eastAsia="zh-CN"/>
        </w:rPr>
        <w:t>临沧市临翔区教育体育局机关办公楼七楼（忙令路忙令小学综合楼）</w:t>
      </w:r>
    </w:p>
    <w:p w14:paraId="1662DE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联系方式：0883-3064075</w:t>
      </w:r>
    </w:p>
    <w:p w14:paraId="7A9DE500">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p>
    <w:p w14:paraId="3A53A69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4940C06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称：云南亿佳工程管理有限公司</w:t>
      </w:r>
    </w:p>
    <w:p w14:paraId="4EB1EE0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云南省</w:t>
      </w:r>
      <w:r>
        <w:rPr>
          <w:rFonts w:hint="eastAsia" w:ascii="宋体" w:hAnsi="宋体" w:eastAsia="宋体" w:cs="宋体"/>
          <w:color w:val="auto"/>
          <w:sz w:val="21"/>
          <w:szCs w:val="21"/>
          <w:highlight w:val="none"/>
        </w:rPr>
        <w:t>临沧市临翔区新安路177号7楼</w:t>
      </w:r>
    </w:p>
    <w:p w14:paraId="7517168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bookmarkStart w:id="36" w:name="_Toc28359098"/>
      <w:bookmarkStart w:id="37" w:name="_Toc35393639"/>
      <w:bookmarkStart w:id="38" w:name="_Toc28359021"/>
      <w:bookmarkStart w:id="39" w:name="_Toc35393808"/>
      <w:r>
        <w:rPr>
          <w:rFonts w:hint="eastAsia" w:ascii="宋体" w:hAnsi="宋体" w:cs="宋体"/>
          <w:color w:val="auto"/>
          <w:sz w:val="21"/>
          <w:szCs w:val="21"/>
          <w:highlight w:val="none"/>
          <w:lang w:val="en-US" w:eastAsia="zh-CN"/>
        </w:rPr>
        <w:t>15906952747</w:t>
      </w:r>
    </w:p>
    <w:p w14:paraId="1EAE362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p>
    <w:p w14:paraId="211DF48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bookmarkEnd w:id="36"/>
      <w:bookmarkEnd w:id="37"/>
      <w:bookmarkEnd w:id="38"/>
      <w:bookmarkEnd w:id="39"/>
    </w:p>
    <w:p w14:paraId="5B5CB16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杨根祥</w:t>
      </w:r>
    </w:p>
    <w:p w14:paraId="4AC365A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cs="宋体"/>
          <w:color w:val="auto"/>
          <w:sz w:val="21"/>
          <w:szCs w:val="21"/>
          <w:highlight w:val="none"/>
          <w:lang w:val="en-US" w:eastAsia="zh-CN"/>
        </w:rPr>
        <w:t>15906952747</w:t>
      </w:r>
    </w:p>
    <w:p w14:paraId="6008E9AE">
      <w:pPr>
        <w:pStyle w:val="3"/>
        <w:keepNext w:val="0"/>
        <w:keepLines w:val="0"/>
        <w:pageBreakBefore w:val="0"/>
        <w:widowControl w:val="0"/>
        <w:numPr>
          <w:ilvl w:val="0"/>
          <w:numId w:val="0"/>
        </w:numPr>
        <w:kinsoku/>
        <w:wordWrap/>
        <w:overflowPunct/>
        <w:topLinePunct w:val="0"/>
        <w:autoSpaceDE/>
        <w:autoSpaceDN/>
        <w:bidi w:val="0"/>
        <w:snapToGrid/>
        <w:spacing w:before="0" w:line="413" w:lineRule="auto"/>
        <w:ind w:right="0"/>
        <w:jc w:val="center"/>
        <w:rPr>
          <w:rFonts w:hint="eastAsia" w:ascii="宋体" w:hAnsi="宋体" w:eastAsia="宋体" w:cs="宋体"/>
          <w:color w:val="auto"/>
          <w:sz w:val="32"/>
          <w:szCs w:val="32"/>
          <w:highlight w:val="none"/>
        </w:rPr>
      </w:pPr>
      <w:r>
        <w:rPr>
          <w:rFonts w:hint="eastAsia" w:ascii="宋体" w:hAnsi="宋体" w:eastAsia="宋体" w:cs="宋体"/>
          <w:b/>
          <w:bCs/>
          <w:color w:val="auto"/>
          <w:sz w:val="21"/>
          <w:szCs w:val="21"/>
          <w:highlight w:val="none"/>
        </w:rPr>
        <w:br w:type="page"/>
      </w:r>
      <w:bookmarkEnd w:id="23"/>
      <w:bookmarkEnd w:id="24"/>
      <w:bookmarkEnd w:id="25"/>
      <w:bookmarkEnd w:id="26"/>
      <w:bookmarkEnd w:id="27"/>
      <w:bookmarkEnd w:id="28"/>
      <w:bookmarkEnd w:id="29"/>
      <w:bookmarkEnd w:id="30"/>
      <w:bookmarkEnd w:id="31"/>
      <w:bookmarkStart w:id="40" w:name="_Toc2129"/>
      <w:bookmarkStart w:id="41" w:name="_Toc7609"/>
      <w:bookmarkStart w:id="42" w:name="_Toc5290"/>
      <w:r>
        <w:rPr>
          <w:rFonts w:hint="eastAsia" w:ascii="宋体" w:hAnsi="宋体" w:eastAsia="宋体" w:cs="宋体"/>
          <w:color w:val="auto"/>
          <w:sz w:val="32"/>
          <w:szCs w:val="32"/>
          <w:highlight w:val="none"/>
        </w:rPr>
        <w:t xml:space="preserve">第二章 </w:t>
      </w:r>
      <w:r>
        <w:rPr>
          <w:rFonts w:hint="eastAsia" w:ascii="宋体" w:hAnsi="宋体" w:eastAsia="宋体" w:cs="宋体"/>
          <w:color w:val="auto"/>
          <w:sz w:val="32"/>
          <w:szCs w:val="32"/>
          <w:highlight w:val="none"/>
          <w:lang w:val="en-US" w:eastAsia="zh-CN"/>
        </w:rPr>
        <w:t>供应商</w:t>
      </w:r>
      <w:r>
        <w:rPr>
          <w:rFonts w:hint="eastAsia" w:ascii="宋体" w:hAnsi="宋体" w:eastAsia="宋体" w:cs="宋体"/>
          <w:color w:val="auto"/>
          <w:sz w:val="32"/>
          <w:szCs w:val="32"/>
          <w:highlight w:val="none"/>
        </w:rPr>
        <w:t>须知</w:t>
      </w:r>
      <w:bookmarkEnd w:id="40"/>
      <w:bookmarkEnd w:id="41"/>
      <w:bookmarkEnd w:id="42"/>
    </w:p>
    <w:p w14:paraId="2024E1EF">
      <w:pPr>
        <w:keepNext w:val="0"/>
        <w:keepLines w:val="0"/>
        <w:pageBreakBefore w:val="0"/>
        <w:widowControl w:val="0"/>
        <w:kinsoku/>
        <w:wordWrap/>
        <w:overflowPunct/>
        <w:topLinePunct w:val="0"/>
        <w:autoSpaceDE/>
        <w:autoSpaceDN/>
        <w:bidi w:val="0"/>
        <w:snapToGrid/>
        <w:spacing w:line="413" w:lineRule="auto"/>
        <w:ind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须知前附表</w:t>
      </w:r>
    </w:p>
    <w:tbl>
      <w:tblPr>
        <w:tblStyle w:val="32"/>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31CF6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6607E79B">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2340" w:type="dxa"/>
            <w:vAlign w:val="center"/>
          </w:tcPr>
          <w:p w14:paraId="2C21D816">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 款 名 称</w:t>
            </w:r>
          </w:p>
        </w:tc>
        <w:tc>
          <w:tcPr>
            <w:tcW w:w="6054" w:type="dxa"/>
            <w:vAlign w:val="center"/>
          </w:tcPr>
          <w:p w14:paraId="530236E4">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 列 内 容</w:t>
            </w:r>
          </w:p>
        </w:tc>
      </w:tr>
      <w:tr w14:paraId="361F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restart"/>
            <w:vAlign w:val="center"/>
          </w:tcPr>
          <w:p w14:paraId="2E0EF2B7">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340" w:type="dxa"/>
            <w:vAlign w:val="center"/>
          </w:tcPr>
          <w:p w14:paraId="1295EAE3">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 </w:t>
            </w:r>
          </w:p>
        </w:tc>
        <w:tc>
          <w:tcPr>
            <w:tcW w:w="6054" w:type="dxa"/>
            <w:vAlign w:val="center"/>
          </w:tcPr>
          <w:p w14:paraId="00B9AE8A">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采 购 人：临沧市临翔区教育体育局　        </w:t>
            </w:r>
          </w:p>
          <w:p w14:paraId="5E98F97B">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地    址：临沧市临翔区教育体育局机关办公楼七楼（忙令路忙令小学综合楼）            </w:t>
            </w:r>
          </w:p>
          <w:p w14:paraId="69A2EB7B">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 系 人：李东</w:t>
            </w:r>
          </w:p>
          <w:p w14:paraId="243BEBB2">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rPr>
              <w:t>电    话：</w:t>
            </w:r>
            <w:r>
              <w:rPr>
                <w:rFonts w:hint="eastAsia" w:ascii="宋体" w:hAnsi="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rPr>
              <w:t>883-3064075</w:t>
            </w:r>
          </w:p>
        </w:tc>
      </w:tr>
      <w:tr w14:paraId="543C5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continue"/>
            <w:vAlign w:val="center"/>
          </w:tcPr>
          <w:p w14:paraId="2A3E9A1C">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rPr>
            </w:pPr>
          </w:p>
        </w:tc>
        <w:tc>
          <w:tcPr>
            <w:tcW w:w="2340" w:type="dxa"/>
            <w:vAlign w:val="center"/>
          </w:tcPr>
          <w:p w14:paraId="6735A2BD">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054" w:type="dxa"/>
            <w:vAlign w:val="center"/>
          </w:tcPr>
          <w:p w14:paraId="3A486D2E">
            <w:pPr>
              <w:pStyle w:val="9"/>
              <w:keepNext w:val="0"/>
              <w:keepLines w:val="0"/>
              <w:pageBreakBefore w:val="0"/>
              <w:widowControl w:val="0"/>
              <w:kinsoku/>
              <w:wordWrap w:val="0"/>
              <w:overflowPunct/>
              <w:topLinePunct w:val="0"/>
              <w:autoSpaceDE w:val="0"/>
              <w:autoSpaceDN w:val="0"/>
              <w:bidi w:val="0"/>
              <w:adjustRightInd/>
              <w:snapToGrid/>
              <w:spacing w:before="0" w:line="288"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采购代理机构</w:t>
            </w:r>
            <w:r>
              <w:rPr>
                <w:rFonts w:hint="eastAsia" w:ascii="宋体" w:hAnsi="宋体" w:eastAsia="宋体" w:cs="宋体"/>
                <w:color w:val="auto"/>
                <w:kern w:val="2"/>
                <w:sz w:val="21"/>
                <w:szCs w:val="21"/>
                <w:highlight w:val="none"/>
              </w:rPr>
              <w:t>：云南亿佳工程管理有限公司</w:t>
            </w:r>
          </w:p>
          <w:p w14:paraId="0483A826">
            <w:pPr>
              <w:pStyle w:val="9"/>
              <w:keepNext w:val="0"/>
              <w:keepLines w:val="0"/>
              <w:pageBreakBefore w:val="0"/>
              <w:widowControl w:val="0"/>
              <w:kinsoku/>
              <w:wordWrap w:val="0"/>
              <w:overflowPunct/>
              <w:topLinePunct w:val="0"/>
              <w:autoSpaceDE w:val="0"/>
              <w:autoSpaceDN w:val="0"/>
              <w:bidi w:val="0"/>
              <w:adjustRightInd/>
              <w:snapToGrid/>
              <w:spacing w:before="0" w:line="288" w:lineRule="auto"/>
              <w:ind w:left="0" w:leftChars="0" w:right="0" w:rightChars="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地    址：云南省临沧市临翔区新安路177号7楼</w:t>
            </w:r>
          </w:p>
          <w:p w14:paraId="5329DA90">
            <w:pPr>
              <w:pStyle w:val="9"/>
              <w:keepNext w:val="0"/>
              <w:keepLines w:val="0"/>
              <w:pageBreakBefore w:val="0"/>
              <w:widowControl w:val="0"/>
              <w:kinsoku/>
              <w:wordWrap w:val="0"/>
              <w:overflowPunct/>
              <w:topLinePunct w:val="0"/>
              <w:autoSpaceDE w:val="0"/>
              <w:autoSpaceDN w:val="0"/>
              <w:bidi w:val="0"/>
              <w:adjustRightInd/>
              <w:snapToGrid/>
              <w:spacing w:before="0" w:line="288" w:lineRule="auto"/>
              <w:ind w:left="0" w:leftChars="0" w:right="0" w:rightChars="0"/>
              <w:jc w:val="both"/>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联 系 人：</w:t>
            </w:r>
            <w:r>
              <w:rPr>
                <w:rFonts w:hint="eastAsia" w:ascii="宋体" w:hAnsi="宋体" w:eastAsia="宋体" w:cs="宋体"/>
                <w:color w:val="auto"/>
                <w:kern w:val="2"/>
                <w:sz w:val="21"/>
                <w:szCs w:val="21"/>
                <w:highlight w:val="none"/>
                <w:lang w:val="en-US" w:eastAsia="zh-CN"/>
              </w:rPr>
              <w:t>杨根祥</w:t>
            </w:r>
          </w:p>
          <w:p w14:paraId="4AB29DA8">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rPr>
              <w:t>联系电话：</w:t>
            </w:r>
            <w:r>
              <w:rPr>
                <w:rFonts w:hint="eastAsia" w:ascii="宋体" w:hAnsi="宋体" w:cs="宋体"/>
                <w:color w:val="auto"/>
                <w:kern w:val="2"/>
                <w:sz w:val="21"/>
                <w:szCs w:val="21"/>
                <w:highlight w:val="none"/>
                <w:lang w:val="en-US" w:eastAsia="zh-CN"/>
              </w:rPr>
              <w:t>15906952747</w:t>
            </w:r>
          </w:p>
        </w:tc>
      </w:tr>
      <w:tr w14:paraId="6838E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continue"/>
            <w:vAlign w:val="center"/>
          </w:tcPr>
          <w:p w14:paraId="2CC0935C">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rPr>
            </w:pPr>
          </w:p>
        </w:tc>
        <w:tc>
          <w:tcPr>
            <w:tcW w:w="2340" w:type="dxa"/>
            <w:vAlign w:val="center"/>
          </w:tcPr>
          <w:p w14:paraId="4286CA3C">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054" w:type="dxa"/>
            <w:vAlign w:val="center"/>
          </w:tcPr>
          <w:p w14:paraId="2F239D5E">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临翔区2026年学校学生食堂食材采购项目</w:t>
            </w:r>
          </w:p>
        </w:tc>
      </w:tr>
      <w:tr w14:paraId="5B96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2798BCC4">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340" w:type="dxa"/>
            <w:vAlign w:val="center"/>
          </w:tcPr>
          <w:p w14:paraId="0157E1CF">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054" w:type="dxa"/>
            <w:vAlign w:val="center"/>
          </w:tcPr>
          <w:p w14:paraId="15370C7F">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专项资金</w:t>
            </w:r>
            <w:r>
              <w:rPr>
                <w:rFonts w:hint="eastAsia" w:ascii="宋体" w:hAnsi="宋体" w:cs="宋体"/>
                <w:color w:val="auto"/>
                <w:sz w:val="21"/>
                <w:szCs w:val="21"/>
                <w:highlight w:val="none"/>
                <w:lang w:val="en-US" w:eastAsia="zh-CN"/>
              </w:rPr>
              <w:t>及学生伙食费自筹资金</w:t>
            </w:r>
          </w:p>
        </w:tc>
      </w:tr>
      <w:tr w14:paraId="4C67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5A767C44">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2340" w:type="dxa"/>
            <w:vAlign w:val="center"/>
          </w:tcPr>
          <w:p w14:paraId="09EA67F4">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采购内容</w:t>
            </w:r>
          </w:p>
        </w:tc>
        <w:tc>
          <w:tcPr>
            <w:tcW w:w="6054" w:type="dxa"/>
            <w:vAlign w:val="center"/>
          </w:tcPr>
          <w:p w14:paraId="31B03BA4">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预算金额：</w:t>
            </w:r>
            <w:r>
              <w:rPr>
                <w:rFonts w:hint="eastAsia" w:ascii="宋体" w:hAnsi="宋体" w:eastAsia="宋体" w:cs="宋体"/>
                <w:b w:val="0"/>
                <w:bCs w:val="0"/>
                <w:color w:val="auto"/>
                <w:sz w:val="21"/>
                <w:szCs w:val="21"/>
                <w:highlight w:val="none"/>
                <w:lang w:eastAsia="zh-CN"/>
              </w:rPr>
              <w:t>4091.721801</w:t>
            </w:r>
            <w:r>
              <w:rPr>
                <w:rFonts w:hint="eastAsia" w:ascii="宋体" w:hAnsi="宋体" w:eastAsia="宋体" w:cs="宋体"/>
                <w:color w:val="auto"/>
                <w:sz w:val="21"/>
                <w:szCs w:val="21"/>
                <w:highlight w:val="none"/>
                <w:lang w:val="en-US" w:eastAsia="zh-CN"/>
              </w:rPr>
              <w:t>万元，具体采购需求及内容详见招标文件“第五章 采购需求”。</w:t>
            </w:r>
          </w:p>
        </w:tc>
      </w:tr>
      <w:tr w14:paraId="7408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restart"/>
            <w:vAlign w:val="center"/>
          </w:tcPr>
          <w:p w14:paraId="1EF00827">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w:t>
            </w:r>
          </w:p>
        </w:tc>
        <w:tc>
          <w:tcPr>
            <w:tcW w:w="2340" w:type="dxa"/>
            <w:vAlign w:val="center"/>
          </w:tcPr>
          <w:p w14:paraId="4C3DE903">
            <w:pPr>
              <w:keepNext w:val="0"/>
              <w:keepLines w:val="0"/>
              <w:pageBreakBefore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交货地点</w:t>
            </w:r>
          </w:p>
        </w:tc>
        <w:tc>
          <w:tcPr>
            <w:tcW w:w="6054" w:type="dxa"/>
            <w:vAlign w:val="center"/>
          </w:tcPr>
          <w:p w14:paraId="2B01D5C6">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w:t>
            </w:r>
            <w:r>
              <w:rPr>
                <w:rFonts w:hint="eastAsia" w:ascii="宋体" w:hAnsi="宋体" w:eastAsia="宋体" w:cs="宋体"/>
                <w:color w:val="auto"/>
                <w:sz w:val="21"/>
                <w:szCs w:val="21"/>
                <w:highlight w:val="none"/>
                <w:lang w:val="en-US" w:eastAsia="zh-CN"/>
              </w:rPr>
              <w:t>及合同格式及主要条款内容</w:t>
            </w:r>
          </w:p>
        </w:tc>
      </w:tr>
      <w:tr w14:paraId="2473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continue"/>
            <w:vAlign w:val="center"/>
          </w:tcPr>
          <w:p w14:paraId="6DF75778">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p>
        </w:tc>
        <w:tc>
          <w:tcPr>
            <w:tcW w:w="2340" w:type="dxa"/>
            <w:vAlign w:val="center"/>
          </w:tcPr>
          <w:p w14:paraId="13413EC9">
            <w:pPr>
              <w:keepNext w:val="0"/>
              <w:keepLines w:val="0"/>
              <w:pageBreakBefore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质量要求</w:t>
            </w:r>
          </w:p>
        </w:tc>
        <w:tc>
          <w:tcPr>
            <w:tcW w:w="6054" w:type="dxa"/>
            <w:vAlign w:val="center"/>
          </w:tcPr>
          <w:p w14:paraId="11D478CD">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详见招标公告</w:t>
            </w:r>
            <w:r>
              <w:rPr>
                <w:rFonts w:hint="eastAsia" w:ascii="宋体" w:hAnsi="宋体" w:eastAsia="宋体" w:cs="宋体"/>
                <w:color w:val="auto"/>
                <w:sz w:val="21"/>
                <w:szCs w:val="21"/>
                <w:highlight w:val="none"/>
                <w:lang w:val="en-US" w:eastAsia="zh-CN"/>
              </w:rPr>
              <w:t>及合同格式及主要条款内容</w:t>
            </w:r>
          </w:p>
        </w:tc>
      </w:tr>
      <w:tr w14:paraId="586D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continue"/>
            <w:vAlign w:val="center"/>
          </w:tcPr>
          <w:p w14:paraId="178EF213">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p>
        </w:tc>
        <w:tc>
          <w:tcPr>
            <w:tcW w:w="2340" w:type="dxa"/>
            <w:vAlign w:val="center"/>
          </w:tcPr>
          <w:p w14:paraId="72B1763C">
            <w:pPr>
              <w:keepNext w:val="0"/>
              <w:keepLines w:val="0"/>
              <w:pageBreakBefore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配送服务要求</w:t>
            </w:r>
          </w:p>
        </w:tc>
        <w:tc>
          <w:tcPr>
            <w:tcW w:w="6054" w:type="dxa"/>
            <w:vAlign w:val="center"/>
          </w:tcPr>
          <w:p w14:paraId="59337E5D">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w:t>
            </w:r>
            <w:r>
              <w:rPr>
                <w:rFonts w:hint="eastAsia" w:ascii="宋体" w:hAnsi="宋体" w:eastAsia="宋体" w:cs="宋体"/>
                <w:color w:val="auto"/>
                <w:sz w:val="21"/>
                <w:szCs w:val="21"/>
                <w:highlight w:val="none"/>
                <w:lang w:val="en-US" w:eastAsia="zh-CN"/>
              </w:rPr>
              <w:t>及合同格式及主要条款内容</w:t>
            </w:r>
          </w:p>
        </w:tc>
      </w:tr>
      <w:tr w14:paraId="600D3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continue"/>
            <w:vAlign w:val="center"/>
          </w:tcPr>
          <w:p w14:paraId="3ADA05D1">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p>
        </w:tc>
        <w:tc>
          <w:tcPr>
            <w:tcW w:w="2340" w:type="dxa"/>
            <w:vAlign w:val="center"/>
          </w:tcPr>
          <w:p w14:paraId="7E6D5CEF">
            <w:pPr>
              <w:keepNext w:val="0"/>
              <w:keepLines w:val="0"/>
              <w:pageBreakBefore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产品的防护、包装及运输要求</w:t>
            </w:r>
          </w:p>
        </w:tc>
        <w:tc>
          <w:tcPr>
            <w:tcW w:w="6054" w:type="dxa"/>
            <w:vAlign w:val="center"/>
          </w:tcPr>
          <w:p w14:paraId="3C4B6838">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w:t>
            </w:r>
            <w:r>
              <w:rPr>
                <w:rFonts w:hint="eastAsia" w:ascii="宋体" w:hAnsi="宋体" w:eastAsia="宋体" w:cs="宋体"/>
                <w:color w:val="auto"/>
                <w:sz w:val="21"/>
                <w:szCs w:val="21"/>
                <w:highlight w:val="none"/>
                <w:lang w:val="en-US" w:eastAsia="zh-CN"/>
              </w:rPr>
              <w:t>及合同格式及主要条款内容</w:t>
            </w:r>
          </w:p>
        </w:tc>
      </w:tr>
      <w:tr w14:paraId="0ECBC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continue"/>
            <w:vAlign w:val="center"/>
          </w:tcPr>
          <w:p w14:paraId="7EF7F098">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p>
        </w:tc>
        <w:tc>
          <w:tcPr>
            <w:tcW w:w="2340" w:type="dxa"/>
            <w:vAlign w:val="center"/>
          </w:tcPr>
          <w:p w14:paraId="725D231A">
            <w:pPr>
              <w:keepNext w:val="0"/>
              <w:keepLines w:val="0"/>
              <w:pageBreakBefore w:val="0"/>
              <w:kinsoku/>
              <w:wordWrap/>
              <w:overflowPunct/>
              <w:topLinePunct w:val="0"/>
              <w:autoSpaceDE/>
              <w:autoSpaceDN/>
              <w:bidi w:val="0"/>
              <w:adjustRightInd/>
              <w:snapToGrid/>
              <w:spacing w:line="288" w:lineRule="auto"/>
              <w:ind w:left="0" w:leftChars="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验收标准</w:t>
            </w:r>
          </w:p>
        </w:tc>
        <w:tc>
          <w:tcPr>
            <w:tcW w:w="6054" w:type="dxa"/>
            <w:vAlign w:val="center"/>
          </w:tcPr>
          <w:p w14:paraId="3CCB3ED7">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w:t>
            </w:r>
            <w:r>
              <w:rPr>
                <w:rFonts w:hint="eastAsia" w:ascii="宋体" w:hAnsi="宋体" w:eastAsia="宋体" w:cs="宋体"/>
                <w:color w:val="auto"/>
                <w:sz w:val="21"/>
                <w:szCs w:val="21"/>
                <w:highlight w:val="none"/>
                <w:lang w:val="en-US" w:eastAsia="zh-CN"/>
              </w:rPr>
              <w:t>及合同格式及主要条款内容</w:t>
            </w:r>
          </w:p>
        </w:tc>
      </w:tr>
      <w:tr w14:paraId="5C63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Merge w:val="continue"/>
            <w:vAlign w:val="center"/>
          </w:tcPr>
          <w:p w14:paraId="22C1EC50">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p>
        </w:tc>
        <w:tc>
          <w:tcPr>
            <w:tcW w:w="2340" w:type="dxa"/>
            <w:vAlign w:val="center"/>
          </w:tcPr>
          <w:p w14:paraId="733454F1">
            <w:pPr>
              <w:keepNext w:val="0"/>
              <w:keepLines w:val="0"/>
              <w:pageBreakBefore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售后服务要求</w:t>
            </w:r>
          </w:p>
        </w:tc>
        <w:tc>
          <w:tcPr>
            <w:tcW w:w="6054" w:type="dxa"/>
            <w:vAlign w:val="center"/>
          </w:tcPr>
          <w:p w14:paraId="64BED22A">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详见招标公告</w:t>
            </w:r>
            <w:r>
              <w:rPr>
                <w:rFonts w:hint="eastAsia" w:ascii="宋体" w:hAnsi="宋体" w:eastAsia="宋体" w:cs="宋体"/>
                <w:color w:val="auto"/>
                <w:sz w:val="21"/>
                <w:szCs w:val="21"/>
                <w:highlight w:val="none"/>
                <w:lang w:val="en-US" w:eastAsia="zh-CN"/>
              </w:rPr>
              <w:t>及合同格式及主要条款内容</w:t>
            </w:r>
          </w:p>
        </w:tc>
      </w:tr>
      <w:tr w14:paraId="37C9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59A28B12">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2340" w:type="dxa"/>
            <w:vAlign w:val="center"/>
          </w:tcPr>
          <w:p w14:paraId="3135E776">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资格要求</w:t>
            </w:r>
          </w:p>
        </w:tc>
        <w:tc>
          <w:tcPr>
            <w:tcW w:w="6054" w:type="dxa"/>
            <w:vAlign w:val="center"/>
          </w:tcPr>
          <w:p w14:paraId="569B645F">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满足《中华人民共和国政府采购法》第二十二条规定</w:t>
            </w:r>
            <w:r>
              <w:rPr>
                <w:rFonts w:hint="eastAsia" w:ascii="宋体" w:hAnsi="宋体" w:cs="宋体"/>
                <w:b/>
                <w:bCs/>
                <w:color w:val="auto"/>
                <w:sz w:val="21"/>
                <w:szCs w:val="21"/>
                <w:highlight w:val="none"/>
                <w:lang w:eastAsia="zh-CN"/>
              </w:rPr>
              <w:t>；符合《中华人民共和国政府采购法实施条例》第十八条规定</w:t>
            </w:r>
          </w:p>
          <w:p w14:paraId="2B77AF61">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具有独立承担民事责任的能力：供应商须为在中华人民共和国注册且具有独立承担民事责任能力的法人或其他组织，持有有效的法人或者其他组织的营业执照等证明文件（提供要求资料扫描件）。</w:t>
            </w:r>
          </w:p>
          <w:p w14:paraId="2D970180">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具有良好的商业信誉和健全的财务会计制度：</w:t>
            </w:r>
          </w:p>
          <w:p w14:paraId="7C5774D2">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2.1按照《财政部关于在政府采购活动中查询及使用信用记录有关问题的通知》（财库[2016]125号）相关要求，供应商应未被列入“信用中国”网站（www.creditchina.gov.cn）公布的“失信被执行人”“重大税收违法失信主体名单”；未被列入“中国政府采购网”（www.ccgp.gov.cn）公布的“政府采购严重违法失信行为信息记录”名单（以资格审查人员于投标（响应）截止时间当天查询结果为准，如相关失信记录已失效，投标人需提供相关证明资料）；提供具有良好的商业信誉承诺书（格式自拟）；</w:t>
            </w:r>
          </w:p>
          <w:p w14:paraId="67C2DDC7">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2.2具有良好的财务状况，提供2023-2025年任意一年的财务会计资料：经会计师事务所或审计机构审计的，需提供完整审计报告（含资产负债表、现金流量表、损益表/利润表）；未经审计的，需提供企业内部正式编制的财务会计报表（含资产负债表、现金流量表、损益表/利润表），并加盖企业公章及财务专用章（如有），同时提供“报表真实有效”的书面承诺（格式自拟）。成立不足一年或新成立的企业提供自成立以来的上述财务会计资料或开户银行出具的资信证明（提供要求资料扫描件）。</w:t>
            </w:r>
          </w:p>
          <w:p w14:paraId="1B97657A">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具有履行合同所必需的设备和专业技术能力：提供具有履行合同所必需的设备和专业技术能力相关证明材料或书面承诺（格式自拟）。</w:t>
            </w:r>
          </w:p>
          <w:p w14:paraId="45E20006">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rPr>
              <w:t>有依法缴纳税收和社会保障资金的良好记录：提供2025年6月至投标文件递交截止时间前任意3个月依法缴纳税收和缴纳社会保障资金的证明；成立不足3个月或新成立的企业无需提供；如依法免税或不需要缴纳社会保障资金的，提供相应文件证明（提供要求资料扫描件）。</w:t>
            </w:r>
          </w:p>
          <w:p w14:paraId="5F09EBA1">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参加政府采购活动前三年内，在经营活动中没有违法记录：提供参加政府采购活动前3年内在经营活动中没有重大违法记录的书面声明（重大违法记录是指供应商因违法经营受到刑事处罚或者责令停产停业、吊销许可证或者执照、较大数额罚款等行政处罚）（格式自拟）。</w:t>
            </w:r>
          </w:p>
          <w:p w14:paraId="11F6D7A4">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1.6</w:t>
            </w:r>
            <w:r>
              <w:rPr>
                <w:rFonts w:hint="eastAsia" w:ascii="宋体" w:hAnsi="宋体" w:eastAsia="宋体" w:cs="宋体"/>
                <w:color w:val="auto"/>
                <w:sz w:val="21"/>
                <w:szCs w:val="21"/>
                <w:highlight w:val="none"/>
              </w:rPr>
              <w:t>法律、行政法规规定的其他条件（提供承诺书）。</w:t>
            </w:r>
          </w:p>
          <w:p w14:paraId="17A8E551">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1.7单位负责人为同一人或者存在直接控股、管理关系的不同供应商，不得参加同一合同项下的政府采购活动。</w:t>
            </w:r>
          </w:p>
          <w:p w14:paraId="79A9350D">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除单一来源采购项目外，为采购项目提供整体设计、规范编制或者项目管理、监理、检测等服务的供应商，不得再参加该采购项目的其他采购活动（提供承诺书）。</w:t>
            </w:r>
          </w:p>
          <w:p w14:paraId="4BF62FA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2.落实政府采购政策需满足的资格要求：</w:t>
            </w:r>
            <w:r>
              <w:rPr>
                <w:rFonts w:hint="eastAsia" w:ascii="宋体" w:hAnsi="宋体" w:eastAsia="宋体" w:cs="宋体"/>
                <w:b w:val="0"/>
                <w:bCs w:val="0"/>
                <w:color w:val="auto"/>
                <w:sz w:val="21"/>
                <w:szCs w:val="21"/>
                <w:highlight w:val="none"/>
                <w:lang w:val="en-US" w:eastAsia="zh-CN"/>
              </w:rPr>
              <w:t>本项目属于专门面向中小企业采购的项目，监狱企业、残疾人福利性单位视同小型或微型企业。</w:t>
            </w:r>
          </w:p>
          <w:p w14:paraId="70337E3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3.特定资格要求：</w:t>
            </w:r>
          </w:p>
          <w:p w14:paraId="1AA315D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3.1</w:t>
            </w:r>
            <w:r>
              <w:rPr>
                <w:rFonts w:hint="eastAsia" w:ascii="宋体" w:hAnsi="宋体" w:eastAsia="宋体" w:cs="宋体"/>
                <w:color w:val="auto"/>
                <w:sz w:val="21"/>
                <w:szCs w:val="21"/>
                <w:highlight w:val="none"/>
                <w:lang w:val="en-US" w:eastAsia="zh-CN"/>
              </w:rPr>
              <w:t>供应商须具有食品生产许可证或食品经营许可证或仅销售预包装食品经营者备案信息采集表（提供要求资料扫描件）。</w:t>
            </w:r>
          </w:p>
          <w:p w14:paraId="74909AB1">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3.2供应商近3年内未发生食品安全事故或查实食品安全负面舆论事件（提供承诺书）。</w:t>
            </w:r>
          </w:p>
        </w:tc>
      </w:tr>
      <w:tr w14:paraId="74EB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3BED8EED">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2340" w:type="dxa"/>
            <w:vAlign w:val="center"/>
          </w:tcPr>
          <w:p w14:paraId="001C1805">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6054" w:type="dxa"/>
            <w:vAlign w:val="center"/>
          </w:tcPr>
          <w:p w14:paraId="3965AD52">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本项目不接受联合体投标</w:t>
            </w:r>
            <w:r>
              <w:rPr>
                <w:rFonts w:hint="eastAsia" w:ascii="宋体" w:hAnsi="宋体" w:eastAsia="宋体" w:cs="宋体"/>
                <w:color w:val="auto"/>
                <w:sz w:val="21"/>
                <w:szCs w:val="21"/>
                <w:highlight w:val="none"/>
                <w:lang w:eastAsia="zh-CN"/>
              </w:rPr>
              <w:t>。</w:t>
            </w:r>
          </w:p>
        </w:tc>
      </w:tr>
      <w:tr w14:paraId="5BFE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44CC65AE">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w:t>
            </w:r>
          </w:p>
        </w:tc>
        <w:tc>
          <w:tcPr>
            <w:tcW w:w="2340" w:type="dxa"/>
            <w:vAlign w:val="center"/>
          </w:tcPr>
          <w:p w14:paraId="6811305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中标服务费</w:t>
            </w:r>
            <w:r>
              <w:rPr>
                <w:rFonts w:hint="eastAsia" w:ascii="宋体" w:hAnsi="宋体" w:eastAsia="宋体" w:cs="宋体"/>
                <w:color w:val="auto"/>
                <w:sz w:val="21"/>
                <w:szCs w:val="21"/>
                <w:highlight w:val="none"/>
              </w:rPr>
              <w:t xml:space="preserve"> </w:t>
            </w:r>
          </w:p>
        </w:tc>
        <w:tc>
          <w:tcPr>
            <w:tcW w:w="6054" w:type="dxa"/>
            <w:vAlign w:val="center"/>
          </w:tcPr>
          <w:p w14:paraId="51326F1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本项目的中标服务费以中标价为计算基数，按《云南省建设工程及政府采购代理服务收费参考意见》（云建招协〔2026〕11号）标准下浮：35%，由中标人领取中标通知书前一次性支付。</w:t>
            </w:r>
          </w:p>
        </w:tc>
      </w:tr>
      <w:tr w14:paraId="30CA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5425BEA5">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p>
        </w:tc>
        <w:tc>
          <w:tcPr>
            <w:tcW w:w="2340" w:type="dxa"/>
            <w:vAlign w:val="center"/>
          </w:tcPr>
          <w:p w14:paraId="5F33CABC">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招标文件澄清截止时间</w:t>
            </w:r>
          </w:p>
        </w:tc>
        <w:tc>
          <w:tcPr>
            <w:tcW w:w="6054" w:type="dxa"/>
            <w:vAlign w:val="center"/>
          </w:tcPr>
          <w:p w14:paraId="2829FBA3">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提交投标文件截止时间十五日前</w:t>
            </w:r>
          </w:p>
        </w:tc>
      </w:tr>
      <w:tr w14:paraId="15310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47F8B724">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340" w:type="dxa"/>
            <w:vAlign w:val="center"/>
          </w:tcPr>
          <w:p w14:paraId="664470B3">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投标报价</w:t>
            </w:r>
          </w:p>
        </w:tc>
        <w:tc>
          <w:tcPr>
            <w:tcW w:w="6054" w:type="dxa"/>
            <w:vAlign w:val="center"/>
          </w:tcPr>
          <w:p w14:paraId="35EE65B1">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1.报价方式</w:t>
            </w:r>
          </w:p>
          <w:p w14:paraId="175CB386">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本项目采用双维度报价模式：肉食品类填报上浮比例，蔬菜类、辅料类填报下浮率。投标人根据企业自身实力结合市场情况自行测算满足采购要求的投标报价，按采购货物类别分别填报对应比例，每个单一货物类别只允许有一个有效报价，采购人不接受有任何选择的报价。上浮率/下浮率必须为≥0的有效数字（例如0.5%、1%、2%……等等），否则投标文件作无效投标处理。</w:t>
            </w:r>
          </w:p>
          <w:p w14:paraId="275D59B8">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（2）肉食品类：</w:t>
            </w:r>
            <w:r>
              <w:rPr>
                <w:rFonts w:hint="eastAsia" w:ascii="宋体" w:hAnsi="宋体" w:eastAsia="宋体" w:cs="宋体"/>
                <w:color w:val="auto"/>
                <w:sz w:val="21"/>
                <w:szCs w:val="21"/>
                <w:highlight w:val="none"/>
              </w:rPr>
              <w:t>投标人填报肉类综合运营上浮率，计价基数为每月备案锁定的定点屠宰</w:t>
            </w:r>
            <w:r>
              <w:rPr>
                <w:rFonts w:hint="eastAsia" w:ascii="宋体" w:hAnsi="宋体" w:cs="宋体"/>
                <w:color w:val="auto"/>
                <w:sz w:val="21"/>
                <w:szCs w:val="21"/>
                <w:highlight w:val="none"/>
                <w:lang w:val="en-US" w:eastAsia="zh-CN"/>
              </w:rPr>
              <w:t>场</w:t>
            </w:r>
            <w:r>
              <w:rPr>
                <w:rFonts w:hint="eastAsia" w:ascii="宋体" w:hAnsi="宋体" w:eastAsia="宋体" w:cs="宋体"/>
                <w:color w:val="auto"/>
                <w:sz w:val="21"/>
                <w:szCs w:val="21"/>
                <w:highlight w:val="none"/>
              </w:rPr>
              <w:t>批发单价；该上浮率涵盖全区各校冷链配送、装卸、人工、税费、企业合理利润等全部运营成本，采购人及各供货学校</w:t>
            </w:r>
            <w:r>
              <w:rPr>
                <w:rFonts w:hint="eastAsia" w:ascii="宋体" w:hAnsi="宋体" w:cs="宋体"/>
                <w:color w:val="auto"/>
                <w:sz w:val="21"/>
                <w:szCs w:val="21"/>
                <w:highlight w:val="none"/>
                <w:lang w:val="en-US" w:eastAsia="zh-CN"/>
              </w:rPr>
              <w:t>不再</w:t>
            </w:r>
            <w:r>
              <w:rPr>
                <w:rFonts w:hint="eastAsia" w:ascii="宋体" w:hAnsi="宋体" w:eastAsia="宋体" w:cs="宋体"/>
                <w:color w:val="auto"/>
                <w:sz w:val="21"/>
                <w:szCs w:val="21"/>
                <w:highlight w:val="none"/>
              </w:rPr>
              <w:t>另行支付配送、加工、服务等一切额外费用。</w:t>
            </w:r>
          </w:p>
          <w:p w14:paraId="621806B6">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（3）蔬菜类、辅料类：</w:t>
            </w:r>
            <w:r>
              <w:rPr>
                <w:rFonts w:hint="eastAsia" w:ascii="宋体" w:hAnsi="宋体" w:eastAsia="宋体" w:cs="宋体"/>
                <w:color w:val="auto"/>
                <w:sz w:val="21"/>
                <w:szCs w:val="21"/>
                <w:highlight w:val="none"/>
              </w:rPr>
              <w:t>投标人填报综合运营下浮率，计价基数为当期市场单价；该下浮率涵盖配送、装卸、人工、税费、企业合理利润等全部运营成本，采购人及各供货学校</w:t>
            </w:r>
            <w:r>
              <w:rPr>
                <w:rFonts w:hint="eastAsia" w:ascii="宋体" w:hAnsi="宋体" w:cs="宋体"/>
                <w:color w:val="auto"/>
                <w:sz w:val="21"/>
                <w:szCs w:val="21"/>
                <w:highlight w:val="none"/>
                <w:lang w:val="en-US" w:eastAsia="zh-CN"/>
              </w:rPr>
              <w:t>不再</w:t>
            </w:r>
            <w:r>
              <w:rPr>
                <w:rFonts w:hint="eastAsia" w:ascii="宋体" w:hAnsi="宋体" w:eastAsia="宋体" w:cs="宋体"/>
                <w:color w:val="auto"/>
                <w:sz w:val="21"/>
                <w:szCs w:val="21"/>
                <w:highlight w:val="none"/>
              </w:rPr>
              <w:t>另行支付配送、加工、服务等一切额外费用。</w:t>
            </w:r>
          </w:p>
          <w:p w14:paraId="5452DB70">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2.定价基数</w:t>
            </w:r>
          </w:p>
          <w:p w14:paraId="2970DA62">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（1）肉食品类</w:t>
            </w:r>
          </w:p>
          <w:p w14:paraId="65E835FF">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①基准价报送与备案要求：供应商须于每月25日至30日，将加盖定点屠宰场公章的次月</w:t>
            </w:r>
            <w:r>
              <w:rPr>
                <w:rFonts w:hint="eastAsia" w:ascii="宋体" w:hAnsi="宋体" w:cs="宋体"/>
                <w:color w:val="auto"/>
                <w:sz w:val="21"/>
                <w:szCs w:val="21"/>
                <w:highlight w:val="none"/>
                <w:lang w:eastAsia="zh-CN"/>
              </w:rPr>
              <w:t>肉类批发价格依据证明</w:t>
            </w:r>
            <w:r>
              <w:rPr>
                <w:rFonts w:hint="eastAsia" w:ascii="宋体" w:hAnsi="宋体" w:eastAsia="宋体" w:cs="宋体"/>
                <w:color w:val="auto"/>
                <w:sz w:val="21"/>
                <w:szCs w:val="21"/>
                <w:highlight w:val="none"/>
              </w:rPr>
              <w:t>（或屠宰场当期价格公示材料</w:t>
            </w:r>
            <w:r>
              <w:rPr>
                <w:rFonts w:hint="eastAsia" w:ascii="宋体" w:hAnsi="宋体" w:cs="宋体"/>
                <w:color w:val="auto"/>
                <w:sz w:val="21"/>
                <w:szCs w:val="21"/>
                <w:highlight w:val="none"/>
                <w:lang w:val="en-US" w:eastAsia="zh-CN"/>
              </w:rPr>
              <w:t>或其他能够客观、真实佐证定点屠宰场批发价格的有效证明材料</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报送报送采购人及各供货学校，由采购人及各供货学校统一收存备案存档</w:t>
            </w:r>
            <w:r>
              <w:rPr>
                <w:rFonts w:hint="eastAsia" w:ascii="宋体" w:hAnsi="宋体" w:eastAsia="宋体" w:cs="宋体"/>
                <w:color w:val="auto"/>
                <w:sz w:val="21"/>
                <w:szCs w:val="21"/>
                <w:highlight w:val="none"/>
              </w:rPr>
              <w:t>；屠宰批发价格一经供应商与供货学校双方确认锁定，作为次月完整1个月供货计价的唯一基数，该执行周期内定点屠宰批发单价固定不变，不随屠宰场临时调价、市场短期涨跌调整。</w:t>
            </w:r>
          </w:p>
          <w:p w14:paraId="51E23149">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本条款所指屠宰场批发价格为屠宰场完成脱酸、精修、预冷、人工、场内配送至供应商仓库的综合采购进价。</w:t>
            </w:r>
          </w:p>
          <w:p w14:paraId="06669CF3">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②月度结算单价计算公式：次月结算单价=每月25-30日备案锁定的定点屠宰</w:t>
            </w:r>
            <w:r>
              <w:rPr>
                <w:rFonts w:hint="eastAsia" w:ascii="宋体" w:hAnsi="宋体" w:cs="宋体"/>
                <w:color w:val="auto"/>
                <w:sz w:val="21"/>
                <w:szCs w:val="21"/>
                <w:highlight w:val="none"/>
                <w:lang w:val="en-US" w:eastAsia="zh-CN"/>
              </w:rPr>
              <w:t>场</w:t>
            </w:r>
            <w:r>
              <w:rPr>
                <w:rFonts w:hint="eastAsia" w:ascii="宋体" w:hAnsi="宋体" w:eastAsia="宋体" w:cs="宋体"/>
                <w:color w:val="auto"/>
                <w:sz w:val="21"/>
                <w:szCs w:val="21"/>
                <w:highlight w:val="none"/>
              </w:rPr>
              <w:t>批发单价×（1+中标</w:t>
            </w:r>
            <w:r>
              <w:rPr>
                <w:rFonts w:hint="eastAsia" w:ascii="宋体" w:hAnsi="宋体" w:cs="宋体"/>
                <w:color w:val="auto"/>
                <w:sz w:val="21"/>
                <w:szCs w:val="21"/>
                <w:highlight w:val="none"/>
                <w:lang w:eastAsia="zh-CN"/>
              </w:rPr>
              <w:t>上浮率</w:t>
            </w:r>
            <w:r>
              <w:rPr>
                <w:rFonts w:hint="eastAsia" w:ascii="宋体" w:hAnsi="宋体" w:eastAsia="宋体" w:cs="宋体"/>
                <w:color w:val="auto"/>
                <w:sz w:val="21"/>
                <w:szCs w:val="21"/>
                <w:highlight w:val="none"/>
              </w:rPr>
              <w:t>）。</w:t>
            </w:r>
          </w:p>
          <w:p w14:paraId="782B5611">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③逾期报送违约责任：供应商未在当月25日—30日完成次月屠宰批发价备案，或提交单据无屠宰场有效盖章、价格材料虚假的，次月肉类结算不采用上浮计价模式，</w:t>
            </w:r>
            <w:r>
              <w:rPr>
                <w:rFonts w:hint="eastAsia" w:ascii="宋体" w:hAnsi="宋体" w:cs="宋体"/>
                <w:color w:val="auto"/>
                <w:sz w:val="21"/>
                <w:szCs w:val="21"/>
                <w:highlight w:val="none"/>
                <w:lang w:eastAsia="zh-CN"/>
              </w:rPr>
              <w:t>统一按上期备案锁定的定点屠宰</w:t>
            </w:r>
            <w:r>
              <w:rPr>
                <w:rFonts w:hint="eastAsia" w:ascii="宋体" w:hAnsi="宋体" w:cs="宋体"/>
                <w:color w:val="auto"/>
                <w:sz w:val="21"/>
                <w:szCs w:val="21"/>
                <w:highlight w:val="none"/>
                <w:lang w:val="en-US" w:eastAsia="zh-CN"/>
              </w:rPr>
              <w:t>场</w:t>
            </w:r>
            <w:r>
              <w:rPr>
                <w:rFonts w:hint="eastAsia" w:ascii="宋体" w:hAnsi="宋体" w:cs="宋体"/>
                <w:color w:val="auto"/>
                <w:sz w:val="21"/>
                <w:szCs w:val="21"/>
                <w:highlight w:val="none"/>
                <w:lang w:eastAsia="zh-CN"/>
              </w:rPr>
              <w:t>批发单价结算</w:t>
            </w:r>
            <w:r>
              <w:rPr>
                <w:rFonts w:hint="eastAsia" w:ascii="宋体" w:hAnsi="宋体" w:eastAsia="宋体" w:cs="宋体"/>
                <w:color w:val="auto"/>
                <w:sz w:val="21"/>
                <w:szCs w:val="21"/>
                <w:highlight w:val="none"/>
              </w:rPr>
              <w:t>，全部价差亏损由供应商自行承担，同时采购人有权将其记入供应商履约不良记录。</w:t>
            </w:r>
          </w:p>
          <w:p w14:paraId="29992E8C">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（2）蔬菜类、辅料类</w:t>
            </w:r>
          </w:p>
          <w:p w14:paraId="161CF499">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1）询价基准与标准</w:t>
            </w:r>
          </w:p>
          <w:p w14:paraId="3CC0F39B">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①询价方式：由询价小组开展市场询价工作，询价范围限定为供货上一个月在临翔区城区内正常运营的三家</w:t>
            </w:r>
            <w:r>
              <w:rPr>
                <w:rFonts w:hint="eastAsia" w:ascii="宋体" w:hAnsi="宋体" w:cs="宋体"/>
                <w:color w:val="auto"/>
                <w:sz w:val="21"/>
                <w:szCs w:val="21"/>
                <w:highlight w:val="none"/>
                <w:lang w:val="en-US" w:eastAsia="zh-CN"/>
              </w:rPr>
              <w:t>或三家以上</w:t>
            </w:r>
            <w:r>
              <w:rPr>
                <w:rFonts w:hint="eastAsia" w:ascii="宋体" w:hAnsi="宋体" w:eastAsia="宋体" w:cs="宋体"/>
                <w:color w:val="auto"/>
                <w:sz w:val="21"/>
                <w:szCs w:val="21"/>
                <w:highlight w:val="none"/>
              </w:rPr>
              <w:t>大型商超或农贸市场，以该范围内的产品实际售价作为询价基础。</w:t>
            </w:r>
          </w:p>
          <w:p w14:paraId="3F33156C">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②基准价计算：以三家</w:t>
            </w:r>
            <w:r>
              <w:rPr>
                <w:rFonts w:hint="eastAsia" w:ascii="宋体" w:hAnsi="宋体" w:cs="宋体"/>
                <w:color w:val="auto"/>
                <w:sz w:val="21"/>
                <w:szCs w:val="21"/>
                <w:highlight w:val="none"/>
                <w:lang w:val="en-US" w:eastAsia="zh-CN"/>
              </w:rPr>
              <w:t>或三家以上</w:t>
            </w:r>
            <w:r>
              <w:rPr>
                <w:rFonts w:hint="eastAsia" w:ascii="宋体" w:hAnsi="宋体" w:eastAsia="宋体" w:cs="宋体"/>
                <w:color w:val="auto"/>
                <w:sz w:val="21"/>
                <w:szCs w:val="21"/>
                <w:highlight w:val="none"/>
              </w:rPr>
              <w:t>商超/农贸市场的有效询价结果取平均值，作为本次询价的基准价。</w:t>
            </w:r>
          </w:p>
          <w:p w14:paraId="039215D2">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③排除情形：经核实属于大型商超、农贸市场的引流价、特价商品价格及处理品价格，均不纳入本次询价标准范围，不参与基准价计算。</w:t>
            </w:r>
          </w:p>
          <w:p w14:paraId="78AB1BC4">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2）询价周期与执行期</w:t>
            </w:r>
          </w:p>
          <w:p w14:paraId="02A70069">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①询价频次：按学期周期设定，每个学期开展2次询价，确保价格与市场动态适配。</w:t>
            </w:r>
          </w:p>
          <w:p w14:paraId="0F7DC86A">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②询价时间：两次询价分别在固定节点启动，第一次为学期初，第二次为学期中，避免周期混乱。</w:t>
            </w:r>
          </w:p>
          <w:p w14:paraId="1B1B592D">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执行期规则：每次询价确定的基准价及对应价格标准，执行期为2个月（覆盖两次询价间隔周期），有效期内严格按该价格标准执行；若学期末存在剩余周期不足2个月的情况，仍按最近一次询价价格执行至学期结束。</w:t>
            </w:r>
          </w:p>
          <w:p w14:paraId="377B1697">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特殊调整情形：仅当市场价格浮动幅度达到或超过5%（含5%），且供应商已完成一个月配送服务并能提供有效价格浮动例证（有调价货物在配送学校当地市场和临翔区其他两个不同区域市场价格浮动幅度均超过5%的例证）时，可不受学期初、学期中固定节点限制，提前启动临时询价；若未满足上述条件，则需按学期内最近一次询价确定的市场价格，完整执行至下一次固定询价节点。</w:t>
            </w:r>
          </w:p>
          <w:p w14:paraId="01A086B4">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3）询价小组组成</w:t>
            </w:r>
          </w:p>
          <w:p w14:paraId="07345D41">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询价小组由三方成员共同组成，具体为：临沧市临翔区教育体育局代表、供货学校代表、中标供应商代表。</w:t>
            </w:r>
          </w:p>
          <w:p w14:paraId="73DB0C8D">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3.结算规则</w:t>
            </w:r>
          </w:p>
          <w:p w14:paraId="1126D0A4">
            <w:pPr>
              <w:pStyle w:val="9"/>
              <w:keepNext w:val="0"/>
              <w:keepLines w:val="0"/>
              <w:pageBreakBefore w:val="0"/>
              <w:widowControl w:val="0"/>
              <w:kinsoku/>
              <w:wordWrap/>
              <w:overflowPunct/>
              <w:topLinePunct w:val="0"/>
              <w:autoSpaceDE w:val="0"/>
              <w:autoSpaceDN w:val="0"/>
              <w:bidi w:val="0"/>
              <w:adjustRightInd/>
              <w:snapToGrid/>
              <w:spacing w:before="0"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按月结算，根据每月确定的商品价格</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单价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1±上浮</w:t>
            </w:r>
            <w:r>
              <w:rPr>
                <w:rFonts w:hint="eastAsia" w:hAnsi="宋体" w:cs="宋体"/>
                <w:color w:val="auto"/>
                <w:sz w:val="21"/>
                <w:szCs w:val="21"/>
                <w:highlight w:val="none"/>
                <w:lang w:val="en-US" w:eastAsia="zh-CN"/>
              </w:rPr>
              <w:t>率</w:t>
            </w:r>
            <w:r>
              <w:rPr>
                <w:rFonts w:hint="eastAsia" w:ascii="宋体" w:hAnsi="宋体" w:eastAsia="宋体" w:cs="宋体"/>
                <w:color w:val="auto"/>
                <w:sz w:val="21"/>
                <w:szCs w:val="21"/>
                <w:highlight w:val="none"/>
                <w:lang w:val="en-US" w:eastAsia="zh-CN"/>
              </w:rPr>
              <w:t>/下浮率</w:t>
            </w:r>
            <w:r>
              <w:rPr>
                <w:rFonts w:hint="eastAsia" w:ascii="宋体" w:hAnsi="宋体" w:eastAsia="宋体" w:cs="宋体"/>
                <w:color w:val="auto"/>
                <w:sz w:val="21"/>
                <w:szCs w:val="21"/>
                <w:highlight w:val="none"/>
              </w:rPr>
              <w:t>）×实际完成的商品供应数量进行结算；一旦中标，该报价（上浮率/下浮率）将作为本项目供货周期内货物价格的唯一计算依据，且上浮</w:t>
            </w:r>
            <w:r>
              <w:rPr>
                <w:rFonts w:hint="eastAsia" w:ascii="宋体" w:hAnsi="宋体" w:cs="宋体"/>
                <w:color w:val="auto"/>
                <w:sz w:val="21"/>
                <w:szCs w:val="21"/>
                <w:highlight w:val="none"/>
                <w:lang w:val="en-US" w:eastAsia="zh-CN"/>
              </w:rPr>
              <w:t>率</w:t>
            </w:r>
            <w:r>
              <w:rPr>
                <w:rFonts w:hint="eastAsia" w:ascii="宋体" w:hAnsi="宋体" w:eastAsia="宋体" w:cs="宋体"/>
                <w:color w:val="auto"/>
                <w:sz w:val="21"/>
                <w:szCs w:val="21"/>
                <w:highlight w:val="none"/>
              </w:rPr>
              <w:t>/下浮率不得调整。</w:t>
            </w:r>
          </w:p>
        </w:tc>
      </w:tr>
      <w:tr w14:paraId="69B1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3E910FAE">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.1</w:t>
            </w:r>
          </w:p>
        </w:tc>
        <w:tc>
          <w:tcPr>
            <w:tcW w:w="2340" w:type="dxa"/>
            <w:vAlign w:val="center"/>
          </w:tcPr>
          <w:p w14:paraId="5FC79899">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投标文件有效期</w:t>
            </w:r>
          </w:p>
        </w:tc>
        <w:tc>
          <w:tcPr>
            <w:tcW w:w="6054" w:type="dxa"/>
            <w:vAlign w:val="center"/>
          </w:tcPr>
          <w:p w14:paraId="268627B7">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从提交投标文件截止之日起90日历天</w:t>
            </w:r>
          </w:p>
        </w:tc>
      </w:tr>
      <w:tr w14:paraId="0BCB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067391B7">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15.1</w:t>
            </w:r>
          </w:p>
        </w:tc>
        <w:tc>
          <w:tcPr>
            <w:tcW w:w="2340" w:type="dxa"/>
            <w:vAlign w:val="center"/>
          </w:tcPr>
          <w:p w14:paraId="7B720B93">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投标文件编制</w:t>
            </w:r>
          </w:p>
        </w:tc>
        <w:tc>
          <w:tcPr>
            <w:tcW w:w="6054" w:type="dxa"/>
            <w:vAlign w:val="center"/>
          </w:tcPr>
          <w:p w14:paraId="5599CEA0">
            <w:pPr>
              <w:keepNext w:val="0"/>
              <w:keepLines w:val="0"/>
              <w:pageBreakBefore w:val="0"/>
              <w:widowControl w:val="0"/>
              <w:kinsoku/>
              <w:overflowPunct/>
              <w:topLinePunct w:val="0"/>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电子投标文件应使用《政采云投标客户端》制作电子投标文件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格式为.</w:t>
            </w:r>
            <w:r>
              <w:rPr>
                <w:rFonts w:hint="eastAsia" w:ascii="宋体" w:hAnsi="宋体" w:eastAsia="宋体" w:cs="宋体"/>
                <w:color w:val="auto"/>
                <w:sz w:val="21"/>
                <w:szCs w:val="21"/>
                <w:highlight w:val="none"/>
                <w:lang w:val="en-US" w:eastAsia="zh-CN"/>
              </w:rPr>
              <w:t>jmbs</w:t>
            </w:r>
            <w:r>
              <w:rPr>
                <w:rFonts w:hint="eastAsia" w:ascii="宋体" w:hAnsi="宋体" w:eastAsia="宋体" w:cs="宋体"/>
                <w:color w:val="auto"/>
                <w:sz w:val="21"/>
                <w:szCs w:val="21"/>
                <w:highlight w:val="none"/>
              </w:rPr>
              <w:t>。</w:t>
            </w:r>
          </w:p>
          <w:p w14:paraId="5FFF205C">
            <w:pPr>
              <w:keepNext w:val="0"/>
              <w:keepLines w:val="0"/>
              <w:pageBreakBefore w:val="0"/>
              <w:widowControl w:val="0"/>
              <w:kinsoku/>
              <w:overflowPunct/>
              <w:topLinePunct w:val="0"/>
              <w:bidi w:val="0"/>
              <w:adjustRightInd/>
              <w:snapToGrid/>
              <w:spacing w:line="288" w:lineRule="auto"/>
              <w:ind w:left="0" w:leftChars="0"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投标文件编制流程详见《电子招投标（单一来源）-供应商》（https://helpcenter.zcygov.cn/document/#/document/detail?siteCode=yunnan&amp;topicId=358641&amp;manualId=7097）。</w:t>
            </w:r>
          </w:p>
        </w:tc>
      </w:tr>
      <w:tr w14:paraId="1A09C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1238DAF2">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15.3</w:t>
            </w:r>
          </w:p>
        </w:tc>
        <w:tc>
          <w:tcPr>
            <w:tcW w:w="2340" w:type="dxa"/>
            <w:vAlign w:val="center"/>
          </w:tcPr>
          <w:p w14:paraId="6FA76437">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6054" w:type="dxa"/>
            <w:vAlign w:val="center"/>
          </w:tcPr>
          <w:p w14:paraId="72BB4411">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供应商应按照投标文件格式，在需要电子签章的地方采用单位数字证书（CA）、法定代表人（或委托代理人）的个人数字证书（CA）进行电子签章。</w:t>
            </w:r>
          </w:p>
        </w:tc>
      </w:tr>
      <w:tr w14:paraId="0F9F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22359897">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15.5</w:t>
            </w:r>
          </w:p>
        </w:tc>
        <w:tc>
          <w:tcPr>
            <w:tcW w:w="2340" w:type="dxa"/>
            <w:vAlign w:val="center"/>
          </w:tcPr>
          <w:p w14:paraId="166D33A5">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装订要求</w:t>
            </w:r>
          </w:p>
        </w:tc>
        <w:tc>
          <w:tcPr>
            <w:tcW w:w="6054" w:type="dxa"/>
            <w:vAlign w:val="center"/>
          </w:tcPr>
          <w:p w14:paraId="73E180A8">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本次招标不再要求递交纸质版投标文件，但中标人在中标后，在签订合同时应向</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rPr>
              <w:t>人提交2份纸质投标文件（纸质投标文件可为电子投标文件的彩色打印件），纸质投标文件需装订成册，并编制目录和连续页码。所提交纸质投标文件应与</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递交的电子投标文件一致，若不一致，采购人可以就此作出对</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最不利的处理决定。</w:t>
            </w:r>
          </w:p>
        </w:tc>
      </w:tr>
      <w:tr w14:paraId="418C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51989A6B">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2340" w:type="dxa"/>
            <w:vAlign w:val="center"/>
          </w:tcPr>
          <w:p w14:paraId="0289F876">
            <w:pPr>
              <w:keepNext w:val="0"/>
              <w:keepLines w:val="0"/>
              <w:pageBreakBefore w:val="0"/>
              <w:widowControl w:val="0"/>
              <w:kinsoku/>
              <w:wordWrap w:val="0"/>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w:t>
            </w:r>
          </w:p>
        </w:tc>
        <w:tc>
          <w:tcPr>
            <w:tcW w:w="6054" w:type="dxa"/>
            <w:vAlign w:val="center"/>
          </w:tcPr>
          <w:p w14:paraId="06B262AC">
            <w:pPr>
              <w:keepNext w:val="0"/>
              <w:keepLines w:val="0"/>
              <w:pageBreakBefore w:val="0"/>
              <w:widowControl w:val="0"/>
              <w:kinsoku/>
              <w:wordWrap w:val="0"/>
              <w:overflowPunct/>
              <w:topLinePunct w:val="0"/>
              <w:autoSpaceDE w:val="0"/>
              <w:autoSpaceDN w:val="0"/>
              <w:bidi w:val="0"/>
              <w:adjustRightInd/>
              <w:snapToGrid/>
              <w:spacing w:line="288" w:lineRule="auto"/>
              <w:ind w:left="0" w:leftChars="0" w:right="0" w:rightChars="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u w:val="none" w:color="auto"/>
                <w:lang w:eastAsia="zh-CN"/>
              </w:rPr>
              <w:t>是否</w:t>
            </w:r>
            <w:r>
              <w:rPr>
                <w:rFonts w:hint="eastAsia" w:ascii="宋体" w:hAnsi="宋体" w:eastAsia="宋体" w:cs="宋体"/>
                <w:b/>
                <w:bCs/>
                <w:color w:val="auto"/>
                <w:sz w:val="21"/>
                <w:szCs w:val="21"/>
                <w:highlight w:val="none"/>
                <w:lang w:eastAsia="zh-CN"/>
              </w:rPr>
              <w:t>要求投标人递交投标保证金：</w:t>
            </w:r>
          </w:p>
          <w:p w14:paraId="5ACD0E64">
            <w:pPr>
              <w:keepNext w:val="0"/>
              <w:keepLines w:val="0"/>
              <w:pageBreakBefore w:val="0"/>
              <w:widowControl w:val="0"/>
              <w:kinsoku/>
              <w:wordWrap w:val="0"/>
              <w:overflowPunct/>
              <w:topLinePunct w:val="0"/>
              <w:autoSpaceDE w:val="0"/>
              <w:autoSpaceDN w:val="0"/>
              <w:bidi w:val="0"/>
              <w:adjustRightInd/>
              <w:snapToGrid/>
              <w:spacing w:line="288" w:lineRule="auto"/>
              <w:ind w:left="0" w:leftChars="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□不要求</w:t>
            </w:r>
          </w:p>
          <w:p w14:paraId="7C6522F5">
            <w:pPr>
              <w:keepNext w:val="0"/>
              <w:keepLines w:val="0"/>
              <w:pageBreakBefore w:val="0"/>
              <w:widowControl w:val="0"/>
              <w:kinsoku/>
              <w:wordWrap w:val="0"/>
              <w:overflowPunct/>
              <w:topLinePunct w:val="0"/>
              <w:autoSpaceDE w:val="0"/>
              <w:autoSpaceDN w:val="0"/>
              <w:bidi w:val="0"/>
              <w:adjustRightInd/>
              <w:snapToGrid/>
              <w:spacing w:line="288" w:lineRule="auto"/>
              <w:ind w:left="0" w:leftChars="0" w:right="0" w:right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要求，投标保证金的形式：</w:t>
            </w:r>
          </w:p>
          <w:p w14:paraId="2BEAE980">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投标</w:t>
            </w:r>
            <w:r>
              <w:rPr>
                <w:rFonts w:hint="eastAsia" w:ascii="宋体" w:hAnsi="宋体" w:eastAsia="宋体" w:cs="宋体"/>
                <w:b/>
                <w:bCs/>
                <w:color w:val="auto"/>
                <w:sz w:val="21"/>
                <w:szCs w:val="21"/>
                <w:highlight w:val="none"/>
              </w:rPr>
              <w:t>保证金的金额：</w:t>
            </w:r>
            <w:r>
              <w:rPr>
                <w:rFonts w:hint="eastAsia"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en-US" w:eastAsia="zh-CN"/>
              </w:rPr>
              <w:t>0000.00元（大写：</w:t>
            </w:r>
            <w:r>
              <w:rPr>
                <w:rFonts w:hint="eastAsia" w:hAnsi="宋体" w:cs="宋体"/>
                <w:b/>
                <w:bCs/>
                <w:color w:val="auto"/>
                <w:sz w:val="21"/>
                <w:szCs w:val="21"/>
                <w:highlight w:val="none"/>
                <w:lang w:val="en-US" w:eastAsia="zh-CN"/>
              </w:rPr>
              <w:t>壹拾万元整</w:t>
            </w:r>
            <w:r>
              <w:rPr>
                <w:rFonts w:hint="eastAsia" w:ascii="宋体" w:hAnsi="宋体" w:eastAsia="宋体" w:cs="宋体"/>
                <w:b/>
                <w:bCs/>
                <w:color w:val="auto"/>
                <w:sz w:val="21"/>
                <w:szCs w:val="21"/>
                <w:highlight w:val="none"/>
                <w:lang w:val="en-US" w:eastAsia="zh-CN"/>
              </w:rPr>
              <w:t>）</w:t>
            </w:r>
          </w:p>
          <w:p w14:paraId="6F9C0320">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投标</w:t>
            </w:r>
            <w:r>
              <w:rPr>
                <w:rFonts w:hint="eastAsia" w:ascii="宋体" w:hAnsi="宋体" w:eastAsia="宋体" w:cs="宋体"/>
                <w:b/>
                <w:bCs/>
                <w:color w:val="auto"/>
                <w:sz w:val="21"/>
                <w:szCs w:val="21"/>
                <w:highlight w:val="none"/>
              </w:rPr>
              <w:t>保证金的形式：</w:t>
            </w:r>
            <w:r>
              <w:rPr>
                <w:rFonts w:hint="eastAsia" w:ascii="宋体" w:hAnsi="宋体" w:eastAsia="宋体" w:cs="宋体"/>
                <w:b/>
                <w:bCs/>
                <w:color w:val="auto"/>
                <w:szCs w:val="21"/>
                <w:highlight w:val="none"/>
              </w:rPr>
              <w:t>支票、汇票、本票、保函、银行转账、银行保函、保证保险</w:t>
            </w:r>
            <w:r>
              <w:rPr>
                <w:rFonts w:hint="eastAsia" w:ascii="宋体" w:hAnsi="宋体" w:eastAsia="宋体" w:cs="宋体"/>
                <w:b/>
                <w:bCs/>
                <w:color w:val="auto"/>
                <w:szCs w:val="21"/>
                <w:highlight w:val="none"/>
                <w:lang w:val="en-US" w:eastAsia="zh-CN"/>
              </w:rPr>
              <w:t>等非现金形式</w:t>
            </w:r>
          </w:p>
          <w:p w14:paraId="3848C653">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名称：云南亿佳工程管理有限公司；</w:t>
            </w:r>
          </w:p>
          <w:p w14:paraId="4077316F">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开户行：中国工商银行股份有限公司临沧亚洲微电影支行；</w:t>
            </w:r>
          </w:p>
          <w:p w14:paraId="1E54ABCE">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账号：2518040509200152348；</w:t>
            </w:r>
          </w:p>
          <w:p w14:paraId="3E8F51C1">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保证金递交截止时间：</w:t>
            </w:r>
            <w:r>
              <w:rPr>
                <w:rFonts w:hint="eastAsia" w:ascii="宋体" w:hAnsi="宋体" w:eastAsia="宋体" w:cs="宋体"/>
                <w:b/>
                <w:bCs/>
                <w:color w:val="auto"/>
                <w:sz w:val="21"/>
                <w:szCs w:val="21"/>
                <w:highlight w:val="none"/>
              </w:rPr>
              <w:t>同</w:t>
            </w:r>
            <w:r>
              <w:rPr>
                <w:rFonts w:hint="eastAsia" w:ascii="宋体" w:hAnsi="宋体" w:eastAsia="宋体" w:cs="宋体"/>
                <w:b/>
                <w:bCs/>
                <w:color w:val="auto"/>
                <w:sz w:val="21"/>
                <w:szCs w:val="21"/>
                <w:highlight w:val="none"/>
                <w:lang w:val="en-US" w:eastAsia="zh-CN"/>
              </w:rPr>
              <w:t>投标</w:t>
            </w:r>
            <w:r>
              <w:rPr>
                <w:rFonts w:hint="eastAsia" w:ascii="宋体" w:hAnsi="宋体" w:eastAsia="宋体" w:cs="宋体"/>
                <w:b/>
                <w:bCs/>
                <w:color w:val="auto"/>
                <w:sz w:val="21"/>
                <w:szCs w:val="21"/>
                <w:highlight w:val="none"/>
              </w:rPr>
              <w:t>文件递交截止时间</w:t>
            </w:r>
            <w:r>
              <w:rPr>
                <w:rFonts w:hint="eastAsia" w:ascii="宋体" w:hAnsi="宋体" w:eastAsia="宋体" w:cs="宋体"/>
                <w:color w:val="auto"/>
                <w:sz w:val="21"/>
                <w:szCs w:val="21"/>
                <w:highlight w:val="none"/>
              </w:rPr>
              <w:t>。</w:t>
            </w:r>
          </w:p>
          <w:p w14:paraId="4675DE56">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转账凭证上备注栏内应注明项目名称（项目名称可简写）。</w:t>
            </w:r>
          </w:p>
          <w:p w14:paraId="03A2851B">
            <w:pPr>
              <w:pStyle w:val="16"/>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保证金需从</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基本账户转出，其他方式无效。</w:t>
            </w:r>
          </w:p>
          <w:p w14:paraId="2C5C2FC8">
            <w:pPr>
              <w:pStyle w:val="16"/>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提交保证金的</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不需再开具保证金收据，在递交</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文件时出具提供银行汇款或转账凭证复印件即可。</w:t>
            </w:r>
          </w:p>
          <w:p w14:paraId="43385920">
            <w:pPr>
              <w:pStyle w:val="16"/>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联系人及电话：</w:t>
            </w:r>
            <w:r>
              <w:rPr>
                <w:rFonts w:hint="eastAsia" w:ascii="宋体" w:hAnsi="宋体" w:eastAsia="宋体" w:cs="宋体"/>
                <w:color w:val="auto"/>
                <w:sz w:val="21"/>
                <w:szCs w:val="21"/>
                <w:highlight w:val="none"/>
                <w:lang w:val="en-US" w:eastAsia="zh-CN"/>
              </w:rPr>
              <w:t>杨根祥</w:t>
            </w:r>
            <w:r>
              <w:rPr>
                <w:rFonts w:hint="eastAsia" w:hAnsi="宋体" w:cs="宋体"/>
                <w:color w:val="auto"/>
                <w:sz w:val="21"/>
                <w:szCs w:val="21"/>
                <w:highlight w:val="none"/>
                <w:lang w:val="en-US" w:eastAsia="zh-CN"/>
              </w:rPr>
              <w:t>15906952747</w:t>
            </w:r>
          </w:p>
          <w:p w14:paraId="0C19ED10">
            <w:pPr>
              <w:pStyle w:val="16"/>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对于未能按要求提交保证金的</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人将视为不响应</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文件而予以拒绝。</w:t>
            </w:r>
          </w:p>
          <w:p w14:paraId="63E35814">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招标人与中标人签订合同后5日内，向未中标的投标人和中标人退还投标保证金。</w:t>
            </w:r>
          </w:p>
          <w:p w14:paraId="21D6DD82">
            <w:pPr>
              <w:pStyle w:val="16"/>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发生下列情况之一时，</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保证金不予退还：</w:t>
            </w:r>
          </w:p>
          <w:p w14:paraId="1C42FA5B">
            <w:pPr>
              <w:keepNext w:val="0"/>
              <w:keepLines w:val="0"/>
              <w:pageBreakBefore w:val="0"/>
              <w:widowControl w:val="0"/>
              <w:kinsoku/>
              <w:wordWrap w:val="0"/>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（1）投标人在提交投标文件截止时间后撤回投标文件的；</w:t>
            </w:r>
          </w:p>
          <w:p w14:paraId="50957AC7">
            <w:pPr>
              <w:keepNext w:val="0"/>
              <w:keepLines w:val="0"/>
              <w:pageBreakBefore w:val="0"/>
              <w:widowControl w:val="0"/>
              <w:kinsoku/>
              <w:wordWrap w:val="0"/>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（2）投标人在投标文件中提供虚假材料的；</w:t>
            </w:r>
          </w:p>
          <w:p w14:paraId="2E110B61">
            <w:pPr>
              <w:keepNext w:val="0"/>
              <w:keepLines w:val="0"/>
              <w:pageBreakBefore w:val="0"/>
              <w:widowControl w:val="0"/>
              <w:kinsoku/>
              <w:wordWrap w:val="0"/>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（3）除因不可抗力或投标文件认可的情形以外，无正当理由拒绝与采购人签订合同的；</w:t>
            </w:r>
          </w:p>
          <w:p w14:paraId="148AAB1F">
            <w:pPr>
              <w:keepNext w:val="0"/>
              <w:keepLines w:val="0"/>
              <w:pageBreakBefore w:val="0"/>
              <w:widowControl w:val="0"/>
              <w:kinsoku/>
              <w:wordWrap w:val="0"/>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（4）投标人与采购人、其他投标人或者采购代理机构恶意串通的；</w:t>
            </w:r>
          </w:p>
          <w:p w14:paraId="37EE48A8">
            <w:pPr>
              <w:keepNext w:val="0"/>
              <w:keepLines w:val="0"/>
              <w:pageBreakBefore w:val="0"/>
              <w:widowControl w:val="0"/>
              <w:kinsoku/>
              <w:wordWrap w:val="0"/>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（5）招标文件规定的其他情形。</w:t>
            </w:r>
          </w:p>
        </w:tc>
      </w:tr>
      <w:tr w14:paraId="09F6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59E10B49">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19.1</w:t>
            </w:r>
          </w:p>
        </w:tc>
        <w:tc>
          <w:tcPr>
            <w:tcW w:w="2340" w:type="dxa"/>
            <w:vAlign w:val="center"/>
          </w:tcPr>
          <w:p w14:paraId="64241785">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提交投标文件截止时间</w:t>
            </w:r>
          </w:p>
        </w:tc>
        <w:tc>
          <w:tcPr>
            <w:tcW w:w="6054" w:type="dxa"/>
            <w:vAlign w:val="center"/>
          </w:tcPr>
          <w:p w14:paraId="1320C20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9时00分（北京时间）</w:t>
            </w:r>
          </w:p>
        </w:tc>
      </w:tr>
      <w:tr w14:paraId="7E8B3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77366E4D">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19.2</w:t>
            </w:r>
          </w:p>
        </w:tc>
        <w:tc>
          <w:tcPr>
            <w:tcW w:w="2340" w:type="dxa"/>
            <w:vAlign w:val="center"/>
          </w:tcPr>
          <w:p w14:paraId="5884F64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提交投标文件</w:t>
            </w:r>
            <w:r>
              <w:rPr>
                <w:rFonts w:hint="eastAsia" w:ascii="宋体" w:hAnsi="宋体" w:eastAsia="宋体" w:cs="宋体"/>
                <w:color w:val="auto"/>
                <w:sz w:val="21"/>
                <w:szCs w:val="21"/>
                <w:highlight w:val="none"/>
                <w:lang w:val="en-US" w:eastAsia="zh-CN"/>
              </w:rPr>
              <w:t>地点</w:t>
            </w:r>
          </w:p>
        </w:tc>
        <w:tc>
          <w:tcPr>
            <w:tcW w:w="6054" w:type="dxa"/>
            <w:vAlign w:val="center"/>
          </w:tcPr>
          <w:p w14:paraId="257C9EE8">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政府采购云平台（https://www.zcygov.cn/）</w:t>
            </w:r>
          </w:p>
        </w:tc>
      </w:tr>
      <w:tr w14:paraId="7231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2D08D950">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.1</w:t>
            </w:r>
          </w:p>
        </w:tc>
        <w:tc>
          <w:tcPr>
            <w:tcW w:w="2340" w:type="dxa"/>
            <w:vAlign w:val="center"/>
          </w:tcPr>
          <w:p w14:paraId="47193094">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w:t>
            </w:r>
            <w:r>
              <w:rPr>
                <w:rFonts w:hint="eastAsia" w:ascii="宋体" w:hAnsi="宋体" w:eastAsia="宋体" w:cs="宋体"/>
                <w:color w:val="auto"/>
                <w:sz w:val="21"/>
                <w:szCs w:val="21"/>
                <w:highlight w:val="none"/>
              </w:rPr>
              <w:t>时间和地点</w:t>
            </w:r>
          </w:p>
        </w:tc>
        <w:tc>
          <w:tcPr>
            <w:tcW w:w="6054" w:type="dxa"/>
            <w:vAlign w:val="center"/>
          </w:tcPr>
          <w:p w14:paraId="7064F81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08</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9时00分（北京时间）；</w:t>
            </w:r>
          </w:p>
          <w:p w14:paraId="578F96B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开标地点：云南亿佳工程管理有限公司（云南省临沧市临翔区新安路177号7楼开标室）。</w:t>
            </w:r>
          </w:p>
        </w:tc>
      </w:tr>
      <w:tr w14:paraId="2497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02D74D6F">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w:t>
            </w:r>
          </w:p>
        </w:tc>
        <w:tc>
          <w:tcPr>
            <w:tcW w:w="2340" w:type="dxa"/>
            <w:vAlign w:val="center"/>
          </w:tcPr>
          <w:p w14:paraId="77208433">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w:t>
            </w:r>
          </w:p>
        </w:tc>
        <w:tc>
          <w:tcPr>
            <w:tcW w:w="6054" w:type="dxa"/>
            <w:vAlign w:val="center"/>
          </w:tcPr>
          <w:p w14:paraId="756DC2A4">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评标委员会组成：</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人以上单数，由采购人代表和评审专家组成，其中评审专家不得少于成员总数的三分之二。</w:t>
            </w:r>
          </w:p>
          <w:p w14:paraId="205857AF">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评审专家确定：在云南省政府采购网随机抽取或按云财规〔2023〕23号办理。</w:t>
            </w:r>
          </w:p>
        </w:tc>
      </w:tr>
      <w:tr w14:paraId="001CA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0AC2A0EB">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w:t>
            </w:r>
          </w:p>
        </w:tc>
        <w:tc>
          <w:tcPr>
            <w:tcW w:w="2340" w:type="dxa"/>
            <w:vAlign w:val="center"/>
          </w:tcPr>
          <w:p w14:paraId="58A4D7B5">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6054" w:type="dxa"/>
            <w:vAlign w:val="center"/>
          </w:tcPr>
          <w:p w14:paraId="1E9792F6">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w:t>
            </w:r>
          </w:p>
        </w:tc>
      </w:tr>
      <w:tr w14:paraId="0EC4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129444A9">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26.1</w:t>
            </w:r>
          </w:p>
        </w:tc>
        <w:tc>
          <w:tcPr>
            <w:tcW w:w="2340" w:type="dxa"/>
            <w:vAlign w:val="center"/>
          </w:tcPr>
          <w:p w14:paraId="2268579F">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履约保证金金额</w:t>
            </w:r>
          </w:p>
        </w:tc>
        <w:tc>
          <w:tcPr>
            <w:tcW w:w="6054" w:type="dxa"/>
            <w:vAlign w:val="center"/>
          </w:tcPr>
          <w:p w14:paraId="6BF05B11">
            <w:pPr>
              <w:keepNext w:val="0"/>
              <w:keepLines w:val="0"/>
              <w:pageBreakBefore w:val="0"/>
              <w:widowControl w:val="0"/>
              <w:kinsoku/>
              <w:wordWrap/>
              <w:overflowPunct/>
              <w:topLinePunct w:val="0"/>
              <w:autoSpaceDE w:val="0"/>
              <w:autoSpaceDN w:val="0"/>
              <w:bidi w:val="0"/>
              <w:adjustRightInd/>
              <w:snapToGrid/>
              <w:spacing w:line="288" w:lineRule="auto"/>
              <w:ind w:left="42" w:leftChars="20" w:right="42" w:rightChars="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40FF4DC9">
            <w:pPr>
              <w:keepNext w:val="0"/>
              <w:keepLines w:val="0"/>
              <w:pageBreakBefore w:val="0"/>
              <w:widowControl w:val="0"/>
              <w:kinsoku/>
              <w:wordWrap/>
              <w:overflowPunct/>
              <w:topLinePunct w:val="0"/>
              <w:autoSpaceDE w:val="0"/>
              <w:autoSpaceDN w:val="0"/>
              <w:bidi w:val="0"/>
              <w:adjustRightInd/>
              <w:snapToGrid/>
              <w:spacing w:line="288" w:lineRule="auto"/>
              <w:ind w:left="42" w:leftChars="20" w:right="42" w:rightChars="2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□要求，履约保证金的形式：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p>
          <w:p w14:paraId="1E2DEE08">
            <w:pPr>
              <w:keepNext w:val="0"/>
              <w:keepLines w:val="0"/>
              <w:pageBreakBefore w:val="0"/>
              <w:widowControl w:val="0"/>
              <w:kinsoku/>
              <w:wordWrap/>
              <w:overflowPunct/>
              <w:topLinePunct w:val="0"/>
              <w:autoSpaceDE w:val="0"/>
              <w:autoSpaceDN w:val="0"/>
              <w:bidi w:val="0"/>
              <w:adjustRightInd/>
              <w:snapToGrid/>
              <w:spacing w:line="288" w:lineRule="auto"/>
              <w:ind w:left="42" w:leftChars="20" w:right="42" w:rightChars="20"/>
              <w:jc w:val="both"/>
              <w:textAlignment w:val="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履约保证金的金额：</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p>
          <w:p w14:paraId="6AC66134">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■不要求</w:t>
            </w:r>
          </w:p>
        </w:tc>
      </w:tr>
      <w:tr w14:paraId="1986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4CF8C986">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26.3</w:t>
            </w:r>
          </w:p>
        </w:tc>
        <w:tc>
          <w:tcPr>
            <w:tcW w:w="2340" w:type="dxa"/>
            <w:vAlign w:val="center"/>
          </w:tcPr>
          <w:p w14:paraId="1004816A">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履约保证金的退还时间</w:t>
            </w:r>
          </w:p>
        </w:tc>
        <w:tc>
          <w:tcPr>
            <w:tcW w:w="6054" w:type="dxa"/>
            <w:vAlign w:val="center"/>
          </w:tcPr>
          <w:p w14:paraId="54979FD0">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项目实施完成且双方签署项目验收报告后的15个工作日内依法依规退还投标人。</w:t>
            </w:r>
          </w:p>
        </w:tc>
      </w:tr>
      <w:tr w14:paraId="2404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511E1684">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29.1</w:t>
            </w:r>
          </w:p>
        </w:tc>
        <w:tc>
          <w:tcPr>
            <w:tcW w:w="2340" w:type="dxa"/>
            <w:vAlign w:val="center"/>
          </w:tcPr>
          <w:p w14:paraId="0FAA13A7">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备选方案</w:t>
            </w:r>
          </w:p>
        </w:tc>
        <w:tc>
          <w:tcPr>
            <w:tcW w:w="6054" w:type="dxa"/>
            <w:vAlign w:val="center"/>
          </w:tcPr>
          <w:p w14:paraId="640A061B">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2922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58D93EC7">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29.3</w:t>
            </w:r>
          </w:p>
        </w:tc>
        <w:tc>
          <w:tcPr>
            <w:tcW w:w="2340" w:type="dxa"/>
            <w:vAlign w:val="center"/>
          </w:tcPr>
          <w:p w14:paraId="6A0B562B">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转包、分包</w:t>
            </w:r>
          </w:p>
        </w:tc>
        <w:tc>
          <w:tcPr>
            <w:tcW w:w="6054" w:type="dxa"/>
            <w:vAlign w:val="center"/>
          </w:tcPr>
          <w:p w14:paraId="3EAB34F8">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default"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本项目不允许违法转包、分包；项目实施过程中，如采购人核实发现中标供应商存在违法转包、分包行为的，将取消供应商中标</w:t>
            </w:r>
            <w:r>
              <w:rPr>
                <w:rFonts w:hint="default" w:ascii="宋体" w:hAnsi="宋体" w:cs="宋体"/>
                <w:b/>
                <w:bCs/>
                <w:color w:val="auto"/>
                <w:sz w:val="21"/>
                <w:szCs w:val="21"/>
                <w:highlight w:val="none"/>
                <w:lang w:eastAsia="zh-CN"/>
              </w:rPr>
              <w:t>供应</w:t>
            </w:r>
            <w:r>
              <w:rPr>
                <w:rFonts w:hint="eastAsia" w:ascii="宋体" w:hAnsi="宋体" w:cs="宋体"/>
                <w:b/>
                <w:bCs/>
                <w:color w:val="auto"/>
                <w:sz w:val="21"/>
                <w:szCs w:val="21"/>
                <w:highlight w:val="none"/>
                <w:lang w:val="en-US" w:eastAsia="zh-CN"/>
              </w:rPr>
              <w:t>资格，</w:t>
            </w:r>
            <w:r>
              <w:rPr>
                <w:rFonts w:hint="default" w:ascii="宋体" w:hAnsi="宋体" w:cs="宋体"/>
                <w:b/>
                <w:bCs/>
                <w:color w:val="auto"/>
                <w:sz w:val="21"/>
                <w:szCs w:val="21"/>
                <w:highlight w:val="none"/>
                <w:lang w:eastAsia="zh-CN"/>
              </w:rPr>
              <w:t>并列入违法失信企业名单，同时对转包、分包供应商处以预算金额的20%违约处罚。</w:t>
            </w:r>
          </w:p>
        </w:tc>
      </w:tr>
      <w:tr w14:paraId="3FA81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5" w:type="dxa"/>
            <w:vAlign w:val="center"/>
          </w:tcPr>
          <w:p w14:paraId="630A098F">
            <w:pPr>
              <w:keepNext w:val="0"/>
              <w:keepLines w:val="0"/>
              <w:pageBreakBefore w:val="0"/>
              <w:widowControl w:val="0"/>
              <w:kinsoku/>
              <w:overflowPunct/>
              <w:topLinePunct w:val="0"/>
              <w:bidi w:val="0"/>
              <w:adjustRightInd/>
              <w:snapToGrid/>
              <w:spacing w:line="288" w:lineRule="auto"/>
              <w:ind w:left="0" w:leftChars="0" w:right="0" w:rightChars="0"/>
              <w:jc w:val="center"/>
              <w:textAlignment w:val="auto"/>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29.</w:t>
            </w:r>
            <w:r>
              <w:rPr>
                <w:rFonts w:hint="default" w:ascii="宋体" w:hAnsi="宋体" w:cs="宋体"/>
                <w:color w:val="auto"/>
                <w:sz w:val="21"/>
                <w:szCs w:val="21"/>
                <w:highlight w:val="none"/>
                <w:lang w:eastAsia="zh-CN"/>
              </w:rPr>
              <w:t>4</w:t>
            </w:r>
          </w:p>
        </w:tc>
        <w:tc>
          <w:tcPr>
            <w:tcW w:w="2340" w:type="dxa"/>
            <w:vAlign w:val="center"/>
          </w:tcPr>
          <w:p w14:paraId="479B2557">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c>
          <w:tcPr>
            <w:tcW w:w="6054" w:type="dxa"/>
            <w:vAlign w:val="center"/>
          </w:tcPr>
          <w:p w14:paraId="5BBE07DE">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政府采购政策响应：</w:t>
            </w:r>
          </w:p>
          <w:p w14:paraId="5CC3559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1.小型和微型企业价格评分优惠政策</w:t>
            </w:r>
          </w:p>
          <w:p w14:paraId="18205907">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关于印发&lt;政府采购促进中小企业发展管理办法&gt;的通知》（财库〔2020〕46号）、《财政部关于进一步加大政府采购支持中小企业力度的通知》(财库[2022]19号)、云南省财政厅关于贯彻《财政部关于进一步加大政府采购支持中小企业力度的通知》的通知（云财采〔2022〕9号）《关于政府采购支持监狱企业发展有关问题的通知》(财库[2014]68号)、《关于促进残疾人就业政府采购政策的通知》（财库[2017]141号）等规定，对小型和微型企业的价格给予10%的扣除，用扣除后的价格参与评审。</w:t>
            </w:r>
          </w:p>
          <w:p w14:paraId="6B4A80FE">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本项目采购标的对应的中小企业划分标准所属行业为：</w:t>
            </w:r>
          </w:p>
          <w:p w14:paraId="1CCF9C6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肉食品类：农、林、牧、渔业；</w:t>
            </w:r>
          </w:p>
          <w:p w14:paraId="010DBA4B">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蔬菜类：农、林、牧、渔业；</w:t>
            </w:r>
          </w:p>
          <w:p w14:paraId="3AAE71B4">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辅料类：工业。</w:t>
            </w:r>
          </w:p>
          <w:p w14:paraId="080FE559">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2.监狱企业优惠政策</w:t>
            </w:r>
          </w:p>
          <w:p w14:paraId="02889E9A">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D29114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监狱企业参加政府采购活动时，应当提供由省级以上监狱管理局、戒毒管理局（含新疆生产建设兵团）出具的属于监狱企业的证明文件。</w:t>
            </w:r>
          </w:p>
          <w:p w14:paraId="67D4A649">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3.残疾人福利性单位优惠政策</w:t>
            </w:r>
          </w:p>
          <w:p w14:paraId="3756AE45">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享受政府采购支持政策的残疾人福利性单位应当同时满足以下条件：</w:t>
            </w:r>
          </w:p>
          <w:p w14:paraId="27B20B0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（1）安置的残疾人占本单位在职职工人数的比例不低于25%（含 25%），并且安置的残疾人人数不少于10人（含10人）；</w:t>
            </w:r>
          </w:p>
          <w:p w14:paraId="19450DC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（2）依法与安置的每位残疾人签订了一年以上（含一年）的劳动合同或服务协议；</w:t>
            </w:r>
          </w:p>
          <w:p w14:paraId="5A8A55A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为安置的每位残疾人按月足额缴纳了基本养老保险、基本医疗保险、失业保险、工伤保险和生育保险等社会保险费；</w:t>
            </w:r>
          </w:p>
          <w:p w14:paraId="45005025">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（3）通过银行等金融机构向安置的每位残疾人，按月支付了不低于单位所在区县适用的经省级人民政府批准的月最低工资标准的工资；</w:t>
            </w:r>
          </w:p>
          <w:p w14:paraId="5B781037">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（4）提供本单位制造的货物、承担的工程或者服务（以下简称产品），或者提供其他残疾人福利性单位制造的货物（不包括使用非残疾人福利性单位注册商标的货物）。</w:t>
            </w:r>
          </w:p>
          <w:p w14:paraId="441F2FCE">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71A7726">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条件的残疾人福利性单位在参加政府采购活动时，应当提供本《残疾人福利性单位声明函》（见附件），并对声明的真实性负责。任何单位或者个人在政府采购活动中均不得要求残疾人福利性单位提供其他证明声明函内容的材料。</w:t>
            </w:r>
          </w:p>
          <w:p w14:paraId="5BF306A3">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人为残疾人福利性单位的，《残疾人福利性单位声明函》将与中标结果同时公告，接受社会监督。投标人提供的《残疾人福利性单位声明函》与事实不符的，依照《政府采购法》第七十七条第一款的规定追究法律责任。</w:t>
            </w:r>
          </w:p>
          <w:p w14:paraId="5C26BE84">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cs="宋体"/>
                <w:b/>
                <w:bCs/>
                <w:color w:val="auto"/>
                <w:sz w:val="21"/>
                <w:szCs w:val="21"/>
                <w:highlight w:val="none"/>
                <w:u w:val="single"/>
                <w:lang w:val="en-US" w:eastAsia="zh-CN"/>
              </w:rPr>
              <w:t>4.</w:t>
            </w:r>
            <w:r>
              <w:rPr>
                <w:rFonts w:hint="eastAsia" w:ascii="宋体" w:hAnsi="宋体" w:eastAsia="宋体" w:cs="宋体"/>
                <w:b/>
                <w:bCs/>
                <w:color w:val="auto"/>
                <w:sz w:val="21"/>
                <w:szCs w:val="21"/>
                <w:highlight w:val="none"/>
                <w:u w:val="single"/>
                <w:lang w:val="en-US" w:eastAsia="zh-CN"/>
              </w:rPr>
              <w:t>本国产品支持政策（本项目政府采购品目为其他农副食品，动、植物油制品，不适用对本国产品的支持政策）</w:t>
            </w:r>
          </w:p>
          <w:p w14:paraId="403D954B">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根据</w:t>
            </w:r>
            <w:r>
              <w:rPr>
                <w:rFonts w:hint="eastAsia" w:ascii="宋体" w:hAnsi="宋体" w:eastAsia="宋体" w:cs="宋体"/>
                <w:color w:val="auto"/>
                <w:sz w:val="21"/>
                <w:szCs w:val="21"/>
                <w:highlight w:val="none"/>
                <w:lang w:val="en-US" w:eastAsia="zh-CN"/>
              </w:rPr>
              <w:t>《国务院办公厅关于在政府采购中实施本国产品标准及相关政策的通知》（国办发〔2025〕34 号）文件要求，落实政府采购本国产品支持相关政策，国有企业、民营企业、外资企业等各类经营主体平等享受本国产品政府采购支持政策，采购人和采购代理机构在政府采购信息发布、供应商资格条件确定和资格审查、评审标准设置等方面，对各类经营主体一视同仁、平等对待，具体政策响应要求如下：</w:t>
            </w:r>
          </w:p>
          <w:p w14:paraId="69E5892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本国产品认定按国办发〔2025〕34 号文件规定执行，即产品需满足在中国境内生产、境内生产组件成本占比达到规定比例，特定产品还需符合关键组件、关键工序相关要求；在分产品境内组件成本占比及关键组件、工序要求实施前，在中国境内实现原材料、组件到产品属性改变的产品，视同本国产品。</w:t>
            </w:r>
          </w:p>
          <w:p w14:paraId="0724E7E7">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政府采购活动中，对符合本国产品标准的产品，按规定给予价格评审优惠，单一产品符合要求的，对其报价给予20%价格扣除后参与评审；多产品采购中，符合本国产品标准的产品成本占比达80%以上的，对全部产品总报价给予20%价格扣除后参与评审。</w:t>
            </w:r>
          </w:p>
          <w:p w14:paraId="4F0B673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供应商主张享受本国产品价格评审优惠的，须按要求出具《关于符合本国产品标准的声明函》，出具符合要求声明函的，产品视同本国产品，采购人和采购代理机构不再要求提供其他证明材料；供应商提供虚假声明函或证明材料的，将按《中华人民共和国政府采购法》等法律法规追究相应责任。</w:t>
            </w:r>
          </w:p>
          <w:p w14:paraId="2F05072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采购人和采购代理机构严格遵守政策要求，不得指定品牌或者限制品牌注册地、所有者，不得以所有制形式、组织形式、股权结构、投资者国别以及其他不合理条件对供应商实行差别待遇或者歧视待遇；中华人民共和国缔结或者共同参加的国际条约、协定对政府采购中本国产品政策另有规定的，按有关条约、协定执行。</w:t>
            </w:r>
          </w:p>
          <w:p w14:paraId="17BE04B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涉及本国产品标准的争议处理、境内生产组件成本核算等事项，均按国办发〔2025〕34号文件及配套规则相关规定执行</w:t>
            </w:r>
            <w:r>
              <w:rPr>
                <w:rFonts w:hint="eastAsia" w:ascii="宋体" w:hAnsi="宋体" w:cs="宋体"/>
                <w:color w:val="auto"/>
                <w:sz w:val="21"/>
                <w:szCs w:val="21"/>
                <w:highlight w:val="none"/>
                <w:lang w:val="en-US" w:eastAsia="zh-CN"/>
              </w:rPr>
              <w:t>。</w:t>
            </w:r>
          </w:p>
        </w:tc>
      </w:tr>
    </w:tbl>
    <w:p w14:paraId="0E8A0128">
      <w:pPr>
        <w:keepNext w:val="0"/>
        <w:keepLines w:val="0"/>
        <w:pageBreakBefore w:val="0"/>
        <w:widowControl w:val="0"/>
        <w:kinsoku/>
        <w:overflowPunct/>
        <w:topLinePunct w:val="0"/>
        <w:autoSpaceDE/>
        <w:autoSpaceDN/>
        <w:bidi w:val="0"/>
        <w:adjustRightInd/>
        <w:snapToGrid/>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b/>
          <w:color w:val="auto"/>
          <w:sz w:val="21"/>
          <w:szCs w:val="21"/>
          <w:highlight w:val="none"/>
        </w:rPr>
        <w:t>一、总  则</w:t>
      </w:r>
    </w:p>
    <w:p w14:paraId="104D13A9">
      <w:pPr>
        <w:keepNext w:val="0"/>
        <w:keepLines w:val="0"/>
        <w:pageBreakBefore w:val="0"/>
        <w:widowControl w:val="0"/>
        <w:kinsoku/>
        <w:overflowPunct/>
        <w:topLinePunct w:val="0"/>
        <w:autoSpaceDE/>
        <w:autoSpaceDN/>
        <w:bidi w:val="0"/>
        <w:adjustRightInd/>
        <w:snapToGrid/>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1.采购人、采购代理机构、项目名称，详见招标文件“</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5E83D5AD">
      <w:pPr>
        <w:keepNext w:val="0"/>
        <w:keepLines w:val="0"/>
        <w:pageBreakBefore w:val="0"/>
        <w:widowControl w:val="0"/>
        <w:kinsoku/>
        <w:overflowPunct/>
        <w:topLinePunct w:val="0"/>
        <w:autoSpaceDE/>
        <w:autoSpaceDN/>
        <w:bidi w:val="0"/>
        <w:adjustRightInd/>
        <w:snapToGrid/>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2.资金来源</w:t>
      </w:r>
    </w:p>
    <w:p w14:paraId="3DCF35AD">
      <w:pPr>
        <w:keepNext w:val="0"/>
        <w:keepLines w:val="0"/>
        <w:pageBreakBefore w:val="0"/>
        <w:widowControl w:val="0"/>
        <w:kinsoku/>
        <w:overflowPunct/>
        <w:topLinePunct w:val="0"/>
        <w:autoSpaceDE/>
        <w:autoSpaceDN/>
        <w:bidi w:val="0"/>
        <w:adjustRightInd/>
        <w:snapToGrid/>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2.1资金来源：详见招标文件“</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2BE97A07">
      <w:pPr>
        <w:keepNext w:val="0"/>
        <w:keepLines w:val="0"/>
        <w:pageBreakBefore w:val="0"/>
        <w:widowControl w:val="0"/>
        <w:kinsoku/>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color w:val="auto"/>
          <w:sz w:val="21"/>
          <w:szCs w:val="21"/>
          <w:highlight w:val="none"/>
        </w:rPr>
      </w:pPr>
      <w:bookmarkStart w:id="43" w:name="_Toc213141090"/>
      <w:r>
        <w:rPr>
          <w:rFonts w:hint="eastAsia" w:ascii="宋体" w:hAnsi="宋体" w:eastAsia="宋体" w:cs="宋体"/>
          <w:b/>
          <w:bCs/>
          <w:color w:val="auto"/>
          <w:sz w:val="21"/>
          <w:szCs w:val="21"/>
          <w:highlight w:val="none"/>
        </w:rPr>
        <w:t>3.</w:t>
      </w:r>
      <w:r>
        <w:rPr>
          <w:rFonts w:hint="eastAsia" w:ascii="宋体" w:hAnsi="宋体" w:eastAsia="宋体" w:cs="宋体"/>
          <w:b/>
          <w:color w:val="auto"/>
          <w:sz w:val="21"/>
          <w:szCs w:val="21"/>
          <w:highlight w:val="none"/>
        </w:rPr>
        <w:t>采购范围</w:t>
      </w:r>
    </w:p>
    <w:p w14:paraId="3F522302">
      <w:pPr>
        <w:keepNext w:val="0"/>
        <w:keepLines w:val="0"/>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3.1本项目采购内容：见“供应商须知前附表”。</w:t>
      </w:r>
    </w:p>
    <w:p w14:paraId="0F955075">
      <w:pPr>
        <w:keepNext w:val="0"/>
        <w:keepLines w:val="0"/>
        <w:pageBreakBefore w:val="0"/>
        <w:widowControl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3.2本项目交货地点</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质量要求</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配送服务要求</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产品的防护、包装及运输要求</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验收标准</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售后服务要求等见“供应商须知前附表”。</w:t>
      </w:r>
    </w:p>
    <w:p w14:paraId="145A97F5">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rPr>
        <w:t>4.合格的</w:t>
      </w:r>
      <w:r>
        <w:rPr>
          <w:rFonts w:hint="eastAsia" w:ascii="宋体" w:hAnsi="宋体" w:eastAsia="宋体" w:cs="宋体"/>
          <w:b/>
          <w:color w:val="auto"/>
          <w:sz w:val="21"/>
          <w:szCs w:val="21"/>
          <w:highlight w:val="none"/>
          <w:lang w:val="en-US" w:eastAsia="zh-CN"/>
        </w:rPr>
        <w:t>供应商</w:t>
      </w:r>
    </w:p>
    <w:p w14:paraId="7EC16FFA">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4.1合格的</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见“</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须知前附表”</w:t>
      </w:r>
      <w:r>
        <w:rPr>
          <w:rFonts w:hint="eastAsia" w:ascii="宋体" w:hAnsi="宋体" w:eastAsia="宋体" w:cs="宋体"/>
          <w:bCs/>
          <w:color w:val="auto"/>
          <w:sz w:val="21"/>
          <w:szCs w:val="21"/>
          <w:highlight w:val="none"/>
          <w:lang w:val="en-US" w:eastAsia="zh-CN"/>
        </w:rPr>
        <w:t>要求。</w:t>
      </w:r>
    </w:p>
    <w:p w14:paraId="020F4323">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须知前附表”规定接受联合体投标的，除应符合本章第4.1～4.3项和“</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须知前附表”的要求外，还应遵守以下规定：</w:t>
      </w:r>
    </w:p>
    <w:p w14:paraId="3DBE78C0">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采购人根据采购项目的特殊要求规定</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特定条件的，联合体各方中至少应有一方符合采购人规定的特定条件；</w:t>
      </w:r>
    </w:p>
    <w:p w14:paraId="2098AFEA">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联合体各方之间应当签订共同投标协议，明确约定联合体各方承担的工作和相应的责任；</w:t>
      </w:r>
    </w:p>
    <w:p w14:paraId="040794E6">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联合体各方不得再以自己名义单独或参加其他联合体在同一项目中投标。</w:t>
      </w:r>
    </w:p>
    <w:p w14:paraId="034327FC">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4.3符合上述条件的</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应承担投标及履约中应承担的全部责任与义务。</w:t>
      </w:r>
    </w:p>
    <w:p w14:paraId="728E1DFD">
      <w:pPr>
        <w:keepNext w:val="0"/>
        <w:keepLines w:val="0"/>
        <w:pageBreakBefore w:val="0"/>
        <w:widowControl w:val="0"/>
        <w:kinsoku/>
        <w:overflowPunct/>
        <w:topLinePunct w:val="0"/>
        <w:autoSpaceDE/>
        <w:autoSpaceDN/>
        <w:bidi w:val="0"/>
        <w:adjustRightInd/>
        <w:snapToGrid/>
        <w:spacing w:line="360" w:lineRule="auto"/>
        <w:ind w:firstLine="42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5.投标费用</w:t>
      </w:r>
    </w:p>
    <w:p w14:paraId="7F21755C">
      <w:pPr>
        <w:pStyle w:val="16"/>
        <w:keepNext w:val="0"/>
        <w:keepLines w:val="0"/>
        <w:pageBreakBefore w:val="0"/>
        <w:widowControl w:val="0"/>
        <w:kinsoku/>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5.1不论投标结果如何，</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均应自行承担所有与准备和参加投标活动有关的全部费用。</w:t>
      </w:r>
    </w:p>
    <w:p w14:paraId="63657366">
      <w:pPr>
        <w:pStyle w:val="16"/>
        <w:keepNext w:val="0"/>
        <w:keepLines w:val="0"/>
        <w:pageBreakBefore w:val="0"/>
        <w:widowControl w:val="0"/>
        <w:kinsoku/>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5.2</w:t>
      </w:r>
      <w:r>
        <w:rPr>
          <w:rFonts w:hint="eastAsia" w:ascii="宋体" w:hAnsi="宋体" w:eastAsia="宋体" w:cs="宋体"/>
          <w:color w:val="auto"/>
          <w:sz w:val="21"/>
          <w:szCs w:val="21"/>
          <w:highlight w:val="none"/>
          <w:lang w:eastAsia="zh-CN"/>
        </w:rPr>
        <w:t>中标服务费：见“供应商须知前附表”。</w:t>
      </w:r>
    </w:p>
    <w:p w14:paraId="62F234DE">
      <w:pPr>
        <w:pStyle w:val="16"/>
        <w:keepNext w:val="0"/>
        <w:keepLines w:val="0"/>
        <w:pageBreakBefore w:val="0"/>
        <w:widowControl w:val="0"/>
        <w:kinsoku/>
        <w:overflowPunct/>
        <w:topLinePunct w:val="0"/>
        <w:autoSpaceDE/>
        <w:autoSpaceDN/>
        <w:bidi w:val="0"/>
        <w:adjustRightInd/>
        <w:snapToGrid/>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二、招标文件</w:t>
      </w:r>
    </w:p>
    <w:p w14:paraId="1E265950">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bCs/>
          <w:color w:val="auto"/>
          <w:sz w:val="21"/>
          <w:szCs w:val="21"/>
          <w:highlight w:val="none"/>
        </w:rPr>
      </w:pPr>
      <w:bookmarkStart w:id="44" w:name="_Toc5656"/>
      <w:bookmarkStart w:id="45" w:name="_Toc27353"/>
      <w:bookmarkStart w:id="46" w:name="_Toc11424"/>
      <w:bookmarkStart w:id="47" w:name="_Toc14900"/>
      <w:bookmarkStart w:id="48" w:name="_Toc2099"/>
      <w:bookmarkStart w:id="49" w:name="_Toc13147"/>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.招标文件构成</w:t>
      </w:r>
    </w:p>
    <w:p w14:paraId="3FDDB064">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.1招标文件</w:t>
      </w:r>
      <w:r>
        <w:rPr>
          <w:rFonts w:hint="eastAsia" w:ascii="宋体" w:hAnsi="宋体" w:eastAsia="宋体" w:cs="宋体"/>
          <w:color w:val="auto"/>
          <w:sz w:val="21"/>
          <w:szCs w:val="21"/>
          <w:highlight w:val="none"/>
          <w:lang w:val="en-US" w:eastAsia="zh-CN"/>
        </w:rPr>
        <w:t>由以下</w:t>
      </w:r>
      <w:r>
        <w:rPr>
          <w:rFonts w:hint="eastAsia" w:ascii="宋体" w:hAnsi="宋体" w:eastAsia="宋体" w:cs="宋体"/>
          <w:color w:val="auto"/>
          <w:sz w:val="21"/>
          <w:szCs w:val="21"/>
          <w:highlight w:val="none"/>
        </w:rPr>
        <w:t>各章的内容</w:t>
      </w:r>
      <w:r>
        <w:rPr>
          <w:rFonts w:hint="eastAsia" w:ascii="宋体" w:hAnsi="宋体" w:eastAsia="宋体" w:cs="宋体"/>
          <w:color w:val="auto"/>
          <w:sz w:val="21"/>
          <w:szCs w:val="21"/>
          <w:highlight w:val="none"/>
          <w:lang w:val="en-US" w:eastAsia="zh-CN"/>
        </w:rPr>
        <w:t>组成</w:t>
      </w:r>
      <w:r>
        <w:rPr>
          <w:rFonts w:hint="eastAsia" w:ascii="宋体" w:hAnsi="宋体" w:eastAsia="宋体" w:cs="宋体"/>
          <w:color w:val="auto"/>
          <w:sz w:val="21"/>
          <w:szCs w:val="21"/>
          <w:highlight w:val="none"/>
        </w:rPr>
        <w:t>：</w:t>
      </w:r>
    </w:p>
    <w:p w14:paraId="4720B1A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bookmarkStart w:id="50" w:name="_Toc22304"/>
      <w:bookmarkStart w:id="51" w:name="_Toc7867"/>
      <w:bookmarkStart w:id="52" w:name="_Toc30125"/>
      <w:bookmarkStart w:id="53" w:name="_Toc3194"/>
      <w:bookmarkStart w:id="54" w:name="_Toc35701783"/>
      <w:bookmarkStart w:id="55" w:name="_Toc26868"/>
      <w:bookmarkStart w:id="56" w:name="_Toc22930"/>
      <w:bookmarkStart w:id="57" w:name="_Toc32361"/>
      <w:bookmarkStart w:id="58" w:name="_Toc12240"/>
      <w:bookmarkStart w:id="59" w:name="_Toc49935309"/>
      <w:bookmarkStart w:id="60" w:name="_Toc31972"/>
      <w:bookmarkStart w:id="61" w:name="_Toc14269"/>
      <w:bookmarkStart w:id="62" w:name="_Toc35700926"/>
      <w:bookmarkStart w:id="63" w:name="_Toc35700997"/>
      <w:bookmarkStart w:id="64" w:name="_Toc36116052"/>
      <w:bookmarkStart w:id="65" w:name="_Toc17071"/>
      <w:r>
        <w:rPr>
          <w:rFonts w:hint="eastAsia" w:ascii="宋体" w:hAnsi="宋体" w:eastAsia="宋体" w:cs="宋体"/>
          <w:color w:val="auto"/>
          <w:sz w:val="21"/>
          <w:szCs w:val="21"/>
          <w:highlight w:val="none"/>
        </w:rPr>
        <w:t>第一章 招标公告</w:t>
      </w:r>
    </w:p>
    <w:p w14:paraId="60925B80">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 </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w:t>
      </w:r>
    </w:p>
    <w:p w14:paraId="79208BF8">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 合同格式及主要条款</w:t>
      </w:r>
    </w:p>
    <w:p w14:paraId="67103DE1">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第四章 投标文件格式</w:t>
      </w:r>
    </w:p>
    <w:p w14:paraId="1105A15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第五章 采购需求</w:t>
      </w:r>
    </w:p>
    <w:p w14:paraId="5BA43A67">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章 评标方法（综合评分法）</w:t>
      </w:r>
      <w:r>
        <w:rPr>
          <w:rFonts w:hint="eastAsia" w:ascii="宋体" w:hAnsi="宋体" w:eastAsia="宋体" w:cs="宋体"/>
          <w:b/>
          <w:bCs/>
          <w:color w:val="auto"/>
          <w:sz w:val="21"/>
          <w:szCs w:val="21"/>
          <w:highlight w:val="none"/>
        </w:rPr>
        <w:t xml:space="preserve">    </w:t>
      </w:r>
    </w:p>
    <w:p w14:paraId="76D043BC">
      <w:pPr>
        <w:pStyle w:val="4"/>
        <w:keepNext w:val="0"/>
        <w:keepLines w:val="0"/>
        <w:pageBreakBefore w:val="0"/>
        <w:widowControl w:val="0"/>
        <w:numPr>
          <w:ilvl w:val="0"/>
          <w:numId w:val="0"/>
        </w:numPr>
        <w:kinsoku/>
        <w:wordWrap w:val="0"/>
        <w:overflowPunct/>
        <w:topLinePunct w:val="0"/>
        <w:autoSpaceDE/>
        <w:autoSpaceDN/>
        <w:bidi w:val="0"/>
        <w:adjustRightInd/>
        <w:snapToGrid/>
        <w:spacing w:before="0" w:beforeLines="0" w:line="360" w:lineRule="auto"/>
        <w:ind w:left="0" w:leftChars="0" w:firstLine="422"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.招标文件的询问、澄清、修改</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7457236F">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仔细阅读和检查</w:t>
      </w:r>
      <w:r>
        <w:rPr>
          <w:rFonts w:hint="eastAsia" w:ascii="宋体" w:hAnsi="宋体" w:eastAsia="宋体" w:cs="宋体"/>
          <w:color w:val="auto"/>
          <w:sz w:val="21"/>
          <w:szCs w:val="21"/>
          <w:highlight w:val="none"/>
        </w:rPr>
        <w:t>招标文件</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全部内容</w:t>
      </w:r>
      <w:r>
        <w:rPr>
          <w:rFonts w:hint="eastAsia" w:ascii="宋体" w:hAnsi="宋体" w:eastAsia="宋体" w:cs="宋体"/>
          <w:color w:val="auto"/>
          <w:sz w:val="21"/>
          <w:szCs w:val="21"/>
          <w:highlight w:val="none"/>
        </w:rPr>
        <w:t>，如有疑问，</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应当在投标截止时间10日前凭企业数字证书（CA）登录政府采购云平台（https://www.zcygov.cn/）通过在线方式向采购人或采购代理机构提出询问，采购人或者采购代理机构自收到异议之日起3日内对</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依法提出的询问</w:t>
      </w:r>
      <w:r>
        <w:rPr>
          <w:rFonts w:hint="eastAsia" w:ascii="宋体" w:hAnsi="宋体" w:eastAsia="宋体" w:cs="宋体"/>
          <w:color w:val="auto"/>
          <w:sz w:val="21"/>
          <w:szCs w:val="21"/>
          <w:highlight w:val="none"/>
          <w:lang w:val="en-US" w:eastAsia="zh-CN"/>
        </w:rPr>
        <w:t>通过在线形式</w:t>
      </w:r>
      <w:r>
        <w:rPr>
          <w:rFonts w:hint="eastAsia" w:ascii="宋体" w:hAnsi="宋体" w:eastAsia="宋体" w:cs="宋体"/>
          <w:color w:val="auto"/>
          <w:sz w:val="21"/>
          <w:szCs w:val="21"/>
          <w:highlight w:val="none"/>
        </w:rPr>
        <w:t>作出答复，但答复的内容不涉及商业秘密。</w:t>
      </w:r>
    </w:p>
    <w:p w14:paraId="0CBB179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采购人或者采购代理机构可以对已发出的招标文件进行必要的澄清或者修改，该澄清或者修改的内容为招标文件的组成部分。澄清或者修改的内容可能影响投标文件编制的，采购人或者采购代理机构应当在投标截止时间至少15日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通过在线形式通知所有获取招标文件的供应商；不足15日的，采购人或者采购代理机构应当顺延提交投标文件的截止时间。</w:t>
      </w:r>
    </w:p>
    <w:p w14:paraId="2436B9EC">
      <w:pPr>
        <w:pStyle w:val="31"/>
        <w:keepNext w:val="0"/>
        <w:keepLines w:val="0"/>
        <w:pageBreakBefore w:val="0"/>
        <w:widowControl w:val="0"/>
        <w:kinsoku/>
        <w:wordWrap w:val="0"/>
        <w:overflowPunct/>
        <w:topLinePunct w:val="0"/>
        <w:autoSpaceDE/>
        <w:autoSpaceDN/>
        <w:bidi w:val="0"/>
        <w:adjustRightInd/>
        <w:snapToGrid/>
        <w:spacing w:after="0" w:afterLines="0"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采购人对招标文件中的涉及评标办法、评审项目等重要评审内容做出变更，将发布补遗文件进行说明以保证各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都能重新下载并用于编制电子投标文件。</w:t>
      </w:r>
    </w:p>
    <w:p w14:paraId="72BAD386">
      <w:pPr>
        <w:pStyle w:val="31"/>
        <w:keepNext w:val="0"/>
        <w:keepLines w:val="0"/>
        <w:pageBreakBefore w:val="0"/>
        <w:widowControl w:val="0"/>
        <w:kinsoku/>
        <w:wordWrap w:val="0"/>
        <w:overflowPunct/>
        <w:topLinePunct w:val="0"/>
        <w:autoSpaceDE/>
        <w:autoSpaceDN/>
        <w:bidi w:val="0"/>
        <w:adjustRightInd/>
        <w:snapToGrid/>
        <w:spacing w:after="0" w:afterLines="0"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招标文件澄清、招标文件修改文件内容均以网上电子文件为准，当招标文件、招标文件澄清、招标文件修改文件内容后前相互矛盾时，以最后发出的为准。</w:t>
      </w:r>
    </w:p>
    <w:p w14:paraId="48C39D51">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5本项目</w:t>
      </w:r>
      <w:r>
        <w:rPr>
          <w:rFonts w:hint="eastAsia" w:ascii="宋体" w:hAnsi="宋体" w:eastAsia="宋体" w:cs="宋体"/>
          <w:color w:val="auto"/>
          <w:sz w:val="21"/>
          <w:szCs w:val="21"/>
          <w:highlight w:val="none"/>
        </w:rPr>
        <w:t>招标澄清和补遗全部通过网络送达，</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lang w:val="en-US" w:eastAsia="zh-CN"/>
        </w:rPr>
        <w:t>须</w:t>
      </w:r>
      <w:r>
        <w:rPr>
          <w:rFonts w:hint="eastAsia" w:ascii="宋体" w:hAnsi="宋体" w:eastAsia="宋体" w:cs="宋体"/>
          <w:color w:val="auto"/>
          <w:sz w:val="21"/>
          <w:szCs w:val="21"/>
          <w:highlight w:val="none"/>
        </w:rPr>
        <w:t>在投标截止时间前自行查看“云南省政府采购网（http://www.yngp.com）”、“政府采购云平台（https://www.zcygov.cn/）”中有关该项目招标文件的答疑、补遗内容。否则，由此引起的投标损失自负。</w:t>
      </w:r>
    </w:p>
    <w:p w14:paraId="1C5279E4">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jc w:val="center"/>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highlight w:val="none"/>
          <w:lang w:val="en-US" w:eastAsia="zh-CN" w:bidi="ar-SA"/>
        </w:rPr>
        <w:t>三、</w:t>
      </w:r>
      <w:r>
        <w:rPr>
          <w:rFonts w:hint="eastAsia" w:ascii="宋体" w:hAnsi="宋体" w:eastAsia="宋体" w:cs="宋体"/>
          <w:b/>
          <w:color w:val="auto"/>
          <w:sz w:val="21"/>
          <w:szCs w:val="21"/>
          <w:highlight w:val="none"/>
        </w:rPr>
        <w:t>投标文件</w:t>
      </w:r>
    </w:p>
    <w:p w14:paraId="6B9181BF">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.投标文件编写注意事项</w:t>
      </w:r>
    </w:p>
    <w:p w14:paraId="53F270E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应仔细阅读招标文件，在完全</w:t>
      </w:r>
      <w:r>
        <w:rPr>
          <w:rFonts w:hint="eastAsia" w:ascii="宋体" w:hAnsi="宋体" w:eastAsia="宋体" w:cs="宋体"/>
          <w:color w:val="auto"/>
          <w:sz w:val="21"/>
          <w:szCs w:val="21"/>
          <w:highlight w:val="none"/>
          <w:lang w:val="en-US" w:eastAsia="zh-CN"/>
        </w:rPr>
        <w:t>了解本采购项目的</w:t>
      </w:r>
      <w:r>
        <w:rPr>
          <w:rFonts w:hint="eastAsia" w:ascii="宋体" w:hAnsi="宋体" w:eastAsia="宋体" w:cs="宋体"/>
          <w:color w:val="auto"/>
          <w:sz w:val="21"/>
          <w:szCs w:val="21"/>
          <w:highlight w:val="none"/>
        </w:rPr>
        <w:t>实质性要求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技术要求和商务</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后，编写投标文件。投标文件必须响应招标文件的实质性要求</w:t>
      </w:r>
      <w:r>
        <w:rPr>
          <w:rFonts w:hint="eastAsia" w:ascii="宋体" w:hAnsi="宋体" w:eastAsia="宋体" w:cs="宋体"/>
          <w:color w:val="auto"/>
          <w:sz w:val="21"/>
          <w:szCs w:val="21"/>
          <w:highlight w:val="none"/>
          <w:lang w:eastAsia="zh-CN"/>
        </w:rPr>
        <w:t>（技术要求和商务</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7FDBF5A8">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8.2技术要求是指对采购标的的技术性能指标要求。</w:t>
      </w:r>
    </w:p>
    <w:p w14:paraId="45112177">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8.3商务要求是指交货及安装地点、质量要求、质保期、售后服务要求、培训服务要求、合同履行期限等要求。</w:t>
      </w:r>
    </w:p>
    <w:p w14:paraId="6E5B35BD">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.投标的语言及计量单位</w:t>
      </w:r>
    </w:p>
    <w:p w14:paraId="2388A650">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的投标文件以及</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与采购代理机构就有关投标的所有来往函电统一使用中文（特别规定除外）。</w:t>
      </w:r>
    </w:p>
    <w:p w14:paraId="2DE6E07B">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.2投标文件中使用的计量单位除招标文件中有特殊规定外，一律使用中国法定计量单位。</w:t>
      </w:r>
    </w:p>
    <w:p w14:paraId="5057B019">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.投标文件构成</w:t>
      </w:r>
    </w:p>
    <w:p w14:paraId="363CCD1E">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投标文件应包括内容详见本文件“第四章 投标文件格式”，投标人须按格式要求填写相应内容。如有必要，可以增加附页，作为投标文件的组成部分。</w:t>
      </w:r>
    </w:p>
    <w:p w14:paraId="0EB16B77">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.2 构成投标文件的其他资料：</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认为有利于其投标的其它材料。</w:t>
      </w:r>
    </w:p>
    <w:p w14:paraId="478E80F6">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.投标文件的格式要求</w:t>
      </w:r>
    </w:p>
    <w:p w14:paraId="35164B20">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应按招标文件中“投标文件格式”提供的格式完整地填写。</w:t>
      </w:r>
    </w:p>
    <w:p w14:paraId="767D3AC8">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.投标报价</w:t>
      </w:r>
    </w:p>
    <w:p w14:paraId="009E500E">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12.1报价方式</w:t>
      </w:r>
    </w:p>
    <w:p w14:paraId="1160E490">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采用双维度报价模式：肉食品类填报上浮比例，蔬菜类、辅料类填报下浮率。投标人根据企业自身实力结合市场情况自行测算满足采购要求的投标报价，按采购货物类别分别填报对应比例，每个单一货物类别只允许有一个有效报价，采购人不接受有任何选择的报价。上浮率/下浮率必须为≥0的有效数字（例如0.5%、1%、2%……等等），否则投标文件作无效投标处理。</w:t>
      </w:r>
    </w:p>
    <w:p w14:paraId="3B83F760">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（2）肉食品类：投标人填报肉类综合运营上浮率，计价基数为每月备案锁定的定点屠宰</w:t>
      </w:r>
      <w:r>
        <w:rPr>
          <w:rFonts w:hint="eastAsia" w:hAnsi="宋体" w:cs="宋体"/>
          <w:color w:val="auto"/>
          <w:sz w:val="21"/>
          <w:szCs w:val="21"/>
          <w:highlight w:val="none"/>
          <w:lang w:val="en-US" w:eastAsia="zh-CN"/>
        </w:rPr>
        <w:t>场</w:t>
      </w:r>
      <w:r>
        <w:rPr>
          <w:rFonts w:hint="eastAsia" w:ascii="宋体" w:hAnsi="宋体" w:eastAsia="宋体" w:cs="宋体"/>
          <w:color w:val="auto"/>
          <w:sz w:val="21"/>
          <w:szCs w:val="21"/>
          <w:highlight w:val="none"/>
          <w:lang w:val="en-US" w:eastAsia="zh-CN"/>
        </w:rPr>
        <w:t>批发单价；该上浮率涵盖全区各校冷链配送、装卸、人工、税费、企业合理利润等全部运营成本，采购人及各供货学校不再另行支付配送、加工、服务等一切额外费用。</w:t>
      </w:r>
    </w:p>
    <w:p w14:paraId="30B2118B">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蔬菜类、辅料类：投标人填报综合运营下浮率，计价基数为当期市场单价；该下浮率涵盖配送、装卸、人工、税费、企业合理利润等全部运营成本，采购人及各供货学校不再另行支付配送、加工、服务等一切额外费用。</w:t>
      </w:r>
    </w:p>
    <w:p w14:paraId="7FA56796">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12.2</w:t>
      </w:r>
      <w:r>
        <w:rPr>
          <w:rFonts w:hint="eastAsia" w:ascii="宋体" w:hAnsi="宋体" w:eastAsia="宋体" w:cs="宋体"/>
          <w:color w:val="auto"/>
          <w:sz w:val="21"/>
          <w:szCs w:val="21"/>
          <w:highlight w:val="none"/>
          <w:lang w:val="en-US" w:eastAsia="zh-CN"/>
        </w:rPr>
        <w:t>定价基数</w:t>
      </w:r>
    </w:p>
    <w:p w14:paraId="2F2C8C5F">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（1）肉食品类</w:t>
      </w:r>
    </w:p>
    <w:p w14:paraId="23F32683">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基准价报送与备案要求：供应商须于每月25日至30日，将加盖定点屠宰场公章的次月肉类批发价格依据证明（或屠宰场当期价格公示材料或其他能够客观、真实佐证定点屠宰场批发价格的有效证明材料）报送报送采购人及各供货学校，由采购人及各供货学校统一收存备案存档；屠宰批发价格一经供应商与供货学校双方确认锁定，作为次月完整1个月供货计价的唯一基数，该执行周期内定点屠宰批发单价固定不变，不随屠宰场临时调价、市场短期涨跌调整。</w:t>
      </w:r>
    </w:p>
    <w:p w14:paraId="1F26041D">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本条款所指屠宰场批发价格为屠宰场完成脱酸、精修、预冷、人工、场内配送至供应商仓库的综合采购进价。</w:t>
      </w:r>
    </w:p>
    <w:p w14:paraId="40DBB5AA">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②月度结算单价计算公式：次月结算单价=每月25-30日备案锁定的定点屠宰场批发单价×（1+中标上浮率）。</w:t>
      </w:r>
    </w:p>
    <w:p w14:paraId="213D7431">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③逾期报送违约责任：供应商未在当月25日—30日完成次月屠宰批发价备案，或提交单据无屠宰场有效盖章、价格材料虚假的，次月肉类结算不采用上浮计价模式，统一按上期备案锁定的定点屠宰</w:t>
      </w:r>
      <w:r>
        <w:rPr>
          <w:rFonts w:hint="eastAsia" w:hAnsi="宋体" w:cs="宋体"/>
          <w:color w:val="auto"/>
          <w:sz w:val="21"/>
          <w:szCs w:val="21"/>
          <w:highlight w:val="none"/>
          <w:lang w:val="en-US" w:eastAsia="zh-CN"/>
        </w:rPr>
        <w:t>场</w:t>
      </w:r>
      <w:r>
        <w:rPr>
          <w:rFonts w:hint="eastAsia" w:ascii="宋体" w:hAnsi="宋体" w:eastAsia="宋体" w:cs="宋体"/>
          <w:color w:val="auto"/>
          <w:sz w:val="21"/>
          <w:szCs w:val="21"/>
          <w:highlight w:val="none"/>
          <w:lang w:val="en-US" w:eastAsia="zh-CN"/>
        </w:rPr>
        <w:t>批发单价结算，全部价差亏损由供应商自行承担，同时采购人有权将其记入供应商履约不良记录。</w:t>
      </w:r>
    </w:p>
    <w:p w14:paraId="2FF076C8">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（2）蔬菜类、辅料类</w:t>
      </w:r>
    </w:p>
    <w:p w14:paraId="1F9D3A97">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1）询价基准与标准</w:t>
      </w:r>
    </w:p>
    <w:p w14:paraId="12F830AA">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①询价方式：由询价小组开展市场询价工作，询价范围限定为供货上一个月在临翔区城区内正常运营的三家</w:t>
      </w:r>
      <w:r>
        <w:rPr>
          <w:rFonts w:hint="eastAsia" w:hAnsi="宋体" w:cs="宋体"/>
          <w:color w:val="auto"/>
          <w:sz w:val="21"/>
          <w:szCs w:val="21"/>
          <w:highlight w:val="none"/>
          <w:lang w:val="en-US" w:eastAsia="zh-CN"/>
        </w:rPr>
        <w:t>或三家以上</w:t>
      </w:r>
      <w:r>
        <w:rPr>
          <w:rFonts w:hint="eastAsia" w:ascii="宋体" w:hAnsi="宋体" w:eastAsia="宋体" w:cs="宋体"/>
          <w:color w:val="auto"/>
          <w:sz w:val="21"/>
          <w:szCs w:val="21"/>
          <w:highlight w:val="none"/>
          <w:lang w:val="en-US" w:eastAsia="zh-CN"/>
        </w:rPr>
        <w:t>大型商超或农贸市场，以该范围内的产品实际售价作为询价基础。</w:t>
      </w:r>
    </w:p>
    <w:p w14:paraId="329F10FC">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②基准价计算：以三家</w:t>
      </w:r>
      <w:r>
        <w:rPr>
          <w:rFonts w:hint="eastAsia" w:hAnsi="宋体" w:cs="宋体"/>
          <w:color w:val="auto"/>
          <w:sz w:val="21"/>
          <w:szCs w:val="21"/>
          <w:highlight w:val="none"/>
          <w:lang w:val="en-US" w:eastAsia="zh-CN"/>
        </w:rPr>
        <w:t>或三家以上</w:t>
      </w:r>
      <w:r>
        <w:rPr>
          <w:rFonts w:hint="eastAsia" w:ascii="宋体" w:hAnsi="宋体" w:eastAsia="宋体" w:cs="宋体"/>
          <w:color w:val="auto"/>
          <w:sz w:val="21"/>
          <w:szCs w:val="21"/>
          <w:highlight w:val="none"/>
          <w:lang w:val="en-US" w:eastAsia="zh-CN"/>
        </w:rPr>
        <w:t>商超/农贸市场的有效询价结果取平均值，作为本次询价的基准价。</w:t>
      </w:r>
    </w:p>
    <w:p w14:paraId="0F163B86">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③排除情形：经核实属于大型商超、农贸市场的引流价、特价商品价格及处理品价格，均不纳入本次询价标准范围，不参与基准价计算。</w:t>
      </w:r>
    </w:p>
    <w:p w14:paraId="3AB8F1A4">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2）询价周期与执行期</w:t>
      </w:r>
    </w:p>
    <w:p w14:paraId="219E6BE9">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①询价频次：按学期周期设定，每个学期开展2次询价，确保价格与市场动态适配。</w:t>
      </w:r>
    </w:p>
    <w:p w14:paraId="163B372D">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②询价时间：两次询价分别在固定节点启动，第一次为学期初，第二次为学期中，避免周期混乱。</w:t>
      </w:r>
    </w:p>
    <w:p w14:paraId="5AD18812">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执行期规则：每次询价确定的基准价及对应价格标准，执行期为2个月（覆盖两次询价间隔周期），有效期内严格按该价格标准执行；若学期末存在剩余周期不足2个月的情况，仍按最近一次询价价格执行至学期结束。</w:t>
      </w:r>
    </w:p>
    <w:p w14:paraId="02868570">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特殊调整情形：仅当市场价格浮动幅度达到或超过5%（含5%），且供应商已完成一个月配送服务并能提供有效价格浮动例证（有调价货物在配送学校当地市场和临翔区其他两个不同区域市场价格浮动幅度均超过5%的例证）时，可不受学期初、学期中固定节点限制，提前启动临时询价；若未满足上述条件，则需按学期内最近一次询价确定的市场价格，完整执行至下一次固定询价节点。</w:t>
      </w:r>
    </w:p>
    <w:p w14:paraId="144F7EAA">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3）询价小组组成</w:t>
      </w:r>
    </w:p>
    <w:p w14:paraId="007F380F">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询价小组由三方成员共同组成，具体为：临沧市临翔区教育体育局代表、供货学校代表、中标供应商代表。</w:t>
      </w:r>
    </w:p>
    <w:p w14:paraId="54EA862E">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12.3</w:t>
      </w:r>
      <w:r>
        <w:rPr>
          <w:rFonts w:hint="eastAsia" w:ascii="宋体" w:hAnsi="宋体" w:eastAsia="宋体" w:cs="宋体"/>
          <w:color w:val="auto"/>
          <w:sz w:val="21"/>
          <w:szCs w:val="21"/>
          <w:highlight w:val="none"/>
          <w:lang w:val="en-US" w:eastAsia="zh-CN"/>
        </w:rPr>
        <w:t>结算规则</w:t>
      </w:r>
    </w:p>
    <w:p w14:paraId="6B083500">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月结算，根据每月确定的商品价格（单价）×（1±上浮率/下浮率）×实际完成的商品供应数量进行结算；一旦中标，该报价（上浮率/下浮率）将作为本项目供货周期内货物价格的唯一计算依据，且上浮率/下浮率不得调整。</w:t>
      </w:r>
    </w:p>
    <w:p w14:paraId="3638444E">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投标报价为采购人指定地点的现场交货价；包含原料费、生产加工费、产品采购费、产品包装费（含特殊字样印制）、运费（含二次搬运）、配送费、损耗、装卸费、保险费、抽检留样和售后服务费、企业管理费、利润、税费等招标文件明示或暗示的所有费用，为完成本项目履行合同所必须的全部工作产生的一切费用；该价格已充分考虑市场风险、价格风险、政策风险、汇率风险等所有因素。</w:t>
      </w:r>
    </w:p>
    <w:p w14:paraId="4F27EF50">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供应商不得哄抬报价，也不应低于成本价（或进价）报价。评审委员会认为供应商的最低报价或者某些分项报价明显不合理或者低于成本，有可能影响商品质量和不能诚信履约的，将要求其在规定的期限内提供书面文件予以解释说明，并提交相关证明材料。否则，评审委员会可以取消该供应商的成交候选资格。</w:t>
      </w:r>
    </w:p>
    <w:p w14:paraId="7D3C910C">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报价应本着合理的原则，本采购项目不一定要接受上浮比例最高或下浮率最低的供应商为中标人。</w:t>
      </w:r>
    </w:p>
    <w:p w14:paraId="67F9AD1E">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供应商应遵守有关的国家法律、法令、条例和政府采购有关制度。一旦参加报价，则应承担相关法律责任。</w:t>
      </w:r>
    </w:p>
    <w:p w14:paraId="652EEBCC">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.投标货币</w:t>
      </w:r>
    </w:p>
    <w:p w14:paraId="547D11A7">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.1投标以人民币报价。</w:t>
      </w:r>
    </w:p>
    <w:p w14:paraId="50547F4B">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.投标文件有效期</w:t>
      </w:r>
    </w:p>
    <w:p w14:paraId="3DA6023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.1在“</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”规定的投标有效期内，</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不得要求撤销或修改其投标文件。</w:t>
      </w:r>
    </w:p>
    <w:p w14:paraId="56DFF651">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w:t>
      </w:r>
      <w:bookmarkStart w:id="66" w:name="_Hlk530349676"/>
      <w:bookmarkStart w:id="67" w:name="_Hlk530347140"/>
      <w:r>
        <w:rPr>
          <w:rFonts w:hint="eastAsia" w:ascii="宋体" w:hAnsi="宋体" w:eastAsia="宋体" w:cs="宋体"/>
          <w:color w:val="auto"/>
          <w:sz w:val="21"/>
          <w:szCs w:val="21"/>
          <w:highlight w:val="none"/>
        </w:rPr>
        <w:t>在特殊情况需要延长投标有效期的，采购人或采购代理机构应通知所有投标人延长投标有效期。投标人同意延长的，应相应延长其投标保证金的有效期，但不得要求或被允许修改或撤销其投标文件；投标人拒绝延长的，其投标文件失效，但投标人有权予以退还其投标保证金。</w:t>
      </w:r>
      <w:bookmarkEnd w:id="66"/>
    </w:p>
    <w:bookmarkEnd w:id="67"/>
    <w:p w14:paraId="75C3DBFA">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.投标文件的编制</w:t>
      </w:r>
      <w:r>
        <w:rPr>
          <w:rFonts w:hint="eastAsia" w:ascii="宋体" w:hAnsi="宋体" w:eastAsia="宋体" w:cs="宋体"/>
          <w:color w:val="auto"/>
          <w:sz w:val="21"/>
          <w:szCs w:val="21"/>
          <w:highlight w:val="none"/>
        </w:rPr>
        <w:t xml:space="preserve">   </w:t>
      </w:r>
      <w:bookmarkStart w:id="68" w:name="_Hlk530347202"/>
    </w:p>
    <w:p w14:paraId="15742996">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电子投标文件应使用《政采云投标客户端》制作电子投标文件，格式为.jmbs。投标文件编制流程详见《电子招投标（单一来源）-供应商》（https://helpcenter.zcygov.cn/document/#/document/detail?siteCode=yunnan&amp;topicId=358641&amp;manualId=7097）。</w:t>
      </w:r>
    </w:p>
    <w:p w14:paraId="1235BED9">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投标文件中提供的资料（包括</w:t>
      </w:r>
      <w:r>
        <w:rPr>
          <w:rFonts w:hint="eastAsia" w:ascii="宋体" w:hAnsi="宋体" w:eastAsia="宋体" w:cs="宋体"/>
          <w:color w:val="auto"/>
          <w:sz w:val="21"/>
          <w:szCs w:val="21"/>
          <w:highlight w:val="none"/>
          <w:lang w:val="en-US" w:eastAsia="zh-CN"/>
        </w:rPr>
        <w:t>原件扫描件</w:t>
      </w:r>
      <w:r>
        <w:rPr>
          <w:rFonts w:hint="eastAsia" w:ascii="宋体" w:hAnsi="宋体" w:eastAsia="宋体" w:cs="宋体"/>
          <w:color w:val="auto"/>
          <w:sz w:val="21"/>
          <w:szCs w:val="21"/>
          <w:highlight w:val="none"/>
        </w:rPr>
        <w:t>），内容必须清晰可辨，若内容模糊</w:t>
      </w:r>
      <w:r>
        <w:rPr>
          <w:rFonts w:hint="eastAsia" w:ascii="宋体" w:hAnsi="宋体" w:eastAsia="宋体" w:cs="宋体"/>
          <w:color w:val="auto"/>
          <w:sz w:val="21"/>
          <w:szCs w:val="21"/>
          <w:highlight w:val="none"/>
          <w:lang w:val="en-US" w:eastAsia="zh-CN"/>
        </w:rPr>
        <w:t>不完整</w:t>
      </w:r>
      <w:r>
        <w:rPr>
          <w:rFonts w:hint="eastAsia" w:ascii="宋体" w:hAnsi="宋体" w:eastAsia="宋体" w:cs="宋体"/>
          <w:color w:val="auto"/>
          <w:sz w:val="21"/>
          <w:szCs w:val="21"/>
          <w:highlight w:val="none"/>
        </w:rPr>
        <w:t>，无法辨识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评标委员会有权就此作出对供应商最不利的处理决定。</w:t>
      </w:r>
    </w:p>
    <w:p w14:paraId="5D6C1EA8">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投标文件应由法定代表人或其委托代理人</w:t>
      </w:r>
      <w:r>
        <w:rPr>
          <w:rFonts w:hint="eastAsia" w:ascii="宋体" w:hAnsi="宋体" w:eastAsia="宋体" w:cs="宋体"/>
          <w:b/>
          <w:color w:val="auto"/>
          <w:sz w:val="21"/>
          <w:szCs w:val="21"/>
          <w:highlight w:val="none"/>
        </w:rPr>
        <w:t>在规定签字处逐一签字，要求盖章处应盖单位章，签字及盖章要求详见</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p>
    <w:p w14:paraId="5AA0A14B">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提交的电子投标文件不符合1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项或开标时无法读取导入或解密，其投标文件将不予受理，后果由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自行负责。</w:t>
      </w:r>
    </w:p>
    <w:p w14:paraId="6328F674">
      <w:pPr>
        <w:pStyle w:val="16"/>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纸质投标文件份数见“</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须知前附表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15.5</w:t>
      </w:r>
      <w:r>
        <w:rPr>
          <w:rFonts w:hint="eastAsia" w:ascii="宋体" w:hAnsi="宋体" w:eastAsia="宋体" w:cs="宋体"/>
          <w:color w:val="auto"/>
          <w:sz w:val="21"/>
          <w:szCs w:val="21"/>
          <w:highlight w:val="none"/>
        </w:rPr>
        <w:t>项要求。投标文件封面上应标明项目名称、</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名称等内容。投标文件应装订成册，并编制目录。投标文件装订应牢固，不得采用活页夹。</w:t>
      </w:r>
    </w:p>
    <w:p w14:paraId="2036F2C0">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6.</w:t>
      </w:r>
      <w:r>
        <w:rPr>
          <w:rFonts w:hint="eastAsia" w:ascii="宋体" w:hAnsi="宋体" w:eastAsia="宋体" w:cs="宋体"/>
          <w:b/>
          <w:color w:val="auto"/>
          <w:sz w:val="21"/>
          <w:szCs w:val="21"/>
          <w:highlight w:val="none"/>
        </w:rPr>
        <w:t>电子投标文件的修改与撤回</w:t>
      </w:r>
    </w:p>
    <w:p w14:paraId="6DE24CD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.1在递交投标文件截止时间前，</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可以修改或撤回已在网上递交的投标文件，无须通知采购人。</w:t>
      </w:r>
    </w:p>
    <w:p w14:paraId="2155C47F">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.2修改的投标文件应按规定进行编制、</w:t>
      </w:r>
      <w:r>
        <w:rPr>
          <w:rFonts w:hint="eastAsia" w:ascii="宋体" w:hAnsi="宋体" w:eastAsia="宋体" w:cs="宋体"/>
          <w:color w:val="auto"/>
          <w:sz w:val="21"/>
          <w:szCs w:val="21"/>
          <w:highlight w:val="none"/>
          <w:lang w:val="en-US" w:eastAsia="zh-CN"/>
        </w:rPr>
        <w:t>加密</w:t>
      </w:r>
      <w:r>
        <w:rPr>
          <w:rFonts w:hint="eastAsia" w:ascii="宋体" w:hAnsi="宋体" w:eastAsia="宋体" w:cs="宋体"/>
          <w:color w:val="auto"/>
          <w:sz w:val="21"/>
          <w:szCs w:val="21"/>
          <w:highlight w:val="none"/>
        </w:rPr>
        <w:t>和递交。</w:t>
      </w:r>
    </w:p>
    <w:bookmarkEnd w:id="68"/>
    <w:p w14:paraId="65696114">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17</w:t>
      </w:r>
      <w:r>
        <w:rPr>
          <w:rFonts w:hint="eastAsia" w:ascii="宋体" w:hAnsi="宋体" w:eastAsia="宋体" w:cs="宋体"/>
          <w:b/>
          <w:bCs/>
          <w:color w:val="auto"/>
          <w:sz w:val="21"/>
          <w:szCs w:val="21"/>
          <w:highlight w:val="none"/>
        </w:rPr>
        <w:t>.投标保证金</w:t>
      </w:r>
    </w:p>
    <w:p w14:paraId="483C44C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.1投标保证金为人民币。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应在提交投标文件截止时间以前按“</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须知前附表”规定提交。</w:t>
      </w:r>
    </w:p>
    <w:p w14:paraId="1950A6E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.2投标保证金形式：投标保证金应按“</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须知前附表”规定的形式提交。</w:t>
      </w:r>
    </w:p>
    <w:p w14:paraId="24B83517">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17</w:t>
      </w:r>
      <w:r>
        <w:rPr>
          <w:rFonts w:hint="eastAsia" w:ascii="宋体" w:hAnsi="宋体" w:eastAsia="宋体" w:cs="宋体"/>
          <w:b/>
          <w:bCs/>
          <w:color w:val="auto"/>
          <w:sz w:val="21"/>
          <w:szCs w:val="21"/>
          <w:highlight w:val="none"/>
        </w:rPr>
        <w:t>.3办理缴</w:t>
      </w:r>
      <w:r>
        <w:rPr>
          <w:rFonts w:hint="eastAsia" w:ascii="宋体" w:hAnsi="宋体" w:eastAsia="宋体" w:cs="宋体"/>
          <w:b/>
          <w:color w:val="auto"/>
          <w:sz w:val="21"/>
          <w:szCs w:val="21"/>
          <w:highlight w:val="none"/>
        </w:rPr>
        <w:t>纳投标保证金手续时，请务必在银行进账单或电汇单的用途栏或空白栏上注明</w:t>
      </w:r>
      <w:r>
        <w:rPr>
          <w:rFonts w:hint="eastAsia" w:ascii="宋体" w:hAnsi="宋体" w:eastAsia="宋体" w:cs="宋体"/>
          <w:b/>
          <w:color w:val="auto"/>
          <w:sz w:val="21"/>
          <w:szCs w:val="21"/>
          <w:highlight w:val="none"/>
          <w:lang w:val="en-US" w:eastAsia="zh-CN"/>
        </w:rPr>
        <w:t>用途、项目名称</w:t>
      </w:r>
      <w:r>
        <w:rPr>
          <w:rFonts w:hint="eastAsia" w:ascii="宋体" w:hAnsi="宋体" w:eastAsia="宋体" w:cs="宋体"/>
          <w:b/>
          <w:color w:val="auto"/>
          <w:sz w:val="21"/>
          <w:szCs w:val="21"/>
          <w:highlight w:val="none"/>
        </w:rPr>
        <w:t>。</w:t>
      </w:r>
    </w:p>
    <w:p w14:paraId="09937A0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.4未中标人应在</w:t>
      </w:r>
      <w:r>
        <w:rPr>
          <w:rFonts w:hint="eastAsia" w:ascii="宋体" w:hAnsi="宋体" w:eastAsia="宋体" w:cs="宋体"/>
          <w:color w:val="auto"/>
          <w:sz w:val="21"/>
          <w:szCs w:val="21"/>
          <w:highlight w:val="none"/>
          <w:lang w:val="en-US" w:eastAsia="zh-CN"/>
        </w:rPr>
        <w:t>成交通知书</w:t>
      </w:r>
      <w:r>
        <w:rPr>
          <w:rFonts w:hint="eastAsia" w:ascii="宋体" w:hAnsi="宋体" w:eastAsia="宋体" w:cs="宋体"/>
          <w:color w:val="auto"/>
          <w:sz w:val="21"/>
          <w:szCs w:val="21"/>
          <w:highlight w:val="none"/>
        </w:rPr>
        <w:t>发出后五个工作日内办理退还保证金手续；中标人应在签订合同后五个工作日办理退还保证金手续。</w:t>
      </w:r>
    </w:p>
    <w:p w14:paraId="28D4E3DF">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.5下列情况发生时，投标保证金将不予退还</w:t>
      </w:r>
    </w:p>
    <w:p w14:paraId="1F3653C6">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（1）投标人在提交投标文件截止时间后撤回投标文件的；</w:t>
      </w:r>
    </w:p>
    <w:p w14:paraId="4B6B6903">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（2）投标人在投标文件中提供虚假材料的；</w:t>
      </w:r>
    </w:p>
    <w:p w14:paraId="4D97838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（3）除因不可抗力或投标文件认可的情形以外，无正当理由拒绝与采购人签订合同的；</w:t>
      </w:r>
    </w:p>
    <w:p w14:paraId="38BA8BC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（4）投标人与采购人、其他投标人或者采购代理机构恶意串通的；</w:t>
      </w:r>
    </w:p>
    <w:p w14:paraId="5B0AEE5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（5）招标文件规定的其他情形</w:t>
      </w:r>
      <w:r>
        <w:rPr>
          <w:rFonts w:hint="eastAsia" w:ascii="宋体" w:hAnsi="宋体" w:eastAsia="宋体" w:cs="宋体"/>
          <w:color w:val="auto"/>
          <w:sz w:val="21"/>
          <w:szCs w:val="21"/>
          <w:highlight w:val="none"/>
          <w:lang w:eastAsia="zh-CN"/>
        </w:rPr>
        <w:t>。</w:t>
      </w:r>
    </w:p>
    <w:p w14:paraId="423B31BC">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jc w:val="center"/>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highlight w:val="none"/>
          <w:lang w:val="en-US" w:eastAsia="zh-CN" w:bidi="ar-SA"/>
        </w:rPr>
        <w:t>四、</w:t>
      </w:r>
      <w:r>
        <w:rPr>
          <w:rFonts w:hint="eastAsia" w:ascii="宋体" w:hAnsi="宋体" w:eastAsia="宋体" w:cs="宋体"/>
          <w:b/>
          <w:color w:val="auto"/>
          <w:sz w:val="21"/>
          <w:szCs w:val="21"/>
          <w:highlight w:val="none"/>
        </w:rPr>
        <w:t>投标文件的递交</w:t>
      </w:r>
    </w:p>
    <w:p w14:paraId="7C169D07">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18</w:t>
      </w:r>
      <w:r>
        <w:rPr>
          <w:rFonts w:hint="eastAsia" w:ascii="宋体" w:hAnsi="宋体" w:eastAsia="宋体" w:cs="宋体"/>
          <w:b/>
          <w:bCs/>
          <w:color w:val="auto"/>
          <w:sz w:val="21"/>
          <w:szCs w:val="21"/>
          <w:highlight w:val="none"/>
        </w:rPr>
        <w:t>.投标文件的</w:t>
      </w:r>
      <w:r>
        <w:rPr>
          <w:rFonts w:hint="eastAsia" w:ascii="宋体" w:hAnsi="宋体" w:eastAsia="宋体" w:cs="宋体"/>
          <w:b/>
          <w:bCs/>
          <w:color w:val="auto"/>
          <w:sz w:val="21"/>
          <w:szCs w:val="21"/>
          <w:highlight w:val="none"/>
          <w:lang w:val="en-US" w:eastAsia="zh-CN"/>
        </w:rPr>
        <w:t>加密</w:t>
      </w:r>
    </w:p>
    <w:p w14:paraId="4BEF52D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b w:val="0"/>
          <w:bCs w:val="0"/>
          <w:color w:val="auto"/>
          <w:sz w:val="21"/>
          <w:szCs w:val="21"/>
          <w:highlight w:val="none"/>
        </w:rPr>
      </w:pPr>
      <w:bookmarkStart w:id="69" w:name="_Hlk530347341"/>
      <w:bookmarkStart w:id="70" w:name="_Hlk530349759"/>
      <w:r>
        <w:rPr>
          <w:rFonts w:hint="eastAsia" w:ascii="宋体" w:hAnsi="宋体" w:eastAsia="宋体" w:cs="宋体"/>
          <w:b w:val="0"/>
          <w:bCs w:val="0"/>
          <w:color w:val="auto"/>
          <w:sz w:val="21"/>
          <w:szCs w:val="21"/>
          <w:highlight w:val="none"/>
          <w:lang w:val="en-US" w:eastAsia="zh-CN"/>
        </w:rPr>
        <w:t>18.1</w:t>
      </w:r>
      <w:r>
        <w:rPr>
          <w:rFonts w:hint="eastAsia" w:ascii="宋体" w:hAnsi="宋体" w:eastAsia="宋体" w:cs="宋体"/>
          <w:b w:val="0"/>
          <w:bCs w:val="0"/>
          <w:color w:val="auto"/>
          <w:sz w:val="21"/>
          <w:szCs w:val="21"/>
          <w:highlight w:val="none"/>
          <w:lang w:eastAsia="zh-CN"/>
        </w:rPr>
        <w:t>供应商</w:t>
      </w:r>
      <w:r>
        <w:rPr>
          <w:rFonts w:hint="eastAsia" w:ascii="宋体" w:hAnsi="宋体" w:eastAsia="宋体" w:cs="宋体"/>
          <w:b w:val="0"/>
          <w:bCs w:val="0"/>
          <w:color w:val="auto"/>
          <w:sz w:val="21"/>
          <w:szCs w:val="21"/>
          <w:highlight w:val="none"/>
        </w:rPr>
        <w:t>应按“</w:t>
      </w:r>
      <w:r>
        <w:rPr>
          <w:rFonts w:hint="eastAsia" w:ascii="宋体" w:hAnsi="宋体" w:eastAsia="宋体" w:cs="宋体"/>
          <w:b w:val="0"/>
          <w:bCs w:val="0"/>
          <w:color w:val="auto"/>
          <w:sz w:val="21"/>
          <w:szCs w:val="21"/>
          <w:highlight w:val="none"/>
          <w:lang w:eastAsia="zh-CN"/>
        </w:rPr>
        <w:t>供应商</w:t>
      </w:r>
      <w:r>
        <w:rPr>
          <w:rFonts w:hint="eastAsia" w:ascii="宋体" w:hAnsi="宋体" w:eastAsia="宋体" w:cs="宋体"/>
          <w:b w:val="0"/>
          <w:bCs w:val="0"/>
          <w:color w:val="auto"/>
          <w:sz w:val="21"/>
          <w:szCs w:val="21"/>
          <w:highlight w:val="none"/>
        </w:rPr>
        <w:t>须知前附表”中规定的时间及要求上传电子投标文件，并对投标文件进行加密。</w:t>
      </w:r>
    </w:p>
    <w:bookmarkEnd w:id="69"/>
    <w:p w14:paraId="01BE19DE">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bookmarkStart w:id="71" w:name="_Hlk530347395"/>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未按</w:t>
      </w: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.1项要求加密的电子投标文件采购人不予受理。</w:t>
      </w:r>
    </w:p>
    <w:p w14:paraId="60653F66">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18.3</w:t>
      </w:r>
      <w:r>
        <w:rPr>
          <w:rFonts w:hint="eastAsia" w:ascii="宋体" w:hAnsi="宋体" w:eastAsia="宋体" w:cs="宋体"/>
          <w:b/>
          <w:bCs/>
          <w:color w:val="auto"/>
          <w:sz w:val="21"/>
          <w:szCs w:val="21"/>
          <w:highlight w:val="none"/>
        </w:rPr>
        <w:t>投标文件的递交</w:t>
      </w:r>
    </w:p>
    <w:p w14:paraId="370E6BA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bookmarkStart w:id="72" w:name="_Toc144974526"/>
      <w:bookmarkStart w:id="73" w:name="_Toc152042334"/>
      <w:bookmarkStart w:id="74" w:name="_Toc247513982"/>
      <w:bookmarkStart w:id="75" w:name="_Toc247527583"/>
      <w:bookmarkStart w:id="76" w:name="_Toc152045558"/>
      <w:r>
        <w:rPr>
          <w:rFonts w:hint="eastAsia" w:ascii="宋体" w:hAnsi="宋体" w:eastAsia="宋体" w:cs="宋体"/>
          <w:color w:val="auto"/>
          <w:sz w:val="21"/>
          <w:szCs w:val="21"/>
          <w:highlight w:val="none"/>
          <w:lang w:val="en-US" w:eastAsia="zh-CN"/>
        </w:rPr>
        <w:t>18.3</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19.1</w:t>
      </w:r>
      <w:r>
        <w:rPr>
          <w:rFonts w:hint="eastAsia" w:ascii="宋体" w:hAnsi="宋体" w:eastAsia="宋体" w:cs="宋体"/>
          <w:color w:val="auto"/>
          <w:sz w:val="21"/>
          <w:szCs w:val="21"/>
          <w:highlight w:val="none"/>
        </w:rPr>
        <w:t>项规定的投标截止时间前递交投标文件。</w:t>
      </w:r>
    </w:p>
    <w:p w14:paraId="73CA6163">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18.3</w:t>
      </w:r>
      <w:r>
        <w:rPr>
          <w:rFonts w:hint="eastAsia" w:ascii="宋体" w:hAnsi="宋体" w:eastAsia="宋体" w:cs="宋体"/>
          <w:color w:val="auto"/>
          <w:sz w:val="21"/>
          <w:szCs w:val="21"/>
          <w:highlight w:val="none"/>
        </w:rPr>
        <w:t>.2网上递交网址为政府采购云平台（https://www.zcygov.cn/），</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须在投标截止时间前完成所有投标文件的上传，投标截止时间前未完成投标文件传输的，视为撤回投标文件。</w:t>
      </w:r>
    </w:p>
    <w:p w14:paraId="7CDC1379">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未按规定提交投标文件或逾期提交的，采购人不予受理。</w:t>
      </w:r>
    </w:p>
    <w:p w14:paraId="375F03F7">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18.4</w:t>
      </w:r>
      <w:r>
        <w:rPr>
          <w:rFonts w:hint="eastAsia" w:ascii="宋体" w:hAnsi="宋体" w:eastAsia="宋体" w:cs="宋体"/>
          <w:color w:val="auto"/>
          <w:sz w:val="21"/>
          <w:szCs w:val="21"/>
          <w:highlight w:val="none"/>
        </w:rPr>
        <w:t>投标文件的修改与撤回</w:t>
      </w:r>
      <w:bookmarkEnd w:id="72"/>
      <w:bookmarkEnd w:id="73"/>
      <w:bookmarkEnd w:id="74"/>
      <w:bookmarkEnd w:id="75"/>
      <w:bookmarkEnd w:id="76"/>
    </w:p>
    <w:p w14:paraId="7F50C725">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18.4</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在投标截止时间前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可以对所递交的投标文件进行补充、修改或者撤回。补充、修改的内容应当按招标文件要求签署、盖章，并作为投标文件的组成部分。</w:t>
      </w:r>
    </w:p>
    <w:p w14:paraId="0459B2DC">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18.4</w:t>
      </w:r>
      <w:r>
        <w:rPr>
          <w:rFonts w:hint="eastAsia" w:ascii="宋体" w:hAnsi="宋体" w:eastAsia="宋体" w:cs="宋体"/>
          <w:color w:val="auto"/>
          <w:sz w:val="21"/>
          <w:szCs w:val="21"/>
          <w:highlight w:val="none"/>
        </w:rPr>
        <w:t>.2在“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须知前附表”第2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项规定的投标截止时间前，</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可以修改或撤回已在网上递交的投标文件。</w:t>
      </w:r>
    </w:p>
    <w:bookmarkEnd w:id="71"/>
    <w:p w14:paraId="5F937524">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eastAsia="zh-CN"/>
        </w:rPr>
        <w:t>19</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递交</w:t>
      </w:r>
      <w:r>
        <w:rPr>
          <w:rFonts w:hint="eastAsia" w:ascii="宋体" w:hAnsi="宋体" w:eastAsia="宋体" w:cs="宋体"/>
          <w:b/>
          <w:color w:val="auto"/>
          <w:sz w:val="21"/>
          <w:szCs w:val="21"/>
          <w:highlight w:val="none"/>
        </w:rPr>
        <w:t>投标文件截止时间和地点</w:t>
      </w:r>
    </w:p>
    <w:p w14:paraId="5D4BACE2">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.1投标文件的提交不得迟于“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须知前附表”规定的提交投标文件截止时间。逾期送达的投标文件，采购人不予接收。</w:t>
      </w:r>
    </w:p>
    <w:p w14:paraId="07EA4D60">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必须在规定时间内将投标文件提交到“</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须知前附表”规定的地点。</w:t>
      </w:r>
    </w:p>
    <w:bookmarkEnd w:id="70"/>
    <w:p w14:paraId="18369167">
      <w:pPr>
        <w:keepNext w:val="0"/>
        <w:keepLines w:val="0"/>
        <w:pageBreakBefore w:val="0"/>
        <w:widowControl w:val="0"/>
        <w:kinsoku/>
        <w:wordWrap w:val="0"/>
        <w:overflowPunct/>
        <w:topLinePunct w:val="0"/>
        <w:autoSpaceDE/>
        <w:autoSpaceDN/>
        <w:bidi w:val="0"/>
        <w:adjustRightInd/>
        <w:snapToGrid/>
        <w:spacing w:line="360" w:lineRule="auto"/>
        <w:ind w:left="0" w:leftChars="0"/>
        <w:jc w:val="center"/>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五、</w:t>
      </w:r>
      <w:r>
        <w:rPr>
          <w:rFonts w:hint="eastAsia" w:ascii="宋体" w:hAnsi="宋体" w:eastAsia="宋体" w:cs="宋体"/>
          <w:b/>
          <w:color w:val="auto"/>
          <w:sz w:val="21"/>
          <w:szCs w:val="21"/>
          <w:highlight w:val="none"/>
        </w:rPr>
        <w:t>开标与评标</w:t>
      </w:r>
    </w:p>
    <w:p w14:paraId="6DD6ED7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.开标</w:t>
      </w:r>
    </w:p>
    <w:p w14:paraId="0AABAF75">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.1采购代理机构将在“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须知前附表”规定的时间和地点进行</w:t>
      </w:r>
      <w:r>
        <w:rPr>
          <w:rFonts w:hint="eastAsia" w:ascii="宋体" w:hAnsi="宋体" w:eastAsia="宋体" w:cs="宋体"/>
          <w:color w:val="auto"/>
          <w:sz w:val="21"/>
          <w:szCs w:val="21"/>
          <w:highlight w:val="none"/>
          <w:lang w:val="en-US" w:eastAsia="zh-CN"/>
        </w:rPr>
        <w:t>公开</w:t>
      </w:r>
      <w:r>
        <w:rPr>
          <w:rFonts w:hint="eastAsia" w:ascii="宋体" w:hAnsi="宋体" w:eastAsia="宋体" w:cs="宋体"/>
          <w:color w:val="auto"/>
          <w:sz w:val="21"/>
          <w:szCs w:val="21"/>
          <w:highlight w:val="none"/>
        </w:rPr>
        <w:t>开标，</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的法定代表人或其委托代理人应</w:t>
      </w:r>
      <w:r>
        <w:rPr>
          <w:rFonts w:hint="eastAsia" w:ascii="宋体" w:hAnsi="宋体" w:eastAsia="宋体" w:cs="宋体"/>
          <w:color w:val="auto"/>
          <w:sz w:val="21"/>
          <w:szCs w:val="21"/>
          <w:highlight w:val="none"/>
          <w:lang w:val="en-US" w:eastAsia="zh-CN"/>
        </w:rPr>
        <w:t>按时按规定</w:t>
      </w:r>
      <w:r>
        <w:rPr>
          <w:rFonts w:hint="eastAsia" w:ascii="宋体" w:hAnsi="宋体" w:eastAsia="宋体" w:cs="宋体"/>
          <w:color w:val="auto"/>
          <w:sz w:val="21"/>
          <w:szCs w:val="21"/>
          <w:highlight w:val="none"/>
        </w:rPr>
        <w:t>参加</w:t>
      </w:r>
      <w:r>
        <w:rPr>
          <w:rFonts w:hint="eastAsia" w:ascii="宋体" w:hAnsi="宋体" w:eastAsia="宋体" w:cs="宋体"/>
          <w:color w:val="auto"/>
          <w:sz w:val="21"/>
          <w:szCs w:val="21"/>
          <w:highlight w:val="none"/>
          <w:lang w:val="en-US" w:eastAsia="zh-CN"/>
        </w:rPr>
        <w:t>网上</w:t>
      </w:r>
      <w:r>
        <w:rPr>
          <w:rFonts w:hint="eastAsia" w:ascii="宋体" w:hAnsi="宋体" w:eastAsia="宋体" w:cs="宋体"/>
          <w:color w:val="auto"/>
          <w:sz w:val="21"/>
          <w:szCs w:val="21"/>
          <w:highlight w:val="none"/>
        </w:rPr>
        <w:t>开标会，如</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未出席</w:t>
      </w:r>
      <w:r>
        <w:rPr>
          <w:rFonts w:hint="eastAsia" w:ascii="宋体" w:hAnsi="宋体" w:eastAsia="宋体" w:cs="宋体"/>
          <w:color w:val="auto"/>
          <w:sz w:val="21"/>
          <w:szCs w:val="21"/>
          <w:highlight w:val="none"/>
          <w:lang w:val="en-US" w:eastAsia="zh-CN"/>
        </w:rPr>
        <w:t>网上</w:t>
      </w:r>
      <w:r>
        <w:rPr>
          <w:rFonts w:hint="eastAsia" w:ascii="宋体" w:hAnsi="宋体" w:eastAsia="宋体" w:cs="宋体"/>
          <w:color w:val="auto"/>
          <w:sz w:val="21"/>
          <w:szCs w:val="21"/>
          <w:highlight w:val="none"/>
        </w:rPr>
        <w:t>开标会，由此产生的后果由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自行负责。</w:t>
      </w:r>
    </w:p>
    <w:p w14:paraId="56B0B2B6">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.2投标截止时间结束后参加投标的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不足三家的，停止开标。</w:t>
      </w:r>
    </w:p>
    <w:p w14:paraId="75DC5EA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.3开标程序：</w:t>
      </w:r>
    </w:p>
    <w:p w14:paraId="3A62541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主持人按下列程序进行开标：</w:t>
      </w:r>
    </w:p>
    <w:p w14:paraId="3D69A69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bookmarkStart w:id="77" w:name="_Hlk530349793"/>
      <w:r>
        <w:rPr>
          <w:rFonts w:hint="eastAsia" w:ascii="宋体" w:hAnsi="宋体" w:eastAsia="宋体" w:cs="宋体"/>
          <w:color w:val="auto"/>
          <w:sz w:val="21"/>
          <w:szCs w:val="21"/>
          <w:highlight w:val="none"/>
        </w:rPr>
        <w:t>（1）开标由本项目采购代理机构主持；</w:t>
      </w:r>
    </w:p>
    <w:p w14:paraId="64205C6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（2）供应商应在</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截止时间前进入投标项目开标会；</w:t>
      </w:r>
    </w:p>
    <w:p w14:paraId="5EE8608F">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由采购代理机构下达网上解密指令进行解密时间的设置，供应商须在规定时长内完成解密，未解密完成的视为放弃投标。供应商的响应文件解密完成后，采购代理机构下达确认命令，供应商必须在规定时间内进行确认，若未在确认时间内完成确认，则视为对本次开标无异议。 </w:t>
      </w:r>
    </w:p>
    <w:p w14:paraId="47CF270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代表、记录人等有关人员在开标记录上签字确认；</w:t>
      </w:r>
    </w:p>
    <w:p w14:paraId="3BF97178">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）开标结束。</w:t>
      </w:r>
    </w:p>
    <w:p w14:paraId="423F8CF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开标异议</w:t>
      </w:r>
    </w:p>
    <w:p w14:paraId="4464F760">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供应商若对本项目在线开标过程有任何异议，应在开标结束指令下达前提出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否则，视为供应商对本项目开标过程无任何异议。</w:t>
      </w:r>
      <w:r>
        <w:rPr>
          <w:rFonts w:hint="eastAsia" w:ascii="宋体" w:hAnsi="宋体" w:eastAsia="宋体" w:cs="宋体"/>
          <w:color w:val="auto"/>
          <w:sz w:val="21"/>
          <w:szCs w:val="21"/>
          <w:highlight w:val="none"/>
          <w:lang w:val="en-US" w:eastAsia="zh-CN"/>
        </w:rPr>
        <w:t>采购人或采购代理机构将在线</w:t>
      </w:r>
      <w:r>
        <w:rPr>
          <w:rFonts w:hint="eastAsia" w:ascii="宋体" w:hAnsi="宋体" w:eastAsia="宋体" w:cs="宋体"/>
          <w:color w:val="auto"/>
          <w:sz w:val="21"/>
          <w:szCs w:val="21"/>
          <w:highlight w:val="none"/>
        </w:rPr>
        <w:t>进行查看并回复</w:t>
      </w:r>
      <w:r>
        <w:rPr>
          <w:rFonts w:hint="eastAsia" w:ascii="宋体" w:hAnsi="宋体" w:eastAsia="宋体" w:cs="宋体"/>
          <w:color w:val="auto"/>
          <w:sz w:val="21"/>
          <w:szCs w:val="21"/>
          <w:highlight w:val="none"/>
          <w:lang w:eastAsia="zh-CN"/>
        </w:rPr>
        <w:t>。</w:t>
      </w:r>
    </w:p>
    <w:bookmarkEnd w:id="77"/>
    <w:p w14:paraId="627F30D6">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.评标</w:t>
      </w:r>
    </w:p>
    <w:p w14:paraId="29F03A42">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评标由采购人依法组建的评标委员会负责。评标委员会由采购人代表和评审专家组成，成员人数应当为5人以上单数，其中评审专家不得少于成员总数的三分之二。评标委员会应当推选组长，但采购人代表不得担任组长。</w:t>
      </w:r>
      <w:r>
        <w:rPr>
          <w:rFonts w:hint="eastAsia" w:ascii="宋体" w:hAnsi="宋体" w:eastAsia="宋体" w:cs="宋体"/>
          <w:color w:val="auto"/>
          <w:sz w:val="21"/>
          <w:szCs w:val="21"/>
          <w:highlight w:val="none"/>
          <w:lang w:val="en-US" w:eastAsia="zh-CN"/>
        </w:rPr>
        <w:t>评标委员会组成以及评审专家的</w:t>
      </w:r>
      <w:r>
        <w:rPr>
          <w:rFonts w:hint="eastAsia" w:ascii="宋体" w:hAnsi="宋体" w:eastAsia="宋体" w:cs="宋体"/>
          <w:color w:val="auto"/>
          <w:sz w:val="21"/>
          <w:szCs w:val="21"/>
          <w:highlight w:val="none"/>
        </w:rPr>
        <w:t>确定方式</w:t>
      </w:r>
      <w:r>
        <w:rPr>
          <w:rFonts w:hint="eastAsia" w:ascii="宋体" w:hAnsi="宋体" w:eastAsia="宋体" w:cs="宋体"/>
          <w:color w:val="auto"/>
          <w:sz w:val="21"/>
          <w:szCs w:val="21"/>
          <w:highlight w:val="none"/>
          <w:lang w:val="en-US" w:eastAsia="zh-CN"/>
        </w:rPr>
        <w:t>详见供应商</w:t>
      </w:r>
      <w:r>
        <w:rPr>
          <w:rFonts w:hint="eastAsia" w:ascii="宋体" w:hAnsi="宋体" w:eastAsia="宋体" w:cs="宋体"/>
          <w:color w:val="auto"/>
          <w:sz w:val="21"/>
          <w:szCs w:val="21"/>
          <w:highlight w:val="none"/>
        </w:rPr>
        <w:t>须知前附表。</w:t>
      </w:r>
    </w:p>
    <w:p w14:paraId="5FBE8558">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bookmarkStart w:id="78" w:name="_Toc191374422"/>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.2评标原则</w:t>
      </w:r>
      <w:bookmarkEnd w:id="78"/>
      <w:r>
        <w:rPr>
          <w:rFonts w:hint="eastAsia" w:ascii="宋体" w:hAnsi="宋体" w:eastAsia="宋体" w:cs="宋体"/>
          <w:color w:val="auto"/>
          <w:sz w:val="21"/>
          <w:szCs w:val="21"/>
          <w:highlight w:val="none"/>
        </w:rPr>
        <w:t>及方法</w:t>
      </w:r>
    </w:p>
    <w:p w14:paraId="01085CBE">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103B3CC3">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.3评标方法</w:t>
      </w:r>
    </w:p>
    <w:p w14:paraId="00930629">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本项目按“</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须知前附表”规定的评标方法评标。在评标中，不得改变招标文件中规定的评标标准、方法和中标条件。“评标方法”没有规定的评审因素和标准，不作为评标依据。</w:t>
      </w:r>
    </w:p>
    <w:p w14:paraId="57664764">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.4评标应当在严格保密的情况下进行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任何单位和个人不得非法干预、影响评标办法的确定，以及评标过程和结果。评标委员会成员和与评标活动有关的人员在政府采购活动中应严格遵守政府采购评审工作纪律，不得向外界泄露评审情况。</w:t>
      </w:r>
    </w:p>
    <w:p w14:paraId="66C55D9D">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2</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.在招标采购中，出现下列情形之一的，应予废标：</w:t>
      </w:r>
    </w:p>
    <w:p w14:paraId="04758944">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（一）符合专业条件的</w:t>
      </w: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或者对招标文件作实质响应的</w:t>
      </w: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不足三家的；</w:t>
      </w:r>
    </w:p>
    <w:p w14:paraId="4D64DF95">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（二）出现影响采购公正的违法、违规行为的；</w:t>
      </w:r>
    </w:p>
    <w:p w14:paraId="43F63CDA">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（三）</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的报价均超过了采购预算，采购人不能支付的；</w:t>
      </w:r>
    </w:p>
    <w:p w14:paraId="5875349F">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（四）因重大变故，采购任务取消的。</w:t>
      </w:r>
    </w:p>
    <w:p w14:paraId="4C6F3EE3">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废标后，采购人应当将废标理由通知所有</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w:t>
      </w:r>
    </w:p>
    <w:p w14:paraId="74A7CF29">
      <w:pPr>
        <w:keepNext w:val="0"/>
        <w:keepLines w:val="0"/>
        <w:pageBreakBefore w:val="0"/>
        <w:widowControl w:val="0"/>
        <w:kinsoku/>
        <w:wordWrap w:val="0"/>
        <w:overflowPunct/>
        <w:topLinePunct w:val="0"/>
        <w:autoSpaceDE/>
        <w:autoSpaceDN/>
        <w:bidi w:val="0"/>
        <w:adjustRightInd/>
        <w:snapToGrid/>
        <w:spacing w:line="360" w:lineRule="auto"/>
        <w:ind w:left="0" w:left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六、中标结果</w:t>
      </w:r>
    </w:p>
    <w:p w14:paraId="33496246">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.中标人的确定</w:t>
      </w:r>
    </w:p>
    <w:p w14:paraId="7143B816">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.1采购代理机构应当在评标结束后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个工作日内将评标报告送采购人确认。</w:t>
      </w:r>
    </w:p>
    <w:p w14:paraId="1879E18A">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.2采购人应当在收到评标报告后</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个工作日内，在评标报告确定的中标候选人名单中按顺序确定中标人。</w:t>
      </w:r>
    </w:p>
    <w:p w14:paraId="47804A13">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 xml:space="preserve">   </w:t>
      </w:r>
      <w:bookmarkStart w:id="79" w:name="_Hlk530347524"/>
      <w:r>
        <w:rPr>
          <w:rFonts w:hint="eastAsia" w:ascii="宋体" w:hAnsi="宋体" w:eastAsia="宋体" w:cs="宋体"/>
          <w:color w:val="auto"/>
          <w:sz w:val="21"/>
          <w:szCs w:val="21"/>
          <w:highlight w:val="none"/>
        </w:rPr>
        <w:t xml:space="preserve"> </w:t>
      </w:r>
      <w:bookmarkEnd w:id="79"/>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rPr>
        <w:t>.中标</w:t>
      </w:r>
      <w:r>
        <w:rPr>
          <w:rFonts w:hint="eastAsia" w:ascii="宋体" w:hAnsi="宋体" w:eastAsia="宋体" w:cs="宋体"/>
          <w:b/>
          <w:color w:val="auto"/>
          <w:sz w:val="21"/>
          <w:szCs w:val="21"/>
          <w:highlight w:val="none"/>
          <w:lang w:eastAsia="zh-CN"/>
        </w:rPr>
        <w:t>通知书</w:t>
      </w:r>
    </w:p>
    <w:p w14:paraId="133FCCC1">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bookmarkStart w:id="80" w:name="_Hlk530347544"/>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采购人或者采购代理机构应当自中标人确定之日起2个工作日内，在“云南省政府采购网（http://www.yngp.com）”、“政府采购云平台（https://www.zcygov.cn/）”上公告中标结果，招标文件应当随中标结果同时公告。中标公告期限为1个工作日。</w:t>
      </w:r>
    </w:p>
    <w:p w14:paraId="07FC7F1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在公告中标结果的同时，采购人或者采购代理机构应当向中标人发出中标通知书；对未通过资格审查的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，应当告知其未通过的原因；采用综合评分法评审的，还应当告知未中标人本人的评审得分与排序。</w:t>
      </w:r>
    </w:p>
    <w:bookmarkEnd w:id="80"/>
    <w:p w14:paraId="1BCABF85">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2中标</w:t>
      </w:r>
      <w:r>
        <w:rPr>
          <w:rFonts w:hint="eastAsia" w:ascii="宋体" w:hAnsi="宋体" w:eastAsia="宋体" w:cs="宋体"/>
          <w:color w:val="auto"/>
          <w:sz w:val="21"/>
          <w:szCs w:val="21"/>
          <w:highlight w:val="none"/>
          <w:lang w:eastAsia="zh-CN"/>
        </w:rPr>
        <w:t>通知书</w:t>
      </w:r>
      <w:r>
        <w:rPr>
          <w:rFonts w:hint="eastAsia" w:ascii="宋体" w:hAnsi="宋体" w:eastAsia="宋体" w:cs="宋体"/>
          <w:color w:val="auto"/>
          <w:sz w:val="21"/>
          <w:szCs w:val="21"/>
          <w:highlight w:val="none"/>
        </w:rPr>
        <w:t>是合同的一个组成部分。</w:t>
      </w:r>
    </w:p>
    <w:p w14:paraId="29FC4B5B">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2</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.签订合同</w:t>
      </w:r>
    </w:p>
    <w:p w14:paraId="33CA7B95">
      <w:pPr>
        <w:keepNext w:val="0"/>
        <w:keepLines w:val="0"/>
        <w:pageBreakBefore w:val="0"/>
        <w:widowControl w:val="0"/>
        <w:kinsoku/>
        <w:wordWrap w:val="0"/>
        <w:overflowPunct/>
        <w:topLinePunct w:val="0"/>
        <w:autoSpaceDE/>
        <w:autoSpaceDN/>
        <w:bidi w:val="0"/>
        <w:adjustRightInd/>
        <w:snapToGrid/>
        <w:spacing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.1采购人应当自中标通知书发出之日起30日内，按照招标文件和中标人投标文件的规定，与中标人签订书面合同。所签订的合同不得对招标文件确定的事项和中标人投标文件作实质性修改。</w:t>
      </w:r>
    </w:p>
    <w:p w14:paraId="04003A01">
      <w:pPr>
        <w:keepNext w:val="0"/>
        <w:keepLines w:val="0"/>
        <w:pageBreakBefore w:val="0"/>
        <w:widowControl w:val="0"/>
        <w:kinsoku/>
        <w:wordWrap w:val="0"/>
        <w:overflowPunct/>
        <w:topLinePunct w:val="0"/>
        <w:autoSpaceDE/>
        <w:autoSpaceDN/>
        <w:bidi w:val="0"/>
        <w:adjustRightInd/>
        <w:snapToGrid/>
        <w:spacing w:line="360" w:lineRule="auto"/>
        <w:ind w:left="0" w:leftChars="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.2中标</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拒绝与采购人签订合同的，采购人可以按照评审报告推荐的中标候选人名单排序，确定下一候选人为中标</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，也可以重新开展政府采购活动。</w:t>
      </w:r>
    </w:p>
    <w:p w14:paraId="3904B35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.3政府采购合同履行中，采购人需追加与合同标的相同的</w:t>
      </w:r>
      <w:r>
        <w:rPr>
          <w:rFonts w:hint="eastAsia" w:ascii="宋体" w:hAnsi="宋体" w:eastAsia="宋体" w:cs="宋体"/>
          <w:color w:val="auto"/>
          <w:sz w:val="21"/>
          <w:szCs w:val="21"/>
          <w:highlight w:val="none"/>
          <w:lang w:val="en-US" w:eastAsia="zh-CN"/>
        </w:rPr>
        <w:t>产品</w:t>
      </w:r>
      <w:r>
        <w:rPr>
          <w:rFonts w:hint="eastAsia" w:ascii="宋体" w:hAnsi="宋体" w:eastAsia="宋体" w:cs="宋体"/>
          <w:color w:val="auto"/>
          <w:sz w:val="21"/>
          <w:szCs w:val="21"/>
          <w:highlight w:val="none"/>
        </w:rPr>
        <w:t>的，在不改变合同其他条款的前提下，可以与中标人协商签订补充合同，但所有补充合同的采购金额不得超过原合同采购金额的百分之十。</w:t>
      </w:r>
    </w:p>
    <w:p w14:paraId="7AE7603C">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26.履约保证金</w:t>
      </w:r>
    </w:p>
    <w:p w14:paraId="7FD923B2">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26.1签订合同前，中标人应按“供应商须知前附表”中确定的履约保证金的金额，向采购人交纳履约保证金，否则，视中标人违约，采购代理机构将没收中标人的全部投标保证金。</w:t>
      </w:r>
    </w:p>
    <w:p w14:paraId="6C207095">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26.2签订合同后，如中标人不按双方签订合同约定履约，则没收其全部履约保证金，履约保证金不足以赔偿损失的，按实际损失赔偿。</w:t>
      </w:r>
    </w:p>
    <w:p w14:paraId="1A108B89">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26.3履约保证金在中标人按合同约定系统完成终验，按“供应商须知前附表”规定的履约保证金退还时间退还。</w:t>
      </w:r>
    </w:p>
    <w:p w14:paraId="411E5244">
      <w:pPr>
        <w:keepNext w:val="0"/>
        <w:keepLines w:val="0"/>
        <w:pageBreakBefore w:val="0"/>
        <w:widowControl w:val="0"/>
        <w:kinsoku/>
        <w:wordWrap w:val="0"/>
        <w:overflowPunct/>
        <w:topLinePunct w:val="0"/>
        <w:autoSpaceDE/>
        <w:autoSpaceDN/>
        <w:bidi w:val="0"/>
        <w:adjustRightInd/>
        <w:snapToGrid/>
        <w:spacing w:line="360" w:lineRule="auto"/>
        <w:ind w:left="0" w:left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七、其他事项</w:t>
      </w:r>
    </w:p>
    <w:p w14:paraId="172E2809">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27</w:t>
      </w:r>
      <w:r>
        <w:rPr>
          <w:rFonts w:hint="eastAsia" w:ascii="宋体" w:hAnsi="宋体" w:eastAsia="宋体" w:cs="宋体"/>
          <w:b/>
          <w:color w:val="auto"/>
          <w:sz w:val="21"/>
          <w:szCs w:val="21"/>
          <w:highlight w:val="none"/>
        </w:rPr>
        <w:t>.招标文件编制依据</w:t>
      </w:r>
    </w:p>
    <w:p w14:paraId="31CD2AC1">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本招标文件根据《中华人民共和国政府采购法》及相关法律法规编制。</w:t>
      </w:r>
    </w:p>
    <w:p w14:paraId="45444EAC">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b/>
          <w:color w:val="auto"/>
          <w:sz w:val="21"/>
          <w:szCs w:val="21"/>
          <w:highlight w:val="none"/>
          <w:lang w:val="en-US" w:eastAsia="zh-CN"/>
        </w:rPr>
      </w:pPr>
      <w:bookmarkStart w:id="81" w:name="_Toc321836356"/>
      <w:r>
        <w:rPr>
          <w:rFonts w:hint="eastAsia" w:ascii="宋体" w:hAnsi="宋体" w:eastAsia="宋体" w:cs="宋体"/>
          <w:b/>
          <w:color w:val="auto"/>
          <w:sz w:val="21"/>
          <w:szCs w:val="21"/>
          <w:highlight w:val="none"/>
          <w:lang w:val="en-US" w:eastAsia="zh-CN"/>
        </w:rPr>
        <w:t>28.</w:t>
      </w:r>
      <w:r>
        <w:rPr>
          <w:rFonts w:hint="eastAsia" w:ascii="宋体" w:hAnsi="宋体" w:eastAsia="宋体" w:cs="宋体"/>
          <w:b/>
          <w:color w:val="auto"/>
          <w:sz w:val="21"/>
          <w:szCs w:val="21"/>
          <w:highlight w:val="none"/>
        </w:rPr>
        <w:t>质疑</w:t>
      </w:r>
      <w:bookmarkEnd w:id="81"/>
      <w:r>
        <w:rPr>
          <w:rFonts w:hint="eastAsia" w:ascii="宋体" w:hAnsi="宋体" w:eastAsia="宋体" w:cs="宋体"/>
          <w:b/>
          <w:color w:val="auto"/>
          <w:sz w:val="21"/>
          <w:szCs w:val="21"/>
          <w:highlight w:val="none"/>
          <w:lang w:val="en-US" w:eastAsia="zh-CN"/>
        </w:rPr>
        <w:t>和投诉</w:t>
      </w:r>
    </w:p>
    <w:p w14:paraId="2A79C9F9">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28.1供应商认为招标文件、采购过程、中标或者成交结果使自己的权益受到损害的，可以在知道或者应知其权益受到损害之日起7个工作日内，以书面形式向采购人、采购代理机构提出质疑。供应商在法定质疑期内一次性提出针对同一采购程序环节的质疑。</w:t>
      </w:r>
    </w:p>
    <w:p w14:paraId="57D6D481">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受理质疑部门：云南亿佳工程管理有限公司</w:t>
      </w:r>
    </w:p>
    <w:p w14:paraId="3483EE23">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址：临沧市临翔区新安路177号7楼</w:t>
      </w:r>
    </w:p>
    <w:p w14:paraId="720D2E92">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 系 人：杨根祥</w:t>
      </w:r>
    </w:p>
    <w:p w14:paraId="273C4ACC">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w:t>
      </w:r>
      <w:r>
        <w:rPr>
          <w:rFonts w:hint="eastAsia" w:ascii="宋体" w:hAnsi="宋体" w:cs="宋体"/>
          <w:color w:val="auto"/>
          <w:sz w:val="21"/>
          <w:szCs w:val="21"/>
          <w:highlight w:val="none"/>
          <w:lang w:val="en-US" w:eastAsia="zh-CN"/>
        </w:rPr>
        <w:t>15906952747</w:t>
      </w:r>
    </w:p>
    <w:p w14:paraId="37A75290">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传    真：0883-2139777 </w:t>
      </w:r>
    </w:p>
    <w:p w14:paraId="279B1D6F">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28.2提出质疑的供应商（以下简称质疑供应商）应当是参与所质疑项目采购活动的供应商。</w:t>
      </w:r>
    </w:p>
    <w:p w14:paraId="63C7BF83">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28.3潜在供应商已依法获取其可质疑的招标文件的，可以对该文件提出质疑。对招标文件提出质疑的，应当在获取招标文件或者招标文件公告期限届满之日起7个工作日内提出。</w:t>
      </w:r>
    </w:p>
    <w:p w14:paraId="187D745C">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供应商提出质疑应当提交质疑函和必要的证明材料。质疑函应当包括以下内容：</w:t>
      </w:r>
    </w:p>
    <w:p w14:paraId="2F1B494F">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（一）供应商的姓名或者名称、地址、邮编、联系人及联系电话；</w:t>
      </w:r>
    </w:p>
    <w:p w14:paraId="0B574553">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（二）质疑项目的名称、编号；</w:t>
      </w:r>
    </w:p>
    <w:p w14:paraId="3D5F6062">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（三）具体、明确的质疑事项和与质疑事项相关的请求；</w:t>
      </w:r>
    </w:p>
    <w:p w14:paraId="2A3E97D7">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（四）事实依据；</w:t>
      </w:r>
    </w:p>
    <w:p w14:paraId="313C4575">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（五）必要的法律依据；</w:t>
      </w:r>
    </w:p>
    <w:p w14:paraId="7CBFEB4E">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（六）提出质疑的日期。</w:t>
      </w:r>
    </w:p>
    <w:p w14:paraId="1CCB03E8">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供应商为自然人的，应当由本人签字；供应商为法人或者其他组织的，应当由法定代表人、主要负责人，或者其授权代表签字或者盖章，并加盖公章。</w:t>
      </w:r>
    </w:p>
    <w:p w14:paraId="3BFC126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28.4采购人、采购代理机构不得拒收质疑供应商在法定质疑期内发出的质疑函，应当在收到质疑函后7个工作日内作出答复，并以书面形式通知质疑供应商和其他有关供应商。</w:t>
      </w:r>
    </w:p>
    <w:p w14:paraId="66E4D05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28.5供应商对评审过程、中标或者成交结果提出质疑的，采购人、采购代理机构可以组织原评标委员会、竞争性谈判小组、询价小组或者竞争性磋商小组协助答复质疑。</w:t>
      </w:r>
    </w:p>
    <w:p w14:paraId="0F811D01">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质疑答复应当包括下列内容：</w:t>
      </w:r>
    </w:p>
    <w:p w14:paraId="6CA63A03">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（一）质疑供应商的姓名或者名称；</w:t>
      </w:r>
    </w:p>
    <w:p w14:paraId="60C54E85">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（二）收到质疑函的日期、质疑项目名称及编号；</w:t>
      </w:r>
    </w:p>
    <w:p w14:paraId="5D830F96">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（三）质疑事项、质疑答复的具体内容、事实依据和法律依据；</w:t>
      </w:r>
    </w:p>
    <w:p w14:paraId="39FD3FAE">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（四）告知质疑供应商依法投诉的权利；</w:t>
      </w:r>
    </w:p>
    <w:p w14:paraId="1863C974">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（五）质疑答复人名称；</w:t>
      </w:r>
    </w:p>
    <w:p w14:paraId="32E38CD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（六）答复质疑的日期。</w:t>
      </w:r>
    </w:p>
    <w:p w14:paraId="3EBAD28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质疑答复的内容不得涉及商业秘密。</w:t>
      </w:r>
    </w:p>
    <w:p w14:paraId="3B04B18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28.6采购人、采购代理机构认为供应商质疑不成立，或者成立但未对中标、成交结果构成影响的，继续开展采购活动；认为供应商质疑成立且影响或者可能影响中标、成交结果的，按照下列情况处理：</w:t>
      </w:r>
    </w:p>
    <w:p w14:paraId="4CD18E8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（一）对招标文件提出的质疑，依法通过澄清或者修改可以继续开展采购活动的，澄清或者修改招标文件后继续开展采购活动；否则应当修改招标文件后重新开展采购活动。</w:t>
      </w:r>
    </w:p>
    <w:p w14:paraId="5F89400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29900E56">
      <w:pPr>
        <w:keepNext w:val="0"/>
        <w:keepLines w:val="0"/>
        <w:pageBreakBefore w:val="0"/>
        <w:widowControl w:val="0"/>
        <w:kinsoku/>
        <w:wordWrap w:val="0"/>
        <w:overflowPunct/>
        <w:topLinePunct w:val="0"/>
        <w:autoSpaceDE/>
        <w:autoSpaceDN/>
        <w:bidi w:val="0"/>
        <w:adjustRightInd/>
        <w:snapToGrid/>
        <w:spacing w:line="360" w:lineRule="auto"/>
        <w:ind w:left="0" w:leftChars="0" w:firstLine="42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质疑答复导致中标、成交结果改变的，采购人或者采购代理机构应当将有关情况书面报告本级财政部门。</w:t>
      </w:r>
    </w:p>
    <w:p w14:paraId="626A319C">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29</w:t>
      </w:r>
      <w:r>
        <w:rPr>
          <w:rFonts w:hint="eastAsia" w:ascii="宋体" w:hAnsi="宋体" w:eastAsia="宋体" w:cs="宋体"/>
          <w:b/>
          <w:color w:val="auto"/>
          <w:sz w:val="21"/>
          <w:szCs w:val="21"/>
          <w:highlight w:val="none"/>
        </w:rPr>
        <w:t>.需要补充的其他内容</w:t>
      </w:r>
    </w:p>
    <w:p w14:paraId="7FFDBB81">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须知前附表”中若规定可以接受备选方案的，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在投标文件中只能提供一个备选方案，并注明主选方案，且备选方案的投标价格不得高于主选方案。凡提供两个以上备选方案或未注明主选方案的，该投标将被视为未实质性响应招标文件要求。</w:t>
      </w:r>
    </w:p>
    <w:p w14:paraId="6EF75618">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评标委员会在对有备选方案的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进行评审时，应当以主选方案为准进行评审，如考虑备选方案的，备选方案必须实质性响应招标文件要求。</w:t>
      </w:r>
    </w:p>
    <w:p w14:paraId="66CB14FB">
      <w:pPr>
        <w:keepNext w:val="0"/>
        <w:keepLines w:val="0"/>
        <w:pageBreakBefore w:val="0"/>
        <w:widowControl w:val="0"/>
        <w:kinsoku/>
        <w:wordWrap w:val="0"/>
        <w:overflowPunct/>
        <w:topLinePunct w:val="0"/>
        <w:autoSpaceDE/>
        <w:autoSpaceDN/>
        <w:bidi w:val="0"/>
        <w:adjustRightInd/>
        <w:snapToGrid/>
        <w:spacing w:line="360" w:lineRule="auto"/>
        <w:ind w:left="0" w:leftChars="0"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29</w:t>
      </w:r>
      <w:r>
        <w:rPr>
          <w:rFonts w:hint="eastAsia" w:ascii="宋体" w:hAnsi="宋体" w:eastAsia="宋体" w:cs="宋体"/>
          <w:b/>
          <w:bCs/>
          <w:color w:val="auto"/>
          <w:sz w:val="21"/>
          <w:szCs w:val="21"/>
          <w:highlight w:val="none"/>
        </w:rPr>
        <w:t>.2本项目采购人不统一组织</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和安排专门时间对</w:t>
      </w:r>
      <w:r>
        <w:rPr>
          <w:rFonts w:hint="eastAsia" w:ascii="宋体" w:hAnsi="宋体" w:eastAsia="宋体" w:cs="宋体"/>
          <w:b/>
          <w:bCs/>
          <w:color w:val="auto"/>
          <w:sz w:val="21"/>
          <w:szCs w:val="21"/>
          <w:highlight w:val="none"/>
          <w:lang w:val="en-US" w:eastAsia="zh-CN"/>
        </w:rPr>
        <w:t>供货</w:t>
      </w:r>
      <w:r>
        <w:rPr>
          <w:rFonts w:hint="eastAsia" w:ascii="宋体" w:hAnsi="宋体" w:eastAsia="宋体" w:cs="宋体"/>
          <w:b/>
          <w:bCs/>
          <w:color w:val="auto"/>
          <w:sz w:val="21"/>
          <w:szCs w:val="21"/>
          <w:highlight w:val="none"/>
        </w:rPr>
        <w:t>现场情况进行</w:t>
      </w:r>
      <w:r>
        <w:rPr>
          <w:rFonts w:hint="eastAsia" w:ascii="宋体" w:hAnsi="宋体" w:eastAsia="宋体" w:cs="宋体"/>
          <w:b/>
          <w:bCs/>
          <w:color w:val="auto"/>
          <w:sz w:val="21"/>
          <w:szCs w:val="21"/>
          <w:highlight w:val="none"/>
          <w:lang w:val="en-US" w:eastAsia="zh-CN"/>
        </w:rPr>
        <w:t>踏勘</w:t>
      </w:r>
      <w:r>
        <w:rPr>
          <w:rFonts w:hint="eastAsia" w:ascii="宋体" w:hAnsi="宋体" w:eastAsia="宋体" w:cs="宋体"/>
          <w:b/>
          <w:bCs/>
          <w:color w:val="auto"/>
          <w:sz w:val="21"/>
          <w:szCs w:val="21"/>
          <w:highlight w:val="none"/>
        </w:rPr>
        <w:t>，由</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根据</w:t>
      </w:r>
      <w:r>
        <w:rPr>
          <w:rFonts w:hint="eastAsia" w:ascii="宋体" w:hAnsi="宋体" w:cs="宋体"/>
          <w:b/>
          <w:bCs/>
          <w:color w:val="auto"/>
          <w:sz w:val="21"/>
          <w:szCs w:val="21"/>
          <w:highlight w:val="none"/>
          <w:lang w:val="en-US" w:eastAsia="zh-CN"/>
        </w:rPr>
        <w:t>交货地点</w:t>
      </w:r>
      <w:r>
        <w:rPr>
          <w:rFonts w:hint="eastAsia" w:ascii="宋体" w:hAnsi="宋体" w:eastAsia="宋体" w:cs="宋体"/>
          <w:b/>
          <w:bCs/>
          <w:color w:val="auto"/>
          <w:sz w:val="21"/>
          <w:szCs w:val="21"/>
          <w:highlight w:val="none"/>
        </w:rPr>
        <w:t>，自行踏勘</w:t>
      </w:r>
      <w:r>
        <w:rPr>
          <w:rFonts w:hint="eastAsia" w:ascii="宋体" w:hAnsi="宋体" w:eastAsia="宋体" w:cs="宋体"/>
          <w:b/>
          <w:bCs/>
          <w:color w:val="auto"/>
          <w:sz w:val="21"/>
          <w:szCs w:val="21"/>
          <w:highlight w:val="none"/>
          <w:lang w:val="en-US" w:eastAsia="zh-CN"/>
        </w:rPr>
        <w:t>供货</w:t>
      </w:r>
      <w:r>
        <w:rPr>
          <w:rFonts w:hint="eastAsia" w:ascii="宋体" w:hAnsi="宋体" w:eastAsia="宋体" w:cs="宋体"/>
          <w:b/>
          <w:bCs/>
          <w:color w:val="auto"/>
          <w:sz w:val="21"/>
          <w:szCs w:val="21"/>
          <w:highlight w:val="none"/>
        </w:rPr>
        <w:t>及运输线路。</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自身应对</w:t>
      </w:r>
      <w:r>
        <w:rPr>
          <w:rFonts w:hint="eastAsia" w:ascii="宋体" w:hAnsi="宋体" w:eastAsia="宋体" w:cs="宋体"/>
          <w:b/>
          <w:bCs/>
          <w:color w:val="auto"/>
          <w:sz w:val="21"/>
          <w:szCs w:val="21"/>
          <w:highlight w:val="none"/>
          <w:lang w:val="en-US" w:eastAsia="zh-CN"/>
        </w:rPr>
        <w:t>踏勘</w:t>
      </w:r>
      <w:r>
        <w:rPr>
          <w:rFonts w:hint="eastAsia" w:ascii="宋体" w:hAnsi="宋体" w:eastAsia="宋体" w:cs="宋体"/>
          <w:b/>
          <w:bCs/>
          <w:color w:val="auto"/>
          <w:sz w:val="21"/>
          <w:szCs w:val="21"/>
          <w:highlight w:val="none"/>
        </w:rPr>
        <w:t>中获取的现场资料负责，不管</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是否踏勘过</w:t>
      </w:r>
      <w:r>
        <w:rPr>
          <w:rFonts w:hint="eastAsia" w:ascii="宋体" w:hAnsi="宋体" w:cs="宋体"/>
          <w:b/>
          <w:bCs/>
          <w:color w:val="auto"/>
          <w:sz w:val="21"/>
          <w:szCs w:val="21"/>
          <w:highlight w:val="none"/>
          <w:lang w:val="en-US" w:eastAsia="zh-CN"/>
        </w:rPr>
        <w:t>交货地点</w:t>
      </w:r>
      <w:r>
        <w:rPr>
          <w:rFonts w:hint="eastAsia" w:ascii="宋体" w:hAnsi="宋体" w:eastAsia="宋体" w:cs="宋体"/>
          <w:b/>
          <w:bCs/>
          <w:color w:val="auto"/>
          <w:sz w:val="21"/>
          <w:szCs w:val="21"/>
          <w:highlight w:val="none"/>
        </w:rPr>
        <w:t>的现场，均被认为在递交投标文件之前已踏勘过现场，对本项目的风险和义务十分了解，并在其投标文件中充分考虑了</w:t>
      </w:r>
      <w:r>
        <w:rPr>
          <w:rFonts w:hint="eastAsia" w:ascii="宋体" w:hAnsi="宋体" w:eastAsia="宋体" w:cs="宋体"/>
          <w:b/>
          <w:bCs/>
          <w:color w:val="auto"/>
          <w:sz w:val="21"/>
          <w:szCs w:val="21"/>
          <w:highlight w:val="none"/>
          <w:lang w:val="en-US" w:eastAsia="zh-CN"/>
        </w:rPr>
        <w:t>供货</w:t>
      </w:r>
      <w:r>
        <w:rPr>
          <w:rFonts w:hint="eastAsia" w:ascii="宋体" w:hAnsi="宋体" w:eastAsia="宋体" w:cs="宋体"/>
          <w:b/>
          <w:bCs/>
          <w:color w:val="auto"/>
          <w:sz w:val="21"/>
          <w:szCs w:val="21"/>
          <w:highlight w:val="none"/>
        </w:rPr>
        <w:t>现场的环境条件。</w:t>
      </w:r>
    </w:p>
    <w:p w14:paraId="49E3D1BF">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default" w:ascii="宋体" w:hAnsi="宋体" w:eastAsia="宋体" w:cs="宋体"/>
          <w:color w:val="auto"/>
          <w:sz w:val="21"/>
          <w:szCs w:val="21"/>
          <w:highlight w:val="none"/>
          <w:lang w:eastAsia="zh-CN"/>
        </w:rPr>
      </w:pPr>
      <w:r>
        <w:rPr>
          <w:rFonts w:hint="default" w:ascii="宋体" w:hAnsi="宋体" w:cs="宋体"/>
          <w:color w:val="auto"/>
          <w:sz w:val="21"/>
          <w:szCs w:val="21"/>
          <w:highlight w:val="none"/>
          <w:lang w:eastAsia="zh-CN"/>
        </w:rPr>
        <w:t>29.3转包、分包：见“供应商须知前附表”</w:t>
      </w:r>
      <w:r>
        <w:rPr>
          <w:rFonts w:hint="eastAsia" w:ascii="宋体" w:hAnsi="宋体" w:cs="宋体"/>
          <w:color w:val="auto"/>
          <w:sz w:val="21"/>
          <w:szCs w:val="21"/>
          <w:highlight w:val="none"/>
          <w:lang w:eastAsia="zh-CN"/>
        </w:rPr>
        <w:t>。</w:t>
      </w:r>
    </w:p>
    <w:p w14:paraId="030F5252">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rPr>
        <w:t>.</w:t>
      </w:r>
      <w:r>
        <w:rPr>
          <w:rFonts w:hint="default" w:ascii="宋体" w:hAnsi="宋体" w:cs="宋体"/>
          <w:color w:val="auto"/>
          <w:sz w:val="21"/>
          <w:szCs w:val="21"/>
          <w:highlight w:val="none"/>
        </w:rPr>
        <w:t>4</w:t>
      </w:r>
      <w:r>
        <w:rPr>
          <w:rFonts w:hint="eastAsia" w:ascii="宋体" w:hAnsi="宋体" w:eastAsia="宋体" w:cs="宋体"/>
          <w:color w:val="auto"/>
          <w:sz w:val="21"/>
          <w:szCs w:val="21"/>
          <w:highlight w:val="none"/>
        </w:rPr>
        <w:t>需要补充的其他内容详见</w:t>
      </w:r>
      <w:r>
        <w:rPr>
          <w:rFonts w:hint="default" w:ascii="宋体" w:hAnsi="宋体" w:cs="宋体"/>
          <w:color w:val="auto"/>
          <w:sz w:val="21"/>
          <w:szCs w:val="21"/>
          <w:highlight w:val="none"/>
        </w:rPr>
        <w:t>供应商</w:t>
      </w:r>
      <w:r>
        <w:rPr>
          <w:rFonts w:hint="eastAsia" w:ascii="宋体" w:hAnsi="宋体" w:eastAsia="宋体" w:cs="宋体"/>
          <w:color w:val="auto"/>
          <w:sz w:val="21"/>
          <w:szCs w:val="21"/>
          <w:highlight w:val="none"/>
        </w:rPr>
        <w:t>须知前附表。</w:t>
      </w:r>
    </w:p>
    <w:bookmarkEnd w:id="44"/>
    <w:bookmarkEnd w:id="45"/>
    <w:bookmarkEnd w:id="46"/>
    <w:bookmarkEnd w:id="47"/>
    <w:bookmarkEnd w:id="48"/>
    <w:bookmarkEnd w:id="49"/>
    <w:p w14:paraId="294C5F22">
      <w:pPr>
        <w:pStyle w:val="11"/>
        <w:keepNext w:val="0"/>
        <w:keepLines w:val="0"/>
        <w:pageBreakBefore w:val="0"/>
        <w:widowControl w:val="0"/>
        <w:kinsoku/>
        <w:overflowPunct/>
        <w:bidi w:val="0"/>
        <w:snapToGrid/>
        <w:rPr>
          <w:rFonts w:hint="eastAsia" w:ascii="宋体" w:hAnsi="宋体" w:eastAsia="宋体" w:cs="宋体"/>
          <w:color w:val="auto"/>
          <w:sz w:val="24"/>
          <w:szCs w:val="24"/>
          <w:highlight w:val="none"/>
        </w:rPr>
      </w:pPr>
    </w:p>
    <w:p w14:paraId="5C43D98E">
      <w:pPr>
        <w:rPr>
          <w:rFonts w:hint="eastAsia" w:ascii="宋体" w:hAnsi="宋体" w:eastAsia="宋体" w:cs="宋体"/>
          <w:color w:val="auto"/>
          <w:sz w:val="32"/>
          <w:szCs w:val="32"/>
          <w:highlight w:val="none"/>
        </w:rPr>
      </w:pPr>
      <w:bookmarkStart w:id="82" w:name="_Toc5787"/>
      <w:bookmarkStart w:id="83" w:name="_Toc26423"/>
      <w:bookmarkStart w:id="84" w:name="_Toc8403"/>
      <w:r>
        <w:rPr>
          <w:rFonts w:hint="eastAsia" w:ascii="宋体" w:hAnsi="宋体" w:eastAsia="宋体" w:cs="宋体"/>
          <w:color w:val="auto"/>
          <w:sz w:val="32"/>
          <w:szCs w:val="32"/>
          <w:highlight w:val="none"/>
        </w:rPr>
        <w:br w:type="page"/>
      </w:r>
    </w:p>
    <w:p w14:paraId="3AA151CD">
      <w:pPr>
        <w:pStyle w:val="3"/>
        <w:keepNext w:val="0"/>
        <w:keepLines w:val="0"/>
        <w:pageBreakBefore w:val="0"/>
        <w:widowControl w:val="0"/>
        <w:numPr>
          <w:ilvl w:val="0"/>
          <w:numId w:val="0"/>
        </w:numPr>
        <w:kinsoku/>
        <w:overflowPunct/>
        <w:bidi w:val="0"/>
        <w:snapToGrid/>
        <w:spacing w:line="413"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第三章 合同格式及主要条款</w:t>
      </w:r>
      <w:bookmarkEnd w:id="43"/>
      <w:bookmarkEnd w:id="82"/>
      <w:bookmarkEnd w:id="83"/>
      <w:bookmarkEnd w:id="84"/>
    </w:p>
    <w:p w14:paraId="4FFF0DC2">
      <w:pPr>
        <w:keepNext w:val="0"/>
        <w:keepLines w:val="0"/>
        <w:pageBreakBefore w:val="0"/>
        <w:widowControl w:val="0"/>
        <w:kinsoku/>
        <w:overflowPunct/>
        <w:bidi w:val="0"/>
        <w:snapToGrid/>
        <w:spacing w:line="360" w:lineRule="auto"/>
        <w:jc w:val="center"/>
        <w:rPr>
          <w:rFonts w:hint="eastAsia" w:ascii="宋体" w:hAnsi="宋体" w:eastAsia="宋体" w:cs="宋体"/>
          <w:b/>
          <w:bCs/>
          <w:color w:val="auto"/>
          <w:sz w:val="24"/>
          <w:szCs w:val="24"/>
          <w:highlight w:val="none"/>
          <w:lang w:eastAsia="zh-CN"/>
        </w:rPr>
      </w:pPr>
    </w:p>
    <w:p w14:paraId="2418FF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16"/>
          <w:highlight w:val="none"/>
        </w:rPr>
      </w:pPr>
      <w:r>
        <w:rPr>
          <w:rFonts w:hint="eastAsia" w:ascii="宋体" w:hAnsi="宋体" w:eastAsia="宋体" w:cs="宋体"/>
          <w:b/>
          <w:bCs/>
          <w:color w:val="auto"/>
          <w:sz w:val="24"/>
          <w:szCs w:val="16"/>
          <w:highlight w:val="none"/>
        </w:rPr>
        <w:t>注：</w:t>
      </w:r>
      <w:r>
        <w:rPr>
          <w:rFonts w:hint="eastAsia" w:ascii="宋体" w:hAnsi="宋体" w:eastAsia="宋体" w:cs="宋体"/>
          <w:b/>
          <w:bCs/>
          <w:color w:val="auto"/>
          <w:sz w:val="24"/>
          <w:szCs w:val="16"/>
          <w:highlight w:val="none"/>
          <w:lang w:val="en-US" w:eastAsia="zh-CN"/>
        </w:rPr>
        <w:t>招标</w:t>
      </w:r>
      <w:r>
        <w:rPr>
          <w:rFonts w:hint="eastAsia" w:ascii="宋体" w:hAnsi="宋体" w:eastAsia="宋体" w:cs="宋体"/>
          <w:b/>
          <w:bCs/>
          <w:color w:val="auto"/>
          <w:sz w:val="24"/>
          <w:szCs w:val="16"/>
          <w:highlight w:val="none"/>
        </w:rPr>
        <w:t>文件内本章合同条款及格式仅作为参考，本章节中未明确内容将在合同洽谈中明确，采购人保留最终修订合同的权利，最终本合同以实际签订为准。</w:t>
      </w:r>
    </w:p>
    <w:p w14:paraId="3C57EAD3">
      <w:pPr>
        <w:keepNext w:val="0"/>
        <w:keepLines w:val="0"/>
        <w:widowControl/>
        <w:suppressLineNumbers w:val="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r>
      <w:bookmarkStart w:id="85" w:name="_Toc6588"/>
    </w:p>
    <w:p w14:paraId="0805489E">
      <w:pPr>
        <w:keepNext w:val="0"/>
        <w:keepLines w:val="0"/>
        <w:widowControl/>
        <w:suppressLineNumbers w:val="0"/>
        <w:jc w:val="center"/>
        <w:rPr>
          <w:rFonts w:hint="eastAsia" w:ascii="宋体" w:hAnsi="宋体" w:eastAsia="宋体" w:cs="宋体"/>
          <w:b/>
          <w:bCs/>
          <w:color w:val="auto"/>
          <w:sz w:val="24"/>
          <w:szCs w:val="24"/>
          <w:highlight w:val="none"/>
          <w:lang w:eastAsia="zh-CN"/>
        </w:rPr>
      </w:pPr>
    </w:p>
    <w:p w14:paraId="4D752E40">
      <w:pPr>
        <w:keepNext w:val="0"/>
        <w:keepLines w:val="0"/>
        <w:widowControl/>
        <w:suppressLineNumbers w:val="0"/>
        <w:jc w:val="center"/>
        <w:rPr>
          <w:rFonts w:hint="eastAsia" w:ascii="宋体" w:hAnsi="宋体" w:eastAsia="宋体" w:cs="宋体"/>
          <w:b/>
          <w:bCs/>
          <w:color w:val="auto"/>
          <w:sz w:val="24"/>
          <w:szCs w:val="24"/>
          <w:highlight w:val="none"/>
          <w:lang w:eastAsia="zh-CN"/>
        </w:rPr>
      </w:pPr>
    </w:p>
    <w:p w14:paraId="09CF8841">
      <w:pPr>
        <w:keepNext w:val="0"/>
        <w:keepLines w:val="0"/>
        <w:widowControl/>
        <w:suppressLineNumbers w:val="0"/>
        <w:jc w:val="center"/>
        <w:rPr>
          <w:rFonts w:hint="eastAsia" w:ascii="宋体" w:hAnsi="宋体" w:eastAsia="宋体" w:cs="宋体"/>
          <w:b/>
          <w:bCs/>
          <w:color w:val="auto"/>
          <w:sz w:val="24"/>
          <w:szCs w:val="24"/>
          <w:highlight w:val="none"/>
          <w:lang w:eastAsia="zh-CN"/>
        </w:rPr>
      </w:pPr>
    </w:p>
    <w:p w14:paraId="58B44A37">
      <w:pPr>
        <w:keepNext w:val="0"/>
        <w:keepLines w:val="0"/>
        <w:widowControl/>
        <w:suppressLineNumbers w:val="0"/>
        <w:jc w:val="center"/>
        <w:rPr>
          <w:rFonts w:hint="eastAsia" w:ascii="宋体" w:hAnsi="宋体" w:eastAsia="宋体" w:cs="宋体"/>
          <w:b/>
          <w:bCs/>
          <w:color w:val="auto"/>
          <w:sz w:val="24"/>
          <w:szCs w:val="24"/>
          <w:highlight w:val="none"/>
          <w:lang w:eastAsia="zh-CN"/>
        </w:rPr>
      </w:pPr>
    </w:p>
    <w:p w14:paraId="28A314DC">
      <w:pPr>
        <w:keepNext w:val="0"/>
        <w:keepLines w:val="0"/>
        <w:widowControl/>
        <w:suppressLineNumbers w:val="0"/>
        <w:jc w:val="center"/>
        <w:rPr>
          <w:rFonts w:hint="eastAsia" w:ascii="宋体" w:hAnsi="宋体" w:eastAsia="宋体" w:cs="宋体"/>
          <w:b/>
          <w:bCs/>
          <w:color w:val="auto"/>
          <w:sz w:val="24"/>
          <w:szCs w:val="24"/>
          <w:highlight w:val="none"/>
          <w:lang w:eastAsia="zh-CN"/>
        </w:rPr>
      </w:pPr>
    </w:p>
    <w:p w14:paraId="044A328C">
      <w:pPr>
        <w:keepNext w:val="0"/>
        <w:keepLines w:val="0"/>
        <w:widowControl/>
        <w:suppressLineNumbers w:val="0"/>
        <w:jc w:val="center"/>
        <w:rPr>
          <w:rFonts w:hint="eastAsia" w:ascii="宋体" w:hAnsi="宋体" w:eastAsia="宋体" w:cs="宋体"/>
          <w:color w:val="auto"/>
          <w:highlight w:val="none"/>
        </w:rPr>
      </w:pPr>
      <w:r>
        <w:rPr>
          <w:rFonts w:hint="eastAsia" w:ascii="宋体" w:hAnsi="宋体" w:eastAsia="宋体" w:cs="宋体"/>
          <w:color w:val="auto"/>
          <w:kern w:val="0"/>
          <w:sz w:val="72"/>
          <w:szCs w:val="72"/>
          <w:highlight w:val="none"/>
          <w:lang w:val="en-US" w:eastAsia="zh-CN" w:bidi="ar"/>
        </w:rPr>
        <w:t>政府采购合同</w:t>
      </w:r>
    </w:p>
    <w:p w14:paraId="749530F0">
      <w:pPr>
        <w:spacing w:line="336" w:lineRule="auto"/>
        <w:ind w:firstLine="420" w:firstLineChars="200"/>
        <w:rPr>
          <w:rFonts w:hint="eastAsia" w:ascii="宋体" w:hAnsi="宋体" w:eastAsia="宋体" w:cs="宋体"/>
          <w:color w:val="auto"/>
          <w:sz w:val="21"/>
          <w:szCs w:val="21"/>
          <w:highlight w:val="none"/>
        </w:rPr>
      </w:pPr>
    </w:p>
    <w:p w14:paraId="6E8C52F2">
      <w:pPr>
        <w:keepNext w:val="0"/>
        <w:keepLines w:val="0"/>
        <w:widowControl/>
        <w:suppressLineNumbers w:val="0"/>
        <w:jc w:val="center"/>
        <w:rPr>
          <w:rFonts w:hint="eastAsia" w:ascii="宋体" w:hAnsi="宋体" w:eastAsia="宋体" w:cs="宋体"/>
          <w:color w:val="auto"/>
          <w:highlight w:val="none"/>
        </w:rPr>
      </w:pPr>
      <w:r>
        <w:rPr>
          <w:rFonts w:hint="eastAsia" w:ascii="宋体" w:hAnsi="宋体" w:eastAsia="宋体" w:cs="宋体"/>
          <w:color w:val="auto"/>
          <w:kern w:val="0"/>
          <w:sz w:val="33"/>
          <w:szCs w:val="33"/>
          <w:highlight w:val="none"/>
          <w:lang w:val="en-US" w:eastAsia="zh-CN" w:bidi="ar"/>
        </w:rPr>
        <w:t>(电子交易项目适用）</w:t>
      </w:r>
    </w:p>
    <w:p w14:paraId="67375E5A">
      <w:pPr>
        <w:pStyle w:val="11"/>
        <w:jc w:val="both"/>
        <w:rPr>
          <w:rFonts w:hint="eastAsia" w:ascii="宋体" w:hAnsi="宋体" w:eastAsia="宋体" w:cs="宋体"/>
          <w:color w:val="auto"/>
          <w:highlight w:val="none"/>
        </w:rPr>
      </w:pPr>
    </w:p>
    <w:p w14:paraId="3AFA714B">
      <w:pPr>
        <w:rPr>
          <w:rFonts w:hint="eastAsia" w:ascii="宋体" w:hAnsi="宋体" w:eastAsia="宋体" w:cs="宋体"/>
          <w:color w:val="auto"/>
          <w:highlight w:val="none"/>
        </w:rPr>
      </w:pPr>
    </w:p>
    <w:p w14:paraId="705C019D">
      <w:pPr>
        <w:keepNext w:val="0"/>
        <w:keepLines w:val="0"/>
        <w:widowControl/>
        <w:suppressLineNumbers w:val="0"/>
        <w:jc w:val="left"/>
        <w:rPr>
          <w:rFonts w:hint="eastAsia" w:ascii="宋体" w:hAnsi="宋体" w:eastAsia="宋体" w:cs="宋体"/>
          <w:color w:val="auto"/>
          <w:kern w:val="0"/>
          <w:sz w:val="37"/>
          <w:szCs w:val="37"/>
          <w:highlight w:val="none"/>
          <w:lang w:val="en-US" w:eastAsia="zh-CN" w:bidi="ar"/>
        </w:rPr>
      </w:pPr>
    </w:p>
    <w:p w14:paraId="553B30A3">
      <w:pPr>
        <w:keepNext w:val="0"/>
        <w:keepLines w:val="0"/>
        <w:widowControl/>
        <w:suppressLineNumbers w:val="0"/>
        <w:jc w:val="left"/>
        <w:rPr>
          <w:rFonts w:hint="eastAsia" w:ascii="宋体" w:hAnsi="宋体" w:eastAsia="宋体" w:cs="宋体"/>
          <w:color w:val="auto"/>
          <w:kern w:val="0"/>
          <w:sz w:val="37"/>
          <w:szCs w:val="37"/>
          <w:highlight w:val="none"/>
          <w:lang w:val="en-US" w:eastAsia="zh-CN" w:bidi="ar"/>
        </w:rPr>
      </w:pPr>
    </w:p>
    <w:p w14:paraId="574B15B0">
      <w:pPr>
        <w:keepNext w:val="0"/>
        <w:keepLines w:val="0"/>
        <w:widowControl/>
        <w:suppressLineNumbers w:val="0"/>
        <w:jc w:val="left"/>
        <w:rPr>
          <w:rFonts w:hint="eastAsia" w:ascii="宋体" w:hAnsi="宋体" w:eastAsia="宋体" w:cs="宋体"/>
          <w:color w:val="auto"/>
          <w:kern w:val="0"/>
          <w:sz w:val="37"/>
          <w:szCs w:val="37"/>
          <w:highlight w:val="none"/>
          <w:lang w:val="en-US" w:eastAsia="zh-CN" w:bidi="ar"/>
        </w:rPr>
      </w:pPr>
    </w:p>
    <w:p w14:paraId="1018C063">
      <w:pPr>
        <w:keepNext w:val="0"/>
        <w:keepLines w:val="0"/>
        <w:pageBreakBefore w:val="0"/>
        <w:widowControl/>
        <w:suppressLineNumbers w:val="0"/>
        <w:kinsoku/>
        <w:wordWrap w:val="0"/>
        <w:overflowPunct/>
        <w:topLinePunct w:val="0"/>
        <w:autoSpaceDE/>
        <w:autoSpaceDN/>
        <w:bidi w:val="0"/>
        <w:adjustRightInd/>
        <w:snapToGrid/>
        <w:ind w:firstLine="640" w:firstLineChars="200"/>
        <w:jc w:val="left"/>
        <w:textAlignment w:val="auto"/>
        <w:rPr>
          <w:rFonts w:hint="eastAsia" w:ascii="宋体" w:hAnsi="宋体" w:eastAsia="宋体" w:cs="宋体"/>
          <w:color w:val="auto"/>
          <w:sz w:val="18"/>
          <w:szCs w:val="16"/>
          <w:highlight w:val="none"/>
          <w:lang w:val="en-US"/>
        </w:rPr>
      </w:pPr>
      <w:r>
        <w:rPr>
          <w:rFonts w:hint="eastAsia" w:ascii="宋体" w:hAnsi="宋体" w:eastAsia="宋体" w:cs="宋体"/>
          <w:color w:val="auto"/>
          <w:kern w:val="0"/>
          <w:sz w:val="32"/>
          <w:szCs w:val="32"/>
          <w:highlight w:val="none"/>
          <w:lang w:val="en-US" w:eastAsia="zh-CN" w:bidi="ar"/>
        </w:rPr>
        <w:t>项 目 名 称：</w:t>
      </w:r>
      <w:r>
        <w:rPr>
          <w:rFonts w:hint="eastAsia" w:ascii="宋体" w:hAnsi="宋体" w:eastAsia="宋体" w:cs="宋体"/>
          <w:color w:val="auto"/>
          <w:kern w:val="0"/>
          <w:sz w:val="32"/>
          <w:szCs w:val="32"/>
          <w:highlight w:val="none"/>
          <w:u w:val="single"/>
          <w:lang w:val="en-US" w:eastAsia="zh-CN" w:bidi="ar"/>
        </w:rPr>
        <w:t>临翔区2026年学校学生食堂食材采购项目</w:t>
      </w:r>
    </w:p>
    <w:p w14:paraId="38A1A262">
      <w:pPr>
        <w:pStyle w:val="11"/>
        <w:rPr>
          <w:rFonts w:hint="eastAsia" w:ascii="宋体" w:hAnsi="宋体" w:eastAsia="宋体" w:cs="宋体"/>
          <w:color w:val="auto"/>
          <w:sz w:val="18"/>
          <w:szCs w:val="16"/>
          <w:highlight w:val="none"/>
        </w:rPr>
      </w:pPr>
    </w:p>
    <w:p w14:paraId="276CE54D">
      <w:pPr>
        <w:rPr>
          <w:rFonts w:hint="eastAsia" w:ascii="宋体" w:hAnsi="宋体" w:eastAsia="宋体" w:cs="宋体"/>
          <w:color w:val="auto"/>
          <w:sz w:val="18"/>
          <w:szCs w:val="16"/>
          <w:highlight w:val="none"/>
        </w:rPr>
      </w:pPr>
    </w:p>
    <w:p w14:paraId="1F5FB53B">
      <w:pPr>
        <w:keepNext w:val="0"/>
        <w:keepLines w:val="0"/>
        <w:widowControl/>
        <w:suppressLineNumbers w:val="0"/>
        <w:ind w:firstLine="640" w:firstLineChars="200"/>
        <w:jc w:val="left"/>
        <w:rPr>
          <w:rFonts w:hint="eastAsia" w:ascii="宋体" w:hAnsi="宋体" w:eastAsia="宋体" w:cs="宋体"/>
          <w:color w:val="auto"/>
          <w:sz w:val="18"/>
          <w:szCs w:val="16"/>
          <w:highlight w:val="none"/>
        </w:rPr>
      </w:pPr>
      <w:r>
        <w:rPr>
          <w:rFonts w:hint="eastAsia" w:ascii="宋体" w:hAnsi="宋体" w:eastAsia="宋体" w:cs="宋体"/>
          <w:color w:val="auto"/>
          <w:kern w:val="0"/>
          <w:sz w:val="32"/>
          <w:szCs w:val="32"/>
          <w:highlight w:val="none"/>
          <w:lang w:val="en-US" w:eastAsia="zh-CN" w:bidi="ar"/>
        </w:rPr>
        <w:t>合 同 编 号：</w:t>
      </w:r>
      <w:r>
        <w:rPr>
          <w:rFonts w:hint="eastAsia" w:ascii="宋体" w:hAnsi="宋体" w:eastAsia="宋体" w:cs="宋体"/>
          <w:color w:val="auto"/>
          <w:kern w:val="0"/>
          <w:sz w:val="32"/>
          <w:szCs w:val="32"/>
          <w:highlight w:val="none"/>
          <w:u w:val="single"/>
          <w:lang w:val="en-US" w:eastAsia="zh-CN" w:bidi="ar"/>
        </w:rPr>
        <w:t xml:space="preserve">                         </w:t>
      </w:r>
      <w:r>
        <w:rPr>
          <w:rFonts w:hint="eastAsia" w:ascii="宋体" w:hAnsi="宋体" w:eastAsia="宋体" w:cs="宋体"/>
          <w:color w:val="auto"/>
          <w:kern w:val="0"/>
          <w:sz w:val="32"/>
          <w:szCs w:val="32"/>
          <w:highlight w:val="none"/>
          <w:lang w:val="en-US" w:eastAsia="zh-CN" w:bidi="ar"/>
        </w:rPr>
        <w:t>（系统编号）</w:t>
      </w:r>
    </w:p>
    <w:p w14:paraId="5E431111">
      <w:pPr>
        <w:keepNext w:val="0"/>
        <w:keepLines w:val="0"/>
        <w:widowControl/>
        <w:suppressLineNumbers w:val="0"/>
        <w:jc w:val="center"/>
        <w:rPr>
          <w:rFonts w:hint="eastAsia" w:ascii="宋体" w:hAnsi="宋体" w:eastAsia="宋体" w:cs="宋体"/>
          <w:color w:val="auto"/>
          <w:kern w:val="0"/>
          <w:sz w:val="28"/>
          <w:szCs w:val="28"/>
          <w:highlight w:val="none"/>
          <w:lang w:val="en-US" w:eastAsia="zh-CN" w:bidi="ar"/>
        </w:rPr>
      </w:pPr>
    </w:p>
    <w:p w14:paraId="422B5A40">
      <w:pPr>
        <w:keepNext w:val="0"/>
        <w:keepLines w:val="0"/>
        <w:widowControl/>
        <w:suppressLineNumbers w:val="0"/>
        <w:jc w:val="center"/>
        <w:rPr>
          <w:rFonts w:hint="eastAsia" w:ascii="宋体" w:hAnsi="宋体" w:eastAsia="宋体" w:cs="宋体"/>
          <w:color w:val="auto"/>
          <w:sz w:val="18"/>
          <w:szCs w:val="16"/>
          <w:highlight w:val="none"/>
        </w:rPr>
      </w:pPr>
      <w:r>
        <w:rPr>
          <w:rFonts w:hint="eastAsia" w:ascii="宋体" w:hAnsi="宋体" w:eastAsia="宋体" w:cs="宋体"/>
          <w:color w:val="auto"/>
          <w:kern w:val="0"/>
          <w:sz w:val="28"/>
          <w:szCs w:val="28"/>
          <w:highlight w:val="none"/>
          <w:lang w:val="en-US" w:eastAsia="zh-CN" w:bidi="ar"/>
        </w:rPr>
        <w:t>（自编号，如有）</w:t>
      </w:r>
    </w:p>
    <w:p w14:paraId="2CFD522D">
      <w:pPr>
        <w:pStyle w:val="11"/>
        <w:rPr>
          <w:rFonts w:hint="eastAsia" w:ascii="宋体" w:hAnsi="宋体" w:eastAsia="宋体" w:cs="宋体"/>
          <w:color w:val="auto"/>
          <w:sz w:val="18"/>
          <w:szCs w:val="16"/>
          <w:highlight w:val="none"/>
        </w:rPr>
      </w:pPr>
    </w:p>
    <w:p w14:paraId="644E04A4">
      <w:pPr>
        <w:keepNext w:val="0"/>
        <w:keepLines w:val="0"/>
        <w:widowControl/>
        <w:suppressLineNumbers w:val="0"/>
        <w:ind w:firstLine="640" w:firstLineChars="200"/>
        <w:jc w:val="left"/>
        <w:rPr>
          <w:rFonts w:hint="eastAsia" w:ascii="宋体" w:hAnsi="宋体" w:eastAsia="宋体" w:cs="宋体"/>
          <w:color w:val="auto"/>
          <w:kern w:val="0"/>
          <w:sz w:val="32"/>
          <w:szCs w:val="32"/>
          <w:highlight w:val="none"/>
          <w:lang w:val="en-US" w:eastAsia="zh-CN" w:bidi="ar"/>
        </w:rPr>
      </w:pPr>
    </w:p>
    <w:p w14:paraId="266ECED4">
      <w:pPr>
        <w:keepNext w:val="0"/>
        <w:keepLines w:val="0"/>
        <w:widowControl/>
        <w:suppressLineNumbers w:val="0"/>
        <w:ind w:firstLine="640" w:firstLineChars="200"/>
        <w:jc w:val="left"/>
        <w:rPr>
          <w:rFonts w:hint="eastAsia" w:ascii="宋体" w:hAnsi="宋体" w:eastAsia="宋体" w:cs="宋体"/>
          <w:color w:val="auto"/>
          <w:sz w:val="18"/>
          <w:szCs w:val="16"/>
          <w:highlight w:val="none"/>
          <w:u w:val="single"/>
          <w:lang w:val="en-US"/>
        </w:rPr>
      </w:pPr>
      <w:r>
        <w:rPr>
          <w:rFonts w:hint="eastAsia" w:ascii="宋体" w:hAnsi="宋体" w:eastAsia="宋体" w:cs="宋体"/>
          <w:color w:val="auto"/>
          <w:kern w:val="0"/>
          <w:sz w:val="32"/>
          <w:szCs w:val="32"/>
          <w:highlight w:val="none"/>
          <w:lang w:val="en-US" w:eastAsia="zh-CN" w:bidi="ar"/>
        </w:rPr>
        <w:t>甲     方：</w:t>
      </w:r>
      <w:r>
        <w:rPr>
          <w:rFonts w:hint="eastAsia" w:ascii="宋体" w:hAnsi="宋体" w:eastAsia="宋体" w:cs="宋体"/>
          <w:color w:val="auto"/>
          <w:kern w:val="0"/>
          <w:sz w:val="32"/>
          <w:szCs w:val="32"/>
          <w:highlight w:val="none"/>
          <w:u w:val="single"/>
          <w:lang w:val="en-US" w:eastAsia="zh-CN" w:bidi="ar"/>
        </w:rPr>
        <w:t xml:space="preserve">                                     </w:t>
      </w:r>
    </w:p>
    <w:p w14:paraId="0F2A6D38">
      <w:pPr>
        <w:keepNext w:val="0"/>
        <w:keepLines w:val="0"/>
        <w:widowControl/>
        <w:suppressLineNumbers w:val="0"/>
        <w:ind w:firstLine="640" w:firstLineChars="200"/>
        <w:jc w:val="left"/>
        <w:rPr>
          <w:rFonts w:hint="eastAsia" w:ascii="宋体" w:hAnsi="宋体" w:eastAsia="宋体" w:cs="宋体"/>
          <w:color w:val="auto"/>
          <w:kern w:val="0"/>
          <w:sz w:val="32"/>
          <w:szCs w:val="32"/>
          <w:highlight w:val="none"/>
          <w:lang w:val="en-US" w:eastAsia="zh-CN" w:bidi="ar"/>
        </w:rPr>
      </w:pPr>
    </w:p>
    <w:p w14:paraId="5C8C9B8D">
      <w:pPr>
        <w:widowControl w:val="0"/>
        <w:spacing w:after="120" w:line="480" w:lineRule="auto"/>
        <w:ind w:firstLine="640" w:firstLineChars="200"/>
        <w:jc w:val="both"/>
        <w:rPr>
          <w:rFonts w:hint="eastAsia" w:ascii="宋体" w:hAnsi="宋体" w:eastAsia="宋体" w:cs="宋体"/>
          <w:color w:val="auto"/>
          <w:kern w:val="2"/>
          <w:sz w:val="18"/>
          <w:szCs w:val="21"/>
          <w:highlight w:val="none"/>
          <w:lang w:val="en-US" w:eastAsia="zh-CN" w:bidi="ar-SA"/>
        </w:rPr>
      </w:pPr>
      <w:r>
        <w:rPr>
          <w:rFonts w:hint="eastAsia" w:ascii="宋体" w:hAnsi="宋体" w:eastAsia="宋体" w:cs="宋体"/>
          <w:color w:val="auto"/>
          <w:kern w:val="0"/>
          <w:sz w:val="32"/>
          <w:szCs w:val="32"/>
          <w:highlight w:val="none"/>
          <w:lang w:val="en-US" w:eastAsia="zh-CN" w:bidi="ar"/>
        </w:rPr>
        <w:t>乙     方：</w:t>
      </w:r>
      <w:r>
        <w:rPr>
          <w:rFonts w:hint="eastAsia" w:ascii="宋体" w:hAnsi="宋体" w:eastAsia="宋体" w:cs="宋体"/>
          <w:color w:val="auto"/>
          <w:kern w:val="0"/>
          <w:sz w:val="32"/>
          <w:szCs w:val="32"/>
          <w:highlight w:val="none"/>
          <w:u w:val="single"/>
          <w:lang w:val="en-US" w:eastAsia="zh-CN" w:bidi="ar"/>
        </w:rPr>
        <w:t xml:space="preserve">                                     </w:t>
      </w:r>
    </w:p>
    <w:p w14:paraId="779583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8"/>
          <w:szCs w:val="28"/>
          <w:highlight w:val="none"/>
        </w:rPr>
      </w:pPr>
    </w:p>
    <w:p w14:paraId="620B95E5">
      <w:pPr>
        <w:rPr>
          <w:rFonts w:hint="eastAsia" w:ascii="宋体" w:hAnsi="宋体" w:eastAsia="宋体" w:cs="宋体"/>
          <w:b/>
          <w:bCs/>
          <w:color w:val="auto"/>
          <w:spacing w:val="-1"/>
          <w:sz w:val="21"/>
          <w:szCs w:val="21"/>
          <w:highlight w:val="none"/>
          <w:lang w:val="en-US" w:eastAsia="zh-CN"/>
        </w:rPr>
      </w:pPr>
      <w:bookmarkStart w:id="86" w:name="_Toc15957"/>
      <w:r>
        <w:rPr>
          <w:rFonts w:hint="eastAsia" w:ascii="宋体" w:hAnsi="宋体" w:eastAsia="宋体" w:cs="宋体"/>
          <w:b/>
          <w:bCs/>
          <w:color w:val="auto"/>
          <w:spacing w:val="-1"/>
          <w:sz w:val="21"/>
          <w:szCs w:val="21"/>
          <w:highlight w:val="none"/>
          <w:lang w:val="en-US" w:eastAsia="zh-CN"/>
        </w:rPr>
        <w:br w:type="page"/>
      </w:r>
    </w:p>
    <w:p w14:paraId="09A4DEBF">
      <w:pPr>
        <w:keepNext w:val="0"/>
        <w:keepLines w:val="0"/>
        <w:pageBreakBefore w:val="0"/>
        <w:widowControl w:val="0"/>
        <w:kinsoku/>
        <w:wordWrap/>
        <w:overflowPunct/>
        <w:topLinePunct/>
        <w:autoSpaceDE w:val="0"/>
        <w:autoSpaceDN/>
        <w:bidi w:val="0"/>
        <w:adjustRightInd w:val="0"/>
        <w:snapToGrid w:val="0"/>
        <w:spacing w:before="137" w:line="480" w:lineRule="auto"/>
        <w:jc w:val="center"/>
        <w:textAlignment w:val="baseline"/>
        <w:outlineLvl w:val="0"/>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lang w:val="en-US" w:eastAsia="zh-CN"/>
        </w:rPr>
        <w:t>学</w:t>
      </w:r>
      <w:r>
        <w:rPr>
          <w:rFonts w:hint="eastAsia" w:ascii="宋体" w:hAnsi="宋体" w:eastAsia="宋体" w:cs="宋体"/>
          <w:b/>
          <w:bCs/>
          <w:color w:val="auto"/>
          <w:spacing w:val="-1"/>
          <w:sz w:val="21"/>
          <w:szCs w:val="21"/>
          <w:highlight w:val="none"/>
        </w:rPr>
        <w:t>校食堂食材采购合同</w:t>
      </w:r>
      <w:bookmarkEnd w:id="86"/>
    </w:p>
    <w:p w14:paraId="57C9E0DF">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rPr>
        <w:t>甲方名称（学校</w:t>
      </w:r>
      <w:r>
        <w:rPr>
          <w:rFonts w:hint="eastAsia" w:ascii="宋体" w:hAnsi="宋体" w:eastAsia="宋体" w:cs="宋体"/>
          <w:color w:val="auto"/>
          <w:spacing w:val="-11"/>
          <w:sz w:val="21"/>
          <w:szCs w:val="21"/>
        </w:rPr>
        <w:t>）：</w:t>
      </w:r>
      <w:r>
        <w:rPr>
          <w:rFonts w:hint="eastAsia" w:ascii="宋体" w:hAnsi="宋体" w:eastAsia="宋体" w:cs="宋体"/>
          <w:color w:val="auto"/>
          <w:spacing w:val="-36"/>
          <w:sz w:val="21"/>
          <w:szCs w:val="21"/>
        </w:rPr>
        <w:t xml:space="preserve"> </w:t>
      </w:r>
      <w:r>
        <w:rPr>
          <w:rFonts w:hint="eastAsia" w:ascii="宋体" w:hAnsi="宋体" w:eastAsia="宋体" w:cs="宋体"/>
          <w:color w:val="auto"/>
          <w:sz w:val="21"/>
          <w:szCs w:val="21"/>
          <w:u w:val="single" w:color="auto"/>
        </w:rPr>
        <w:t xml:space="preserve">                        </w:t>
      </w:r>
    </w:p>
    <w:p w14:paraId="77282742">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 xml:space="preserve">统一社会信用代码：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pacing w:val="-1"/>
          <w:sz w:val="21"/>
          <w:szCs w:val="21"/>
          <w:u w:val="single" w:color="auto"/>
        </w:rPr>
        <w:t xml:space="preserve">           </w:t>
      </w:r>
    </w:p>
    <w:p w14:paraId="5F0B2F31">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3"/>
          <w:sz w:val="21"/>
          <w:szCs w:val="21"/>
        </w:rPr>
        <w:t>法定代表人（负责人</w:t>
      </w:r>
      <w:r>
        <w:rPr>
          <w:rFonts w:hint="eastAsia" w:ascii="宋体" w:hAnsi="宋体" w:eastAsia="宋体" w:cs="宋体"/>
          <w:color w:val="auto"/>
          <w:spacing w:val="-4"/>
          <w:sz w:val="21"/>
          <w:szCs w:val="21"/>
        </w:rPr>
        <w:t>）：</w:t>
      </w:r>
      <w:r>
        <w:rPr>
          <w:rFonts w:hint="eastAsia" w:ascii="宋体" w:hAnsi="宋体" w:eastAsia="宋体" w:cs="宋体"/>
          <w:color w:val="auto"/>
          <w:spacing w:val="-36"/>
          <w:sz w:val="21"/>
          <w:szCs w:val="21"/>
        </w:rPr>
        <w:t xml:space="preserve"> </w:t>
      </w:r>
      <w:r>
        <w:rPr>
          <w:rFonts w:hint="eastAsia" w:ascii="宋体" w:hAnsi="宋体" w:eastAsia="宋体" w:cs="宋体"/>
          <w:color w:val="auto"/>
          <w:sz w:val="21"/>
          <w:szCs w:val="21"/>
          <w:u w:val="single" w:color="auto"/>
        </w:rPr>
        <w:t xml:space="preserve">                   </w:t>
      </w:r>
    </w:p>
    <w:p w14:paraId="4E5AB301">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pacing w:val="5"/>
          <w:sz w:val="21"/>
          <w:szCs w:val="21"/>
        </w:rPr>
      </w:pPr>
      <w:r>
        <w:rPr>
          <w:rFonts w:hint="eastAsia" w:ascii="宋体" w:hAnsi="宋体" w:eastAsia="宋体" w:cs="宋体"/>
          <w:color w:val="auto"/>
          <w:spacing w:val="8"/>
          <w:sz w:val="21"/>
          <w:szCs w:val="21"/>
        </w:rPr>
        <w:t>食品经营许可证编号</w:t>
      </w:r>
      <w:r>
        <w:rPr>
          <w:rFonts w:hint="eastAsia" w:ascii="宋体" w:hAnsi="宋体" w:eastAsia="宋体" w:cs="宋体"/>
          <w:color w:val="auto"/>
          <w:spacing w:val="8"/>
          <w:sz w:val="21"/>
          <w:szCs w:val="21"/>
          <w:lang w:eastAsia="zh-CN"/>
        </w:rPr>
        <w:t>：</w:t>
      </w:r>
      <w:r>
        <w:rPr>
          <w:rFonts w:hint="eastAsia" w:ascii="宋体" w:hAnsi="宋体" w:eastAsia="宋体" w:cs="宋体"/>
          <w:color w:val="auto"/>
          <w:spacing w:val="1"/>
          <w:sz w:val="21"/>
          <w:szCs w:val="21"/>
          <w:u w:val="single" w:color="auto"/>
        </w:rPr>
        <w:t xml:space="preserve">                   </w:t>
      </w:r>
    </w:p>
    <w:p w14:paraId="30EE461E">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住所或经营场所地址：</w:t>
      </w:r>
      <w:r>
        <w:rPr>
          <w:rFonts w:hint="eastAsia" w:ascii="宋体" w:hAnsi="宋体" w:eastAsia="宋体" w:cs="宋体"/>
          <w:color w:val="auto"/>
          <w:spacing w:val="29"/>
          <w:w w:val="101"/>
          <w:sz w:val="21"/>
          <w:szCs w:val="21"/>
        </w:rPr>
        <w:t xml:space="preserve"> </w:t>
      </w:r>
      <w:r>
        <w:rPr>
          <w:rFonts w:hint="eastAsia" w:ascii="宋体" w:hAnsi="宋体" w:eastAsia="宋体" w:cs="宋体"/>
          <w:color w:val="auto"/>
          <w:sz w:val="21"/>
          <w:szCs w:val="21"/>
          <w:u w:val="single" w:color="auto"/>
        </w:rPr>
        <w:t xml:space="preserve">                   </w:t>
      </w:r>
    </w:p>
    <w:p w14:paraId="3A89FA21">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联系人：</w:t>
      </w:r>
      <w:r>
        <w:rPr>
          <w:rFonts w:hint="eastAsia" w:ascii="宋体" w:hAnsi="宋体" w:eastAsia="宋体" w:cs="宋体"/>
          <w:color w:val="auto"/>
          <w:spacing w:val="-27"/>
          <w:sz w:val="21"/>
          <w:szCs w:val="21"/>
        </w:rPr>
        <w:t xml:space="preserve"> </w:t>
      </w:r>
      <w:r>
        <w:rPr>
          <w:rFonts w:hint="eastAsia" w:ascii="宋体" w:hAnsi="宋体" w:eastAsia="宋体" w:cs="宋体"/>
          <w:color w:val="auto"/>
          <w:sz w:val="21"/>
          <w:szCs w:val="21"/>
          <w:u w:val="single" w:color="auto"/>
        </w:rPr>
        <w:t xml:space="preserve">                                </w:t>
      </w:r>
    </w:p>
    <w:p w14:paraId="1D7D3B2E">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pacing w:val="-17"/>
          <w:sz w:val="21"/>
          <w:szCs w:val="21"/>
        </w:rPr>
        <w:t xml:space="preserve"> </w:t>
      </w:r>
      <w:r>
        <w:rPr>
          <w:rFonts w:hint="eastAsia" w:ascii="宋体" w:hAnsi="宋体" w:eastAsia="宋体" w:cs="宋体"/>
          <w:color w:val="auto"/>
          <w:sz w:val="21"/>
          <w:szCs w:val="21"/>
          <w:u w:val="single" w:color="auto"/>
        </w:rPr>
        <w:t xml:space="preserve">                              </w:t>
      </w:r>
    </w:p>
    <w:p w14:paraId="7AEA9893">
      <w:pPr>
        <w:keepNext w:val="0"/>
        <w:keepLines w:val="0"/>
        <w:pageBreakBefore w:val="0"/>
        <w:widowControl/>
        <w:kinsoku w:val="0"/>
        <w:wordWrap/>
        <w:overflowPunct/>
        <w:topLinePunct w:val="0"/>
        <w:autoSpaceDE w:val="0"/>
        <w:autoSpaceDN w:val="0"/>
        <w:bidi w:val="0"/>
        <w:adjustRightInd/>
        <w:snapToGrid/>
        <w:spacing w:line="360" w:lineRule="auto"/>
        <w:ind w:left="0" w:right="0"/>
        <w:jc w:val="both"/>
        <w:textAlignment w:val="baseline"/>
        <w:rPr>
          <w:rFonts w:hint="eastAsia" w:ascii="宋体" w:hAnsi="宋体" w:eastAsia="宋体" w:cs="宋体"/>
          <w:color w:val="auto"/>
          <w:sz w:val="21"/>
          <w:szCs w:val="21"/>
        </w:rPr>
      </w:pPr>
    </w:p>
    <w:p w14:paraId="3CDF864D">
      <w:pPr>
        <w:keepNext w:val="0"/>
        <w:keepLines w:val="0"/>
        <w:pageBreakBefore w:val="0"/>
        <w:widowControl/>
        <w:kinsoku w:val="0"/>
        <w:wordWrap/>
        <w:overflowPunct/>
        <w:topLinePunct w:val="0"/>
        <w:autoSpaceDE w:val="0"/>
        <w:autoSpaceDN w:val="0"/>
        <w:bidi w:val="0"/>
        <w:adjustRightInd/>
        <w:snapToGrid/>
        <w:spacing w:line="360" w:lineRule="auto"/>
        <w:ind w:left="0" w:right="0"/>
        <w:jc w:val="both"/>
        <w:textAlignment w:val="baseline"/>
        <w:rPr>
          <w:rFonts w:hint="eastAsia" w:ascii="宋体" w:hAnsi="宋体" w:eastAsia="宋体" w:cs="宋体"/>
          <w:color w:val="auto"/>
          <w:sz w:val="21"/>
          <w:szCs w:val="21"/>
        </w:rPr>
      </w:pPr>
    </w:p>
    <w:p w14:paraId="190893CD">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乙方名称（供货人</w:t>
      </w:r>
      <w:r>
        <w:rPr>
          <w:rFonts w:hint="eastAsia" w:ascii="宋体" w:hAnsi="宋体" w:eastAsia="宋体" w:cs="宋体"/>
          <w:color w:val="auto"/>
          <w:spacing w:val="-9"/>
          <w:sz w:val="21"/>
          <w:szCs w:val="21"/>
        </w:rPr>
        <w:t>）：</w:t>
      </w:r>
      <w:r>
        <w:rPr>
          <w:rFonts w:hint="eastAsia" w:ascii="宋体" w:hAnsi="宋体" w:eastAsia="宋体" w:cs="宋体"/>
          <w:color w:val="auto"/>
          <w:spacing w:val="-36"/>
          <w:sz w:val="21"/>
          <w:szCs w:val="21"/>
        </w:rPr>
        <w:t xml:space="preserve">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5E346646">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统一社会信用代码： </w:t>
      </w:r>
      <w:r>
        <w:rPr>
          <w:rFonts w:hint="eastAsia" w:ascii="宋体" w:hAnsi="宋体" w:eastAsia="宋体" w:cs="宋体"/>
          <w:color w:val="auto"/>
          <w:sz w:val="21"/>
          <w:szCs w:val="21"/>
          <w:u w:val="single" w:color="auto"/>
        </w:rPr>
        <w:t xml:space="preserve">                      </w:t>
      </w:r>
    </w:p>
    <w:p w14:paraId="4D6370DE">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pacing w:val="-3"/>
          <w:sz w:val="21"/>
          <w:szCs w:val="21"/>
        </w:rPr>
        <w:t>法定代表人（负责人</w:t>
      </w:r>
      <w:r>
        <w:rPr>
          <w:rFonts w:hint="eastAsia" w:ascii="宋体" w:hAnsi="宋体" w:eastAsia="宋体" w:cs="宋体"/>
          <w:color w:val="auto"/>
          <w:spacing w:val="-4"/>
          <w:sz w:val="21"/>
          <w:szCs w:val="21"/>
        </w:rPr>
        <w:t>）：</w:t>
      </w:r>
      <w:r>
        <w:rPr>
          <w:rFonts w:hint="eastAsia" w:ascii="宋体" w:hAnsi="宋体" w:eastAsia="宋体" w:cs="宋体"/>
          <w:color w:val="auto"/>
          <w:spacing w:val="-36"/>
          <w:sz w:val="21"/>
          <w:szCs w:val="21"/>
        </w:rPr>
        <w:t xml:space="preserve"> </w:t>
      </w:r>
      <w:r>
        <w:rPr>
          <w:rFonts w:hint="eastAsia" w:ascii="宋体" w:hAnsi="宋体" w:eastAsia="宋体" w:cs="宋体"/>
          <w:color w:val="auto"/>
          <w:sz w:val="21"/>
          <w:szCs w:val="21"/>
          <w:u w:val="single" w:color="auto"/>
        </w:rPr>
        <w:t xml:space="preserve">                 </w:t>
      </w:r>
      <w:r>
        <w:rPr>
          <w:rFonts w:hint="eastAsia" w:ascii="宋体" w:hAnsi="宋体" w:eastAsia="宋体" w:cs="宋体"/>
          <w:color w:val="auto"/>
          <w:sz w:val="21"/>
          <w:szCs w:val="21"/>
          <w:u w:val="single" w:color="auto"/>
          <w:lang w:val="en-US" w:eastAsia="zh-CN"/>
        </w:rPr>
        <w:t xml:space="preserve"> </w:t>
      </w:r>
      <w:r>
        <w:rPr>
          <w:rFonts w:hint="eastAsia" w:ascii="宋体" w:hAnsi="宋体" w:eastAsia="宋体" w:cs="宋体"/>
          <w:color w:val="auto"/>
          <w:sz w:val="21"/>
          <w:szCs w:val="21"/>
          <w:u w:val="single" w:color="auto"/>
        </w:rPr>
        <w:t xml:space="preserve">  </w:t>
      </w:r>
    </w:p>
    <w:p w14:paraId="0C490ED6">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食品生产许可证或食品经营许可证编号：</w:t>
      </w:r>
      <w:r>
        <w:rPr>
          <w:rFonts w:hint="eastAsia" w:ascii="宋体" w:hAnsi="宋体" w:eastAsia="宋体" w:cs="宋体"/>
          <w:color w:val="auto"/>
          <w:sz w:val="21"/>
          <w:szCs w:val="21"/>
          <w:u w:val="single" w:color="auto"/>
        </w:rPr>
        <w:t xml:space="preserve">     </w:t>
      </w:r>
    </w:p>
    <w:p w14:paraId="4BA88AD1">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住所或经营场所地址：</w:t>
      </w:r>
      <w:r>
        <w:rPr>
          <w:rFonts w:hint="eastAsia" w:ascii="宋体" w:hAnsi="宋体" w:eastAsia="宋体" w:cs="宋体"/>
          <w:color w:val="auto"/>
          <w:spacing w:val="29"/>
          <w:w w:val="101"/>
          <w:sz w:val="21"/>
          <w:szCs w:val="21"/>
        </w:rPr>
        <w:t xml:space="preserve"> </w:t>
      </w:r>
      <w:r>
        <w:rPr>
          <w:rFonts w:hint="eastAsia" w:ascii="宋体" w:hAnsi="宋体" w:eastAsia="宋体" w:cs="宋体"/>
          <w:color w:val="auto"/>
          <w:sz w:val="21"/>
          <w:szCs w:val="21"/>
          <w:u w:val="single" w:color="auto"/>
        </w:rPr>
        <w:t xml:space="preserve">                    </w:t>
      </w:r>
    </w:p>
    <w:p w14:paraId="56C5CCC5">
      <w:pPr>
        <w:pStyle w:val="11"/>
        <w:keepNext w:val="0"/>
        <w:keepLines w:val="0"/>
        <w:pageBreakBefore w:val="0"/>
        <w:widowControl/>
        <w:kinsoku w:val="0"/>
        <w:wordWrap/>
        <w:overflowPunct/>
        <w:topLinePunct w:val="0"/>
        <w:autoSpaceDE w:val="0"/>
        <w:autoSpaceDN w:val="0"/>
        <w:bidi w:val="0"/>
        <w:adjustRightInd/>
        <w:snapToGrid/>
        <w:spacing w:after="0" w:afterLines="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联系人：</w:t>
      </w:r>
      <w:r>
        <w:rPr>
          <w:rFonts w:hint="eastAsia" w:ascii="宋体" w:hAnsi="宋体" w:eastAsia="宋体" w:cs="宋体"/>
          <w:color w:val="auto"/>
          <w:spacing w:val="-27"/>
          <w:sz w:val="21"/>
          <w:szCs w:val="21"/>
        </w:rPr>
        <w:t xml:space="preserve"> </w:t>
      </w:r>
      <w:r>
        <w:rPr>
          <w:rFonts w:hint="eastAsia" w:ascii="宋体" w:hAnsi="宋体" w:eastAsia="宋体" w:cs="宋体"/>
          <w:color w:val="auto"/>
          <w:sz w:val="21"/>
          <w:szCs w:val="21"/>
          <w:u w:val="single" w:color="auto"/>
        </w:rPr>
        <w:t xml:space="preserve">                                 </w:t>
      </w:r>
    </w:p>
    <w:p w14:paraId="1F3ABDB5">
      <w:pPr>
        <w:pStyle w:val="11"/>
        <w:keepNext w:val="0"/>
        <w:keepLines w:val="0"/>
        <w:pageBreakBefore w:val="0"/>
        <w:widowControl w:val="0"/>
        <w:kinsoku w:val="0"/>
        <w:wordWrap/>
        <w:overflowPunct/>
        <w:topLinePunct/>
        <w:autoSpaceDE w:val="0"/>
        <w:autoSpaceDN/>
        <w:bidi w:val="0"/>
        <w:adjustRightInd/>
        <w:snapToGrid/>
        <w:spacing w:after="0" w:afterLines="0" w:line="360" w:lineRule="auto"/>
        <w:ind w:left="0" w:right="0" w:firstLine="420" w:firstLineChars="200"/>
        <w:textAlignment w:val="baseline"/>
        <w:rPr>
          <w:rFonts w:hint="eastAsia" w:ascii="宋体" w:hAnsi="宋体" w:eastAsia="宋体" w:cs="宋体"/>
          <w:color w:val="auto"/>
          <w:sz w:val="21"/>
          <w:szCs w:val="21"/>
          <w:highlight w:val="none"/>
        </w:rPr>
      </w:pPr>
    </w:p>
    <w:p w14:paraId="7C51BAFE">
      <w:pPr>
        <w:keepNext w:val="0"/>
        <w:keepLines w:val="0"/>
        <w:pageBreakBefore w:val="0"/>
        <w:widowControl w:val="0"/>
        <w:tabs>
          <w:tab w:val="left" w:pos="4678"/>
        </w:tabs>
        <w:kinsoku/>
        <w:wordWrap/>
        <w:overflowPunct w:val="0"/>
        <w:topLinePunct/>
        <w:autoSpaceDE/>
        <w:autoSpaceDN/>
        <w:bidi w:val="0"/>
        <w:adjustRightInd/>
        <w:snapToGrid/>
        <w:spacing w:line="360" w:lineRule="auto"/>
        <w:ind w:firstLine="420" w:firstLineChars="200"/>
        <w:textAlignment w:val="auto"/>
        <w:rPr>
          <w:rFonts w:hint="eastAsia" w:ascii="宋体" w:hAnsi="宋体" w:eastAsia="宋体" w:cs="宋体"/>
          <w:color w:val="auto"/>
          <w:szCs w:val="22"/>
        </w:rPr>
      </w:pPr>
      <w:r>
        <w:rPr>
          <w:rFonts w:hint="eastAsia" w:ascii="宋体" w:hAnsi="宋体" w:eastAsia="宋体" w:cs="宋体"/>
          <w:color w:val="auto"/>
          <w:szCs w:val="22"/>
        </w:rPr>
        <w:t>依据《中华人民共和国民法典》《中华人民共和国食品安全法》《中华人民共和国农产品质量安全法》《学校食品安全与营养健康规定》等有关法律法规、规章规定，甲乙双方遵循平等、自愿、公平和诚信原则，经协商一致，就学校食堂食材采购事宜签订本合同。</w:t>
      </w:r>
    </w:p>
    <w:p w14:paraId="55093223">
      <w:pPr>
        <w:keepNext w:val="0"/>
        <w:keepLines w:val="0"/>
        <w:pageBreakBefore w:val="0"/>
        <w:widowControl w:val="0"/>
        <w:tabs>
          <w:tab w:val="left" w:pos="4678"/>
        </w:tabs>
        <w:kinsoku/>
        <w:wordWrap/>
        <w:overflowPunct w:val="0"/>
        <w:topLinePunct/>
        <w:autoSpaceDE/>
        <w:autoSpaceDN/>
        <w:bidi w:val="0"/>
        <w:adjustRightInd/>
        <w:snapToGrid/>
        <w:spacing w:line="360" w:lineRule="auto"/>
        <w:ind w:firstLine="422" w:firstLineChars="200"/>
        <w:textAlignment w:val="auto"/>
        <w:rPr>
          <w:rFonts w:hint="eastAsia" w:ascii="宋体" w:hAnsi="宋体" w:eastAsia="宋体" w:cs="宋体"/>
          <w:b/>
          <w:bCs/>
          <w:color w:val="auto"/>
          <w:szCs w:val="22"/>
        </w:rPr>
      </w:pPr>
      <w:r>
        <w:rPr>
          <w:rFonts w:hint="eastAsia" w:ascii="宋体" w:hAnsi="宋体" w:eastAsia="宋体" w:cs="宋体"/>
          <w:b/>
          <w:bCs/>
          <w:color w:val="auto"/>
          <w:szCs w:val="22"/>
        </w:rPr>
        <w:t>一、合同文件构成</w:t>
      </w:r>
    </w:p>
    <w:p w14:paraId="02C0C208">
      <w:pPr>
        <w:keepNext w:val="0"/>
        <w:keepLines w:val="0"/>
        <w:pageBreakBefore w:val="0"/>
        <w:widowControl w:val="0"/>
        <w:tabs>
          <w:tab w:val="left" w:pos="4678"/>
        </w:tabs>
        <w:kinsoku/>
        <w:wordWrap/>
        <w:overflowPunct w:val="0"/>
        <w:topLinePunct/>
        <w:autoSpaceDE/>
        <w:autoSpaceDN/>
        <w:bidi w:val="0"/>
        <w:adjustRightInd/>
        <w:snapToGrid/>
        <w:spacing w:line="360" w:lineRule="auto"/>
        <w:ind w:firstLine="420" w:firstLineChars="200"/>
        <w:textAlignment w:val="auto"/>
        <w:rPr>
          <w:rFonts w:hint="eastAsia" w:ascii="宋体" w:hAnsi="宋体" w:eastAsia="宋体" w:cs="宋体"/>
          <w:color w:val="auto"/>
          <w:szCs w:val="22"/>
        </w:rPr>
      </w:pPr>
      <w:r>
        <w:rPr>
          <w:rFonts w:hint="eastAsia" w:ascii="宋体" w:hAnsi="宋体" w:eastAsia="宋体" w:cs="宋体"/>
          <w:color w:val="auto"/>
          <w:szCs w:val="22"/>
        </w:rPr>
        <w:t>构成本合同的文件包括：</w:t>
      </w:r>
    </w:p>
    <w:p w14:paraId="6B187D69">
      <w:pPr>
        <w:keepNext w:val="0"/>
        <w:keepLines w:val="0"/>
        <w:pageBreakBefore w:val="0"/>
        <w:widowControl w:val="0"/>
        <w:tabs>
          <w:tab w:val="left" w:pos="4678"/>
        </w:tabs>
        <w:kinsoku/>
        <w:wordWrap/>
        <w:overflowPunct w:val="0"/>
        <w:topLinePunct/>
        <w:autoSpaceDE/>
        <w:autoSpaceDN/>
        <w:bidi w:val="0"/>
        <w:adjustRightInd/>
        <w:snapToGrid/>
        <w:spacing w:line="360" w:lineRule="auto"/>
        <w:ind w:firstLine="420" w:firstLineChars="200"/>
        <w:textAlignment w:val="auto"/>
        <w:rPr>
          <w:rFonts w:hint="eastAsia" w:ascii="宋体" w:hAnsi="宋体" w:eastAsia="宋体" w:cs="宋体"/>
          <w:color w:val="auto"/>
          <w:szCs w:val="22"/>
        </w:rPr>
      </w:pPr>
      <w:r>
        <w:rPr>
          <w:rFonts w:hint="eastAsia" w:ascii="宋体" w:hAnsi="宋体" w:eastAsia="宋体" w:cs="宋体"/>
          <w:color w:val="auto"/>
          <w:szCs w:val="22"/>
        </w:rPr>
        <w:t>（一）本合同、补充协议；</w:t>
      </w:r>
    </w:p>
    <w:p w14:paraId="572FBDFE">
      <w:pPr>
        <w:keepNext w:val="0"/>
        <w:keepLines w:val="0"/>
        <w:pageBreakBefore w:val="0"/>
        <w:widowControl w:val="0"/>
        <w:tabs>
          <w:tab w:val="left" w:pos="4678"/>
        </w:tabs>
        <w:kinsoku/>
        <w:wordWrap/>
        <w:overflowPunct w:val="0"/>
        <w:topLinePunct/>
        <w:autoSpaceDE/>
        <w:autoSpaceDN/>
        <w:bidi w:val="0"/>
        <w:adjustRightInd/>
        <w:snapToGrid/>
        <w:spacing w:line="360" w:lineRule="auto"/>
        <w:ind w:firstLine="420" w:firstLineChars="200"/>
        <w:textAlignment w:val="auto"/>
        <w:rPr>
          <w:rFonts w:hint="eastAsia" w:ascii="宋体" w:hAnsi="宋体" w:eastAsia="宋体" w:cs="宋体"/>
          <w:color w:val="auto"/>
          <w:szCs w:val="22"/>
        </w:rPr>
      </w:pPr>
      <w:r>
        <w:rPr>
          <w:rFonts w:hint="eastAsia" w:ascii="宋体" w:hAnsi="宋体" w:eastAsia="宋体" w:cs="宋体"/>
          <w:color w:val="auto"/>
          <w:szCs w:val="22"/>
        </w:rPr>
        <w:t>（二）中标通知书（含乙方承诺函等）；</w:t>
      </w:r>
    </w:p>
    <w:p w14:paraId="5753A9AF">
      <w:pPr>
        <w:keepNext w:val="0"/>
        <w:keepLines w:val="0"/>
        <w:pageBreakBefore w:val="0"/>
        <w:widowControl w:val="0"/>
        <w:kinsoku w:val="0"/>
        <w:wordWrap/>
        <w:overflowPunct/>
        <w:topLinePunct/>
        <w:autoSpaceDE w:val="0"/>
        <w:autoSpaceDN/>
        <w:bidi w:val="0"/>
        <w:adjustRightInd/>
        <w:snapToGrid/>
        <w:spacing w:line="360" w:lineRule="auto"/>
        <w:ind w:left="0" w:right="0" w:firstLine="39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（三）招标文件</w:t>
      </w:r>
      <w:r>
        <w:rPr>
          <w:rFonts w:hint="eastAsia" w:ascii="宋体" w:hAnsi="宋体" w:eastAsia="宋体" w:cs="宋体"/>
          <w:color w:val="auto"/>
          <w:spacing w:val="-15"/>
          <w:sz w:val="21"/>
          <w:szCs w:val="21"/>
          <w:highlight w:val="none"/>
        </w:rPr>
        <w:t>（</w:t>
      </w:r>
      <w:r>
        <w:rPr>
          <w:rFonts w:hint="eastAsia" w:ascii="宋体" w:hAnsi="宋体" w:eastAsia="宋体" w:cs="宋体"/>
          <w:color w:val="auto"/>
          <w:spacing w:val="-7"/>
          <w:sz w:val="21"/>
          <w:szCs w:val="21"/>
          <w:highlight w:val="none"/>
        </w:rPr>
        <w:t>含招标补充文件等</w:t>
      </w:r>
      <w:r>
        <w:rPr>
          <w:rFonts w:hint="eastAsia" w:ascii="宋体" w:hAnsi="宋体" w:eastAsia="宋体" w:cs="宋体"/>
          <w:color w:val="auto"/>
          <w:spacing w:val="-15"/>
          <w:sz w:val="21"/>
          <w:szCs w:val="21"/>
          <w:highlight w:val="none"/>
        </w:rPr>
        <w:t>）；</w:t>
      </w:r>
    </w:p>
    <w:p w14:paraId="1175EC34">
      <w:pPr>
        <w:keepNext w:val="0"/>
        <w:keepLines w:val="0"/>
        <w:pageBreakBefore w:val="0"/>
        <w:widowControl w:val="0"/>
        <w:kinsoku w:val="0"/>
        <w:wordWrap/>
        <w:overflowPunct/>
        <w:topLinePunct/>
        <w:autoSpaceDE w:val="0"/>
        <w:autoSpaceDN/>
        <w:bidi w:val="0"/>
        <w:adjustRightInd/>
        <w:snapToGrid/>
        <w:spacing w:line="360" w:lineRule="auto"/>
        <w:ind w:left="0" w:right="0" w:firstLine="40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（四）乙方提供的投标文件（含澄清文件及承诺等</w:t>
      </w:r>
      <w:r>
        <w:rPr>
          <w:rFonts w:hint="eastAsia" w:ascii="宋体" w:hAnsi="宋体" w:eastAsia="宋体" w:cs="宋体"/>
          <w:color w:val="auto"/>
          <w:spacing w:val="1"/>
          <w:sz w:val="21"/>
          <w:szCs w:val="21"/>
          <w:highlight w:val="none"/>
        </w:rPr>
        <w:t>）；</w:t>
      </w:r>
    </w:p>
    <w:p w14:paraId="6FEE6528">
      <w:pPr>
        <w:keepNext w:val="0"/>
        <w:keepLines w:val="0"/>
        <w:pageBreakBefore w:val="0"/>
        <w:widowControl w:val="0"/>
        <w:kinsoku w:val="0"/>
        <w:wordWrap/>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（五）本合同的附件或经双方确认的采购清单。</w:t>
      </w:r>
    </w:p>
    <w:p w14:paraId="06C2CCDC">
      <w:pPr>
        <w:keepNext w:val="0"/>
        <w:keepLines w:val="0"/>
        <w:pageBreakBefore w:val="0"/>
        <w:widowControl w:val="0"/>
        <w:kinsoku w:val="0"/>
        <w:wordWrap/>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在合同订立及履行过程中形成的与合同有关的文件均构成合同文件组成部分，属于同一类内</w:t>
      </w:r>
      <w:r>
        <w:rPr>
          <w:rFonts w:hint="eastAsia" w:ascii="宋体" w:hAnsi="宋体" w:eastAsia="宋体" w:cs="宋体"/>
          <w:color w:val="auto"/>
          <w:spacing w:val="-4"/>
          <w:sz w:val="21"/>
          <w:szCs w:val="21"/>
          <w:highlight w:val="none"/>
        </w:rPr>
        <w:t>容的文件，应以最新签署的为准。</w:t>
      </w:r>
    </w:p>
    <w:p w14:paraId="134958AF">
      <w:pPr>
        <w:keepNext w:val="0"/>
        <w:keepLines w:val="0"/>
        <w:pageBreakBefore w:val="0"/>
        <w:widowControl w:val="0"/>
        <w:kinsoku w:val="0"/>
        <w:wordWrap/>
        <w:overflowPunct/>
        <w:topLinePunct/>
        <w:autoSpaceDE w:val="0"/>
        <w:autoSpaceDN/>
        <w:bidi w:val="0"/>
        <w:adjustRightInd/>
        <w:snapToGrid/>
        <w:spacing w:line="360" w:lineRule="auto"/>
        <w:ind w:left="0" w:right="0" w:firstLine="40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附件须经合同当事人签名并盖章。</w:t>
      </w:r>
    </w:p>
    <w:p w14:paraId="76462DC1">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2"/>
          <w:sz w:val="21"/>
          <w:szCs w:val="21"/>
          <w:highlight w:val="none"/>
        </w:rPr>
        <w:t>二、合同期限</w:t>
      </w:r>
    </w:p>
    <w:p w14:paraId="535CB0F0">
      <w:pPr>
        <w:keepNext w:val="0"/>
        <w:keepLines w:val="0"/>
        <w:pageBreakBefore w:val="0"/>
        <w:widowControl w:val="0"/>
        <w:kinsoku w:val="0"/>
        <w:wordWrap/>
        <w:overflowPunct/>
        <w:topLinePunct/>
        <w:autoSpaceDE w:val="0"/>
        <w:autoSpaceDN/>
        <w:bidi w:val="0"/>
        <w:adjustRightInd/>
        <w:snapToGrid/>
        <w:spacing w:line="360" w:lineRule="auto"/>
        <w:ind w:left="0" w:right="0" w:firstLine="37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（一）供货服务期</w:t>
      </w:r>
      <w:r>
        <w:rPr>
          <w:rFonts w:hint="eastAsia" w:ascii="宋体" w:hAnsi="宋体" w:eastAsia="宋体" w:cs="宋体"/>
          <w:color w:val="auto"/>
          <w:spacing w:val="5"/>
          <w:sz w:val="21"/>
          <w:szCs w:val="21"/>
          <w:highlight w:val="none"/>
          <w:u w:val="single" w:color="auto"/>
        </w:rPr>
        <w:t xml:space="preserve">     </w:t>
      </w:r>
      <w:r>
        <w:rPr>
          <w:rFonts w:hint="eastAsia" w:ascii="宋体" w:hAnsi="宋体" w:eastAsia="宋体" w:cs="宋体"/>
          <w:color w:val="auto"/>
          <w:spacing w:val="-50"/>
          <w:sz w:val="21"/>
          <w:szCs w:val="21"/>
          <w:highlight w:val="none"/>
        </w:rPr>
        <w:t xml:space="preserve"> </w:t>
      </w:r>
      <w:r>
        <w:rPr>
          <w:rFonts w:hint="eastAsia" w:ascii="宋体" w:hAnsi="宋体" w:eastAsia="宋体" w:cs="宋体"/>
          <w:color w:val="auto"/>
          <w:spacing w:val="-11"/>
          <w:sz w:val="21"/>
          <w:szCs w:val="21"/>
          <w:highlight w:val="none"/>
        </w:rPr>
        <w:t>年，即：</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48"/>
          <w:sz w:val="21"/>
          <w:szCs w:val="21"/>
          <w:highlight w:val="none"/>
        </w:rPr>
        <w:t xml:space="preserve"> </w:t>
      </w:r>
      <w:r>
        <w:rPr>
          <w:rFonts w:hint="eastAsia" w:ascii="宋体" w:hAnsi="宋体" w:eastAsia="宋体" w:cs="宋体"/>
          <w:color w:val="auto"/>
          <w:spacing w:val="-11"/>
          <w:sz w:val="21"/>
          <w:szCs w:val="21"/>
          <w:highlight w:val="none"/>
        </w:rPr>
        <w:t>年</w:t>
      </w:r>
      <w:r>
        <w:rPr>
          <w:rFonts w:hint="eastAsia" w:ascii="宋体" w:hAnsi="宋体" w:eastAsia="宋体" w:cs="宋体"/>
          <w:color w:val="auto"/>
          <w:spacing w:val="-62"/>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11"/>
          <w:sz w:val="21"/>
          <w:szCs w:val="21"/>
          <w:highlight w:val="none"/>
        </w:rPr>
        <w:t>月</w:t>
      </w:r>
      <w:r>
        <w:rPr>
          <w:rFonts w:hint="eastAsia" w:ascii="宋体" w:hAnsi="宋体" w:eastAsia="宋体" w:cs="宋体"/>
          <w:color w:val="auto"/>
          <w:spacing w:val="-61"/>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1"/>
          <w:sz w:val="21"/>
          <w:szCs w:val="21"/>
          <w:highlight w:val="none"/>
        </w:rPr>
        <w:t>至</w:t>
      </w:r>
      <w:r>
        <w:rPr>
          <w:rFonts w:hint="eastAsia" w:ascii="宋体" w:hAnsi="宋体" w:eastAsia="宋体" w:cs="宋体"/>
          <w:color w:val="auto"/>
          <w:spacing w:val="-61"/>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48"/>
          <w:sz w:val="21"/>
          <w:szCs w:val="21"/>
          <w:highlight w:val="none"/>
        </w:rPr>
        <w:t xml:space="preserve"> </w:t>
      </w:r>
      <w:r>
        <w:rPr>
          <w:rFonts w:hint="eastAsia" w:ascii="宋体" w:hAnsi="宋体" w:eastAsia="宋体" w:cs="宋体"/>
          <w:color w:val="auto"/>
          <w:spacing w:val="-11"/>
          <w:sz w:val="21"/>
          <w:szCs w:val="21"/>
          <w:highlight w:val="none"/>
        </w:rPr>
        <w:t>年</w:t>
      </w:r>
      <w:r>
        <w:rPr>
          <w:rFonts w:hint="eastAsia" w:ascii="宋体" w:hAnsi="宋体" w:eastAsia="宋体" w:cs="宋体"/>
          <w:color w:val="auto"/>
          <w:spacing w:val="-63"/>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11"/>
          <w:sz w:val="21"/>
          <w:szCs w:val="21"/>
          <w:highlight w:val="none"/>
        </w:rPr>
        <w:t>月</w:t>
      </w:r>
      <w:r>
        <w:rPr>
          <w:rFonts w:hint="eastAsia" w:ascii="宋体" w:hAnsi="宋体" w:eastAsia="宋体" w:cs="宋体"/>
          <w:color w:val="auto"/>
          <w:spacing w:val="-61"/>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11"/>
          <w:sz w:val="21"/>
          <w:szCs w:val="21"/>
          <w:highlight w:val="none"/>
        </w:rPr>
        <w:t>日止。</w:t>
      </w:r>
    </w:p>
    <w:p w14:paraId="6E3AEF6C">
      <w:pPr>
        <w:keepNext w:val="0"/>
        <w:keepLines w:val="0"/>
        <w:pageBreakBefore w:val="0"/>
        <w:widowControl w:val="0"/>
        <w:kinsoku w:val="0"/>
        <w:wordWrap/>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（二）服务期内，如遇规章或相关政策调整，导致本合同无法继续履行的，乙方应无条件配合</w:t>
      </w:r>
      <w:r>
        <w:rPr>
          <w:rFonts w:hint="eastAsia" w:ascii="宋体" w:hAnsi="宋体" w:eastAsia="宋体" w:cs="宋体"/>
          <w:color w:val="auto"/>
          <w:spacing w:val="-1"/>
          <w:sz w:val="21"/>
          <w:szCs w:val="21"/>
          <w:highlight w:val="none"/>
        </w:rPr>
        <w:t>甲方提前终止本合同，甲方提前终止本合同的行为不视为违约，不按照本合同相关约定承担违约</w:t>
      </w:r>
      <w:r>
        <w:rPr>
          <w:rFonts w:hint="eastAsia" w:ascii="宋体" w:hAnsi="宋体" w:eastAsia="宋体" w:cs="宋体"/>
          <w:color w:val="auto"/>
          <w:spacing w:val="-13"/>
          <w:sz w:val="21"/>
          <w:szCs w:val="21"/>
          <w:highlight w:val="none"/>
        </w:rPr>
        <w:t>责任。</w:t>
      </w:r>
    </w:p>
    <w:p w14:paraId="5D168858">
      <w:pPr>
        <w:keepNext w:val="0"/>
        <w:keepLines w:val="0"/>
        <w:pageBreakBefore w:val="0"/>
        <w:widowControl w:val="0"/>
        <w:kinsoku w:val="0"/>
        <w:wordWrap/>
        <w:overflowPunct/>
        <w:topLinePunct/>
        <w:autoSpaceDE w:val="0"/>
        <w:autoSpaceDN/>
        <w:bidi w:val="0"/>
        <w:adjustRightInd/>
        <w:snapToGrid/>
        <w:spacing w:line="360" w:lineRule="auto"/>
        <w:ind w:left="0" w:right="0" w:firstLine="418"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1"/>
          <w:sz w:val="21"/>
          <w:szCs w:val="21"/>
          <w:highlight w:val="none"/>
        </w:rPr>
        <w:t>三、合同金额、食材供应的品种及单价</w:t>
      </w:r>
    </w:p>
    <w:p w14:paraId="0CCB83FD">
      <w:pPr>
        <w:keepNext w:val="0"/>
        <w:keepLines w:val="0"/>
        <w:pageBreakBefore w:val="0"/>
        <w:widowControl w:val="0"/>
        <w:kinsoku w:val="0"/>
        <w:wordWrap w:val="0"/>
        <w:overflowPunct/>
        <w:topLinePunct/>
        <w:autoSpaceDE w:val="0"/>
        <w:autoSpaceDN/>
        <w:bidi w:val="0"/>
        <w:adjustRightInd/>
        <w:snapToGrid/>
        <w:spacing w:line="360" w:lineRule="auto"/>
        <w:ind w:left="0" w:right="0" w:firstLine="40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（一）预计年采购金额为</w:t>
      </w:r>
      <w:r>
        <w:rPr>
          <w:rFonts w:hint="eastAsia" w:ascii="宋体" w:hAnsi="宋体" w:eastAsia="宋体" w:cs="宋体"/>
          <w:color w:val="auto"/>
          <w:spacing w:val="-5"/>
          <w:sz w:val="21"/>
          <w:szCs w:val="21"/>
          <w:highlight w:val="none"/>
          <w:u w:val="single" w:color="auto"/>
        </w:rPr>
        <w:t xml:space="preserve">        </w:t>
      </w:r>
      <w:r>
        <w:rPr>
          <w:rFonts w:hint="eastAsia" w:ascii="宋体" w:hAnsi="宋体" w:eastAsia="宋体" w:cs="宋体"/>
          <w:color w:val="auto"/>
          <w:spacing w:val="-43"/>
          <w:sz w:val="21"/>
          <w:szCs w:val="21"/>
          <w:highlight w:val="none"/>
        </w:rPr>
        <w:t xml:space="preserve"> </w:t>
      </w:r>
      <w:r>
        <w:rPr>
          <w:rFonts w:hint="eastAsia" w:ascii="宋体" w:hAnsi="宋体" w:eastAsia="宋体" w:cs="宋体"/>
          <w:color w:val="auto"/>
          <w:spacing w:val="-5"/>
          <w:sz w:val="21"/>
          <w:szCs w:val="21"/>
          <w:highlight w:val="none"/>
        </w:rPr>
        <w:t>万元（本合同实际金额以双方结算为准）。乙方在供应甲</w:t>
      </w:r>
      <w:r>
        <w:rPr>
          <w:rFonts w:hint="eastAsia" w:ascii="宋体" w:hAnsi="宋体" w:eastAsia="宋体" w:cs="宋体"/>
          <w:color w:val="auto"/>
          <w:spacing w:val="-6"/>
          <w:sz w:val="21"/>
          <w:szCs w:val="21"/>
          <w:highlight w:val="none"/>
        </w:rPr>
        <w:t>方食品</w:t>
      </w:r>
      <w:r>
        <w:rPr>
          <w:rFonts w:hint="eastAsia" w:ascii="宋体" w:hAnsi="宋体" w:eastAsia="宋体" w:cs="宋体"/>
          <w:color w:val="auto"/>
          <w:spacing w:val="-3"/>
          <w:sz w:val="21"/>
          <w:szCs w:val="21"/>
          <w:highlight w:val="none"/>
        </w:rPr>
        <w:t>过程中所报价格应根据市场供需及经营成本合理定价，实际食材价格以本合</w:t>
      </w:r>
      <w:r>
        <w:rPr>
          <w:rFonts w:hint="eastAsia" w:ascii="宋体" w:hAnsi="宋体" w:eastAsia="宋体" w:cs="宋体"/>
          <w:color w:val="auto"/>
          <w:spacing w:val="-4"/>
          <w:sz w:val="21"/>
          <w:szCs w:val="21"/>
          <w:highlight w:val="none"/>
        </w:rPr>
        <w:t>同附件所列单价为准。</w:t>
      </w:r>
    </w:p>
    <w:p w14:paraId="21D32820">
      <w:pPr>
        <w:keepNext w:val="0"/>
        <w:keepLines w:val="0"/>
        <w:pageBreakBefore w:val="0"/>
        <w:widowControl w:val="0"/>
        <w:kinsoku w:val="0"/>
        <w:wordWrap/>
        <w:overflowPunct/>
        <w:topLinePunct/>
        <w:autoSpaceDE w:val="0"/>
        <w:autoSpaceDN/>
        <w:bidi w:val="0"/>
        <w:adjustRightInd/>
        <w:snapToGrid/>
        <w:spacing w:line="360" w:lineRule="auto"/>
        <w:ind w:left="0" w:right="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（二）食材种类：包括但不限于肉食品类、蔬菜类及辅料类</w:t>
      </w:r>
      <w:r>
        <w:rPr>
          <w:rFonts w:hint="eastAsia" w:ascii="宋体" w:hAnsi="宋体" w:eastAsia="宋体" w:cs="宋体"/>
          <w:color w:val="auto"/>
          <w:spacing w:val="-1"/>
          <w:sz w:val="21"/>
          <w:szCs w:val="21"/>
          <w:highlight w:val="none"/>
        </w:rPr>
        <w:t>。</w:t>
      </w:r>
    </w:p>
    <w:p w14:paraId="0E1AC320">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rPr>
        <w:t>（三）</w:t>
      </w:r>
      <w:r>
        <w:rPr>
          <w:rFonts w:hint="eastAsia" w:ascii="宋体" w:hAnsi="宋体" w:cs="宋体"/>
          <w:color w:val="auto"/>
          <w:spacing w:val="-2"/>
          <w:sz w:val="21"/>
          <w:szCs w:val="21"/>
          <w:highlight w:val="none"/>
          <w:lang w:val="en-US" w:eastAsia="zh-CN"/>
        </w:rPr>
        <w:t>价格认定</w:t>
      </w:r>
    </w:p>
    <w:p w14:paraId="5847CC98">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（1）肉食品类定价规则</w:t>
      </w:r>
    </w:p>
    <w:p w14:paraId="515D806D">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① 基准价报送与备案要求：供应商须于每月25日至30日，将加盖定点屠宰场公章的次月肉类批发价格依据证明（或屠宰场当期价格公示材料或其他能够客观、真实佐证定点屠宰场批发价格的有效证明材料）报送报送采购人及各供货学校，由采购人及各供货学校统一收存备案存档；屠宰批发价格一经供应商与供货学校双方确认锁定，作为次月完整1个月供货计价的唯一基数，该执行周期内定点屠宰批发单价固定不变，不随屠宰场临时调价、市场短期涨跌调整。</w:t>
      </w:r>
    </w:p>
    <w:p w14:paraId="1ED0232A">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本条款所指屠宰场批发价格为屠宰场完成脱酸、精修、预冷、人工、场内配送至供应商仓库的综合采购进价。</w:t>
      </w:r>
    </w:p>
    <w:p w14:paraId="3765DB08">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② 月度结算单价计算公式：次月结算单价=每月25-30日备案锁定的定点屠宰场批发单价×（1+中标上浮比例）。</w:t>
      </w:r>
    </w:p>
    <w:p w14:paraId="58552523">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③ 逾期报送违约责任：供应商未在当月25日—30日完成次月屠宰批发价备案，或提交单据无屠宰场有效盖章、价格材料虚假的，次月肉类结算不采用上浮计价模式，统一按上期备案锁定的定点屠宰场批发单价结算，全部价差亏损由供应商自行承担，同时采购人有权将其记入供应商履约不良记录。</w:t>
      </w:r>
    </w:p>
    <w:p w14:paraId="13C15BD7">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（2）蔬菜类、辅料类定价规则</w:t>
      </w:r>
    </w:p>
    <w:p w14:paraId="22652EF2">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1）询价基准与标准</w:t>
      </w:r>
    </w:p>
    <w:p w14:paraId="5DF611B1">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① 询价方式：由询价小组开展市场询价工作，询价范围限定为供货上一个月在临翔区城区内正常运营的三家或三家以上大型商超或农贸市场，以该范围内的产品实际售价作为询价基础。</w:t>
      </w:r>
    </w:p>
    <w:p w14:paraId="1F965CC6">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② 基准价计算：以三家或三家以上商超/农贸市场的有效询价结果取平均值，作为本次询价的基准价。</w:t>
      </w:r>
    </w:p>
    <w:p w14:paraId="61C0CB37">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③ 排除情形：经核实属于大型商超、农贸市场的引流价、特价商品价格及处理品价格，均不纳入本次询价标准范围，不参与基准价计算。</w:t>
      </w:r>
    </w:p>
    <w:p w14:paraId="0138517E">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2）询价周期与执行期</w:t>
      </w:r>
    </w:p>
    <w:p w14:paraId="54C051E0">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① 询价频次：按学期周期设定，每个学期开展2次询价，确保价格与市场动态适配。</w:t>
      </w:r>
    </w:p>
    <w:p w14:paraId="25DB170E">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② 询价时间：两次询价分别在固定节点启动，第一次为学期初，第二次为学期中，避免周期混乱。</w:t>
      </w:r>
    </w:p>
    <w:p w14:paraId="4D14C2F7">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③ 执行期规则：每次询价确定的基准价及对应价格标准，执行期为2个月（覆盖两次询价间隔周期），有效期内严格按该价格标准执行；若学期末存在剩余周期不足2个月的情况，仍按最近一次询价价格执行至学期结束。</w:t>
      </w:r>
    </w:p>
    <w:p w14:paraId="556601E2">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④ 特殊调整情形：仅当市场价格浮动幅度达到或超过5%（含5%），且供应商已完成一个月配送服务并能提供有效价格浮动例证（有调价货物在配送学校当地市场和临翔区其他两个不同区域市场价格浮动幅度均超过5%的例证）时，可不受学期初、学期中固定节点限制，提前启动临时询价；若未满足上述条件，则需按学期内最近一次询价确定的市场价格，完整执行至下一次固定询价节点。</w:t>
      </w:r>
    </w:p>
    <w:p w14:paraId="6DCF1894">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3）询价小组组成</w:t>
      </w:r>
    </w:p>
    <w:p w14:paraId="08060346">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询价小组由三方成员共同组成，具体为：临沧市临翔区教育体育局代表、供货学校代表、中标供应商代表。</w:t>
      </w:r>
    </w:p>
    <w:p w14:paraId="6308F8F3">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（四）结算规则</w:t>
      </w:r>
    </w:p>
    <w:p w14:paraId="7065A97C">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jc w:val="both"/>
        <w:textAlignment w:val="baseline"/>
        <w:rPr>
          <w:rFonts w:hint="eastAsia" w:ascii="宋体" w:hAnsi="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按月结算，根据每月确定的商品价格（单价）×（1±上浮率/下浮率）×实际完成的商品供应数量进行结算；一旦中标，该报价（上浮率/下浮率）将作为本项目供货周期内货物价格的唯一计算依据，且上浮率/下浮率不得调整。</w:t>
      </w:r>
    </w:p>
    <w:p w14:paraId="770BF18E">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jc w:val="both"/>
        <w:textAlignment w:val="baseline"/>
        <w:rPr>
          <w:rFonts w:hint="eastAsia" w:ascii="宋体" w:hAnsi="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（五）成交上浮率/下浮率</w:t>
      </w:r>
    </w:p>
    <w:p w14:paraId="5DE7A244">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jc w:val="both"/>
        <w:textAlignment w:val="baseline"/>
        <w:rPr>
          <w:rFonts w:hint="eastAsia" w:ascii="宋体" w:hAnsi="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 xml:space="preserve">1.肉食品类：在每月备案锁定的定点屠宰场批发单价基础上，上浮 </w:t>
      </w:r>
      <w:r>
        <w:rPr>
          <w:rFonts w:hint="eastAsia" w:ascii="宋体" w:hAnsi="宋体" w:cs="宋体"/>
          <w:b/>
          <w:bCs/>
          <w:color w:val="auto"/>
          <w:spacing w:val="-2"/>
          <w:sz w:val="21"/>
          <w:szCs w:val="21"/>
          <w:highlight w:val="none"/>
          <w:u w:val="single"/>
          <w:lang w:val="en-US" w:eastAsia="zh-CN"/>
        </w:rPr>
        <w:t xml:space="preserve">    </w:t>
      </w:r>
      <w:r>
        <w:rPr>
          <w:rFonts w:hint="eastAsia" w:ascii="宋体" w:hAnsi="宋体" w:cs="宋体"/>
          <w:b/>
          <w:bCs/>
          <w:color w:val="auto"/>
          <w:spacing w:val="-2"/>
          <w:sz w:val="21"/>
          <w:szCs w:val="21"/>
          <w:highlight w:val="none"/>
          <w:lang w:val="en-US" w:eastAsia="zh-CN"/>
        </w:rPr>
        <w:t>%。</w:t>
      </w:r>
    </w:p>
    <w:p w14:paraId="4F9B98AC">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jc w:val="both"/>
        <w:textAlignment w:val="baseline"/>
        <w:rPr>
          <w:rFonts w:hint="eastAsia" w:ascii="宋体" w:hAnsi="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2.蔬菜类：在当期询价确定的市场基准价基础上，下浮</w:t>
      </w:r>
      <w:r>
        <w:rPr>
          <w:rFonts w:hint="eastAsia" w:ascii="宋体" w:hAnsi="宋体" w:cs="宋体"/>
          <w:b/>
          <w:bCs/>
          <w:color w:val="auto"/>
          <w:spacing w:val="-2"/>
          <w:sz w:val="21"/>
          <w:szCs w:val="21"/>
          <w:highlight w:val="none"/>
          <w:u w:val="single"/>
          <w:lang w:val="en-US" w:eastAsia="zh-CN"/>
        </w:rPr>
        <w:t xml:space="preserve">     </w:t>
      </w:r>
      <w:r>
        <w:rPr>
          <w:rFonts w:hint="eastAsia" w:ascii="宋体" w:hAnsi="宋体" w:cs="宋体"/>
          <w:b/>
          <w:bCs/>
          <w:color w:val="auto"/>
          <w:spacing w:val="-2"/>
          <w:sz w:val="21"/>
          <w:szCs w:val="21"/>
          <w:highlight w:val="none"/>
          <w:lang w:val="en-US" w:eastAsia="zh-CN"/>
        </w:rPr>
        <w:t>%。</w:t>
      </w:r>
    </w:p>
    <w:p w14:paraId="6C323350">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jc w:val="both"/>
        <w:textAlignment w:val="baseline"/>
        <w:rPr>
          <w:rFonts w:hint="default" w:ascii="宋体" w:hAnsi="宋体" w:eastAsia="宋体" w:cs="宋体"/>
          <w:b/>
          <w:bCs/>
          <w:color w:val="auto"/>
          <w:sz w:val="21"/>
          <w:szCs w:val="21"/>
          <w:highlight w:val="none"/>
          <w:lang w:val="en-US"/>
        </w:rPr>
      </w:pPr>
      <w:r>
        <w:rPr>
          <w:rFonts w:hint="eastAsia" w:ascii="宋体" w:hAnsi="宋体" w:cs="宋体"/>
          <w:b/>
          <w:bCs/>
          <w:color w:val="auto"/>
          <w:spacing w:val="-2"/>
          <w:sz w:val="21"/>
          <w:szCs w:val="21"/>
          <w:highlight w:val="none"/>
          <w:lang w:val="en-US" w:eastAsia="zh-CN"/>
        </w:rPr>
        <w:t>3.辅料类：在当期询价确定的市场基准价基础上，下浮</w:t>
      </w:r>
      <w:r>
        <w:rPr>
          <w:rFonts w:hint="eastAsia" w:ascii="宋体" w:hAnsi="宋体" w:cs="宋体"/>
          <w:b/>
          <w:bCs/>
          <w:color w:val="auto"/>
          <w:spacing w:val="-2"/>
          <w:sz w:val="21"/>
          <w:szCs w:val="21"/>
          <w:highlight w:val="none"/>
          <w:u w:val="single"/>
          <w:lang w:val="en-US" w:eastAsia="zh-CN"/>
        </w:rPr>
        <w:t xml:space="preserve">     </w:t>
      </w:r>
      <w:r>
        <w:rPr>
          <w:rFonts w:hint="eastAsia" w:ascii="宋体" w:hAnsi="宋体" w:cs="宋体"/>
          <w:b/>
          <w:bCs/>
          <w:color w:val="auto"/>
          <w:spacing w:val="-2"/>
          <w:sz w:val="21"/>
          <w:szCs w:val="21"/>
          <w:highlight w:val="none"/>
          <w:lang w:val="en-US" w:eastAsia="zh-CN"/>
        </w:rPr>
        <w:t>%。</w:t>
      </w:r>
    </w:p>
    <w:p w14:paraId="73AAF020">
      <w:pPr>
        <w:keepNext w:val="0"/>
        <w:keepLines w:val="0"/>
        <w:pageBreakBefore w:val="0"/>
        <w:widowControl w:val="0"/>
        <w:kinsoku/>
        <w:wordWrap w:val="0"/>
        <w:overflowPunct/>
        <w:topLinePunct/>
        <w:autoSpaceDE w:val="0"/>
        <w:autoSpaceDN/>
        <w:bidi w:val="0"/>
        <w:adjustRightInd/>
        <w:snapToGrid/>
        <w:spacing w:line="360" w:lineRule="auto"/>
        <w:ind w:left="0" w:right="0" w:firstLine="414"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2"/>
          <w:sz w:val="21"/>
          <w:szCs w:val="21"/>
          <w:highlight w:val="none"/>
        </w:rPr>
        <w:t>四、资质及票证索取要求</w:t>
      </w:r>
    </w:p>
    <w:p w14:paraId="01C6FCD2">
      <w:pPr>
        <w:keepNext w:val="0"/>
        <w:keepLines w:val="0"/>
        <w:pageBreakBefore w:val="0"/>
        <w:widowControl w:val="0"/>
        <w:kinsoku/>
        <w:wordWrap w:val="0"/>
        <w:overflowPunct/>
        <w:topLinePunct/>
        <w:autoSpaceDE w:val="0"/>
        <w:autoSpaceDN/>
        <w:bidi w:val="0"/>
        <w:adjustRightInd/>
        <w:snapToGrid/>
        <w:spacing w:line="360" w:lineRule="auto"/>
        <w:ind w:left="0" w:right="0" w:firstLine="424"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（一）资质要求：乙方应于本协议签订前</w:t>
      </w:r>
      <w:r>
        <w:rPr>
          <w:rFonts w:hint="eastAsia" w:ascii="宋体" w:hAnsi="宋体" w:eastAsia="宋体" w:cs="宋体"/>
          <w:color w:val="auto"/>
          <w:spacing w:val="-60"/>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cs="宋体"/>
          <w:color w:val="auto"/>
          <w:spacing w:val="3"/>
          <w:sz w:val="21"/>
          <w:szCs w:val="21"/>
          <w:highlight w:val="none"/>
          <w:u w:val="single" w:color="auto"/>
          <w:lang w:val="en-US" w:eastAsia="zh-CN"/>
        </w:rPr>
        <w:t>1</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49"/>
          <w:sz w:val="21"/>
          <w:szCs w:val="21"/>
          <w:highlight w:val="none"/>
        </w:rPr>
        <w:t xml:space="preserve"> </w:t>
      </w:r>
      <w:r>
        <w:rPr>
          <w:rFonts w:hint="eastAsia" w:ascii="宋体" w:hAnsi="宋体" w:eastAsia="宋体" w:cs="宋体"/>
          <w:color w:val="auto"/>
          <w:spacing w:val="1"/>
          <w:sz w:val="21"/>
          <w:szCs w:val="21"/>
          <w:highlight w:val="none"/>
        </w:rPr>
        <w:t>个工作日</w:t>
      </w:r>
      <w:r>
        <w:rPr>
          <w:rFonts w:hint="eastAsia" w:ascii="宋体" w:hAnsi="宋体" w:eastAsia="宋体" w:cs="宋体"/>
          <w:color w:val="auto"/>
          <w:sz w:val="21"/>
          <w:szCs w:val="21"/>
          <w:highlight w:val="none"/>
        </w:rPr>
        <w:t>内提供的相关证件：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《营业执照》</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pacing w:val="3"/>
          <w:sz w:val="21"/>
          <w:szCs w:val="21"/>
          <w:highlight w:val="none"/>
          <w:lang w:eastAsia="zh-CN"/>
        </w:rPr>
        <w:t>☑</w:t>
      </w:r>
      <w:r>
        <w:rPr>
          <w:rFonts w:hint="eastAsia" w:ascii="宋体" w:hAnsi="宋体" w:eastAsia="宋体" w:cs="宋体"/>
          <w:color w:val="auto"/>
          <w:spacing w:val="3"/>
          <w:sz w:val="21"/>
          <w:szCs w:val="21"/>
          <w:highlight w:val="none"/>
        </w:rPr>
        <w:t>《食品经营许可证》</w:t>
      </w:r>
      <w:r>
        <w:rPr>
          <w:rFonts w:hint="eastAsia" w:ascii="宋体" w:hAnsi="宋体" w:eastAsia="宋体" w:cs="宋体"/>
          <w:color w:val="auto"/>
          <w:spacing w:val="3"/>
          <w:sz w:val="21"/>
          <w:szCs w:val="21"/>
          <w:highlight w:val="none"/>
          <w:lang w:val="en-US" w:eastAsia="zh-CN"/>
        </w:rPr>
        <w:t xml:space="preserve">  </w:t>
      </w:r>
      <w:r>
        <w:rPr>
          <w:rFonts w:hint="eastAsia" w:ascii="宋体" w:hAnsi="宋体" w:cs="宋体"/>
          <w:color w:val="auto"/>
          <w:spacing w:val="3"/>
          <w:sz w:val="21"/>
          <w:szCs w:val="21"/>
          <w:highlight w:val="none"/>
          <w:lang w:eastAsia="zh-CN"/>
        </w:rPr>
        <w:t>☑</w:t>
      </w:r>
      <w:r>
        <w:rPr>
          <w:rFonts w:hint="eastAsia" w:ascii="宋体" w:hAnsi="宋体" w:eastAsia="宋体" w:cs="宋体"/>
          <w:color w:val="auto"/>
          <w:spacing w:val="3"/>
          <w:sz w:val="21"/>
          <w:szCs w:val="21"/>
          <w:highlight w:val="none"/>
        </w:rPr>
        <w:t>《开户许可证</w:t>
      </w:r>
      <w:r>
        <w:rPr>
          <w:rFonts w:hint="eastAsia" w:ascii="宋体" w:hAnsi="宋体" w:eastAsia="宋体" w:cs="宋体"/>
          <w:color w:val="auto"/>
          <w:spacing w:val="2"/>
          <w:sz w:val="21"/>
          <w:szCs w:val="21"/>
          <w:highlight w:val="none"/>
        </w:rPr>
        <w:t>》</w:t>
      </w:r>
      <w:r>
        <w:rPr>
          <w:rFonts w:hint="eastAsia" w:ascii="宋体" w:hAnsi="宋体" w:eastAsia="宋体" w:cs="宋体"/>
          <w:color w:val="auto"/>
          <w:spacing w:val="2"/>
          <w:sz w:val="21"/>
          <w:szCs w:val="21"/>
          <w:highlight w:val="none"/>
          <w:lang w:val="en-US" w:eastAsia="zh-CN"/>
        </w:rPr>
        <w:t xml:space="preserve">  </w:t>
      </w:r>
      <w:r>
        <w:rPr>
          <w:rFonts w:hint="eastAsia" w:ascii="宋体" w:hAnsi="宋体" w:eastAsia="宋体" w:cs="宋体"/>
          <w:color w:val="auto"/>
          <w:spacing w:val="2"/>
          <w:sz w:val="21"/>
          <w:szCs w:val="21"/>
          <w:highlight w:val="none"/>
        </w:rPr>
        <w:t>□《食品生产许可证》</w:t>
      </w:r>
      <w:r>
        <w:rPr>
          <w:rFonts w:hint="eastAsia" w:ascii="宋体" w:hAnsi="宋体" w:eastAsia="宋体" w:cs="宋体"/>
          <w:color w:val="auto"/>
          <w:spacing w:val="2"/>
          <w:sz w:val="21"/>
          <w:szCs w:val="21"/>
          <w:highlight w:val="none"/>
          <w:lang w:val="en-US" w:eastAsia="zh-CN"/>
        </w:rPr>
        <w:t xml:space="preserve">  </w:t>
      </w:r>
      <w:r>
        <w:rPr>
          <w:rFonts w:hint="eastAsia" w:ascii="宋体" w:hAnsi="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《检验报告》</w:t>
      </w:r>
      <w:r>
        <w:rPr>
          <w:rFonts w:hint="eastAsia" w:ascii="宋体" w:hAnsi="宋体" w:eastAsia="宋体" w:cs="宋体"/>
          <w:color w:val="auto"/>
          <w:spacing w:val="2"/>
          <w:sz w:val="21"/>
          <w:szCs w:val="21"/>
          <w:highlight w:val="none"/>
          <w:lang w:val="en-US" w:eastAsia="zh-CN"/>
        </w:rPr>
        <w:t xml:space="preserve">  </w:t>
      </w:r>
      <w:r>
        <w:rPr>
          <w:rFonts w:hint="eastAsia" w:ascii="宋体" w:hAnsi="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《检疫</w:t>
      </w:r>
      <w:r>
        <w:rPr>
          <w:rFonts w:hint="eastAsia" w:ascii="宋体" w:hAnsi="宋体" w:eastAsia="宋体" w:cs="宋体"/>
          <w:color w:val="auto"/>
          <w:spacing w:val="1"/>
          <w:sz w:val="21"/>
          <w:szCs w:val="21"/>
          <w:highlight w:val="none"/>
        </w:rPr>
        <w:t>证明》</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□其他</w:t>
      </w:r>
      <w:r>
        <w:rPr>
          <w:rFonts w:hint="eastAsia" w:ascii="宋体" w:hAnsi="宋体" w:eastAsia="宋体" w:cs="宋体"/>
          <w:color w:val="auto"/>
          <w:spacing w:val="3"/>
          <w:sz w:val="21"/>
          <w:szCs w:val="21"/>
          <w:highlight w:val="none"/>
          <w:u w:val="single" w:color="auto"/>
        </w:rPr>
        <w:t xml:space="preserve"> 提供配送人员和经营者的健康证复印件，配送车辆达到保温、冷藏（冷冻）等实施设备</w:t>
      </w:r>
      <w:r>
        <w:rPr>
          <w:rFonts w:hint="eastAsia" w:ascii="宋体" w:hAnsi="宋体" w:cs="宋体"/>
          <w:color w:val="auto"/>
          <w:spacing w:val="3"/>
          <w:sz w:val="21"/>
          <w:szCs w:val="21"/>
          <w:highlight w:val="none"/>
          <w:u w:val="single" w:color="auto"/>
          <w:lang w:val="en-US" w:eastAsia="zh-CN"/>
        </w:rPr>
        <w:t xml:space="preserve"> </w:t>
      </w:r>
      <w:r>
        <w:rPr>
          <w:rFonts w:hint="eastAsia" w:ascii="宋体" w:hAnsi="宋体" w:eastAsia="宋体" w:cs="宋体"/>
          <w:color w:val="auto"/>
          <w:spacing w:val="1"/>
          <w:sz w:val="21"/>
          <w:szCs w:val="21"/>
          <w:highlight w:val="none"/>
        </w:rPr>
        <w:t>。</w:t>
      </w:r>
    </w:p>
    <w:p w14:paraId="0C3EE7D1">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（二）乙方必须提供采购点经营者的相关证件及食品质量的相关证件，供应蔬菜、肉制品</w:t>
      </w:r>
      <w:r>
        <w:rPr>
          <w:rFonts w:hint="eastAsia" w:ascii="宋体" w:hAnsi="宋体" w:eastAsia="宋体" w:cs="宋体"/>
          <w:color w:val="auto"/>
          <w:spacing w:val="-2"/>
          <w:sz w:val="21"/>
          <w:szCs w:val="21"/>
          <w:highlight w:val="none"/>
        </w:rPr>
        <w:t>类的，还应提供食用农产品产地证明、农残检测报告、检验检疫报告等。</w:t>
      </w:r>
    </w:p>
    <w:p w14:paraId="01DD3F18">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（三）乙方必须提供本次所供应食材的相关票证（包括但不限于发票、收据等购货凭证以及产</w:t>
      </w:r>
      <w:r>
        <w:rPr>
          <w:rFonts w:hint="eastAsia" w:ascii="宋体" w:hAnsi="宋体" w:eastAsia="宋体" w:cs="宋体"/>
          <w:color w:val="auto"/>
          <w:spacing w:val="-12"/>
          <w:sz w:val="21"/>
          <w:szCs w:val="21"/>
          <w:highlight w:val="none"/>
        </w:rPr>
        <w:t>品合格证明文件等）。</w:t>
      </w:r>
    </w:p>
    <w:p w14:paraId="10AD99AD">
      <w:pPr>
        <w:keepNext w:val="0"/>
        <w:keepLines w:val="0"/>
        <w:pageBreakBefore w:val="0"/>
        <w:widowControl w:val="0"/>
        <w:kinsoku/>
        <w:wordWrap w:val="0"/>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（四）甲方有权随时对乙方供应的食材进行抽查、抽检，发现食材不符合标准的，甲方有权退</w:t>
      </w:r>
      <w:r>
        <w:rPr>
          <w:rFonts w:hint="eastAsia" w:ascii="宋体" w:hAnsi="宋体" w:eastAsia="宋体" w:cs="宋体"/>
          <w:color w:val="auto"/>
          <w:spacing w:val="-3"/>
          <w:sz w:val="21"/>
          <w:szCs w:val="21"/>
          <w:highlight w:val="none"/>
        </w:rPr>
        <w:t>回且不支付对应款项，</w:t>
      </w:r>
      <w:r>
        <w:rPr>
          <w:rFonts w:hint="eastAsia" w:ascii="宋体" w:hAnsi="宋体" w:cs="宋体"/>
          <w:color w:val="auto"/>
          <w:spacing w:val="-3"/>
          <w:sz w:val="21"/>
          <w:szCs w:val="21"/>
          <w:highlight w:val="none"/>
          <w:lang w:val="en-US" w:eastAsia="zh-CN"/>
        </w:rPr>
        <w:t>情节严重的</w:t>
      </w:r>
      <w:r>
        <w:rPr>
          <w:rFonts w:hint="eastAsia" w:ascii="宋体" w:hAnsi="宋体" w:eastAsia="宋体" w:cs="宋体"/>
          <w:color w:val="auto"/>
          <w:spacing w:val="-3"/>
          <w:sz w:val="21"/>
          <w:szCs w:val="21"/>
          <w:highlight w:val="none"/>
        </w:rPr>
        <w:t>，甲方有权解除</w:t>
      </w:r>
      <w:r>
        <w:rPr>
          <w:rFonts w:hint="eastAsia" w:ascii="宋体" w:hAnsi="宋体" w:eastAsia="宋体" w:cs="宋体"/>
          <w:color w:val="auto"/>
          <w:spacing w:val="-4"/>
          <w:sz w:val="21"/>
          <w:szCs w:val="21"/>
          <w:highlight w:val="none"/>
        </w:rPr>
        <w:t>合同。</w:t>
      </w:r>
    </w:p>
    <w:p w14:paraId="3C2068BD">
      <w:pPr>
        <w:keepNext w:val="0"/>
        <w:keepLines w:val="0"/>
        <w:pageBreakBefore w:val="0"/>
        <w:widowControl w:val="0"/>
        <w:kinsoku/>
        <w:wordWrap w:val="0"/>
        <w:overflowPunct/>
        <w:topLinePunct/>
        <w:autoSpaceDE w:val="0"/>
        <w:autoSpaceDN/>
        <w:bidi w:val="0"/>
        <w:adjustRightInd/>
        <w:snapToGrid/>
        <w:spacing w:line="360" w:lineRule="auto"/>
        <w:ind w:left="0" w:right="0" w:firstLine="414"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2"/>
          <w:sz w:val="21"/>
          <w:szCs w:val="21"/>
          <w:highlight w:val="none"/>
        </w:rPr>
        <w:t>五、食材质量要求</w:t>
      </w:r>
    </w:p>
    <w:p w14:paraId="66E5AA69">
      <w:pPr>
        <w:keepNext w:val="0"/>
        <w:keepLines w:val="0"/>
        <w:pageBreakBefore w:val="0"/>
        <w:widowControl w:val="0"/>
        <w:kinsoku/>
        <w:wordWrap w:val="0"/>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食材提供者应当依照食品安全标准从事生产经营活动，落实食品安全主体责任，诚信自律，</w:t>
      </w:r>
      <w:r>
        <w:rPr>
          <w:rFonts w:hint="eastAsia" w:ascii="宋体" w:hAnsi="宋体" w:eastAsia="宋体" w:cs="宋体"/>
          <w:color w:val="auto"/>
          <w:spacing w:val="-2"/>
          <w:sz w:val="21"/>
          <w:szCs w:val="21"/>
          <w:highlight w:val="none"/>
        </w:rPr>
        <w:t>保证食品安全，对社会和公众负责，接受社会监</w:t>
      </w:r>
      <w:r>
        <w:rPr>
          <w:rFonts w:hint="eastAsia" w:ascii="宋体" w:hAnsi="宋体" w:eastAsia="宋体" w:cs="宋体"/>
          <w:color w:val="auto"/>
          <w:spacing w:val="-3"/>
          <w:sz w:val="21"/>
          <w:szCs w:val="21"/>
          <w:highlight w:val="none"/>
        </w:rPr>
        <w:t>督。</w:t>
      </w:r>
    </w:p>
    <w:p w14:paraId="5D1B788E">
      <w:pPr>
        <w:keepNext w:val="0"/>
        <w:keepLines w:val="0"/>
        <w:pageBreakBefore w:val="0"/>
        <w:widowControl w:val="0"/>
        <w:kinsoku/>
        <w:wordWrap w:val="0"/>
        <w:overflowPunct/>
        <w:topLinePunct/>
        <w:autoSpaceDE w:val="0"/>
        <w:autoSpaceDN/>
        <w:bidi w:val="0"/>
        <w:adjustRightInd/>
        <w:snapToGrid/>
        <w:spacing w:line="360" w:lineRule="auto"/>
        <w:ind w:left="0" w:right="0" w:firstLine="400"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5"/>
          <w:sz w:val="21"/>
          <w:szCs w:val="21"/>
          <w:highlight w:val="none"/>
        </w:rPr>
        <w:t>（一）食材安全标准：乙方提供的食材必须符合国家食品安全标准，乙方须提供所供食材的合</w:t>
      </w:r>
      <w:r>
        <w:rPr>
          <w:rFonts w:hint="eastAsia" w:ascii="宋体" w:hAnsi="宋体" w:eastAsia="宋体" w:cs="宋体"/>
          <w:color w:val="auto"/>
          <w:spacing w:val="-1"/>
          <w:sz w:val="21"/>
          <w:szCs w:val="21"/>
          <w:highlight w:val="none"/>
        </w:rPr>
        <w:t>格证明、检验检疫合格等文件；没有国家标准的，按省、市相关职能部门或检验部门规定执行，且必须符合行业标准；既没有国家标准和行业标准的应确保食材的新鲜、健康、无杂质、无国家</w:t>
      </w:r>
      <w:r>
        <w:rPr>
          <w:rFonts w:hint="eastAsia" w:ascii="宋体" w:hAnsi="宋体" w:eastAsia="宋体" w:cs="宋体"/>
          <w:color w:val="auto"/>
          <w:sz w:val="21"/>
          <w:szCs w:val="21"/>
          <w:highlight w:val="none"/>
        </w:rPr>
        <w:t>明令禁止的添加剂、色泽味道正常，不得提供临近保质期的食材。不得提供无生产日期、无质量</w:t>
      </w:r>
      <w:r>
        <w:rPr>
          <w:rFonts w:hint="eastAsia" w:ascii="宋体" w:hAnsi="宋体" w:eastAsia="宋体" w:cs="宋体"/>
          <w:color w:val="auto"/>
          <w:spacing w:val="-1"/>
          <w:sz w:val="21"/>
          <w:szCs w:val="21"/>
          <w:highlight w:val="none"/>
        </w:rPr>
        <w:t>合格证/检验报告、无生产厂家的“三无产品”。</w:t>
      </w:r>
    </w:p>
    <w:p w14:paraId="1399F5FC">
      <w:pPr>
        <w:keepNext w:val="0"/>
        <w:keepLines w:val="0"/>
        <w:pageBreakBefore w:val="0"/>
        <w:widowControl w:val="0"/>
        <w:kinsoku/>
        <w:wordWrap w:val="0"/>
        <w:overflowPunct/>
        <w:topLinePunct/>
        <w:autoSpaceDE w:val="0"/>
        <w:autoSpaceDN/>
        <w:bidi w:val="0"/>
        <w:adjustRightInd/>
        <w:snapToGrid/>
        <w:spacing w:line="360" w:lineRule="auto"/>
        <w:ind w:left="0" w:right="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（1）肉食品类：符合《中华人民共和国食品安全法》、《动物检验检疫管理办法》和国家相关质量检验标准、卫生标准及地方的相关法律法规要求。</w:t>
      </w:r>
    </w:p>
    <w:p w14:paraId="62A67CFC">
      <w:pPr>
        <w:keepNext w:val="0"/>
        <w:keepLines w:val="0"/>
        <w:pageBreakBefore w:val="0"/>
        <w:widowControl w:val="0"/>
        <w:kinsoku/>
        <w:wordWrap w:val="0"/>
        <w:overflowPunct/>
        <w:topLinePunct/>
        <w:autoSpaceDE w:val="0"/>
        <w:autoSpaceDN/>
        <w:bidi w:val="0"/>
        <w:adjustRightInd/>
        <w:snapToGrid/>
        <w:spacing w:line="360" w:lineRule="auto"/>
        <w:ind w:left="0" w:right="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（2）蔬菜类：符合《中华人民共和国食品安全法》、GB/T23351-2009《国家新鲜水果和蔬菜 词汇》和国家相关质量检验标准、卫生标准及地方的相关法律法规要求，且为非转基因植物。</w:t>
      </w:r>
    </w:p>
    <w:p w14:paraId="580DAA16">
      <w:pPr>
        <w:keepNext w:val="0"/>
        <w:keepLines w:val="0"/>
        <w:pageBreakBefore w:val="0"/>
        <w:widowControl w:val="0"/>
        <w:kinsoku/>
        <w:wordWrap w:val="0"/>
        <w:overflowPunct/>
        <w:topLinePunct/>
        <w:autoSpaceDE w:val="0"/>
        <w:autoSpaceDN/>
        <w:bidi w:val="0"/>
        <w:adjustRightInd/>
        <w:snapToGrid/>
        <w:spacing w:line="360" w:lineRule="auto"/>
        <w:ind w:left="0" w:right="0" w:firstLine="41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3）辅料类：符合《中华人民共和国食品安全法》和国家相关质量检验标准、卫生标准及地方的相关法律法规要求，农药残留、重金属、亚硝酸盐不得超过国家限定范围标准；符合《中华人民共和国食品安全法》、GB2717-2018《酱油》标准、GB2719-2018《食醋》标准、SB/T10416-2007《调味料酒》、GB/T5461-2016《食用盐》、GB 2720-2015《味精》、GB13104-2014《食品安全国家标准-食糖》等标准和国家相关质量检验标准、卫生标准及地方的相关法律法规要求。</w:t>
      </w:r>
    </w:p>
    <w:p w14:paraId="5B065B13">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rPr>
        <w:t>（二）食材质量标准及相关要求：</w:t>
      </w:r>
    </w:p>
    <w:tbl>
      <w:tblPr>
        <w:tblStyle w:val="33"/>
        <w:tblW w:w="92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758"/>
        <w:gridCol w:w="5802"/>
        <w:gridCol w:w="2057"/>
      </w:tblGrid>
      <w:tr w14:paraId="45B3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Align w:val="center"/>
          </w:tcPr>
          <w:p w14:paraId="185AA5C6">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序号</w:t>
            </w:r>
          </w:p>
        </w:tc>
        <w:tc>
          <w:tcPr>
            <w:tcW w:w="758" w:type="dxa"/>
            <w:vAlign w:val="center"/>
          </w:tcPr>
          <w:p w14:paraId="771786DB">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货物名称</w:t>
            </w:r>
          </w:p>
        </w:tc>
        <w:tc>
          <w:tcPr>
            <w:tcW w:w="5802" w:type="dxa"/>
            <w:vAlign w:val="center"/>
          </w:tcPr>
          <w:p w14:paraId="39E7962E">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lang w:val="en-US" w:eastAsia="zh-CN"/>
              </w:rPr>
              <w:t>技术</w:t>
            </w:r>
            <w:r>
              <w:rPr>
                <w:rFonts w:hint="eastAsia" w:ascii="宋体" w:hAnsi="宋体" w:eastAsia="宋体" w:cs="宋体"/>
                <w:b/>
                <w:color w:val="auto"/>
                <w:kern w:val="0"/>
                <w:sz w:val="21"/>
                <w:szCs w:val="21"/>
              </w:rPr>
              <w:t>要求</w:t>
            </w:r>
          </w:p>
        </w:tc>
        <w:tc>
          <w:tcPr>
            <w:tcW w:w="2057" w:type="dxa"/>
            <w:vAlign w:val="center"/>
          </w:tcPr>
          <w:p w14:paraId="7E12D667">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供货要求</w:t>
            </w:r>
          </w:p>
        </w:tc>
      </w:tr>
      <w:tr w14:paraId="110E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Merge w:val="restart"/>
            <w:vAlign w:val="center"/>
          </w:tcPr>
          <w:p w14:paraId="2741BA7A">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1</w:t>
            </w:r>
          </w:p>
        </w:tc>
        <w:tc>
          <w:tcPr>
            <w:tcW w:w="758" w:type="dxa"/>
            <w:vMerge w:val="restart"/>
            <w:vAlign w:val="center"/>
          </w:tcPr>
          <w:p w14:paraId="14DA1243">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肉食品类</w:t>
            </w:r>
          </w:p>
        </w:tc>
        <w:tc>
          <w:tcPr>
            <w:tcW w:w="5802" w:type="dxa"/>
            <w:vAlign w:val="center"/>
          </w:tcPr>
          <w:p w14:paraId="42930C33">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猪肉：</w:t>
            </w:r>
          </w:p>
          <w:p w14:paraId="45D6D4E0">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猪肉必须为当天宰杀白条猪，每头猪不低于100公斤；</w:t>
            </w:r>
          </w:p>
          <w:p w14:paraId="33985C32">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lang w:val="en-US" w:eastAsia="zh-CN"/>
              </w:rPr>
              <w:t>.猪肉应为当天宰杀的鲜肉，应整块送至学校，</w:t>
            </w:r>
            <w:r>
              <w:rPr>
                <w:rFonts w:hint="eastAsia" w:ascii="宋体" w:hAnsi="宋体" w:eastAsia="宋体" w:cs="宋体"/>
                <w:color w:val="auto"/>
                <w:kern w:val="0"/>
                <w:sz w:val="21"/>
                <w:szCs w:val="21"/>
              </w:rPr>
              <w:t>每块猪肉应加盖检疫验讫章和肉品品质检验合格验讫章</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不允许配送绞切分割的肉及冰冻肉，</w:t>
            </w:r>
            <w:r>
              <w:rPr>
                <w:rFonts w:hint="eastAsia" w:ascii="宋体" w:hAnsi="宋体" w:eastAsia="宋体" w:cs="宋体"/>
                <w:color w:val="auto"/>
                <w:kern w:val="0"/>
                <w:sz w:val="21"/>
                <w:szCs w:val="21"/>
              </w:rPr>
              <w:t>拒绝母猪、种公猪猪肉、病死猪肉及疫区猪肉；</w:t>
            </w:r>
          </w:p>
          <w:p w14:paraId="657B2DE6">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猪肉配送要求全程冷链（冷藏</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配送），并保证猪肉新鲜、干净卫生、无异味；</w:t>
            </w:r>
          </w:p>
          <w:p w14:paraId="371006CB">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配送时随猪肉附《动物产品检疫合格证明》</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肉品品质检验合格证</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w:t>
            </w:r>
          </w:p>
        </w:tc>
        <w:tc>
          <w:tcPr>
            <w:tcW w:w="2057" w:type="dxa"/>
            <w:vMerge w:val="restart"/>
            <w:vAlign w:val="center"/>
          </w:tcPr>
          <w:p w14:paraId="40599AD8">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乙方</w:t>
            </w:r>
            <w:r>
              <w:rPr>
                <w:rFonts w:hint="eastAsia" w:ascii="宋体" w:hAnsi="宋体" w:eastAsia="宋体" w:cs="宋体"/>
                <w:color w:val="auto"/>
                <w:kern w:val="0"/>
                <w:sz w:val="21"/>
                <w:szCs w:val="21"/>
              </w:rPr>
              <w:t>所供应的肉食品类应来自正规的养殖场或屠宰场，有完整的养殖、检疫、屠宰等环节的记录和证明文件，确保肉品来源可追溯；确保肉类应保持新鲜，色泽正常，肉质有弹性，无异味，表面无黏液，确保肉类无疫病、无寄生虫感染；</w:t>
            </w:r>
            <w:r>
              <w:rPr>
                <w:rFonts w:hint="eastAsia" w:ascii="宋体" w:hAnsi="宋体" w:eastAsia="宋体" w:cs="宋体"/>
                <w:color w:val="auto"/>
                <w:kern w:val="0"/>
                <w:sz w:val="21"/>
                <w:szCs w:val="21"/>
                <w:lang w:eastAsia="zh-CN"/>
              </w:rPr>
              <w:t>配送时随货提供《动物检疫合格证明》和《肉品品质检验合格证》</w:t>
            </w:r>
            <w:r>
              <w:rPr>
                <w:rFonts w:hint="eastAsia" w:hAnsi="宋体" w:cs="宋体"/>
                <w:color w:val="auto"/>
                <w:kern w:val="0"/>
                <w:sz w:val="21"/>
                <w:szCs w:val="21"/>
                <w:lang w:eastAsia="zh-CN"/>
              </w:rPr>
              <w:t>。</w:t>
            </w:r>
          </w:p>
        </w:tc>
      </w:tr>
      <w:tr w14:paraId="179C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Merge w:val="continue"/>
            <w:vAlign w:val="center"/>
          </w:tcPr>
          <w:p w14:paraId="15CCFEF3">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p>
        </w:tc>
        <w:tc>
          <w:tcPr>
            <w:tcW w:w="758" w:type="dxa"/>
            <w:vMerge w:val="continue"/>
            <w:vAlign w:val="center"/>
          </w:tcPr>
          <w:p w14:paraId="276B29A8">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auto"/>
                <w:kern w:val="0"/>
                <w:sz w:val="21"/>
                <w:szCs w:val="21"/>
              </w:rPr>
            </w:pPr>
          </w:p>
        </w:tc>
        <w:tc>
          <w:tcPr>
            <w:tcW w:w="5802" w:type="dxa"/>
            <w:vAlign w:val="center"/>
          </w:tcPr>
          <w:p w14:paraId="468A99F5">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牛肉：</w:t>
            </w:r>
          </w:p>
          <w:p w14:paraId="4F35691E">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瘦肉呈均匀的鲜红色或深红色、有光泽，脂肪呈乳白色或微黄色。具有牛肉正常气味，无异味，瘦肉切面纹理清晰，皮下脂肪适度、均匀、形态丰满；肉质紧密、有弹性、表面湿润、不黏手、无注水</w:t>
            </w:r>
            <w:r>
              <w:rPr>
                <w:rFonts w:hint="eastAsia" w:ascii="宋体" w:hAnsi="宋体" w:eastAsia="宋体" w:cs="宋体"/>
                <w:color w:val="auto"/>
                <w:kern w:val="0"/>
                <w:sz w:val="21"/>
                <w:szCs w:val="21"/>
                <w:lang w:eastAsia="zh-CN"/>
              </w:rPr>
              <w:t>。</w:t>
            </w:r>
          </w:p>
          <w:p w14:paraId="42C4B78F">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2.配送时需提供</w:t>
            </w:r>
            <w:r>
              <w:rPr>
                <w:rFonts w:hint="eastAsia" w:ascii="宋体" w:hAnsi="宋体" w:eastAsia="宋体" w:cs="宋体"/>
                <w:color w:val="auto"/>
                <w:kern w:val="0"/>
                <w:sz w:val="21"/>
                <w:szCs w:val="21"/>
              </w:rPr>
              <w:t>牛肉</w:t>
            </w:r>
            <w:r>
              <w:rPr>
                <w:rFonts w:hint="eastAsia" w:ascii="宋体" w:hAnsi="宋体" w:eastAsia="宋体" w:cs="宋体"/>
                <w:color w:val="auto"/>
                <w:kern w:val="0"/>
                <w:sz w:val="21"/>
                <w:szCs w:val="21"/>
                <w:lang w:val="en-US" w:eastAsia="zh-CN"/>
              </w:rPr>
              <w:t>的</w:t>
            </w:r>
            <w:r>
              <w:rPr>
                <w:rFonts w:hint="eastAsia" w:ascii="宋体" w:hAnsi="宋体" w:eastAsia="宋体" w:cs="宋体"/>
                <w:color w:val="auto"/>
                <w:kern w:val="0"/>
                <w:sz w:val="21"/>
                <w:szCs w:val="21"/>
              </w:rPr>
              <w:t>《动物产品检疫合格证明》</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肉品品质检验合格证</w:t>
            </w:r>
            <w:r>
              <w:rPr>
                <w:rFonts w:hint="eastAsia" w:ascii="宋体" w:hAnsi="宋体" w:eastAsia="宋体" w:cs="宋体"/>
                <w:color w:val="auto"/>
                <w:kern w:val="0"/>
                <w:sz w:val="21"/>
                <w:szCs w:val="21"/>
                <w:lang w:eastAsia="zh-CN"/>
              </w:rPr>
              <w:t>》。</w:t>
            </w:r>
          </w:p>
        </w:tc>
        <w:tc>
          <w:tcPr>
            <w:tcW w:w="2057" w:type="dxa"/>
            <w:vMerge w:val="continue"/>
            <w:vAlign w:val="center"/>
          </w:tcPr>
          <w:p w14:paraId="13C5B271">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rPr>
            </w:pPr>
          </w:p>
        </w:tc>
      </w:tr>
      <w:tr w14:paraId="07813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Merge w:val="continue"/>
            <w:vAlign w:val="center"/>
          </w:tcPr>
          <w:p w14:paraId="1F32F400">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rPr>
            </w:pPr>
          </w:p>
        </w:tc>
        <w:tc>
          <w:tcPr>
            <w:tcW w:w="758" w:type="dxa"/>
            <w:vMerge w:val="continue"/>
            <w:vAlign w:val="center"/>
          </w:tcPr>
          <w:p w14:paraId="44C6146D">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rPr>
            </w:pPr>
          </w:p>
        </w:tc>
        <w:tc>
          <w:tcPr>
            <w:tcW w:w="5802" w:type="dxa"/>
            <w:vAlign w:val="center"/>
          </w:tcPr>
          <w:p w14:paraId="7A8D9027">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家禽类：</w:t>
            </w:r>
          </w:p>
          <w:p w14:paraId="0F7CC4F6">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必须为当天宰杀鲜禽肉，从宰杀到送货不得超过8小时，宰杀品种按学校实际要求提供（如：肉鸡、土杂鸡等）；</w:t>
            </w:r>
          </w:p>
          <w:p w14:paraId="2F94BF70">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鲜禽肉应整只送至学校，不允许配送剁切分割的肉及冻品肉，拒绝病死及疫区禽肉；</w:t>
            </w:r>
          </w:p>
          <w:p w14:paraId="6E786B60">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肉类颜色要正常，感观好无长毛及毛根，口腔及宰杀刀口无血污杂质，无紫斑淤血，大小适中，无附加水分；</w:t>
            </w:r>
          </w:p>
          <w:p w14:paraId="6E1477B4">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禽肉配送要求全程冷链（冷藏</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配送），并保证肉质新鲜、干净卫生、无异味；</w:t>
            </w:r>
          </w:p>
          <w:p w14:paraId="69B58D3B">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5</w:t>
            </w:r>
            <w:r>
              <w:rPr>
                <w:rFonts w:hint="eastAsia" w:ascii="宋体" w:hAnsi="宋体" w:eastAsia="宋体" w:cs="宋体"/>
                <w:color w:val="auto"/>
                <w:kern w:val="0"/>
                <w:sz w:val="21"/>
                <w:szCs w:val="21"/>
                <w:lang w:val="en-US" w:eastAsia="zh-CN"/>
              </w:rPr>
              <w:t>.配送时需提供</w:t>
            </w:r>
            <w:r>
              <w:rPr>
                <w:rFonts w:hint="eastAsia" w:ascii="宋体" w:hAnsi="宋体" w:eastAsia="宋体" w:cs="宋体"/>
                <w:color w:val="auto"/>
                <w:kern w:val="0"/>
                <w:sz w:val="21"/>
                <w:szCs w:val="21"/>
              </w:rPr>
              <w:t>鲜禽肉</w:t>
            </w:r>
            <w:r>
              <w:rPr>
                <w:rFonts w:hint="eastAsia" w:ascii="宋体" w:hAnsi="宋体" w:eastAsia="宋体" w:cs="宋体"/>
                <w:color w:val="auto"/>
                <w:kern w:val="0"/>
                <w:sz w:val="21"/>
                <w:szCs w:val="21"/>
                <w:lang w:val="en-US" w:eastAsia="zh-CN"/>
              </w:rPr>
              <w:t>的</w:t>
            </w:r>
            <w:r>
              <w:rPr>
                <w:rFonts w:hint="eastAsia" w:ascii="宋体" w:hAnsi="宋体" w:eastAsia="宋体" w:cs="宋体"/>
                <w:color w:val="auto"/>
                <w:kern w:val="0"/>
                <w:sz w:val="21"/>
                <w:szCs w:val="21"/>
              </w:rPr>
              <w:t>《动物产品检疫合格证明》</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肉品品质检验合格证</w:t>
            </w:r>
            <w:r>
              <w:rPr>
                <w:rFonts w:hint="eastAsia" w:ascii="宋体" w:hAnsi="宋体" w:eastAsia="宋体" w:cs="宋体"/>
                <w:color w:val="auto"/>
                <w:kern w:val="0"/>
                <w:sz w:val="21"/>
                <w:szCs w:val="21"/>
                <w:lang w:eastAsia="zh-CN"/>
              </w:rPr>
              <w:t>》。</w:t>
            </w:r>
          </w:p>
        </w:tc>
        <w:tc>
          <w:tcPr>
            <w:tcW w:w="2057" w:type="dxa"/>
            <w:vMerge w:val="continue"/>
            <w:vAlign w:val="center"/>
          </w:tcPr>
          <w:p w14:paraId="44E7AB4F">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rPr>
            </w:pPr>
          </w:p>
        </w:tc>
      </w:tr>
      <w:tr w14:paraId="051F8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shd w:val="clear" w:color="auto" w:fill="auto"/>
            <w:vAlign w:val="center"/>
          </w:tcPr>
          <w:p w14:paraId="760DA00D">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w:t>
            </w:r>
          </w:p>
        </w:tc>
        <w:tc>
          <w:tcPr>
            <w:tcW w:w="758" w:type="dxa"/>
            <w:shd w:val="clear" w:color="auto" w:fill="auto"/>
            <w:vAlign w:val="center"/>
          </w:tcPr>
          <w:p w14:paraId="609C0445">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b/>
                <w:bCs/>
                <w:color w:val="auto"/>
                <w:kern w:val="0"/>
                <w:sz w:val="21"/>
                <w:szCs w:val="21"/>
              </w:rPr>
              <w:t>蔬菜类</w:t>
            </w:r>
          </w:p>
        </w:tc>
        <w:tc>
          <w:tcPr>
            <w:tcW w:w="5802" w:type="dxa"/>
            <w:shd w:val="clear" w:color="auto" w:fill="auto"/>
            <w:vAlign w:val="center"/>
          </w:tcPr>
          <w:p w14:paraId="78ED8099">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1.具体感官要求：蔬菜成熟，保持鲜嫩；无异常气味，无腐烂变质；从蔬菜形态看，应尽量避免由于客观因素而造成的各种非正常、不新鲜的蔬菜，例如萎蔫、枯塌、损伤、病变、虫害侵蚀等情况。</w:t>
            </w:r>
          </w:p>
          <w:p w14:paraId="699761D8">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2.叶菜类：色泽正常，茎基部削平，无枯黄叶、病叶(包 括大面积黑点)、泥土、明显机械伤和病虫害伤，无烧心焦边、腐烂等现象，无抽苔（菜心除外），无畸形、异味，结球叶菜要结球适度，松花菜、花菜应新鲜洁白，不带叶麸，无畸形花，葱花、小白菜等根茎部无绿色粉末(蓝矾)。</w:t>
            </w:r>
          </w:p>
          <w:p w14:paraId="0B4F5317">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茄果类：番茄、茄子、甜椒、辣椒等。属同一品种规格，果实整洁，成熟度适中，番茄根蒂新鲜、无绿果，大小均匀，无裂果及空洞现象，茄果不能有裂蒂及果皮变硬现象，无腐烂、畸形、异味，无明显机械伤。</w:t>
            </w:r>
          </w:p>
          <w:p w14:paraId="27A605BD">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4.瓜果类：黄瓜、冬瓜、丝瓜、苦瓜、南瓜、洋丝瓜、西葫芦等。 属同一品种规格，形状、色泽一致，瓜条均匀，无疤点，无断裂，无腐烂及烂心、畸形、异味、明显机械伤，不带泥土。</w:t>
            </w:r>
          </w:p>
          <w:p w14:paraId="79F56C9F">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5.根菜类：萝卜、胡萝卜等。属同一品种规格，皮细光滑，大小均匀，肉质脆嫩致密新鲜，根条均匀，无腐烂、畸形、裂痕、糠心、异味，不带泥沙，不带茎叶和须根。 </w:t>
            </w:r>
          </w:p>
          <w:p w14:paraId="26FD3F18">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6.薯芋类：马铃薯、山药、芋、姜等。属同一品种规格，色泽一致，允许少量泥沙，马铃薯、芋大小均匀，不带须根、茎叶，不干瘪，无腐烂、畸形、异味、明显机械伤、病虫害斑，马铃薯无发芽，皮不变绿。</w:t>
            </w:r>
          </w:p>
          <w:p w14:paraId="5CB448EC">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7.葱蒜类：葱、蒜、韭菜、洋葱等。属同一品种规格，</w:t>
            </w:r>
          </w:p>
          <w:p w14:paraId="5E3E081D">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允许葱、青蒜类保留干净须根，葱、蒜、韭菜根条均匀，洋葱葛头去根去枯叶、个体大小均匀，可食部分新鲜幼嫩，无腐烂、畸形、异味。</w:t>
            </w:r>
          </w:p>
          <w:p w14:paraId="448266D5">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8.豆类：豌豆、毛豆、豇豆等。属同一品种规格，形态完整，成熟度适中，无腐烂、畸形、异味，豆荚类新鲜、幼嫩、均匀，豆仁类籽粒饱满，较均匀，无发芽，无虫害，不带泥土杂质。</w:t>
            </w:r>
          </w:p>
          <w:p w14:paraId="3C0DE636">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9.水生菜类：藕、茨菇、茭白、马蹄、菱角等。属同一品种规格，肉质嫩，成熟度适中，无腐烂、畸形、异味，无明显机械伤，不带泥土和杂质，不干瘪，茭白和藕不黑心。</w:t>
            </w:r>
          </w:p>
          <w:p w14:paraId="5EA350C7">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10.食用菌类：白蘑菇、草菇、香菇、北风菌、平菇、木 耳等。属同一品种规格，蘑菇、草菇菌盖圆整略展开，柄粗壮，菌膜紧，菇柄切削平整，不浸泡水（蘑菇允许浸盐水保鲜)，新鲜，无杂质，无畸形菇，无腐烂、异味。 </w:t>
            </w:r>
          </w:p>
          <w:p w14:paraId="71262D68">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11.芽苗类： 绿豆芽、黄豆芽、香椿苗等。芽苗幼嫩，不带豆壳杂质，新鲜，不浸水，无腐烂、异味。</w:t>
            </w:r>
          </w:p>
          <w:p w14:paraId="5A078880">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12.豆制品类：新鲜、保证当天生产货品，干净、无灰尘， 外形完整、美观、无破损，饱满、结实、颜色无异常，不得有异味（霉味、酸味、苦涩味等）。</w:t>
            </w:r>
          </w:p>
        </w:tc>
        <w:tc>
          <w:tcPr>
            <w:tcW w:w="2057" w:type="dxa"/>
            <w:shd w:val="clear" w:color="auto" w:fill="auto"/>
            <w:vAlign w:val="center"/>
          </w:tcPr>
          <w:p w14:paraId="025E46F4">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乙方所供应的蔬菜类须保证符合国家农药残留限量标准；配送时需随货提供农残自检报告或食用农产品农药残留快速检测报告单，同时采购人也有权对所供蔬菜进行不定期抽检。</w:t>
            </w:r>
          </w:p>
        </w:tc>
      </w:tr>
      <w:tr w14:paraId="2D650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Align w:val="center"/>
          </w:tcPr>
          <w:p w14:paraId="0FA1F308">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3</w:t>
            </w:r>
          </w:p>
        </w:tc>
        <w:tc>
          <w:tcPr>
            <w:tcW w:w="758" w:type="dxa"/>
            <w:vAlign w:val="center"/>
          </w:tcPr>
          <w:p w14:paraId="34F490BA">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0"/>
                <w:sz w:val="21"/>
                <w:szCs w:val="21"/>
                <w:lang w:eastAsia="zh-CN"/>
              </w:rPr>
            </w:pPr>
            <w:r>
              <w:rPr>
                <w:rFonts w:hint="eastAsia" w:ascii="宋体" w:hAnsi="宋体" w:eastAsia="宋体" w:cs="宋体"/>
                <w:b/>
                <w:bCs/>
                <w:color w:val="auto"/>
                <w:kern w:val="0"/>
                <w:sz w:val="21"/>
                <w:szCs w:val="21"/>
                <w:lang w:val="en-US" w:eastAsia="zh-CN"/>
              </w:rPr>
              <w:t>辅料类</w:t>
            </w:r>
          </w:p>
        </w:tc>
        <w:tc>
          <w:tcPr>
            <w:tcW w:w="5802" w:type="dxa"/>
            <w:vAlign w:val="center"/>
          </w:tcPr>
          <w:p w14:paraId="23E5CCFD">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酿造类调味品：具有固有气味，滋味纯正，无异味杂质；</w:t>
            </w:r>
          </w:p>
          <w:p w14:paraId="3853FFB2">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干货及干货类调味品：气味纯正、干燥、无杂质、无霉变、无</w:t>
            </w:r>
            <w:r>
              <w:rPr>
                <w:rFonts w:hint="eastAsia" w:hAnsi="宋体" w:cs="宋体"/>
                <w:color w:val="auto"/>
                <w:kern w:val="0"/>
                <w:sz w:val="21"/>
                <w:szCs w:val="21"/>
                <w:lang w:eastAsia="zh-CN"/>
              </w:rPr>
              <w:t>蛀虫</w:t>
            </w:r>
            <w:r>
              <w:rPr>
                <w:rFonts w:hint="eastAsia" w:ascii="宋体" w:hAnsi="宋体" w:eastAsia="宋体" w:cs="宋体"/>
                <w:color w:val="auto"/>
                <w:kern w:val="0"/>
                <w:sz w:val="21"/>
                <w:szCs w:val="21"/>
              </w:rPr>
              <w:t>，具有干货及干货类调味品食用 价值、营养价值，颗粒类要求颗粒饱满、大小均匀，条状、块状、干果、叶片类要求无碎裂，粉末类要求为纯正原材料粉磨加工、粉末均匀、无掺杂，整体可使用率需达到 99%以上，配送时须随货提供农残、亚硝酸盐验检报告（复印件）供学校点存档；</w:t>
            </w:r>
          </w:p>
          <w:p w14:paraId="41643482">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食盐：天然无掺杂、纯度高；</w:t>
            </w:r>
          </w:p>
          <w:p w14:paraId="0D0DF6A3">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味精：白色光亮、晶粒大小均匀、无杂质，味鲜稍咸且无异味；</w:t>
            </w:r>
          </w:p>
          <w:p w14:paraId="5313E05E">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糖：水溶味甜、无杂质漂浮、无异味、干燥；</w:t>
            </w:r>
          </w:p>
          <w:p w14:paraId="21547F59">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其它类调味品：按采购人要求提供等值优质的产品。</w:t>
            </w:r>
          </w:p>
        </w:tc>
        <w:tc>
          <w:tcPr>
            <w:tcW w:w="2057" w:type="dxa"/>
            <w:vAlign w:val="center"/>
          </w:tcPr>
          <w:p w14:paraId="4D473599">
            <w:pPr>
              <w:pStyle w:val="16"/>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乙方</w:t>
            </w:r>
            <w:r>
              <w:rPr>
                <w:rFonts w:hint="eastAsia" w:ascii="宋体" w:hAnsi="宋体" w:eastAsia="宋体" w:cs="宋体"/>
                <w:color w:val="auto"/>
                <w:kern w:val="0"/>
                <w:sz w:val="21"/>
                <w:szCs w:val="21"/>
              </w:rPr>
              <w:t>所供应的辅料类产品须保证符合《中华人民共和国食品安全法》和国家相关质量检验标准、卫生标准及地方的相关法律法规要求，农药残留、重金属、亚硝酸盐不得超过国家限定范围标准，配送时须随货提供当批次检验报告供各校点存档。</w:t>
            </w:r>
          </w:p>
        </w:tc>
      </w:tr>
    </w:tbl>
    <w:p w14:paraId="3301F432">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（三）食材外包装应符合食品标签标注规定。</w:t>
      </w:r>
    </w:p>
    <w:p w14:paraId="190A01E2">
      <w:pPr>
        <w:keepNext w:val="0"/>
        <w:keepLines w:val="0"/>
        <w:pageBreakBefore w:val="0"/>
        <w:widowControl w:val="0"/>
        <w:kinsoku/>
        <w:wordWrap w:val="0"/>
        <w:overflowPunct/>
        <w:topLinePunct/>
        <w:autoSpaceDE w:val="0"/>
        <w:autoSpaceDN/>
        <w:bidi w:val="0"/>
        <w:adjustRightInd/>
        <w:snapToGrid/>
        <w:spacing w:line="360" w:lineRule="auto"/>
        <w:ind w:left="0" w:right="0" w:firstLine="418"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1"/>
          <w:sz w:val="21"/>
          <w:szCs w:val="21"/>
          <w:highlight w:val="none"/>
        </w:rPr>
        <w:t>六、交货地点、时间、数量及验收</w:t>
      </w:r>
    </w:p>
    <w:p w14:paraId="571711E3">
      <w:pPr>
        <w:keepNext w:val="0"/>
        <w:keepLines w:val="0"/>
        <w:pageBreakBefore w:val="0"/>
        <w:widowControl w:val="0"/>
        <w:kinsoku/>
        <w:wordWrap w:val="0"/>
        <w:overflowPunct/>
        <w:topLinePunct/>
        <w:autoSpaceDE w:val="0"/>
        <w:autoSpaceDN/>
        <w:bidi w:val="0"/>
        <w:adjustRightInd/>
        <w:snapToGrid/>
        <w:spacing w:line="360" w:lineRule="auto"/>
        <w:ind w:left="0" w:right="0" w:firstLine="404"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（一）交货地点：</w:t>
      </w:r>
      <w:r>
        <w:rPr>
          <w:rFonts w:hint="eastAsia" w:ascii="宋体" w:hAnsi="宋体" w:eastAsia="宋体" w:cs="宋体"/>
          <w:color w:val="auto"/>
          <w:spacing w:val="-4"/>
          <w:sz w:val="21"/>
          <w:szCs w:val="21"/>
          <w:highlight w:val="none"/>
          <w:u w:val="single" w:color="auto"/>
        </w:rPr>
        <w:t xml:space="preserve">                  </w:t>
      </w:r>
      <w:r>
        <w:rPr>
          <w:rFonts w:hint="eastAsia" w:ascii="宋体" w:hAnsi="宋体" w:cs="宋体"/>
          <w:color w:val="auto"/>
          <w:spacing w:val="-4"/>
          <w:sz w:val="21"/>
          <w:szCs w:val="21"/>
          <w:highlight w:val="none"/>
          <w:u w:val="single" w:color="auto"/>
          <w:lang w:val="en-US" w:eastAsia="zh-CN"/>
        </w:rPr>
        <w:t xml:space="preserve"> </w:t>
      </w:r>
      <w:r>
        <w:rPr>
          <w:rFonts w:hint="eastAsia" w:ascii="宋体" w:hAnsi="宋体" w:eastAsia="宋体" w:cs="宋体"/>
          <w:color w:val="auto"/>
          <w:spacing w:val="-5"/>
          <w:sz w:val="21"/>
          <w:szCs w:val="21"/>
          <w:highlight w:val="none"/>
          <w:u w:val="single" w:color="auto"/>
        </w:rPr>
        <w:t xml:space="preserve">                </w:t>
      </w:r>
      <w:r>
        <w:rPr>
          <w:rFonts w:hint="eastAsia" w:ascii="宋体" w:hAnsi="宋体" w:eastAsia="宋体" w:cs="宋体"/>
          <w:color w:val="auto"/>
          <w:spacing w:val="-5"/>
          <w:sz w:val="21"/>
          <w:szCs w:val="21"/>
          <w:highlight w:val="none"/>
        </w:rPr>
        <w:t>。</w:t>
      </w:r>
    </w:p>
    <w:p w14:paraId="3C574BF8">
      <w:pPr>
        <w:keepNext w:val="0"/>
        <w:keepLines w:val="0"/>
        <w:pageBreakBefore w:val="0"/>
        <w:widowControl w:val="0"/>
        <w:kinsoku/>
        <w:wordWrap w:val="0"/>
        <w:overflowPunct/>
        <w:topLinePunct/>
        <w:autoSpaceDE w:val="0"/>
        <w:autoSpaceDN/>
        <w:bidi w:val="0"/>
        <w:adjustRightInd/>
        <w:snapToGrid/>
        <w:spacing w:line="360" w:lineRule="auto"/>
        <w:ind w:left="0" w:right="0" w:firstLine="380" w:firstLineChars="200"/>
        <w:textAlignment w:val="baseline"/>
        <w:rPr>
          <w:rFonts w:hint="eastAsia" w:ascii="宋体" w:hAnsi="宋体" w:eastAsia="宋体" w:cs="宋体"/>
          <w:color w:val="auto"/>
          <w:spacing w:val="-3"/>
          <w:sz w:val="21"/>
          <w:szCs w:val="21"/>
          <w:highlight w:val="none"/>
        </w:rPr>
      </w:pPr>
      <w:r>
        <w:rPr>
          <w:rFonts w:hint="eastAsia" w:ascii="宋体" w:hAnsi="宋体" w:eastAsia="宋体" w:cs="宋体"/>
          <w:color w:val="auto"/>
          <w:spacing w:val="-10"/>
          <w:sz w:val="21"/>
          <w:szCs w:val="21"/>
          <w:highlight w:val="none"/>
        </w:rPr>
        <w:t>（二）交货日期（周期</w:t>
      </w:r>
      <w:r>
        <w:rPr>
          <w:rFonts w:hint="eastAsia" w:ascii="宋体" w:hAnsi="宋体" w:eastAsia="宋体" w:cs="宋体"/>
          <w:color w:val="auto"/>
          <w:spacing w:val="-21"/>
          <w:sz w:val="21"/>
          <w:szCs w:val="21"/>
          <w:highlight w:val="none"/>
        </w:rPr>
        <w:t>）：</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z w:val="21"/>
          <w:szCs w:val="21"/>
          <w:highlight w:val="none"/>
          <w:u w:val="single" w:color="auto"/>
        </w:rPr>
        <w:t xml:space="preserve">   </w:t>
      </w:r>
      <w:r>
        <w:rPr>
          <w:rFonts w:hint="eastAsia" w:ascii="宋体" w:hAnsi="宋体" w:cs="宋体"/>
          <w:color w:val="auto"/>
          <w:sz w:val="21"/>
          <w:szCs w:val="21"/>
          <w:highlight w:val="none"/>
          <w:u w:val="single" w:color="auto"/>
          <w:lang w:val="en-US" w:eastAsia="zh-CN"/>
        </w:rPr>
        <w:t xml:space="preserve">  </w:t>
      </w:r>
      <w:r>
        <w:rPr>
          <w:rFonts w:hint="eastAsia" w:ascii="宋体" w:hAnsi="宋体" w:eastAsia="宋体" w:cs="宋体"/>
          <w:color w:val="auto"/>
          <w:sz w:val="21"/>
          <w:szCs w:val="21"/>
          <w:highlight w:val="none"/>
          <w:u w:val="single" w:color="auto"/>
        </w:rPr>
        <w:t xml:space="preserve">  </w:t>
      </w:r>
      <w:r>
        <w:rPr>
          <w:rFonts w:hint="eastAsia" w:ascii="宋体" w:hAnsi="宋体" w:eastAsia="宋体" w:cs="宋体"/>
          <w:color w:val="auto"/>
          <w:spacing w:val="-10"/>
          <w:sz w:val="21"/>
          <w:szCs w:val="21"/>
          <w:highlight w:val="none"/>
        </w:rPr>
        <w:t>。</w:t>
      </w:r>
      <w:r>
        <w:rPr>
          <w:rFonts w:hint="eastAsia" w:ascii="宋体" w:hAnsi="宋体" w:eastAsia="宋体" w:cs="宋体"/>
          <w:color w:val="auto"/>
          <w:spacing w:val="-3"/>
          <w:sz w:val="21"/>
          <w:szCs w:val="21"/>
          <w:highlight w:val="none"/>
        </w:rPr>
        <w:t>如遇特殊情形或其它原因，乙方按照本合同约定 时间供货确有困难的，乙方应至少在供货时点前72小时书面告知甲方并获得甲方同意，若乙方未按照前述时间告知甲方或虽然已经按照前述时间告知甲方但仍给甲方造成额外支出或损失的，乙方应赔偿甲方因此遭受的全部损失。</w:t>
      </w:r>
    </w:p>
    <w:p w14:paraId="77071101">
      <w:pPr>
        <w:keepNext w:val="0"/>
        <w:keepLines w:val="0"/>
        <w:pageBreakBefore w:val="0"/>
        <w:widowControl w:val="0"/>
        <w:kinsoku/>
        <w:wordWrap w:val="0"/>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Cs w:val="22"/>
        </w:rPr>
        <w:t>（三）数量：以甲乙</w:t>
      </w:r>
      <w:r>
        <w:rPr>
          <w:rFonts w:hint="eastAsia" w:ascii="宋体" w:hAnsi="宋体" w:eastAsia="宋体" w:cs="宋体"/>
          <w:color w:val="auto"/>
          <w:szCs w:val="21"/>
        </w:rPr>
        <w:t>委托代理人签字并加盖公章确认后的配送验收单为准</w:t>
      </w:r>
      <w:r>
        <w:rPr>
          <w:rFonts w:hint="eastAsia" w:ascii="宋体" w:hAnsi="宋体" w:eastAsia="宋体" w:cs="宋体"/>
          <w:color w:val="auto"/>
          <w:spacing w:val="-2"/>
          <w:sz w:val="21"/>
          <w:szCs w:val="21"/>
          <w:highlight w:val="none"/>
        </w:rPr>
        <w:t>。</w:t>
      </w:r>
    </w:p>
    <w:p w14:paraId="4B3D9E9F">
      <w:pPr>
        <w:keepNext w:val="0"/>
        <w:keepLines w:val="0"/>
        <w:pageBreakBefore w:val="0"/>
        <w:widowControl w:val="0"/>
        <w:kinsoku/>
        <w:wordWrap w:val="0"/>
        <w:overflowPunct/>
        <w:topLinePunct/>
        <w:autoSpaceDE w:val="0"/>
        <w:autoSpaceDN/>
        <w:bidi w:val="0"/>
        <w:adjustRightInd/>
        <w:snapToGrid/>
        <w:spacing w:line="360" w:lineRule="auto"/>
        <w:ind w:left="0" w:right="0" w:firstLine="38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（四）验收：</w:t>
      </w:r>
    </w:p>
    <w:p w14:paraId="682C7A78">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1.甲方在收到配送货物的现场，由甲方指定委托代理人按照确定的订</w:t>
      </w:r>
      <w:r>
        <w:rPr>
          <w:rFonts w:hint="eastAsia" w:ascii="宋体" w:hAnsi="宋体" w:eastAsia="宋体" w:cs="宋体"/>
          <w:color w:val="auto"/>
          <w:spacing w:val="-4"/>
          <w:sz w:val="21"/>
          <w:szCs w:val="21"/>
          <w:highlight w:val="none"/>
        </w:rPr>
        <w:t>货清单验收；</w:t>
      </w:r>
    </w:p>
    <w:p w14:paraId="056E31F3">
      <w:pPr>
        <w:keepNext w:val="0"/>
        <w:keepLines w:val="0"/>
        <w:pageBreakBefore w:val="0"/>
        <w:widowControl w:val="0"/>
        <w:kinsoku/>
        <w:wordWrap w:val="0"/>
        <w:overflowPunct/>
        <w:topLinePunct/>
        <w:autoSpaceDE w:val="0"/>
        <w:autoSpaceDN/>
        <w:bidi w:val="0"/>
        <w:adjustRightInd/>
        <w:snapToGrid/>
        <w:spacing w:line="360" w:lineRule="auto"/>
        <w:ind w:left="0" w:right="0" w:firstLine="39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2</w:t>
      </w:r>
      <w:r>
        <w:rPr>
          <w:rFonts w:hint="eastAsia" w:ascii="宋体" w:hAnsi="宋体" w:eastAsia="宋体" w:cs="宋体"/>
          <w:color w:val="auto"/>
          <w:spacing w:val="-6"/>
          <w:sz w:val="21"/>
          <w:szCs w:val="21"/>
          <w:highlight w:val="none"/>
        </w:rPr>
        <w:t>.甲方应对产品的质量、数量、等级、包装、外观等进行验收确认，不得采购腐败变质、</w:t>
      </w:r>
      <w:r>
        <w:rPr>
          <w:rFonts w:hint="eastAsia" w:ascii="宋体" w:hAnsi="宋体" w:eastAsia="宋体" w:cs="宋体"/>
          <w:color w:val="auto"/>
          <w:spacing w:val="-5"/>
          <w:sz w:val="21"/>
          <w:szCs w:val="21"/>
          <w:highlight w:val="none"/>
        </w:rPr>
        <w:t>有</w:t>
      </w:r>
      <w:r>
        <w:rPr>
          <w:rFonts w:hint="eastAsia" w:ascii="宋体" w:hAnsi="宋体" w:eastAsia="宋体" w:cs="宋体"/>
          <w:color w:val="auto"/>
          <w:sz w:val="21"/>
          <w:szCs w:val="21"/>
          <w:highlight w:val="none"/>
        </w:rPr>
        <w:t>毒有害、来历不明的食品原料及食品。发现采购的食品（食材）有腐败变质或不符合食品安全要</w:t>
      </w:r>
      <w:r>
        <w:rPr>
          <w:rFonts w:hint="eastAsia" w:ascii="宋体" w:hAnsi="宋体" w:eastAsia="宋体" w:cs="宋体"/>
          <w:color w:val="auto"/>
          <w:spacing w:val="-6"/>
          <w:sz w:val="21"/>
          <w:szCs w:val="21"/>
          <w:highlight w:val="none"/>
        </w:rPr>
        <w:t>求的，应拒绝接收。</w:t>
      </w:r>
    </w:p>
    <w:p w14:paraId="7833C1C2">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3.甲乙双方验收合格后，应在配送验收清单上由委托代理人签字并加盖公章确认；</w:t>
      </w:r>
    </w:p>
    <w:p w14:paraId="4BB86748">
      <w:pPr>
        <w:keepNext w:val="0"/>
        <w:keepLines w:val="0"/>
        <w:pageBreakBefore w:val="0"/>
        <w:widowControl w:val="0"/>
        <w:kinsoku/>
        <w:wordWrap w:val="0"/>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4.对不符合质量要求的品种，甲方有权退货并要求乙方换货，乙方应及时处理</w:t>
      </w:r>
      <w:r>
        <w:rPr>
          <w:rFonts w:hint="eastAsia" w:ascii="宋体" w:hAnsi="宋体" w:eastAsia="宋体" w:cs="宋体"/>
          <w:color w:val="auto"/>
          <w:spacing w:val="-3"/>
          <w:sz w:val="21"/>
          <w:szCs w:val="21"/>
          <w:highlight w:val="none"/>
        </w:rPr>
        <w:t>并提供符合合</w:t>
      </w:r>
      <w:r>
        <w:rPr>
          <w:rFonts w:hint="eastAsia" w:ascii="宋体" w:hAnsi="宋体" w:eastAsia="宋体" w:cs="宋体"/>
          <w:color w:val="auto"/>
          <w:spacing w:val="-4"/>
          <w:sz w:val="21"/>
          <w:szCs w:val="21"/>
          <w:highlight w:val="none"/>
        </w:rPr>
        <w:t>同及相关标准要求的食材，不得影响学校为学生供餐；</w:t>
      </w:r>
    </w:p>
    <w:p w14:paraId="07448C2F">
      <w:pPr>
        <w:keepNext w:val="0"/>
        <w:keepLines w:val="0"/>
        <w:pageBreakBefore w:val="0"/>
        <w:widowControl w:val="0"/>
        <w:kinsoku/>
        <w:wordWrap w:val="0"/>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5.对现场无法发现的质量问题，甲方可以在合理期限内主张退货和要求乙方换货，若因此导致食品安全或其他问题，乙方应承担因此给甲方及甲方教师和学生造成的全部损失。</w:t>
      </w:r>
    </w:p>
    <w:p w14:paraId="54AD7965">
      <w:pPr>
        <w:keepNext w:val="0"/>
        <w:keepLines w:val="0"/>
        <w:pageBreakBefore w:val="0"/>
        <w:widowControl w:val="0"/>
        <w:kinsoku/>
        <w:wordWrap w:val="0"/>
        <w:overflowPunct/>
        <w:topLinePunct/>
        <w:autoSpaceDE w:val="0"/>
        <w:autoSpaceDN/>
        <w:bidi w:val="0"/>
        <w:adjustRightInd/>
        <w:snapToGrid/>
        <w:spacing w:line="360" w:lineRule="auto"/>
        <w:ind w:left="0" w:right="0" w:firstLine="418"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1"/>
          <w:sz w:val="21"/>
          <w:szCs w:val="21"/>
          <w:highlight w:val="none"/>
        </w:rPr>
        <w:t>七、结算及付款方式</w:t>
      </w:r>
    </w:p>
    <w:p w14:paraId="166DC70B">
      <w:pPr>
        <w:keepNext w:val="0"/>
        <w:keepLines w:val="0"/>
        <w:pageBreakBefore w:val="0"/>
        <w:widowControl w:val="0"/>
        <w:kinsoku/>
        <w:wordWrap w:val="0"/>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一）甲乙双方按月进行货款结算，双方应在次月5日前（如遇周末及法定节假日则顺延）对上月供货情况及对应价款进行核对确认（以甲方授权委托代理人签字确认的配送验收清单所载内容为准）并确定上月最终结算价款。</w:t>
      </w:r>
    </w:p>
    <w:p w14:paraId="21F4D8E5">
      <w:pPr>
        <w:keepNext w:val="0"/>
        <w:keepLines w:val="0"/>
        <w:pageBreakBefore w:val="0"/>
        <w:widowControl w:val="0"/>
        <w:kinsoku/>
        <w:wordWrap w:val="0"/>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二）本次采购项目资金由学生营养改善计划资金及自有资金（学生伙食费等收入）等组成，供应商按营养改善计划资金及自有资金采购份额提供发票及配送验收明细清单，营养改善计划资金按照财政资金到位情况支付，自有资金按月支付。由采购主体与供应商核对相关明细后，以转账方式支付到供应商指定的对公账户中。</w:t>
      </w:r>
    </w:p>
    <w:p w14:paraId="0D69624D">
      <w:pPr>
        <w:keepNext w:val="0"/>
        <w:keepLines w:val="0"/>
        <w:pageBreakBefore w:val="0"/>
        <w:widowControl w:val="0"/>
        <w:kinsoku/>
        <w:wordWrap w:val="0"/>
        <w:overflowPunct/>
        <w:topLinePunct/>
        <w:autoSpaceDE w:val="0"/>
        <w:autoSpaceDN/>
        <w:bidi w:val="0"/>
        <w:adjustRightInd/>
        <w:snapToGrid/>
        <w:spacing w:line="360" w:lineRule="auto"/>
        <w:ind w:left="0" w:right="0" w:firstLine="37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（三）付款方式（银行转账</w:t>
      </w:r>
      <w:r>
        <w:rPr>
          <w:rFonts w:hint="eastAsia" w:ascii="宋体" w:hAnsi="宋体" w:eastAsia="宋体" w:cs="宋体"/>
          <w:color w:val="auto"/>
          <w:spacing w:val="-4"/>
          <w:sz w:val="21"/>
          <w:szCs w:val="21"/>
          <w:highlight w:val="none"/>
        </w:rPr>
        <w:t>）：</w:t>
      </w:r>
      <w:r>
        <w:rPr>
          <w:rFonts w:hint="eastAsia" w:ascii="宋体" w:hAnsi="宋体" w:eastAsia="宋体" w:cs="宋体"/>
          <w:color w:val="auto"/>
          <w:spacing w:val="2"/>
          <w:sz w:val="21"/>
          <w:szCs w:val="21"/>
          <w:highlight w:val="none"/>
          <w:u w:val="single" w:color="auto"/>
        </w:rPr>
        <w:t xml:space="preserve">               </w:t>
      </w:r>
      <w:r>
        <w:rPr>
          <w:rFonts w:hint="eastAsia" w:ascii="宋体" w:hAnsi="宋体" w:eastAsia="宋体" w:cs="宋体"/>
          <w:color w:val="auto"/>
          <w:spacing w:val="-11"/>
          <w:sz w:val="21"/>
          <w:szCs w:val="21"/>
          <w:highlight w:val="none"/>
        </w:rPr>
        <w:t>。</w:t>
      </w:r>
      <w:r>
        <w:rPr>
          <w:rFonts w:hint="eastAsia" w:ascii="宋体" w:hAnsi="宋体" w:eastAsia="宋体" w:cs="宋体"/>
          <w:color w:val="auto"/>
          <w:sz w:val="21"/>
          <w:szCs w:val="21"/>
          <w:highlight w:val="none"/>
        </w:rPr>
        <w:t xml:space="preserve"> </w:t>
      </w:r>
    </w:p>
    <w:p w14:paraId="51D8A7FF">
      <w:pPr>
        <w:keepNext w:val="0"/>
        <w:keepLines w:val="0"/>
        <w:pageBreakBefore w:val="0"/>
        <w:widowControl w:val="0"/>
        <w:kinsoku/>
        <w:wordWrap w:val="0"/>
        <w:overflowPunct/>
        <w:topLinePunct/>
        <w:autoSpaceDE w:val="0"/>
        <w:autoSpaceDN/>
        <w:bidi w:val="0"/>
        <w:adjustRightInd/>
        <w:snapToGrid/>
        <w:spacing w:line="360" w:lineRule="auto"/>
        <w:ind w:left="0" w:right="0" w:firstLine="41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乙方银行账户名称：</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pacing w:val="-1"/>
          <w:sz w:val="21"/>
          <w:szCs w:val="21"/>
          <w:highlight w:val="none"/>
        </w:rPr>
        <w:t>开户行：</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u w:val="none" w:color="auto"/>
          <w:lang w:val="en-US" w:eastAsia="zh-CN"/>
        </w:rPr>
        <w:t xml:space="preserve">  </w:t>
      </w:r>
      <w:r>
        <w:rPr>
          <w:rFonts w:hint="eastAsia" w:ascii="宋体" w:hAnsi="宋体" w:eastAsia="宋体" w:cs="宋体"/>
          <w:color w:val="auto"/>
          <w:spacing w:val="-2"/>
          <w:sz w:val="21"/>
          <w:szCs w:val="21"/>
          <w:highlight w:val="none"/>
        </w:rPr>
        <w:t>账号：</w:t>
      </w:r>
      <w:r>
        <w:rPr>
          <w:rFonts w:hint="eastAsia" w:ascii="宋体" w:hAnsi="宋体" w:eastAsia="宋体" w:cs="宋体"/>
          <w:color w:val="auto"/>
          <w:sz w:val="21"/>
          <w:szCs w:val="21"/>
          <w:highlight w:val="none"/>
          <w:u w:val="single" w:color="auto"/>
        </w:rPr>
        <w:t xml:space="preserve">            </w:t>
      </w:r>
    </w:p>
    <w:p w14:paraId="721A1654">
      <w:pPr>
        <w:keepNext w:val="0"/>
        <w:keepLines w:val="0"/>
        <w:pageBreakBefore w:val="0"/>
        <w:widowControl w:val="0"/>
        <w:kinsoku/>
        <w:wordWrap w:val="0"/>
        <w:overflowPunct/>
        <w:topLinePunct/>
        <w:autoSpaceDE w:val="0"/>
        <w:autoSpaceDN/>
        <w:bidi w:val="0"/>
        <w:adjustRightInd/>
        <w:snapToGrid/>
        <w:spacing w:line="360" w:lineRule="auto"/>
        <w:ind w:left="0" w:right="0" w:firstLine="418"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1"/>
          <w:sz w:val="21"/>
          <w:szCs w:val="21"/>
          <w:highlight w:val="none"/>
        </w:rPr>
        <w:t>八、双方权利义务</w:t>
      </w:r>
    </w:p>
    <w:p w14:paraId="16F95D53">
      <w:pPr>
        <w:keepNext w:val="0"/>
        <w:keepLines w:val="0"/>
        <w:pageBreakBefore w:val="0"/>
        <w:widowControl w:val="0"/>
        <w:kinsoku/>
        <w:wordWrap w:val="0"/>
        <w:overflowPunct/>
        <w:topLinePunct/>
        <w:autoSpaceDE w:val="0"/>
        <w:autoSpaceDN/>
        <w:bidi w:val="0"/>
        <w:adjustRightInd/>
        <w:snapToGrid/>
        <w:spacing w:line="360" w:lineRule="auto"/>
        <w:ind w:left="0" w:right="0" w:firstLine="388" w:firstLineChars="200"/>
        <w:textAlignment w:val="baseline"/>
        <w:outlineLvl w:val="2"/>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一）甲方权利义务</w:t>
      </w:r>
    </w:p>
    <w:p w14:paraId="798C36B1">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1.甲方应按约定时间</w:t>
      </w:r>
      <w:r>
        <w:rPr>
          <w:rFonts w:hint="eastAsia" w:ascii="宋体" w:hAnsi="宋体" w:cs="宋体"/>
          <w:color w:val="auto"/>
          <w:spacing w:val="-3"/>
          <w:sz w:val="21"/>
          <w:szCs w:val="21"/>
          <w:highlight w:val="none"/>
          <w:lang w:eastAsia="zh-CN"/>
        </w:rPr>
        <w:t>，</w:t>
      </w:r>
      <w:r>
        <w:rPr>
          <w:rFonts w:hint="eastAsia" w:ascii="宋体" w:hAnsi="宋体" w:cs="宋体"/>
          <w:color w:val="auto"/>
          <w:spacing w:val="-3"/>
          <w:sz w:val="21"/>
          <w:szCs w:val="21"/>
          <w:highlight w:val="none"/>
          <w:lang w:val="en-US" w:eastAsia="zh-CN"/>
        </w:rPr>
        <w:t>根据待量菜谱采购量设定要求准时测算出各类食材采购量，准时</w:t>
      </w:r>
      <w:r>
        <w:rPr>
          <w:rFonts w:hint="eastAsia" w:ascii="宋体" w:hAnsi="宋体" w:eastAsia="宋体" w:cs="宋体"/>
          <w:color w:val="auto"/>
          <w:spacing w:val="-3"/>
          <w:sz w:val="21"/>
          <w:szCs w:val="21"/>
          <w:highlight w:val="none"/>
        </w:rPr>
        <w:t>向乙方下达次日或次周订单，以便乙方提前安排准备。乙方未按约定时间将食材运送到指定地点，甲方可拒绝验货，不予支付货款。</w:t>
      </w:r>
    </w:p>
    <w:p w14:paraId="310415F5">
      <w:pPr>
        <w:keepNext w:val="0"/>
        <w:keepLines w:val="0"/>
        <w:pageBreakBefore w:val="0"/>
        <w:widowControl w:val="0"/>
        <w:kinsoku/>
        <w:wordWrap w:val="0"/>
        <w:overflowPunct/>
        <w:topLinePunct/>
        <w:autoSpaceDE w:val="0"/>
        <w:autoSpaceDN/>
        <w:bidi w:val="0"/>
        <w:adjustRightInd/>
        <w:snapToGrid/>
        <w:spacing w:line="360" w:lineRule="auto"/>
        <w:ind w:left="0" w:right="0" w:firstLine="39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2.</w:t>
      </w:r>
      <w:r>
        <w:rPr>
          <w:rFonts w:hint="eastAsia" w:ascii="宋体" w:hAnsi="宋体" w:eastAsia="宋体" w:cs="宋体"/>
          <w:color w:val="auto"/>
          <w:spacing w:val="-6"/>
          <w:sz w:val="21"/>
          <w:szCs w:val="21"/>
          <w:highlight w:val="none"/>
        </w:rPr>
        <w:t>甲方应依据订单和供货清单对食材进行清点验收。对不符合甲方订单要求的食材</w:t>
      </w:r>
      <w:r>
        <w:rPr>
          <w:rFonts w:hint="eastAsia" w:ascii="宋体" w:hAnsi="宋体" w:eastAsia="宋体" w:cs="宋体"/>
          <w:color w:val="auto"/>
          <w:spacing w:val="-7"/>
          <w:sz w:val="21"/>
          <w:szCs w:val="21"/>
          <w:highlight w:val="none"/>
        </w:rPr>
        <w:t>，甲方</w:t>
      </w:r>
      <w:r>
        <w:rPr>
          <w:rFonts w:hint="eastAsia" w:ascii="宋体" w:hAnsi="宋体" w:eastAsia="宋体" w:cs="宋体"/>
          <w:color w:val="auto"/>
          <w:spacing w:val="-5"/>
          <w:sz w:val="21"/>
          <w:szCs w:val="21"/>
          <w:highlight w:val="none"/>
        </w:rPr>
        <w:t>有</w:t>
      </w:r>
      <w:r>
        <w:rPr>
          <w:rFonts w:hint="eastAsia" w:ascii="宋体" w:hAnsi="宋体" w:eastAsia="宋体" w:cs="宋体"/>
          <w:color w:val="auto"/>
          <w:spacing w:val="-4"/>
          <w:sz w:val="21"/>
          <w:szCs w:val="21"/>
          <w:highlight w:val="none"/>
        </w:rPr>
        <w:t>权拒收，由此产生的损失由乙方承担。</w:t>
      </w:r>
    </w:p>
    <w:p w14:paraId="24B90162">
      <w:pPr>
        <w:keepNext w:val="0"/>
        <w:keepLines w:val="0"/>
        <w:pageBreakBefore w:val="0"/>
        <w:widowControl w:val="0"/>
        <w:kinsoku/>
        <w:wordWrap w:val="0"/>
        <w:overflowPunct/>
        <w:topLinePunct/>
        <w:autoSpaceDE w:val="0"/>
        <w:autoSpaceDN/>
        <w:bidi w:val="0"/>
        <w:adjustRightInd/>
        <w:snapToGrid/>
        <w:spacing w:line="360" w:lineRule="auto"/>
        <w:ind w:left="0" w:right="0" w:firstLine="39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3.甲方</w:t>
      </w:r>
      <w:r>
        <w:rPr>
          <w:rFonts w:hint="eastAsia" w:ascii="宋体" w:hAnsi="宋体" w:eastAsia="宋体" w:cs="宋体"/>
          <w:color w:val="auto"/>
          <w:spacing w:val="-6"/>
          <w:sz w:val="21"/>
          <w:szCs w:val="21"/>
          <w:highlight w:val="none"/>
        </w:rPr>
        <w:t>有权将乙方供应食材送到相关质检部门进行质量检验。经检验，如存在质量达不到</w:t>
      </w:r>
      <w:r>
        <w:rPr>
          <w:rFonts w:hint="eastAsia" w:ascii="宋体" w:hAnsi="宋体" w:eastAsia="宋体" w:cs="宋体"/>
          <w:color w:val="auto"/>
          <w:spacing w:val="-2"/>
          <w:sz w:val="21"/>
          <w:szCs w:val="21"/>
          <w:highlight w:val="none"/>
        </w:rPr>
        <w:t>标准的，货款不予结算；如存在严重质量问题的，不予结算货款外，甲方有权单方终止本合同并要</w:t>
      </w:r>
      <w:r>
        <w:rPr>
          <w:rFonts w:hint="eastAsia" w:ascii="宋体" w:hAnsi="宋体" w:eastAsia="宋体" w:cs="宋体"/>
          <w:color w:val="auto"/>
          <w:spacing w:val="-4"/>
          <w:sz w:val="21"/>
          <w:szCs w:val="21"/>
          <w:highlight w:val="none"/>
        </w:rPr>
        <w:t>求乙方承担相应经济赔偿责任。</w:t>
      </w:r>
    </w:p>
    <w:p w14:paraId="471E0759">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4.甲方依据订单和供货清单进行验收，验收合格后，应当场在供货清单上签字确认；甲方应</w:t>
      </w:r>
      <w:r>
        <w:rPr>
          <w:rFonts w:hint="eastAsia" w:ascii="宋体" w:hAnsi="宋体" w:eastAsia="宋体" w:cs="宋体"/>
          <w:color w:val="auto"/>
          <w:spacing w:val="-2"/>
          <w:sz w:val="21"/>
          <w:szCs w:val="21"/>
          <w:highlight w:val="none"/>
        </w:rPr>
        <w:t>在乙方提供发票信息与实际发生信息一致时，按时向乙方支付费用。</w:t>
      </w:r>
    </w:p>
    <w:p w14:paraId="66E3C769">
      <w:pPr>
        <w:keepNext w:val="0"/>
        <w:keepLines w:val="0"/>
        <w:pageBreakBefore w:val="0"/>
        <w:widowControl w:val="0"/>
        <w:kinsoku/>
        <w:wordWrap w:val="0"/>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pacing w:val="-13"/>
          <w:sz w:val="21"/>
          <w:szCs w:val="21"/>
          <w:highlight w:val="none"/>
        </w:rPr>
      </w:pPr>
      <w:r>
        <w:rPr>
          <w:rFonts w:hint="eastAsia" w:ascii="宋体" w:hAnsi="宋体" w:eastAsia="宋体" w:cs="宋体"/>
          <w:color w:val="auto"/>
          <w:spacing w:val="-2"/>
          <w:sz w:val="21"/>
          <w:szCs w:val="21"/>
          <w:highlight w:val="none"/>
        </w:rPr>
        <w:t>5.甲方验收食材后，应当按照保证食品安全的</w:t>
      </w:r>
      <w:r>
        <w:rPr>
          <w:rFonts w:hint="eastAsia" w:ascii="宋体" w:hAnsi="宋体" w:eastAsia="宋体" w:cs="宋体"/>
          <w:color w:val="auto"/>
          <w:spacing w:val="-3"/>
          <w:sz w:val="21"/>
          <w:szCs w:val="21"/>
          <w:highlight w:val="none"/>
        </w:rPr>
        <w:t>要求贮存食品，防止食品污染，定期检查库存</w:t>
      </w:r>
      <w:r>
        <w:rPr>
          <w:rFonts w:hint="eastAsia" w:ascii="宋体" w:hAnsi="宋体" w:eastAsia="宋体" w:cs="宋体"/>
          <w:color w:val="auto"/>
          <w:spacing w:val="-13"/>
          <w:sz w:val="21"/>
          <w:szCs w:val="21"/>
          <w:highlight w:val="none"/>
        </w:rPr>
        <w:t>食品。</w:t>
      </w:r>
    </w:p>
    <w:p w14:paraId="2F753FF9">
      <w:pPr>
        <w:keepNext w:val="0"/>
        <w:keepLines w:val="0"/>
        <w:pageBreakBefore w:val="0"/>
        <w:widowControl w:val="0"/>
        <w:kinsoku/>
        <w:wordWrap w:val="0"/>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6.甲方应当在食品（食材）贮存、加工区域配齐防蝇、防尘、防鼠等“三防”设备设施，做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
          <w:sz w:val="21"/>
          <w:szCs w:val="21"/>
          <w:highlight w:val="none"/>
        </w:rPr>
        <w:t>好老鼠、蟑螂、蝇（虫）等病媒生物防护工</w:t>
      </w:r>
      <w:r>
        <w:rPr>
          <w:rFonts w:hint="eastAsia" w:ascii="宋体" w:hAnsi="宋体" w:eastAsia="宋体" w:cs="宋体"/>
          <w:color w:val="auto"/>
          <w:spacing w:val="-2"/>
          <w:sz w:val="21"/>
          <w:szCs w:val="21"/>
          <w:highlight w:val="none"/>
        </w:rPr>
        <w:t>作，采取有效措施消除四害孽生条件。</w:t>
      </w:r>
    </w:p>
    <w:p w14:paraId="27173E14">
      <w:pPr>
        <w:keepNext w:val="0"/>
        <w:keepLines w:val="0"/>
        <w:pageBreakBefore w:val="0"/>
        <w:widowControl w:val="0"/>
        <w:kinsoku/>
        <w:wordWrap w:val="0"/>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7.甲方学校监督小组或膳食委员会应不定期对乙方经营的</w:t>
      </w:r>
      <w:r>
        <w:rPr>
          <w:rFonts w:hint="eastAsia" w:ascii="宋体" w:hAnsi="宋体" w:eastAsia="宋体" w:cs="宋体"/>
          <w:color w:val="auto"/>
          <w:spacing w:val="-3"/>
          <w:sz w:val="21"/>
          <w:szCs w:val="21"/>
          <w:highlight w:val="none"/>
        </w:rPr>
        <w:t>食材品质及来源进行检查。</w:t>
      </w:r>
    </w:p>
    <w:p w14:paraId="27DEA93F">
      <w:pPr>
        <w:keepNext w:val="0"/>
        <w:keepLines w:val="0"/>
        <w:pageBreakBefore w:val="0"/>
        <w:widowControl w:val="0"/>
        <w:kinsoku/>
        <w:wordWrap w:val="0"/>
        <w:overflowPunct/>
        <w:topLinePunct/>
        <w:autoSpaceDE w:val="0"/>
        <w:autoSpaceDN/>
        <w:bidi w:val="0"/>
        <w:adjustRightInd/>
        <w:snapToGrid/>
        <w:spacing w:line="360" w:lineRule="auto"/>
        <w:ind w:left="0" w:right="0" w:firstLine="404" w:firstLineChars="200"/>
        <w:textAlignment w:val="baseline"/>
        <w:outlineLvl w:val="2"/>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（二）乙方权利义务</w:t>
      </w:r>
    </w:p>
    <w:p w14:paraId="5A4F4CC3">
      <w:pPr>
        <w:keepNext w:val="0"/>
        <w:keepLines w:val="0"/>
        <w:pageBreakBefore w:val="0"/>
        <w:widowControl w:val="0"/>
        <w:kinsoku/>
        <w:wordWrap w:val="0"/>
        <w:overflowPunct/>
        <w:topLinePunct/>
        <w:autoSpaceDE w:val="0"/>
        <w:autoSpaceDN/>
        <w:bidi w:val="0"/>
        <w:adjustRightInd/>
        <w:snapToGrid/>
        <w:spacing w:line="360" w:lineRule="auto"/>
        <w:ind w:left="0" w:right="0" w:firstLine="38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1.乙方应严格按照《中华人民共和国食品安全法》《中华人民共和国农产品质量安全法》《中</w:t>
      </w:r>
      <w:r>
        <w:rPr>
          <w:rFonts w:hint="eastAsia" w:ascii="宋体" w:hAnsi="宋体" w:eastAsia="宋体" w:cs="宋体"/>
          <w:color w:val="auto"/>
          <w:spacing w:val="-1"/>
          <w:sz w:val="21"/>
          <w:szCs w:val="21"/>
          <w:highlight w:val="none"/>
        </w:rPr>
        <w:t>华人民共和国产品质量法》等法律和食品安全规范要求，</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pacing w:val="-1"/>
          <w:sz w:val="21"/>
          <w:szCs w:val="21"/>
          <w:highlight w:val="none"/>
        </w:rPr>
        <w:t>向甲方提供符合质量标准和安全要求的</w:t>
      </w:r>
      <w:r>
        <w:rPr>
          <w:rFonts w:hint="eastAsia" w:ascii="宋体" w:hAnsi="宋体" w:eastAsia="宋体" w:cs="宋体"/>
          <w:color w:val="auto"/>
          <w:spacing w:val="-2"/>
          <w:sz w:val="21"/>
          <w:szCs w:val="21"/>
          <w:highlight w:val="none"/>
        </w:rPr>
        <w:t>食品。建立健全食品进货查验记录、销售记录，并保存相关凭证。</w:t>
      </w:r>
      <w:r>
        <w:rPr>
          <w:rFonts w:hint="eastAsia" w:ascii="宋体" w:hAnsi="宋体" w:eastAsia="宋体" w:cs="宋体"/>
          <w:color w:val="auto"/>
          <w:sz w:val="21"/>
          <w:szCs w:val="21"/>
          <w:highlight w:val="none"/>
        </w:rPr>
        <w:t>乙方属食品生产企业的，应建立产品（含名称、执行标准及标准</w:t>
      </w:r>
      <w:r>
        <w:rPr>
          <w:rFonts w:hint="eastAsia" w:ascii="宋体" w:hAnsi="宋体" w:eastAsia="宋体" w:cs="宋体"/>
          <w:color w:val="auto"/>
          <w:spacing w:val="-1"/>
          <w:sz w:val="21"/>
          <w:szCs w:val="21"/>
          <w:highlight w:val="none"/>
        </w:rPr>
        <w:t>内容、配料、生产工艺、标</w:t>
      </w:r>
      <w:r>
        <w:rPr>
          <w:rFonts w:hint="eastAsia" w:ascii="宋体" w:hAnsi="宋体" w:eastAsia="宋体" w:cs="宋体"/>
          <w:color w:val="auto"/>
          <w:spacing w:val="-3"/>
          <w:sz w:val="21"/>
          <w:szCs w:val="21"/>
          <w:highlight w:val="none"/>
        </w:rPr>
        <w:t>签标识等）、原辅料、生产、销售、设备、设施、人员、召回、销毁</w:t>
      </w:r>
      <w:r>
        <w:rPr>
          <w:rFonts w:hint="eastAsia" w:ascii="宋体" w:hAnsi="宋体" w:eastAsia="宋体" w:cs="宋体"/>
          <w:color w:val="auto"/>
          <w:spacing w:val="-4"/>
          <w:sz w:val="21"/>
          <w:szCs w:val="21"/>
          <w:highlight w:val="none"/>
        </w:rPr>
        <w:t>、投诉等信息以供甲方备查。</w:t>
      </w:r>
    </w:p>
    <w:p w14:paraId="5004AB6F">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乙方属食品销售企业的，应建立进货、贮存、销售等信息以供甲方备查。</w:t>
      </w:r>
    </w:p>
    <w:p w14:paraId="4A36C36E">
      <w:pPr>
        <w:keepNext w:val="0"/>
        <w:keepLines w:val="0"/>
        <w:pageBreakBefore w:val="0"/>
        <w:widowControl w:val="0"/>
        <w:kinsoku/>
        <w:wordWrap w:val="0"/>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2.乙方应按照《企业落实食品安全主体责任监督管理办法》规定配备食品安全总监/食品</w:t>
      </w:r>
      <w:r>
        <w:rPr>
          <w:rFonts w:hint="eastAsia" w:ascii="宋体" w:hAnsi="宋体" w:eastAsia="宋体" w:cs="宋体"/>
          <w:color w:val="auto"/>
          <w:spacing w:val="-4"/>
          <w:sz w:val="21"/>
          <w:szCs w:val="21"/>
          <w:highlight w:val="none"/>
        </w:rPr>
        <w:t>安全</w:t>
      </w:r>
      <w:r>
        <w:rPr>
          <w:rFonts w:hint="eastAsia" w:ascii="宋体" w:hAnsi="宋体" w:eastAsia="宋体" w:cs="宋体"/>
          <w:color w:val="auto"/>
          <w:spacing w:val="-3"/>
          <w:sz w:val="21"/>
          <w:szCs w:val="21"/>
          <w:highlight w:val="none"/>
        </w:rPr>
        <w:t>员，落实“日管控、周排查、月调度”制度要求。</w:t>
      </w:r>
    </w:p>
    <w:p w14:paraId="0BFD3103">
      <w:pPr>
        <w:keepNext w:val="0"/>
        <w:keepLines w:val="0"/>
        <w:pageBreakBefore w:val="0"/>
        <w:widowControl w:val="0"/>
        <w:kinsoku/>
        <w:wordWrap w:val="0"/>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3.乙方应当在食品（食材）贮存、加工区域配齐防蝇、防尘、防鼠等“三防”设备设施，做</w:t>
      </w:r>
      <w:r>
        <w:rPr>
          <w:rFonts w:hint="eastAsia" w:ascii="宋体" w:hAnsi="宋体" w:eastAsia="宋体" w:cs="宋体"/>
          <w:color w:val="auto"/>
          <w:spacing w:val="-1"/>
          <w:sz w:val="21"/>
          <w:szCs w:val="21"/>
          <w:highlight w:val="none"/>
        </w:rPr>
        <w:t>好老鼠、蟑螂、蝇（虫）等病媒生物防护工</w:t>
      </w:r>
      <w:r>
        <w:rPr>
          <w:rFonts w:hint="eastAsia" w:ascii="宋体" w:hAnsi="宋体" w:eastAsia="宋体" w:cs="宋体"/>
          <w:color w:val="auto"/>
          <w:spacing w:val="-2"/>
          <w:sz w:val="21"/>
          <w:szCs w:val="21"/>
          <w:highlight w:val="none"/>
        </w:rPr>
        <w:t>作，采取有效措施消除四害孽生条件。</w:t>
      </w:r>
    </w:p>
    <w:p w14:paraId="2A5189E6">
      <w:pPr>
        <w:keepNext w:val="0"/>
        <w:keepLines w:val="0"/>
        <w:pageBreakBefore w:val="0"/>
        <w:widowControl w:val="0"/>
        <w:kinsoku/>
        <w:wordWrap w:val="0"/>
        <w:overflowPunct/>
        <w:topLinePunct/>
        <w:autoSpaceDE w:val="0"/>
        <w:autoSpaceDN/>
        <w:bidi w:val="0"/>
        <w:adjustRightInd/>
        <w:snapToGrid/>
        <w:spacing w:line="360" w:lineRule="auto"/>
        <w:ind w:left="0" w:right="0" w:firstLine="40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4.乙方应严格按照甲方订单中的品类、规格、质量及</w:t>
      </w:r>
      <w:r>
        <w:rPr>
          <w:rFonts w:hint="eastAsia" w:ascii="宋体" w:hAnsi="宋体" w:eastAsia="宋体" w:cs="宋体"/>
          <w:color w:val="auto"/>
          <w:spacing w:val="-6"/>
          <w:sz w:val="21"/>
          <w:szCs w:val="21"/>
          <w:highlight w:val="none"/>
        </w:rPr>
        <w:t>数量等进行配送，验收时甲方若发现食</w:t>
      </w:r>
      <w:r>
        <w:rPr>
          <w:rFonts w:hint="eastAsia" w:ascii="宋体" w:hAnsi="宋体" w:eastAsia="宋体" w:cs="宋体"/>
          <w:color w:val="auto"/>
          <w:spacing w:val="-1"/>
          <w:sz w:val="21"/>
          <w:szCs w:val="21"/>
          <w:highlight w:val="none"/>
        </w:rPr>
        <w:t>材质量不达标、重量不足或出现缺货漏货等情况，乙方应按</w:t>
      </w:r>
      <w:r>
        <w:rPr>
          <w:rFonts w:hint="eastAsia" w:ascii="宋体" w:hAnsi="宋体" w:eastAsia="宋体" w:cs="宋体"/>
          <w:color w:val="auto"/>
          <w:spacing w:val="-2"/>
          <w:sz w:val="21"/>
          <w:szCs w:val="21"/>
          <w:highlight w:val="none"/>
        </w:rPr>
        <w:t>照甲方的要求立即更换及补货。</w:t>
      </w:r>
    </w:p>
    <w:p w14:paraId="1BB1C5B0">
      <w:pPr>
        <w:keepNext w:val="0"/>
        <w:keepLines w:val="0"/>
        <w:pageBreakBefore w:val="0"/>
        <w:widowControl w:val="0"/>
        <w:kinsoku/>
        <w:wordWrap w:val="0"/>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5.乙方应保证送货车辆内外整洁，</w:t>
      </w:r>
      <w:r>
        <w:rPr>
          <w:rFonts w:hint="eastAsia" w:ascii="宋体" w:hAnsi="宋体" w:eastAsia="宋体" w:cs="宋体"/>
          <w:color w:val="auto"/>
          <w:spacing w:val="-33"/>
          <w:sz w:val="21"/>
          <w:szCs w:val="21"/>
          <w:highlight w:val="none"/>
        </w:rPr>
        <w:t xml:space="preserve"> </w:t>
      </w:r>
      <w:r>
        <w:rPr>
          <w:rFonts w:hint="eastAsia" w:ascii="宋体" w:hAnsi="宋体" w:eastAsia="宋体" w:cs="宋体"/>
          <w:color w:val="auto"/>
          <w:spacing w:val="-6"/>
          <w:sz w:val="21"/>
          <w:szCs w:val="21"/>
          <w:highlight w:val="none"/>
        </w:rPr>
        <w:t>防止食品污染。在运输货物过程</w:t>
      </w:r>
      <w:r>
        <w:rPr>
          <w:rFonts w:hint="eastAsia" w:ascii="宋体" w:hAnsi="宋体" w:eastAsia="宋体" w:cs="宋体"/>
          <w:color w:val="auto"/>
          <w:spacing w:val="-7"/>
          <w:sz w:val="21"/>
          <w:szCs w:val="21"/>
          <w:highlight w:val="none"/>
        </w:rPr>
        <w:t>中，严禁踩、踏、抛、摔</w:t>
      </w:r>
      <w:r>
        <w:rPr>
          <w:rFonts w:hint="eastAsia" w:ascii="宋体" w:hAnsi="宋体" w:eastAsia="宋体" w:cs="宋体"/>
          <w:color w:val="auto"/>
          <w:spacing w:val="-5"/>
          <w:sz w:val="21"/>
          <w:szCs w:val="21"/>
          <w:highlight w:val="none"/>
        </w:rPr>
        <w:t>货物，保持货物的完整性。</w:t>
      </w:r>
    </w:p>
    <w:p w14:paraId="5020D163">
      <w:pPr>
        <w:keepNext w:val="0"/>
        <w:keepLines w:val="0"/>
        <w:pageBreakBefore w:val="0"/>
        <w:widowControl w:val="0"/>
        <w:kinsoku/>
        <w:wordWrap w:val="0"/>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5"/>
          <w:sz w:val="21"/>
          <w:szCs w:val="21"/>
          <w:highlight w:val="none"/>
        </w:rPr>
      </w:pPr>
      <w:r>
        <w:rPr>
          <w:rFonts w:hint="eastAsia" w:ascii="宋体" w:hAnsi="宋体" w:eastAsia="宋体" w:cs="宋体"/>
          <w:color w:val="auto"/>
          <w:spacing w:val="-6"/>
          <w:sz w:val="21"/>
          <w:szCs w:val="21"/>
          <w:highlight w:val="none"/>
        </w:rPr>
        <w:t>6.乙方承担从开始运输至经甲方验收合格前的一切损毁、变质风险，以及运输货</w:t>
      </w:r>
      <w:r>
        <w:rPr>
          <w:rFonts w:hint="eastAsia" w:ascii="宋体" w:hAnsi="宋体" w:eastAsia="宋体" w:cs="宋体"/>
          <w:color w:val="auto"/>
          <w:spacing w:val="-7"/>
          <w:sz w:val="21"/>
          <w:szCs w:val="21"/>
          <w:highlight w:val="none"/>
        </w:rPr>
        <w:t>物过程中所</w:t>
      </w:r>
      <w:r>
        <w:rPr>
          <w:rFonts w:hint="eastAsia" w:ascii="宋体" w:hAnsi="宋体" w:eastAsia="宋体" w:cs="宋体"/>
          <w:color w:val="auto"/>
          <w:spacing w:val="-5"/>
          <w:sz w:val="21"/>
          <w:szCs w:val="21"/>
          <w:highlight w:val="none"/>
        </w:rPr>
        <w:t>产生的一切费用和责任。</w:t>
      </w:r>
    </w:p>
    <w:p w14:paraId="42506C21">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7.乙方出入校园须严格遵守甲方学校规章制度及要求，按甲方指定出入通道出入，若因不按</w:t>
      </w:r>
      <w:r>
        <w:rPr>
          <w:rFonts w:hint="eastAsia" w:ascii="宋体" w:hAnsi="宋体" w:eastAsia="宋体" w:cs="宋体"/>
          <w:color w:val="auto"/>
          <w:spacing w:val="-1"/>
          <w:sz w:val="21"/>
          <w:szCs w:val="21"/>
          <w:highlight w:val="none"/>
        </w:rPr>
        <w:t>规定行驶造成的一切法律责任由乙方承担，给甲方带来恶劣</w:t>
      </w:r>
      <w:r>
        <w:rPr>
          <w:rFonts w:hint="eastAsia" w:ascii="宋体" w:hAnsi="宋体" w:eastAsia="宋体" w:cs="宋体"/>
          <w:color w:val="auto"/>
          <w:spacing w:val="-2"/>
          <w:sz w:val="21"/>
          <w:szCs w:val="21"/>
          <w:highlight w:val="none"/>
        </w:rPr>
        <w:t>影响的，甲方可单方面解除本合同。</w:t>
      </w:r>
    </w:p>
    <w:p w14:paraId="60728B6D">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8.乙方将货物运抵甲方，须随货提供当批次有效检验检疫合格证明、产品合格证、进货查验</w:t>
      </w:r>
      <w:r>
        <w:rPr>
          <w:rFonts w:hint="eastAsia" w:ascii="宋体" w:hAnsi="宋体" w:eastAsia="宋体" w:cs="宋体"/>
          <w:color w:val="auto"/>
          <w:spacing w:val="-5"/>
          <w:sz w:val="21"/>
          <w:szCs w:val="21"/>
          <w:highlight w:val="none"/>
        </w:rPr>
        <w:t>记录等文件，经甲方相关人员验收合格并签字确认后，乙方应将货物按规范摆放到甲方指定位置，并向甲方提供合规发票。</w:t>
      </w:r>
    </w:p>
    <w:p w14:paraId="5BE12667">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9.乙方将货物送达甲方指定收货点后，若给甲方场地造成污</w:t>
      </w:r>
      <w:r>
        <w:rPr>
          <w:rFonts w:hint="eastAsia" w:ascii="宋体" w:hAnsi="宋体" w:eastAsia="宋体" w:cs="宋体"/>
          <w:color w:val="auto"/>
          <w:spacing w:val="-3"/>
          <w:sz w:val="21"/>
          <w:szCs w:val="21"/>
          <w:highlight w:val="none"/>
        </w:rPr>
        <w:t>染的，乙方须及时清理。</w:t>
      </w:r>
    </w:p>
    <w:p w14:paraId="55568F13">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2"/>
          <w:sz w:val="21"/>
          <w:szCs w:val="21"/>
          <w:highlight w:val="none"/>
        </w:rPr>
        <w:t>九、违约责任及合同解除</w:t>
      </w:r>
    </w:p>
    <w:p w14:paraId="21D70E6C">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本合同约定违约金为合同金额</w:t>
      </w:r>
      <w:r>
        <w:rPr>
          <w:rFonts w:hint="eastAsia" w:ascii="宋体" w:hAnsi="宋体" w:eastAsia="宋体" w:cs="宋体"/>
          <w:color w:val="auto"/>
          <w:spacing w:val="-6"/>
          <w:sz w:val="21"/>
          <w:szCs w:val="21"/>
          <w:highlight w:val="none"/>
          <w:u w:val="single"/>
        </w:rPr>
        <w:t xml:space="preserve"> 5 </w:t>
      </w:r>
      <w:r>
        <w:rPr>
          <w:rFonts w:hint="eastAsia" w:ascii="宋体" w:hAnsi="宋体" w:eastAsia="宋体" w:cs="宋体"/>
          <w:color w:val="auto"/>
          <w:spacing w:val="-6"/>
          <w:sz w:val="21"/>
          <w:szCs w:val="21"/>
          <w:highlight w:val="none"/>
        </w:rPr>
        <w:t>%。乙方未按合同约定时间供货的，每延迟一次按延迟供货金额</w:t>
      </w:r>
      <w:r>
        <w:rPr>
          <w:rFonts w:hint="eastAsia" w:ascii="宋体" w:hAnsi="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rPr>
        <w:t xml:space="preserve">10 </w:t>
      </w:r>
      <w:r>
        <w:rPr>
          <w:rFonts w:hint="eastAsia" w:ascii="宋体" w:hAnsi="宋体" w:eastAsia="宋体" w:cs="宋体"/>
          <w:color w:val="auto"/>
          <w:spacing w:val="-6"/>
          <w:sz w:val="21"/>
          <w:szCs w:val="21"/>
          <w:highlight w:val="none"/>
        </w:rPr>
        <w:t>%支付违约金，且甲方有权在下一次付款前对违约金进行扣除，解除合同的通知到达乙方注册地之日合同解除，如发生</w:t>
      </w:r>
      <w:r>
        <w:rPr>
          <w:rFonts w:hint="eastAsia" w:ascii="宋体" w:hAnsi="宋体" w:eastAsia="宋体" w:cs="宋体"/>
          <w:color w:val="auto"/>
          <w:spacing w:val="-6"/>
          <w:sz w:val="21"/>
          <w:szCs w:val="21"/>
          <w:highlight w:val="none"/>
          <w:u w:val="single"/>
        </w:rPr>
        <w:t xml:space="preserve"> 3 </w:t>
      </w:r>
      <w:r>
        <w:rPr>
          <w:rFonts w:hint="eastAsia" w:ascii="宋体" w:hAnsi="宋体" w:eastAsia="宋体" w:cs="宋体"/>
          <w:color w:val="auto"/>
          <w:spacing w:val="-6"/>
          <w:sz w:val="21"/>
          <w:szCs w:val="21"/>
          <w:highlight w:val="none"/>
        </w:rPr>
        <w:t>次延迟供货，甲方有权解除合同，并要求乙方承担违约责任、赔偿损失（违约应承担的全部损失包括但不限于行政处罚等产生的罚款、赔偿款、鉴定费用、律师费用、公证费、保全担保费、名誉权损害赔偿等直接、间接损失）。</w:t>
      </w:r>
    </w:p>
    <w:p w14:paraId="1CCAA819">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甲方未按合同约定时间支付价款的，自逾期之日起，每日按逾期支付货款的</w:t>
      </w:r>
      <w:r>
        <w:rPr>
          <w:rFonts w:hint="eastAsia" w:ascii="宋体" w:hAnsi="宋体" w:eastAsia="宋体" w:cs="宋体"/>
          <w:color w:val="auto"/>
          <w:spacing w:val="-6"/>
          <w:sz w:val="21"/>
          <w:szCs w:val="21"/>
          <w:highlight w:val="none"/>
          <w:u w:val="single"/>
        </w:rPr>
        <w:t xml:space="preserve"> 0.05 </w:t>
      </w:r>
      <w:r>
        <w:rPr>
          <w:rFonts w:hint="eastAsia" w:ascii="宋体" w:hAnsi="宋体" w:eastAsia="宋体" w:cs="宋体"/>
          <w:color w:val="auto"/>
          <w:spacing w:val="-6"/>
          <w:sz w:val="21"/>
          <w:szCs w:val="21"/>
          <w:highlight w:val="none"/>
        </w:rPr>
        <w:t>%向乙方支付违约金。</w:t>
      </w:r>
    </w:p>
    <w:p w14:paraId="1A6D3BA3">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合同履行期限届满前，如乙方提出解除合同，需要提前</w:t>
      </w:r>
      <w:r>
        <w:rPr>
          <w:rFonts w:hint="eastAsia" w:ascii="宋体" w:hAnsi="宋体" w:eastAsia="宋体" w:cs="宋体"/>
          <w:color w:val="auto"/>
          <w:spacing w:val="-6"/>
          <w:sz w:val="21"/>
          <w:szCs w:val="21"/>
          <w:highlight w:val="none"/>
          <w:u w:val="single"/>
        </w:rPr>
        <w:t xml:space="preserve"> 1 </w:t>
      </w:r>
      <w:r>
        <w:rPr>
          <w:rFonts w:hint="eastAsia" w:ascii="宋体" w:hAnsi="宋体" w:eastAsia="宋体" w:cs="宋体"/>
          <w:color w:val="auto"/>
          <w:spacing w:val="-6"/>
          <w:sz w:val="21"/>
          <w:szCs w:val="21"/>
          <w:highlight w:val="none"/>
        </w:rPr>
        <w:t>个月以书面方式向甲方提出。同时，乙方应向甲方支付</w:t>
      </w:r>
      <w:r>
        <w:rPr>
          <w:rFonts w:hint="eastAsia" w:ascii="宋体" w:hAnsi="宋体" w:eastAsia="宋体" w:cs="宋体"/>
          <w:color w:val="auto"/>
          <w:spacing w:val="-6"/>
          <w:sz w:val="21"/>
          <w:szCs w:val="21"/>
          <w:highlight w:val="none"/>
          <w:u w:val="single"/>
        </w:rPr>
        <w:t xml:space="preserve"> 30</w:t>
      </w:r>
      <w:r>
        <w:rPr>
          <w:rFonts w:hint="eastAsia" w:ascii="宋体" w:hAnsi="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rPr>
        <w:t>%违约金（不超过总合同金额的30%）。在未接到甲方书面同意解除合同前，乙方仍须按照本合同条款继续履行。</w:t>
      </w:r>
    </w:p>
    <w:p w14:paraId="27045559">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4.</w:t>
      </w:r>
      <w:r>
        <w:rPr>
          <w:rFonts w:hint="eastAsia" w:ascii="宋体" w:hAnsi="宋体" w:eastAsia="宋体" w:cs="宋体"/>
          <w:color w:val="auto"/>
          <w:spacing w:val="-6"/>
          <w:sz w:val="21"/>
          <w:szCs w:val="21"/>
          <w:highlight w:val="none"/>
        </w:rPr>
        <w:t>如乙方所提供的食品经国家认证的检测机构检测不符合食品安全标准，甲方有权解除合同并要求乙方向甲方支付该批次产品的</w:t>
      </w:r>
      <w:r>
        <w:rPr>
          <w:rFonts w:hint="eastAsia" w:ascii="宋体" w:hAnsi="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rPr>
        <w:t>3</w:t>
      </w:r>
      <w:r>
        <w:rPr>
          <w:rFonts w:hint="eastAsia" w:ascii="宋体" w:hAnsi="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rPr>
        <w:t>倍违约金且甲方有权在下一次付款前对违约金进行扣除。</w:t>
      </w:r>
    </w:p>
    <w:p w14:paraId="333DDB7E">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5.</w:t>
      </w:r>
      <w:r>
        <w:rPr>
          <w:rFonts w:hint="eastAsia" w:ascii="宋体" w:hAnsi="宋体" w:eastAsia="宋体" w:cs="宋体"/>
          <w:color w:val="auto"/>
          <w:spacing w:val="-6"/>
          <w:sz w:val="21"/>
          <w:szCs w:val="21"/>
          <w:highlight w:val="none"/>
        </w:rPr>
        <w:t>若发生食品安全事故，甲方服务对象因食用饭菜致使食物中毒，经卫生检疫部门确认因乙方提供的食材质量问题所引发，乙方除承担医药费外还需承担其他法律责任，且甲方有权解除合同。如果由于甲方加工过程所导致，由甲方承担全部责任。</w:t>
      </w:r>
    </w:p>
    <w:p w14:paraId="37E39C5B">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6.</w:t>
      </w:r>
      <w:r>
        <w:rPr>
          <w:rFonts w:hint="eastAsia" w:ascii="宋体" w:hAnsi="宋体" w:eastAsia="宋体" w:cs="宋体"/>
          <w:color w:val="auto"/>
          <w:spacing w:val="-6"/>
          <w:sz w:val="21"/>
          <w:szCs w:val="21"/>
          <w:highlight w:val="none"/>
        </w:rPr>
        <w:t>如乙方所提供的食材经甲方进行抽检不合格的，该批次产品一律无条件退回且乙方无权要求甲方支付该批次产品费用。如果</w:t>
      </w:r>
      <w:r>
        <w:rPr>
          <w:rFonts w:hint="eastAsia" w:ascii="宋体" w:hAnsi="宋体" w:eastAsia="宋体" w:cs="宋体"/>
          <w:color w:val="auto"/>
          <w:spacing w:val="-6"/>
          <w:sz w:val="21"/>
          <w:szCs w:val="21"/>
          <w:highlight w:val="none"/>
          <w:u w:val="single"/>
        </w:rPr>
        <w:t xml:space="preserve"> </w:t>
      </w:r>
      <w:r>
        <w:rPr>
          <w:rFonts w:hint="eastAsia" w:ascii="宋体" w:hAnsi="宋体" w:cs="宋体"/>
          <w:color w:val="auto"/>
          <w:spacing w:val="-6"/>
          <w:sz w:val="21"/>
          <w:szCs w:val="21"/>
          <w:highlight w:val="none"/>
          <w:u w:val="single"/>
          <w:lang w:val="en-US" w:eastAsia="zh-CN"/>
        </w:rPr>
        <w:t>5</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次抽检不合格，甲方有权解除合同，乙方应承担违约责任，向甲方支付该批次产品的</w:t>
      </w:r>
      <w:r>
        <w:rPr>
          <w:rFonts w:hint="eastAsia" w:ascii="宋体" w:hAnsi="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u w:val="single"/>
        </w:rPr>
        <w:t>3</w:t>
      </w:r>
      <w:r>
        <w:rPr>
          <w:rFonts w:hint="eastAsia" w:ascii="宋体" w:hAnsi="宋体" w:cs="宋体"/>
          <w:color w:val="auto"/>
          <w:spacing w:val="-6"/>
          <w:sz w:val="21"/>
          <w:szCs w:val="21"/>
          <w:highlight w:val="none"/>
          <w:u w:val="single"/>
          <w:lang w:val="en-US" w:eastAsia="zh-CN"/>
        </w:rPr>
        <w:t xml:space="preserve"> </w:t>
      </w:r>
      <w:r>
        <w:rPr>
          <w:rFonts w:hint="eastAsia" w:ascii="宋体" w:hAnsi="宋体" w:eastAsia="宋体" w:cs="宋体"/>
          <w:color w:val="auto"/>
          <w:spacing w:val="-6"/>
          <w:sz w:val="21"/>
          <w:szCs w:val="21"/>
          <w:highlight w:val="none"/>
        </w:rPr>
        <w:t>倍违约金，若造成甲方损失的，还应承担赔偿责任。</w:t>
      </w:r>
    </w:p>
    <w:p w14:paraId="548E3C34">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7.</w:t>
      </w:r>
      <w:r>
        <w:rPr>
          <w:rFonts w:hint="eastAsia" w:ascii="宋体" w:hAnsi="宋体" w:eastAsia="宋体" w:cs="宋体"/>
          <w:color w:val="auto"/>
          <w:spacing w:val="-6"/>
          <w:sz w:val="21"/>
          <w:szCs w:val="21"/>
          <w:highlight w:val="none"/>
        </w:rPr>
        <w:t>如解除合同，乙方仍需按照本合同的标准，以上一个供货周期的价格为甲方供货</w:t>
      </w:r>
      <w:r>
        <w:rPr>
          <w:rFonts w:hint="eastAsia" w:ascii="宋体" w:hAnsi="宋体" w:eastAsia="宋体" w:cs="宋体"/>
          <w:color w:val="auto"/>
          <w:spacing w:val="-6"/>
          <w:sz w:val="21"/>
          <w:szCs w:val="21"/>
          <w:highlight w:val="none"/>
          <w:u w:val="single"/>
        </w:rPr>
        <w:t xml:space="preserve"> 1 </w:t>
      </w:r>
      <w:r>
        <w:rPr>
          <w:rFonts w:hint="eastAsia" w:ascii="宋体" w:hAnsi="宋体" w:eastAsia="宋体" w:cs="宋体"/>
          <w:color w:val="auto"/>
          <w:spacing w:val="-6"/>
          <w:sz w:val="21"/>
          <w:szCs w:val="21"/>
          <w:highlight w:val="none"/>
        </w:rPr>
        <w:t>个月，如因乙方无法供货给甲方造成损失，则视为违约行为。</w:t>
      </w:r>
    </w:p>
    <w:p w14:paraId="3D83C219">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8.</w:t>
      </w:r>
      <w:r>
        <w:rPr>
          <w:rFonts w:hint="eastAsia" w:ascii="宋体" w:hAnsi="宋体" w:eastAsia="宋体" w:cs="宋体"/>
          <w:color w:val="auto"/>
          <w:spacing w:val="-6"/>
          <w:sz w:val="21"/>
          <w:szCs w:val="21"/>
          <w:highlight w:val="none"/>
        </w:rPr>
        <w:t>乙方具有下列情形之一的，甲方可以单方面解除本合同并不再向乙方支付当月货款：</w:t>
      </w:r>
    </w:p>
    <w:p w14:paraId="6767620F">
      <w:pPr>
        <w:keepNext w:val="0"/>
        <w:keepLines w:val="0"/>
        <w:pageBreakBefore w:val="0"/>
        <w:widowControl w:val="0"/>
        <w:kinsoku w:val="0"/>
        <w:wordWrap/>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（1）使用非食品原料生产的食品或者添加食品添加剂以外的化学物质和其他可能危害人体健</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pacing w:val="-2"/>
          <w:sz w:val="21"/>
          <w:szCs w:val="21"/>
          <w:highlight w:val="none"/>
        </w:rPr>
        <w:t>康物质的食品，或者使用回收食品作为原料</w:t>
      </w:r>
      <w:r>
        <w:rPr>
          <w:rFonts w:hint="eastAsia" w:ascii="宋体" w:hAnsi="宋体" w:eastAsia="宋体" w:cs="宋体"/>
          <w:color w:val="auto"/>
          <w:spacing w:val="-3"/>
          <w:sz w:val="21"/>
          <w:szCs w:val="21"/>
          <w:highlight w:val="none"/>
        </w:rPr>
        <w:t>生产的食品；</w:t>
      </w:r>
    </w:p>
    <w:p w14:paraId="5463551A">
      <w:pPr>
        <w:keepNext w:val="0"/>
        <w:keepLines w:val="0"/>
        <w:pageBreakBefore w:val="0"/>
        <w:widowControl w:val="0"/>
        <w:kinsoku w:val="0"/>
        <w:wordWrap/>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（2）使用含有致病性微生物，农药残留、兽药残留、生物毒素、重金属等污染物质以及其他</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pacing w:val="-2"/>
          <w:sz w:val="21"/>
          <w:szCs w:val="21"/>
          <w:highlight w:val="none"/>
        </w:rPr>
        <w:t>危害人体健康的物质含量超过食品安全标准限量的食品、食品添加剂、食品相关产品；</w:t>
      </w:r>
    </w:p>
    <w:p w14:paraId="220C69AD">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（3）使用超过保质期的食品原料、食品添加剂生产的食品、食品添</w:t>
      </w:r>
      <w:r>
        <w:rPr>
          <w:rFonts w:hint="eastAsia" w:ascii="宋体" w:hAnsi="宋体" w:eastAsia="宋体" w:cs="宋体"/>
          <w:color w:val="auto"/>
          <w:spacing w:val="-3"/>
          <w:sz w:val="21"/>
          <w:szCs w:val="21"/>
          <w:highlight w:val="none"/>
        </w:rPr>
        <w:t>加剂；</w:t>
      </w:r>
    </w:p>
    <w:p w14:paraId="7CF65C3E">
      <w:pPr>
        <w:keepNext w:val="0"/>
        <w:keepLines w:val="0"/>
        <w:pageBreakBefore w:val="0"/>
        <w:widowControl w:val="0"/>
        <w:kinsoku w:val="0"/>
        <w:wordWrap/>
        <w:overflowPunct/>
        <w:topLinePunct/>
        <w:autoSpaceDE w:val="0"/>
        <w:autoSpaceDN/>
        <w:bidi w:val="0"/>
        <w:adjustRightInd/>
        <w:snapToGrid/>
        <w:spacing w:line="360" w:lineRule="auto"/>
        <w:ind w:left="0" w:right="0" w:firstLine="404"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（4）超范围、超限量使用食品添加剂的食品；</w:t>
      </w:r>
    </w:p>
    <w:p w14:paraId="59DB3161">
      <w:pPr>
        <w:keepNext w:val="0"/>
        <w:keepLines w:val="0"/>
        <w:pageBreakBefore w:val="0"/>
        <w:widowControl w:val="0"/>
        <w:kinsoku w:val="0"/>
        <w:wordWrap/>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（5）使用腐败变质、油脂酸败、霉变生虫、污秽不洁、混有异物、掺假掺杂或者感官性状异</w:t>
      </w:r>
      <w:r>
        <w:rPr>
          <w:rFonts w:hint="eastAsia" w:ascii="宋体" w:hAnsi="宋体" w:eastAsia="宋体" w:cs="宋体"/>
          <w:color w:val="auto"/>
          <w:spacing w:val="-7"/>
          <w:sz w:val="21"/>
          <w:szCs w:val="21"/>
          <w:highlight w:val="none"/>
        </w:rPr>
        <w:t>常的食品、食品添加剂；</w:t>
      </w:r>
    </w:p>
    <w:p w14:paraId="0EFB8A34">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（6）采购、使用病死、毒死或者死因不明的禽、畜、兽、水产动物肉类及其制品；</w:t>
      </w:r>
    </w:p>
    <w:p w14:paraId="4F3FB84A">
      <w:pPr>
        <w:keepNext w:val="0"/>
        <w:keepLines w:val="0"/>
        <w:pageBreakBefore w:val="0"/>
        <w:widowControl w:val="0"/>
        <w:kinsoku w:val="0"/>
        <w:wordWrap/>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（7）采购、使用未按规定进行检疫或者检疫不合格的肉类，或者未经检验或者检验不合格的</w:t>
      </w:r>
      <w:r>
        <w:rPr>
          <w:rFonts w:hint="eastAsia" w:ascii="宋体" w:hAnsi="宋体" w:eastAsia="宋体" w:cs="宋体"/>
          <w:color w:val="auto"/>
          <w:spacing w:val="-15"/>
          <w:sz w:val="21"/>
          <w:szCs w:val="21"/>
          <w:highlight w:val="none"/>
        </w:rPr>
        <w:t>肉类制品；</w:t>
      </w:r>
    </w:p>
    <w:p w14:paraId="23E2DD57">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（8）使用被污染的包装材料、容器、运输工具等包装、贮存、运输食品、食品添加剂；</w:t>
      </w:r>
    </w:p>
    <w:p w14:paraId="0C78CE6A">
      <w:pPr>
        <w:keepNext w:val="0"/>
        <w:keepLines w:val="0"/>
        <w:pageBreakBefore w:val="0"/>
        <w:widowControl w:val="0"/>
        <w:kinsoku w:val="0"/>
        <w:wordWrap/>
        <w:overflowPunct/>
        <w:topLinePunct/>
        <w:autoSpaceDE w:val="0"/>
        <w:autoSpaceDN/>
        <w:bidi w:val="0"/>
        <w:adjustRightInd/>
        <w:snapToGrid/>
        <w:spacing w:line="360" w:lineRule="auto"/>
        <w:ind w:left="0" w:right="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（9）篡改、标注虚假食品、食品添加剂生产日期、</w:t>
      </w:r>
      <w:r>
        <w:rPr>
          <w:rFonts w:hint="eastAsia" w:ascii="宋体" w:hAnsi="宋体" w:eastAsia="宋体" w:cs="宋体"/>
          <w:color w:val="auto"/>
          <w:spacing w:val="-1"/>
          <w:sz w:val="21"/>
          <w:szCs w:val="21"/>
          <w:highlight w:val="none"/>
        </w:rPr>
        <w:t>保质期，或者使用超过保质期的食品、食</w:t>
      </w:r>
      <w:r>
        <w:rPr>
          <w:rFonts w:hint="eastAsia" w:ascii="宋体" w:hAnsi="宋体" w:eastAsia="宋体" w:cs="宋体"/>
          <w:color w:val="auto"/>
          <w:spacing w:val="-15"/>
          <w:sz w:val="21"/>
          <w:szCs w:val="21"/>
          <w:highlight w:val="none"/>
        </w:rPr>
        <w:t>品添加剂；</w:t>
      </w:r>
    </w:p>
    <w:p w14:paraId="41A82852">
      <w:pPr>
        <w:keepNext w:val="0"/>
        <w:keepLines w:val="0"/>
        <w:pageBreakBefore w:val="0"/>
        <w:widowControl w:val="0"/>
        <w:kinsoku w:val="0"/>
        <w:wordWrap/>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（10）使用无标签的预包装食品、食品添加</w:t>
      </w:r>
      <w:r>
        <w:rPr>
          <w:rFonts w:hint="eastAsia" w:ascii="宋体" w:hAnsi="宋体" w:eastAsia="宋体" w:cs="宋体"/>
          <w:color w:val="auto"/>
          <w:spacing w:val="-4"/>
          <w:sz w:val="21"/>
          <w:szCs w:val="21"/>
          <w:highlight w:val="none"/>
        </w:rPr>
        <w:t>剂；</w:t>
      </w:r>
    </w:p>
    <w:p w14:paraId="331DB5FB">
      <w:pPr>
        <w:keepNext w:val="0"/>
        <w:keepLines w:val="0"/>
        <w:pageBreakBefore w:val="0"/>
        <w:widowControl w:val="0"/>
        <w:kinsoku w:val="0"/>
        <w:wordWrap/>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（11）使用国家为防病等特殊需要明令禁止生产经营的食品；</w:t>
      </w:r>
    </w:p>
    <w:p w14:paraId="1CE9531D">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（12）采购、使用其他不符合法律、法规或者食品安全标准的</w:t>
      </w:r>
      <w:r>
        <w:rPr>
          <w:rFonts w:hint="eastAsia" w:ascii="宋体" w:hAnsi="宋体" w:eastAsia="宋体" w:cs="宋体"/>
          <w:color w:val="auto"/>
          <w:spacing w:val="-3"/>
          <w:sz w:val="21"/>
          <w:szCs w:val="21"/>
          <w:highlight w:val="none"/>
        </w:rPr>
        <w:t>食品、食品添加剂、食品相关产</w:t>
      </w:r>
      <w:r>
        <w:rPr>
          <w:rFonts w:hint="eastAsia" w:ascii="宋体" w:hAnsi="宋体" w:eastAsia="宋体" w:cs="宋体"/>
          <w:color w:val="auto"/>
          <w:spacing w:val="-23"/>
          <w:sz w:val="21"/>
          <w:szCs w:val="21"/>
          <w:highlight w:val="none"/>
        </w:rPr>
        <w:t>品；</w:t>
      </w:r>
    </w:p>
    <w:p w14:paraId="24187DD5">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（13）食材提供者在一年内累计</w:t>
      </w:r>
      <w:r>
        <w:rPr>
          <w:rFonts w:hint="eastAsia" w:ascii="宋体" w:hAnsi="宋体" w:eastAsia="宋体" w:cs="宋体"/>
          <w:color w:val="auto"/>
          <w:spacing w:val="-2"/>
          <w:sz w:val="21"/>
          <w:szCs w:val="21"/>
          <w:highlight w:val="none"/>
          <w:u w:val="single" w:color="auto"/>
        </w:rPr>
        <w:t xml:space="preserve"> </w:t>
      </w:r>
      <w:r>
        <w:rPr>
          <w:rFonts w:hint="eastAsia" w:ascii="宋体" w:hAnsi="宋体" w:cs="宋体"/>
          <w:color w:val="auto"/>
          <w:spacing w:val="-2"/>
          <w:sz w:val="21"/>
          <w:szCs w:val="21"/>
          <w:highlight w:val="none"/>
          <w:u w:val="single" w:color="auto"/>
          <w:lang w:val="en-US" w:eastAsia="zh-CN"/>
        </w:rPr>
        <w:t>1</w:t>
      </w:r>
      <w:r>
        <w:rPr>
          <w:rFonts w:hint="eastAsia" w:ascii="宋体" w:hAnsi="宋体" w:eastAsia="宋体" w:cs="宋体"/>
          <w:color w:val="auto"/>
          <w:spacing w:val="-2"/>
          <w:sz w:val="21"/>
          <w:szCs w:val="21"/>
          <w:highlight w:val="none"/>
          <w:u w:val="single" w:color="auto"/>
        </w:rPr>
        <w:t xml:space="preserve"> </w:t>
      </w:r>
      <w:r>
        <w:rPr>
          <w:rFonts w:hint="eastAsia" w:ascii="宋体" w:hAnsi="宋体" w:cs="宋体"/>
          <w:color w:val="auto"/>
          <w:spacing w:val="-2"/>
          <w:sz w:val="21"/>
          <w:szCs w:val="21"/>
          <w:highlight w:val="none"/>
          <w:u w:val="none" w:color="auto"/>
          <w:lang w:val="en-US" w:eastAsia="zh-CN"/>
        </w:rPr>
        <w:t>次</w:t>
      </w:r>
      <w:r>
        <w:rPr>
          <w:rFonts w:hint="eastAsia" w:ascii="宋体" w:hAnsi="宋体" w:eastAsia="宋体" w:cs="宋体"/>
          <w:color w:val="auto"/>
          <w:spacing w:val="-2"/>
          <w:sz w:val="21"/>
          <w:szCs w:val="21"/>
          <w:highlight w:val="none"/>
        </w:rPr>
        <w:t>因违反食品安全法规定受到行政处罚或因食品安全犯罪被</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2"/>
          <w:sz w:val="21"/>
          <w:szCs w:val="21"/>
          <w:highlight w:val="none"/>
        </w:rPr>
        <w:t>判处有期徒刑以上刑罚的，甲方有权立即解除合同。由此造成甲方的损失和影响，由乙方承担全</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0"/>
          <w:sz w:val="21"/>
          <w:szCs w:val="21"/>
          <w:highlight w:val="none"/>
        </w:rPr>
        <w:t>部责任。</w:t>
      </w:r>
    </w:p>
    <w:p w14:paraId="509BDF04">
      <w:pPr>
        <w:keepNext w:val="0"/>
        <w:keepLines w:val="0"/>
        <w:pageBreakBefore w:val="0"/>
        <w:widowControl w:val="0"/>
        <w:kinsoku w:val="0"/>
        <w:wordWrap/>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（14）发生转包、分包，或擅自更换履约人</w:t>
      </w:r>
      <w:r>
        <w:rPr>
          <w:rFonts w:hint="eastAsia" w:ascii="宋体" w:hAnsi="宋体" w:eastAsia="宋体" w:cs="宋体"/>
          <w:color w:val="auto"/>
          <w:spacing w:val="-4"/>
          <w:sz w:val="21"/>
          <w:szCs w:val="21"/>
          <w:highlight w:val="none"/>
        </w:rPr>
        <w:t>的；</w:t>
      </w:r>
    </w:p>
    <w:p w14:paraId="627471B0">
      <w:pPr>
        <w:keepNext w:val="0"/>
        <w:keepLines w:val="0"/>
        <w:pageBreakBefore w:val="0"/>
        <w:widowControl w:val="0"/>
        <w:kinsoku w:val="0"/>
        <w:wordWrap/>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（15）发生食品安全事件（舆情）影响恶劣</w:t>
      </w:r>
      <w:r>
        <w:rPr>
          <w:rFonts w:hint="eastAsia" w:ascii="宋体" w:hAnsi="宋体" w:eastAsia="宋体" w:cs="宋体"/>
          <w:color w:val="auto"/>
          <w:spacing w:val="-4"/>
          <w:sz w:val="21"/>
          <w:szCs w:val="21"/>
          <w:highlight w:val="none"/>
        </w:rPr>
        <w:t>的；</w:t>
      </w:r>
    </w:p>
    <w:p w14:paraId="618A794B">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（16）其他：</w:t>
      </w:r>
      <w:r>
        <w:rPr>
          <w:rFonts w:hint="eastAsia" w:ascii="宋体" w:hAnsi="宋体" w:eastAsia="宋体" w:cs="宋体"/>
          <w:color w:val="auto"/>
          <w:spacing w:val="1"/>
          <w:sz w:val="21"/>
          <w:szCs w:val="21"/>
          <w:highlight w:val="none"/>
          <w:u w:val="single" w:color="auto"/>
        </w:rPr>
        <w:t xml:space="preserve"> 解除合同的通知到达乙方登记地址之日合同解除</w:t>
      </w:r>
      <w:r>
        <w:rPr>
          <w:rFonts w:hint="eastAsia" w:ascii="宋体" w:hAnsi="宋体" w:eastAsia="宋体" w:cs="宋体"/>
          <w:color w:val="auto"/>
          <w:sz w:val="21"/>
          <w:szCs w:val="21"/>
          <w:highlight w:val="none"/>
          <w:u w:val="single" w:color="auto"/>
        </w:rPr>
        <w:t xml:space="preserve"> </w:t>
      </w:r>
      <w:r>
        <w:rPr>
          <w:rFonts w:hint="eastAsia" w:ascii="宋体" w:hAnsi="宋体" w:eastAsia="宋体" w:cs="宋体"/>
          <w:color w:val="auto"/>
          <w:spacing w:val="-2"/>
          <w:sz w:val="21"/>
          <w:szCs w:val="21"/>
          <w:highlight w:val="none"/>
        </w:rPr>
        <w:t>。</w:t>
      </w:r>
    </w:p>
    <w:p w14:paraId="393A86FD">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textAlignment w:val="baseline"/>
        <w:outlineLvl w:val="1"/>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十、考核评价</w:t>
      </w:r>
    </w:p>
    <w:p w14:paraId="50A317D0">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outlineLvl w:val="1"/>
        <w:rPr>
          <w:rFonts w:hint="eastAsia" w:ascii="宋体" w:hAnsi="宋体" w:eastAsia="宋体" w:cs="宋体"/>
          <w:b w:val="0"/>
          <w:bCs w:val="0"/>
          <w:color w:val="auto"/>
          <w:spacing w:val="-2"/>
          <w:sz w:val="21"/>
          <w:szCs w:val="21"/>
          <w:highlight w:val="none"/>
        </w:rPr>
      </w:pPr>
      <w:r>
        <w:rPr>
          <w:rFonts w:hint="eastAsia" w:ascii="宋体" w:hAnsi="宋体" w:eastAsia="宋体" w:cs="宋体"/>
          <w:b w:val="0"/>
          <w:bCs w:val="0"/>
          <w:color w:val="auto"/>
          <w:spacing w:val="-2"/>
          <w:sz w:val="21"/>
          <w:szCs w:val="21"/>
          <w:highlight w:val="none"/>
        </w:rPr>
        <w:t>每一学年，由甲方对乙方实施学年度评价，制定详细的考核办法、退出机制和应急预案，采取自行或委托第三方机构的方式开展考核工作。在供货过程中若发现假冒伪劣、不合格食材等问题严重的，因所供应大宗食材直接造成食品安全事故的，在学年度评价或考核中不合格达到退出条件的，应取消乙方供货资格、终止签订的合同并追究乙方造成的损失及法律责任，甲方及时向教育部门报告，列入供应商不良记录清单。</w:t>
      </w:r>
    </w:p>
    <w:p w14:paraId="26FC382E">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textAlignment w:val="baseline"/>
        <w:outlineLvl w:val="1"/>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十</w:t>
      </w:r>
      <w:r>
        <w:rPr>
          <w:rFonts w:hint="eastAsia" w:ascii="宋体" w:hAnsi="宋体" w:cs="宋体"/>
          <w:b/>
          <w:bCs/>
          <w:color w:val="auto"/>
          <w:spacing w:val="-2"/>
          <w:sz w:val="21"/>
          <w:szCs w:val="21"/>
          <w:highlight w:val="none"/>
          <w:lang w:val="en-US" w:eastAsia="zh-CN"/>
        </w:rPr>
        <w:t>一</w:t>
      </w:r>
      <w:r>
        <w:rPr>
          <w:rFonts w:hint="eastAsia" w:ascii="宋体" w:hAnsi="宋体" w:eastAsia="宋体" w:cs="宋体"/>
          <w:b/>
          <w:bCs/>
          <w:color w:val="auto"/>
          <w:spacing w:val="-2"/>
          <w:sz w:val="21"/>
          <w:szCs w:val="21"/>
          <w:highlight w:val="none"/>
        </w:rPr>
        <w:t>、不可抗力</w:t>
      </w:r>
    </w:p>
    <w:p w14:paraId="0ABFDC5A">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outlineLvl w:val="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（一）甲乙任何一方因不可抗力不能履行合同的，根据不可抗力的影响，部分或者全部免</w:t>
      </w:r>
      <w:r>
        <w:rPr>
          <w:rFonts w:hint="eastAsia" w:ascii="宋体" w:hAnsi="宋体" w:eastAsia="宋体" w:cs="宋体"/>
          <w:color w:val="auto"/>
          <w:spacing w:val="-3"/>
          <w:sz w:val="21"/>
          <w:szCs w:val="21"/>
          <w:highlight w:val="none"/>
        </w:rPr>
        <w:t>除责</w:t>
      </w:r>
      <w:r>
        <w:rPr>
          <w:rFonts w:hint="eastAsia" w:ascii="宋体" w:hAnsi="宋体" w:eastAsia="宋体" w:cs="宋体"/>
          <w:color w:val="auto"/>
          <w:spacing w:val="-4"/>
          <w:sz w:val="21"/>
          <w:szCs w:val="21"/>
          <w:highlight w:val="none"/>
        </w:rPr>
        <w:t>任，但法律另有规定的除外。</w:t>
      </w:r>
    </w:p>
    <w:p w14:paraId="527E5175">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（二）甲乙任何一方遇到不可抗力使其履行合同义务受到阻碍的，应及时通知合同另一方</w:t>
      </w:r>
      <w:r>
        <w:rPr>
          <w:rFonts w:hint="eastAsia" w:ascii="宋体" w:hAnsi="宋体" w:eastAsia="宋体" w:cs="宋体"/>
          <w:color w:val="auto"/>
          <w:spacing w:val="-3"/>
          <w:sz w:val="21"/>
          <w:szCs w:val="21"/>
          <w:highlight w:val="none"/>
        </w:rPr>
        <w:t>，书</w:t>
      </w:r>
      <w:r>
        <w:rPr>
          <w:rFonts w:hint="eastAsia" w:ascii="宋体" w:hAnsi="宋体" w:eastAsia="宋体" w:cs="宋体"/>
          <w:color w:val="auto"/>
          <w:spacing w:val="-2"/>
          <w:sz w:val="21"/>
          <w:szCs w:val="21"/>
          <w:highlight w:val="none"/>
        </w:rPr>
        <w:t>面说明不可抗力和受阻碍的详细情况，并在合理期限内提供必要的证明。</w:t>
      </w:r>
    </w:p>
    <w:p w14:paraId="7D5BA41B">
      <w:pPr>
        <w:keepNext w:val="0"/>
        <w:keepLines w:val="0"/>
        <w:pageBreakBefore w:val="0"/>
        <w:widowControl w:val="0"/>
        <w:kinsoku w:val="0"/>
        <w:wordWrap/>
        <w:overflowPunct/>
        <w:topLinePunct/>
        <w:autoSpaceDE w:val="0"/>
        <w:autoSpaceDN/>
        <w:bidi w:val="0"/>
        <w:adjustRightInd/>
        <w:snapToGrid/>
        <w:spacing w:line="360" w:lineRule="auto"/>
        <w:ind w:left="0" w:right="0" w:firstLine="408"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2"/>
          <w:sz w:val="21"/>
          <w:szCs w:val="21"/>
          <w:highlight w:val="none"/>
        </w:rPr>
        <w:t>三）不可抗力发生后，甲乙双方均应采取措施尽量避免和减少损失的扩大，任何一方没</w:t>
      </w:r>
      <w:r>
        <w:rPr>
          <w:rFonts w:hint="eastAsia" w:ascii="宋体" w:hAnsi="宋体" w:eastAsia="宋体" w:cs="宋体"/>
          <w:color w:val="auto"/>
          <w:spacing w:val="-3"/>
          <w:sz w:val="21"/>
          <w:szCs w:val="21"/>
          <w:highlight w:val="none"/>
        </w:rPr>
        <w:t>有</w:t>
      </w:r>
      <w:r>
        <w:rPr>
          <w:rFonts w:hint="eastAsia" w:ascii="宋体" w:hAnsi="宋体" w:eastAsia="宋体" w:cs="宋体"/>
          <w:color w:val="auto"/>
          <w:spacing w:val="-2"/>
          <w:sz w:val="21"/>
          <w:szCs w:val="21"/>
          <w:highlight w:val="none"/>
        </w:rPr>
        <w:t>采取适当措施导致损失扩大的，应对扩大的损失承担</w:t>
      </w:r>
      <w:r>
        <w:rPr>
          <w:rFonts w:hint="eastAsia" w:ascii="宋体" w:hAnsi="宋体" w:eastAsia="宋体" w:cs="宋体"/>
          <w:color w:val="auto"/>
          <w:spacing w:val="-3"/>
          <w:sz w:val="21"/>
          <w:szCs w:val="21"/>
          <w:highlight w:val="none"/>
        </w:rPr>
        <w:t>责任。</w:t>
      </w:r>
    </w:p>
    <w:p w14:paraId="7896DE68">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（四）因一方迟延履行合同义务，在迟延履行期间遭遇不可抗力的，不免除迟延履行方的</w:t>
      </w:r>
      <w:r>
        <w:rPr>
          <w:rFonts w:hint="eastAsia" w:ascii="宋体" w:hAnsi="宋体" w:eastAsia="宋体" w:cs="宋体"/>
          <w:color w:val="auto"/>
          <w:spacing w:val="-3"/>
          <w:sz w:val="21"/>
          <w:szCs w:val="21"/>
          <w:highlight w:val="none"/>
        </w:rPr>
        <w:t>违约</w:t>
      </w:r>
      <w:r>
        <w:rPr>
          <w:rFonts w:hint="eastAsia" w:ascii="宋体" w:hAnsi="宋体" w:eastAsia="宋体" w:cs="宋体"/>
          <w:color w:val="auto"/>
          <w:spacing w:val="-13"/>
          <w:sz w:val="21"/>
          <w:szCs w:val="21"/>
          <w:highlight w:val="none"/>
        </w:rPr>
        <w:t>责任。</w:t>
      </w:r>
    </w:p>
    <w:p w14:paraId="139D97B6">
      <w:pPr>
        <w:keepNext w:val="0"/>
        <w:keepLines w:val="0"/>
        <w:pageBreakBefore w:val="0"/>
        <w:widowControl w:val="0"/>
        <w:kinsoku w:val="0"/>
        <w:wordWrap/>
        <w:overflowPunct/>
        <w:topLinePunct/>
        <w:autoSpaceDE w:val="0"/>
        <w:autoSpaceDN/>
        <w:bidi w:val="0"/>
        <w:adjustRightInd/>
        <w:snapToGrid/>
        <w:spacing w:line="360" w:lineRule="auto"/>
        <w:ind w:left="0" w:right="0" w:firstLine="41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（五）不可抗力发生前已完成的供货服务应按</w:t>
      </w:r>
      <w:r>
        <w:rPr>
          <w:rFonts w:hint="eastAsia" w:ascii="宋体" w:hAnsi="宋体" w:eastAsia="宋体" w:cs="宋体"/>
          <w:color w:val="auto"/>
          <w:spacing w:val="-2"/>
          <w:sz w:val="21"/>
          <w:szCs w:val="21"/>
          <w:highlight w:val="none"/>
        </w:rPr>
        <w:t>照合同约定进行货款支付。</w:t>
      </w:r>
    </w:p>
    <w:p w14:paraId="70FBD2A7">
      <w:pPr>
        <w:keepNext w:val="0"/>
        <w:keepLines w:val="0"/>
        <w:pageBreakBefore w:val="0"/>
        <w:widowControl w:val="0"/>
        <w:kinsoku w:val="0"/>
        <w:wordWrap/>
        <w:overflowPunct/>
        <w:topLinePunct/>
        <w:autoSpaceDE w:val="0"/>
        <w:autoSpaceDN/>
        <w:bidi w:val="0"/>
        <w:adjustRightInd/>
        <w:snapToGrid/>
        <w:spacing w:line="360" w:lineRule="auto"/>
        <w:ind w:left="0" w:right="0" w:firstLine="410"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3"/>
          <w:sz w:val="21"/>
          <w:szCs w:val="21"/>
          <w:highlight w:val="none"/>
        </w:rPr>
        <w:t>十</w:t>
      </w:r>
      <w:r>
        <w:rPr>
          <w:rFonts w:hint="eastAsia" w:ascii="宋体" w:hAnsi="宋体" w:cs="宋体"/>
          <w:b/>
          <w:bCs/>
          <w:color w:val="auto"/>
          <w:spacing w:val="-3"/>
          <w:sz w:val="21"/>
          <w:szCs w:val="21"/>
          <w:highlight w:val="none"/>
          <w:lang w:val="en-US" w:eastAsia="zh-CN"/>
        </w:rPr>
        <w:t>二</w:t>
      </w:r>
      <w:r>
        <w:rPr>
          <w:rFonts w:hint="eastAsia" w:ascii="宋体" w:hAnsi="宋体" w:eastAsia="宋体" w:cs="宋体"/>
          <w:b/>
          <w:bCs/>
          <w:color w:val="auto"/>
          <w:spacing w:val="-3"/>
          <w:sz w:val="21"/>
          <w:szCs w:val="21"/>
          <w:highlight w:val="none"/>
        </w:rPr>
        <w:t>、争议解决</w:t>
      </w:r>
    </w:p>
    <w:p w14:paraId="1E488286">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pacing w:val="-15"/>
          <w:sz w:val="21"/>
          <w:szCs w:val="21"/>
          <w:highlight w:val="none"/>
        </w:rPr>
      </w:pPr>
      <w:r>
        <w:rPr>
          <w:rFonts w:hint="eastAsia" w:ascii="宋体" w:hAnsi="宋体" w:eastAsia="宋体" w:cs="宋体"/>
          <w:color w:val="auto"/>
          <w:spacing w:val="-2"/>
          <w:sz w:val="21"/>
          <w:szCs w:val="21"/>
          <w:highlight w:val="none"/>
        </w:rPr>
        <w:t>因本合同项下发生的争议，双方应当协商解决，协商解决不成，双方选择下列第</w:t>
      </w:r>
      <w:r>
        <w:rPr>
          <w:rFonts w:hint="eastAsia" w:ascii="宋体" w:hAnsi="宋体" w:eastAsia="宋体" w:cs="宋体"/>
          <w:color w:val="auto"/>
          <w:spacing w:val="-2"/>
          <w:sz w:val="21"/>
          <w:szCs w:val="21"/>
          <w:highlight w:val="none"/>
          <w:u w:val="single" w:color="auto"/>
        </w:rPr>
        <w:t xml:space="preserve"> </w:t>
      </w:r>
      <w:r>
        <w:rPr>
          <w:rFonts w:hint="eastAsia" w:ascii="宋体" w:hAnsi="宋体" w:cs="宋体"/>
          <w:color w:val="auto"/>
          <w:spacing w:val="-2"/>
          <w:sz w:val="21"/>
          <w:szCs w:val="21"/>
          <w:highlight w:val="none"/>
          <w:u w:val="single" w:color="auto"/>
          <w:lang w:eastAsia="zh-CN"/>
        </w:rPr>
        <w:t>（</w:t>
      </w:r>
      <w:r>
        <w:rPr>
          <w:rFonts w:hint="eastAsia" w:ascii="宋体" w:hAnsi="宋体" w:cs="宋体"/>
          <w:color w:val="auto"/>
          <w:spacing w:val="-2"/>
          <w:sz w:val="21"/>
          <w:szCs w:val="21"/>
          <w:highlight w:val="none"/>
          <w:u w:val="single" w:color="auto"/>
          <w:lang w:val="en-US" w:eastAsia="zh-CN"/>
        </w:rPr>
        <w:t>二</w:t>
      </w:r>
      <w:r>
        <w:rPr>
          <w:rFonts w:hint="eastAsia" w:ascii="宋体" w:hAnsi="宋体" w:cs="宋体"/>
          <w:color w:val="auto"/>
          <w:spacing w:val="-2"/>
          <w:sz w:val="21"/>
          <w:szCs w:val="21"/>
          <w:highlight w:val="none"/>
          <w:u w:val="single" w:color="auto"/>
          <w:lang w:eastAsia="zh-CN"/>
        </w:rPr>
        <w:t>）</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3"/>
          <w:sz w:val="21"/>
          <w:szCs w:val="21"/>
          <w:highlight w:val="none"/>
        </w:rPr>
        <w:t>种方式</w:t>
      </w:r>
      <w:r>
        <w:rPr>
          <w:rFonts w:hint="eastAsia" w:ascii="宋体" w:hAnsi="宋体" w:eastAsia="宋体" w:cs="宋体"/>
          <w:color w:val="auto"/>
          <w:spacing w:val="-15"/>
          <w:sz w:val="21"/>
          <w:szCs w:val="21"/>
          <w:highlight w:val="none"/>
        </w:rPr>
        <w:t>解决：</w:t>
      </w:r>
    </w:p>
    <w:p w14:paraId="1134C952">
      <w:pPr>
        <w:keepNext w:val="0"/>
        <w:keepLines w:val="0"/>
        <w:pageBreakBefore w:val="0"/>
        <w:widowControl w:val="0"/>
        <w:kinsoku w:val="0"/>
        <w:wordWrap/>
        <w:overflowPunct/>
        <w:topLinePunct/>
        <w:autoSpaceDE w:val="0"/>
        <w:autoSpaceDN/>
        <w:bidi w:val="0"/>
        <w:adjustRightInd/>
        <w:snapToGrid/>
        <w:spacing w:line="360" w:lineRule="auto"/>
        <w:ind w:left="0" w:right="0" w:firstLine="368" w:firstLineChars="200"/>
        <w:textAlignment w:val="baseline"/>
        <w:rPr>
          <w:rFonts w:hint="eastAsia" w:ascii="宋体" w:hAnsi="宋体" w:eastAsia="宋体" w:cs="宋体"/>
          <w:color w:val="auto"/>
          <w:spacing w:val="-13"/>
          <w:sz w:val="21"/>
          <w:szCs w:val="21"/>
          <w:highlight w:val="none"/>
        </w:rPr>
      </w:pPr>
      <w:r>
        <w:rPr>
          <w:rFonts w:hint="eastAsia" w:ascii="宋体" w:hAnsi="宋体" w:cs="宋体"/>
          <w:color w:val="auto"/>
          <w:spacing w:val="-13"/>
          <w:sz w:val="21"/>
          <w:szCs w:val="21"/>
          <w:highlight w:val="none"/>
          <w:lang w:eastAsia="zh-CN"/>
        </w:rPr>
        <w:t>（</w:t>
      </w:r>
      <w:r>
        <w:rPr>
          <w:rFonts w:hint="eastAsia" w:ascii="宋体" w:hAnsi="宋体" w:cs="宋体"/>
          <w:color w:val="auto"/>
          <w:spacing w:val="-13"/>
          <w:sz w:val="21"/>
          <w:szCs w:val="21"/>
          <w:highlight w:val="none"/>
          <w:lang w:val="en-US" w:eastAsia="zh-CN"/>
        </w:rPr>
        <w:t>一</w:t>
      </w:r>
      <w:r>
        <w:rPr>
          <w:rFonts w:hint="eastAsia" w:ascii="宋体" w:hAnsi="宋体" w:cs="宋体"/>
          <w:color w:val="auto"/>
          <w:spacing w:val="-13"/>
          <w:sz w:val="21"/>
          <w:szCs w:val="21"/>
          <w:highlight w:val="none"/>
          <w:lang w:eastAsia="zh-CN"/>
        </w:rPr>
        <w:t>）</w:t>
      </w:r>
      <w:r>
        <w:rPr>
          <w:rFonts w:hint="eastAsia" w:ascii="宋体" w:hAnsi="宋体" w:eastAsia="宋体" w:cs="宋体"/>
          <w:color w:val="auto"/>
          <w:spacing w:val="-13"/>
          <w:sz w:val="21"/>
          <w:szCs w:val="21"/>
          <w:highlight w:val="none"/>
        </w:rPr>
        <w:t>向</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1"/>
          <w:sz w:val="21"/>
          <w:szCs w:val="21"/>
          <w:highlight w:val="none"/>
          <w:u w:val="single" w:color="auto"/>
        </w:rPr>
        <w:t xml:space="preserve"> </w:t>
      </w:r>
      <w:r>
        <w:rPr>
          <w:rFonts w:hint="eastAsia" w:ascii="宋体" w:hAnsi="宋体" w:cs="宋体"/>
          <w:color w:val="auto"/>
          <w:spacing w:val="1"/>
          <w:sz w:val="21"/>
          <w:szCs w:val="21"/>
          <w:highlight w:val="none"/>
          <w:u w:val="single" w:color="auto"/>
          <w:lang w:val="en-US" w:eastAsia="zh-CN"/>
        </w:rPr>
        <w:t>项目所在地</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39"/>
          <w:sz w:val="21"/>
          <w:szCs w:val="21"/>
          <w:highlight w:val="none"/>
        </w:rPr>
        <w:t xml:space="preserve"> </w:t>
      </w:r>
      <w:r>
        <w:rPr>
          <w:rFonts w:hint="eastAsia" w:ascii="宋体" w:hAnsi="宋体" w:eastAsia="宋体" w:cs="宋体"/>
          <w:color w:val="auto"/>
          <w:spacing w:val="-13"/>
          <w:sz w:val="21"/>
          <w:szCs w:val="21"/>
          <w:highlight w:val="none"/>
        </w:rPr>
        <w:t>仲裁委员会申请仲裁。</w:t>
      </w:r>
    </w:p>
    <w:p w14:paraId="56B82211">
      <w:pPr>
        <w:keepNext w:val="0"/>
        <w:keepLines w:val="0"/>
        <w:pageBreakBefore w:val="0"/>
        <w:widowControl w:val="0"/>
        <w:kinsoku w:val="0"/>
        <w:wordWrap/>
        <w:overflowPunct/>
        <w:topLinePunct/>
        <w:autoSpaceDE w:val="0"/>
        <w:autoSpaceDN/>
        <w:bidi w:val="0"/>
        <w:adjustRightInd/>
        <w:snapToGrid/>
        <w:spacing w:line="360" w:lineRule="auto"/>
        <w:ind w:left="0" w:right="0" w:firstLine="388" w:firstLineChars="200"/>
        <w:textAlignment w:val="baseline"/>
        <w:rPr>
          <w:rFonts w:hint="eastAsia" w:ascii="宋体" w:hAnsi="宋体" w:eastAsia="宋体" w:cs="宋体"/>
          <w:color w:val="auto"/>
          <w:sz w:val="21"/>
          <w:szCs w:val="21"/>
          <w:highlight w:val="none"/>
        </w:rPr>
      </w:pPr>
      <w:r>
        <w:rPr>
          <w:rFonts w:hint="eastAsia" w:ascii="宋体" w:hAnsi="宋体" w:cs="宋体"/>
          <w:color w:val="auto"/>
          <w:spacing w:val="-8"/>
          <w:sz w:val="21"/>
          <w:szCs w:val="21"/>
          <w:highlight w:val="none"/>
          <w:lang w:eastAsia="zh-CN"/>
        </w:rPr>
        <w:t>（</w:t>
      </w:r>
      <w:r>
        <w:rPr>
          <w:rFonts w:hint="eastAsia" w:ascii="宋体" w:hAnsi="宋体" w:cs="宋体"/>
          <w:color w:val="auto"/>
          <w:spacing w:val="-8"/>
          <w:sz w:val="21"/>
          <w:szCs w:val="21"/>
          <w:highlight w:val="none"/>
          <w:lang w:val="en-US" w:eastAsia="zh-CN"/>
        </w:rPr>
        <w:t>二</w:t>
      </w:r>
      <w:r>
        <w:rPr>
          <w:rFonts w:hint="eastAsia" w:ascii="宋体" w:hAnsi="宋体" w:cs="宋体"/>
          <w:color w:val="auto"/>
          <w:spacing w:val="-8"/>
          <w:sz w:val="21"/>
          <w:szCs w:val="21"/>
          <w:highlight w:val="none"/>
          <w:lang w:eastAsia="zh-CN"/>
        </w:rPr>
        <w:t>）</w:t>
      </w:r>
      <w:r>
        <w:rPr>
          <w:rFonts w:hint="eastAsia" w:ascii="宋体" w:hAnsi="宋体" w:eastAsia="宋体" w:cs="宋体"/>
          <w:color w:val="auto"/>
          <w:spacing w:val="-8"/>
          <w:sz w:val="21"/>
          <w:szCs w:val="21"/>
          <w:highlight w:val="none"/>
        </w:rPr>
        <w:t>向</w:t>
      </w:r>
      <w:r>
        <w:rPr>
          <w:rFonts w:hint="eastAsia" w:ascii="宋体" w:hAnsi="宋体" w:eastAsia="宋体" w:cs="宋体"/>
          <w:color w:val="auto"/>
          <w:spacing w:val="1"/>
          <w:sz w:val="21"/>
          <w:szCs w:val="21"/>
          <w:highlight w:val="none"/>
          <w:u w:val="single" w:color="auto"/>
        </w:rPr>
        <w:t xml:space="preserve"> </w:t>
      </w:r>
      <w:r>
        <w:rPr>
          <w:rFonts w:hint="eastAsia" w:ascii="宋体" w:hAnsi="宋体" w:cs="宋体"/>
          <w:color w:val="auto"/>
          <w:spacing w:val="1"/>
          <w:sz w:val="21"/>
          <w:szCs w:val="21"/>
          <w:highlight w:val="none"/>
          <w:u w:val="single" w:color="auto"/>
          <w:lang w:val="en-US" w:eastAsia="zh-CN"/>
        </w:rPr>
        <w:t>临沧市临翔区</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8"/>
          <w:sz w:val="21"/>
          <w:szCs w:val="21"/>
          <w:highlight w:val="none"/>
        </w:rPr>
        <w:t>人民法院起诉。</w:t>
      </w:r>
    </w:p>
    <w:p w14:paraId="0D87F4A5">
      <w:pPr>
        <w:keepNext w:val="0"/>
        <w:keepLines w:val="0"/>
        <w:pageBreakBefore w:val="0"/>
        <w:widowControl w:val="0"/>
        <w:kinsoku w:val="0"/>
        <w:wordWrap/>
        <w:overflowPunct/>
        <w:topLinePunct/>
        <w:autoSpaceDE w:val="0"/>
        <w:autoSpaceDN/>
        <w:bidi w:val="0"/>
        <w:adjustRightInd/>
        <w:snapToGrid/>
        <w:spacing w:line="360" w:lineRule="auto"/>
        <w:ind w:left="0" w:right="0" w:firstLine="412" w:firstLineChars="200"/>
        <w:textAlignment w:val="baseline"/>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在诉讼或仲裁期间，本合同不涉及争议的条款仍然有效，双方应继续履行。</w:t>
      </w:r>
    </w:p>
    <w:p w14:paraId="05647BF8">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textAlignment w:val="baseline"/>
        <w:rPr>
          <w:rFonts w:hint="eastAsia" w:ascii="宋体" w:hAnsi="宋体" w:eastAsia="宋体" w:cs="宋体"/>
          <w:b/>
          <w:bCs/>
          <w:color w:val="auto"/>
          <w:sz w:val="21"/>
          <w:szCs w:val="21"/>
          <w:highlight w:val="none"/>
        </w:rPr>
      </w:pPr>
      <w:r>
        <w:rPr>
          <w:rFonts w:hint="eastAsia" w:ascii="宋体" w:hAnsi="宋体" w:eastAsia="宋体" w:cs="宋体"/>
          <w:b/>
          <w:bCs/>
          <w:color w:val="auto"/>
          <w:spacing w:val="-2"/>
          <w:sz w:val="21"/>
          <w:szCs w:val="21"/>
          <w:highlight w:val="none"/>
        </w:rPr>
        <w:t>十</w:t>
      </w:r>
      <w:r>
        <w:rPr>
          <w:rFonts w:hint="eastAsia" w:ascii="宋体" w:hAnsi="宋体" w:cs="宋体"/>
          <w:b/>
          <w:bCs/>
          <w:color w:val="auto"/>
          <w:spacing w:val="-2"/>
          <w:sz w:val="21"/>
          <w:szCs w:val="21"/>
          <w:highlight w:val="none"/>
          <w:lang w:val="en-US" w:eastAsia="zh-CN"/>
        </w:rPr>
        <w:t>三</w:t>
      </w:r>
      <w:r>
        <w:rPr>
          <w:rFonts w:hint="eastAsia" w:ascii="宋体" w:hAnsi="宋体" w:eastAsia="宋体" w:cs="宋体"/>
          <w:b/>
          <w:bCs/>
          <w:color w:val="auto"/>
          <w:spacing w:val="-2"/>
          <w:sz w:val="21"/>
          <w:szCs w:val="21"/>
          <w:highlight w:val="none"/>
        </w:rPr>
        <w:t>、合同生效方式</w:t>
      </w:r>
    </w:p>
    <w:p w14:paraId="07D31A9E">
      <w:pPr>
        <w:keepNext w:val="0"/>
        <w:keepLines w:val="0"/>
        <w:pageBreakBefore w:val="0"/>
        <w:widowControl w:val="0"/>
        <w:kinsoku w:val="0"/>
        <w:wordWrap/>
        <w:overflowPunct/>
        <w:topLinePunct/>
        <w:autoSpaceDE w:val="0"/>
        <w:autoSpaceDN/>
        <w:bidi w:val="0"/>
        <w:adjustRightInd/>
        <w:snapToGrid/>
        <w:spacing w:line="360" w:lineRule="auto"/>
        <w:ind w:left="0" w:right="0" w:firstLine="404"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（一）本合同经双方法定代表人或者委托</w:t>
      </w:r>
      <w:r>
        <w:rPr>
          <w:rFonts w:hint="eastAsia" w:ascii="宋体" w:hAnsi="宋体" w:eastAsia="宋体" w:cs="宋体"/>
          <w:color w:val="auto"/>
          <w:spacing w:val="-5"/>
          <w:sz w:val="21"/>
          <w:szCs w:val="21"/>
          <w:highlight w:val="none"/>
        </w:rPr>
        <w:t>代理人签名并加盖公章后生效。</w:t>
      </w:r>
    </w:p>
    <w:p w14:paraId="0BEF8B11">
      <w:pPr>
        <w:keepNext w:val="0"/>
        <w:keepLines w:val="0"/>
        <w:pageBreakBefore w:val="0"/>
        <w:widowControl w:val="0"/>
        <w:kinsoku w:val="0"/>
        <w:wordWrap/>
        <w:overflowPunct/>
        <w:topLinePunct/>
        <w:autoSpaceDE w:val="0"/>
        <w:autoSpaceDN/>
        <w:bidi w:val="0"/>
        <w:adjustRightInd/>
        <w:snapToGrid/>
        <w:spacing w:line="360" w:lineRule="auto"/>
        <w:ind w:left="0" w:right="0" w:firstLine="41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（二）本合同一式</w:t>
      </w:r>
      <w:r>
        <w:rPr>
          <w:rFonts w:hint="eastAsia" w:ascii="宋体" w:hAnsi="宋体" w:eastAsia="宋体" w:cs="宋体"/>
          <w:color w:val="auto"/>
          <w:spacing w:val="-61"/>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cs="宋体"/>
          <w:color w:val="auto"/>
          <w:spacing w:val="3"/>
          <w:sz w:val="21"/>
          <w:szCs w:val="21"/>
          <w:highlight w:val="none"/>
          <w:u w:val="single" w:color="auto"/>
          <w:lang w:val="en-US" w:eastAsia="zh-CN"/>
        </w:rPr>
        <w:t>伍</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53"/>
          <w:sz w:val="21"/>
          <w:szCs w:val="21"/>
          <w:highlight w:val="none"/>
        </w:rPr>
        <w:t xml:space="preserve"> </w:t>
      </w:r>
      <w:r>
        <w:rPr>
          <w:rFonts w:hint="eastAsia" w:ascii="宋体" w:hAnsi="宋体" w:eastAsia="宋体" w:cs="宋体"/>
          <w:color w:val="auto"/>
          <w:spacing w:val="-1"/>
          <w:sz w:val="21"/>
          <w:szCs w:val="21"/>
          <w:highlight w:val="none"/>
        </w:rPr>
        <w:t>份，具有同等法律效力；</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
          <w:sz w:val="21"/>
          <w:szCs w:val="21"/>
          <w:highlight w:val="none"/>
        </w:rPr>
        <w:t>其中甲方执</w:t>
      </w:r>
      <w:r>
        <w:rPr>
          <w:rFonts w:hint="eastAsia" w:ascii="宋体" w:hAnsi="宋体" w:eastAsia="宋体" w:cs="宋体"/>
          <w:color w:val="auto"/>
          <w:spacing w:val="-61"/>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cs="宋体"/>
          <w:color w:val="auto"/>
          <w:spacing w:val="3"/>
          <w:sz w:val="21"/>
          <w:szCs w:val="21"/>
          <w:highlight w:val="none"/>
          <w:u w:val="single" w:color="auto"/>
          <w:lang w:val="en-US" w:eastAsia="zh-CN"/>
        </w:rPr>
        <w:t>贰</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53"/>
          <w:sz w:val="21"/>
          <w:szCs w:val="21"/>
          <w:highlight w:val="none"/>
        </w:rPr>
        <w:t xml:space="preserve"> </w:t>
      </w:r>
      <w:r>
        <w:rPr>
          <w:rFonts w:hint="eastAsia" w:ascii="宋体" w:hAnsi="宋体" w:eastAsia="宋体" w:cs="宋体"/>
          <w:color w:val="auto"/>
          <w:spacing w:val="-1"/>
          <w:sz w:val="21"/>
          <w:szCs w:val="21"/>
          <w:highlight w:val="none"/>
        </w:rPr>
        <w:t>份，乙</w:t>
      </w:r>
      <w:r>
        <w:rPr>
          <w:rFonts w:hint="eastAsia" w:ascii="宋体" w:hAnsi="宋体" w:eastAsia="宋体" w:cs="宋体"/>
          <w:color w:val="auto"/>
          <w:spacing w:val="-2"/>
          <w:sz w:val="21"/>
          <w:szCs w:val="21"/>
          <w:highlight w:val="none"/>
        </w:rPr>
        <w:t>方执</w:t>
      </w:r>
      <w:r>
        <w:rPr>
          <w:rFonts w:hint="eastAsia" w:ascii="宋体" w:hAnsi="宋体" w:eastAsia="宋体" w:cs="宋体"/>
          <w:color w:val="auto"/>
          <w:spacing w:val="-61"/>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cs="宋体"/>
          <w:color w:val="auto"/>
          <w:spacing w:val="3"/>
          <w:sz w:val="21"/>
          <w:szCs w:val="21"/>
          <w:highlight w:val="none"/>
          <w:u w:val="single" w:color="auto"/>
          <w:lang w:val="en-US" w:eastAsia="zh-CN"/>
        </w:rPr>
        <w:t>贰</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53"/>
          <w:sz w:val="21"/>
          <w:szCs w:val="21"/>
          <w:highlight w:val="none"/>
        </w:rPr>
        <w:t xml:space="preserve"> </w:t>
      </w:r>
      <w:r>
        <w:rPr>
          <w:rFonts w:hint="eastAsia" w:ascii="宋体" w:hAnsi="宋体" w:eastAsia="宋体" w:cs="宋体"/>
          <w:color w:val="auto"/>
          <w:spacing w:val="-2"/>
          <w:sz w:val="21"/>
          <w:szCs w:val="21"/>
          <w:highlight w:val="none"/>
        </w:rPr>
        <w:t>份，</w:t>
      </w:r>
      <w:r>
        <w:rPr>
          <w:rFonts w:hint="eastAsia" w:ascii="宋体" w:hAnsi="宋体" w:eastAsia="宋体" w:cs="宋体"/>
          <w:color w:val="auto"/>
          <w:spacing w:val="-61"/>
          <w:sz w:val="21"/>
          <w:szCs w:val="21"/>
          <w:highlight w:val="none"/>
        </w:rPr>
        <w:t xml:space="preserve"> </w:t>
      </w:r>
      <w:r>
        <w:rPr>
          <w:rFonts w:hint="eastAsia" w:ascii="宋体" w:hAnsi="宋体" w:eastAsia="宋体" w:cs="宋体"/>
          <w:color w:val="auto"/>
          <w:spacing w:val="3"/>
          <w:sz w:val="21"/>
          <w:szCs w:val="21"/>
          <w:highlight w:val="none"/>
          <w:u w:val="single" w:color="auto"/>
        </w:rPr>
        <w:t xml:space="preserve"> </w:t>
      </w:r>
      <w:r>
        <w:rPr>
          <w:rFonts w:hint="eastAsia" w:ascii="宋体" w:hAnsi="宋体" w:cs="宋体"/>
          <w:color w:val="auto"/>
          <w:spacing w:val="3"/>
          <w:sz w:val="21"/>
          <w:szCs w:val="21"/>
          <w:highlight w:val="none"/>
          <w:u w:val="single" w:color="auto"/>
          <w:lang w:val="en-US" w:eastAsia="zh-CN"/>
        </w:rPr>
        <w:t>壹</w:t>
      </w:r>
      <w:r>
        <w:rPr>
          <w:rFonts w:hint="eastAsia" w:ascii="宋体" w:hAnsi="宋体" w:eastAsia="宋体" w:cs="宋体"/>
          <w:color w:val="auto"/>
          <w:spacing w:val="3"/>
          <w:sz w:val="21"/>
          <w:szCs w:val="21"/>
          <w:highlight w:val="none"/>
          <w:u w:val="single" w:color="auto"/>
        </w:rPr>
        <w:t xml:space="preserve"> </w:t>
      </w:r>
      <w:r>
        <w:rPr>
          <w:rFonts w:hint="eastAsia" w:ascii="宋体" w:hAnsi="宋体" w:eastAsia="宋体" w:cs="宋体"/>
          <w:color w:val="auto"/>
          <w:spacing w:val="-53"/>
          <w:sz w:val="21"/>
          <w:szCs w:val="21"/>
          <w:highlight w:val="none"/>
        </w:rPr>
        <w:t xml:space="preserve"> </w:t>
      </w:r>
      <w:r>
        <w:rPr>
          <w:rFonts w:hint="eastAsia" w:ascii="宋体" w:hAnsi="宋体" w:eastAsia="宋体" w:cs="宋体"/>
          <w:color w:val="auto"/>
          <w:spacing w:val="-2"/>
          <w:sz w:val="21"/>
          <w:szCs w:val="21"/>
          <w:highlight w:val="none"/>
        </w:rPr>
        <w:t>份</w:t>
      </w:r>
      <w:r>
        <w:rPr>
          <w:rFonts w:hint="eastAsia" w:ascii="宋体" w:hAnsi="宋体" w:cs="宋体"/>
          <w:color w:val="auto"/>
          <w:spacing w:val="-2"/>
          <w:sz w:val="21"/>
          <w:szCs w:val="21"/>
          <w:highlight w:val="none"/>
          <w:lang w:val="en-US" w:eastAsia="zh-CN"/>
        </w:rPr>
        <w:t>交由临翔区教育体育局保存留档，</w:t>
      </w:r>
      <w:r>
        <w:rPr>
          <w:rFonts w:hint="eastAsia" w:ascii="宋体" w:hAnsi="宋体" w:eastAsia="宋体" w:cs="宋体"/>
          <w:color w:val="auto"/>
          <w:spacing w:val="-2"/>
          <w:sz w:val="21"/>
          <w:szCs w:val="21"/>
          <w:highlight w:val="none"/>
        </w:rPr>
        <w:t>均具</w:t>
      </w:r>
      <w:r>
        <w:rPr>
          <w:rFonts w:hint="eastAsia" w:ascii="宋体" w:hAnsi="宋体" w:eastAsia="宋体" w:cs="宋体"/>
          <w:color w:val="auto"/>
          <w:spacing w:val="-6"/>
          <w:sz w:val="21"/>
          <w:szCs w:val="21"/>
          <w:highlight w:val="none"/>
        </w:rPr>
        <w:t>有相同的法律效力。</w:t>
      </w:r>
    </w:p>
    <w:p w14:paraId="4EA7A82B">
      <w:pPr>
        <w:keepNext w:val="0"/>
        <w:keepLines w:val="0"/>
        <w:pageBreakBefore w:val="0"/>
        <w:widowControl w:val="0"/>
        <w:kinsoku w:val="0"/>
        <w:wordWrap/>
        <w:overflowPunct/>
        <w:topLinePunct/>
        <w:autoSpaceDE w:val="0"/>
        <w:autoSpaceDN/>
        <w:bidi w:val="0"/>
        <w:adjustRightInd/>
        <w:snapToGrid/>
        <w:spacing w:line="360" w:lineRule="auto"/>
        <w:ind w:left="0" w:right="0" w:firstLine="40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（三）本合同包含如下附件：</w:t>
      </w:r>
    </w:p>
    <w:p w14:paraId="24483C3D">
      <w:pPr>
        <w:keepNext w:val="0"/>
        <w:keepLines w:val="0"/>
        <w:pageBreakBefore w:val="0"/>
        <w:widowControl w:val="0"/>
        <w:kinsoku w:val="0"/>
        <w:wordWrap/>
        <w:overflowPunct/>
        <w:topLinePunct/>
        <w:autoSpaceDE w:val="0"/>
        <w:autoSpaceDN/>
        <w:bidi w:val="0"/>
        <w:adjustRightInd/>
        <w:snapToGrid/>
        <w:spacing w:line="360" w:lineRule="auto"/>
        <w:ind w:left="0" w:right="0" w:firstLine="404"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1.蔬菜类供货及验收清单。</w:t>
      </w:r>
    </w:p>
    <w:p w14:paraId="0FB519A8">
      <w:pPr>
        <w:keepNext w:val="0"/>
        <w:keepLines w:val="0"/>
        <w:pageBreakBefore w:val="0"/>
        <w:widowControl w:val="0"/>
        <w:kinsoku w:val="0"/>
        <w:wordWrap/>
        <w:overflowPunct/>
        <w:topLinePunct/>
        <w:autoSpaceDE w:val="0"/>
        <w:autoSpaceDN/>
        <w:bidi w:val="0"/>
        <w:adjustRightInd/>
        <w:snapToGrid/>
        <w:spacing w:line="360" w:lineRule="auto"/>
        <w:ind w:left="0" w:right="0" w:firstLine="39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2.肉制品供货及验收清单。</w:t>
      </w:r>
    </w:p>
    <w:p w14:paraId="64F2E45B">
      <w:pPr>
        <w:keepNext w:val="0"/>
        <w:keepLines w:val="0"/>
        <w:pageBreakBefore w:val="0"/>
        <w:widowControl w:val="0"/>
        <w:kinsoku w:val="0"/>
        <w:wordWrap/>
        <w:overflowPunct/>
        <w:topLinePunct/>
        <w:autoSpaceDE w:val="0"/>
        <w:autoSpaceDN/>
        <w:bidi w:val="0"/>
        <w:adjustRightInd/>
        <w:snapToGrid/>
        <w:spacing w:line="360" w:lineRule="auto"/>
        <w:ind w:left="0" w:right="0" w:firstLine="404" w:firstLineChars="200"/>
        <w:textAlignment w:val="baseline"/>
        <w:rPr>
          <w:rFonts w:hint="eastAsia" w:ascii="宋体" w:hAnsi="宋体" w:eastAsia="宋体" w:cs="宋体"/>
          <w:color w:val="auto"/>
          <w:sz w:val="21"/>
          <w:szCs w:val="21"/>
          <w:highlight w:val="none"/>
        </w:rPr>
      </w:pPr>
      <w:r>
        <w:rPr>
          <w:rFonts w:hint="eastAsia" w:ascii="宋体" w:hAnsi="宋体" w:cs="宋体"/>
          <w:color w:val="auto"/>
          <w:spacing w:val="-4"/>
          <w:sz w:val="21"/>
          <w:szCs w:val="21"/>
          <w:highlight w:val="none"/>
          <w:lang w:val="en-US" w:eastAsia="zh-CN"/>
        </w:rPr>
        <w:t>3</w:t>
      </w:r>
      <w:r>
        <w:rPr>
          <w:rFonts w:hint="eastAsia" w:ascii="宋体" w:hAnsi="宋体" w:eastAsia="宋体" w:cs="宋体"/>
          <w:color w:val="auto"/>
          <w:spacing w:val="-4"/>
          <w:sz w:val="21"/>
          <w:szCs w:val="21"/>
          <w:highlight w:val="none"/>
        </w:rPr>
        <w:t>.干活及调味品供货及验收清单。</w:t>
      </w:r>
    </w:p>
    <w:p w14:paraId="29F47B30">
      <w:pPr>
        <w:keepNext w:val="0"/>
        <w:keepLines w:val="0"/>
        <w:pageBreakBefore w:val="0"/>
        <w:widowControl w:val="0"/>
        <w:kinsoku w:val="0"/>
        <w:wordWrap/>
        <w:overflowPunct/>
        <w:topLinePunct/>
        <w:autoSpaceDE w:val="0"/>
        <w:autoSpaceDN/>
        <w:bidi w:val="0"/>
        <w:adjustRightInd/>
        <w:snapToGrid/>
        <w:spacing w:line="360" w:lineRule="auto"/>
        <w:ind w:left="0" w:right="0" w:firstLine="404" w:firstLineChars="200"/>
        <w:textAlignment w:val="baseline"/>
        <w:rPr>
          <w:rFonts w:hint="eastAsia" w:ascii="宋体" w:hAnsi="宋体" w:eastAsia="宋体" w:cs="宋体"/>
          <w:color w:val="auto"/>
          <w:sz w:val="21"/>
          <w:szCs w:val="21"/>
          <w:highlight w:val="none"/>
        </w:rPr>
      </w:pP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rPr>
        <w:t>.供货时间进度表。</w:t>
      </w:r>
    </w:p>
    <w:p w14:paraId="610512AD">
      <w:pPr>
        <w:keepNext w:val="0"/>
        <w:keepLines w:val="0"/>
        <w:pageBreakBefore w:val="0"/>
        <w:widowControl w:val="0"/>
        <w:kinsoku w:val="0"/>
        <w:wordWrap/>
        <w:overflowPunct/>
        <w:topLinePunct/>
        <w:autoSpaceDE w:val="0"/>
        <w:autoSpaceDN/>
        <w:bidi w:val="0"/>
        <w:adjustRightInd/>
        <w:snapToGrid/>
        <w:spacing w:line="360" w:lineRule="auto"/>
        <w:ind w:left="0" w:right="0" w:firstLine="414" w:firstLineChars="200"/>
        <w:textAlignment w:val="baseline"/>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pacing w:val="-2"/>
          <w:sz w:val="21"/>
          <w:szCs w:val="21"/>
          <w:highlight w:val="none"/>
        </w:rPr>
        <w:t>十</w:t>
      </w:r>
      <w:r>
        <w:rPr>
          <w:rFonts w:hint="eastAsia" w:ascii="宋体" w:hAnsi="宋体" w:cs="宋体"/>
          <w:b/>
          <w:bCs/>
          <w:color w:val="auto"/>
          <w:spacing w:val="-2"/>
          <w:sz w:val="21"/>
          <w:szCs w:val="21"/>
          <w:highlight w:val="none"/>
          <w:lang w:val="en-US" w:eastAsia="zh-CN"/>
        </w:rPr>
        <w:t>四</w:t>
      </w:r>
      <w:r>
        <w:rPr>
          <w:rFonts w:hint="eastAsia" w:ascii="宋体" w:hAnsi="宋体" w:eastAsia="宋体" w:cs="宋体"/>
          <w:b/>
          <w:bCs/>
          <w:color w:val="auto"/>
          <w:spacing w:val="-2"/>
          <w:sz w:val="21"/>
          <w:szCs w:val="21"/>
          <w:highlight w:val="none"/>
        </w:rPr>
        <w:t>、其它约定</w:t>
      </w:r>
    </w:p>
    <w:p w14:paraId="1B82B5F9">
      <w:pPr>
        <w:keepNext w:val="0"/>
        <w:keepLines w:val="0"/>
        <w:pageBreakBefore w:val="0"/>
        <w:widowControl w:val="0"/>
        <w:kinsoku w:val="0"/>
        <w:wordWrap/>
        <w:overflowPunct/>
        <w:topLinePunct/>
        <w:autoSpaceDE w:val="0"/>
        <w:autoSpaceDN/>
        <w:bidi w:val="0"/>
        <w:adjustRightInd/>
        <w:snapToGrid/>
        <w:spacing w:line="360" w:lineRule="auto"/>
        <w:ind w:left="0" w:right="0" w:firstLine="406" w:firstLineChars="200"/>
        <w:textAlignment w:val="baseline"/>
        <w:rPr>
          <w:rFonts w:hint="eastAsia" w:ascii="宋体" w:hAnsi="宋体" w:cs="宋体"/>
          <w:b/>
          <w:bCs/>
          <w:color w:val="auto"/>
          <w:spacing w:val="-4"/>
          <w:sz w:val="21"/>
          <w:szCs w:val="21"/>
          <w:highlight w:val="none"/>
          <w:lang w:val="en-US" w:eastAsia="zh-CN"/>
        </w:rPr>
      </w:pPr>
      <w:r>
        <w:rPr>
          <w:rFonts w:hint="eastAsia" w:ascii="宋体" w:hAnsi="宋体" w:cs="宋体"/>
          <w:b/>
          <w:bCs/>
          <w:color w:val="auto"/>
          <w:spacing w:val="-4"/>
          <w:sz w:val="21"/>
          <w:szCs w:val="21"/>
          <w:highlight w:val="none"/>
          <w:lang w:val="en-US" w:eastAsia="zh-CN"/>
        </w:rPr>
        <w:t>1.</w:t>
      </w:r>
      <w:r>
        <w:rPr>
          <w:rFonts w:hint="eastAsia" w:ascii="宋体" w:hAnsi="宋体" w:eastAsia="宋体" w:cs="宋体"/>
          <w:b/>
          <w:bCs/>
          <w:color w:val="auto"/>
          <w:spacing w:val="-4"/>
          <w:sz w:val="21"/>
          <w:szCs w:val="21"/>
          <w:highlight w:val="none"/>
          <w:lang w:val="en-US" w:eastAsia="zh-CN"/>
        </w:rPr>
        <w:t>甲方按实际配送需求及</w:t>
      </w:r>
      <w:r>
        <w:rPr>
          <w:rFonts w:hint="eastAsia" w:ascii="宋体" w:hAnsi="宋体" w:cs="宋体"/>
          <w:b/>
          <w:bCs/>
          <w:color w:val="auto"/>
          <w:spacing w:val="-4"/>
          <w:sz w:val="21"/>
          <w:szCs w:val="21"/>
          <w:highlight w:val="none"/>
          <w:lang w:val="en-US" w:eastAsia="zh-CN"/>
        </w:rPr>
        <w:t>采购标准制定配送需求清单发送给乙方，配送需求清单需包含配送产品名称、数量，并有甲方负责人或委托代理人的签字确认，涉及配送需求清单需留存作为结算依据。</w:t>
      </w:r>
    </w:p>
    <w:p w14:paraId="7773B666">
      <w:pPr>
        <w:keepNext w:val="0"/>
        <w:keepLines w:val="0"/>
        <w:pageBreakBefore w:val="0"/>
        <w:widowControl w:val="0"/>
        <w:kinsoku w:val="0"/>
        <w:wordWrap/>
        <w:overflowPunct/>
        <w:topLinePunct/>
        <w:autoSpaceDE w:val="0"/>
        <w:autoSpaceDN/>
        <w:bidi w:val="0"/>
        <w:adjustRightInd/>
        <w:snapToGrid/>
        <w:spacing w:line="360" w:lineRule="auto"/>
        <w:ind w:left="0" w:right="0" w:firstLine="406" w:firstLineChars="200"/>
        <w:textAlignment w:val="baseline"/>
        <w:rPr>
          <w:rFonts w:hint="default" w:ascii="宋体" w:hAnsi="宋体" w:eastAsia="宋体" w:cs="宋体"/>
          <w:b/>
          <w:bCs/>
          <w:color w:val="auto"/>
          <w:spacing w:val="-4"/>
          <w:sz w:val="21"/>
          <w:szCs w:val="21"/>
          <w:highlight w:val="none"/>
          <w:lang w:val="en-US" w:eastAsia="zh-CN"/>
        </w:rPr>
      </w:pPr>
      <w:r>
        <w:rPr>
          <w:rFonts w:hint="eastAsia" w:ascii="宋体" w:hAnsi="宋体" w:cs="宋体"/>
          <w:b/>
          <w:bCs/>
          <w:color w:val="auto"/>
          <w:spacing w:val="-4"/>
          <w:sz w:val="21"/>
          <w:szCs w:val="21"/>
          <w:highlight w:val="none"/>
          <w:lang w:val="en-US" w:eastAsia="zh-CN"/>
        </w:rPr>
        <w:t>2.乙方在收到甲方的配送需求清单后，如遇配送清单需要调整的，需向甲方提出变更申请，并需甲方签字确认，涉及变更配送材料需留存作为结算依据。</w:t>
      </w:r>
    </w:p>
    <w:p w14:paraId="425802DA">
      <w:pPr>
        <w:rPr>
          <w:rFonts w:hint="eastAsia" w:ascii="宋体" w:hAnsi="宋体" w:eastAsia="宋体" w:cs="宋体"/>
          <w:color w:val="auto"/>
          <w:spacing w:val="-20"/>
          <w:w w:val="98"/>
          <w:sz w:val="21"/>
          <w:szCs w:val="21"/>
          <w:highlight w:val="none"/>
        </w:rPr>
      </w:pPr>
      <w:r>
        <w:rPr>
          <w:rFonts w:hint="eastAsia" w:ascii="宋体" w:hAnsi="宋体" w:eastAsia="宋体" w:cs="宋体"/>
          <w:color w:val="auto"/>
          <w:spacing w:val="-20"/>
          <w:w w:val="98"/>
          <w:sz w:val="21"/>
          <w:szCs w:val="21"/>
          <w:highlight w:val="none"/>
        </w:rPr>
        <w:br w:type="page"/>
      </w:r>
    </w:p>
    <w:p w14:paraId="40325CEC">
      <w:pPr>
        <w:spacing w:line="460" w:lineRule="exact"/>
        <w:ind w:firstLine="420" w:firstLineChars="200"/>
        <w:rPr>
          <w:rFonts w:hint="eastAsia" w:ascii="宋体" w:hAnsi="宋体" w:eastAsia="宋体" w:cs="宋体"/>
          <w:color w:val="auto"/>
          <w:szCs w:val="22"/>
          <w:u w:val="single"/>
        </w:rPr>
      </w:pPr>
      <w:r>
        <w:rPr>
          <w:rFonts w:hint="eastAsia" w:ascii="宋体" w:hAnsi="宋体" w:eastAsia="宋体" w:cs="宋体"/>
          <w:color w:val="auto"/>
          <w:szCs w:val="22"/>
        </w:rPr>
        <w:t>甲方（盖章）：</w:t>
      </w:r>
      <w:r>
        <w:rPr>
          <w:rFonts w:hint="eastAsia" w:ascii="宋体" w:hAnsi="宋体" w:eastAsia="宋体" w:cs="宋体"/>
          <w:color w:val="auto"/>
          <w:szCs w:val="22"/>
          <w:u w:val="single"/>
        </w:rPr>
        <w:t xml:space="preserve">                         </w:t>
      </w:r>
    </w:p>
    <w:p w14:paraId="3DAAF2B5">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法定代表人/委托代理人（签字）：</w:t>
      </w:r>
      <w:r>
        <w:rPr>
          <w:rFonts w:hint="eastAsia" w:ascii="宋体" w:hAnsi="宋体" w:eastAsia="宋体" w:cs="宋体"/>
          <w:color w:val="auto"/>
          <w:szCs w:val="22"/>
          <w:u w:val="single"/>
        </w:rPr>
        <w:t xml:space="preserve">        </w:t>
      </w:r>
    </w:p>
    <w:p w14:paraId="62E86765">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银行账户：</w:t>
      </w:r>
      <w:r>
        <w:rPr>
          <w:rFonts w:hint="eastAsia" w:ascii="宋体" w:hAnsi="宋体" w:eastAsia="宋体" w:cs="宋体"/>
          <w:color w:val="auto"/>
          <w:szCs w:val="22"/>
          <w:u w:val="single"/>
        </w:rPr>
        <w:t xml:space="preserve">                         </w:t>
      </w:r>
    </w:p>
    <w:p w14:paraId="6B30402C">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开 户 行：</w:t>
      </w:r>
      <w:r>
        <w:rPr>
          <w:rFonts w:hint="eastAsia" w:ascii="宋体" w:hAnsi="宋体" w:eastAsia="宋体" w:cs="宋体"/>
          <w:color w:val="auto"/>
          <w:szCs w:val="22"/>
          <w:u w:val="single"/>
        </w:rPr>
        <w:t xml:space="preserve">                         </w:t>
      </w:r>
    </w:p>
    <w:p w14:paraId="641772D7">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税    号：</w:t>
      </w:r>
      <w:r>
        <w:rPr>
          <w:rFonts w:hint="eastAsia" w:ascii="宋体" w:hAnsi="宋体" w:eastAsia="宋体" w:cs="宋体"/>
          <w:color w:val="auto"/>
          <w:szCs w:val="22"/>
          <w:u w:val="single"/>
        </w:rPr>
        <w:t xml:space="preserve">                         </w:t>
      </w:r>
    </w:p>
    <w:p w14:paraId="3094DD87">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住    所：</w:t>
      </w:r>
      <w:r>
        <w:rPr>
          <w:rFonts w:hint="eastAsia" w:ascii="宋体" w:hAnsi="宋体" w:eastAsia="宋体" w:cs="宋体"/>
          <w:color w:val="auto"/>
          <w:szCs w:val="22"/>
          <w:u w:val="single"/>
        </w:rPr>
        <w:t xml:space="preserve">                         </w:t>
      </w:r>
    </w:p>
    <w:p w14:paraId="7DEA9DA1">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联 系 人：</w:t>
      </w:r>
      <w:r>
        <w:rPr>
          <w:rFonts w:hint="eastAsia" w:ascii="宋体" w:hAnsi="宋体" w:eastAsia="宋体" w:cs="宋体"/>
          <w:color w:val="auto"/>
          <w:szCs w:val="22"/>
          <w:u w:val="single"/>
        </w:rPr>
        <w:t xml:space="preserve">                         </w:t>
      </w:r>
    </w:p>
    <w:p w14:paraId="769B7A32">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联系电话：</w:t>
      </w:r>
      <w:r>
        <w:rPr>
          <w:rFonts w:hint="eastAsia" w:ascii="宋体" w:hAnsi="宋体" w:eastAsia="宋体" w:cs="宋体"/>
          <w:color w:val="auto"/>
          <w:szCs w:val="22"/>
          <w:u w:val="single"/>
        </w:rPr>
        <w:t xml:space="preserve">                         </w:t>
      </w:r>
    </w:p>
    <w:p w14:paraId="1053FCDB">
      <w:pPr>
        <w:spacing w:line="460" w:lineRule="exact"/>
        <w:ind w:firstLine="420" w:firstLineChars="200"/>
        <w:rPr>
          <w:rFonts w:hint="eastAsia" w:ascii="宋体" w:hAnsi="宋体" w:eastAsia="宋体" w:cs="宋体"/>
          <w:color w:val="auto"/>
          <w:szCs w:val="22"/>
        </w:rPr>
      </w:pPr>
    </w:p>
    <w:p w14:paraId="74BA3D29">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乙方（盖章）：</w:t>
      </w:r>
      <w:r>
        <w:rPr>
          <w:rFonts w:hint="eastAsia" w:ascii="宋体" w:hAnsi="宋体" w:eastAsia="宋体" w:cs="宋体"/>
          <w:color w:val="auto"/>
          <w:szCs w:val="22"/>
          <w:u w:val="single"/>
        </w:rPr>
        <w:t xml:space="preserve">                         </w:t>
      </w:r>
    </w:p>
    <w:p w14:paraId="727A6E53">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法定代表人/委托代理人（签字）：</w:t>
      </w:r>
      <w:r>
        <w:rPr>
          <w:rFonts w:hint="eastAsia" w:ascii="宋体" w:hAnsi="宋体" w:eastAsia="宋体" w:cs="宋体"/>
          <w:color w:val="auto"/>
          <w:szCs w:val="22"/>
          <w:u w:val="single"/>
        </w:rPr>
        <w:t xml:space="preserve">        </w:t>
      </w:r>
    </w:p>
    <w:p w14:paraId="7154A43D">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银行账户：</w:t>
      </w:r>
      <w:r>
        <w:rPr>
          <w:rFonts w:hint="eastAsia" w:ascii="宋体" w:hAnsi="宋体" w:eastAsia="宋体" w:cs="宋体"/>
          <w:color w:val="auto"/>
          <w:szCs w:val="22"/>
          <w:u w:val="single"/>
        </w:rPr>
        <w:t xml:space="preserve">                         </w:t>
      </w:r>
    </w:p>
    <w:p w14:paraId="102F9F85">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开 户 行：</w:t>
      </w:r>
      <w:r>
        <w:rPr>
          <w:rFonts w:hint="eastAsia" w:ascii="宋体" w:hAnsi="宋体" w:eastAsia="宋体" w:cs="宋体"/>
          <w:color w:val="auto"/>
          <w:szCs w:val="22"/>
          <w:u w:val="single"/>
        </w:rPr>
        <w:t xml:space="preserve">                         </w:t>
      </w:r>
    </w:p>
    <w:p w14:paraId="0801DC2D">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税    号：</w:t>
      </w:r>
      <w:r>
        <w:rPr>
          <w:rFonts w:hint="eastAsia" w:ascii="宋体" w:hAnsi="宋体" w:eastAsia="宋体" w:cs="宋体"/>
          <w:color w:val="auto"/>
          <w:szCs w:val="22"/>
          <w:u w:val="single"/>
        </w:rPr>
        <w:t xml:space="preserve">                         </w:t>
      </w:r>
    </w:p>
    <w:p w14:paraId="53F0329E">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住    所：</w:t>
      </w:r>
      <w:r>
        <w:rPr>
          <w:rFonts w:hint="eastAsia" w:ascii="宋体" w:hAnsi="宋体" w:eastAsia="宋体" w:cs="宋体"/>
          <w:color w:val="auto"/>
          <w:szCs w:val="22"/>
          <w:u w:val="single"/>
        </w:rPr>
        <w:t xml:space="preserve">                         </w:t>
      </w:r>
    </w:p>
    <w:p w14:paraId="3EE560F2">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联 系 人：</w:t>
      </w:r>
      <w:r>
        <w:rPr>
          <w:rFonts w:hint="eastAsia" w:ascii="宋体" w:hAnsi="宋体" w:eastAsia="宋体" w:cs="宋体"/>
          <w:color w:val="auto"/>
          <w:szCs w:val="22"/>
          <w:u w:val="single"/>
        </w:rPr>
        <w:t xml:space="preserve">                         </w:t>
      </w:r>
    </w:p>
    <w:p w14:paraId="142D74E6">
      <w:pPr>
        <w:spacing w:line="460" w:lineRule="exact"/>
        <w:ind w:firstLine="420" w:firstLineChars="200"/>
        <w:rPr>
          <w:rFonts w:hint="eastAsia" w:ascii="宋体" w:hAnsi="宋体" w:eastAsia="宋体" w:cs="宋体"/>
          <w:color w:val="auto"/>
          <w:szCs w:val="22"/>
        </w:rPr>
      </w:pPr>
      <w:r>
        <w:rPr>
          <w:rFonts w:hint="eastAsia" w:ascii="宋体" w:hAnsi="宋体" w:eastAsia="宋体" w:cs="宋体"/>
          <w:color w:val="auto"/>
          <w:szCs w:val="22"/>
        </w:rPr>
        <w:t>联系电话：</w:t>
      </w:r>
      <w:r>
        <w:rPr>
          <w:rFonts w:hint="eastAsia" w:ascii="宋体" w:hAnsi="宋体" w:eastAsia="宋体" w:cs="宋体"/>
          <w:color w:val="auto"/>
          <w:szCs w:val="22"/>
          <w:u w:val="single"/>
        </w:rPr>
        <w:t xml:space="preserve">                         </w:t>
      </w:r>
    </w:p>
    <w:p w14:paraId="43DC7ABA">
      <w:pP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br w:type="page"/>
      </w:r>
    </w:p>
    <w:p w14:paraId="4B59CDB2">
      <w:pPr>
        <w:keepNext w:val="0"/>
        <w:keepLines w:val="0"/>
        <w:pageBreakBefore w:val="0"/>
        <w:widowControl w:val="0"/>
        <w:overflowPunct/>
        <w:topLinePunct/>
        <w:autoSpaceDE w:val="0"/>
        <w:autoSpaceDN/>
        <w:bidi w:val="0"/>
        <w:adjustRightInd w:val="0"/>
        <w:snapToGrid w:val="0"/>
        <w:spacing w:before="68" w:line="223" w:lineRule="auto"/>
        <w:ind w:left="569"/>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表</w:t>
      </w:r>
      <w:r>
        <w:rPr>
          <w:rFonts w:hint="eastAsia" w:ascii="宋体" w:hAnsi="宋体" w:eastAsia="宋体" w:cs="宋体"/>
          <w:color w:val="auto"/>
          <w:spacing w:val="-28"/>
          <w:sz w:val="21"/>
          <w:szCs w:val="21"/>
          <w:highlight w:val="none"/>
        </w:rPr>
        <w:t xml:space="preserve"> </w:t>
      </w:r>
      <w:r>
        <w:rPr>
          <w:rFonts w:hint="eastAsia" w:ascii="宋体" w:hAnsi="宋体" w:eastAsia="宋体" w:cs="宋体"/>
          <w:color w:val="auto"/>
          <w:spacing w:val="-6"/>
          <w:sz w:val="21"/>
          <w:szCs w:val="21"/>
          <w:highlight w:val="none"/>
        </w:rPr>
        <w:t>1</w:t>
      </w:r>
    </w:p>
    <w:p w14:paraId="156D2DED">
      <w:pPr>
        <w:keepNext w:val="0"/>
        <w:keepLines w:val="0"/>
        <w:pageBreakBefore w:val="0"/>
        <w:widowControl w:val="0"/>
        <w:overflowPunct/>
        <w:topLinePunct/>
        <w:autoSpaceDE w:val="0"/>
        <w:autoSpaceDN/>
        <w:bidi w:val="0"/>
        <w:adjustRightInd w:val="0"/>
        <w:snapToGrid w:val="0"/>
        <w:spacing w:before="282" w:line="184" w:lineRule="auto"/>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蔬菜类供货及验收清单</w:t>
      </w:r>
    </w:p>
    <w:tbl>
      <w:tblPr>
        <w:tblStyle w:val="111"/>
        <w:tblW w:w="99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788"/>
        <w:gridCol w:w="1006"/>
        <w:gridCol w:w="839"/>
        <w:gridCol w:w="1014"/>
        <w:gridCol w:w="1160"/>
        <w:gridCol w:w="1034"/>
        <w:gridCol w:w="743"/>
        <w:gridCol w:w="951"/>
        <w:gridCol w:w="846"/>
        <w:gridCol w:w="885"/>
      </w:tblGrid>
      <w:tr w14:paraId="41A58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jc w:val="center"/>
        </w:trPr>
        <w:tc>
          <w:tcPr>
            <w:tcW w:w="663" w:type="dxa"/>
            <w:tcBorders>
              <w:top w:val="single" w:color="000000" w:sz="12" w:space="0"/>
              <w:left w:val="single" w:color="000000" w:sz="12" w:space="0"/>
            </w:tcBorders>
            <w:vAlign w:val="center"/>
          </w:tcPr>
          <w:p w14:paraId="1E18D9ED">
            <w:pPr>
              <w:keepNext w:val="0"/>
              <w:keepLines w:val="0"/>
              <w:pageBreakBefore w:val="0"/>
              <w:widowControl w:val="0"/>
              <w:kinsoku/>
              <w:wordWrap/>
              <w:overflowPunct/>
              <w:topLinePunct/>
              <w:autoSpaceDE w:val="0"/>
              <w:autoSpaceDN/>
              <w:bidi w:val="0"/>
              <w:adjustRightInd w:val="0"/>
              <w:snapToGrid w:val="0"/>
              <w:spacing w:line="223"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788" w:type="dxa"/>
            <w:tcBorders>
              <w:top w:val="single" w:color="000000" w:sz="12" w:space="0"/>
            </w:tcBorders>
            <w:vAlign w:val="center"/>
          </w:tcPr>
          <w:p w14:paraId="755D85E8">
            <w:pPr>
              <w:keepNext w:val="0"/>
              <w:keepLines w:val="0"/>
              <w:pageBreakBefore w:val="0"/>
              <w:widowControl w:val="0"/>
              <w:kinsoku/>
              <w:wordWrap/>
              <w:overflowPunct/>
              <w:topLinePunct/>
              <w:autoSpaceDE w:val="0"/>
              <w:autoSpaceDN/>
              <w:bidi w:val="0"/>
              <w:adjustRightInd w:val="0"/>
              <w:snapToGrid w:val="0"/>
              <w:spacing w:line="222"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品名</w:t>
            </w:r>
          </w:p>
        </w:tc>
        <w:tc>
          <w:tcPr>
            <w:tcW w:w="1006" w:type="dxa"/>
            <w:tcBorders>
              <w:top w:val="single" w:color="000000" w:sz="12" w:space="0"/>
            </w:tcBorders>
            <w:vAlign w:val="center"/>
          </w:tcPr>
          <w:p w14:paraId="3F6D490E">
            <w:pPr>
              <w:keepNext w:val="0"/>
              <w:keepLines w:val="0"/>
              <w:pageBreakBefore w:val="0"/>
              <w:widowControl w:val="0"/>
              <w:kinsoku/>
              <w:wordWrap/>
              <w:overflowPunct/>
              <w:topLinePunct/>
              <w:autoSpaceDE w:val="0"/>
              <w:autoSpaceDN/>
              <w:bidi w:val="0"/>
              <w:adjustRightInd w:val="0"/>
              <w:snapToGrid w:val="0"/>
              <w:spacing w:line="235"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数量</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8"/>
                <w:sz w:val="21"/>
                <w:szCs w:val="21"/>
                <w:highlight w:val="none"/>
              </w:rPr>
              <w:t>（斤/个）</w:t>
            </w:r>
          </w:p>
        </w:tc>
        <w:tc>
          <w:tcPr>
            <w:tcW w:w="839" w:type="dxa"/>
            <w:tcBorders>
              <w:top w:val="single" w:color="000000" w:sz="12" w:space="0"/>
            </w:tcBorders>
            <w:vAlign w:val="center"/>
          </w:tcPr>
          <w:p w14:paraId="6EEE96EF">
            <w:pPr>
              <w:keepNext w:val="0"/>
              <w:keepLines w:val="0"/>
              <w:pageBreakBefore w:val="0"/>
              <w:widowControl w:val="0"/>
              <w:kinsoku/>
              <w:wordWrap/>
              <w:overflowPunct/>
              <w:topLinePunct/>
              <w:autoSpaceDE w:val="0"/>
              <w:autoSpaceDN/>
              <w:bidi w:val="0"/>
              <w:adjustRightInd w:val="0"/>
              <w:snapToGrid w:val="0"/>
              <w:spacing w:line="223"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产地</w:t>
            </w:r>
          </w:p>
        </w:tc>
        <w:tc>
          <w:tcPr>
            <w:tcW w:w="1014" w:type="dxa"/>
            <w:tcBorders>
              <w:top w:val="single" w:color="000000" w:sz="12" w:space="0"/>
            </w:tcBorders>
            <w:vAlign w:val="center"/>
          </w:tcPr>
          <w:p w14:paraId="72D645BA">
            <w:pPr>
              <w:keepNext w:val="0"/>
              <w:keepLines w:val="0"/>
              <w:pageBreakBefore w:val="0"/>
              <w:widowControl w:val="0"/>
              <w:kinsoku/>
              <w:wordWrap/>
              <w:overflowPunct/>
              <w:topLinePunct/>
              <w:autoSpaceDE w:val="0"/>
              <w:autoSpaceDN/>
              <w:bidi w:val="0"/>
              <w:adjustRightInd w:val="0"/>
              <w:snapToGrid w:val="0"/>
              <w:spacing w:line="234"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生产者</w:t>
            </w:r>
            <w:r>
              <w:rPr>
                <w:rFonts w:hint="eastAsia" w:ascii="宋体" w:hAnsi="宋体" w:eastAsia="宋体" w:cs="宋体"/>
                <w:color w:val="auto"/>
                <w:spacing w:val="-3"/>
                <w:sz w:val="21"/>
                <w:szCs w:val="21"/>
                <w:highlight w:val="none"/>
              </w:rPr>
              <w:t>名称</w:t>
            </w:r>
          </w:p>
        </w:tc>
        <w:tc>
          <w:tcPr>
            <w:tcW w:w="1160" w:type="dxa"/>
            <w:tcBorders>
              <w:top w:val="single" w:color="000000" w:sz="12" w:space="0"/>
            </w:tcBorders>
            <w:vAlign w:val="center"/>
          </w:tcPr>
          <w:p w14:paraId="266134FD">
            <w:pPr>
              <w:keepNext w:val="0"/>
              <w:keepLines w:val="0"/>
              <w:pageBreakBefore w:val="0"/>
              <w:widowControl w:val="0"/>
              <w:kinsoku/>
              <w:wordWrap/>
              <w:overflowPunct/>
              <w:topLinePunct/>
              <w:autoSpaceDE w:val="0"/>
              <w:autoSpaceDN/>
              <w:bidi w:val="0"/>
              <w:adjustRightInd w:val="0"/>
              <w:snapToGrid w:val="0"/>
              <w:spacing w:line="238"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生产者地址</w:t>
            </w:r>
          </w:p>
        </w:tc>
        <w:tc>
          <w:tcPr>
            <w:tcW w:w="1034" w:type="dxa"/>
            <w:tcBorders>
              <w:top w:val="single" w:color="000000" w:sz="12" w:space="0"/>
            </w:tcBorders>
            <w:vAlign w:val="center"/>
          </w:tcPr>
          <w:p w14:paraId="358ED778">
            <w:pPr>
              <w:keepNext w:val="0"/>
              <w:keepLines w:val="0"/>
              <w:pageBreakBefore w:val="0"/>
              <w:widowControl w:val="0"/>
              <w:kinsoku/>
              <w:wordWrap/>
              <w:overflowPunct/>
              <w:topLinePunct/>
              <w:autoSpaceDE w:val="0"/>
              <w:autoSpaceDN/>
              <w:bidi w:val="0"/>
              <w:adjustRightInd w:val="0"/>
              <w:snapToGrid w:val="0"/>
              <w:spacing w:line="234"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包装标准</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2"/>
                <w:sz w:val="21"/>
                <w:szCs w:val="21"/>
                <w:highlight w:val="none"/>
              </w:rPr>
              <w:t>及要求</w:t>
            </w:r>
          </w:p>
        </w:tc>
        <w:tc>
          <w:tcPr>
            <w:tcW w:w="743" w:type="dxa"/>
            <w:tcBorders>
              <w:top w:val="single" w:color="000000" w:sz="12" w:space="0"/>
            </w:tcBorders>
            <w:vAlign w:val="center"/>
          </w:tcPr>
          <w:p w14:paraId="1D9317CB">
            <w:pPr>
              <w:keepNext w:val="0"/>
              <w:keepLines w:val="0"/>
              <w:pageBreakBefore w:val="0"/>
              <w:widowControl w:val="0"/>
              <w:kinsoku/>
              <w:wordWrap/>
              <w:overflowPunct/>
              <w:topLinePunct/>
              <w:autoSpaceDE w:val="0"/>
              <w:autoSpaceDN/>
              <w:bidi w:val="0"/>
              <w:adjustRightInd w:val="0"/>
              <w:snapToGrid w:val="0"/>
              <w:spacing w:line="232"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运输</w:t>
            </w:r>
            <w:r>
              <w:rPr>
                <w:rFonts w:hint="eastAsia" w:ascii="宋体" w:hAnsi="宋体" w:eastAsia="宋体" w:cs="宋体"/>
                <w:color w:val="auto"/>
                <w:spacing w:val="-3"/>
                <w:sz w:val="21"/>
                <w:szCs w:val="21"/>
                <w:highlight w:val="none"/>
              </w:rPr>
              <w:t>保管条件</w:t>
            </w:r>
          </w:p>
        </w:tc>
        <w:tc>
          <w:tcPr>
            <w:tcW w:w="951" w:type="dxa"/>
            <w:tcBorders>
              <w:top w:val="single" w:color="000000" w:sz="12" w:space="0"/>
            </w:tcBorders>
            <w:vAlign w:val="center"/>
          </w:tcPr>
          <w:p w14:paraId="53600101">
            <w:pPr>
              <w:keepNext w:val="0"/>
              <w:keepLines w:val="0"/>
              <w:pageBreakBefore w:val="0"/>
              <w:widowControl w:val="0"/>
              <w:kinsoku/>
              <w:wordWrap/>
              <w:overflowPunct/>
              <w:topLinePunct/>
              <w:autoSpaceDE w:val="0"/>
              <w:autoSpaceDN/>
              <w:bidi w:val="0"/>
              <w:adjustRightInd w:val="0"/>
              <w:snapToGrid w:val="0"/>
              <w:spacing w:line="236"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农残检测</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2"/>
                <w:sz w:val="21"/>
                <w:szCs w:val="21"/>
                <w:highlight w:val="none"/>
              </w:rPr>
              <w:t>结果</w:t>
            </w:r>
          </w:p>
        </w:tc>
        <w:tc>
          <w:tcPr>
            <w:tcW w:w="846" w:type="dxa"/>
            <w:tcBorders>
              <w:top w:val="single" w:color="000000" w:sz="12" w:space="0"/>
            </w:tcBorders>
            <w:vAlign w:val="center"/>
          </w:tcPr>
          <w:p w14:paraId="76067887">
            <w:pPr>
              <w:keepNext w:val="0"/>
              <w:keepLines w:val="0"/>
              <w:pageBreakBefore w:val="0"/>
              <w:widowControl w:val="0"/>
              <w:kinsoku/>
              <w:wordWrap/>
              <w:overflowPunct/>
              <w:topLinePunct/>
              <w:autoSpaceDE w:val="0"/>
              <w:autoSpaceDN/>
              <w:bidi w:val="0"/>
              <w:adjustRightInd w:val="0"/>
              <w:snapToGrid w:val="0"/>
              <w:spacing w:line="235"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单价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3"/>
                <w:sz w:val="21"/>
                <w:szCs w:val="21"/>
                <w:highlight w:val="none"/>
              </w:rPr>
              <w:t>（元）</w:t>
            </w:r>
          </w:p>
        </w:tc>
        <w:tc>
          <w:tcPr>
            <w:tcW w:w="885" w:type="dxa"/>
            <w:tcBorders>
              <w:top w:val="single" w:color="000000" w:sz="12" w:space="0"/>
              <w:right w:val="single" w:color="000000" w:sz="12" w:space="0"/>
            </w:tcBorders>
            <w:vAlign w:val="center"/>
          </w:tcPr>
          <w:p w14:paraId="75339256">
            <w:pPr>
              <w:keepNext w:val="0"/>
              <w:keepLines w:val="0"/>
              <w:pageBreakBefore w:val="0"/>
              <w:widowControl w:val="0"/>
              <w:kinsoku/>
              <w:wordWrap/>
              <w:overflowPunct/>
              <w:topLinePunct/>
              <w:autoSpaceDE w:val="0"/>
              <w:autoSpaceDN/>
              <w:bidi w:val="0"/>
              <w:adjustRightInd w:val="0"/>
              <w:snapToGrid w:val="0"/>
              <w:spacing w:line="235"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总价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3"/>
                <w:sz w:val="21"/>
                <w:szCs w:val="21"/>
                <w:highlight w:val="none"/>
              </w:rPr>
              <w:t>（元）</w:t>
            </w:r>
          </w:p>
        </w:tc>
      </w:tr>
      <w:tr w14:paraId="6E289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2D41089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6564B5A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357713A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64DEA7E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4ECDC51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1D97F5C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2F03680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032743F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05F6734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48441A6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7797B36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3A0C7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2A89B7D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16EC203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7F85B13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2368C48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3EC8ECB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02868D1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44B5BB3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0704D76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4DB70C5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050DDBF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10789E4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03952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5768510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76F88A7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6810094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76FB6FF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41E9200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372BA02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5A3A2B1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3066CCC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47B4D32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43B90EE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4A5D30D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18528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60D165D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5964AC6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5D78E39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6730BC9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28265D9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77456B3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5078D4A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0373177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225B231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42B6462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1CEC98D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14E93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3A1606C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024A12D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0858A07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531FB26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15BAB8A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0F971EF3">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7785126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48CBF3C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3AF122D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25920C0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21DEF98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1FB12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3626FE4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20336C9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F0B1DB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37A2A2C3">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164C313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77D45DD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3AC9723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51963333">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0A55B74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781AF57D">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2F942C1D">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2CCED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7AFD61F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64804DF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09C18B1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350AF48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2B83336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763AEB0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05DADE0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090FA2E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7001871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248F5F4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34064E8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54BF0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3B01B04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28AE48D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48A60A6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1928B0FD">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146F03F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08F8792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746D06C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20EC6EA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000EF86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739F096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380CC79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165CE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713FCFE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3BC1560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032A03C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42DC8B2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6AA327F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1433BE23">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34ADA77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02A980E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4CE87B0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4915A90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66B0AD7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7FB3A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599A35C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2FB65D7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66FD805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780E1BD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26EA6F3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0AE077D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63ADFA6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4F6B920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693521F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1E2FF3E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4C13B78D">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3052E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7B9B15D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4B44BBB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AE0D58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3D3879B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586905D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3D56BCC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6C0B344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0C1BB25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5F5E936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5216F3B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5FC49F9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44263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6108FA1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7B22FAB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7B5EC47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0A3E2A7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0015EFC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42E16C1D">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3EADAA1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5D7D10C3">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6D21878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25A27BD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0A95973D">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38D35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6B5FB280">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746E7B8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72DCECF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7EB90A6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704EABE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412CC7E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4B2BB37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70A79D4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56873F3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7EEEC71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4A0E9BE1">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5FC15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7D48F4F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4B89BC2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3135CB0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74CB1F2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347066F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5081B3E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4656498B">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232C7F4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0D8FB9E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3848620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4F92594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34235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300B454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549F9AD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51BAE2F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07CEFAE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3C28E3D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22D2856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390D556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0DF6CBB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693BC18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60EED6F8">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0632D75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6CA1E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50853BC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68A092E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6D9B222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vAlign w:val="center"/>
          </w:tcPr>
          <w:p w14:paraId="47B51D53">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vAlign w:val="center"/>
          </w:tcPr>
          <w:p w14:paraId="317E88B3">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vAlign w:val="center"/>
          </w:tcPr>
          <w:p w14:paraId="41B298E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vAlign w:val="center"/>
          </w:tcPr>
          <w:p w14:paraId="2B45695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vAlign w:val="center"/>
          </w:tcPr>
          <w:p w14:paraId="23E5D65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vAlign w:val="center"/>
          </w:tcPr>
          <w:p w14:paraId="4E2D4EAA">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vAlign w:val="center"/>
          </w:tcPr>
          <w:p w14:paraId="2A1C3D8C">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right w:val="single" w:color="000000" w:sz="12" w:space="0"/>
            </w:tcBorders>
            <w:vAlign w:val="center"/>
          </w:tcPr>
          <w:p w14:paraId="2B23F2B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r w14:paraId="5C808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jc w:val="center"/>
        </w:trPr>
        <w:tc>
          <w:tcPr>
            <w:tcW w:w="663" w:type="dxa"/>
            <w:tcBorders>
              <w:left w:val="single" w:color="000000" w:sz="12" w:space="0"/>
              <w:bottom w:val="single" w:color="000000" w:sz="12" w:space="0"/>
            </w:tcBorders>
            <w:vAlign w:val="center"/>
          </w:tcPr>
          <w:p w14:paraId="17E5FE4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88" w:type="dxa"/>
            <w:tcBorders>
              <w:bottom w:val="single" w:color="000000" w:sz="12" w:space="0"/>
            </w:tcBorders>
            <w:vAlign w:val="center"/>
          </w:tcPr>
          <w:p w14:paraId="79CF79D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06" w:type="dxa"/>
            <w:tcBorders>
              <w:bottom w:val="single" w:color="000000" w:sz="12" w:space="0"/>
            </w:tcBorders>
            <w:vAlign w:val="center"/>
          </w:tcPr>
          <w:p w14:paraId="2BCCF4E4">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39" w:type="dxa"/>
            <w:tcBorders>
              <w:bottom w:val="single" w:color="000000" w:sz="12" w:space="0"/>
            </w:tcBorders>
            <w:vAlign w:val="center"/>
          </w:tcPr>
          <w:p w14:paraId="74C2357F">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14" w:type="dxa"/>
            <w:tcBorders>
              <w:bottom w:val="single" w:color="000000" w:sz="12" w:space="0"/>
            </w:tcBorders>
            <w:vAlign w:val="center"/>
          </w:tcPr>
          <w:p w14:paraId="293A3EC7">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160" w:type="dxa"/>
            <w:tcBorders>
              <w:bottom w:val="single" w:color="000000" w:sz="12" w:space="0"/>
            </w:tcBorders>
            <w:vAlign w:val="center"/>
          </w:tcPr>
          <w:p w14:paraId="1940E70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1034" w:type="dxa"/>
            <w:tcBorders>
              <w:bottom w:val="single" w:color="000000" w:sz="12" w:space="0"/>
            </w:tcBorders>
            <w:vAlign w:val="center"/>
          </w:tcPr>
          <w:p w14:paraId="2FC21102">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743" w:type="dxa"/>
            <w:tcBorders>
              <w:bottom w:val="single" w:color="000000" w:sz="12" w:space="0"/>
            </w:tcBorders>
            <w:vAlign w:val="center"/>
          </w:tcPr>
          <w:p w14:paraId="2EB03D09">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951" w:type="dxa"/>
            <w:tcBorders>
              <w:bottom w:val="single" w:color="000000" w:sz="12" w:space="0"/>
            </w:tcBorders>
            <w:vAlign w:val="center"/>
          </w:tcPr>
          <w:p w14:paraId="2C9A3875">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46" w:type="dxa"/>
            <w:tcBorders>
              <w:bottom w:val="single" w:color="000000" w:sz="12" w:space="0"/>
            </w:tcBorders>
            <w:vAlign w:val="center"/>
          </w:tcPr>
          <w:p w14:paraId="068ED86E">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c>
          <w:tcPr>
            <w:tcW w:w="885" w:type="dxa"/>
            <w:tcBorders>
              <w:bottom w:val="single" w:color="000000" w:sz="12" w:space="0"/>
              <w:right w:val="single" w:color="000000" w:sz="12" w:space="0"/>
            </w:tcBorders>
            <w:vAlign w:val="center"/>
          </w:tcPr>
          <w:p w14:paraId="0CFD62E6">
            <w:pPr>
              <w:pStyle w:val="112"/>
              <w:keepNext w:val="0"/>
              <w:keepLines w:val="0"/>
              <w:pageBreakBefore w:val="0"/>
              <w:widowControl w:val="0"/>
              <w:kinsoku/>
              <w:wordWrap/>
              <w:overflowPunct/>
              <w:topLinePunct/>
              <w:autoSpaceDE w:val="0"/>
              <w:autoSpaceDN/>
              <w:bidi w:val="0"/>
              <w:adjustRightInd w:val="0"/>
              <w:snapToGrid w:val="0"/>
              <w:spacing w:before="0" w:after="0"/>
              <w:ind w:left="0" w:right="0" w:firstLine="0"/>
              <w:jc w:val="center"/>
              <w:textAlignment w:val="baseline"/>
              <w:rPr>
                <w:rFonts w:hint="eastAsia" w:ascii="宋体" w:hAnsi="宋体" w:eastAsia="宋体" w:cs="宋体"/>
                <w:color w:val="auto"/>
                <w:sz w:val="21"/>
                <w:szCs w:val="21"/>
                <w:highlight w:val="none"/>
              </w:rPr>
            </w:pPr>
          </w:p>
        </w:tc>
      </w:tr>
    </w:tbl>
    <w:p w14:paraId="3A48D9A5">
      <w:pPr>
        <w:keepNext w:val="0"/>
        <w:keepLines w:val="0"/>
        <w:pageBreakBefore w:val="0"/>
        <w:widowControl w:val="0"/>
        <w:kinsoku w:val="0"/>
        <w:wordWrap/>
        <w:overflowPunct/>
        <w:topLinePunct/>
        <w:autoSpaceDE w:val="0"/>
        <w:autoSpaceDN/>
        <w:bidi w:val="0"/>
        <w:adjustRightInd w:val="0"/>
        <w:snapToGrid w:val="0"/>
        <w:spacing w:before="128" w:line="5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甲方（盖章）：</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rPr>
        <w:t>乙方（盖章）</w:t>
      </w:r>
      <w:r>
        <w:rPr>
          <w:rFonts w:hint="eastAsia" w:ascii="宋体" w:hAnsi="宋体" w:eastAsia="宋体" w:cs="宋体"/>
          <w:color w:val="auto"/>
          <w:spacing w:val="-17"/>
          <w:sz w:val="21"/>
          <w:szCs w:val="21"/>
          <w:highlight w:val="none"/>
        </w:rPr>
        <w:t>：</w:t>
      </w:r>
      <w:r>
        <w:rPr>
          <w:rFonts w:hint="eastAsia" w:ascii="宋体" w:hAnsi="宋体" w:eastAsia="宋体" w:cs="宋体"/>
          <w:color w:val="auto"/>
          <w:sz w:val="21"/>
          <w:szCs w:val="21"/>
          <w:highlight w:val="none"/>
          <w:u w:val="single" w:color="auto"/>
        </w:rPr>
        <w:t xml:space="preserve">                </w:t>
      </w:r>
    </w:p>
    <w:p w14:paraId="494F215B">
      <w:pPr>
        <w:keepNext w:val="0"/>
        <w:keepLines w:val="0"/>
        <w:pageBreakBefore w:val="0"/>
        <w:widowControl w:val="0"/>
        <w:kinsoku w:val="0"/>
        <w:wordWrap/>
        <w:overflowPunct/>
        <w:topLinePunct/>
        <w:autoSpaceDE w:val="0"/>
        <w:autoSpaceDN/>
        <w:bidi w:val="0"/>
        <w:adjustRightInd w:val="0"/>
        <w:snapToGrid w:val="0"/>
        <w:spacing w:before="198" w:line="5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委托代理人签字：</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u w:val="single" w:color="auto"/>
          <w:lang w:val="en-US" w:eastAsia="zh-CN"/>
        </w:rPr>
        <w:t xml:space="preserve"> </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2"/>
          <w:sz w:val="21"/>
          <w:szCs w:val="21"/>
          <w:highlight w:val="none"/>
        </w:rPr>
        <w:t>委托代理人签字：</w:t>
      </w:r>
      <w:r>
        <w:rPr>
          <w:rFonts w:hint="eastAsia" w:ascii="宋体" w:hAnsi="宋体" w:eastAsia="宋体" w:cs="宋体"/>
          <w:color w:val="auto"/>
          <w:spacing w:val="-2"/>
          <w:sz w:val="21"/>
          <w:szCs w:val="21"/>
          <w:highlight w:val="none"/>
          <w:u w:val="single" w:color="auto"/>
        </w:rPr>
        <w:t xml:space="preserve">          </w:t>
      </w:r>
      <w:r>
        <w:rPr>
          <w:rFonts w:hint="eastAsia" w:ascii="宋体" w:hAnsi="宋体" w:cs="宋体"/>
          <w:color w:val="auto"/>
          <w:spacing w:val="-2"/>
          <w:sz w:val="21"/>
          <w:szCs w:val="21"/>
          <w:highlight w:val="none"/>
          <w:u w:val="single" w:color="auto"/>
          <w:lang w:val="en-US" w:eastAsia="zh-CN"/>
        </w:rPr>
        <w:t xml:space="preserve">  </w:t>
      </w:r>
      <w:r>
        <w:rPr>
          <w:rFonts w:hint="eastAsia" w:ascii="宋体" w:hAnsi="宋体" w:eastAsia="宋体" w:cs="宋体"/>
          <w:color w:val="auto"/>
          <w:spacing w:val="-2"/>
          <w:sz w:val="21"/>
          <w:szCs w:val="21"/>
          <w:highlight w:val="none"/>
          <w:u w:val="single" w:color="auto"/>
        </w:rPr>
        <w:t xml:space="preserve">  </w:t>
      </w:r>
    </w:p>
    <w:p w14:paraId="37F838A2">
      <w:pPr>
        <w:keepNext w:val="0"/>
        <w:keepLines w:val="0"/>
        <w:pageBreakBefore w:val="0"/>
        <w:widowControl w:val="0"/>
        <w:tabs>
          <w:tab w:val="left" w:pos="976"/>
        </w:tabs>
        <w:kinsoku w:val="0"/>
        <w:wordWrap/>
        <w:overflowPunct/>
        <w:topLinePunct/>
        <w:autoSpaceDE w:val="0"/>
        <w:autoSpaceDN/>
        <w:bidi w:val="0"/>
        <w:adjustRightInd w:val="0"/>
        <w:snapToGrid w:val="0"/>
        <w:spacing w:before="190" w:line="500" w:lineRule="exact"/>
        <w:ind w:firstLine="630" w:firstLineChars="3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p>
    <w:p w14:paraId="3DBD6D5D">
      <w:pPr>
        <w:keepNext w:val="0"/>
        <w:keepLines w:val="0"/>
        <w:pageBreakBefore w:val="0"/>
        <w:widowControl w:val="0"/>
        <w:overflowPunct/>
        <w:topLinePunct/>
        <w:autoSpaceDE w:val="0"/>
        <w:autoSpaceDN/>
        <w:bidi w:val="0"/>
        <w:adjustRightInd w:val="0"/>
        <w:snapToGrid w:val="0"/>
        <w:spacing w:line="184" w:lineRule="auto"/>
        <w:textAlignment w:val="baseline"/>
        <w:rPr>
          <w:rFonts w:hint="eastAsia" w:ascii="宋体" w:hAnsi="宋体" w:eastAsia="宋体" w:cs="宋体"/>
          <w:color w:val="auto"/>
          <w:sz w:val="21"/>
          <w:szCs w:val="21"/>
          <w:highlight w:val="none"/>
        </w:rPr>
        <w:sectPr>
          <w:footerReference r:id="rId7" w:type="default"/>
          <w:pgSz w:w="11905" w:h="16840"/>
          <w:pgMar w:top="1417" w:right="1417" w:bottom="1417" w:left="1417" w:header="850" w:footer="850" w:gutter="0"/>
          <w:pgNumType w:fmt="numberInDash" w:start="1"/>
          <w:cols w:space="0" w:num="1"/>
          <w:rtlGutter w:val="0"/>
          <w:docGrid w:linePitch="0" w:charSpace="0"/>
        </w:sectPr>
      </w:pPr>
    </w:p>
    <w:p w14:paraId="733E9705">
      <w:pPr>
        <w:keepNext w:val="0"/>
        <w:keepLines w:val="0"/>
        <w:pageBreakBefore w:val="0"/>
        <w:widowControl w:val="0"/>
        <w:overflowPunct/>
        <w:topLinePunct/>
        <w:autoSpaceDE w:val="0"/>
        <w:autoSpaceDN/>
        <w:bidi w:val="0"/>
        <w:adjustRightInd w:val="0"/>
        <w:snapToGrid w:val="0"/>
        <w:spacing w:before="68" w:line="223" w:lineRule="auto"/>
        <w:ind w:left="546"/>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表</w:t>
      </w:r>
      <w:r>
        <w:rPr>
          <w:rFonts w:hint="eastAsia" w:ascii="宋体" w:hAnsi="宋体" w:eastAsia="宋体" w:cs="宋体"/>
          <w:color w:val="auto"/>
          <w:spacing w:val="-48"/>
          <w:sz w:val="21"/>
          <w:szCs w:val="21"/>
          <w:highlight w:val="none"/>
        </w:rPr>
        <w:t xml:space="preserve"> </w:t>
      </w:r>
      <w:r>
        <w:rPr>
          <w:rFonts w:hint="eastAsia" w:ascii="宋体" w:hAnsi="宋体" w:eastAsia="宋体" w:cs="宋体"/>
          <w:color w:val="auto"/>
          <w:spacing w:val="-6"/>
          <w:sz w:val="21"/>
          <w:szCs w:val="21"/>
          <w:highlight w:val="none"/>
        </w:rPr>
        <w:t>2</w:t>
      </w:r>
    </w:p>
    <w:p w14:paraId="5BA90138">
      <w:pPr>
        <w:keepNext w:val="0"/>
        <w:keepLines w:val="0"/>
        <w:pageBreakBefore w:val="0"/>
        <w:widowControl w:val="0"/>
        <w:overflowPunct/>
        <w:topLinePunct/>
        <w:autoSpaceDE w:val="0"/>
        <w:autoSpaceDN/>
        <w:bidi w:val="0"/>
        <w:adjustRightInd w:val="0"/>
        <w:snapToGrid w:val="0"/>
        <w:spacing w:before="289" w:line="182" w:lineRule="auto"/>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肉制品供货及验收清单</w:t>
      </w:r>
    </w:p>
    <w:tbl>
      <w:tblPr>
        <w:tblStyle w:val="111"/>
        <w:tblW w:w="9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788"/>
        <w:gridCol w:w="1006"/>
        <w:gridCol w:w="803"/>
        <w:gridCol w:w="1015"/>
        <w:gridCol w:w="1006"/>
        <w:gridCol w:w="1123"/>
        <w:gridCol w:w="970"/>
        <w:gridCol w:w="897"/>
        <w:gridCol w:w="773"/>
        <w:gridCol w:w="840"/>
      </w:tblGrid>
      <w:tr w14:paraId="6B57A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663" w:type="dxa"/>
            <w:tcBorders>
              <w:top w:val="single" w:color="000000" w:sz="12" w:space="0"/>
              <w:left w:val="single" w:color="000000" w:sz="12" w:space="0"/>
            </w:tcBorders>
            <w:vAlign w:val="center"/>
          </w:tcPr>
          <w:p w14:paraId="0C4CCC19">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788" w:type="dxa"/>
            <w:tcBorders>
              <w:top w:val="single" w:color="000000" w:sz="12" w:space="0"/>
            </w:tcBorders>
            <w:vAlign w:val="center"/>
          </w:tcPr>
          <w:p w14:paraId="5D86B3C3">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品名</w:t>
            </w:r>
          </w:p>
        </w:tc>
        <w:tc>
          <w:tcPr>
            <w:tcW w:w="1006" w:type="dxa"/>
            <w:tcBorders>
              <w:top w:val="single" w:color="000000" w:sz="12" w:space="0"/>
            </w:tcBorders>
            <w:vAlign w:val="center"/>
          </w:tcPr>
          <w:p w14:paraId="35BCCBBA">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数量</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8"/>
                <w:sz w:val="21"/>
                <w:szCs w:val="21"/>
                <w:highlight w:val="none"/>
              </w:rPr>
              <w:t>（斤/个）</w:t>
            </w:r>
          </w:p>
        </w:tc>
        <w:tc>
          <w:tcPr>
            <w:tcW w:w="803" w:type="dxa"/>
            <w:tcBorders>
              <w:top w:val="single" w:color="000000" w:sz="12" w:space="0"/>
            </w:tcBorders>
            <w:vAlign w:val="center"/>
          </w:tcPr>
          <w:p w14:paraId="10E6D94D">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产地</w:t>
            </w:r>
          </w:p>
        </w:tc>
        <w:tc>
          <w:tcPr>
            <w:tcW w:w="1015" w:type="dxa"/>
            <w:tcBorders>
              <w:top w:val="single" w:color="000000" w:sz="12" w:space="0"/>
            </w:tcBorders>
            <w:vAlign w:val="center"/>
          </w:tcPr>
          <w:p w14:paraId="07183205">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生产者</w:t>
            </w:r>
            <w:r>
              <w:rPr>
                <w:rFonts w:hint="eastAsia" w:ascii="宋体" w:hAnsi="宋体" w:eastAsia="宋体" w:cs="宋体"/>
                <w:color w:val="auto"/>
                <w:spacing w:val="-3"/>
                <w:sz w:val="21"/>
                <w:szCs w:val="21"/>
                <w:highlight w:val="none"/>
              </w:rPr>
              <w:t>名称</w:t>
            </w:r>
          </w:p>
        </w:tc>
        <w:tc>
          <w:tcPr>
            <w:tcW w:w="1006" w:type="dxa"/>
            <w:tcBorders>
              <w:top w:val="single" w:color="000000" w:sz="12" w:space="0"/>
            </w:tcBorders>
            <w:vAlign w:val="center"/>
          </w:tcPr>
          <w:p w14:paraId="524E073A">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生产者地址</w:t>
            </w:r>
          </w:p>
        </w:tc>
        <w:tc>
          <w:tcPr>
            <w:tcW w:w="1123" w:type="dxa"/>
            <w:tcBorders>
              <w:top w:val="single" w:color="000000" w:sz="12" w:space="0"/>
            </w:tcBorders>
            <w:vAlign w:val="center"/>
          </w:tcPr>
          <w:p w14:paraId="5876E3FF">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包装标准及</w:t>
            </w: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2"/>
                <w:sz w:val="21"/>
                <w:szCs w:val="21"/>
                <w:highlight w:val="none"/>
              </w:rPr>
              <w:t>要求</w:t>
            </w:r>
          </w:p>
        </w:tc>
        <w:tc>
          <w:tcPr>
            <w:tcW w:w="970" w:type="dxa"/>
            <w:tcBorders>
              <w:top w:val="single" w:color="000000" w:sz="12" w:space="0"/>
            </w:tcBorders>
            <w:vAlign w:val="center"/>
          </w:tcPr>
          <w:p w14:paraId="7EEE1226">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运输保管</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2"/>
                <w:sz w:val="21"/>
                <w:szCs w:val="21"/>
                <w:highlight w:val="none"/>
              </w:rPr>
              <w:t>条件</w:t>
            </w:r>
          </w:p>
        </w:tc>
        <w:tc>
          <w:tcPr>
            <w:tcW w:w="897" w:type="dxa"/>
            <w:tcBorders>
              <w:top w:val="single" w:color="000000" w:sz="12" w:space="0"/>
            </w:tcBorders>
            <w:vAlign w:val="center"/>
          </w:tcPr>
          <w:p w14:paraId="3FA7A611">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检验检</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3"/>
                <w:sz w:val="21"/>
                <w:szCs w:val="21"/>
                <w:highlight w:val="none"/>
              </w:rPr>
              <w:t>疫结果</w:t>
            </w:r>
          </w:p>
        </w:tc>
        <w:tc>
          <w:tcPr>
            <w:tcW w:w="773" w:type="dxa"/>
            <w:tcBorders>
              <w:top w:val="single" w:color="000000" w:sz="12" w:space="0"/>
            </w:tcBorders>
            <w:vAlign w:val="center"/>
          </w:tcPr>
          <w:p w14:paraId="72A0E25D">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单价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3"/>
                <w:sz w:val="21"/>
                <w:szCs w:val="21"/>
                <w:highlight w:val="none"/>
              </w:rPr>
              <w:t>（元）</w:t>
            </w:r>
          </w:p>
        </w:tc>
        <w:tc>
          <w:tcPr>
            <w:tcW w:w="840" w:type="dxa"/>
            <w:tcBorders>
              <w:top w:val="single" w:color="000000" w:sz="12" w:space="0"/>
              <w:right w:val="single" w:color="000000" w:sz="12" w:space="0"/>
            </w:tcBorders>
            <w:vAlign w:val="center"/>
          </w:tcPr>
          <w:p w14:paraId="704E33EA">
            <w:pPr>
              <w:keepNext w:val="0"/>
              <w:keepLines w:val="0"/>
              <w:pageBreakBefore w:val="0"/>
              <w:widowControl w:val="0"/>
              <w:kinsoku/>
              <w:wordWrap/>
              <w:overflowPunct/>
              <w:topLinePunct/>
              <w:autoSpaceDE w:val="0"/>
              <w:autoSpaceDN/>
              <w:bidi w:val="0"/>
              <w:adjustRightInd/>
              <w:snapToGrid/>
              <w:spacing w:line="240" w:lineRule="auto"/>
              <w:ind w:left="0" w:right="0" w:firstLine="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总价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3"/>
                <w:sz w:val="21"/>
                <w:szCs w:val="21"/>
                <w:highlight w:val="none"/>
              </w:rPr>
              <w:t>（元）</w:t>
            </w:r>
          </w:p>
        </w:tc>
      </w:tr>
      <w:tr w14:paraId="13232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7CFFE36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5463703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0D4236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7453EF5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6D37614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09EB96F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18B057D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13E3866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21174FA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339870D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3BA73A0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38B42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765D1CD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6BDA0A5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75734C2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190D063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0C310B9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6532198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6B12EAE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3413B2B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2F81193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06A68FA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4314BB6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523F8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39BD58E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7716E9F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00B41E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159C45A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63DE525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10C41E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3F03A34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604AFB5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728BCD0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573FAF6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128F9EB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0D9A3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jc w:val="center"/>
        </w:trPr>
        <w:tc>
          <w:tcPr>
            <w:tcW w:w="663" w:type="dxa"/>
            <w:tcBorders>
              <w:left w:val="single" w:color="000000" w:sz="12" w:space="0"/>
            </w:tcBorders>
            <w:vAlign w:val="center"/>
          </w:tcPr>
          <w:p w14:paraId="33CA458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02D5973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698F0A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50CF23A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527C665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B5D2FF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2CC80B7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2271098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49524B6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5F5B377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57A3C04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661FD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41A78A0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3FACE04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7BBEA53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4727BE2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1555CF6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0A5B10F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72F04D2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6037CED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11476EB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6BBA8E2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07112C4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61B98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2D2C986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3BFF196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B034EE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55011EF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5A33092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619A5EE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05DCCCB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54F1039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0182D46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67113EA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6F84BA7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620BF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8" w:hRule="atLeast"/>
          <w:jc w:val="center"/>
        </w:trPr>
        <w:tc>
          <w:tcPr>
            <w:tcW w:w="663" w:type="dxa"/>
            <w:tcBorders>
              <w:left w:val="single" w:color="000000" w:sz="12" w:space="0"/>
            </w:tcBorders>
            <w:vAlign w:val="center"/>
          </w:tcPr>
          <w:p w14:paraId="63E5CF4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1E07579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3EF4F05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40ABE23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0BD3C4F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6435E8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3BAB469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13FBA08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54AE25C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0B5D320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1FABB82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32C32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3DD17AB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581CC1A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4A88CE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7531926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2DDF9D2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AF84DB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6F16CAD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4B71E13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35D5099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139F036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7BD53B4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5DB5C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605CA25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5A486B0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7B8D6D4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5DE0BB8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07A4B33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51336F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6CF1D22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0FE947F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06A6EA1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50674AA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73FD687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3CFBE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101BB27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03C53EB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456BD8D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5B3C583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21E277D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30F3164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47F0079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33928EF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1DDD42A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038336A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5571086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21996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4076C46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43CD4BE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54B592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772F17A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14E71D3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0F67050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1085F88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641966B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0B9CD4B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2CAD8AD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272DF03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6A3FF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34329D9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00A0400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6666E1D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0F03AAD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14EF49B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F126A3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7C8BB75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3DA5EC0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578BCC2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5C31DE8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4BD4357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357CE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39381A8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5711947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4640362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55ADB6E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70D4AAB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E3EE25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2DF4F66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1579D73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747602F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7028CA1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7ACB2B4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7E888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663" w:type="dxa"/>
            <w:tcBorders>
              <w:left w:val="single" w:color="000000" w:sz="12" w:space="0"/>
            </w:tcBorders>
            <w:vAlign w:val="center"/>
          </w:tcPr>
          <w:p w14:paraId="51C7680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3C6C72C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4769B2B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54CC382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5CE6115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196B79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255F638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04795F9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61CCB96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13FCB80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6F2EC36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064EA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663" w:type="dxa"/>
            <w:tcBorders>
              <w:left w:val="single" w:color="000000" w:sz="12" w:space="0"/>
            </w:tcBorders>
            <w:vAlign w:val="center"/>
          </w:tcPr>
          <w:p w14:paraId="607A582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vAlign w:val="center"/>
          </w:tcPr>
          <w:p w14:paraId="0BFB924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2F3F0E7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vAlign w:val="center"/>
          </w:tcPr>
          <w:p w14:paraId="737E003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vAlign w:val="center"/>
          </w:tcPr>
          <w:p w14:paraId="24D6B1E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vAlign w:val="center"/>
          </w:tcPr>
          <w:p w14:paraId="16D5D16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vAlign w:val="center"/>
          </w:tcPr>
          <w:p w14:paraId="00A74D2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vAlign w:val="center"/>
          </w:tcPr>
          <w:p w14:paraId="744C28C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vAlign w:val="center"/>
          </w:tcPr>
          <w:p w14:paraId="72C6CDC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vAlign w:val="center"/>
          </w:tcPr>
          <w:p w14:paraId="4FBE307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right w:val="single" w:color="000000" w:sz="12" w:space="0"/>
            </w:tcBorders>
            <w:vAlign w:val="center"/>
          </w:tcPr>
          <w:p w14:paraId="7D23982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r w14:paraId="394D4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663" w:type="dxa"/>
            <w:tcBorders>
              <w:left w:val="single" w:color="000000" w:sz="12" w:space="0"/>
              <w:bottom w:val="single" w:color="000000" w:sz="12" w:space="0"/>
            </w:tcBorders>
            <w:vAlign w:val="center"/>
          </w:tcPr>
          <w:p w14:paraId="4D4D326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88" w:type="dxa"/>
            <w:tcBorders>
              <w:bottom w:val="single" w:color="000000" w:sz="12" w:space="0"/>
            </w:tcBorders>
            <w:vAlign w:val="center"/>
          </w:tcPr>
          <w:p w14:paraId="22604FF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tcBorders>
              <w:bottom w:val="single" w:color="000000" w:sz="12" w:space="0"/>
            </w:tcBorders>
            <w:vAlign w:val="center"/>
          </w:tcPr>
          <w:p w14:paraId="50C3FBC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03" w:type="dxa"/>
            <w:tcBorders>
              <w:bottom w:val="single" w:color="000000" w:sz="12" w:space="0"/>
            </w:tcBorders>
            <w:vAlign w:val="center"/>
          </w:tcPr>
          <w:p w14:paraId="63426BD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15" w:type="dxa"/>
            <w:tcBorders>
              <w:bottom w:val="single" w:color="000000" w:sz="12" w:space="0"/>
            </w:tcBorders>
            <w:vAlign w:val="center"/>
          </w:tcPr>
          <w:p w14:paraId="30406A2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006" w:type="dxa"/>
            <w:tcBorders>
              <w:bottom w:val="single" w:color="000000" w:sz="12" w:space="0"/>
            </w:tcBorders>
            <w:vAlign w:val="center"/>
          </w:tcPr>
          <w:p w14:paraId="49AB4BB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1123" w:type="dxa"/>
            <w:tcBorders>
              <w:bottom w:val="single" w:color="000000" w:sz="12" w:space="0"/>
            </w:tcBorders>
            <w:vAlign w:val="center"/>
          </w:tcPr>
          <w:p w14:paraId="0E6853F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970" w:type="dxa"/>
            <w:tcBorders>
              <w:bottom w:val="single" w:color="000000" w:sz="12" w:space="0"/>
            </w:tcBorders>
            <w:vAlign w:val="center"/>
          </w:tcPr>
          <w:p w14:paraId="37CF3FF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97" w:type="dxa"/>
            <w:tcBorders>
              <w:bottom w:val="single" w:color="000000" w:sz="12" w:space="0"/>
            </w:tcBorders>
            <w:vAlign w:val="center"/>
          </w:tcPr>
          <w:p w14:paraId="4C693A1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773" w:type="dxa"/>
            <w:tcBorders>
              <w:bottom w:val="single" w:color="000000" w:sz="12" w:space="0"/>
            </w:tcBorders>
            <w:vAlign w:val="center"/>
          </w:tcPr>
          <w:p w14:paraId="75A236F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c>
          <w:tcPr>
            <w:tcW w:w="840" w:type="dxa"/>
            <w:tcBorders>
              <w:bottom w:val="single" w:color="000000" w:sz="12" w:space="0"/>
              <w:right w:val="single" w:color="000000" w:sz="12" w:space="0"/>
            </w:tcBorders>
            <w:vAlign w:val="center"/>
          </w:tcPr>
          <w:p w14:paraId="7B417DF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firstLine="0"/>
              <w:jc w:val="center"/>
              <w:textAlignment w:val="baseline"/>
              <w:rPr>
                <w:rFonts w:hint="eastAsia" w:ascii="宋体" w:hAnsi="宋体" w:eastAsia="宋体" w:cs="宋体"/>
                <w:color w:val="auto"/>
                <w:sz w:val="21"/>
                <w:szCs w:val="21"/>
                <w:highlight w:val="none"/>
              </w:rPr>
            </w:pPr>
          </w:p>
        </w:tc>
      </w:tr>
    </w:tbl>
    <w:p w14:paraId="68AE4608">
      <w:pPr>
        <w:keepNext w:val="0"/>
        <w:keepLines w:val="0"/>
        <w:pageBreakBefore w:val="0"/>
        <w:widowControl w:val="0"/>
        <w:kinsoku w:val="0"/>
        <w:wordWrap/>
        <w:overflowPunct/>
        <w:topLinePunct/>
        <w:autoSpaceDE w:val="0"/>
        <w:autoSpaceDN/>
        <w:bidi w:val="0"/>
        <w:adjustRightInd w:val="0"/>
        <w:snapToGrid w:val="0"/>
        <w:spacing w:before="128" w:line="5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甲方（盖章）：</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rPr>
        <w:t>乙方（盖章）</w:t>
      </w:r>
      <w:r>
        <w:rPr>
          <w:rFonts w:hint="eastAsia" w:ascii="宋体" w:hAnsi="宋体" w:eastAsia="宋体" w:cs="宋体"/>
          <w:color w:val="auto"/>
          <w:spacing w:val="-17"/>
          <w:sz w:val="21"/>
          <w:szCs w:val="21"/>
          <w:highlight w:val="none"/>
        </w:rPr>
        <w:t>：</w:t>
      </w:r>
      <w:r>
        <w:rPr>
          <w:rFonts w:hint="eastAsia" w:ascii="宋体" w:hAnsi="宋体" w:eastAsia="宋体" w:cs="宋体"/>
          <w:color w:val="auto"/>
          <w:sz w:val="21"/>
          <w:szCs w:val="21"/>
          <w:highlight w:val="none"/>
          <w:u w:val="single" w:color="auto"/>
        </w:rPr>
        <w:t xml:space="preserve">                </w:t>
      </w:r>
    </w:p>
    <w:p w14:paraId="7F49C048">
      <w:pPr>
        <w:keepNext w:val="0"/>
        <w:keepLines w:val="0"/>
        <w:pageBreakBefore w:val="0"/>
        <w:widowControl w:val="0"/>
        <w:kinsoku w:val="0"/>
        <w:wordWrap/>
        <w:overflowPunct/>
        <w:topLinePunct/>
        <w:autoSpaceDE w:val="0"/>
        <w:autoSpaceDN/>
        <w:bidi w:val="0"/>
        <w:adjustRightInd w:val="0"/>
        <w:snapToGrid w:val="0"/>
        <w:spacing w:before="198" w:line="5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委托代理人签字：</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u w:val="single" w:color="auto"/>
          <w:lang w:val="en-US" w:eastAsia="zh-CN"/>
        </w:rPr>
        <w:t xml:space="preserve"> </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 xml:space="preserve">                         </w:t>
      </w:r>
      <w:r>
        <w:rPr>
          <w:rFonts w:hint="eastAsia" w:ascii="宋体" w:hAnsi="宋体" w:cs="宋体"/>
          <w:color w:val="auto"/>
          <w:spacing w:val="-1"/>
          <w:sz w:val="21"/>
          <w:szCs w:val="21"/>
          <w:highlight w:val="none"/>
          <w:lang w:val="en-US" w:eastAsia="zh-CN"/>
        </w:rPr>
        <w:t xml:space="preserve"> </w:t>
      </w:r>
      <w:r>
        <w:rPr>
          <w:rFonts w:hint="eastAsia" w:ascii="宋体" w:hAnsi="宋体" w:eastAsia="宋体" w:cs="宋体"/>
          <w:color w:val="auto"/>
          <w:spacing w:val="-2"/>
          <w:sz w:val="21"/>
          <w:szCs w:val="21"/>
          <w:highlight w:val="none"/>
        </w:rPr>
        <w:t>委托代理人签字：</w:t>
      </w:r>
      <w:r>
        <w:rPr>
          <w:rFonts w:hint="eastAsia" w:ascii="宋体" w:hAnsi="宋体" w:eastAsia="宋体" w:cs="宋体"/>
          <w:color w:val="auto"/>
          <w:spacing w:val="-2"/>
          <w:sz w:val="21"/>
          <w:szCs w:val="21"/>
          <w:highlight w:val="none"/>
          <w:u w:val="single" w:color="auto"/>
        </w:rPr>
        <w:t xml:space="preserve">                </w:t>
      </w:r>
    </w:p>
    <w:p w14:paraId="0465E442">
      <w:pPr>
        <w:keepNext w:val="0"/>
        <w:keepLines w:val="0"/>
        <w:pageBreakBefore w:val="0"/>
        <w:widowControl w:val="0"/>
        <w:tabs>
          <w:tab w:val="left" w:pos="976"/>
        </w:tabs>
        <w:kinsoku w:val="0"/>
        <w:wordWrap/>
        <w:overflowPunct/>
        <w:topLinePunct/>
        <w:autoSpaceDE w:val="0"/>
        <w:autoSpaceDN/>
        <w:bidi w:val="0"/>
        <w:adjustRightInd w:val="0"/>
        <w:snapToGrid w:val="0"/>
        <w:spacing w:before="190" w:line="500" w:lineRule="exact"/>
        <w:ind w:firstLine="630" w:firstLineChars="3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p>
    <w:p w14:paraId="5B20B3A0">
      <w:pPr>
        <w:keepNext w:val="0"/>
        <w:keepLines w:val="0"/>
        <w:pageBreakBefore w:val="0"/>
        <w:widowControl w:val="0"/>
        <w:overflowPunct/>
        <w:topLinePunct/>
        <w:autoSpaceDE w:val="0"/>
        <w:autoSpaceDN/>
        <w:bidi w:val="0"/>
        <w:adjustRightInd w:val="0"/>
        <w:snapToGrid w:val="0"/>
        <w:spacing w:line="184" w:lineRule="auto"/>
        <w:textAlignment w:val="baseline"/>
        <w:rPr>
          <w:rFonts w:hint="eastAsia" w:ascii="宋体" w:hAnsi="宋体" w:eastAsia="宋体" w:cs="宋体"/>
          <w:color w:val="auto"/>
          <w:sz w:val="21"/>
          <w:szCs w:val="21"/>
          <w:highlight w:val="none"/>
        </w:rPr>
        <w:sectPr>
          <w:footerReference r:id="rId8" w:type="default"/>
          <w:pgSz w:w="11905" w:h="16840"/>
          <w:pgMar w:top="1417" w:right="1417" w:bottom="1417" w:left="1417" w:header="850" w:footer="850" w:gutter="0"/>
          <w:pgNumType w:fmt="numberInDash"/>
          <w:cols w:space="0" w:num="1"/>
          <w:rtlGutter w:val="0"/>
          <w:docGrid w:linePitch="0" w:charSpace="0"/>
        </w:sectPr>
      </w:pPr>
    </w:p>
    <w:p w14:paraId="485AA34B">
      <w:pPr>
        <w:keepNext w:val="0"/>
        <w:keepLines w:val="0"/>
        <w:pageBreakBefore w:val="0"/>
        <w:widowControl w:val="0"/>
        <w:overflowPunct/>
        <w:topLinePunct/>
        <w:autoSpaceDE w:val="0"/>
        <w:autoSpaceDN/>
        <w:bidi w:val="0"/>
        <w:adjustRightInd w:val="0"/>
        <w:snapToGrid w:val="0"/>
        <w:spacing w:before="68" w:line="223" w:lineRule="auto"/>
        <w:ind w:left="558"/>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rPr>
        <w:t>表</w:t>
      </w:r>
      <w:r>
        <w:rPr>
          <w:rFonts w:hint="eastAsia" w:ascii="宋体" w:hAnsi="宋体" w:eastAsia="宋体" w:cs="宋体"/>
          <w:color w:val="auto"/>
          <w:spacing w:val="-43"/>
          <w:sz w:val="21"/>
          <w:szCs w:val="21"/>
          <w:highlight w:val="none"/>
        </w:rPr>
        <w:t xml:space="preserve"> </w:t>
      </w:r>
      <w:r>
        <w:rPr>
          <w:rFonts w:hint="eastAsia" w:ascii="宋体" w:hAnsi="宋体" w:eastAsia="宋体" w:cs="宋体"/>
          <w:color w:val="auto"/>
          <w:spacing w:val="-43"/>
          <w:sz w:val="21"/>
          <w:szCs w:val="21"/>
          <w:highlight w:val="none"/>
          <w:lang w:val="en-US" w:eastAsia="zh-CN"/>
        </w:rPr>
        <w:t>3</w:t>
      </w:r>
    </w:p>
    <w:p w14:paraId="5637C04D">
      <w:pPr>
        <w:keepNext w:val="0"/>
        <w:keepLines w:val="0"/>
        <w:pageBreakBefore w:val="0"/>
        <w:widowControl w:val="0"/>
        <w:overflowPunct/>
        <w:topLinePunct/>
        <w:autoSpaceDE w:val="0"/>
        <w:autoSpaceDN/>
        <w:bidi w:val="0"/>
        <w:adjustRightInd w:val="0"/>
        <w:snapToGrid w:val="0"/>
        <w:spacing w:before="289" w:line="182" w:lineRule="auto"/>
        <w:jc w:val="center"/>
        <w:textAlignment w:val="baseline"/>
        <w:rPr>
          <w:rFonts w:hint="eastAsia" w:ascii="宋体" w:hAnsi="宋体" w:eastAsia="宋体" w:cs="宋体"/>
          <w:color w:val="auto"/>
          <w:sz w:val="21"/>
          <w:szCs w:val="21"/>
          <w:highlight w:val="none"/>
        </w:rPr>
      </w:pPr>
      <w:r>
        <w:rPr>
          <w:rFonts w:hint="eastAsia" w:ascii="宋体" w:hAnsi="宋体" w:cs="宋体"/>
          <w:color w:val="auto"/>
          <w:spacing w:val="-1"/>
          <w:sz w:val="21"/>
          <w:szCs w:val="21"/>
          <w:highlight w:val="none"/>
          <w:lang w:val="en-US" w:eastAsia="zh-CN"/>
        </w:rPr>
        <w:t>干货</w:t>
      </w:r>
      <w:r>
        <w:rPr>
          <w:rFonts w:hint="eastAsia" w:ascii="宋体" w:hAnsi="宋体" w:eastAsia="宋体" w:cs="宋体"/>
          <w:color w:val="auto"/>
          <w:spacing w:val="-1"/>
          <w:sz w:val="21"/>
          <w:szCs w:val="21"/>
          <w:highlight w:val="none"/>
          <w:lang w:val="en-US" w:eastAsia="zh-CN"/>
        </w:rPr>
        <w:t>及</w:t>
      </w:r>
      <w:r>
        <w:rPr>
          <w:rFonts w:hint="eastAsia" w:ascii="宋体" w:hAnsi="宋体" w:eastAsia="宋体" w:cs="宋体"/>
          <w:color w:val="auto"/>
          <w:spacing w:val="-1"/>
          <w:sz w:val="21"/>
          <w:szCs w:val="21"/>
          <w:highlight w:val="none"/>
        </w:rPr>
        <w:t>调味品供货及验收清单</w:t>
      </w:r>
    </w:p>
    <w:tbl>
      <w:tblPr>
        <w:tblStyle w:val="111"/>
        <w:tblW w:w="9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0"/>
        <w:gridCol w:w="665"/>
        <w:gridCol w:w="763"/>
        <w:gridCol w:w="779"/>
        <w:gridCol w:w="678"/>
        <w:gridCol w:w="1072"/>
        <w:gridCol w:w="879"/>
        <w:gridCol w:w="1015"/>
        <w:gridCol w:w="933"/>
        <w:gridCol w:w="933"/>
        <w:gridCol w:w="808"/>
        <w:gridCol w:w="792"/>
      </w:tblGrid>
      <w:tr w14:paraId="6B863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590" w:type="dxa"/>
            <w:tcBorders>
              <w:top w:val="single" w:color="000000" w:sz="12" w:space="0"/>
              <w:left w:val="single" w:color="000000" w:sz="12" w:space="0"/>
            </w:tcBorders>
            <w:vAlign w:val="center"/>
          </w:tcPr>
          <w:p w14:paraId="17829AF0">
            <w:pPr>
              <w:keepNext w:val="0"/>
              <w:keepLines w:val="0"/>
              <w:pageBreakBefore w:val="0"/>
              <w:widowControl w:val="0"/>
              <w:kinsoku/>
              <w:wordWrap/>
              <w:overflowPunct/>
              <w:topLinePunct/>
              <w:autoSpaceDE w:val="0"/>
              <w:autoSpaceDN/>
              <w:bidi w:val="0"/>
              <w:adjustRightInd/>
              <w:snapToGrid/>
              <w:spacing w:line="240" w:lineRule="auto"/>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665" w:type="dxa"/>
            <w:tcBorders>
              <w:top w:val="single" w:color="000000" w:sz="12" w:space="0"/>
            </w:tcBorders>
            <w:vAlign w:val="center"/>
          </w:tcPr>
          <w:p w14:paraId="126808A6">
            <w:pPr>
              <w:keepNext w:val="0"/>
              <w:keepLines w:val="0"/>
              <w:pageBreakBefore w:val="0"/>
              <w:widowControl w:val="0"/>
              <w:kinsoku/>
              <w:wordWrap/>
              <w:overflowPunct/>
              <w:topLinePunct/>
              <w:autoSpaceDE w:val="0"/>
              <w:autoSpaceDN/>
              <w:bidi w:val="0"/>
              <w:adjustRightInd/>
              <w:snapToGrid/>
              <w:spacing w:line="240" w:lineRule="auto"/>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品名</w:t>
            </w:r>
          </w:p>
        </w:tc>
        <w:tc>
          <w:tcPr>
            <w:tcW w:w="763" w:type="dxa"/>
            <w:tcBorders>
              <w:top w:val="single" w:color="000000" w:sz="12" w:space="0"/>
            </w:tcBorders>
            <w:vAlign w:val="center"/>
          </w:tcPr>
          <w:p w14:paraId="4691BAFF">
            <w:pPr>
              <w:keepNext w:val="0"/>
              <w:keepLines w:val="0"/>
              <w:pageBreakBefore w:val="0"/>
              <w:widowControl w:val="0"/>
              <w:kinsoku/>
              <w:wordWrap/>
              <w:overflowPunct/>
              <w:topLinePunct/>
              <w:autoSpaceDE w:val="0"/>
              <w:autoSpaceDN/>
              <w:bidi w:val="0"/>
              <w:adjustRightInd/>
              <w:snapToGrid/>
              <w:spacing w:line="240" w:lineRule="auto"/>
              <w:ind w:left="0" w:right="0" w:firstLine="14"/>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数量</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3"/>
                <w:sz w:val="21"/>
                <w:szCs w:val="21"/>
                <w:highlight w:val="none"/>
              </w:rPr>
              <w:t>（/）</w:t>
            </w:r>
          </w:p>
        </w:tc>
        <w:tc>
          <w:tcPr>
            <w:tcW w:w="779" w:type="dxa"/>
            <w:tcBorders>
              <w:top w:val="single" w:color="000000" w:sz="12" w:space="0"/>
            </w:tcBorders>
            <w:vAlign w:val="center"/>
          </w:tcPr>
          <w:p w14:paraId="0FB37A11">
            <w:pPr>
              <w:keepNext w:val="0"/>
              <w:keepLines w:val="0"/>
              <w:pageBreakBefore w:val="0"/>
              <w:widowControl w:val="0"/>
              <w:kinsoku/>
              <w:wordWrap/>
              <w:overflowPunct/>
              <w:topLinePunct/>
              <w:autoSpaceDE w:val="0"/>
              <w:autoSpaceDN/>
              <w:bidi w:val="0"/>
              <w:adjustRightInd/>
              <w:snapToGrid/>
              <w:spacing w:line="240" w:lineRule="auto"/>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产地</w:t>
            </w:r>
          </w:p>
        </w:tc>
        <w:tc>
          <w:tcPr>
            <w:tcW w:w="678" w:type="dxa"/>
            <w:tcBorders>
              <w:top w:val="single" w:color="000000" w:sz="12" w:space="0"/>
            </w:tcBorders>
            <w:vAlign w:val="center"/>
          </w:tcPr>
          <w:p w14:paraId="11F54B9A">
            <w:pPr>
              <w:keepNext w:val="0"/>
              <w:keepLines w:val="0"/>
              <w:pageBreakBefore w:val="0"/>
              <w:widowControl w:val="0"/>
              <w:kinsoku/>
              <w:wordWrap/>
              <w:overflowPunct/>
              <w:topLinePunct/>
              <w:autoSpaceDE w:val="0"/>
              <w:autoSpaceDN/>
              <w:bidi w:val="0"/>
              <w:adjustRightInd/>
              <w:snapToGrid/>
              <w:spacing w:line="240" w:lineRule="auto"/>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品牌</w:t>
            </w:r>
          </w:p>
        </w:tc>
        <w:tc>
          <w:tcPr>
            <w:tcW w:w="1072" w:type="dxa"/>
            <w:tcBorders>
              <w:top w:val="single" w:color="000000" w:sz="12" w:space="0"/>
            </w:tcBorders>
            <w:vAlign w:val="center"/>
          </w:tcPr>
          <w:p w14:paraId="3D675D75">
            <w:pPr>
              <w:keepNext w:val="0"/>
              <w:keepLines w:val="0"/>
              <w:pageBreakBefore w:val="0"/>
              <w:widowControl w:val="0"/>
              <w:kinsoku/>
              <w:wordWrap/>
              <w:overflowPunct/>
              <w:topLinePunct/>
              <w:autoSpaceDE w:val="0"/>
              <w:autoSpaceDN/>
              <w:bidi w:val="0"/>
              <w:adjustRightInd/>
              <w:snapToGrid/>
              <w:spacing w:line="240" w:lineRule="auto"/>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执行标准</w:t>
            </w:r>
          </w:p>
        </w:tc>
        <w:tc>
          <w:tcPr>
            <w:tcW w:w="879" w:type="dxa"/>
            <w:tcBorders>
              <w:top w:val="single" w:color="000000" w:sz="12" w:space="0"/>
            </w:tcBorders>
            <w:vAlign w:val="center"/>
          </w:tcPr>
          <w:p w14:paraId="2968085F">
            <w:pPr>
              <w:keepNext w:val="0"/>
              <w:keepLines w:val="0"/>
              <w:pageBreakBefore w:val="0"/>
              <w:widowControl w:val="0"/>
              <w:kinsoku/>
              <w:wordWrap/>
              <w:overflowPunct/>
              <w:topLinePunct/>
              <w:autoSpaceDE w:val="0"/>
              <w:autoSpaceDN/>
              <w:bidi w:val="0"/>
              <w:adjustRightInd/>
              <w:snapToGrid/>
              <w:spacing w:line="240" w:lineRule="auto"/>
              <w:ind w:left="0" w:right="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生产商</w:t>
            </w:r>
          </w:p>
        </w:tc>
        <w:tc>
          <w:tcPr>
            <w:tcW w:w="1015" w:type="dxa"/>
            <w:tcBorders>
              <w:top w:val="single" w:color="000000" w:sz="12" w:space="0"/>
            </w:tcBorders>
            <w:vAlign w:val="center"/>
          </w:tcPr>
          <w:p w14:paraId="51354D30">
            <w:pPr>
              <w:keepNext w:val="0"/>
              <w:keepLines w:val="0"/>
              <w:pageBreakBefore w:val="0"/>
              <w:widowControl w:val="0"/>
              <w:kinsoku/>
              <w:wordWrap/>
              <w:overflowPunct/>
              <w:topLinePunct/>
              <w:autoSpaceDE w:val="0"/>
              <w:autoSpaceDN/>
              <w:bidi w:val="0"/>
              <w:adjustRightInd/>
              <w:snapToGrid/>
              <w:spacing w:line="240" w:lineRule="auto"/>
              <w:ind w:left="0" w:right="0" w:hanging="91"/>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包装标准</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2"/>
                <w:sz w:val="21"/>
                <w:szCs w:val="21"/>
                <w:highlight w:val="none"/>
              </w:rPr>
              <w:t>及要求</w:t>
            </w:r>
          </w:p>
        </w:tc>
        <w:tc>
          <w:tcPr>
            <w:tcW w:w="933" w:type="dxa"/>
            <w:tcBorders>
              <w:top w:val="single" w:color="000000" w:sz="12" w:space="0"/>
            </w:tcBorders>
            <w:vAlign w:val="center"/>
          </w:tcPr>
          <w:p w14:paraId="498C911E">
            <w:pPr>
              <w:keepNext w:val="0"/>
              <w:keepLines w:val="0"/>
              <w:pageBreakBefore w:val="0"/>
              <w:widowControl w:val="0"/>
              <w:kinsoku/>
              <w:wordWrap/>
              <w:overflowPunct/>
              <w:topLinePunct/>
              <w:autoSpaceDE w:val="0"/>
              <w:autoSpaceDN/>
              <w:bidi w:val="0"/>
              <w:adjustRightInd/>
              <w:snapToGrid/>
              <w:spacing w:line="240" w:lineRule="auto"/>
              <w:ind w:left="0" w:right="0" w:hanging="178"/>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运输保管</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2"/>
                <w:sz w:val="21"/>
                <w:szCs w:val="21"/>
                <w:highlight w:val="none"/>
              </w:rPr>
              <w:t>条件</w:t>
            </w:r>
          </w:p>
        </w:tc>
        <w:tc>
          <w:tcPr>
            <w:tcW w:w="933" w:type="dxa"/>
            <w:tcBorders>
              <w:top w:val="single" w:color="000000" w:sz="12" w:space="0"/>
            </w:tcBorders>
            <w:vAlign w:val="center"/>
          </w:tcPr>
          <w:p w14:paraId="16F588B5">
            <w:pPr>
              <w:keepNext w:val="0"/>
              <w:keepLines w:val="0"/>
              <w:pageBreakBefore w:val="0"/>
              <w:widowControl w:val="0"/>
              <w:kinsoku/>
              <w:wordWrap/>
              <w:overflowPunct/>
              <w:topLinePunct/>
              <w:autoSpaceDE w:val="0"/>
              <w:autoSpaceDN/>
              <w:bidi w:val="0"/>
              <w:adjustRightInd/>
              <w:snapToGrid/>
              <w:spacing w:line="240" w:lineRule="auto"/>
              <w:ind w:left="0" w:right="0" w:firstLine="87"/>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产品</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3"/>
                <w:sz w:val="21"/>
                <w:szCs w:val="21"/>
                <w:highlight w:val="none"/>
              </w:rPr>
              <w:t>合格证</w:t>
            </w:r>
          </w:p>
        </w:tc>
        <w:tc>
          <w:tcPr>
            <w:tcW w:w="808" w:type="dxa"/>
            <w:tcBorders>
              <w:top w:val="single" w:color="000000" w:sz="12" w:space="0"/>
            </w:tcBorders>
            <w:vAlign w:val="center"/>
          </w:tcPr>
          <w:p w14:paraId="1F488CFB">
            <w:pPr>
              <w:keepNext w:val="0"/>
              <w:keepLines w:val="0"/>
              <w:pageBreakBefore w:val="0"/>
              <w:widowControl w:val="0"/>
              <w:kinsoku/>
              <w:wordWrap/>
              <w:overflowPunct/>
              <w:topLinePunct/>
              <w:autoSpaceDE w:val="0"/>
              <w:autoSpaceDN/>
              <w:bidi w:val="0"/>
              <w:adjustRightInd/>
              <w:snapToGrid/>
              <w:spacing w:line="240" w:lineRule="auto"/>
              <w:ind w:left="0" w:right="0" w:firstLine="82"/>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单价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3"/>
                <w:sz w:val="21"/>
                <w:szCs w:val="21"/>
                <w:highlight w:val="none"/>
              </w:rPr>
              <w:t>（元）</w:t>
            </w:r>
          </w:p>
        </w:tc>
        <w:tc>
          <w:tcPr>
            <w:tcW w:w="792" w:type="dxa"/>
            <w:tcBorders>
              <w:top w:val="single" w:color="000000" w:sz="12" w:space="0"/>
              <w:right w:val="single" w:color="000000" w:sz="12" w:space="0"/>
            </w:tcBorders>
            <w:vAlign w:val="center"/>
          </w:tcPr>
          <w:p w14:paraId="030274DD">
            <w:pPr>
              <w:keepNext w:val="0"/>
              <w:keepLines w:val="0"/>
              <w:pageBreakBefore w:val="0"/>
              <w:widowControl w:val="0"/>
              <w:kinsoku/>
              <w:wordWrap/>
              <w:overflowPunct/>
              <w:topLinePunct/>
              <w:autoSpaceDE w:val="0"/>
              <w:autoSpaceDN/>
              <w:bidi w:val="0"/>
              <w:adjustRightInd/>
              <w:snapToGrid/>
              <w:spacing w:line="240" w:lineRule="auto"/>
              <w:ind w:left="0" w:right="0" w:firstLine="81"/>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总价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3"/>
                <w:sz w:val="21"/>
                <w:szCs w:val="21"/>
                <w:highlight w:val="none"/>
              </w:rPr>
              <w:t>（元）</w:t>
            </w:r>
          </w:p>
        </w:tc>
      </w:tr>
      <w:tr w14:paraId="15D36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01B63A2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692383F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7A86955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22266E2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5E4724A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38AD132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4812679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43C500B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26A60BA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083920D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4DDA4F4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61EF109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42294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014D056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35DB0D8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494B3F3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6047E65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17EAFA6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5DD8B99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561446E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0850066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497C03E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04F08E5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295FF03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411EDC1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07BBB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0" w:type="dxa"/>
            <w:tcBorders>
              <w:left w:val="single" w:color="000000" w:sz="12" w:space="0"/>
            </w:tcBorders>
            <w:vAlign w:val="center"/>
          </w:tcPr>
          <w:p w14:paraId="3EECE96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2C747C8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1EDFFAA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59D86BC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0402D8C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74D340D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0EE4CF2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515CC82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48A7397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042EBD8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5A31530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2235D75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27A68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2C145F5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4F1B19B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5DE45A0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4C88681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2E28ED5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5ADE207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60625AD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2F423D1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6C313E8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794B8F7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173CA99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78A2397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4F8D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00FBB1D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0B4B754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2F61CC1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3F75D94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70FB5EA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6B03366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1B6C767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25A0602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653AF51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4C3D78E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6FF4B39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564BA66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44B20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0" w:type="dxa"/>
            <w:tcBorders>
              <w:left w:val="single" w:color="000000" w:sz="12" w:space="0"/>
            </w:tcBorders>
            <w:vAlign w:val="center"/>
          </w:tcPr>
          <w:p w14:paraId="097EE84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37B746B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16480D3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36075B2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79869FD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3366B22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1B7F6B6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539DFB3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31A162F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7ADFD2E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4D37961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5F54DDA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1AA33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3A2E109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72539BC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7754759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6D78E3F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61522F2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473002D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7DEFA20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2A1AC31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4BB88BF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7224C5B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1FCA539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24E5625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50AC1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2918355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3F598EB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1ABF9E2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100A317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0EE391C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6612374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6B58DE9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09460B2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796E92D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5B59CDD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437BE69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4079B4C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48BDA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0" w:type="dxa"/>
            <w:tcBorders>
              <w:left w:val="single" w:color="000000" w:sz="12" w:space="0"/>
            </w:tcBorders>
            <w:vAlign w:val="center"/>
          </w:tcPr>
          <w:p w14:paraId="663A0BB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1ACE200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390E00A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7BEB389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7B81C2D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2A6CAB5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00E3B32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6F3968A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373C81B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151C05C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0BBC3BE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21EF2AC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2D2D6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19348C8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1778FD8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1A21CAC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09F6775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2D43208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2DBF033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29EC2FD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1EFF8DA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3983D23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60A8ADE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44D4A2B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115C5D8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3678E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4783A20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6130740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66249DC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7C8EEDA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6C1C5E5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069DC76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4F1DB7F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6BEDFB4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04E70EB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4703EB3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335FE25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7B2FD3E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27C49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0" w:type="dxa"/>
            <w:tcBorders>
              <w:left w:val="single" w:color="000000" w:sz="12" w:space="0"/>
            </w:tcBorders>
            <w:vAlign w:val="center"/>
          </w:tcPr>
          <w:p w14:paraId="5334FEF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272C493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35287F9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2301376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1D5FE92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1630971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2FC1F7B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510FD79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1728867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5DA1271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1F484A4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25EE6F8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49474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222A821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4B41060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4F78E21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3C5595E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097DD80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76CA59F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2BEA5296">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50F32D1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092834A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3215074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5A1D0C9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57E4F03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2F36D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23DED80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0A63A1E8">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31FF8C0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3D1719F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7D81DE7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03A44FC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0837392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2C7F7E9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01D786D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726C6A2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47CBA0C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4B7D98F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045AF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jc w:val="center"/>
        </w:trPr>
        <w:tc>
          <w:tcPr>
            <w:tcW w:w="590" w:type="dxa"/>
            <w:tcBorders>
              <w:left w:val="single" w:color="000000" w:sz="12" w:space="0"/>
            </w:tcBorders>
            <w:vAlign w:val="center"/>
          </w:tcPr>
          <w:p w14:paraId="28D382A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7F5192A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57D42B4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51D3FDA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7E3A1E8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06E6BDB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424274B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276B62C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002F9A9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6D21F96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585D62A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33411BC3">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47714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jc w:val="center"/>
        </w:trPr>
        <w:tc>
          <w:tcPr>
            <w:tcW w:w="590" w:type="dxa"/>
            <w:tcBorders>
              <w:left w:val="single" w:color="000000" w:sz="12" w:space="0"/>
            </w:tcBorders>
            <w:vAlign w:val="center"/>
          </w:tcPr>
          <w:p w14:paraId="01A6EEF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vAlign w:val="center"/>
          </w:tcPr>
          <w:p w14:paraId="1D5A27AA">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vAlign w:val="center"/>
          </w:tcPr>
          <w:p w14:paraId="02EEF22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vAlign w:val="center"/>
          </w:tcPr>
          <w:p w14:paraId="5A41A09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vAlign w:val="center"/>
          </w:tcPr>
          <w:p w14:paraId="5CCD207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vAlign w:val="center"/>
          </w:tcPr>
          <w:p w14:paraId="251BC72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vAlign w:val="center"/>
          </w:tcPr>
          <w:p w14:paraId="730B515D">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vAlign w:val="center"/>
          </w:tcPr>
          <w:p w14:paraId="3239C5F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73CF75B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vAlign w:val="center"/>
          </w:tcPr>
          <w:p w14:paraId="627D853E">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vAlign w:val="center"/>
          </w:tcPr>
          <w:p w14:paraId="10B3BB5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right w:val="single" w:color="000000" w:sz="12" w:space="0"/>
            </w:tcBorders>
            <w:vAlign w:val="center"/>
          </w:tcPr>
          <w:p w14:paraId="19AAC631">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r w14:paraId="548B5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jc w:val="center"/>
        </w:trPr>
        <w:tc>
          <w:tcPr>
            <w:tcW w:w="590" w:type="dxa"/>
            <w:tcBorders>
              <w:left w:val="single" w:color="000000" w:sz="12" w:space="0"/>
              <w:bottom w:val="single" w:color="000000" w:sz="12" w:space="0"/>
            </w:tcBorders>
            <w:vAlign w:val="center"/>
          </w:tcPr>
          <w:p w14:paraId="7360B79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65" w:type="dxa"/>
            <w:tcBorders>
              <w:bottom w:val="single" w:color="000000" w:sz="12" w:space="0"/>
            </w:tcBorders>
            <w:vAlign w:val="center"/>
          </w:tcPr>
          <w:p w14:paraId="3EABA5B0">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63" w:type="dxa"/>
            <w:tcBorders>
              <w:bottom w:val="single" w:color="000000" w:sz="12" w:space="0"/>
            </w:tcBorders>
            <w:vAlign w:val="center"/>
          </w:tcPr>
          <w:p w14:paraId="670A434F">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79" w:type="dxa"/>
            <w:tcBorders>
              <w:bottom w:val="single" w:color="000000" w:sz="12" w:space="0"/>
            </w:tcBorders>
            <w:vAlign w:val="center"/>
          </w:tcPr>
          <w:p w14:paraId="152ED0E2">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678" w:type="dxa"/>
            <w:tcBorders>
              <w:bottom w:val="single" w:color="000000" w:sz="12" w:space="0"/>
            </w:tcBorders>
            <w:vAlign w:val="center"/>
          </w:tcPr>
          <w:p w14:paraId="6A139D3C">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72" w:type="dxa"/>
            <w:tcBorders>
              <w:bottom w:val="single" w:color="000000" w:sz="12" w:space="0"/>
            </w:tcBorders>
            <w:vAlign w:val="center"/>
          </w:tcPr>
          <w:p w14:paraId="38661E27">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79" w:type="dxa"/>
            <w:tcBorders>
              <w:bottom w:val="single" w:color="000000" w:sz="12" w:space="0"/>
            </w:tcBorders>
            <w:vAlign w:val="center"/>
          </w:tcPr>
          <w:p w14:paraId="643A2E79">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1015" w:type="dxa"/>
            <w:tcBorders>
              <w:bottom w:val="single" w:color="000000" w:sz="12" w:space="0"/>
            </w:tcBorders>
            <w:vAlign w:val="center"/>
          </w:tcPr>
          <w:p w14:paraId="026E98FB">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tcBorders>
              <w:bottom w:val="single" w:color="000000" w:sz="12" w:space="0"/>
            </w:tcBorders>
            <w:vAlign w:val="center"/>
          </w:tcPr>
          <w:p w14:paraId="2C873F0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933" w:type="dxa"/>
            <w:tcBorders>
              <w:bottom w:val="single" w:color="000000" w:sz="12" w:space="0"/>
            </w:tcBorders>
            <w:vAlign w:val="center"/>
          </w:tcPr>
          <w:p w14:paraId="4F2A2E5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808" w:type="dxa"/>
            <w:tcBorders>
              <w:bottom w:val="single" w:color="000000" w:sz="12" w:space="0"/>
            </w:tcBorders>
            <w:vAlign w:val="center"/>
          </w:tcPr>
          <w:p w14:paraId="69921035">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c>
          <w:tcPr>
            <w:tcW w:w="792" w:type="dxa"/>
            <w:tcBorders>
              <w:bottom w:val="single" w:color="000000" w:sz="12" w:space="0"/>
              <w:right w:val="single" w:color="000000" w:sz="12" w:space="0"/>
            </w:tcBorders>
            <w:vAlign w:val="center"/>
          </w:tcPr>
          <w:p w14:paraId="4F69F3D4">
            <w:pPr>
              <w:pStyle w:val="112"/>
              <w:keepNext w:val="0"/>
              <w:keepLines w:val="0"/>
              <w:pageBreakBefore w:val="0"/>
              <w:widowControl w:val="0"/>
              <w:kinsoku/>
              <w:wordWrap/>
              <w:overflowPunct/>
              <w:topLinePunct/>
              <w:autoSpaceDE w:val="0"/>
              <w:autoSpaceDN/>
              <w:bidi w:val="0"/>
              <w:adjustRightInd/>
              <w:snapToGrid/>
              <w:spacing w:before="0" w:after="0" w:line="240" w:lineRule="auto"/>
              <w:ind w:left="0" w:right="0"/>
              <w:jc w:val="center"/>
              <w:textAlignment w:val="baseline"/>
              <w:rPr>
                <w:rFonts w:hint="eastAsia" w:ascii="宋体" w:hAnsi="宋体" w:eastAsia="宋体" w:cs="宋体"/>
                <w:color w:val="auto"/>
                <w:sz w:val="21"/>
                <w:szCs w:val="21"/>
                <w:highlight w:val="none"/>
              </w:rPr>
            </w:pPr>
          </w:p>
        </w:tc>
      </w:tr>
    </w:tbl>
    <w:p w14:paraId="67A1B4A5">
      <w:pPr>
        <w:keepNext w:val="0"/>
        <w:keepLines w:val="0"/>
        <w:pageBreakBefore w:val="0"/>
        <w:widowControl w:val="0"/>
        <w:kinsoku w:val="0"/>
        <w:wordWrap/>
        <w:overflowPunct/>
        <w:topLinePunct/>
        <w:autoSpaceDE w:val="0"/>
        <w:autoSpaceDN/>
        <w:bidi w:val="0"/>
        <w:adjustRightInd w:val="0"/>
        <w:snapToGrid w:val="0"/>
        <w:spacing w:before="128" w:line="5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甲方（盖章）：</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rPr>
        <w:t>乙方（盖章）</w:t>
      </w:r>
      <w:r>
        <w:rPr>
          <w:rFonts w:hint="eastAsia" w:ascii="宋体" w:hAnsi="宋体" w:eastAsia="宋体" w:cs="宋体"/>
          <w:color w:val="auto"/>
          <w:spacing w:val="-17"/>
          <w:sz w:val="21"/>
          <w:szCs w:val="21"/>
          <w:highlight w:val="none"/>
        </w:rPr>
        <w:t>：</w:t>
      </w:r>
      <w:r>
        <w:rPr>
          <w:rFonts w:hint="eastAsia" w:ascii="宋体" w:hAnsi="宋体" w:eastAsia="宋体" w:cs="宋体"/>
          <w:color w:val="auto"/>
          <w:sz w:val="21"/>
          <w:szCs w:val="21"/>
          <w:highlight w:val="none"/>
          <w:u w:val="single" w:color="auto"/>
        </w:rPr>
        <w:t xml:space="preserve">                </w:t>
      </w:r>
    </w:p>
    <w:p w14:paraId="7613701D">
      <w:pPr>
        <w:keepNext w:val="0"/>
        <w:keepLines w:val="0"/>
        <w:pageBreakBefore w:val="0"/>
        <w:widowControl w:val="0"/>
        <w:kinsoku w:val="0"/>
        <w:wordWrap/>
        <w:overflowPunct/>
        <w:topLinePunct/>
        <w:autoSpaceDE w:val="0"/>
        <w:autoSpaceDN/>
        <w:bidi w:val="0"/>
        <w:adjustRightInd w:val="0"/>
        <w:snapToGrid w:val="0"/>
        <w:spacing w:before="198" w:line="5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委托代理人签字：</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u w:val="single" w:color="auto"/>
          <w:lang w:val="en-US" w:eastAsia="zh-CN"/>
        </w:rPr>
        <w:t xml:space="preserve"> </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2"/>
          <w:sz w:val="21"/>
          <w:szCs w:val="21"/>
          <w:highlight w:val="none"/>
        </w:rPr>
        <w:t>委托代理人签字：</w:t>
      </w:r>
      <w:r>
        <w:rPr>
          <w:rFonts w:hint="eastAsia" w:ascii="宋体" w:hAnsi="宋体" w:eastAsia="宋体" w:cs="宋体"/>
          <w:color w:val="auto"/>
          <w:spacing w:val="-2"/>
          <w:sz w:val="21"/>
          <w:szCs w:val="21"/>
          <w:highlight w:val="none"/>
          <w:u w:val="single" w:color="auto"/>
        </w:rPr>
        <w:t xml:space="preserve">        </w:t>
      </w:r>
      <w:r>
        <w:rPr>
          <w:rFonts w:hint="eastAsia" w:ascii="宋体" w:hAnsi="宋体" w:cs="宋体"/>
          <w:color w:val="auto"/>
          <w:spacing w:val="-2"/>
          <w:sz w:val="21"/>
          <w:szCs w:val="21"/>
          <w:highlight w:val="none"/>
          <w:u w:val="single" w:color="auto"/>
          <w:lang w:val="en-US" w:eastAsia="zh-CN"/>
        </w:rPr>
        <w:t xml:space="preserve">   </w:t>
      </w:r>
      <w:r>
        <w:rPr>
          <w:rFonts w:hint="eastAsia" w:ascii="宋体" w:hAnsi="宋体" w:eastAsia="宋体" w:cs="宋体"/>
          <w:color w:val="auto"/>
          <w:spacing w:val="-2"/>
          <w:sz w:val="21"/>
          <w:szCs w:val="21"/>
          <w:highlight w:val="none"/>
          <w:u w:val="single" w:color="auto"/>
        </w:rPr>
        <w:t xml:space="preserve">    </w:t>
      </w:r>
    </w:p>
    <w:p w14:paraId="39AD90CF">
      <w:pPr>
        <w:keepNext w:val="0"/>
        <w:keepLines w:val="0"/>
        <w:pageBreakBefore w:val="0"/>
        <w:widowControl w:val="0"/>
        <w:tabs>
          <w:tab w:val="left" w:pos="976"/>
        </w:tabs>
        <w:kinsoku w:val="0"/>
        <w:wordWrap/>
        <w:overflowPunct/>
        <w:topLinePunct/>
        <w:autoSpaceDE w:val="0"/>
        <w:autoSpaceDN/>
        <w:bidi w:val="0"/>
        <w:adjustRightInd w:val="0"/>
        <w:snapToGrid w:val="0"/>
        <w:spacing w:before="190" w:line="500" w:lineRule="exact"/>
        <w:ind w:firstLine="630" w:firstLineChars="3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p>
    <w:p w14:paraId="778EC8B4">
      <w:pPr>
        <w:keepNext w:val="0"/>
        <w:keepLines w:val="0"/>
        <w:pageBreakBefore w:val="0"/>
        <w:widowControl w:val="0"/>
        <w:overflowPunct/>
        <w:topLinePunct/>
        <w:autoSpaceDE w:val="0"/>
        <w:autoSpaceDN/>
        <w:bidi w:val="0"/>
        <w:adjustRightInd w:val="0"/>
        <w:snapToGrid w:val="0"/>
        <w:spacing w:line="184" w:lineRule="auto"/>
        <w:textAlignment w:val="baseline"/>
        <w:rPr>
          <w:rFonts w:hint="eastAsia" w:ascii="宋体" w:hAnsi="宋体" w:eastAsia="宋体" w:cs="宋体"/>
          <w:color w:val="auto"/>
          <w:sz w:val="21"/>
          <w:szCs w:val="21"/>
          <w:highlight w:val="none"/>
        </w:rPr>
        <w:sectPr>
          <w:footerReference r:id="rId9" w:type="default"/>
          <w:pgSz w:w="11905" w:h="16840"/>
          <w:pgMar w:top="1417" w:right="1417" w:bottom="1417" w:left="1417" w:header="850" w:footer="850" w:gutter="0"/>
          <w:pgNumType w:fmt="numberInDash"/>
          <w:cols w:space="0" w:num="1"/>
          <w:rtlGutter w:val="0"/>
          <w:docGrid w:linePitch="0" w:charSpace="0"/>
        </w:sectPr>
      </w:pPr>
    </w:p>
    <w:p w14:paraId="01C6ED06">
      <w:pPr>
        <w:keepNext w:val="0"/>
        <w:keepLines w:val="0"/>
        <w:pageBreakBefore w:val="0"/>
        <w:widowControl w:val="0"/>
        <w:overflowPunct/>
        <w:topLinePunct/>
        <w:autoSpaceDE w:val="0"/>
        <w:autoSpaceDN/>
        <w:bidi w:val="0"/>
        <w:adjustRightInd w:val="0"/>
        <w:snapToGrid w:val="0"/>
        <w:spacing w:before="68" w:line="223" w:lineRule="auto"/>
        <w:ind w:left="181"/>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rPr>
        <w:t>表</w:t>
      </w:r>
      <w:r>
        <w:rPr>
          <w:rFonts w:hint="eastAsia" w:ascii="宋体" w:hAnsi="宋体" w:eastAsia="宋体" w:cs="宋体"/>
          <w:color w:val="auto"/>
          <w:spacing w:val="-44"/>
          <w:sz w:val="21"/>
          <w:szCs w:val="21"/>
          <w:highlight w:val="none"/>
        </w:rPr>
        <w:t xml:space="preserve"> </w:t>
      </w:r>
      <w:r>
        <w:rPr>
          <w:rFonts w:hint="eastAsia" w:ascii="宋体" w:hAnsi="宋体" w:eastAsia="宋体" w:cs="宋体"/>
          <w:color w:val="auto"/>
          <w:spacing w:val="-44"/>
          <w:sz w:val="21"/>
          <w:szCs w:val="21"/>
          <w:highlight w:val="none"/>
          <w:lang w:val="en-US" w:eastAsia="zh-CN"/>
        </w:rPr>
        <w:t>4</w:t>
      </w:r>
    </w:p>
    <w:p w14:paraId="4BA4FBC0">
      <w:pPr>
        <w:keepNext w:val="0"/>
        <w:keepLines w:val="0"/>
        <w:pageBreakBefore w:val="0"/>
        <w:widowControl w:val="0"/>
        <w:overflowPunct/>
        <w:topLinePunct/>
        <w:autoSpaceDE w:val="0"/>
        <w:autoSpaceDN/>
        <w:bidi w:val="0"/>
        <w:adjustRightInd w:val="0"/>
        <w:snapToGrid w:val="0"/>
        <w:spacing w:before="289" w:line="181" w:lineRule="auto"/>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供货时间进度表</w:t>
      </w:r>
    </w:p>
    <w:tbl>
      <w:tblPr>
        <w:tblStyle w:val="111"/>
        <w:tblW w:w="91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2850"/>
        <w:gridCol w:w="2135"/>
        <w:gridCol w:w="2425"/>
        <w:gridCol w:w="1031"/>
      </w:tblGrid>
      <w:tr w14:paraId="4BE31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jc w:val="center"/>
        </w:trPr>
        <w:tc>
          <w:tcPr>
            <w:tcW w:w="737" w:type="dxa"/>
            <w:vAlign w:val="top"/>
          </w:tcPr>
          <w:p w14:paraId="7CC1FA97">
            <w:pPr>
              <w:keepNext w:val="0"/>
              <w:keepLines w:val="0"/>
              <w:pageBreakBefore w:val="0"/>
              <w:widowControl w:val="0"/>
              <w:overflowPunct/>
              <w:topLinePunct/>
              <w:autoSpaceDE w:val="0"/>
              <w:autoSpaceDN/>
              <w:bidi w:val="0"/>
              <w:adjustRightInd w:val="0"/>
              <w:snapToGrid w:val="0"/>
              <w:spacing w:before="113" w:line="223" w:lineRule="auto"/>
              <w:ind w:left="192"/>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2850" w:type="dxa"/>
            <w:vAlign w:val="top"/>
          </w:tcPr>
          <w:p w14:paraId="2790C6C5">
            <w:pPr>
              <w:keepNext w:val="0"/>
              <w:keepLines w:val="0"/>
              <w:pageBreakBefore w:val="0"/>
              <w:widowControl w:val="0"/>
              <w:overflowPunct/>
              <w:topLinePunct/>
              <w:autoSpaceDE w:val="0"/>
              <w:autoSpaceDN/>
              <w:bidi w:val="0"/>
              <w:adjustRightInd w:val="0"/>
              <w:snapToGrid w:val="0"/>
              <w:spacing w:before="113" w:line="222" w:lineRule="auto"/>
              <w:ind w:left="1067"/>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供货时间</w:t>
            </w:r>
          </w:p>
        </w:tc>
        <w:tc>
          <w:tcPr>
            <w:tcW w:w="2135" w:type="dxa"/>
            <w:vAlign w:val="top"/>
          </w:tcPr>
          <w:p w14:paraId="48E7F23F">
            <w:pPr>
              <w:keepNext w:val="0"/>
              <w:keepLines w:val="0"/>
              <w:pageBreakBefore w:val="0"/>
              <w:widowControl w:val="0"/>
              <w:overflowPunct/>
              <w:topLinePunct/>
              <w:autoSpaceDE w:val="0"/>
              <w:autoSpaceDN/>
              <w:bidi w:val="0"/>
              <w:adjustRightInd w:val="0"/>
              <w:snapToGrid w:val="0"/>
              <w:spacing w:before="113" w:line="223" w:lineRule="auto"/>
              <w:ind w:left="717"/>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支付时间</w:t>
            </w:r>
          </w:p>
        </w:tc>
        <w:tc>
          <w:tcPr>
            <w:tcW w:w="2425" w:type="dxa"/>
            <w:vAlign w:val="top"/>
          </w:tcPr>
          <w:p w14:paraId="2E811921">
            <w:pPr>
              <w:keepNext w:val="0"/>
              <w:keepLines w:val="0"/>
              <w:pageBreakBefore w:val="0"/>
              <w:widowControl w:val="0"/>
              <w:overflowPunct/>
              <w:topLinePunct/>
              <w:autoSpaceDE w:val="0"/>
              <w:autoSpaceDN/>
              <w:bidi w:val="0"/>
              <w:adjustRightInd w:val="0"/>
              <w:snapToGrid w:val="0"/>
              <w:spacing w:before="113" w:line="222" w:lineRule="auto"/>
              <w:ind w:left="863"/>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支付价款</w:t>
            </w:r>
          </w:p>
        </w:tc>
        <w:tc>
          <w:tcPr>
            <w:tcW w:w="1031" w:type="dxa"/>
            <w:vAlign w:val="top"/>
          </w:tcPr>
          <w:p w14:paraId="2091B816">
            <w:pPr>
              <w:keepNext w:val="0"/>
              <w:keepLines w:val="0"/>
              <w:pageBreakBefore w:val="0"/>
              <w:widowControl w:val="0"/>
              <w:overflowPunct/>
              <w:topLinePunct/>
              <w:autoSpaceDE w:val="0"/>
              <w:autoSpaceDN/>
              <w:bidi w:val="0"/>
              <w:adjustRightInd w:val="0"/>
              <w:snapToGrid w:val="0"/>
              <w:spacing w:before="113" w:line="222" w:lineRule="auto"/>
              <w:ind w:left="341"/>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备注</w:t>
            </w:r>
          </w:p>
        </w:tc>
      </w:tr>
      <w:tr w14:paraId="169B3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7" w:type="dxa"/>
            <w:vAlign w:val="top"/>
          </w:tcPr>
          <w:p w14:paraId="2D77EDEE">
            <w:pPr>
              <w:keepNext w:val="0"/>
              <w:keepLines w:val="0"/>
              <w:pageBreakBefore w:val="0"/>
              <w:widowControl w:val="0"/>
              <w:overflowPunct/>
              <w:topLinePunct/>
              <w:autoSpaceDE w:val="0"/>
              <w:autoSpaceDN/>
              <w:bidi w:val="0"/>
              <w:adjustRightInd w:val="0"/>
              <w:snapToGrid w:val="0"/>
              <w:spacing w:before="173" w:line="188" w:lineRule="auto"/>
              <w:ind w:left="342"/>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850" w:type="dxa"/>
            <w:vAlign w:val="top"/>
          </w:tcPr>
          <w:p w14:paraId="729B3916">
            <w:pPr>
              <w:keepNext w:val="0"/>
              <w:keepLines w:val="0"/>
              <w:pageBreakBefore w:val="0"/>
              <w:widowControl w:val="0"/>
              <w:overflowPunct/>
              <w:topLinePunct/>
              <w:autoSpaceDE w:val="0"/>
              <w:autoSpaceDN/>
              <w:bidi w:val="0"/>
              <w:adjustRightInd w:val="0"/>
              <w:snapToGrid w:val="0"/>
              <w:spacing w:before="144" w:line="219" w:lineRule="auto"/>
              <w:ind w:left="978"/>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第一次供货</w:t>
            </w:r>
          </w:p>
        </w:tc>
        <w:tc>
          <w:tcPr>
            <w:tcW w:w="2135" w:type="dxa"/>
            <w:vAlign w:val="top"/>
          </w:tcPr>
          <w:p w14:paraId="23C0B115">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153CB3E1">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79155B57">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60A06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7" w:type="dxa"/>
            <w:vAlign w:val="top"/>
          </w:tcPr>
          <w:p w14:paraId="225540BE">
            <w:pPr>
              <w:keepNext w:val="0"/>
              <w:keepLines w:val="0"/>
              <w:pageBreakBefore w:val="0"/>
              <w:widowControl w:val="0"/>
              <w:overflowPunct/>
              <w:topLinePunct/>
              <w:autoSpaceDE w:val="0"/>
              <w:autoSpaceDN/>
              <w:bidi w:val="0"/>
              <w:adjustRightInd w:val="0"/>
              <w:snapToGrid w:val="0"/>
              <w:spacing w:before="279" w:line="57" w:lineRule="exact"/>
              <w:ind w:left="311"/>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w:t>
            </w:r>
          </w:p>
        </w:tc>
        <w:tc>
          <w:tcPr>
            <w:tcW w:w="2850" w:type="dxa"/>
            <w:vAlign w:val="top"/>
          </w:tcPr>
          <w:p w14:paraId="283C1B6F">
            <w:pPr>
              <w:keepNext w:val="0"/>
              <w:keepLines w:val="0"/>
              <w:pageBreakBefore w:val="0"/>
              <w:widowControl w:val="0"/>
              <w:overflowPunct/>
              <w:topLinePunct/>
              <w:autoSpaceDE w:val="0"/>
              <w:autoSpaceDN/>
              <w:bidi w:val="0"/>
              <w:adjustRightInd w:val="0"/>
              <w:snapToGrid w:val="0"/>
              <w:spacing w:before="279" w:line="57" w:lineRule="exact"/>
              <w:ind w:left="1367"/>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w:t>
            </w:r>
          </w:p>
        </w:tc>
        <w:tc>
          <w:tcPr>
            <w:tcW w:w="2135" w:type="dxa"/>
            <w:vAlign w:val="top"/>
          </w:tcPr>
          <w:p w14:paraId="69C73546">
            <w:pPr>
              <w:keepNext w:val="0"/>
              <w:keepLines w:val="0"/>
              <w:pageBreakBefore w:val="0"/>
              <w:widowControl w:val="0"/>
              <w:overflowPunct/>
              <w:topLinePunct/>
              <w:autoSpaceDE w:val="0"/>
              <w:autoSpaceDN/>
              <w:bidi w:val="0"/>
              <w:adjustRightInd w:val="0"/>
              <w:snapToGrid w:val="0"/>
              <w:spacing w:before="279" w:line="57" w:lineRule="exact"/>
              <w:ind w:left="101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w:t>
            </w:r>
          </w:p>
        </w:tc>
        <w:tc>
          <w:tcPr>
            <w:tcW w:w="2425" w:type="dxa"/>
            <w:vAlign w:val="top"/>
          </w:tcPr>
          <w:p w14:paraId="2BB9EDAA">
            <w:pPr>
              <w:keepNext w:val="0"/>
              <w:keepLines w:val="0"/>
              <w:pageBreakBefore w:val="0"/>
              <w:widowControl w:val="0"/>
              <w:overflowPunct/>
              <w:topLinePunct/>
              <w:autoSpaceDE w:val="0"/>
              <w:autoSpaceDN/>
              <w:bidi w:val="0"/>
              <w:adjustRightInd w:val="0"/>
              <w:snapToGrid w:val="0"/>
              <w:spacing w:before="279" w:line="57" w:lineRule="exact"/>
              <w:ind w:left="1157"/>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w:t>
            </w:r>
          </w:p>
        </w:tc>
        <w:tc>
          <w:tcPr>
            <w:tcW w:w="1031" w:type="dxa"/>
            <w:vAlign w:val="top"/>
          </w:tcPr>
          <w:p w14:paraId="090A07EA">
            <w:pPr>
              <w:keepNext w:val="0"/>
              <w:keepLines w:val="0"/>
              <w:pageBreakBefore w:val="0"/>
              <w:widowControl w:val="0"/>
              <w:overflowPunct/>
              <w:topLinePunct/>
              <w:autoSpaceDE w:val="0"/>
              <w:autoSpaceDN/>
              <w:bidi w:val="0"/>
              <w:adjustRightInd w:val="0"/>
              <w:snapToGrid w:val="0"/>
              <w:spacing w:before="279" w:line="57" w:lineRule="exact"/>
              <w:ind w:left="46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w:t>
            </w:r>
          </w:p>
        </w:tc>
      </w:tr>
      <w:tr w14:paraId="7B2B8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737" w:type="dxa"/>
            <w:vAlign w:val="top"/>
          </w:tcPr>
          <w:p w14:paraId="31279BB1">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4A6D64CC">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7BC7CB7F">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5FCC06E0">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10310753">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1D64D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7" w:type="dxa"/>
            <w:vAlign w:val="top"/>
          </w:tcPr>
          <w:p w14:paraId="7B0F8D23">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5B3C68A5">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263456EF">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0782E47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7CC479D2">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764EF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jc w:val="center"/>
        </w:trPr>
        <w:tc>
          <w:tcPr>
            <w:tcW w:w="737" w:type="dxa"/>
            <w:vAlign w:val="top"/>
          </w:tcPr>
          <w:p w14:paraId="27A7371F">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3007E07C">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350B27D2">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7DB87D3B">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3AB4A35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55BE5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3" w:hRule="atLeast"/>
          <w:jc w:val="center"/>
        </w:trPr>
        <w:tc>
          <w:tcPr>
            <w:tcW w:w="737" w:type="dxa"/>
            <w:vAlign w:val="top"/>
          </w:tcPr>
          <w:p w14:paraId="36D2327A">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7B143717">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3CE55729">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174714DE">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1296348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27D98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7" w:type="dxa"/>
            <w:vAlign w:val="top"/>
          </w:tcPr>
          <w:p w14:paraId="339DA7DE">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1BDDA72E">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06497EC9">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36231B9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0C23D175">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78C34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jc w:val="center"/>
        </w:trPr>
        <w:tc>
          <w:tcPr>
            <w:tcW w:w="737" w:type="dxa"/>
            <w:vAlign w:val="top"/>
          </w:tcPr>
          <w:p w14:paraId="5216339C">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29A3F79C">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23418C89">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183AF1DE">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0AF0F60D">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56D96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737" w:type="dxa"/>
            <w:vAlign w:val="top"/>
          </w:tcPr>
          <w:p w14:paraId="32179883">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11C0A6BC">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0BFB0AF2">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560280C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51A1047B">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4DF64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7" w:type="dxa"/>
            <w:vAlign w:val="top"/>
          </w:tcPr>
          <w:p w14:paraId="26090AA5">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3DE33671">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2B1601C9">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40740F48">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37DEEA5F">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58D42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7" w:type="dxa"/>
            <w:vAlign w:val="top"/>
          </w:tcPr>
          <w:p w14:paraId="6D7C19E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4EE8B4C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17903968">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584C650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1B91AD3A">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2A7D1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4" w:hRule="atLeast"/>
          <w:jc w:val="center"/>
        </w:trPr>
        <w:tc>
          <w:tcPr>
            <w:tcW w:w="737" w:type="dxa"/>
            <w:vAlign w:val="top"/>
          </w:tcPr>
          <w:p w14:paraId="14F1C730">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771D421A">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0253F81F">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387F1414">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6C51282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r w14:paraId="48C65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7" w:hRule="atLeast"/>
          <w:jc w:val="center"/>
        </w:trPr>
        <w:tc>
          <w:tcPr>
            <w:tcW w:w="737" w:type="dxa"/>
            <w:vAlign w:val="top"/>
          </w:tcPr>
          <w:p w14:paraId="14318D08">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850" w:type="dxa"/>
            <w:vAlign w:val="top"/>
          </w:tcPr>
          <w:p w14:paraId="45B09C10">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135" w:type="dxa"/>
            <w:vAlign w:val="top"/>
          </w:tcPr>
          <w:p w14:paraId="26D453D0">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2425" w:type="dxa"/>
            <w:vAlign w:val="top"/>
          </w:tcPr>
          <w:p w14:paraId="111ECE41">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c>
          <w:tcPr>
            <w:tcW w:w="1031" w:type="dxa"/>
            <w:vAlign w:val="top"/>
          </w:tcPr>
          <w:p w14:paraId="590847C6">
            <w:pPr>
              <w:pStyle w:val="112"/>
              <w:keepNext w:val="0"/>
              <w:keepLines w:val="0"/>
              <w:pageBreakBefore w:val="0"/>
              <w:widowControl w:val="0"/>
              <w:overflowPunct/>
              <w:topLinePunct/>
              <w:autoSpaceDE w:val="0"/>
              <w:autoSpaceDN/>
              <w:bidi w:val="0"/>
              <w:adjustRightInd w:val="0"/>
              <w:snapToGrid w:val="0"/>
              <w:textAlignment w:val="baseline"/>
              <w:rPr>
                <w:rFonts w:hint="eastAsia" w:ascii="宋体" w:hAnsi="宋体" w:eastAsia="宋体" w:cs="宋体"/>
                <w:color w:val="auto"/>
                <w:sz w:val="21"/>
                <w:szCs w:val="21"/>
                <w:highlight w:val="none"/>
              </w:rPr>
            </w:pPr>
          </w:p>
        </w:tc>
      </w:tr>
    </w:tbl>
    <w:p w14:paraId="1724ACC5">
      <w:pPr>
        <w:keepNext w:val="0"/>
        <w:keepLines w:val="0"/>
        <w:pageBreakBefore w:val="0"/>
        <w:widowControl w:val="0"/>
        <w:kinsoku w:val="0"/>
        <w:wordWrap/>
        <w:overflowPunct/>
        <w:topLinePunct/>
        <w:autoSpaceDE w:val="0"/>
        <w:autoSpaceDN/>
        <w:bidi w:val="0"/>
        <w:adjustRightInd w:val="0"/>
        <w:snapToGrid w:val="0"/>
        <w:spacing w:before="128" w:line="5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甲方（盖章）：</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rPr>
        <w:t>乙方（盖章）</w:t>
      </w:r>
      <w:r>
        <w:rPr>
          <w:rFonts w:hint="eastAsia" w:ascii="宋体" w:hAnsi="宋体" w:eastAsia="宋体" w:cs="宋体"/>
          <w:color w:val="auto"/>
          <w:spacing w:val="-17"/>
          <w:sz w:val="21"/>
          <w:szCs w:val="21"/>
          <w:highlight w:val="none"/>
        </w:rPr>
        <w:t>：</w:t>
      </w:r>
      <w:r>
        <w:rPr>
          <w:rFonts w:hint="eastAsia" w:ascii="宋体" w:hAnsi="宋体" w:eastAsia="宋体" w:cs="宋体"/>
          <w:color w:val="auto"/>
          <w:sz w:val="21"/>
          <w:szCs w:val="21"/>
          <w:highlight w:val="none"/>
          <w:u w:val="single" w:color="auto"/>
        </w:rPr>
        <w:t xml:space="preserve">                </w:t>
      </w:r>
    </w:p>
    <w:p w14:paraId="5A85501A">
      <w:pPr>
        <w:keepNext w:val="0"/>
        <w:keepLines w:val="0"/>
        <w:pageBreakBefore w:val="0"/>
        <w:widowControl w:val="0"/>
        <w:kinsoku w:val="0"/>
        <w:wordWrap/>
        <w:overflowPunct/>
        <w:topLinePunct/>
        <w:autoSpaceDE w:val="0"/>
        <w:autoSpaceDN/>
        <w:bidi w:val="0"/>
        <w:adjustRightInd w:val="0"/>
        <w:snapToGrid w:val="0"/>
        <w:spacing w:before="198" w:line="500" w:lineRule="exact"/>
        <w:textAlignment w:val="baseline"/>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1"/>
          <w:sz w:val="21"/>
          <w:szCs w:val="21"/>
          <w:highlight w:val="none"/>
        </w:rPr>
        <w:t>委托代理人签字：</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u w:val="single" w:color="auto"/>
          <w:lang w:val="en-US" w:eastAsia="zh-CN"/>
        </w:rPr>
        <w:t xml:space="preserve"> </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2"/>
          <w:sz w:val="21"/>
          <w:szCs w:val="21"/>
          <w:highlight w:val="none"/>
        </w:rPr>
        <w:t>委托代理人签字：</w:t>
      </w:r>
      <w:r>
        <w:rPr>
          <w:rFonts w:hint="eastAsia" w:ascii="宋体" w:hAnsi="宋体" w:eastAsia="宋体" w:cs="宋体"/>
          <w:color w:val="auto"/>
          <w:spacing w:val="-2"/>
          <w:sz w:val="21"/>
          <w:szCs w:val="21"/>
          <w:highlight w:val="none"/>
          <w:u w:val="single" w:color="auto"/>
        </w:rPr>
        <w:t xml:space="preserve">            </w:t>
      </w:r>
      <w:r>
        <w:rPr>
          <w:rFonts w:hint="eastAsia" w:ascii="宋体" w:hAnsi="宋体" w:cs="宋体"/>
          <w:color w:val="auto"/>
          <w:spacing w:val="-2"/>
          <w:sz w:val="21"/>
          <w:szCs w:val="21"/>
          <w:highlight w:val="none"/>
          <w:u w:val="single" w:color="auto"/>
          <w:lang w:val="en-US" w:eastAsia="zh-CN"/>
        </w:rPr>
        <w:t xml:space="preserve">  </w:t>
      </w:r>
    </w:p>
    <w:p w14:paraId="1663D27D">
      <w:pPr>
        <w:keepNext w:val="0"/>
        <w:keepLines w:val="0"/>
        <w:pageBreakBefore w:val="0"/>
        <w:widowControl w:val="0"/>
        <w:tabs>
          <w:tab w:val="left" w:pos="976"/>
        </w:tabs>
        <w:kinsoku w:val="0"/>
        <w:wordWrap/>
        <w:overflowPunct/>
        <w:topLinePunct/>
        <w:autoSpaceDE w:val="0"/>
        <w:autoSpaceDN/>
        <w:bidi w:val="0"/>
        <w:adjustRightInd w:val="0"/>
        <w:snapToGrid w:val="0"/>
        <w:spacing w:before="190" w:line="500" w:lineRule="exact"/>
        <w:ind w:firstLine="630" w:firstLineChars="3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color="auto"/>
          <w:lang w:val="en-US" w:eastAsia="zh-CN"/>
        </w:rPr>
        <w:t xml:space="preserve">     </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pacing w:val="-18"/>
          <w:sz w:val="21"/>
          <w:szCs w:val="21"/>
          <w:highlight w:val="none"/>
        </w:rPr>
        <w:t>年</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8"/>
          <w:sz w:val="21"/>
          <w:szCs w:val="21"/>
          <w:highlight w:val="none"/>
        </w:rPr>
        <w:t>月</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18"/>
          <w:sz w:val="21"/>
          <w:szCs w:val="21"/>
          <w:highlight w:val="none"/>
        </w:rPr>
        <w:t>日</w:t>
      </w:r>
    </w:p>
    <w:p w14:paraId="14AD9E7B">
      <w:pPr>
        <w:keepNext w:val="0"/>
        <w:keepLines w:val="0"/>
        <w:pageBreakBefore w:val="0"/>
        <w:widowControl w:val="0"/>
        <w:overflowPunct/>
        <w:topLinePunct/>
        <w:autoSpaceDE w:val="0"/>
        <w:autoSpaceDN/>
        <w:bidi w:val="0"/>
        <w:adjustRightInd w:val="0"/>
        <w:snapToGrid w:val="0"/>
        <w:spacing w:line="184" w:lineRule="auto"/>
        <w:textAlignment w:val="baseline"/>
        <w:rPr>
          <w:rFonts w:hint="eastAsia" w:ascii="宋体" w:hAnsi="宋体" w:eastAsia="宋体" w:cs="宋体"/>
          <w:color w:val="auto"/>
          <w:sz w:val="21"/>
          <w:szCs w:val="21"/>
          <w:highlight w:val="none"/>
        </w:rPr>
        <w:sectPr>
          <w:footerReference r:id="rId10" w:type="default"/>
          <w:pgSz w:w="11905" w:h="16840"/>
          <w:pgMar w:top="1417" w:right="1417" w:bottom="1417" w:left="1417" w:header="850" w:footer="850" w:gutter="0"/>
          <w:pgNumType w:fmt="numberInDash"/>
          <w:cols w:space="0" w:num="1"/>
          <w:rtlGutter w:val="0"/>
          <w:docGrid w:linePitch="0" w:charSpace="0"/>
        </w:sectPr>
      </w:pPr>
    </w:p>
    <w:p w14:paraId="47D1AB23">
      <w:pPr>
        <w:pStyle w:val="29"/>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360" w:lineRule="auto"/>
        <w:ind w:right="0"/>
        <w:jc w:val="center"/>
        <w:textAlignment w:val="auto"/>
        <w:outlineLvl w:val="0"/>
        <w:rPr>
          <w:rFonts w:hint="eastAsia" w:ascii="宋体" w:hAnsi="宋体" w:eastAsia="宋体" w:cs="宋体"/>
          <w:b/>
          <w:color w:val="auto"/>
          <w:kern w:val="44"/>
          <w:sz w:val="32"/>
          <w:szCs w:val="32"/>
          <w:highlight w:val="none"/>
          <w:lang w:val="en-US" w:eastAsia="zh-CN" w:bidi="ar-SA"/>
        </w:rPr>
      </w:pPr>
      <w:bookmarkStart w:id="87" w:name="_Toc7309"/>
      <w:bookmarkStart w:id="88" w:name="_Toc8137"/>
      <w:bookmarkStart w:id="89" w:name="_Toc12675"/>
      <w:r>
        <w:rPr>
          <w:rStyle w:val="44"/>
          <w:rFonts w:hint="eastAsia" w:ascii="宋体" w:hAnsi="宋体" w:eastAsia="宋体" w:cs="宋体"/>
          <w:color w:val="auto"/>
          <w:highlight w:val="none"/>
          <w:lang w:val="en-US" w:eastAsia="zh-CN"/>
        </w:rPr>
        <w:t xml:space="preserve">第四章 </w:t>
      </w:r>
      <w:bookmarkEnd w:id="85"/>
      <w:r>
        <w:rPr>
          <w:rStyle w:val="44"/>
          <w:rFonts w:hint="eastAsia" w:ascii="宋体" w:hAnsi="宋体" w:eastAsia="宋体" w:cs="宋体"/>
          <w:color w:val="auto"/>
          <w:highlight w:val="none"/>
          <w:lang w:val="en-US" w:eastAsia="zh-CN"/>
        </w:rPr>
        <w:t>投标文件格式</w:t>
      </w:r>
      <w:bookmarkEnd w:id="87"/>
      <w:bookmarkEnd w:id="88"/>
      <w:bookmarkEnd w:id="89"/>
    </w:p>
    <w:p w14:paraId="0A730D1E">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2"/>
          <w:szCs w:val="32"/>
          <w:highlight w:val="none"/>
          <w:lang w:eastAsia="zh-CN"/>
        </w:rPr>
      </w:pPr>
    </w:p>
    <w:p w14:paraId="06BC88B1">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6"/>
          <w:szCs w:val="21"/>
          <w:highlight w:val="none"/>
        </w:rPr>
      </w:pPr>
      <w:r>
        <w:rPr>
          <w:rFonts w:hint="eastAsia" w:hAnsi="宋体" w:cs="宋体"/>
          <w:b/>
          <w:color w:val="auto"/>
          <w:sz w:val="36"/>
          <w:szCs w:val="36"/>
          <w:highlight w:val="none"/>
          <w:lang w:eastAsia="zh-CN"/>
        </w:rPr>
        <w:t>临翔区2026年学校学生食堂食材采购项目</w:t>
      </w:r>
    </w:p>
    <w:p w14:paraId="51324192">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2"/>
          <w:highlight w:val="none"/>
        </w:rPr>
      </w:pPr>
    </w:p>
    <w:p w14:paraId="200F1915">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2"/>
          <w:highlight w:val="none"/>
        </w:rPr>
      </w:pPr>
    </w:p>
    <w:p w14:paraId="677F287C">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2"/>
          <w:highlight w:val="none"/>
        </w:rPr>
      </w:pPr>
    </w:p>
    <w:p w14:paraId="326A2D6D">
      <w:pPr>
        <w:pStyle w:val="16"/>
        <w:keepNext w:val="0"/>
        <w:keepLines w:val="0"/>
        <w:pageBreakBefore w:val="0"/>
        <w:widowControl w:val="0"/>
        <w:kinsoku/>
        <w:overflowPunct/>
        <w:bidi w:val="0"/>
        <w:snapToGrid/>
        <w:spacing w:line="413" w:lineRule="auto"/>
        <w:rPr>
          <w:rFonts w:hint="eastAsia" w:ascii="宋体" w:hAnsi="宋体" w:eastAsia="宋体" w:cs="宋体"/>
          <w:b/>
          <w:color w:val="auto"/>
          <w:sz w:val="32"/>
          <w:highlight w:val="none"/>
        </w:rPr>
      </w:pPr>
    </w:p>
    <w:p w14:paraId="732DBF37">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48"/>
          <w:highlight w:val="none"/>
        </w:rPr>
      </w:pPr>
    </w:p>
    <w:p w14:paraId="2A0B33E7">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48"/>
          <w:highlight w:val="none"/>
        </w:rPr>
      </w:pPr>
      <w:r>
        <w:rPr>
          <w:rFonts w:hint="eastAsia" w:ascii="宋体" w:hAnsi="宋体" w:eastAsia="宋体" w:cs="宋体"/>
          <w:b/>
          <w:color w:val="auto"/>
          <w:sz w:val="48"/>
          <w:highlight w:val="none"/>
        </w:rPr>
        <w:t>第一部分  资格文件部分</w:t>
      </w:r>
    </w:p>
    <w:p w14:paraId="4228F227">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72"/>
          <w:highlight w:val="none"/>
        </w:rPr>
      </w:pPr>
    </w:p>
    <w:p w14:paraId="4F1BF8DD">
      <w:pPr>
        <w:keepNext w:val="0"/>
        <w:keepLines w:val="0"/>
        <w:pageBreakBefore w:val="0"/>
        <w:widowControl w:val="0"/>
        <w:kinsoku/>
        <w:overflowPunct/>
        <w:bidi w:val="0"/>
        <w:snapToGrid/>
        <w:spacing w:line="413" w:lineRule="auto"/>
        <w:ind w:firstLine="480" w:firstLineChars="200"/>
        <w:rPr>
          <w:rFonts w:hint="eastAsia" w:ascii="宋体" w:hAnsi="宋体" w:eastAsia="宋体" w:cs="宋体"/>
          <w:color w:val="auto"/>
          <w:sz w:val="24"/>
          <w:highlight w:val="none"/>
        </w:rPr>
      </w:pPr>
    </w:p>
    <w:p w14:paraId="3974396F">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69A27912">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72A457EF">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576DCB6F">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1C2801EF">
      <w:pPr>
        <w:keepNext w:val="0"/>
        <w:keepLines w:val="0"/>
        <w:pageBreakBefore w:val="0"/>
        <w:widowControl w:val="0"/>
        <w:kinsoku/>
        <w:overflowPunct/>
        <w:bidi w:val="0"/>
        <w:snapToGrid/>
        <w:spacing w:line="413" w:lineRule="auto"/>
        <w:ind w:firstLine="1200" w:firstLineChars="500"/>
        <w:outlineLvl w:val="1"/>
        <w:rPr>
          <w:rFonts w:hint="eastAsia" w:ascii="宋体" w:hAnsi="宋体" w:eastAsia="宋体" w:cs="宋体"/>
          <w:color w:val="auto"/>
          <w:sz w:val="24"/>
          <w:szCs w:val="24"/>
          <w:highlight w:val="none"/>
          <w:lang w:eastAsia="zh-CN"/>
        </w:rPr>
      </w:pPr>
      <w:bookmarkStart w:id="90" w:name="_Toc20299"/>
      <w:bookmarkStart w:id="91" w:name="_Toc213141093"/>
      <w:bookmarkStart w:id="92" w:name="_Toc266880234"/>
      <w:bookmarkStart w:id="93" w:name="_Toc152047263"/>
      <w:bookmarkStart w:id="94" w:name="_Toc355877222"/>
      <w:bookmarkStart w:id="95" w:name="_Toc144974467"/>
      <w:bookmarkStart w:id="96" w:name="_Toc258848988"/>
      <w:bookmarkStart w:id="97" w:name="_Toc355877221"/>
      <w:bookmarkStart w:id="98" w:name="_Toc258848989"/>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（单位全称）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bookmarkEnd w:id="90"/>
    </w:p>
    <w:p w14:paraId="3A1B7B69">
      <w:pPr>
        <w:pStyle w:val="16"/>
        <w:keepNext w:val="0"/>
        <w:keepLines w:val="0"/>
        <w:pageBreakBefore w:val="0"/>
        <w:widowControl w:val="0"/>
        <w:kinsoku/>
        <w:overflowPunct/>
        <w:bidi w:val="0"/>
        <w:snapToGrid/>
        <w:spacing w:line="413" w:lineRule="auto"/>
        <w:ind w:firstLine="1200" w:firstLineChars="500"/>
        <w:outlineLvl w:val="1"/>
        <w:rPr>
          <w:rFonts w:hint="eastAsia" w:ascii="宋体" w:hAnsi="宋体" w:eastAsia="宋体" w:cs="宋体"/>
          <w:color w:val="auto"/>
          <w:sz w:val="24"/>
          <w:szCs w:val="24"/>
          <w:highlight w:val="none"/>
        </w:rPr>
      </w:pPr>
      <w:bookmarkStart w:id="99" w:name="_Toc18937"/>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或委托代理人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rPr>
        <w:t>）</w:t>
      </w:r>
      <w:bookmarkEnd w:id="99"/>
    </w:p>
    <w:p w14:paraId="6EA90147">
      <w:pPr>
        <w:pStyle w:val="16"/>
        <w:keepNext w:val="0"/>
        <w:keepLines w:val="0"/>
        <w:pageBreakBefore w:val="0"/>
        <w:widowControl w:val="0"/>
        <w:kinsoku/>
        <w:overflowPunct/>
        <w:bidi w:val="0"/>
        <w:snapToGrid/>
        <w:spacing w:line="413" w:lineRule="auto"/>
        <w:ind w:firstLine="3120" w:firstLineChars="13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bookmarkStart w:id="100" w:name="_Toc27040"/>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bookmarkEnd w:id="100"/>
    </w:p>
    <w:p w14:paraId="54D41073">
      <w:pPr>
        <w:pStyle w:val="2"/>
        <w:keepNext w:val="0"/>
        <w:keepLines w:val="0"/>
        <w:pageBreakBefore w:val="0"/>
        <w:widowControl w:val="0"/>
        <w:numPr>
          <w:ilvl w:val="1"/>
          <w:numId w:val="0"/>
        </w:numPr>
        <w:tabs>
          <w:tab w:val="left" w:pos="360"/>
        </w:tabs>
        <w:kinsoku/>
        <w:wordWrap/>
        <w:overflowPunct/>
        <w:topLinePunct w:val="0"/>
        <w:autoSpaceDE/>
        <w:autoSpaceDN/>
        <w:bidi w:val="0"/>
        <w:adjustRightInd/>
        <w:snapToGrid/>
        <w:spacing w:before="0" w:line="360" w:lineRule="auto"/>
        <w:jc w:val="center"/>
        <w:outlineLvl w:val="0"/>
        <w:rPr>
          <w:rFonts w:hint="eastAsia" w:ascii="宋体" w:hAnsi="宋体" w:eastAsia="宋体" w:cs="宋体"/>
          <w:color w:val="auto"/>
          <w:highlight w:val="none"/>
          <w:lang w:val="en-US" w:eastAsia="zh-CN"/>
        </w:rPr>
      </w:pPr>
      <w:bookmarkStart w:id="101" w:name="_Toc11187"/>
      <w:bookmarkStart w:id="102" w:name="_Toc23469"/>
      <w:bookmarkStart w:id="103" w:name="_Toc5531"/>
      <w:bookmarkStart w:id="104" w:name="_Toc15022"/>
      <w:bookmarkStart w:id="105" w:name="_Toc7197"/>
      <w:r>
        <w:rPr>
          <w:rFonts w:hint="eastAsia" w:ascii="宋体" w:hAnsi="宋体" w:eastAsia="宋体" w:cs="宋体"/>
          <w:color w:val="auto"/>
          <w:sz w:val="28"/>
          <w:szCs w:val="28"/>
          <w:highlight w:val="none"/>
        </w:rPr>
        <w:t>资格</w:t>
      </w:r>
      <w:bookmarkEnd w:id="101"/>
      <w:bookmarkEnd w:id="102"/>
      <w:bookmarkEnd w:id="103"/>
      <w:bookmarkEnd w:id="104"/>
      <w:r>
        <w:rPr>
          <w:rFonts w:hint="eastAsia" w:ascii="宋体" w:hAnsi="宋体" w:eastAsia="宋体" w:cs="宋体"/>
          <w:color w:val="auto"/>
          <w:sz w:val="28"/>
          <w:szCs w:val="28"/>
          <w:highlight w:val="none"/>
          <w:lang w:val="en-US" w:eastAsia="zh-CN"/>
        </w:rPr>
        <w:t>证明文件</w:t>
      </w:r>
      <w:bookmarkEnd w:id="105"/>
    </w:p>
    <w:p w14:paraId="153D62DD">
      <w:pPr>
        <w:keepNext w:val="0"/>
        <w:keepLines w:val="0"/>
        <w:pageBreakBefore w:val="0"/>
        <w:widowControl w:val="0"/>
        <w:bidi w:val="0"/>
        <w:snapToGrid/>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一、满足《中华人民共和国政府采购法》第二十二条规定</w:t>
      </w:r>
    </w:p>
    <w:p w14:paraId="02B1755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1.具有独立承担民事责任的能力：供应商须为在中华人民共和国注册且具有独立承担民事责任能力的法人或其他组织，持有有效的法人或者其他组织的营业执照等证明文件（提供要求资料扫描件）</w:t>
      </w:r>
      <w:r>
        <w:rPr>
          <w:rFonts w:hint="eastAsia" w:ascii="宋体" w:hAnsi="宋体" w:cs="宋体"/>
          <w:color w:val="auto"/>
          <w:sz w:val="21"/>
          <w:szCs w:val="21"/>
          <w:highlight w:val="none"/>
          <w:lang w:val="en-US" w:eastAsia="zh-CN"/>
        </w:rPr>
        <w:t>。</w:t>
      </w:r>
    </w:p>
    <w:p w14:paraId="27F4447C">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13FA91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2具有良好的商业信誉和健全的财务会计制度：</w:t>
      </w:r>
    </w:p>
    <w:p w14:paraId="206B36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按照《财政部关于在政府采购活动中查询及使用信用记录有关问题的通知》（财库[2016]125号）相关要求，供应商应未被列入“信用中国”网站（www.creditchina.gov.cn）公布的“失信被执行人”“重大税收违法失信主体名单”；未被列入“中国政府采购网”（www.ccgp.gov.cn）公布的“政府采购严重违法失信行为信息记录”名单（以资格审查人员于投标（响应）截止时间当天查询结果为准，如相关失信记录已失效，投标人需提供相关证明资料）；提供具有良好的商业信誉承诺书（格式自拟）；</w:t>
      </w:r>
    </w:p>
    <w:p w14:paraId="2034CFC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具有良好的财务状况，提供2023-2025年任意一年的财务会计资料：经会计师事务所或审计机构审计的，需提供完整审计报告（含资产负债表、现金流量表、损益表/利润表）；未经审计的，需提供企业内部正式编制的财务会计报表（含资产负债表、现金流量表、损益表/利润表），并加盖企业公章及财务专用章（如有），同时提供“报表真实有效”的书面承诺（格式自拟）。成立不足一年或新成立的企业提供自成立以来的上述财务会计资料或开户银行出具的资信证明（提供要求资料扫描件）。</w:t>
      </w:r>
    </w:p>
    <w:p w14:paraId="19C8558A">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627E07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3.具有履行合同所必需的设备和专业技术能力：提供具有履行合同所必需的设备和专业技术能力相关证明材料或书面承诺（格式自拟）。</w:t>
      </w:r>
    </w:p>
    <w:p w14:paraId="7710500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5C1E7E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有依法缴纳税收和社会保障资金的良好记录：提供2025年6月至投标文件递交截止时间前任意3个月依法缴纳税收和缴纳社会保障资金的证明；成立不足3个月或新成立的企业无需提供；如依法免税或不需要缴纳社会保障资金的，提供相应文件证明（提供要求资料扫描件）。</w:t>
      </w:r>
    </w:p>
    <w:p w14:paraId="64C2FEC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4F2B29C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参加政府采购活动前三年内，在经营活动中没有违法记录：提供参加政府采购活动前3年内在经营活动中没有重大违法记录的书面声明（重大违法记录是指供应商因违法经营受到刑事处罚或者责令停产停业、吊销许可证或者执照、较大数额罚款等行政处罚）（格式自拟）。</w:t>
      </w:r>
    </w:p>
    <w:p w14:paraId="591229A6">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1E6C76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6.法律、行政法规规定的其他条件（提供承诺书）。</w:t>
      </w:r>
    </w:p>
    <w:p w14:paraId="69B3028F">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63ED445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7.单位负责人为同一人或者存在直接控股、管理关系的不同供应商，不得参加同一合同项下的政府采购活动。</w:t>
      </w:r>
    </w:p>
    <w:p w14:paraId="688063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除单一来源采购项目外，为采购项目提供整体设计、规范编制或者项目管理、监理、检测等服务的供应商，不得再参加该采购项目的其他采购活动（提供承诺书）。</w:t>
      </w:r>
    </w:p>
    <w:p w14:paraId="71DD14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21"/>
          <w:highlight w:val="none"/>
          <w:lang w:val="en-US" w:eastAsia="zh-CN"/>
        </w:rPr>
      </w:pPr>
    </w:p>
    <w:p w14:paraId="1A92F24E">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24DCCCDE">
      <w:pPr>
        <w:keepNext w:val="0"/>
        <w:keepLines w:val="0"/>
        <w:pageBreakBefore w:val="0"/>
        <w:widowControl w:val="0"/>
        <w:bidi w:val="0"/>
        <w:snapToGrid/>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二、落实政府采购政策需满足的资格要求</w:t>
      </w:r>
    </w:p>
    <w:p w14:paraId="54C86545">
      <w:pPr>
        <w:keepNext w:val="0"/>
        <w:keepLines w:val="0"/>
        <w:pageBreakBefore w:val="0"/>
        <w:widowControl w:val="0"/>
        <w:numPr>
          <w:ilvl w:val="1"/>
          <w:numId w:val="0"/>
        </w:numPr>
        <w:tabs>
          <w:tab w:val="left" w:pos="360"/>
        </w:tabs>
        <w:kinsoku/>
        <w:wordWrap/>
        <w:overflowPunct/>
        <w:topLinePunct w:val="0"/>
        <w:autoSpaceDE/>
        <w:autoSpaceDN/>
        <w:bidi w:val="0"/>
        <w:adjustRightInd/>
        <w:snapToGrid/>
        <w:spacing w:before="0" w:beforeLines="0" w:after="0" w:afterLines="0" w:line="360" w:lineRule="auto"/>
        <w:jc w:val="center"/>
        <w:textAlignment w:val="auto"/>
        <w:outlineLvl w:val="1"/>
        <w:rPr>
          <w:rFonts w:hint="eastAsia" w:ascii="宋体" w:hAnsi="宋体" w:eastAsia="宋体" w:cs="宋体"/>
          <w:b/>
          <w:color w:val="auto"/>
          <w:kern w:val="2"/>
          <w:sz w:val="24"/>
          <w:highlight w:val="none"/>
          <w:lang w:val="en-US" w:eastAsia="zh-CN" w:bidi="ar-SA"/>
        </w:rPr>
      </w:pPr>
      <w:r>
        <w:rPr>
          <w:rFonts w:hint="eastAsia" w:ascii="宋体" w:hAnsi="宋体" w:eastAsia="宋体" w:cs="宋体"/>
          <w:b/>
          <w:color w:val="auto"/>
          <w:kern w:val="2"/>
          <w:sz w:val="21"/>
          <w:szCs w:val="21"/>
          <w:highlight w:val="none"/>
          <w:lang w:val="en-US" w:eastAsia="zh-CN" w:bidi="ar-SA"/>
        </w:rPr>
        <w:t>1.中小企业声明函</w:t>
      </w:r>
    </w:p>
    <w:p w14:paraId="2EB25BA1">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本公司郑重声明，根据《政府采购促进中小企业发展管理办法》（财库﹝2020﹞46号）的规定，本公司参加</w:t>
      </w:r>
      <w:r>
        <w:rPr>
          <w:rFonts w:hint="eastAsia" w:ascii="宋体" w:hAnsi="宋体" w:eastAsia="宋体" w:cs="宋体"/>
          <w:color w:val="auto"/>
          <w:sz w:val="21"/>
          <w:szCs w:val="21"/>
          <w:highlight w:val="none"/>
          <w:u w:val="single"/>
        </w:rPr>
        <w:t xml:space="preserve"> （单位名称）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项目名称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活动，</w:t>
      </w:r>
      <w:r>
        <w:rPr>
          <w:rFonts w:hint="eastAsia" w:ascii="宋体" w:hAnsi="宋体" w:eastAsia="宋体" w:cs="宋体"/>
          <w:color w:val="auto"/>
          <w:sz w:val="21"/>
          <w:szCs w:val="21"/>
          <w:highlight w:val="none"/>
          <w:lang w:val="en-US" w:eastAsia="zh-CN"/>
        </w:rPr>
        <w:t>提供的货物全部由符合政策要求的中小企业制造</w:t>
      </w:r>
      <w:r>
        <w:rPr>
          <w:rFonts w:hint="eastAsia" w:ascii="宋体" w:hAnsi="宋体" w:eastAsia="宋体" w:cs="宋体"/>
          <w:color w:val="auto"/>
          <w:sz w:val="21"/>
          <w:szCs w:val="21"/>
          <w:highlight w:val="none"/>
        </w:rPr>
        <w:t>。相关企业的具体情况如下：</w:t>
      </w:r>
    </w:p>
    <w:p w14:paraId="08B31D44">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招标</w:t>
      </w:r>
      <w:r>
        <w:rPr>
          <w:rFonts w:hint="eastAsia" w:ascii="宋体" w:hAnsi="宋体" w:eastAsia="宋体" w:cs="宋体"/>
          <w:color w:val="auto"/>
          <w:sz w:val="21"/>
          <w:szCs w:val="21"/>
          <w:highlight w:val="none"/>
          <w:u w:val="single"/>
        </w:rPr>
        <w:t>文件中明确的所属行业）</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制造商</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7DE48487">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招标</w:t>
      </w:r>
      <w:r>
        <w:rPr>
          <w:rFonts w:hint="eastAsia" w:ascii="宋体" w:hAnsi="宋体" w:eastAsia="宋体" w:cs="宋体"/>
          <w:color w:val="auto"/>
          <w:sz w:val="21"/>
          <w:szCs w:val="21"/>
          <w:highlight w:val="none"/>
          <w:u w:val="single"/>
        </w:rPr>
        <w:t>文件中明确的所属行业）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制造商</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390FBA43">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p>
    <w:p w14:paraId="27DD8FDE">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5ADF90D0">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229B2C3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pacing w:val="6"/>
          <w:szCs w:val="21"/>
          <w:highlight w:val="none"/>
        </w:rPr>
      </w:pPr>
    </w:p>
    <w:p w14:paraId="3B0C87ED">
      <w:pPr>
        <w:keepNext w:val="0"/>
        <w:keepLines w:val="0"/>
        <w:pageBreakBefore w:val="0"/>
        <w:widowControl w:val="0"/>
        <w:bidi w:val="0"/>
        <w:snapToGrid/>
        <w:spacing w:line="588" w:lineRule="exact"/>
        <w:ind w:firstLine="444" w:firstLineChars="200"/>
        <w:rPr>
          <w:rFonts w:hint="eastAsia" w:ascii="宋体" w:hAnsi="宋体" w:eastAsia="宋体" w:cs="宋体"/>
          <w:color w:val="auto"/>
          <w:spacing w:val="6"/>
          <w:szCs w:val="21"/>
          <w:highlight w:val="none"/>
        </w:rPr>
      </w:pPr>
      <w:bookmarkStart w:id="131" w:name="_GoBack"/>
      <w:bookmarkEnd w:id="131"/>
    </w:p>
    <w:p w14:paraId="5E9E97A2">
      <w:pPr>
        <w:keepNext w:val="0"/>
        <w:keepLines w:val="0"/>
        <w:pageBreakBefore w:val="0"/>
        <w:widowControl w:val="0"/>
        <w:tabs>
          <w:tab w:val="left" w:pos="0"/>
        </w:tabs>
        <w:bidi w:val="0"/>
        <w:snapToGrid/>
        <w:spacing w:line="480" w:lineRule="exact"/>
        <w:ind w:right="-210" w:firstLine="205" w:firstLineChars="98"/>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企业名称(电子签章)：</w:t>
      </w:r>
    </w:p>
    <w:p w14:paraId="56461C04">
      <w:pPr>
        <w:keepNext w:val="0"/>
        <w:keepLines w:val="0"/>
        <w:pageBreakBefore w:val="0"/>
        <w:widowControl w:val="0"/>
        <w:tabs>
          <w:tab w:val="left" w:pos="0"/>
        </w:tabs>
        <w:bidi w:val="0"/>
        <w:snapToGrid/>
        <w:spacing w:line="480" w:lineRule="exact"/>
        <w:ind w:right="-210" w:firstLine="205" w:firstLineChars="98"/>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日  期：</w:t>
      </w:r>
    </w:p>
    <w:p w14:paraId="500A7A4C">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jc w:val="both"/>
        <w:textAlignment w:val="auto"/>
        <w:rPr>
          <w:rFonts w:hint="eastAsia" w:ascii="宋体" w:hAnsi="宋体" w:eastAsia="宋体" w:cs="宋体"/>
          <w:b w:val="0"/>
          <w:bCs/>
          <w:color w:val="auto"/>
          <w:szCs w:val="21"/>
          <w:highlight w:val="none"/>
          <w:lang w:val="en-US" w:eastAsia="zh-CN"/>
        </w:rPr>
      </w:pPr>
    </w:p>
    <w:p w14:paraId="2BF11072">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jc w:val="both"/>
        <w:textAlignment w:val="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注：1.从业人员、营业收入、资产总额填报上一年度数据，无上一年度数据的新成立企业可不填报。</w:t>
      </w:r>
    </w:p>
    <w:p w14:paraId="56875B56">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jc w:val="both"/>
        <w:textAlignment w:val="auto"/>
        <w:rPr>
          <w:rFonts w:hint="eastAsia" w:ascii="宋体" w:hAnsi="宋体" w:eastAsia="宋体" w:cs="宋体"/>
          <w:b/>
          <w:color w:val="auto"/>
          <w:kern w:val="0"/>
          <w:sz w:val="32"/>
          <w:szCs w:val="32"/>
          <w:highlight w:val="none"/>
        </w:rPr>
      </w:pPr>
      <w:r>
        <w:rPr>
          <w:rFonts w:hint="eastAsia" w:ascii="宋体" w:hAnsi="宋体" w:eastAsia="宋体" w:cs="宋体"/>
          <w:b/>
          <w:bCs w:val="0"/>
          <w:color w:val="auto"/>
          <w:szCs w:val="21"/>
          <w:highlight w:val="none"/>
          <w:lang w:val="en-US" w:eastAsia="zh-CN"/>
        </w:rPr>
        <w:t>2.本项目采购标的对应的中小企业划分标准所属行业以招标文件“第二章 供应商须知—供应商须知前附表 29.4”载明的行业划分为准。</w:t>
      </w:r>
    </w:p>
    <w:p w14:paraId="097D54F5">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09B77951">
      <w:pPr>
        <w:widowControl/>
        <w:shd w:val="clear" w:color="auto" w:fill="FFFFFF"/>
        <w:spacing w:line="360" w:lineRule="auto"/>
        <w:ind w:firstLine="422" w:firstLineChars="200"/>
        <w:jc w:val="left"/>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注：</w:t>
      </w:r>
    </w:p>
    <w:p w14:paraId="1EA26829">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4E6FE40">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2.</w:t>
      </w:r>
      <w:r>
        <w:rPr>
          <w:rFonts w:hint="eastAsia" w:ascii="宋体" w:hAnsi="宋体" w:cs="宋体"/>
          <w:b/>
          <w:bCs/>
          <w:color w:val="auto"/>
          <w:kern w:val="0"/>
          <w:szCs w:val="21"/>
          <w:highlight w:val="none"/>
        </w:rPr>
        <w:t>在政府采购活动中，供应商提供的货物、工程或者服务符合下列情形的，享受本办法规定的中小企业扶持政策：</w:t>
      </w:r>
    </w:p>
    <w:p w14:paraId="0F80B406">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（一）在货物采购项目中，货物由中小企业制造，即货物由中小企业生产且使用该中小企业商号或者注册商标；</w:t>
      </w:r>
    </w:p>
    <w:p w14:paraId="0EA43438">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（二）在工程采购项目中，工程由中小企业承建，即工程施工单位为中小企业；</w:t>
      </w:r>
    </w:p>
    <w:p w14:paraId="0A205A9F">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（三）在服务采购项目中，服务由中小企业承接，即提供服务的人员为中小企业依照《中华人民共和国劳动合同法》订立劳动合同的从业人员。</w:t>
      </w:r>
    </w:p>
    <w:p w14:paraId="2CCF3D6F">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在货物采购项目中，供应商提供的货物既有中小企业制造货物，也有大型企业制造货物的，不享受本办法规定的中小企业扶持政策。</w:t>
      </w:r>
    </w:p>
    <w:p w14:paraId="00A356E1">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以联合体形式参加政府采购活动，联合体各方均为中小企业的，联合体视同中小企业。其中，联合体各方均为小微企业的，联合体视同小微企业。</w:t>
      </w:r>
    </w:p>
    <w:p w14:paraId="69E15A86">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lang w:val="en-US" w:eastAsia="zh-CN"/>
        </w:rPr>
        <w:t>3.</w:t>
      </w:r>
      <w:r>
        <w:rPr>
          <w:rFonts w:hint="eastAsia" w:ascii="宋体" w:hAnsi="宋体" w:cs="宋体"/>
          <w:b/>
          <w:bCs/>
          <w:color w:val="auto"/>
          <w:kern w:val="0"/>
          <w:szCs w:val="21"/>
          <w:highlight w:val="none"/>
        </w:rPr>
        <w:t>投标人须核对《关于印发中小企业划型标准规定的通知》（工信部联企业〔2011〕300号）规定的中小企业划型标准，如实填写声明函。根据政府采购主管部门关于政府采购信息公示的相关要求，如中标单位为小型（或微型）企业，其投标文件中所提供的中小企业声明函需在云南省政府采购网随中标结果一并公示，请各投标人如实提供及填写本单位企业情况。</w:t>
      </w:r>
    </w:p>
    <w:p w14:paraId="63ECDA36">
      <w:pPr>
        <w:widowControl/>
        <w:shd w:val="clear" w:color="auto" w:fill="FFFFFF"/>
        <w:spacing w:line="360" w:lineRule="auto"/>
        <w:ind w:firstLine="48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lang w:val="en-US" w:eastAsia="zh-CN"/>
        </w:rPr>
        <w:t>4.</w:t>
      </w:r>
      <w:r>
        <w:rPr>
          <w:rFonts w:hint="eastAsia" w:ascii="宋体" w:hAnsi="宋体" w:cs="宋体"/>
          <w:b/>
          <w:bCs/>
          <w:color w:val="auto"/>
          <w:kern w:val="0"/>
          <w:szCs w:val="21"/>
          <w:highlight w:val="none"/>
        </w:rPr>
        <w:t>本项目标的所属《关于印发中小企业划型标准规定的通知》（工信部联企业〔2011〕300号）中所列“（四）批发业”的行业。【注：（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11FA223">
      <w:pPr>
        <w:pStyle w:val="99"/>
        <w:rPr>
          <w:rFonts w:hint="eastAsia" w:hAnsi="宋体"/>
          <w:color w:val="auto"/>
          <w:highlight w:val="none"/>
        </w:rPr>
      </w:pPr>
    </w:p>
    <w:p w14:paraId="70C885B5">
      <w:pPr>
        <w:rPr>
          <w:rFonts w:hint="eastAsia" w:ascii="宋体" w:hAnsi="宋体" w:cs="宋体"/>
          <w:color w:val="auto"/>
          <w:sz w:val="24"/>
          <w:highlight w:val="none"/>
        </w:rPr>
      </w:pPr>
    </w:p>
    <w:p w14:paraId="4CEDC4F5">
      <w:pPr>
        <w:pStyle w:val="99"/>
        <w:rPr>
          <w:rFonts w:hint="eastAsia" w:hAnsi="宋体"/>
          <w:color w:val="auto"/>
          <w:highlight w:val="none"/>
        </w:rPr>
      </w:pPr>
    </w:p>
    <w:p w14:paraId="081A97DB">
      <w:pPr>
        <w:pStyle w:val="99"/>
        <w:rPr>
          <w:rFonts w:hint="eastAsia" w:hAnsi="宋体"/>
          <w:color w:val="auto"/>
          <w:highlight w:val="none"/>
        </w:rPr>
      </w:pPr>
    </w:p>
    <w:p w14:paraId="450AD311">
      <w:pPr>
        <w:pStyle w:val="99"/>
        <w:rPr>
          <w:rFonts w:hint="eastAsia" w:hAnsi="宋体"/>
          <w:color w:val="auto"/>
          <w:highlight w:val="none"/>
        </w:rPr>
      </w:pPr>
    </w:p>
    <w:p w14:paraId="3AB422DB">
      <w:pPr>
        <w:pStyle w:val="99"/>
        <w:rPr>
          <w:rFonts w:hint="eastAsia" w:hAnsi="宋体"/>
          <w:color w:val="auto"/>
          <w:highlight w:val="none"/>
        </w:rPr>
      </w:pPr>
    </w:p>
    <w:p w14:paraId="09BB45C1">
      <w:pPr>
        <w:pStyle w:val="99"/>
        <w:rPr>
          <w:rFonts w:hint="eastAsia" w:hAnsi="宋体"/>
          <w:color w:val="auto"/>
          <w:highlight w:val="none"/>
        </w:rPr>
      </w:pPr>
    </w:p>
    <w:p w14:paraId="7F920290">
      <w:pPr>
        <w:widowControl/>
        <w:spacing w:line="240" w:lineRule="auto"/>
        <w:jc w:val="left"/>
        <w:rPr>
          <w:rFonts w:hint="eastAsia" w:ascii="宋体" w:hAnsi="宋体" w:eastAsia="宋体" w:cs="宋体"/>
          <w:color w:val="auto"/>
          <w:kern w:val="0"/>
          <w:szCs w:val="21"/>
          <w:highlight w:val="none"/>
          <w:lang w:eastAsia="zh-CN"/>
        </w:rPr>
      </w:pPr>
      <w:r>
        <w:rPr>
          <w:rFonts w:hAnsi="宋体"/>
          <w:color w:val="auto"/>
          <w:highlight w:val="none"/>
        </w:rPr>
        <w:br w:type="page"/>
      </w:r>
      <w:r>
        <w:rPr>
          <w:rFonts w:hint="eastAsia" w:ascii="宋体" w:hAnsi="宋体" w:cs="宋体"/>
          <w:color w:val="auto"/>
          <w:kern w:val="0"/>
          <w:szCs w:val="21"/>
          <w:highlight w:val="none"/>
        </w:rPr>
        <w:t>附表</w:t>
      </w:r>
      <w:r>
        <w:rPr>
          <w:rFonts w:hint="eastAsia" w:ascii="宋体" w:hAnsi="宋体" w:cs="宋体"/>
          <w:color w:val="auto"/>
          <w:kern w:val="0"/>
          <w:szCs w:val="21"/>
          <w:highlight w:val="none"/>
          <w:lang w:eastAsia="zh-CN"/>
        </w:rPr>
        <w:t>：</w:t>
      </w:r>
    </w:p>
    <w:p w14:paraId="476275F1">
      <w:pPr>
        <w:widowControl/>
        <w:spacing w:line="330" w:lineRule="atLeast"/>
        <w:jc w:val="center"/>
        <w:rPr>
          <w:rFonts w:ascii="宋体" w:hAnsi="宋体" w:cs="宋体"/>
          <w:color w:val="auto"/>
          <w:kern w:val="0"/>
          <w:szCs w:val="21"/>
          <w:highlight w:val="none"/>
        </w:rPr>
      </w:pPr>
      <w:r>
        <w:rPr>
          <w:rFonts w:hint="eastAsia" w:ascii="宋体" w:hAnsi="宋体" w:cs="宋体"/>
          <w:color w:val="auto"/>
          <w:kern w:val="0"/>
          <w:szCs w:val="21"/>
          <w:highlight w:val="none"/>
        </w:rPr>
        <w:t>统计上大中小微型企业划分标准</w:t>
      </w:r>
    </w:p>
    <w:tbl>
      <w:tblPr>
        <w:tblStyle w:val="32"/>
        <w:tblW w:w="0" w:type="auto"/>
        <w:jc w:val="center"/>
        <w:tblLayout w:type="fixed"/>
        <w:tblCellMar>
          <w:top w:w="0" w:type="dxa"/>
          <w:left w:w="108" w:type="dxa"/>
          <w:bottom w:w="0" w:type="dxa"/>
          <w:right w:w="108" w:type="dxa"/>
        </w:tblCellMar>
      </w:tblPr>
      <w:tblGrid>
        <w:gridCol w:w="1905"/>
        <w:gridCol w:w="1384"/>
        <w:gridCol w:w="723"/>
        <w:gridCol w:w="1214"/>
        <w:gridCol w:w="1818"/>
        <w:gridCol w:w="1629"/>
        <w:gridCol w:w="976"/>
      </w:tblGrid>
      <w:tr w14:paraId="3F84ADE6">
        <w:tblPrEx>
          <w:tblCellMar>
            <w:top w:w="0" w:type="dxa"/>
            <w:left w:w="108" w:type="dxa"/>
            <w:bottom w:w="0" w:type="dxa"/>
            <w:right w:w="108" w:type="dxa"/>
          </w:tblCellMar>
        </w:tblPrEx>
        <w:trPr>
          <w:trHeight w:val="793" w:hRule="exact"/>
          <w:jc w:val="center"/>
        </w:trPr>
        <w:tc>
          <w:tcPr>
            <w:tcW w:w="1905" w:type="dxa"/>
            <w:tcBorders>
              <w:top w:val="single" w:color="auto" w:sz="4" w:space="0"/>
              <w:left w:val="nil"/>
              <w:bottom w:val="single" w:color="auto" w:sz="4" w:space="0"/>
              <w:right w:val="single" w:color="auto" w:sz="4" w:space="0"/>
            </w:tcBorders>
            <w:noWrap w:val="0"/>
            <w:vAlign w:val="center"/>
          </w:tcPr>
          <w:p w14:paraId="184FDD66">
            <w:pPr>
              <w:widowControl/>
              <w:spacing w:line="240" w:lineRule="exact"/>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行业名称</w:t>
            </w:r>
          </w:p>
        </w:tc>
        <w:tc>
          <w:tcPr>
            <w:tcW w:w="1384" w:type="dxa"/>
            <w:tcBorders>
              <w:top w:val="single" w:color="auto" w:sz="4" w:space="0"/>
              <w:left w:val="nil"/>
              <w:bottom w:val="single" w:color="auto" w:sz="4" w:space="0"/>
              <w:right w:val="single" w:color="auto" w:sz="4" w:space="0"/>
            </w:tcBorders>
            <w:noWrap w:val="0"/>
            <w:vAlign w:val="center"/>
          </w:tcPr>
          <w:p w14:paraId="0314CE9F">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指标名称</w:t>
            </w:r>
          </w:p>
        </w:tc>
        <w:tc>
          <w:tcPr>
            <w:tcW w:w="723" w:type="dxa"/>
            <w:tcBorders>
              <w:top w:val="single" w:color="auto" w:sz="4" w:space="0"/>
              <w:left w:val="nil"/>
              <w:bottom w:val="single" w:color="auto" w:sz="4" w:space="0"/>
              <w:right w:val="single" w:color="auto" w:sz="4" w:space="0"/>
            </w:tcBorders>
            <w:noWrap w:val="0"/>
            <w:vAlign w:val="center"/>
          </w:tcPr>
          <w:p w14:paraId="53B66371">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w:t>
            </w:r>
            <w:r>
              <w:rPr>
                <w:rFonts w:hint="eastAsia" w:ascii="宋体" w:hAnsi="宋体" w:cs="宋体"/>
                <w:b/>
                <w:bCs/>
                <w:color w:val="auto"/>
                <w:kern w:val="0"/>
                <w:szCs w:val="21"/>
                <w:highlight w:val="none"/>
              </w:rPr>
              <w:br w:type="textWrapping"/>
            </w:r>
            <w:r>
              <w:rPr>
                <w:rFonts w:hint="eastAsia" w:ascii="宋体" w:hAnsi="宋体" w:cs="宋体"/>
                <w:b/>
                <w:bCs/>
                <w:color w:val="auto"/>
                <w:kern w:val="0"/>
                <w:szCs w:val="21"/>
                <w:highlight w:val="none"/>
              </w:rPr>
              <w:t>单位</w:t>
            </w:r>
          </w:p>
        </w:tc>
        <w:tc>
          <w:tcPr>
            <w:tcW w:w="1214" w:type="dxa"/>
            <w:tcBorders>
              <w:top w:val="single" w:color="auto" w:sz="4" w:space="0"/>
              <w:left w:val="nil"/>
              <w:bottom w:val="single" w:color="auto" w:sz="4" w:space="0"/>
              <w:right w:val="single" w:color="auto" w:sz="4" w:space="0"/>
            </w:tcBorders>
            <w:noWrap w:val="0"/>
            <w:vAlign w:val="center"/>
          </w:tcPr>
          <w:p w14:paraId="5F7B9B0E">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大型</w:t>
            </w:r>
          </w:p>
        </w:tc>
        <w:tc>
          <w:tcPr>
            <w:tcW w:w="1818" w:type="dxa"/>
            <w:tcBorders>
              <w:top w:val="single" w:color="auto" w:sz="4" w:space="0"/>
              <w:left w:val="nil"/>
              <w:bottom w:val="single" w:color="auto" w:sz="4" w:space="0"/>
              <w:right w:val="single" w:color="auto" w:sz="4" w:space="0"/>
            </w:tcBorders>
            <w:noWrap w:val="0"/>
            <w:vAlign w:val="center"/>
          </w:tcPr>
          <w:p w14:paraId="5DC6BBF7">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中型</w:t>
            </w:r>
          </w:p>
        </w:tc>
        <w:tc>
          <w:tcPr>
            <w:tcW w:w="1629" w:type="dxa"/>
            <w:tcBorders>
              <w:top w:val="single" w:color="auto" w:sz="4" w:space="0"/>
              <w:left w:val="nil"/>
              <w:bottom w:val="single" w:color="auto" w:sz="4" w:space="0"/>
              <w:right w:val="single" w:color="auto" w:sz="4" w:space="0"/>
            </w:tcBorders>
            <w:noWrap w:val="0"/>
            <w:vAlign w:val="center"/>
          </w:tcPr>
          <w:p w14:paraId="000DBAAA">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小型</w:t>
            </w:r>
          </w:p>
        </w:tc>
        <w:tc>
          <w:tcPr>
            <w:tcW w:w="976" w:type="dxa"/>
            <w:tcBorders>
              <w:top w:val="single" w:color="auto" w:sz="4" w:space="0"/>
              <w:left w:val="nil"/>
              <w:bottom w:val="single" w:color="auto" w:sz="4" w:space="0"/>
              <w:right w:val="nil"/>
            </w:tcBorders>
            <w:noWrap w:val="0"/>
            <w:vAlign w:val="center"/>
          </w:tcPr>
          <w:p w14:paraId="01E0B414">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微型</w:t>
            </w:r>
          </w:p>
        </w:tc>
      </w:tr>
      <w:tr w14:paraId="1A3615DE">
        <w:tblPrEx>
          <w:tblCellMar>
            <w:top w:w="0" w:type="dxa"/>
            <w:left w:w="108" w:type="dxa"/>
            <w:bottom w:w="0" w:type="dxa"/>
            <w:right w:w="108" w:type="dxa"/>
          </w:tblCellMar>
        </w:tblPrEx>
        <w:trPr>
          <w:trHeight w:val="506" w:hRule="exact"/>
          <w:jc w:val="center"/>
        </w:trPr>
        <w:tc>
          <w:tcPr>
            <w:tcW w:w="1905" w:type="dxa"/>
            <w:tcBorders>
              <w:top w:val="nil"/>
              <w:left w:val="nil"/>
              <w:bottom w:val="single" w:color="auto" w:sz="4" w:space="0"/>
              <w:right w:val="single" w:color="auto" w:sz="4" w:space="0"/>
            </w:tcBorders>
            <w:noWrap w:val="0"/>
            <w:vAlign w:val="center"/>
          </w:tcPr>
          <w:p w14:paraId="385B42C7">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农、林、牧、渔业</w:t>
            </w:r>
          </w:p>
        </w:tc>
        <w:tc>
          <w:tcPr>
            <w:tcW w:w="1384" w:type="dxa"/>
            <w:tcBorders>
              <w:top w:val="nil"/>
              <w:left w:val="nil"/>
              <w:bottom w:val="single" w:color="auto" w:sz="4" w:space="0"/>
              <w:right w:val="single" w:color="auto" w:sz="4" w:space="0"/>
            </w:tcBorders>
            <w:noWrap w:val="0"/>
            <w:vAlign w:val="center"/>
          </w:tcPr>
          <w:p w14:paraId="216C1B3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0F223A1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0B115C1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Y≥20000</w:t>
            </w:r>
          </w:p>
        </w:tc>
        <w:tc>
          <w:tcPr>
            <w:tcW w:w="1818" w:type="dxa"/>
            <w:tcBorders>
              <w:top w:val="nil"/>
              <w:left w:val="nil"/>
              <w:bottom w:val="single" w:color="auto" w:sz="4" w:space="0"/>
              <w:right w:val="single" w:color="auto" w:sz="4" w:space="0"/>
            </w:tcBorders>
            <w:noWrap w:val="0"/>
            <w:vAlign w:val="center"/>
          </w:tcPr>
          <w:p w14:paraId="42C371B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500≤Y＜20000</w:t>
            </w:r>
          </w:p>
        </w:tc>
        <w:tc>
          <w:tcPr>
            <w:tcW w:w="1629" w:type="dxa"/>
            <w:tcBorders>
              <w:top w:val="nil"/>
              <w:left w:val="nil"/>
              <w:bottom w:val="single" w:color="auto" w:sz="4" w:space="0"/>
              <w:right w:val="single" w:color="auto" w:sz="4" w:space="0"/>
            </w:tcBorders>
            <w:noWrap w:val="0"/>
            <w:vAlign w:val="center"/>
          </w:tcPr>
          <w:p w14:paraId="691B2B3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50≤Y＜500</w:t>
            </w:r>
          </w:p>
        </w:tc>
        <w:tc>
          <w:tcPr>
            <w:tcW w:w="976" w:type="dxa"/>
            <w:tcBorders>
              <w:top w:val="nil"/>
              <w:left w:val="nil"/>
              <w:bottom w:val="single" w:color="auto" w:sz="4" w:space="0"/>
              <w:right w:val="nil"/>
            </w:tcBorders>
            <w:noWrap w:val="0"/>
            <w:vAlign w:val="center"/>
          </w:tcPr>
          <w:p w14:paraId="4D26F4F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w:t>
            </w:r>
          </w:p>
        </w:tc>
      </w:tr>
      <w:tr w14:paraId="295C0230">
        <w:tblPrEx>
          <w:tblCellMar>
            <w:top w:w="0" w:type="dxa"/>
            <w:left w:w="108" w:type="dxa"/>
            <w:bottom w:w="0" w:type="dxa"/>
            <w:right w:w="108" w:type="dxa"/>
          </w:tblCellMar>
        </w:tblPrEx>
        <w:trPr>
          <w:trHeight w:val="459" w:hRule="exact"/>
          <w:jc w:val="center"/>
        </w:trPr>
        <w:tc>
          <w:tcPr>
            <w:tcW w:w="1905" w:type="dxa"/>
            <w:vMerge w:val="restart"/>
            <w:tcBorders>
              <w:top w:val="nil"/>
              <w:left w:val="nil"/>
              <w:bottom w:val="single" w:color="auto" w:sz="4" w:space="0"/>
              <w:right w:val="single" w:color="auto" w:sz="4" w:space="0"/>
            </w:tcBorders>
            <w:noWrap w:val="0"/>
            <w:vAlign w:val="center"/>
          </w:tcPr>
          <w:p w14:paraId="2624A8EB">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工业 </w:t>
            </w:r>
          </w:p>
        </w:tc>
        <w:tc>
          <w:tcPr>
            <w:tcW w:w="1384" w:type="dxa"/>
            <w:tcBorders>
              <w:top w:val="nil"/>
              <w:left w:val="nil"/>
              <w:bottom w:val="nil"/>
              <w:right w:val="single" w:color="auto" w:sz="4" w:space="0"/>
            </w:tcBorders>
            <w:noWrap w:val="0"/>
            <w:vAlign w:val="center"/>
          </w:tcPr>
          <w:p w14:paraId="1863766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6B17E14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1CFEF07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1818" w:type="dxa"/>
            <w:tcBorders>
              <w:top w:val="nil"/>
              <w:left w:val="nil"/>
              <w:bottom w:val="nil"/>
              <w:right w:val="single" w:color="auto" w:sz="4" w:space="0"/>
            </w:tcBorders>
            <w:noWrap w:val="0"/>
            <w:vAlign w:val="center"/>
          </w:tcPr>
          <w:p w14:paraId="782A73B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1629" w:type="dxa"/>
            <w:tcBorders>
              <w:top w:val="nil"/>
              <w:left w:val="nil"/>
              <w:bottom w:val="nil"/>
              <w:right w:val="single" w:color="auto" w:sz="4" w:space="0"/>
            </w:tcBorders>
            <w:noWrap w:val="0"/>
            <w:vAlign w:val="center"/>
          </w:tcPr>
          <w:p w14:paraId="2A3AF2B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976" w:type="dxa"/>
            <w:tcBorders>
              <w:top w:val="nil"/>
              <w:left w:val="nil"/>
              <w:bottom w:val="nil"/>
              <w:right w:val="nil"/>
            </w:tcBorders>
            <w:noWrap w:val="0"/>
            <w:vAlign w:val="center"/>
          </w:tcPr>
          <w:p w14:paraId="0C2DDA5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762750CC">
        <w:tblPrEx>
          <w:tblCellMar>
            <w:top w:w="0" w:type="dxa"/>
            <w:left w:w="108" w:type="dxa"/>
            <w:bottom w:w="0" w:type="dxa"/>
            <w:right w:w="108" w:type="dxa"/>
          </w:tblCellMar>
        </w:tblPrEx>
        <w:trPr>
          <w:trHeight w:val="480" w:hRule="exact"/>
          <w:jc w:val="center"/>
        </w:trPr>
        <w:tc>
          <w:tcPr>
            <w:tcW w:w="1905" w:type="dxa"/>
            <w:vMerge w:val="continue"/>
            <w:tcBorders>
              <w:top w:val="nil"/>
              <w:left w:val="nil"/>
              <w:bottom w:val="single" w:color="auto" w:sz="4" w:space="0"/>
              <w:right w:val="single" w:color="auto" w:sz="4" w:space="0"/>
            </w:tcBorders>
            <w:noWrap w:val="0"/>
            <w:vAlign w:val="center"/>
          </w:tcPr>
          <w:p w14:paraId="275E533A">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5F3050C4">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2F322A0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019F02F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Y≥40000</w:t>
            </w:r>
          </w:p>
        </w:tc>
        <w:tc>
          <w:tcPr>
            <w:tcW w:w="1818" w:type="dxa"/>
            <w:tcBorders>
              <w:top w:val="nil"/>
              <w:left w:val="nil"/>
              <w:bottom w:val="single" w:color="auto" w:sz="4" w:space="0"/>
              <w:right w:val="single" w:color="auto" w:sz="4" w:space="0"/>
            </w:tcBorders>
            <w:noWrap w:val="0"/>
            <w:vAlign w:val="center"/>
          </w:tcPr>
          <w:p w14:paraId="5B62924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2000≤Y＜40000</w:t>
            </w:r>
          </w:p>
        </w:tc>
        <w:tc>
          <w:tcPr>
            <w:tcW w:w="1629" w:type="dxa"/>
            <w:tcBorders>
              <w:top w:val="nil"/>
              <w:left w:val="nil"/>
              <w:bottom w:val="single" w:color="auto" w:sz="4" w:space="0"/>
              <w:right w:val="single" w:color="auto" w:sz="4" w:space="0"/>
            </w:tcBorders>
            <w:noWrap w:val="0"/>
            <w:vAlign w:val="center"/>
          </w:tcPr>
          <w:p w14:paraId="64183EA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300≤Y＜2000</w:t>
            </w:r>
          </w:p>
        </w:tc>
        <w:tc>
          <w:tcPr>
            <w:tcW w:w="976" w:type="dxa"/>
            <w:tcBorders>
              <w:top w:val="nil"/>
              <w:left w:val="nil"/>
              <w:bottom w:val="single" w:color="auto" w:sz="4" w:space="0"/>
              <w:right w:val="nil"/>
            </w:tcBorders>
            <w:noWrap w:val="0"/>
            <w:vAlign w:val="center"/>
          </w:tcPr>
          <w:p w14:paraId="753DA88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w:t>
            </w:r>
          </w:p>
        </w:tc>
      </w:tr>
      <w:tr w14:paraId="53D6DD82">
        <w:tblPrEx>
          <w:tblCellMar>
            <w:top w:w="0" w:type="dxa"/>
            <w:left w:w="108" w:type="dxa"/>
            <w:bottom w:w="0" w:type="dxa"/>
            <w:right w:w="108" w:type="dxa"/>
          </w:tblCellMar>
        </w:tblPrEx>
        <w:trPr>
          <w:trHeight w:val="535" w:hRule="exact"/>
          <w:jc w:val="center"/>
        </w:trPr>
        <w:tc>
          <w:tcPr>
            <w:tcW w:w="1905" w:type="dxa"/>
            <w:vMerge w:val="restart"/>
            <w:tcBorders>
              <w:top w:val="nil"/>
              <w:left w:val="nil"/>
              <w:bottom w:val="single" w:color="auto" w:sz="4" w:space="0"/>
              <w:right w:val="single" w:color="auto" w:sz="4" w:space="0"/>
            </w:tcBorders>
            <w:noWrap w:val="0"/>
            <w:vAlign w:val="center"/>
          </w:tcPr>
          <w:p w14:paraId="1E23928F">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建筑业</w:t>
            </w:r>
          </w:p>
        </w:tc>
        <w:tc>
          <w:tcPr>
            <w:tcW w:w="1384" w:type="dxa"/>
            <w:tcBorders>
              <w:top w:val="nil"/>
              <w:left w:val="nil"/>
              <w:bottom w:val="nil"/>
              <w:right w:val="single" w:color="auto" w:sz="4" w:space="0"/>
            </w:tcBorders>
            <w:noWrap w:val="0"/>
            <w:vAlign w:val="center"/>
          </w:tcPr>
          <w:p w14:paraId="03BB693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nil"/>
              <w:right w:val="single" w:color="auto" w:sz="4" w:space="0"/>
            </w:tcBorders>
            <w:noWrap w:val="0"/>
            <w:vAlign w:val="center"/>
          </w:tcPr>
          <w:p w14:paraId="75969BA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nil"/>
              <w:right w:val="single" w:color="auto" w:sz="4" w:space="0"/>
            </w:tcBorders>
            <w:noWrap w:val="0"/>
            <w:vAlign w:val="center"/>
          </w:tcPr>
          <w:p w14:paraId="1CA548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Y≥80000</w:t>
            </w:r>
          </w:p>
        </w:tc>
        <w:tc>
          <w:tcPr>
            <w:tcW w:w="1818" w:type="dxa"/>
            <w:tcBorders>
              <w:top w:val="nil"/>
              <w:left w:val="nil"/>
              <w:bottom w:val="nil"/>
              <w:right w:val="single" w:color="auto" w:sz="4" w:space="0"/>
            </w:tcBorders>
            <w:noWrap w:val="0"/>
            <w:vAlign w:val="center"/>
          </w:tcPr>
          <w:p w14:paraId="3123C39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6000≤Y＜80000</w:t>
            </w:r>
          </w:p>
        </w:tc>
        <w:tc>
          <w:tcPr>
            <w:tcW w:w="1629" w:type="dxa"/>
            <w:tcBorders>
              <w:top w:val="nil"/>
              <w:left w:val="nil"/>
              <w:bottom w:val="nil"/>
              <w:right w:val="single" w:color="auto" w:sz="4" w:space="0"/>
            </w:tcBorders>
            <w:noWrap w:val="0"/>
            <w:vAlign w:val="center"/>
          </w:tcPr>
          <w:p w14:paraId="76AC987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300≤Y＜6000</w:t>
            </w:r>
          </w:p>
        </w:tc>
        <w:tc>
          <w:tcPr>
            <w:tcW w:w="976" w:type="dxa"/>
            <w:tcBorders>
              <w:top w:val="nil"/>
              <w:left w:val="nil"/>
              <w:bottom w:val="nil"/>
              <w:right w:val="nil"/>
            </w:tcBorders>
            <w:noWrap w:val="0"/>
            <w:vAlign w:val="center"/>
          </w:tcPr>
          <w:p w14:paraId="4EDFF3A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w:t>
            </w:r>
          </w:p>
        </w:tc>
      </w:tr>
      <w:tr w14:paraId="3529EA4E">
        <w:tblPrEx>
          <w:tblCellMar>
            <w:top w:w="0" w:type="dxa"/>
            <w:left w:w="108" w:type="dxa"/>
            <w:bottom w:w="0" w:type="dxa"/>
            <w:right w:w="108" w:type="dxa"/>
          </w:tblCellMar>
        </w:tblPrEx>
        <w:trPr>
          <w:trHeight w:val="480" w:hRule="exact"/>
          <w:jc w:val="center"/>
        </w:trPr>
        <w:tc>
          <w:tcPr>
            <w:tcW w:w="1905" w:type="dxa"/>
            <w:vMerge w:val="continue"/>
            <w:tcBorders>
              <w:top w:val="nil"/>
              <w:left w:val="nil"/>
              <w:bottom w:val="single" w:color="auto" w:sz="4" w:space="0"/>
              <w:right w:val="single" w:color="auto" w:sz="4" w:space="0"/>
            </w:tcBorders>
            <w:noWrap w:val="0"/>
            <w:vAlign w:val="center"/>
          </w:tcPr>
          <w:p w14:paraId="3DE8F249">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2B7F8B09">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723" w:type="dxa"/>
            <w:tcBorders>
              <w:top w:val="nil"/>
              <w:left w:val="nil"/>
              <w:bottom w:val="single" w:color="auto" w:sz="4" w:space="0"/>
              <w:right w:val="single" w:color="auto" w:sz="4" w:space="0"/>
            </w:tcBorders>
            <w:noWrap w:val="0"/>
            <w:vAlign w:val="center"/>
          </w:tcPr>
          <w:p w14:paraId="35B21DB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39AD3B5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Z≥80000</w:t>
            </w:r>
          </w:p>
        </w:tc>
        <w:tc>
          <w:tcPr>
            <w:tcW w:w="1818" w:type="dxa"/>
            <w:tcBorders>
              <w:top w:val="nil"/>
              <w:left w:val="nil"/>
              <w:bottom w:val="single" w:color="auto" w:sz="4" w:space="0"/>
              <w:right w:val="single" w:color="auto" w:sz="4" w:space="0"/>
            </w:tcBorders>
            <w:noWrap w:val="0"/>
            <w:vAlign w:val="center"/>
          </w:tcPr>
          <w:p w14:paraId="674CDF6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5000≤Z＜80000</w:t>
            </w:r>
          </w:p>
        </w:tc>
        <w:tc>
          <w:tcPr>
            <w:tcW w:w="1629" w:type="dxa"/>
            <w:tcBorders>
              <w:top w:val="nil"/>
              <w:left w:val="nil"/>
              <w:bottom w:val="single" w:color="auto" w:sz="4" w:space="0"/>
              <w:right w:val="single" w:color="auto" w:sz="4" w:space="0"/>
            </w:tcBorders>
            <w:noWrap w:val="0"/>
            <w:vAlign w:val="center"/>
          </w:tcPr>
          <w:p w14:paraId="715BB78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300≤Z＜5000</w:t>
            </w:r>
          </w:p>
        </w:tc>
        <w:tc>
          <w:tcPr>
            <w:tcW w:w="976" w:type="dxa"/>
            <w:tcBorders>
              <w:top w:val="nil"/>
              <w:left w:val="nil"/>
              <w:bottom w:val="single" w:color="auto" w:sz="4" w:space="0"/>
              <w:right w:val="nil"/>
            </w:tcBorders>
            <w:noWrap w:val="0"/>
            <w:vAlign w:val="center"/>
          </w:tcPr>
          <w:p w14:paraId="55C326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Z＜300</w:t>
            </w:r>
          </w:p>
        </w:tc>
      </w:tr>
      <w:tr w14:paraId="21085B12">
        <w:tblPrEx>
          <w:tblCellMar>
            <w:top w:w="0" w:type="dxa"/>
            <w:left w:w="108" w:type="dxa"/>
            <w:bottom w:w="0" w:type="dxa"/>
            <w:right w:w="108" w:type="dxa"/>
          </w:tblCellMar>
        </w:tblPrEx>
        <w:trPr>
          <w:trHeight w:val="506" w:hRule="exact"/>
          <w:jc w:val="center"/>
        </w:trPr>
        <w:tc>
          <w:tcPr>
            <w:tcW w:w="1905" w:type="dxa"/>
            <w:vMerge w:val="restart"/>
            <w:tcBorders>
              <w:top w:val="nil"/>
              <w:left w:val="nil"/>
              <w:bottom w:val="single" w:color="auto" w:sz="4" w:space="0"/>
              <w:right w:val="single" w:color="auto" w:sz="4" w:space="0"/>
            </w:tcBorders>
            <w:noWrap w:val="0"/>
            <w:vAlign w:val="center"/>
          </w:tcPr>
          <w:p w14:paraId="05D24ADC">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批发业</w:t>
            </w:r>
          </w:p>
        </w:tc>
        <w:tc>
          <w:tcPr>
            <w:tcW w:w="1384" w:type="dxa"/>
            <w:tcBorders>
              <w:top w:val="nil"/>
              <w:left w:val="nil"/>
              <w:bottom w:val="nil"/>
              <w:right w:val="single" w:color="auto" w:sz="4" w:space="0"/>
            </w:tcBorders>
            <w:noWrap w:val="0"/>
            <w:vAlign w:val="center"/>
          </w:tcPr>
          <w:p w14:paraId="6C1A443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2F5BD66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1904CBA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X≥200</w:t>
            </w:r>
          </w:p>
        </w:tc>
        <w:tc>
          <w:tcPr>
            <w:tcW w:w="1818" w:type="dxa"/>
            <w:tcBorders>
              <w:top w:val="nil"/>
              <w:left w:val="nil"/>
              <w:bottom w:val="nil"/>
              <w:right w:val="single" w:color="auto" w:sz="4" w:space="0"/>
            </w:tcBorders>
            <w:noWrap w:val="0"/>
            <w:vAlign w:val="center"/>
          </w:tcPr>
          <w:p w14:paraId="74680F2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20≤X＜200</w:t>
            </w:r>
          </w:p>
        </w:tc>
        <w:tc>
          <w:tcPr>
            <w:tcW w:w="1629" w:type="dxa"/>
            <w:tcBorders>
              <w:top w:val="nil"/>
              <w:left w:val="nil"/>
              <w:bottom w:val="nil"/>
              <w:right w:val="single" w:color="auto" w:sz="4" w:space="0"/>
            </w:tcBorders>
            <w:noWrap w:val="0"/>
            <w:vAlign w:val="center"/>
          </w:tcPr>
          <w:p w14:paraId="4314546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5≤X＜20</w:t>
            </w:r>
          </w:p>
        </w:tc>
        <w:tc>
          <w:tcPr>
            <w:tcW w:w="976" w:type="dxa"/>
            <w:tcBorders>
              <w:top w:val="nil"/>
              <w:left w:val="nil"/>
              <w:bottom w:val="nil"/>
              <w:right w:val="nil"/>
            </w:tcBorders>
            <w:noWrap w:val="0"/>
            <w:vAlign w:val="center"/>
          </w:tcPr>
          <w:p w14:paraId="517C58C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X＜5</w:t>
            </w:r>
          </w:p>
        </w:tc>
      </w:tr>
      <w:tr w14:paraId="14E1D95D">
        <w:tblPrEx>
          <w:tblCellMar>
            <w:top w:w="0" w:type="dxa"/>
            <w:left w:w="108" w:type="dxa"/>
            <w:bottom w:w="0" w:type="dxa"/>
            <w:right w:w="108" w:type="dxa"/>
          </w:tblCellMar>
        </w:tblPrEx>
        <w:trPr>
          <w:trHeight w:val="567" w:hRule="exact"/>
          <w:jc w:val="center"/>
        </w:trPr>
        <w:tc>
          <w:tcPr>
            <w:tcW w:w="1905" w:type="dxa"/>
            <w:vMerge w:val="continue"/>
            <w:tcBorders>
              <w:top w:val="nil"/>
              <w:left w:val="nil"/>
              <w:bottom w:val="single" w:color="auto" w:sz="4" w:space="0"/>
              <w:right w:val="single" w:color="auto" w:sz="4" w:space="0"/>
            </w:tcBorders>
            <w:noWrap w:val="0"/>
            <w:vAlign w:val="center"/>
          </w:tcPr>
          <w:p w14:paraId="5E603C97">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707A3239">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7393523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43D88B0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Y≥40000</w:t>
            </w:r>
          </w:p>
        </w:tc>
        <w:tc>
          <w:tcPr>
            <w:tcW w:w="1818" w:type="dxa"/>
            <w:tcBorders>
              <w:top w:val="nil"/>
              <w:left w:val="nil"/>
              <w:bottom w:val="single" w:color="auto" w:sz="4" w:space="0"/>
              <w:right w:val="single" w:color="auto" w:sz="4" w:space="0"/>
            </w:tcBorders>
            <w:noWrap w:val="0"/>
            <w:vAlign w:val="center"/>
          </w:tcPr>
          <w:p w14:paraId="35202E3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5000≤Y＜40000</w:t>
            </w:r>
          </w:p>
        </w:tc>
        <w:tc>
          <w:tcPr>
            <w:tcW w:w="1629" w:type="dxa"/>
            <w:tcBorders>
              <w:top w:val="nil"/>
              <w:left w:val="nil"/>
              <w:bottom w:val="single" w:color="auto" w:sz="4" w:space="0"/>
              <w:right w:val="single" w:color="auto" w:sz="4" w:space="0"/>
            </w:tcBorders>
            <w:noWrap w:val="0"/>
            <w:vAlign w:val="center"/>
          </w:tcPr>
          <w:p w14:paraId="22FB5870">
            <w:pPr>
              <w:widowControl/>
              <w:ind w:left="-1" w:leftChars="-1" w:hanging="1"/>
              <w:jc w:val="both"/>
              <w:rPr>
                <w:rFonts w:ascii="宋体" w:hAnsi="宋体" w:cs="宋体"/>
                <w:color w:val="auto"/>
                <w:kern w:val="0"/>
                <w:szCs w:val="21"/>
                <w:highlight w:val="none"/>
              </w:rPr>
            </w:pPr>
            <w:r>
              <w:rPr>
                <w:rFonts w:hint="eastAsia" w:ascii="宋体" w:hAnsi="宋体" w:cs="宋体"/>
                <w:color w:val="auto"/>
                <w:kern w:val="0"/>
                <w:szCs w:val="21"/>
                <w:highlight w:val="none"/>
              </w:rPr>
              <w:t>1000≤Y＜5000</w:t>
            </w:r>
          </w:p>
        </w:tc>
        <w:tc>
          <w:tcPr>
            <w:tcW w:w="976" w:type="dxa"/>
            <w:tcBorders>
              <w:top w:val="nil"/>
              <w:left w:val="nil"/>
              <w:bottom w:val="single" w:color="auto" w:sz="4" w:space="0"/>
              <w:right w:val="nil"/>
            </w:tcBorders>
            <w:noWrap w:val="0"/>
            <w:vAlign w:val="center"/>
          </w:tcPr>
          <w:p w14:paraId="7F6C47B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w:t>
            </w:r>
          </w:p>
        </w:tc>
      </w:tr>
      <w:tr w14:paraId="78C3FFE3">
        <w:tblPrEx>
          <w:tblCellMar>
            <w:top w:w="0" w:type="dxa"/>
            <w:left w:w="108" w:type="dxa"/>
            <w:bottom w:w="0" w:type="dxa"/>
            <w:right w:w="108" w:type="dxa"/>
          </w:tblCellMar>
        </w:tblPrEx>
        <w:trPr>
          <w:trHeight w:val="451" w:hRule="exact"/>
          <w:jc w:val="center"/>
        </w:trPr>
        <w:tc>
          <w:tcPr>
            <w:tcW w:w="1905" w:type="dxa"/>
            <w:vMerge w:val="restart"/>
            <w:tcBorders>
              <w:top w:val="nil"/>
              <w:left w:val="nil"/>
              <w:bottom w:val="single" w:color="auto" w:sz="4" w:space="0"/>
              <w:right w:val="single" w:color="auto" w:sz="4" w:space="0"/>
            </w:tcBorders>
            <w:noWrap w:val="0"/>
            <w:vAlign w:val="center"/>
          </w:tcPr>
          <w:p w14:paraId="4C39211E">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零售业</w:t>
            </w:r>
          </w:p>
        </w:tc>
        <w:tc>
          <w:tcPr>
            <w:tcW w:w="1384" w:type="dxa"/>
            <w:tcBorders>
              <w:top w:val="nil"/>
              <w:left w:val="nil"/>
              <w:bottom w:val="nil"/>
              <w:right w:val="single" w:color="auto" w:sz="4" w:space="0"/>
            </w:tcBorders>
            <w:noWrap w:val="0"/>
            <w:vAlign w:val="center"/>
          </w:tcPr>
          <w:p w14:paraId="14BF8E5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3816F82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2572947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1818" w:type="dxa"/>
            <w:tcBorders>
              <w:top w:val="nil"/>
              <w:left w:val="nil"/>
              <w:bottom w:val="nil"/>
              <w:right w:val="single" w:color="auto" w:sz="4" w:space="0"/>
            </w:tcBorders>
            <w:noWrap w:val="0"/>
            <w:vAlign w:val="center"/>
          </w:tcPr>
          <w:p w14:paraId="5458D66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50≤X＜300</w:t>
            </w:r>
          </w:p>
        </w:tc>
        <w:tc>
          <w:tcPr>
            <w:tcW w:w="1629" w:type="dxa"/>
            <w:tcBorders>
              <w:top w:val="nil"/>
              <w:left w:val="nil"/>
              <w:bottom w:val="nil"/>
              <w:right w:val="single" w:color="auto" w:sz="4" w:space="0"/>
            </w:tcBorders>
            <w:noWrap w:val="0"/>
            <w:vAlign w:val="center"/>
          </w:tcPr>
          <w:p w14:paraId="26ACAEC7">
            <w:pPr>
              <w:widowControl/>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10≤X＜50 </w:t>
            </w:r>
          </w:p>
        </w:tc>
        <w:tc>
          <w:tcPr>
            <w:tcW w:w="976" w:type="dxa"/>
            <w:tcBorders>
              <w:top w:val="nil"/>
              <w:left w:val="nil"/>
              <w:bottom w:val="nil"/>
              <w:right w:val="nil"/>
            </w:tcBorders>
            <w:noWrap w:val="0"/>
            <w:vAlign w:val="center"/>
          </w:tcPr>
          <w:p w14:paraId="220BF82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0C6CDF8C">
        <w:tblPrEx>
          <w:tblCellMar>
            <w:top w:w="0" w:type="dxa"/>
            <w:left w:w="108" w:type="dxa"/>
            <w:bottom w:w="0" w:type="dxa"/>
            <w:right w:w="108" w:type="dxa"/>
          </w:tblCellMar>
        </w:tblPrEx>
        <w:trPr>
          <w:trHeight w:val="504" w:hRule="exact"/>
          <w:jc w:val="center"/>
        </w:trPr>
        <w:tc>
          <w:tcPr>
            <w:tcW w:w="1905" w:type="dxa"/>
            <w:vMerge w:val="continue"/>
            <w:tcBorders>
              <w:top w:val="nil"/>
              <w:left w:val="nil"/>
              <w:bottom w:val="single" w:color="auto" w:sz="4" w:space="0"/>
              <w:right w:val="single" w:color="auto" w:sz="4" w:space="0"/>
            </w:tcBorders>
            <w:noWrap w:val="0"/>
            <w:vAlign w:val="center"/>
          </w:tcPr>
          <w:p w14:paraId="7927F040">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59A4A79A">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2D4234E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56DF1E0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Y≥20000</w:t>
            </w:r>
          </w:p>
        </w:tc>
        <w:tc>
          <w:tcPr>
            <w:tcW w:w="1818" w:type="dxa"/>
            <w:tcBorders>
              <w:top w:val="nil"/>
              <w:left w:val="nil"/>
              <w:bottom w:val="single" w:color="auto" w:sz="4" w:space="0"/>
              <w:right w:val="single" w:color="auto" w:sz="4" w:space="0"/>
            </w:tcBorders>
            <w:noWrap w:val="0"/>
            <w:vAlign w:val="center"/>
          </w:tcPr>
          <w:p w14:paraId="510AAE6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500≤Y＜20000</w:t>
            </w:r>
          </w:p>
        </w:tc>
        <w:tc>
          <w:tcPr>
            <w:tcW w:w="1629" w:type="dxa"/>
            <w:tcBorders>
              <w:top w:val="nil"/>
              <w:left w:val="nil"/>
              <w:bottom w:val="single" w:color="auto" w:sz="4" w:space="0"/>
              <w:right w:val="single" w:color="auto" w:sz="4" w:space="0"/>
            </w:tcBorders>
            <w:noWrap w:val="0"/>
            <w:vAlign w:val="center"/>
          </w:tcPr>
          <w:p w14:paraId="6C671141">
            <w:pPr>
              <w:widowControl/>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100≤Y＜500 </w:t>
            </w:r>
          </w:p>
        </w:tc>
        <w:tc>
          <w:tcPr>
            <w:tcW w:w="976" w:type="dxa"/>
            <w:tcBorders>
              <w:top w:val="nil"/>
              <w:left w:val="nil"/>
              <w:bottom w:val="single" w:color="auto" w:sz="4" w:space="0"/>
              <w:right w:val="nil"/>
            </w:tcBorders>
            <w:noWrap w:val="0"/>
            <w:vAlign w:val="center"/>
          </w:tcPr>
          <w:p w14:paraId="0A82B91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20A321E0">
        <w:tblPrEx>
          <w:tblCellMar>
            <w:top w:w="0" w:type="dxa"/>
            <w:left w:w="108" w:type="dxa"/>
            <w:bottom w:w="0" w:type="dxa"/>
            <w:right w:w="108" w:type="dxa"/>
          </w:tblCellMar>
        </w:tblPrEx>
        <w:trPr>
          <w:trHeight w:val="506" w:hRule="exact"/>
          <w:jc w:val="center"/>
        </w:trPr>
        <w:tc>
          <w:tcPr>
            <w:tcW w:w="1905" w:type="dxa"/>
            <w:vMerge w:val="restart"/>
            <w:tcBorders>
              <w:top w:val="nil"/>
              <w:left w:val="nil"/>
              <w:bottom w:val="single" w:color="auto" w:sz="4" w:space="0"/>
              <w:right w:val="single" w:color="auto" w:sz="4" w:space="0"/>
            </w:tcBorders>
            <w:noWrap w:val="0"/>
            <w:vAlign w:val="center"/>
          </w:tcPr>
          <w:p w14:paraId="03EA844E">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交通运输业 </w:t>
            </w:r>
          </w:p>
        </w:tc>
        <w:tc>
          <w:tcPr>
            <w:tcW w:w="1384" w:type="dxa"/>
            <w:tcBorders>
              <w:top w:val="nil"/>
              <w:left w:val="nil"/>
              <w:bottom w:val="nil"/>
              <w:right w:val="single" w:color="auto" w:sz="4" w:space="0"/>
            </w:tcBorders>
            <w:noWrap w:val="0"/>
            <w:vAlign w:val="center"/>
          </w:tcPr>
          <w:p w14:paraId="3B7E200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15F903D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09A6114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1818" w:type="dxa"/>
            <w:tcBorders>
              <w:top w:val="nil"/>
              <w:left w:val="nil"/>
              <w:bottom w:val="nil"/>
              <w:right w:val="single" w:color="auto" w:sz="4" w:space="0"/>
            </w:tcBorders>
            <w:noWrap w:val="0"/>
            <w:vAlign w:val="center"/>
          </w:tcPr>
          <w:p w14:paraId="4E785AA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1629" w:type="dxa"/>
            <w:tcBorders>
              <w:top w:val="nil"/>
              <w:left w:val="nil"/>
              <w:bottom w:val="nil"/>
              <w:right w:val="single" w:color="auto" w:sz="4" w:space="0"/>
            </w:tcBorders>
            <w:noWrap w:val="0"/>
            <w:vAlign w:val="center"/>
          </w:tcPr>
          <w:p w14:paraId="29EBE20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976" w:type="dxa"/>
            <w:tcBorders>
              <w:top w:val="nil"/>
              <w:left w:val="nil"/>
              <w:bottom w:val="nil"/>
              <w:right w:val="nil"/>
            </w:tcBorders>
            <w:noWrap w:val="0"/>
            <w:vAlign w:val="center"/>
          </w:tcPr>
          <w:p w14:paraId="3CC4E94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66F2190D">
        <w:tblPrEx>
          <w:tblCellMar>
            <w:top w:w="0" w:type="dxa"/>
            <w:left w:w="108" w:type="dxa"/>
            <w:bottom w:w="0" w:type="dxa"/>
            <w:right w:w="108" w:type="dxa"/>
          </w:tblCellMar>
        </w:tblPrEx>
        <w:trPr>
          <w:trHeight w:val="506" w:hRule="exact"/>
          <w:jc w:val="center"/>
        </w:trPr>
        <w:tc>
          <w:tcPr>
            <w:tcW w:w="1905" w:type="dxa"/>
            <w:vMerge w:val="continue"/>
            <w:tcBorders>
              <w:top w:val="nil"/>
              <w:left w:val="nil"/>
              <w:bottom w:val="single" w:color="auto" w:sz="4" w:space="0"/>
              <w:right w:val="single" w:color="auto" w:sz="4" w:space="0"/>
            </w:tcBorders>
            <w:noWrap w:val="0"/>
            <w:vAlign w:val="center"/>
          </w:tcPr>
          <w:p w14:paraId="7C05967C">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7AB5FFB3">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28B68B1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170B8B6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1818" w:type="dxa"/>
            <w:tcBorders>
              <w:top w:val="nil"/>
              <w:left w:val="nil"/>
              <w:bottom w:val="single" w:color="auto" w:sz="4" w:space="0"/>
              <w:right w:val="single" w:color="auto" w:sz="4" w:space="0"/>
            </w:tcBorders>
            <w:noWrap w:val="0"/>
            <w:vAlign w:val="center"/>
          </w:tcPr>
          <w:p w14:paraId="02AC4F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3000≤Y＜30000</w:t>
            </w:r>
          </w:p>
        </w:tc>
        <w:tc>
          <w:tcPr>
            <w:tcW w:w="1629" w:type="dxa"/>
            <w:tcBorders>
              <w:top w:val="nil"/>
              <w:left w:val="nil"/>
              <w:bottom w:val="single" w:color="auto" w:sz="4" w:space="0"/>
              <w:right w:val="single" w:color="auto" w:sz="4" w:space="0"/>
            </w:tcBorders>
            <w:noWrap w:val="0"/>
            <w:vAlign w:val="center"/>
          </w:tcPr>
          <w:p w14:paraId="69ED63B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200≤Y＜3000</w:t>
            </w:r>
          </w:p>
        </w:tc>
        <w:tc>
          <w:tcPr>
            <w:tcW w:w="976" w:type="dxa"/>
            <w:tcBorders>
              <w:top w:val="nil"/>
              <w:left w:val="nil"/>
              <w:bottom w:val="single" w:color="auto" w:sz="4" w:space="0"/>
              <w:right w:val="nil"/>
            </w:tcBorders>
            <w:noWrap w:val="0"/>
            <w:vAlign w:val="center"/>
          </w:tcPr>
          <w:p w14:paraId="66D74EF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w:t>
            </w:r>
          </w:p>
        </w:tc>
      </w:tr>
      <w:tr w14:paraId="6D74838D">
        <w:tblPrEx>
          <w:tblCellMar>
            <w:top w:w="0" w:type="dxa"/>
            <w:left w:w="108" w:type="dxa"/>
            <w:bottom w:w="0" w:type="dxa"/>
            <w:right w:w="108" w:type="dxa"/>
          </w:tblCellMar>
        </w:tblPrEx>
        <w:trPr>
          <w:trHeight w:val="506" w:hRule="exact"/>
          <w:jc w:val="center"/>
        </w:trPr>
        <w:tc>
          <w:tcPr>
            <w:tcW w:w="1905" w:type="dxa"/>
            <w:vMerge w:val="restart"/>
            <w:tcBorders>
              <w:top w:val="nil"/>
              <w:left w:val="nil"/>
              <w:bottom w:val="single" w:color="auto" w:sz="4" w:space="0"/>
              <w:right w:val="single" w:color="auto" w:sz="4" w:space="0"/>
            </w:tcBorders>
            <w:noWrap w:val="0"/>
            <w:vAlign w:val="center"/>
          </w:tcPr>
          <w:p w14:paraId="3DD300CA">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仓储业*</w:t>
            </w:r>
          </w:p>
        </w:tc>
        <w:tc>
          <w:tcPr>
            <w:tcW w:w="1384" w:type="dxa"/>
            <w:tcBorders>
              <w:top w:val="nil"/>
              <w:left w:val="nil"/>
              <w:bottom w:val="nil"/>
              <w:right w:val="single" w:color="auto" w:sz="4" w:space="0"/>
            </w:tcBorders>
            <w:noWrap w:val="0"/>
            <w:vAlign w:val="center"/>
          </w:tcPr>
          <w:p w14:paraId="00D08A0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01ABCA5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1A2AE52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X≥200</w:t>
            </w:r>
          </w:p>
        </w:tc>
        <w:tc>
          <w:tcPr>
            <w:tcW w:w="1818" w:type="dxa"/>
            <w:tcBorders>
              <w:top w:val="nil"/>
              <w:left w:val="nil"/>
              <w:bottom w:val="nil"/>
              <w:right w:val="single" w:color="auto" w:sz="4" w:space="0"/>
            </w:tcBorders>
            <w:noWrap w:val="0"/>
            <w:vAlign w:val="center"/>
          </w:tcPr>
          <w:p w14:paraId="1ECE3743">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100≤X＜200</w:t>
            </w:r>
          </w:p>
        </w:tc>
        <w:tc>
          <w:tcPr>
            <w:tcW w:w="1629" w:type="dxa"/>
            <w:tcBorders>
              <w:top w:val="nil"/>
              <w:left w:val="nil"/>
              <w:bottom w:val="nil"/>
              <w:right w:val="single" w:color="auto" w:sz="4" w:space="0"/>
            </w:tcBorders>
            <w:noWrap w:val="0"/>
            <w:vAlign w:val="center"/>
          </w:tcPr>
          <w:p w14:paraId="64049F1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20≤X＜100</w:t>
            </w:r>
          </w:p>
        </w:tc>
        <w:tc>
          <w:tcPr>
            <w:tcW w:w="976" w:type="dxa"/>
            <w:tcBorders>
              <w:top w:val="nil"/>
              <w:left w:val="nil"/>
              <w:bottom w:val="nil"/>
              <w:right w:val="nil"/>
            </w:tcBorders>
            <w:noWrap w:val="0"/>
            <w:vAlign w:val="center"/>
          </w:tcPr>
          <w:p w14:paraId="1974E69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5A0D4B80">
        <w:tblPrEx>
          <w:tblCellMar>
            <w:top w:w="0" w:type="dxa"/>
            <w:left w:w="108" w:type="dxa"/>
            <w:bottom w:w="0" w:type="dxa"/>
            <w:right w:w="108" w:type="dxa"/>
          </w:tblCellMar>
        </w:tblPrEx>
        <w:trPr>
          <w:trHeight w:val="506" w:hRule="exact"/>
          <w:jc w:val="center"/>
        </w:trPr>
        <w:tc>
          <w:tcPr>
            <w:tcW w:w="1905" w:type="dxa"/>
            <w:vMerge w:val="continue"/>
            <w:tcBorders>
              <w:top w:val="nil"/>
              <w:left w:val="nil"/>
              <w:bottom w:val="single" w:color="auto" w:sz="4" w:space="0"/>
              <w:right w:val="single" w:color="auto" w:sz="4" w:space="0"/>
            </w:tcBorders>
            <w:noWrap w:val="0"/>
            <w:vAlign w:val="center"/>
          </w:tcPr>
          <w:p w14:paraId="280A0703">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21101838">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188F8D2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39C05A1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1818" w:type="dxa"/>
            <w:tcBorders>
              <w:top w:val="nil"/>
              <w:left w:val="nil"/>
              <w:bottom w:val="single" w:color="auto" w:sz="4" w:space="0"/>
              <w:right w:val="single" w:color="auto" w:sz="4" w:space="0"/>
            </w:tcBorders>
            <w:noWrap w:val="0"/>
            <w:vAlign w:val="center"/>
          </w:tcPr>
          <w:p w14:paraId="4A2BD1C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1000≤Y＜30000</w:t>
            </w:r>
          </w:p>
        </w:tc>
        <w:tc>
          <w:tcPr>
            <w:tcW w:w="1629" w:type="dxa"/>
            <w:tcBorders>
              <w:top w:val="nil"/>
              <w:left w:val="nil"/>
              <w:bottom w:val="single" w:color="auto" w:sz="4" w:space="0"/>
              <w:right w:val="single" w:color="auto" w:sz="4" w:space="0"/>
            </w:tcBorders>
            <w:noWrap w:val="0"/>
            <w:vAlign w:val="center"/>
          </w:tcPr>
          <w:p w14:paraId="3EAA65E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976" w:type="dxa"/>
            <w:tcBorders>
              <w:top w:val="nil"/>
              <w:left w:val="nil"/>
              <w:bottom w:val="single" w:color="auto" w:sz="4" w:space="0"/>
              <w:right w:val="nil"/>
            </w:tcBorders>
            <w:noWrap w:val="0"/>
            <w:vAlign w:val="center"/>
          </w:tcPr>
          <w:p w14:paraId="42DF28A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5C457C29">
        <w:tblPrEx>
          <w:tblCellMar>
            <w:top w:w="0" w:type="dxa"/>
            <w:left w:w="108" w:type="dxa"/>
            <w:bottom w:w="0" w:type="dxa"/>
            <w:right w:w="108" w:type="dxa"/>
          </w:tblCellMar>
        </w:tblPrEx>
        <w:trPr>
          <w:trHeight w:val="506" w:hRule="exact"/>
          <w:jc w:val="center"/>
        </w:trPr>
        <w:tc>
          <w:tcPr>
            <w:tcW w:w="1905" w:type="dxa"/>
            <w:vMerge w:val="restart"/>
            <w:tcBorders>
              <w:top w:val="nil"/>
              <w:left w:val="nil"/>
              <w:bottom w:val="single" w:color="auto" w:sz="4" w:space="0"/>
              <w:right w:val="single" w:color="auto" w:sz="4" w:space="0"/>
            </w:tcBorders>
            <w:noWrap w:val="0"/>
            <w:vAlign w:val="center"/>
          </w:tcPr>
          <w:p w14:paraId="358FAFC0">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邮政业</w:t>
            </w:r>
          </w:p>
        </w:tc>
        <w:tc>
          <w:tcPr>
            <w:tcW w:w="1384" w:type="dxa"/>
            <w:tcBorders>
              <w:top w:val="nil"/>
              <w:left w:val="nil"/>
              <w:bottom w:val="nil"/>
              <w:right w:val="single" w:color="auto" w:sz="4" w:space="0"/>
            </w:tcBorders>
            <w:noWrap w:val="0"/>
            <w:vAlign w:val="center"/>
          </w:tcPr>
          <w:p w14:paraId="26A6D98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09E22ED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476242D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1818" w:type="dxa"/>
            <w:tcBorders>
              <w:top w:val="nil"/>
              <w:left w:val="nil"/>
              <w:bottom w:val="nil"/>
              <w:right w:val="single" w:color="auto" w:sz="4" w:space="0"/>
            </w:tcBorders>
            <w:noWrap w:val="0"/>
            <w:vAlign w:val="center"/>
          </w:tcPr>
          <w:p w14:paraId="12B20DF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1629" w:type="dxa"/>
            <w:tcBorders>
              <w:top w:val="nil"/>
              <w:left w:val="nil"/>
              <w:bottom w:val="nil"/>
              <w:right w:val="single" w:color="auto" w:sz="4" w:space="0"/>
            </w:tcBorders>
            <w:noWrap w:val="0"/>
            <w:vAlign w:val="center"/>
          </w:tcPr>
          <w:p w14:paraId="7FAFFA9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976" w:type="dxa"/>
            <w:tcBorders>
              <w:top w:val="nil"/>
              <w:left w:val="nil"/>
              <w:bottom w:val="nil"/>
              <w:right w:val="nil"/>
            </w:tcBorders>
            <w:noWrap w:val="0"/>
            <w:vAlign w:val="center"/>
          </w:tcPr>
          <w:p w14:paraId="38B7EC9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1B387114">
        <w:tblPrEx>
          <w:tblCellMar>
            <w:top w:w="0" w:type="dxa"/>
            <w:left w:w="108" w:type="dxa"/>
            <w:bottom w:w="0" w:type="dxa"/>
            <w:right w:w="108" w:type="dxa"/>
          </w:tblCellMar>
        </w:tblPrEx>
        <w:trPr>
          <w:trHeight w:val="506" w:hRule="exact"/>
          <w:jc w:val="center"/>
        </w:trPr>
        <w:tc>
          <w:tcPr>
            <w:tcW w:w="1905" w:type="dxa"/>
            <w:vMerge w:val="continue"/>
            <w:tcBorders>
              <w:top w:val="nil"/>
              <w:left w:val="nil"/>
              <w:bottom w:val="single" w:color="auto" w:sz="4" w:space="0"/>
              <w:right w:val="single" w:color="auto" w:sz="4" w:space="0"/>
            </w:tcBorders>
            <w:noWrap w:val="0"/>
            <w:vAlign w:val="center"/>
          </w:tcPr>
          <w:p w14:paraId="32D09A00">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7DE3CFA8">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3163F22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76D2AD5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1818" w:type="dxa"/>
            <w:tcBorders>
              <w:top w:val="nil"/>
              <w:left w:val="nil"/>
              <w:bottom w:val="single" w:color="auto" w:sz="4" w:space="0"/>
              <w:right w:val="single" w:color="auto" w:sz="4" w:space="0"/>
            </w:tcBorders>
            <w:noWrap w:val="0"/>
            <w:vAlign w:val="center"/>
          </w:tcPr>
          <w:p w14:paraId="62CD1C7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2000≤Y＜30000</w:t>
            </w:r>
          </w:p>
        </w:tc>
        <w:tc>
          <w:tcPr>
            <w:tcW w:w="1629" w:type="dxa"/>
            <w:tcBorders>
              <w:top w:val="nil"/>
              <w:left w:val="nil"/>
              <w:bottom w:val="single" w:color="auto" w:sz="4" w:space="0"/>
              <w:right w:val="single" w:color="auto" w:sz="4" w:space="0"/>
            </w:tcBorders>
            <w:noWrap w:val="0"/>
            <w:vAlign w:val="center"/>
          </w:tcPr>
          <w:p w14:paraId="1063540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976" w:type="dxa"/>
            <w:tcBorders>
              <w:top w:val="nil"/>
              <w:left w:val="nil"/>
              <w:bottom w:val="single" w:color="auto" w:sz="4" w:space="0"/>
              <w:right w:val="nil"/>
            </w:tcBorders>
            <w:noWrap w:val="0"/>
            <w:vAlign w:val="center"/>
          </w:tcPr>
          <w:p w14:paraId="3E08C6E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5754FF82">
        <w:tblPrEx>
          <w:tblCellMar>
            <w:top w:w="0" w:type="dxa"/>
            <w:left w:w="108" w:type="dxa"/>
            <w:bottom w:w="0" w:type="dxa"/>
            <w:right w:w="108" w:type="dxa"/>
          </w:tblCellMar>
        </w:tblPrEx>
        <w:trPr>
          <w:trHeight w:val="506" w:hRule="exact"/>
          <w:jc w:val="center"/>
        </w:trPr>
        <w:tc>
          <w:tcPr>
            <w:tcW w:w="1905" w:type="dxa"/>
            <w:vMerge w:val="restart"/>
            <w:tcBorders>
              <w:top w:val="nil"/>
              <w:left w:val="nil"/>
              <w:bottom w:val="single" w:color="auto" w:sz="4" w:space="0"/>
              <w:right w:val="single" w:color="auto" w:sz="4" w:space="0"/>
            </w:tcBorders>
            <w:noWrap w:val="0"/>
            <w:vAlign w:val="center"/>
          </w:tcPr>
          <w:p w14:paraId="6EF16553">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住宿业</w:t>
            </w:r>
          </w:p>
        </w:tc>
        <w:tc>
          <w:tcPr>
            <w:tcW w:w="1384" w:type="dxa"/>
            <w:tcBorders>
              <w:top w:val="nil"/>
              <w:left w:val="nil"/>
              <w:bottom w:val="nil"/>
              <w:right w:val="single" w:color="auto" w:sz="4" w:space="0"/>
            </w:tcBorders>
            <w:noWrap w:val="0"/>
            <w:vAlign w:val="center"/>
          </w:tcPr>
          <w:p w14:paraId="3B093FF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282A592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3C7CD56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1818" w:type="dxa"/>
            <w:tcBorders>
              <w:top w:val="nil"/>
              <w:left w:val="nil"/>
              <w:bottom w:val="nil"/>
              <w:right w:val="single" w:color="auto" w:sz="4" w:space="0"/>
            </w:tcBorders>
            <w:noWrap w:val="0"/>
            <w:vAlign w:val="center"/>
          </w:tcPr>
          <w:p w14:paraId="6CC7270B">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1629" w:type="dxa"/>
            <w:tcBorders>
              <w:top w:val="nil"/>
              <w:left w:val="nil"/>
              <w:bottom w:val="nil"/>
              <w:right w:val="single" w:color="auto" w:sz="4" w:space="0"/>
            </w:tcBorders>
            <w:noWrap w:val="0"/>
            <w:vAlign w:val="center"/>
          </w:tcPr>
          <w:p w14:paraId="4C1260C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976" w:type="dxa"/>
            <w:tcBorders>
              <w:top w:val="nil"/>
              <w:left w:val="nil"/>
              <w:bottom w:val="nil"/>
              <w:right w:val="nil"/>
            </w:tcBorders>
            <w:noWrap w:val="0"/>
            <w:vAlign w:val="center"/>
          </w:tcPr>
          <w:p w14:paraId="785143E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7BA2007E">
        <w:tblPrEx>
          <w:tblCellMar>
            <w:top w:w="0" w:type="dxa"/>
            <w:left w:w="108" w:type="dxa"/>
            <w:bottom w:w="0" w:type="dxa"/>
            <w:right w:w="108" w:type="dxa"/>
          </w:tblCellMar>
        </w:tblPrEx>
        <w:trPr>
          <w:trHeight w:val="506" w:hRule="exact"/>
          <w:jc w:val="center"/>
        </w:trPr>
        <w:tc>
          <w:tcPr>
            <w:tcW w:w="1905" w:type="dxa"/>
            <w:vMerge w:val="continue"/>
            <w:tcBorders>
              <w:top w:val="nil"/>
              <w:left w:val="nil"/>
              <w:bottom w:val="single" w:color="auto" w:sz="4" w:space="0"/>
              <w:right w:val="single" w:color="auto" w:sz="4" w:space="0"/>
            </w:tcBorders>
            <w:noWrap w:val="0"/>
            <w:vAlign w:val="center"/>
          </w:tcPr>
          <w:p w14:paraId="0FD01180">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2AA2D352">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4C43F1E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3C4D46C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1818" w:type="dxa"/>
            <w:tcBorders>
              <w:top w:val="nil"/>
              <w:left w:val="nil"/>
              <w:bottom w:val="single" w:color="auto" w:sz="4" w:space="0"/>
              <w:right w:val="single" w:color="auto" w:sz="4" w:space="0"/>
            </w:tcBorders>
            <w:noWrap w:val="0"/>
            <w:vAlign w:val="center"/>
          </w:tcPr>
          <w:p w14:paraId="4CB6BBE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2000≤Y＜10000</w:t>
            </w:r>
          </w:p>
        </w:tc>
        <w:tc>
          <w:tcPr>
            <w:tcW w:w="1629" w:type="dxa"/>
            <w:tcBorders>
              <w:top w:val="nil"/>
              <w:left w:val="nil"/>
              <w:bottom w:val="single" w:color="auto" w:sz="4" w:space="0"/>
              <w:right w:val="single" w:color="auto" w:sz="4" w:space="0"/>
            </w:tcBorders>
            <w:noWrap w:val="0"/>
            <w:vAlign w:val="center"/>
          </w:tcPr>
          <w:p w14:paraId="293E3FE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976" w:type="dxa"/>
            <w:tcBorders>
              <w:top w:val="nil"/>
              <w:left w:val="nil"/>
              <w:bottom w:val="single" w:color="auto" w:sz="4" w:space="0"/>
              <w:right w:val="nil"/>
            </w:tcBorders>
            <w:noWrap w:val="0"/>
            <w:vAlign w:val="center"/>
          </w:tcPr>
          <w:p w14:paraId="3C5FFD4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2F700E24">
        <w:tblPrEx>
          <w:tblCellMar>
            <w:top w:w="0" w:type="dxa"/>
            <w:left w:w="108" w:type="dxa"/>
            <w:bottom w:w="0" w:type="dxa"/>
            <w:right w:w="108" w:type="dxa"/>
          </w:tblCellMar>
        </w:tblPrEx>
        <w:trPr>
          <w:trHeight w:val="506" w:hRule="exact"/>
          <w:jc w:val="center"/>
        </w:trPr>
        <w:tc>
          <w:tcPr>
            <w:tcW w:w="1905" w:type="dxa"/>
            <w:vMerge w:val="restart"/>
            <w:tcBorders>
              <w:top w:val="nil"/>
              <w:left w:val="nil"/>
              <w:bottom w:val="single" w:color="auto" w:sz="4" w:space="0"/>
              <w:right w:val="single" w:color="auto" w:sz="4" w:space="0"/>
            </w:tcBorders>
            <w:noWrap w:val="0"/>
            <w:vAlign w:val="center"/>
          </w:tcPr>
          <w:p w14:paraId="13305AA4">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餐饮业</w:t>
            </w:r>
          </w:p>
        </w:tc>
        <w:tc>
          <w:tcPr>
            <w:tcW w:w="1384" w:type="dxa"/>
            <w:tcBorders>
              <w:top w:val="nil"/>
              <w:left w:val="nil"/>
              <w:bottom w:val="nil"/>
              <w:right w:val="single" w:color="auto" w:sz="4" w:space="0"/>
            </w:tcBorders>
            <w:noWrap w:val="0"/>
            <w:vAlign w:val="center"/>
          </w:tcPr>
          <w:p w14:paraId="3BF1943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5C9A481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408B795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1818" w:type="dxa"/>
            <w:tcBorders>
              <w:top w:val="nil"/>
              <w:left w:val="nil"/>
              <w:bottom w:val="nil"/>
              <w:right w:val="single" w:color="auto" w:sz="4" w:space="0"/>
            </w:tcBorders>
            <w:noWrap w:val="0"/>
            <w:vAlign w:val="center"/>
          </w:tcPr>
          <w:p w14:paraId="4F9F5607">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1629" w:type="dxa"/>
            <w:tcBorders>
              <w:top w:val="nil"/>
              <w:left w:val="nil"/>
              <w:bottom w:val="nil"/>
              <w:right w:val="single" w:color="auto" w:sz="4" w:space="0"/>
            </w:tcBorders>
            <w:noWrap w:val="0"/>
            <w:vAlign w:val="center"/>
          </w:tcPr>
          <w:p w14:paraId="45B2C15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976" w:type="dxa"/>
            <w:tcBorders>
              <w:top w:val="nil"/>
              <w:left w:val="nil"/>
              <w:bottom w:val="nil"/>
              <w:right w:val="nil"/>
            </w:tcBorders>
            <w:noWrap w:val="0"/>
            <w:vAlign w:val="center"/>
          </w:tcPr>
          <w:p w14:paraId="356A70B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2C888778">
        <w:tblPrEx>
          <w:tblCellMar>
            <w:top w:w="0" w:type="dxa"/>
            <w:left w:w="108" w:type="dxa"/>
            <w:bottom w:w="0" w:type="dxa"/>
            <w:right w:w="108" w:type="dxa"/>
          </w:tblCellMar>
        </w:tblPrEx>
        <w:trPr>
          <w:trHeight w:val="506" w:hRule="exact"/>
          <w:jc w:val="center"/>
        </w:trPr>
        <w:tc>
          <w:tcPr>
            <w:tcW w:w="1905" w:type="dxa"/>
            <w:vMerge w:val="continue"/>
            <w:tcBorders>
              <w:top w:val="nil"/>
              <w:left w:val="nil"/>
              <w:bottom w:val="single" w:color="auto" w:sz="4" w:space="0"/>
              <w:right w:val="single" w:color="auto" w:sz="4" w:space="0"/>
            </w:tcBorders>
            <w:noWrap w:val="0"/>
            <w:vAlign w:val="center"/>
          </w:tcPr>
          <w:p w14:paraId="02B17A2D">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2E06765D">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3914DB2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5D15BAF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1818" w:type="dxa"/>
            <w:tcBorders>
              <w:top w:val="nil"/>
              <w:left w:val="nil"/>
              <w:bottom w:val="single" w:color="auto" w:sz="4" w:space="0"/>
              <w:right w:val="single" w:color="auto" w:sz="4" w:space="0"/>
            </w:tcBorders>
            <w:noWrap w:val="0"/>
            <w:vAlign w:val="center"/>
          </w:tcPr>
          <w:p w14:paraId="534F04C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2000≤Y＜10000</w:t>
            </w:r>
          </w:p>
        </w:tc>
        <w:tc>
          <w:tcPr>
            <w:tcW w:w="1629" w:type="dxa"/>
            <w:tcBorders>
              <w:top w:val="nil"/>
              <w:left w:val="nil"/>
              <w:bottom w:val="single" w:color="auto" w:sz="4" w:space="0"/>
              <w:right w:val="single" w:color="auto" w:sz="4" w:space="0"/>
            </w:tcBorders>
            <w:noWrap w:val="0"/>
            <w:vAlign w:val="center"/>
          </w:tcPr>
          <w:p w14:paraId="6EA917C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976" w:type="dxa"/>
            <w:tcBorders>
              <w:top w:val="nil"/>
              <w:left w:val="nil"/>
              <w:bottom w:val="single" w:color="auto" w:sz="4" w:space="0"/>
              <w:right w:val="nil"/>
            </w:tcBorders>
            <w:noWrap w:val="0"/>
            <w:vAlign w:val="center"/>
          </w:tcPr>
          <w:p w14:paraId="13679D0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1D88D466">
        <w:tblPrEx>
          <w:tblCellMar>
            <w:top w:w="0" w:type="dxa"/>
            <w:left w:w="108" w:type="dxa"/>
            <w:bottom w:w="0" w:type="dxa"/>
            <w:right w:w="108" w:type="dxa"/>
          </w:tblCellMar>
        </w:tblPrEx>
        <w:trPr>
          <w:trHeight w:val="506" w:hRule="exact"/>
          <w:jc w:val="center"/>
        </w:trPr>
        <w:tc>
          <w:tcPr>
            <w:tcW w:w="1905" w:type="dxa"/>
            <w:vMerge w:val="restart"/>
            <w:tcBorders>
              <w:top w:val="nil"/>
              <w:left w:val="nil"/>
              <w:bottom w:val="single" w:color="auto" w:sz="4" w:space="0"/>
              <w:right w:val="single" w:color="auto" w:sz="4" w:space="0"/>
            </w:tcBorders>
            <w:noWrap w:val="0"/>
            <w:vAlign w:val="center"/>
          </w:tcPr>
          <w:p w14:paraId="6AEBE97E">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信息传输业 </w:t>
            </w:r>
          </w:p>
        </w:tc>
        <w:tc>
          <w:tcPr>
            <w:tcW w:w="1384" w:type="dxa"/>
            <w:tcBorders>
              <w:top w:val="nil"/>
              <w:left w:val="nil"/>
              <w:bottom w:val="nil"/>
              <w:right w:val="single" w:color="auto" w:sz="4" w:space="0"/>
            </w:tcBorders>
            <w:noWrap w:val="0"/>
            <w:vAlign w:val="center"/>
          </w:tcPr>
          <w:p w14:paraId="438AAF8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5CA28B8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73A3814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X≥2000</w:t>
            </w:r>
          </w:p>
        </w:tc>
        <w:tc>
          <w:tcPr>
            <w:tcW w:w="1818" w:type="dxa"/>
            <w:tcBorders>
              <w:top w:val="nil"/>
              <w:left w:val="nil"/>
              <w:bottom w:val="nil"/>
              <w:right w:val="single" w:color="auto" w:sz="4" w:space="0"/>
            </w:tcBorders>
            <w:noWrap w:val="0"/>
            <w:vAlign w:val="center"/>
          </w:tcPr>
          <w:p w14:paraId="6F36BC6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100≤X＜2000</w:t>
            </w:r>
          </w:p>
        </w:tc>
        <w:tc>
          <w:tcPr>
            <w:tcW w:w="1629" w:type="dxa"/>
            <w:tcBorders>
              <w:top w:val="nil"/>
              <w:left w:val="nil"/>
              <w:bottom w:val="nil"/>
              <w:right w:val="single" w:color="auto" w:sz="4" w:space="0"/>
            </w:tcBorders>
            <w:noWrap w:val="0"/>
            <w:vAlign w:val="center"/>
          </w:tcPr>
          <w:p w14:paraId="1DEE4C5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976" w:type="dxa"/>
            <w:tcBorders>
              <w:top w:val="nil"/>
              <w:left w:val="nil"/>
              <w:bottom w:val="nil"/>
              <w:right w:val="nil"/>
            </w:tcBorders>
            <w:noWrap w:val="0"/>
            <w:vAlign w:val="center"/>
          </w:tcPr>
          <w:p w14:paraId="11782CC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1839B13F">
        <w:tblPrEx>
          <w:tblCellMar>
            <w:top w:w="0" w:type="dxa"/>
            <w:left w:w="108" w:type="dxa"/>
            <w:bottom w:w="0" w:type="dxa"/>
            <w:right w:w="108" w:type="dxa"/>
          </w:tblCellMar>
        </w:tblPrEx>
        <w:trPr>
          <w:trHeight w:val="506" w:hRule="exact"/>
          <w:jc w:val="center"/>
        </w:trPr>
        <w:tc>
          <w:tcPr>
            <w:tcW w:w="1905" w:type="dxa"/>
            <w:vMerge w:val="continue"/>
            <w:tcBorders>
              <w:top w:val="nil"/>
              <w:left w:val="nil"/>
              <w:bottom w:val="single" w:color="auto" w:sz="4" w:space="0"/>
              <w:right w:val="single" w:color="auto" w:sz="4" w:space="0"/>
            </w:tcBorders>
            <w:noWrap w:val="0"/>
            <w:vAlign w:val="center"/>
          </w:tcPr>
          <w:p w14:paraId="08B05D82">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6F07FA1C">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7D240C9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02101F1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Y≥100000</w:t>
            </w:r>
          </w:p>
        </w:tc>
        <w:tc>
          <w:tcPr>
            <w:tcW w:w="1818" w:type="dxa"/>
            <w:tcBorders>
              <w:top w:val="nil"/>
              <w:left w:val="nil"/>
              <w:bottom w:val="single" w:color="auto" w:sz="4" w:space="0"/>
              <w:right w:val="single" w:color="auto" w:sz="4" w:space="0"/>
            </w:tcBorders>
            <w:noWrap w:val="0"/>
            <w:vAlign w:val="center"/>
          </w:tcPr>
          <w:p w14:paraId="7E02FF58">
            <w:pPr>
              <w:widowControl/>
              <w:jc w:val="both"/>
              <w:rPr>
                <w:rFonts w:ascii="宋体" w:hAnsi="宋体" w:cs="宋体"/>
                <w:color w:val="auto"/>
                <w:kern w:val="0"/>
                <w:szCs w:val="21"/>
                <w:highlight w:val="none"/>
              </w:rPr>
            </w:pPr>
            <w:r>
              <w:rPr>
                <w:rFonts w:hint="eastAsia" w:ascii="宋体" w:hAnsi="宋体" w:cs="宋体"/>
                <w:color w:val="auto"/>
                <w:kern w:val="0"/>
                <w:szCs w:val="21"/>
                <w:highlight w:val="none"/>
              </w:rPr>
              <w:t>1000≤Y＜100000</w:t>
            </w:r>
          </w:p>
        </w:tc>
        <w:tc>
          <w:tcPr>
            <w:tcW w:w="1629" w:type="dxa"/>
            <w:tcBorders>
              <w:top w:val="nil"/>
              <w:left w:val="nil"/>
              <w:bottom w:val="single" w:color="auto" w:sz="4" w:space="0"/>
              <w:right w:val="single" w:color="auto" w:sz="4" w:space="0"/>
            </w:tcBorders>
            <w:noWrap w:val="0"/>
            <w:vAlign w:val="center"/>
          </w:tcPr>
          <w:p w14:paraId="3A07F43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976" w:type="dxa"/>
            <w:tcBorders>
              <w:top w:val="nil"/>
              <w:left w:val="nil"/>
              <w:bottom w:val="single" w:color="auto" w:sz="4" w:space="0"/>
              <w:right w:val="nil"/>
            </w:tcBorders>
            <w:noWrap w:val="0"/>
            <w:vAlign w:val="center"/>
          </w:tcPr>
          <w:p w14:paraId="0066C17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10A703D8">
        <w:tblPrEx>
          <w:tblCellMar>
            <w:top w:w="0" w:type="dxa"/>
            <w:left w:w="108" w:type="dxa"/>
            <w:bottom w:w="0" w:type="dxa"/>
            <w:right w:w="108" w:type="dxa"/>
          </w:tblCellMar>
        </w:tblPrEx>
        <w:trPr>
          <w:trHeight w:val="608" w:hRule="exact"/>
          <w:jc w:val="center"/>
        </w:trPr>
        <w:tc>
          <w:tcPr>
            <w:tcW w:w="1905" w:type="dxa"/>
            <w:vMerge w:val="restart"/>
            <w:tcBorders>
              <w:top w:val="single" w:color="auto" w:sz="4" w:space="0"/>
              <w:left w:val="nil"/>
              <w:bottom w:val="single" w:color="auto" w:sz="4" w:space="0"/>
              <w:right w:val="single" w:color="auto" w:sz="4" w:space="0"/>
            </w:tcBorders>
            <w:noWrap w:val="0"/>
            <w:vAlign w:val="center"/>
          </w:tcPr>
          <w:p w14:paraId="609B0D58">
            <w:pPr>
              <w:widowControl/>
              <w:spacing w:line="240" w:lineRule="exact"/>
              <w:jc w:val="left"/>
              <w:rPr>
                <w:rFonts w:ascii="宋体" w:hAnsi="宋体" w:cs="宋体"/>
                <w:color w:val="auto"/>
                <w:spacing w:val="-12"/>
                <w:kern w:val="0"/>
                <w:szCs w:val="21"/>
                <w:highlight w:val="none"/>
              </w:rPr>
            </w:pPr>
            <w:r>
              <w:rPr>
                <w:rFonts w:hint="eastAsia" w:ascii="宋体" w:hAnsi="宋体" w:cs="宋体"/>
                <w:color w:val="auto"/>
                <w:spacing w:val="-12"/>
                <w:kern w:val="0"/>
                <w:szCs w:val="21"/>
                <w:highlight w:val="none"/>
              </w:rPr>
              <w:t>软件和信息技术服</w:t>
            </w:r>
            <w:r>
              <w:rPr>
                <w:rFonts w:hint="eastAsia" w:ascii="宋体" w:hAnsi="宋体" w:cs="宋体"/>
                <w:color w:val="auto"/>
                <w:kern w:val="0"/>
                <w:szCs w:val="21"/>
                <w:highlight w:val="none"/>
              </w:rPr>
              <w:t>务业</w:t>
            </w:r>
          </w:p>
        </w:tc>
        <w:tc>
          <w:tcPr>
            <w:tcW w:w="1384" w:type="dxa"/>
            <w:tcBorders>
              <w:top w:val="nil"/>
              <w:left w:val="nil"/>
              <w:bottom w:val="nil"/>
              <w:right w:val="single" w:color="auto" w:sz="4" w:space="0"/>
            </w:tcBorders>
            <w:noWrap w:val="0"/>
            <w:vAlign w:val="center"/>
          </w:tcPr>
          <w:p w14:paraId="00E05DE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5729E75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1AC53FD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1818" w:type="dxa"/>
            <w:tcBorders>
              <w:top w:val="nil"/>
              <w:left w:val="nil"/>
              <w:bottom w:val="nil"/>
              <w:right w:val="single" w:color="auto" w:sz="4" w:space="0"/>
            </w:tcBorders>
            <w:noWrap w:val="0"/>
            <w:vAlign w:val="center"/>
          </w:tcPr>
          <w:p w14:paraId="3F77F08B">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1629" w:type="dxa"/>
            <w:tcBorders>
              <w:top w:val="nil"/>
              <w:left w:val="nil"/>
              <w:bottom w:val="nil"/>
              <w:right w:val="single" w:color="auto" w:sz="4" w:space="0"/>
            </w:tcBorders>
            <w:noWrap w:val="0"/>
            <w:vAlign w:val="center"/>
          </w:tcPr>
          <w:p w14:paraId="27D06B1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976" w:type="dxa"/>
            <w:tcBorders>
              <w:top w:val="nil"/>
              <w:left w:val="nil"/>
              <w:bottom w:val="nil"/>
              <w:right w:val="nil"/>
            </w:tcBorders>
            <w:noWrap w:val="0"/>
            <w:vAlign w:val="center"/>
          </w:tcPr>
          <w:p w14:paraId="33862D0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238241B3">
        <w:tblPrEx>
          <w:tblCellMar>
            <w:top w:w="0" w:type="dxa"/>
            <w:left w:w="108" w:type="dxa"/>
            <w:bottom w:w="0" w:type="dxa"/>
            <w:right w:w="108" w:type="dxa"/>
          </w:tblCellMar>
        </w:tblPrEx>
        <w:trPr>
          <w:trHeight w:val="632" w:hRule="exact"/>
          <w:jc w:val="center"/>
        </w:trPr>
        <w:tc>
          <w:tcPr>
            <w:tcW w:w="1905" w:type="dxa"/>
            <w:vMerge w:val="continue"/>
            <w:tcBorders>
              <w:top w:val="single" w:color="auto" w:sz="4" w:space="0"/>
              <w:left w:val="nil"/>
              <w:bottom w:val="single" w:color="auto" w:sz="4" w:space="0"/>
              <w:right w:val="single" w:color="auto" w:sz="4" w:space="0"/>
            </w:tcBorders>
            <w:noWrap w:val="0"/>
            <w:vAlign w:val="center"/>
          </w:tcPr>
          <w:p w14:paraId="01A680DC">
            <w:pPr>
              <w:widowControl/>
              <w:jc w:val="left"/>
              <w:rPr>
                <w:rFonts w:ascii="宋体" w:hAnsi="宋体" w:cs="宋体"/>
                <w:color w:val="auto"/>
                <w:spacing w:val="-12"/>
                <w:kern w:val="0"/>
                <w:szCs w:val="21"/>
                <w:highlight w:val="none"/>
              </w:rPr>
            </w:pPr>
          </w:p>
        </w:tc>
        <w:tc>
          <w:tcPr>
            <w:tcW w:w="1384" w:type="dxa"/>
            <w:tcBorders>
              <w:top w:val="nil"/>
              <w:left w:val="nil"/>
              <w:bottom w:val="single" w:color="auto" w:sz="4" w:space="0"/>
              <w:right w:val="single" w:color="auto" w:sz="4" w:space="0"/>
            </w:tcBorders>
            <w:noWrap w:val="0"/>
            <w:vAlign w:val="center"/>
          </w:tcPr>
          <w:p w14:paraId="654031D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54BE202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79B0E7E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1818" w:type="dxa"/>
            <w:tcBorders>
              <w:top w:val="nil"/>
              <w:left w:val="nil"/>
              <w:bottom w:val="single" w:color="auto" w:sz="4" w:space="0"/>
              <w:right w:val="single" w:color="auto" w:sz="4" w:space="0"/>
            </w:tcBorders>
            <w:noWrap w:val="0"/>
            <w:vAlign w:val="center"/>
          </w:tcPr>
          <w:p w14:paraId="064F895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1000≤Y＜10000</w:t>
            </w:r>
          </w:p>
        </w:tc>
        <w:tc>
          <w:tcPr>
            <w:tcW w:w="1629" w:type="dxa"/>
            <w:tcBorders>
              <w:top w:val="nil"/>
              <w:left w:val="nil"/>
              <w:bottom w:val="single" w:color="auto" w:sz="4" w:space="0"/>
              <w:right w:val="single" w:color="auto" w:sz="4" w:space="0"/>
            </w:tcBorders>
            <w:noWrap w:val="0"/>
            <w:vAlign w:val="center"/>
          </w:tcPr>
          <w:p w14:paraId="6ACEE68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50≤Y＜1000</w:t>
            </w:r>
          </w:p>
        </w:tc>
        <w:tc>
          <w:tcPr>
            <w:tcW w:w="976" w:type="dxa"/>
            <w:tcBorders>
              <w:top w:val="nil"/>
              <w:left w:val="nil"/>
              <w:bottom w:val="single" w:color="auto" w:sz="4" w:space="0"/>
              <w:right w:val="nil"/>
            </w:tcBorders>
            <w:noWrap w:val="0"/>
            <w:vAlign w:val="center"/>
          </w:tcPr>
          <w:p w14:paraId="3926C74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w:t>
            </w:r>
          </w:p>
        </w:tc>
      </w:tr>
      <w:tr w14:paraId="39F6FBC4">
        <w:tblPrEx>
          <w:tblCellMar>
            <w:top w:w="0" w:type="dxa"/>
            <w:left w:w="108" w:type="dxa"/>
            <w:bottom w:w="0" w:type="dxa"/>
            <w:right w:w="108" w:type="dxa"/>
          </w:tblCellMar>
        </w:tblPrEx>
        <w:trPr>
          <w:trHeight w:val="543" w:hRule="exact"/>
          <w:jc w:val="center"/>
        </w:trPr>
        <w:tc>
          <w:tcPr>
            <w:tcW w:w="1905" w:type="dxa"/>
            <w:vMerge w:val="restart"/>
            <w:tcBorders>
              <w:top w:val="nil"/>
              <w:left w:val="nil"/>
              <w:bottom w:val="single" w:color="auto" w:sz="4" w:space="0"/>
              <w:right w:val="single" w:color="auto" w:sz="4" w:space="0"/>
            </w:tcBorders>
            <w:noWrap w:val="0"/>
            <w:vAlign w:val="center"/>
          </w:tcPr>
          <w:p w14:paraId="45C338BE">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房地产开发经营</w:t>
            </w:r>
          </w:p>
        </w:tc>
        <w:tc>
          <w:tcPr>
            <w:tcW w:w="1384" w:type="dxa"/>
            <w:tcBorders>
              <w:top w:val="nil"/>
              <w:left w:val="nil"/>
              <w:bottom w:val="nil"/>
              <w:right w:val="single" w:color="auto" w:sz="4" w:space="0"/>
            </w:tcBorders>
            <w:noWrap w:val="0"/>
            <w:vAlign w:val="center"/>
          </w:tcPr>
          <w:p w14:paraId="0F3A009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nil"/>
              <w:right w:val="single" w:color="auto" w:sz="4" w:space="0"/>
            </w:tcBorders>
            <w:noWrap w:val="0"/>
            <w:vAlign w:val="center"/>
          </w:tcPr>
          <w:p w14:paraId="4543597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nil"/>
              <w:right w:val="single" w:color="auto" w:sz="4" w:space="0"/>
            </w:tcBorders>
            <w:noWrap w:val="0"/>
            <w:vAlign w:val="center"/>
          </w:tcPr>
          <w:p w14:paraId="2ED142E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Y≥200000</w:t>
            </w:r>
          </w:p>
        </w:tc>
        <w:tc>
          <w:tcPr>
            <w:tcW w:w="1818" w:type="dxa"/>
            <w:tcBorders>
              <w:top w:val="nil"/>
              <w:left w:val="nil"/>
              <w:bottom w:val="nil"/>
              <w:right w:val="single" w:color="auto" w:sz="4" w:space="0"/>
            </w:tcBorders>
            <w:noWrap w:val="0"/>
            <w:vAlign w:val="center"/>
          </w:tcPr>
          <w:p w14:paraId="52F50FCE">
            <w:pPr>
              <w:widowControl/>
              <w:jc w:val="both"/>
              <w:rPr>
                <w:rFonts w:ascii="宋体" w:hAnsi="宋体" w:cs="宋体"/>
                <w:color w:val="auto"/>
                <w:kern w:val="0"/>
                <w:szCs w:val="21"/>
                <w:highlight w:val="none"/>
              </w:rPr>
            </w:pPr>
            <w:r>
              <w:rPr>
                <w:rFonts w:hint="eastAsia" w:ascii="宋体" w:hAnsi="宋体" w:cs="宋体"/>
                <w:color w:val="auto"/>
                <w:kern w:val="0"/>
                <w:szCs w:val="21"/>
                <w:highlight w:val="none"/>
              </w:rPr>
              <w:t>1000≤Y＜200000</w:t>
            </w:r>
          </w:p>
        </w:tc>
        <w:tc>
          <w:tcPr>
            <w:tcW w:w="1629" w:type="dxa"/>
            <w:tcBorders>
              <w:top w:val="nil"/>
              <w:left w:val="nil"/>
              <w:bottom w:val="nil"/>
              <w:right w:val="single" w:color="auto" w:sz="4" w:space="0"/>
            </w:tcBorders>
            <w:noWrap w:val="0"/>
            <w:vAlign w:val="center"/>
          </w:tcPr>
          <w:p w14:paraId="0E260AA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976" w:type="dxa"/>
            <w:tcBorders>
              <w:top w:val="nil"/>
              <w:left w:val="nil"/>
              <w:bottom w:val="nil"/>
              <w:right w:val="nil"/>
            </w:tcBorders>
            <w:noWrap w:val="0"/>
            <w:vAlign w:val="center"/>
          </w:tcPr>
          <w:p w14:paraId="589871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31D78A63">
        <w:tblPrEx>
          <w:tblCellMar>
            <w:top w:w="0" w:type="dxa"/>
            <w:left w:w="108" w:type="dxa"/>
            <w:bottom w:w="0" w:type="dxa"/>
            <w:right w:w="108" w:type="dxa"/>
          </w:tblCellMar>
        </w:tblPrEx>
        <w:trPr>
          <w:trHeight w:val="520" w:hRule="exact"/>
          <w:jc w:val="center"/>
        </w:trPr>
        <w:tc>
          <w:tcPr>
            <w:tcW w:w="1905" w:type="dxa"/>
            <w:vMerge w:val="continue"/>
            <w:tcBorders>
              <w:top w:val="nil"/>
              <w:left w:val="nil"/>
              <w:bottom w:val="single" w:color="auto" w:sz="4" w:space="0"/>
              <w:right w:val="single" w:color="auto" w:sz="4" w:space="0"/>
            </w:tcBorders>
            <w:noWrap w:val="0"/>
            <w:vAlign w:val="center"/>
          </w:tcPr>
          <w:p w14:paraId="36CB064B">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26E1A288">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723" w:type="dxa"/>
            <w:tcBorders>
              <w:top w:val="nil"/>
              <w:left w:val="nil"/>
              <w:bottom w:val="single" w:color="auto" w:sz="4" w:space="0"/>
              <w:right w:val="single" w:color="auto" w:sz="4" w:space="0"/>
            </w:tcBorders>
            <w:noWrap w:val="0"/>
            <w:vAlign w:val="center"/>
          </w:tcPr>
          <w:p w14:paraId="27E6645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6A6DF5A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Z≥10000</w:t>
            </w:r>
          </w:p>
        </w:tc>
        <w:tc>
          <w:tcPr>
            <w:tcW w:w="1818" w:type="dxa"/>
            <w:tcBorders>
              <w:top w:val="nil"/>
              <w:left w:val="nil"/>
              <w:bottom w:val="single" w:color="auto" w:sz="4" w:space="0"/>
              <w:right w:val="single" w:color="auto" w:sz="4" w:space="0"/>
            </w:tcBorders>
            <w:noWrap w:val="0"/>
            <w:vAlign w:val="center"/>
          </w:tcPr>
          <w:p w14:paraId="6630CD9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5000≤Z＜10000</w:t>
            </w:r>
          </w:p>
        </w:tc>
        <w:tc>
          <w:tcPr>
            <w:tcW w:w="1629" w:type="dxa"/>
            <w:tcBorders>
              <w:top w:val="nil"/>
              <w:left w:val="nil"/>
              <w:bottom w:val="single" w:color="auto" w:sz="4" w:space="0"/>
              <w:right w:val="single" w:color="auto" w:sz="4" w:space="0"/>
            </w:tcBorders>
            <w:noWrap w:val="0"/>
            <w:vAlign w:val="center"/>
          </w:tcPr>
          <w:p w14:paraId="236C4E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2000≤Z＜5000   </w:t>
            </w:r>
          </w:p>
        </w:tc>
        <w:tc>
          <w:tcPr>
            <w:tcW w:w="976" w:type="dxa"/>
            <w:tcBorders>
              <w:top w:val="nil"/>
              <w:left w:val="nil"/>
              <w:bottom w:val="single" w:color="auto" w:sz="4" w:space="0"/>
              <w:right w:val="nil"/>
            </w:tcBorders>
            <w:noWrap w:val="0"/>
            <w:vAlign w:val="center"/>
          </w:tcPr>
          <w:p w14:paraId="005A72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Z＜2000</w:t>
            </w:r>
          </w:p>
        </w:tc>
      </w:tr>
      <w:tr w14:paraId="78CF27ED">
        <w:tblPrEx>
          <w:tblCellMar>
            <w:top w:w="0" w:type="dxa"/>
            <w:left w:w="108" w:type="dxa"/>
            <w:bottom w:w="0" w:type="dxa"/>
            <w:right w:w="108" w:type="dxa"/>
          </w:tblCellMar>
        </w:tblPrEx>
        <w:trPr>
          <w:trHeight w:val="434" w:hRule="exact"/>
          <w:jc w:val="center"/>
        </w:trPr>
        <w:tc>
          <w:tcPr>
            <w:tcW w:w="1905" w:type="dxa"/>
            <w:vMerge w:val="restart"/>
            <w:tcBorders>
              <w:top w:val="nil"/>
              <w:left w:val="nil"/>
              <w:bottom w:val="single" w:color="auto" w:sz="4" w:space="0"/>
              <w:right w:val="single" w:color="auto" w:sz="4" w:space="0"/>
            </w:tcBorders>
            <w:noWrap w:val="0"/>
            <w:vAlign w:val="center"/>
          </w:tcPr>
          <w:p w14:paraId="373DC87E">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物业管理</w:t>
            </w:r>
          </w:p>
        </w:tc>
        <w:tc>
          <w:tcPr>
            <w:tcW w:w="1384" w:type="dxa"/>
            <w:tcBorders>
              <w:top w:val="nil"/>
              <w:left w:val="nil"/>
              <w:bottom w:val="nil"/>
              <w:right w:val="single" w:color="auto" w:sz="4" w:space="0"/>
            </w:tcBorders>
            <w:noWrap w:val="0"/>
            <w:vAlign w:val="center"/>
          </w:tcPr>
          <w:p w14:paraId="35BBCF8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5253A38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5C3C51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1818" w:type="dxa"/>
            <w:tcBorders>
              <w:top w:val="nil"/>
              <w:left w:val="nil"/>
              <w:bottom w:val="nil"/>
              <w:right w:val="single" w:color="auto" w:sz="4" w:space="0"/>
            </w:tcBorders>
            <w:noWrap w:val="0"/>
            <w:vAlign w:val="center"/>
          </w:tcPr>
          <w:p w14:paraId="1F2D94F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1629" w:type="dxa"/>
            <w:tcBorders>
              <w:top w:val="nil"/>
              <w:left w:val="nil"/>
              <w:bottom w:val="nil"/>
              <w:right w:val="single" w:color="auto" w:sz="4" w:space="0"/>
            </w:tcBorders>
            <w:noWrap w:val="0"/>
            <w:vAlign w:val="center"/>
          </w:tcPr>
          <w:p w14:paraId="2301E87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976" w:type="dxa"/>
            <w:tcBorders>
              <w:top w:val="nil"/>
              <w:left w:val="nil"/>
              <w:bottom w:val="nil"/>
              <w:right w:val="nil"/>
            </w:tcBorders>
            <w:noWrap w:val="0"/>
            <w:vAlign w:val="center"/>
          </w:tcPr>
          <w:p w14:paraId="2EA1653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w:t>
            </w:r>
          </w:p>
        </w:tc>
      </w:tr>
      <w:tr w14:paraId="1AA3245E">
        <w:tblPrEx>
          <w:tblCellMar>
            <w:top w:w="0" w:type="dxa"/>
            <w:left w:w="108" w:type="dxa"/>
            <w:bottom w:w="0" w:type="dxa"/>
            <w:right w:w="108" w:type="dxa"/>
          </w:tblCellMar>
        </w:tblPrEx>
        <w:trPr>
          <w:trHeight w:val="835" w:hRule="exact"/>
          <w:jc w:val="center"/>
        </w:trPr>
        <w:tc>
          <w:tcPr>
            <w:tcW w:w="1905" w:type="dxa"/>
            <w:vMerge w:val="continue"/>
            <w:tcBorders>
              <w:top w:val="nil"/>
              <w:left w:val="nil"/>
              <w:bottom w:val="single" w:color="auto" w:sz="4" w:space="0"/>
              <w:right w:val="single" w:color="auto" w:sz="4" w:space="0"/>
            </w:tcBorders>
            <w:noWrap w:val="0"/>
            <w:vAlign w:val="center"/>
          </w:tcPr>
          <w:p w14:paraId="6EA90D0B">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2421CDC1">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723" w:type="dxa"/>
            <w:tcBorders>
              <w:top w:val="nil"/>
              <w:left w:val="nil"/>
              <w:bottom w:val="single" w:color="auto" w:sz="4" w:space="0"/>
              <w:right w:val="single" w:color="auto" w:sz="4" w:space="0"/>
            </w:tcBorders>
            <w:noWrap w:val="0"/>
            <w:vAlign w:val="center"/>
          </w:tcPr>
          <w:p w14:paraId="6ED2717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353E2DD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Y≥5000</w:t>
            </w:r>
          </w:p>
        </w:tc>
        <w:tc>
          <w:tcPr>
            <w:tcW w:w="1818" w:type="dxa"/>
            <w:tcBorders>
              <w:top w:val="nil"/>
              <w:left w:val="nil"/>
              <w:bottom w:val="single" w:color="auto" w:sz="4" w:space="0"/>
              <w:right w:val="single" w:color="auto" w:sz="4" w:space="0"/>
            </w:tcBorders>
            <w:noWrap w:val="0"/>
            <w:vAlign w:val="center"/>
          </w:tcPr>
          <w:p w14:paraId="240073A4">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1000≤Y＜5000 </w:t>
            </w:r>
          </w:p>
        </w:tc>
        <w:tc>
          <w:tcPr>
            <w:tcW w:w="1629" w:type="dxa"/>
            <w:tcBorders>
              <w:top w:val="nil"/>
              <w:left w:val="nil"/>
              <w:bottom w:val="single" w:color="auto" w:sz="4" w:space="0"/>
              <w:right w:val="single" w:color="auto" w:sz="4" w:space="0"/>
            </w:tcBorders>
            <w:noWrap w:val="0"/>
            <w:vAlign w:val="center"/>
          </w:tcPr>
          <w:p w14:paraId="504067C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500≤Y＜1000</w:t>
            </w:r>
          </w:p>
        </w:tc>
        <w:tc>
          <w:tcPr>
            <w:tcW w:w="976" w:type="dxa"/>
            <w:tcBorders>
              <w:top w:val="nil"/>
              <w:left w:val="nil"/>
              <w:bottom w:val="single" w:color="auto" w:sz="4" w:space="0"/>
              <w:right w:val="nil"/>
            </w:tcBorders>
            <w:noWrap w:val="0"/>
            <w:vAlign w:val="center"/>
          </w:tcPr>
          <w:p w14:paraId="1B706B7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Y＜500</w:t>
            </w:r>
          </w:p>
        </w:tc>
      </w:tr>
      <w:tr w14:paraId="1A70C476">
        <w:tblPrEx>
          <w:tblCellMar>
            <w:top w:w="0" w:type="dxa"/>
            <w:left w:w="108" w:type="dxa"/>
            <w:bottom w:w="0" w:type="dxa"/>
            <w:right w:w="108" w:type="dxa"/>
          </w:tblCellMar>
        </w:tblPrEx>
        <w:trPr>
          <w:trHeight w:val="666" w:hRule="exact"/>
          <w:jc w:val="center"/>
        </w:trPr>
        <w:tc>
          <w:tcPr>
            <w:tcW w:w="1905" w:type="dxa"/>
            <w:vMerge w:val="restart"/>
            <w:tcBorders>
              <w:top w:val="nil"/>
              <w:left w:val="nil"/>
              <w:bottom w:val="single" w:color="auto" w:sz="4" w:space="0"/>
              <w:right w:val="single" w:color="auto" w:sz="4" w:space="0"/>
            </w:tcBorders>
            <w:noWrap w:val="0"/>
            <w:vAlign w:val="center"/>
          </w:tcPr>
          <w:p w14:paraId="6D8A348B">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租赁和商务服务业</w:t>
            </w:r>
          </w:p>
        </w:tc>
        <w:tc>
          <w:tcPr>
            <w:tcW w:w="1384" w:type="dxa"/>
            <w:tcBorders>
              <w:top w:val="nil"/>
              <w:left w:val="nil"/>
              <w:bottom w:val="nil"/>
              <w:right w:val="single" w:color="auto" w:sz="4" w:space="0"/>
            </w:tcBorders>
            <w:noWrap w:val="0"/>
            <w:vAlign w:val="center"/>
          </w:tcPr>
          <w:p w14:paraId="0455D90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nil"/>
              <w:right w:val="single" w:color="auto" w:sz="4" w:space="0"/>
            </w:tcBorders>
            <w:noWrap w:val="0"/>
            <w:vAlign w:val="center"/>
          </w:tcPr>
          <w:p w14:paraId="53C9ECF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nil"/>
              <w:right w:val="single" w:color="auto" w:sz="4" w:space="0"/>
            </w:tcBorders>
            <w:noWrap w:val="0"/>
            <w:vAlign w:val="center"/>
          </w:tcPr>
          <w:p w14:paraId="5478255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1818" w:type="dxa"/>
            <w:tcBorders>
              <w:top w:val="nil"/>
              <w:left w:val="nil"/>
              <w:bottom w:val="nil"/>
              <w:right w:val="single" w:color="auto" w:sz="4" w:space="0"/>
            </w:tcBorders>
            <w:noWrap w:val="0"/>
            <w:vAlign w:val="center"/>
          </w:tcPr>
          <w:p w14:paraId="6A5CD7C1">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1629" w:type="dxa"/>
            <w:tcBorders>
              <w:top w:val="nil"/>
              <w:left w:val="nil"/>
              <w:bottom w:val="nil"/>
              <w:right w:val="single" w:color="auto" w:sz="4" w:space="0"/>
            </w:tcBorders>
            <w:noWrap w:val="0"/>
            <w:vAlign w:val="center"/>
          </w:tcPr>
          <w:p w14:paraId="7FEA284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976" w:type="dxa"/>
            <w:tcBorders>
              <w:top w:val="nil"/>
              <w:left w:val="nil"/>
              <w:bottom w:val="nil"/>
              <w:right w:val="nil"/>
            </w:tcBorders>
            <w:noWrap w:val="0"/>
            <w:vAlign w:val="center"/>
          </w:tcPr>
          <w:p w14:paraId="2BCAFEE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01221BD9">
        <w:tblPrEx>
          <w:tblCellMar>
            <w:top w:w="0" w:type="dxa"/>
            <w:left w:w="108" w:type="dxa"/>
            <w:bottom w:w="0" w:type="dxa"/>
            <w:right w:w="108" w:type="dxa"/>
          </w:tblCellMar>
        </w:tblPrEx>
        <w:trPr>
          <w:trHeight w:val="633" w:hRule="exact"/>
          <w:jc w:val="center"/>
        </w:trPr>
        <w:tc>
          <w:tcPr>
            <w:tcW w:w="1905" w:type="dxa"/>
            <w:vMerge w:val="continue"/>
            <w:tcBorders>
              <w:top w:val="nil"/>
              <w:left w:val="nil"/>
              <w:bottom w:val="single" w:color="auto" w:sz="4" w:space="0"/>
              <w:right w:val="single" w:color="auto" w:sz="4" w:space="0"/>
            </w:tcBorders>
            <w:noWrap w:val="0"/>
            <w:vAlign w:val="center"/>
          </w:tcPr>
          <w:p w14:paraId="6BA1210B">
            <w:pPr>
              <w:widowControl/>
              <w:jc w:val="left"/>
              <w:rPr>
                <w:rFonts w:ascii="宋体" w:hAnsi="宋体" w:cs="宋体"/>
                <w:color w:val="auto"/>
                <w:kern w:val="0"/>
                <w:szCs w:val="21"/>
                <w:highlight w:val="none"/>
              </w:rPr>
            </w:pPr>
          </w:p>
        </w:tc>
        <w:tc>
          <w:tcPr>
            <w:tcW w:w="1384" w:type="dxa"/>
            <w:tcBorders>
              <w:top w:val="nil"/>
              <w:left w:val="nil"/>
              <w:bottom w:val="single" w:color="auto" w:sz="4" w:space="0"/>
              <w:right w:val="single" w:color="auto" w:sz="4" w:space="0"/>
            </w:tcBorders>
            <w:noWrap w:val="0"/>
            <w:vAlign w:val="center"/>
          </w:tcPr>
          <w:p w14:paraId="4CB73509">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723" w:type="dxa"/>
            <w:tcBorders>
              <w:top w:val="nil"/>
              <w:left w:val="nil"/>
              <w:bottom w:val="single" w:color="auto" w:sz="4" w:space="0"/>
              <w:right w:val="single" w:color="auto" w:sz="4" w:space="0"/>
            </w:tcBorders>
            <w:noWrap w:val="0"/>
            <w:vAlign w:val="center"/>
          </w:tcPr>
          <w:p w14:paraId="2A5BF1E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1214" w:type="dxa"/>
            <w:tcBorders>
              <w:top w:val="nil"/>
              <w:left w:val="nil"/>
              <w:bottom w:val="single" w:color="auto" w:sz="4" w:space="0"/>
              <w:right w:val="single" w:color="auto" w:sz="4" w:space="0"/>
            </w:tcBorders>
            <w:noWrap w:val="0"/>
            <w:vAlign w:val="center"/>
          </w:tcPr>
          <w:p w14:paraId="62D3273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Z≥120000</w:t>
            </w:r>
          </w:p>
        </w:tc>
        <w:tc>
          <w:tcPr>
            <w:tcW w:w="1818" w:type="dxa"/>
            <w:tcBorders>
              <w:top w:val="nil"/>
              <w:left w:val="nil"/>
              <w:bottom w:val="single" w:color="auto" w:sz="4" w:space="0"/>
              <w:right w:val="single" w:color="auto" w:sz="4" w:space="0"/>
            </w:tcBorders>
            <w:noWrap w:val="0"/>
            <w:vAlign w:val="center"/>
          </w:tcPr>
          <w:p w14:paraId="41E1BA11">
            <w:pPr>
              <w:widowControl/>
              <w:jc w:val="both"/>
              <w:rPr>
                <w:rFonts w:ascii="宋体" w:hAnsi="宋体" w:cs="宋体"/>
                <w:color w:val="auto"/>
                <w:kern w:val="0"/>
                <w:szCs w:val="21"/>
                <w:highlight w:val="none"/>
              </w:rPr>
            </w:pPr>
            <w:r>
              <w:rPr>
                <w:rFonts w:hint="eastAsia" w:ascii="宋体" w:hAnsi="宋体" w:cs="宋体"/>
                <w:color w:val="auto"/>
                <w:kern w:val="0"/>
                <w:szCs w:val="21"/>
                <w:highlight w:val="none"/>
              </w:rPr>
              <w:t>8000≤Z＜120000</w:t>
            </w:r>
          </w:p>
        </w:tc>
        <w:tc>
          <w:tcPr>
            <w:tcW w:w="1629" w:type="dxa"/>
            <w:tcBorders>
              <w:top w:val="nil"/>
              <w:left w:val="nil"/>
              <w:bottom w:val="single" w:color="auto" w:sz="4" w:space="0"/>
              <w:right w:val="single" w:color="auto" w:sz="4" w:space="0"/>
            </w:tcBorders>
            <w:noWrap w:val="0"/>
            <w:vAlign w:val="center"/>
          </w:tcPr>
          <w:p w14:paraId="65D4B08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100≤Z＜8000</w:t>
            </w:r>
          </w:p>
        </w:tc>
        <w:tc>
          <w:tcPr>
            <w:tcW w:w="976" w:type="dxa"/>
            <w:tcBorders>
              <w:top w:val="nil"/>
              <w:left w:val="nil"/>
              <w:bottom w:val="single" w:color="auto" w:sz="4" w:space="0"/>
              <w:right w:val="nil"/>
            </w:tcBorders>
            <w:noWrap w:val="0"/>
            <w:vAlign w:val="center"/>
          </w:tcPr>
          <w:p w14:paraId="0DFBDCB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Z＜100</w:t>
            </w:r>
          </w:p>
        </w:tc>
      </w:tr>
      <w:tr w14:paraId="38D132DB">
        <w:tblPrEx>
          <w:tblCellMar>
            <w:top w:w="0" w:type="dxa"/>
            <w:left w:w="108" w:type="dxa"/>
            <w:bottom w:w="0" w:type="dxa"/>
            <w:right w:w="108" w:type="dxa"/>
          </w:tblCellMar>
        </w:tblPrEx>
        <w:trPr>
          <w:trHeight w:val="570" w:hRule="exact"/>
          <w:jc w:val="center"/>
        </w:trPr>
        <w:tc>
          <w:tcPr>
            <w:tcW w:w="1905" w:type="dxa"/>
            <w:tcBorders>
              <w:top w:val="nil"/>
              <w:left w:val="nil"/>
              <w:bottom w:val="single" w:color="auto" w:sz="4" w:space="0"/>
              <w:right w:val="single" w:color="auto" w:sz="4" w:space="0"/>
            </w:tcBorders>
            <w:noWrap w:val="0"/>
            <w:vAlign w:val="center"/>
          </w:tcPr>
          <w:p w14:paraId="04799A84">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其他未列明行业 </w:t>
            </w:r>
          </w:p>
        </w:tc>
        <w:tc>
          <w:tcPr>
            <w:tcW w:w="1384" w:type="dxa"/>
            <w:tcBorders>
              <w:top w:val="nil"/>
              <w:left w:val="nil"/>
              <w:bottom w:val="single" w:color="auto" w:sz="4" w:space="0"/>
              <w:right w:val="single" w:color="auto" w:sz="4" w:space="0"/>
            </w:tcBorders>
            <w:noWrap w:val="0"/>
            <w:vAlign w:val="center"/>
          </w:tcPr>
          <w:p w14:paraId="05CE14B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723" w:type="dxa"/>
            <w:tcBorders>
              <w:top w:val="nil"/>
              <w:left w:val="nil"/>
              <w:bottom w:val="single" w:color="auto" w:sz="4" w:space="0"/>
              <w:right w:val="single" w:color="auto" w:sz="4" w:space="0"/>
            </w:tcBorders>
            <w:noWrap w:val="0"/>
            <w:vAlign w:val="center"/>
          </w:tcPr>
          <w:p w14:paraId="6A52DEB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1214" w:type="dxa"/>
            <w:tcBorders>
              <w:top w:val="nil"/>
              <w:left w:val="nil"/>
              <w:bottom w:val="single" w:color="auto" w:sz="4" w:space="0"/>
              <w:right w:val="single" w:color="auto" w:sz="4" w:space="0"/>
            </w:tcBorders>
            <w:noWrap w:val="0"/>
            <w:vAlign w:val="center"/>
          </w:tcPr>
          <w:p w14:paraId="6FDDBA4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1818" w:type="dxa"/>
            <w:tcBorders>
              <w:top w:val="nil"/>
              <w:left w:val="nil"/>
              <w:bottom w:val="single" w:color="auto" w:sz="4" w:space="0"/>
              <w:right w:val="single" w:color="auto" w:sz="4" w:space="0"/>
            </w:tcBorders>
            <w:noWrap w:val="0"/>
            <w:vAlign w:val="center"/>
          </w:tcPr>
          <w:p w14:paraId="48EC2C8A">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1629" w:type="dxa"/>
            <w:tcBorders>
              <w:top w:val="nil"/>
              <w:left w:val="nil"/>
              <w:bottom w:val="single" w:color="auto" w:sz="4" w:space="0"/>
              <w:right w:val="single" w:color="auto" w:sz="4" w:space="0"/>
            </w:tcBorders>
            <w:noWrap w:val="0"/>
            <w:vAlign w:val="center"/>
          </w:tcPr>
          <w:p w14:paraId="104021C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976" w:type="dxa"/>
            <w:tcBorders>
              <w:top w:val="nil"/>
              <w:left w:val="nil"/>
              <w:bottom w:val="single" w:color="auto" w:sz="4" w:space="0"/>
              <w:right w:val="nil"/>
            </w:tcBorders>
            <w:noWrap w:val="0"/>
            <w:vAlign w:val="center"/>
          </w:tcPr>
          <w:p w14:paraId="29B702F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bl>
    <w:p w14:paraId="29752240">
      <w:pPr>
        <w:widowControl/>
        <w:spacing w:line="540" w:lineRule="exact"/>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说明：</w:t>
      </w:r>
    </w:p>
    <w:p w14:paraId="0FEE5068">
      <w:pPr>
        <w:spacing w:line="540" w:lineRule="exact"/>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　　1.大型、中型和小型企业须同时满足所列指标的下限，否则下划一档；微型企业只</w:t>
      </w:r>
      <w:r>
        <w:rPr>
          <w:rFonts w:hint="eastAsia" w:ascii="宋体" w:hAnsi="宋体" w:cs="宋体"/>
          <w:color w:val="auto"/>
          <w:spacing w:val="8"/>
          <w:kern w:val="0"/>
          <w:szCs w:val="21"/>
          <w:highlight w:val="none"/>
          <w:lang w:eastAsia="zh-CN"/>
        </w:rPr>
        <w:t>需</w:t>
      </w:r>
      <w:r>
        <w:rPr>
          <w:rFonts w:hint="eastAsia" w:ascii="宋体" w:hAnsi="宋体" w:cs="宋体"/>
          <w:color w:val="auto"/>
          <w:spacing w:val="8"/>
          <w:kern w:val="0"/>
          <w:szCs w:val="21"/>
          <w:highlight w:val="none"/>
        </w:rPr>
        <w:t>满足所列指标中的一项即可。</w:t>
      </w:r>
    </w:p>
    <w:p w14:paraId="6B05B5FC">
      <w:pPr>
        <w:spacing w:line="540" w:lineRule="exact"/>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8C04C85">
      <w:pPr>
        <w:spacing w:line="540" w:lineRule="exact"/>
        <w:rPr>
          <w:rFonts w:ascii="宋体" w:hAnsi="宋体"/>
          <w:color w:val="auto"/>
          <w:szCs w:val="21"/>
          <w:highlight w:val="none"/>
        </w:rPr>
      </w:pPr>
      <w:r>
        <w:rPr>
          <w:rFonts w:hint="eastAsia" w:ascii="宋体" w:hAnsi="宋体" w:cs="宋体"/>
          <w:color w:val="auto"/>
          <w:spacing w:val="8"/>
          <w:kern w:val="0"/>
          <w:szCs w:val="21"/>
          <w:highlight w:val="none"/>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C62ACC2">
      <w:pPr>
        <w:pStyle w:val="16"/>
        <w:spacing w:line="500" w:lineRule="exact"/>
        <w:rPr>
          <w:rFonts w:hint="eastAsia" w:ascii="宋体" w:hAnsi="宋体" w:eastAsia="宋体" w:cs="宋体"/>
          <w:b/>
          <w:color w:val="auto"/>
          <w:sz w:val="28"/>
          <w:szCs w:val="28"/>
          <w:highlight w:val="none"/>
        </w:rPr>
        <w:sectPr>
          <w:pgSz w:w="11905" w:h="16838"/>
          <w:pgMar w:top="1440" w:right="1080" w:bottom="1440" w:left="1080" w:header="850" w:footer="850" w:gutter="0"/>
          <w:pgBorders>
            <w:top w:val="none" w:sz="0" w:space="0"/>
            <w:left w:val="none" w:sz="0" w:space="0"/>
            <w:bottom w:val="none" w:sz="0" w:space="0"/>
            <w:right w:val="none" w:sz="0" w:space="0"/>
          </w:pgBorders>
          <w:pgNumType w:fmt="numberInDash"/>
          <w:cols w:space="0" w:num="1"/>
          <w:rtlGutter w:val="0"/>
          <w:docGrid w:linePitch="312" w:charSpace="0"/>
        </w:sectPr>
      </w:pPr>
    </w:p>
    <w:p w14:paraId="2990C891">
      <w:pPr>
        <w:keepNext w:val="0"/>
        <w:keepLines w:val="0"/>
        <w:pageBreakBefore w:val="0"/>
        <w:widowControl w:val="0"/>
        <w:shd w:val="clear" w:color="auto" w:fill="FFFFFF"/>
        <w:kinsoku/>
        <w:wordWrap/>
        <w:overflowPunct/>
        <w:topLinePunct w:val="0"/>
        <w:autoSpaceDE/>
        <w:autoSpaceDN/>
        <w:bidi w:val="0"/>
        <w:adjustRightInd/>
        <w:snapToGrid/>
        <w:spacing w:beforeLines="0" w:beforeAutospacing="0" w:afterLines="0" w:afterAutospacing="0" w:line="360" w:lineRule="auto"/>
        <w:jc w:val="center"/>
        <w:textAlignment w:val="auto"/>
        <w:outlineLvl w:val="2"/>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bCs/>
          <w:color w:val="auto"/>
          <w:kern w:val="2"/>
          <w:sz w:val="21"/>
          <w:szCs w:val="21"/>
          <w:highlight w:val="none"/>
          <w:lang w:val="en-US" w:eastAsia="zh-CN" w:bidi="ar-SA"/>
        </w:rPr>
        <w:t>2.残疾人福利性单位声明函</w:t>
      </w:r>
    </w:p>
    <w:p w14:paraId="18A2CEF8">
      <w:pPr>
        <w:keepNext w:val="0"/>
        <w:keepLines w:val="0"/>
        <w:pageBreakBefore w:val="0"/>
        <w:widowControl w:val="0"/>
        <w:shd w:val="clear" w:color="auto" w:fill="FFFFFF"/>
        <w:kinsoku/>
        <w:wordWrap/>
        <w:overflowPunct/>
        <w:topLinePunct w:val="0"/>
        <w:autoSpaceDE/>
        <w:autoSpaceDN/>
        <w:bidi w:val="0"/>
        <w:adjustRightInd/>
        <w:snapToGrid/>
        <w:spacing w:beforeLines="0" w:beforeAutospacing="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6"/>
          <w:kern w:val="0"/>
          <w:sz w:val="24"/>
          <w:szCs w:val="21"/>
          <w:highlight w:val="none"/>
          <w:u w:val="single"/>
          <w:lang w:val="en-US" w:eastAsia="zh-CN" w:bidi="ar-SA"/>
        </w:rPr>
        <w:t xml:space="preserve">    </w:t>
      </w:r>
      <w:r>
        <w:rPr>
          <w:rFonts w:hint="eastAsia" w:ascii="宋体" w:hAnsi="宋体" w:eastAsia="宋体" w:cs="宋体"/>
          <w:color w:val="auto"/>
          <w:kern w:val="0"/>
          <w:sz w:val="21"/>
          <w:szCs w:val="21"/>
          <w:highlight w:val="none"/>
          <w:shd w:val="clear" w:color="auto" w:fill="FFFFFF"/>
          <w:lang w:val="en-US" w:eastAsia="zh-CN" w:bidi="ar-SA"/>
        </w:rPr>
        <w:t>单位的</w:t>
      </w:r>
      <w:r>
        <w:rPr>
          <w:rFonts w:hint="eastAsia" w:ascii="宋体" w:hAnsi="宋体" w:eastAsia="宋体" w:cs="宋体"/>
          <w:color w:val="auto"/>
          <w:spacing w:val="6"/>
          <w:kern w:val="0"/>
          <w:sz w:val="24"/>
          <w:szCs w:val="21"/>
          <w:highlight w:val="none"/>
          <w:u w:val="single"/>
          <w:lang w:val="en-US" w:eastAsia="zh-CN" w:bidi="ar-SA"/>
        </w:rPr>
        <w:t xml:space="preserve">     </w:t>
      </w:r>
      <w:r>
        <w:rPr>
          <w:rFonts w:hint="eastAsia" w:ascii="宋体" w:hAnsi="宋体" w:eastAsia="宋体" w:cs="宋体"/>
          <w:color w:val="auto"/>
          <w:kern w:val="0"/>
          <w:sz w:val="21"/>
          <w:szCs w:val="21"/>
          <w:highlight w:val="none"/>
          <w:shd w:val="clear" w:color="auto" w:fill="FFFFFF"/>
          <w:lang w:val="en-US" w:eastAsia="zh-CN" w:bidi="ar-SA"/>
        </w:rPr>
        <w:t>项目采购活动提供本单位制造的货物（由本单位承担工程/提供服务），或者提供其他残疾人福利性单位制造的货物（不包括使用非残疾人福利性单位注册商标的货物）。</w:t>
      </w:r>
    </w:p>
    <w:p w14:paraId="6F77D90F">
      <w:pPr>
        <w:keepNext w:val="0"/>
        <w:keepLines w:val="0"/>
        <w:pageBreakBefore w:val="0"/>
        <w:widowControl w:val="0"/>
        <w:shd w:val="clear" w:color="auto" w:fill="FFFFFF"/>
        <w:kinsoku/>
        <w:wordWrap/>
        <w:overflowPunct/>
        <w:topLinePunct w:val="0"/>
        <w:autoSpaceDE/>
        <w:autoSpaceDN/>
        <w:bidi w:val="0"/>
        <w:adjustRightInd/>
        <w:snapToGrid/>
        <w:spacing w:beforeLines="0" w:beforeAutospacing="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    本单位对上述声明的真实性负责。如有虚假，将依法承担相应责任。</w:t>
      </w:r>
    </w:p>
    <w:p w14:paraId="21452356">
      <w:pPr>
        <w:keepNext w:val="0"/>
        <w:keepLines w:val="0"/>
        <w:pageBreakBefore w:val="0"/>
        <w:widowControl w:val="0"/>
        <w:shd w:val="clear" w:color="auto" w:fill="FFFFFF"/>
        <w:bidi w:val="0"/>
        <w:snapToGrid/>
        <w:spacing w:before="100" w:beforeLines="0" w:beforeAutospacing="1" w:after="100" w:afterLines="0" w:afterAutospacing="1" w:line="360" w:lineRule="auto"/>
        <w:jc w:val="left"/>
        <w:rPr>
          <w:rFonts w:hint="eastAsia" w:ascii="宋体" w:hAnsi="宋体" w:eastAsia="宋体" w:cs="宋体"/>
          <w:color w:val="auto"/>
          <w:kern w:val="0"/>
          <w:sz w:val="21"/>
          <w:szCs w:val="21"/>
          <w:highlight w:val="none"/>
          <w:shd w:val="clear" w:color="auto" w:fill="FFFFFF"/>
          <w:lang w:val="en-US" w:eastAsia="zh-CN" w:bidi="ar-SA"/>
        </w:rPr>
      </w:pPr>
    </w:p>
    <w:p w14:paraId="413A1F71">
      <w:pPr>
        <w:keepNext w:val="0"/>
        <w:keepLines w:val="0"/>
        <w:pageBreakBefore w:val="0"/>
        <w:widowControl w:val="0"/>
        <w:shd w:val="clear" w:color="auto" w:fill="FFFFFF"/>
        <w:bidi w:val="0"/>
        <w:snapToGrid/>
        <w:spacing w:before="100" w:beforeLines="0" w:beforeAutospacing="1" w:after="100" w:afterLines="0" w:afterAutospacing="1" w:line="360" w:lineRule="auto"/>
        <w:jc w:val="left"/>
        <w:rPr>
          <w:rFonts w:hint="eastAsia" w:ascii="宋体" w:hAnsi="宋体" w:eastAsia="宋体" w:cs="宋体"/>
          <w:color w:val="auto"/>
          <w:kern w:val="0"/>
          <w:sz w:val="21"/>
          <w:szCs w:val="21"/>
          <w:highlight w:val="none"/>
          <w:shd w:val="clear" w:color="auto" w:fill="FFFFFF"/>
          <w:lang w:val="en-US" w:eastAsia="zh-CN" w:bidi="ar-SA"/>
        </w:rPr>
      </w:pPr>
    </w:p>
    <w:p w14:paraId="74F1524D">
      <w:pPr>
        <w:keepNext w:val="0"/>
        <w:keepLines w:val="0"/>
        <w:pageBreakBefore w:val="0"/>
        <w:widowControl w:val="0"/>
        <w:tabs>
          <w:tab w:val="left" w:pos="0"/>
        </w:tabs>
        <w:bidi w:val="0"/>
        <w:snapToGrid/>
        <w:spacing w:line="480" w:lineRule="exact"/>
        <w:ind w:right="-210" w:firstLine="205" w:firstLineChars="98"/>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企业名称(电子签章)：</w:t>
      </w:r>
    </w:p>
    <w:p w14:paraId="29287990">
      <w:pPr>
        <w:keepNext w:val="0"/>
        <w:keepLines w:val="0"/>
        <w:pageBreakBefore w:val="0"/>
        <w:widowControl w:val="0"/>
        <w:tabs>
          <w:tab w:val="left" w:pos="0"/>
        </w:tabs>
        <w:bidi w:val="0"/>
        <w:snapToGrid/>
        <w:spacing w:line="480" w:lineRule="exact"/>
        <w:ind w:right="-210" w:firstLine="205" w:firstLineChars="98"/>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日  期：</w:t>
      </w:r>
    </w:p>
    <w:p w14:paraId="0BAB3258">
      <w:pPr>
        <w:keepNext w:val="0"/>
        <w:keepLines w:val="0"/>
        <w:pageBreakBefore w:val="0"/>
        <w:widowControl w:val="0"/>
        <w:tabs>
          <w:tab w:val="left" w:pos="4860"/>
        </w:tabs>
        <w:bidi w:val="0"/>
        <w:snapToGrid/>
        <w:spacing w:line="360" w:lineRule="auto"/>
        <w:ind w:right="1560" w:firstLine="444" w:firstLineChars="200"/>
        <w:rPr>
          <w:rFonts w:hint="eastAsia" w:ascii="宋体" w:hAnsi="宋体" w:eastAsia="宋体" w:cs="宋体"/>
          <w:color w:val="auto"/>
          <w:spacing w:val="6"/>
          <w:szCs w:val="21"/>
          <w:highlight w:val="none"/>
        </w:rPr>
      </w:pPr>
    </w:p>
    <w:p w14:paraId="4A84C7D7">
      <w:pPr>
        <w:keepNext w:val="0"/>
        <w:keepLines w:val="0"/>
        <w:pageBreakBefore w:val="0"/>
        <w:widowControl w:val="0"/>
        <w:tabs>
          <w:tab w:val="left" w:pos="4860"/>
        </w:tabs>
        <w:bidi w:val="0"/>
        <w:snapToGrid/>
        <w:spacing w:line="360" w:lineRule="auto"/>
        <w:ind w:right="1560" w:firstLine="444" w:firstLineChars="200"/>
        <w:rPr>
          <w:rFonts w:hint="eastAsia" w:ascii="宋体" w:hAnsi="宋体" w:eastAsia="宋体" w:cs="宋体"/>
          <w:color w:val="auto"/>
          <w:spacing w:val="6"/>
          <w:szCs w:val="21"/>
          <w:highlight w:val="none"/>
        </w:rPr>
      </w:pPr>
    </w:p>
    <w:p w14:paraId="6733EE80">
      <w:pPr>
        <w:keepNext w:val="0"/>
        <w:keepLines w:val="0"/>
        <w:pageBreakBefore w:val="0"/>
        <w:widowControl w:val="0"/>
        <w:bidi w:val="0"/>
        <w:snapToGrid/>
        <w:spacing w:line="48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注：1、残疾人福利性单位参与投标时，须提供本企业的《残疾人福利性单位声明函》；</w:t>
      </w:r>
    </w:p>
    <w:p w14:paraId="5427D937">
      <w:pPr>
        <w:keepNext w:val="0"/>
        <w:keepLines w:val="0"/>
        <w:pageBreakBefore w:val="0"/>
        <w:widowControl w:val="0"/>
        <w:bidi w:val="0"/>
        <w:snapToGrid/>
        <w:spacing w:line="48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rPr>
        <w:t>2、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eastAsia="宋体" w:cs="宋体"/>
          <w:color w:val="auto"/>
          <w:szCs w:val="21"/>
          <w:highlight w:val="none"/>
        </w:rPr>
        <w:t>。</w:t>
      </w:r>
    </w:p>
    <w:p w14:paraId="3561DCD7">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br w:type="page"/>
      </w:r>
      <w:r>
        <w:rPr>
          <w:rFonts w:hint="eastAsia" w:ascii="宋体" w:hAnsi="宋体" w:eastAsia="宋体" w:cs="宋体"/>
          <w:b/>
          <w:bCs/>
          <w:color w:val="auto"/>
          <w:kern w:val="2"/>
          <w:sz w:val="21"/>
          <w:szCs w:val="21"/>
          <w:highlight w:val="none"/>
          <w:lang w:val="en-US" w:eastAsia="zh-CN" w:bidi="ar-SA"/>
        </w:rPr>
        <w:t>3.监狱企业证明材料</w:t>
      </w:r>
    </w:p>
    <w:p w14:paraId="37E7B9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本单位郑重声明，根据《关于政府采购支持监狱企业发展有关问题的通知》(财库[2014]68 号)的规定，本单位为符合条件的监狱企业，且本单位参加</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单位的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项目采购活动提供本单位制造的货物（由本单位承担工程/提供服务），或者提供其他监狱企业制造的货物（不包括使用非监狱企业注册商标的货物）。</w:t>
      </w:r>
      <w:r>
        <w:rPr>
          <w:rFonts w:hint="eastAsia" w:ascii="宋体" w:hAnsi="宋体" w:eastAsia="宋体" w:cs="宋体"/>
          <w:color w:val="auto"/>
          <w:szCs w:val="21"/>
          <w:highlight w:val="none"/>
        </w:rPr>
        <w:tab/>
      </w:r>
    </w:p>
    <w:p w14:paraId="602A2894">
      <w:pPr>
        <w:keepNext w:val="0"/>
        <w:keepLines w:val="0"/>
        <w:pageBreakBefore w:val="0"/>
        <w:widowControl w:val="0"/>
        <w:bidi w:val="0"/>
        <w:snapToGrid/>
        <w:spacing w:line="360" w:lineRule="auto"/>
        <w:rPr>
          <w:rFonts w:hint="eastAsia" w:ascii="宋体" w:hAnsi="宋体" w:eastAsia="宋体" w:cs="宋体"/>
          <w:color w:val="auto"/>
          <w:szCs w:val="21"/>
          <w:highlight w:val="none"/>
        </w:rPr>
      </w:pPr>
    </w:p>
    <w:p w14:paraId="7079FDEF">
      <w:pPr>
        <w:keepNext w:val="0"/>
        <w:keepLines w:val="0"/>
        <w:pageBreakBefore w:val="0"/>
        <w:widowControl w:val="0"/>
        <w:bidi w:val="0"/>
        <w:snapToGrid/>
        <w:spacing w:line="360" w:lineRule="auto"/>
        <w:rPr>
          <w:rFonts w:hint="eastAsia" w:ascii="宋体" w:hAnsi="宋体" w:eastAsia="宋体" w:cs="宋体"/>
          <w:color w:val="auto"/>
          <w:szCs w:val="21"/>
          <w:highlight w:val="none"/>
        </w:rPr>
      </w:pPr>
    </w:p>
    <w:p w14:paraId="3D394EA0">
      <w:pPr>
        <w:keepNext w:val="0"/>
        <w:keepLines w:val="0"/>
        <w:pageBreakBefore w:val="0"/>
        <w:widowControl w:val="0"/>
        <w:bidi w:val="0"/>
        <w:snapToGrid/>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本单位对上述声明的真实性负责。如有虚假，将依法承担相应责任。</w:t>
      </w:r>
    </w:p>
    <w:p w14:paraId="5B9B1CD5">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1C199709">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7F260E13">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4D9786BD">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59032F87">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152C23BD">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21C3AB1E">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425CE8A2">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70217DEC">
      <w:pPr>
        <w:keepNext w:val="0"/>
        <w:keepLines w:val="0"/>
        <w:pageBreakBefore w:val="0"/>
        <w:widowControl w:val="0"/>
        <w:bidi w:val="0"/>
        <w:snapToGrid/>
        <w:spacing w:line="201" w:lineRule="exact"/>
        <w:rPr>
          <w:rFonts w:hint="eastAsia" w:ascii="宋体" w:hAnsi="宋体" w:eastAsia="宋体" w:cs="宋体"/>
          <w:color w:val="auto"/>
          <w:szCs w:val="21"/>
          <w:highlight w:val="none"/>
        </w:rPr>
      </w:pPr>
    </w:p>
    <w:p w14:paraId="6E9794E7">
      <w:pPr>
        <w:keepNext w:val="0"/>
        <w:keepLines w:val="0"/>
        <w:pageBreakBefore w:val="0"/>
        <w:widowControl w:val="0"/>
        <w:tabs>
          <w:tab w:val="left" w:pos="0"/>
        </w:tabs>
        <w:bidi w:val="0"/>
        <w:snapToGrid/>
        <w:spacing w:line="480" w:lineRule="exact"/>
        <w:ind w:right="-210" w:firstLine="205" w:firstLineChars="98"/>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企业名称(电子签章)：</w:t>
      </w:r>
    </w:p>
    <w:p w14:paraId="5D2E5ED6">
      <w:pPr>
        <w:keepNext w:val="0"/>
        <w:keepLines w:val="0"/>
        <w:pageBreakBefore w:val="0"/>
        <w:widowControl w:val="0"/>
        <w:tabs>
          <w:tab w:val="left" w:pos="0"/>
        </w:tabs>
        <w:bidi w:val="0"/>
        <w:snapToGrid/>
        <w:spacing w:line="480" w:lineRule="exact"/>
        <w:ind w:right="-210" w:firstLine="205" w:firstLineChars="98"/>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日  期：</w:t>
      </w:r>
    </w:p>
    <w:p w14:paraId="22E30CE3">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6C4D9B5C">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3F4BD2CD">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7B0D45E5">
      <w:pPr>
        <w:keepNext w:val="0"/>
        <w:keepLines w:val="0"/>
        <w:pageBreakBefore w:val="0"/>
        <w:widowControl w:val="0"/>
        <w:bidi w:val="0"/>
        <w:snapToGrid/>
        <w:spacing w:line="200" w:lineRule="exact"/>
        <w:rPr>
          <w:rFonts w:hint="eastAsia" w:ascii="宋体" w:hAnsi="宋体" w:eastAsia="宋体" w:cs="宋体"/>
          <w:color w:val="auto"/>
          <w:szCs w:val="21"/>
          <w:highlight w:val="none"/>
        </w:rPr>
      </w:pPr>
    </w:p>
    <w:p w14:paraId="79367E58">
      <w:pPr>
        <w:keepNext w:val="0"/>
        <w:keepLines w:val="0"/>
        <w:pageBreakBefore w:val="0"/>
        <w:widowControl w:val="0"/>
        <w:bidi w:val="0"/>
        <w:snapToGrid/>
        <w:spacing w:line="322" w:lineRule="exact"/>
        <w:rPr>
          <w:rFonts w:hint="eastAsia" w:ascii="宋体" w:hAnsi="宋体" w:eastAsia="宋体" w:cs="宋体"/>
          <w:color w:val="auto"/>
          <w:szCs w:val="21"/>
          <w:highlight w:val="none"/>
        </w:rPr>
      </w:pPr>
    </w:p>
    <w:p w14:paraId="6EE56012">
      <w:pPr>
        <w:keepNext w:val="0"/>
        <w:keepLines w:val="0"/>
        <w:pageBreakBefore w:val="0"/>
        <w:widowControl w:val="0"/>
        <w:kinsoku w:val="0"/>
        <w:wordWrap w:val="0"/>
        <w:overflowPunct w:val="0"/>
        <w:topLinePunct w:val="0"/>
        <w:autoSpaceDE w:val="0"/>
        <w:autoSpaceDN w:val="0"/>
        <w:bidi w:val="0"/>
        <w:adjustRightInd/>
        <w:snapToGrid/>
        <w:spacing w:after="120" w:afterLines="0" w:afterAutospacing="0" w:line="360" w:lineRule="auto"/>
        <w:ind w:firstLine="422" w:firstLineChars="200"/>
        <w:jc w:val="both"/>
        <w:textAlignment w:val="top"/>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注：1.供应商如为监狱企业并提供本《监狱企业声明函》的，必须对声明的真实性负责。</w:t>
      </w:r>
    </w:p>
    <w:p w14:paraId="2975BB8E">
      <w:pPr>
        <w:keepNext w:val="0"/>
        <w:keepLines w:val="0"/>
        <w:pageBreakBefore w:val="0"/>
        <w:widowControl w:val="0"/>
        <w:kinsoku w:val="0"/>
        <w:wordWrap w:val="0"/>
        <w:overflowPunct w:val="0"/>
        <w:topLinePunct w:val="0"/>
        <w:autoSpaceDE w:val="0"/>
        <w:autoSpaceDN w:val="0"/>
        <w:bidi w:val="0"/>
        <w:adjustRightInd/>
        <w:snapToGrid/>
        <w:spacing w:after="120" w:afterLines="0" w:afterAutospacing="0" w:line="360" w:lineRule="auto"/>
        <w:ind w:firstLine="422" w:firstLineChars="200"/>
        <w:jc w:val="both"/>
        <w:textAlignment w:val="top"/>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2.监狱企业以省级以上监狱管理局、戒毒管理局(含新疆生产建设兵团)出具的属于监狱企业的证明文件为准。</w:t>
      </w:r>
    </w:p>
    <w:p w14:paraId="45B13843">
      <w:pPr>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br w:type="page"/>
      </w:r>
    </w:p>
    <w:p w14:paraId="5A58EB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color w:val="auto"/>
          <w:szCs w:val="21"/>
          <w:highlight w:val="none"/>
          <w:lang w:val="en-US"/>
        </w:rPr>
      </w:pPr>
      <w:r>
        <w:rPr>
          <w:rFonts w:hint="eastAsia" w:ascii="宋体" w:hAnsi="宋体" w:cs="宋体"/>
          <w:b/>
          <w:color w:val="auto"/>
          <w:szCs w:val="21"/>
          <w:highlight w:val="none"/>
          <w:lang w:val="en-US" w:eastAsia="zh-CN"/>
        </w:rPr>
        <w:t>三</w:t>
      </w:r>
      <w:r>
        <w:rPr>
          <w:rFonts w:hint="eastAsia" w:ascii="宋体" w:hAnsi="宋体" w:eastAsia="宋体" w:cs="宋体"/>
          <w:b/>
          <w:color w:val="auto"/>
          <w:szCs w:val="21"/>
          <w:highlight w:val="none"/>
          <w:lang w:val="en-US" w:eastAsia="zh-CN"/>
        </w:rPr>
        <w:t>、</w:t>
      </w:r>
      <w:r>
        <w:rPr>
          <w:rFonts w:hint="eastAsia" w:ascii="宋体" w:hAnsi="宋体" w:cs="宋体"/>
          <w:b/>
          <w:color w:val="auto"/>
          <w:szCs w:val="21"/>
          <w:highlight w:val="none"/>
          <w:lang w:val="en-US" w:eastAsia="zh-CN"/>
        </w:rPr>
        <w:t>特定资格要求</w:t>
      </w:r>
    </w:p>
    <w:p w14:paraId="2DC6586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1.</w:t>
      </w:r>
      <w:r>
        <w:rPr>
          <w:rFonts w:hint="eastAsia" w:ascii="宋体" w:hAnsi="宋体" w:eastAsia="宋体" w:cs="宋体"/>
          <w:b w:val="0"/>
          <w:bCs/>
          <w:color w:val="auto"/>
          <w:kern w:val="2"/>
          <w:sz w:val="21"/>
          <w:szCs w:val="21"/>
          <w:highlight w:val="none"/>
          <w:lang w:val="en-US" w:eastAsia="zh-CN" w:bidi="ar-SA"/>
        </w:rPr>
        <w:t>供应商须具有食品生产许可证或食品经营许可证或仅销售预包装食品经营者备案信息采集表</w:t>
      </w:r>
      <w:r>
        <w:rPr>
          <w:rFonts w:hint="eastAsia" w:ascii="宋体" w:hAnsi="宋体" w:cs="宋体"/>
          <w:b w:val="0"/>
          <w:bCs/>
          <w:color w:val="auto"/>
          <w:kern w:val="2"/>
          <w:sz w:val="21"/>
          <w:szCs w:val="21"/>
          <w:highlight w:val="none"/>
          <w:lang w:val="en-US" w:eastAsia="zh-CN" w:bidi="ar-SA"/>
        </w:rPr>
        <w:t>（提供要求资料扫描件）</w:t>
      </w:r>
      <w:r>
        <w:rPr>
          <w:rFonts w:hint="eastAsia" w:ascii="宋体" w:hAnsi="宋体" w:eastAsia="宋体" w:cs="宋体"/>
          <w:b w:val="0"/>
          <w:bCs/>
          <w:color w:val="auto"/>
          <w:kern w:val="2"/>
          <w:sz w:val="21"/>
          <w:szCs w:val="21"/>
          <w:highlight w:val="none"/>
          <w:lang w:val="en-US" w:eastAsia="zh-CN" w:bidi="ar-SA"/>
        </w:rPr>
        <w:t>。</w:t>
      </w:r>
    </w:p>
    <w:p w14:paraId="722D011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2.供应商近3年内未发生食品安全事故或查实食品安全负面舆论事件（提供承诺书）。</w:t>
      </w:r>
    </w:p>
    <w:p w14:paraId="17895F5C">
      <w:pPr>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br w:type="page"/>
      </w:r>
    </w:p>
    <w:p w14:paraId="532DAD84">
      <w:pPr>
        <w:pStyle w:val="16"/>
        <w:keepNext w:val="0"/>
        <w:keepLines w:val="0"/>
        <w:pageBreakBefore w:val="0"/>
        <w:widowControl w:val="0"/>
        <w:kinsoku/>
        <w:overflowPunct/>
        <w:bidi w:val="0"/>
        <w:snapToGrid/>
        <w:spacing w:line="413" w:lineRule="auto"/>
        <w:jc w:val="center"/>
        <w:rPr>
          <w:rFonts w:hint="eastAsia" w:hAnsi="宋体" w:cs="宋体"/>
          <w:b/>
          <w:color w:val="auto"/>
          <w:sz w:val="36"/>
          <w:szCs w:val="36"/>
          <w:highlight w:val="none"/>
          <w:lang w:eastAsia="zh-CN"/>
        </w:rPr>
      </w:pPr>
    </w:p>
    <w:p w14:paraId="03B1703B">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6"/>
          <w:szCs w:val="36"/>
          <w:highlight w:val="none"/>
          <w:lang w:eastAsia="zh-CN"/>
        </w:rPr>
      </w:pPr>
    </w:p>
    <w:p w14:paraId="19147361">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6"/>
          <w:szCs w:val="21"/>
          <w:highlight w:val="none"/>
        </w:rPr>
      </w:pPr>
      <w:r>
        <w:rPr>
          <w:rFonts w:hint="eastAsia" w:hAnsi="宋体" w:cs="宋体"/>
          <w:b/>
          <w:color w:val="auto"/>
          <w:sz w:val="36"/>
          <w:szCs w:val="36"/>
          <w:highlight w:val="none"/>
          <w:lang w:eastAsia="zh-CN"/>
        </w:rPr>
        <w:t>临翔区2026年学校学生食堂食材采购项目</w:t>
      </w:r>
    </w:p>
    <w:p w14:paraId="6DF6A1DB">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2"/>
          <w:highlight w:val="none"/>
        </w:rPr>
      </w:pPr>
    </w:p>
    <w:p w14:paraId="1A6E0796">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2"/>
          <w:highlight w:val="none"/>
        </w:rPr>
      </w:pPr>
    </w:p>
    <w:p w14:paraId="20E68BF8">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32"/>
          <w:highlight w:val="none"/>
        </w:rPr>
      </w:pPr>
    </w:p>
    <w:p w14:paraId="46E0F34C">
      <w:pPr>
        <w:pStyle w:val="16"/>
        <w:keepNext w:val="0"/>
        <w:keepLines w:val="0"/>
        <w:pageBreakBefore w:val="0"/>
        <w:widowControl w:val="0"/>
        <w:kinsoku/>
        <w:overflowPunct/>
        <w:bidi w:val="0"/>
        <w:snapToGrid/>
        <w:spacing w:line="413" w:lineRule="auto"/>
        <w:rPr>
          <w:rFonts w:hint="eastAsia" w:ascii="宋体" w:hAnsi="宋体" w:eastAsia="宋体" w:cs="宋体"/>
          <w:b/>
          <w:color w:val="auto"/>
          <w:sz w:val="32"/>
          <w:highlight w:val="none"/>
        </w:rPr>
      </w:pPr>
    </w:p>
    <w:p w14:paraId="6D94B4EA">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48"/>
          <w:highlight w:val="none"/>
        </w:rPr>
      </w:pPr>
    </w:p>
    <w:p w14:paraId="41F1A4A0">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48"/>
          <w:highlight w:val="none"/>
        </w:rPr>
      </w:pPr>
      <w:r>
        <w:rPr>
          <w:rFonts w:hint="eastAsia" w:ascii="宋体" w:hAnsi="宋体" w:eastAsia="宋体" w:cs="宋体"/>
          <w:b/>
          <w:color w:val="auto"/>
          <w:sz w:val="48"/>
          <w:highlight w:val="none"/>
        </w:rPr>
        <w:t>第</w:t>
      </w:r>
      <w:r>
        <w:rPr>
          <w:rFonts w:hint="eastAsia" w:hAnsi="宋体" w:cs="宋体"/>
          <w:b/>
          <w:color w:val="auto"/>
          <w:sz w:val="48"/>
          <w:highlight w:val="none"/>
          <w:lang w:val="en-US" w:eastAsia="zh-CN"/>
        </w:rPr>
        <w:t>二</w:t>
      </w:r>
      <w:r>
        <w:rPr>
          <w:rFonts w:hint="eastAsia" w:ascii="宋体" w:hAnsi="宋体" w:eastAsia="宋体" w:cs="宋体"/>
          <w:b/>
          <w:color w:val="auto"/>
          <w:sz w:val="48"/>
          <w:highlight w:val="none"/>
        </w:rPr>
        <w:t xml:space="preserve">部分  </w:t>
      </w:r>
      <w:r>
        <w:rPr>
          <w:rFonts w:hint="eastAsia" w:ascii="宋体" w:hAnsi="宋体" w:eastAsia="宋体" w:cs="宋体"/>
          <w:b/>
          <w:color w:val="auto"/>
          <w:sz w:val="48"/>
          <w:highlight w:val="none"/>
          <w:lang w:val="en-US" w:eastAsia="zh-CN"/>
        </w:rPr>
        <w:t>商务文件</w:t>
      </w:r>
      <w:r>
        <w:rPr>
          <w:rFonts w:hint="eastAsia" w:ascii="宋体" w:hAnsi="宋体" w:eastAsia="宋体" w:cs="宋体"/>
          <w:b/>
          <w:color w:val="auto"/>
          <w:sz w:val="48"/>
          <w:highlight w:val="none"/>
        </w:rPr>
        <w:t>部分</w:t>
      </w:r>
    </w:p>
    <w:p w14:paraId="59E487B6">
      <w:pPr>
        <w:pStyle w:val="16"/>
        <w:keepNext w:val="0"/>
        <w:keepLines w:val="0"/>
        <w:pageBreakBefore w:val="0"/>
        <w:widowControl w:val="0"/>
        <w:kinsoku/>
        <w:overflowPunct/>
        <w:bidi w:val="0"/>
        <w:snapToGrid/>
        <w:spacing w:line="413" w:lineRule="auto"/>
        <w:jc w:val="center"/>
        <w:rPr>
          <w:rFonts w:hint="eastAsia" w:ascii="宋体" w:hAnsi="宋体" w:eastAsia="宋体" w:cs="宋体"/>
          <w:b/>
          <w:color w:val="auto"/>
          <w:sz w:val="72"/>
          <w:highlight w:val="none"/>
        </w:rPr>
      </w:pPr>
    </w:p>
    <w:p w14:paraId="0B9AB4F9">
      <w:pPr>
        <w:keepNext w:val="0"/>
        <w:keepLines w:val="0"/>
        <w:pageBreakBefore w:val="0"/>
        <w:widowControl w:val="0"/>
        <w:kinsoku/>
        <w:overflowPunct/>
        <w:bidi w:val="0"/>
        <w:snapToGrid/>
        <w:spacing w:line="413" w:lineRule="auto"/>
        <w:ind w:firstLine="480" w:firstLineChars="200"/>
        <w:rPr>
          <w:rFonts w:hint="eastAsia" w:ascii="宋体" w:hAnsi="宋体" w:eastAsia="宋体" w:cs="宋体"/>
          <w:color w:val="auto"/>
          <w:sz w:val="24"/>
          <w:highlight w:val="none"/>
        </w:rPr>
      </w:pPr>
    </w:p>
    <w:p w14:paraId="5779B855">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15A3441F">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61E34A42">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12DDDB5D">
      <w:pPr>
        <w:pStyle w:val="11"/>
        <w:keepNext w:val="0"/>
        <w:keepLines w:val="0"/>
        <w:pageBreakBefore w:val="0"/>
        <w:widowControl w:val="0"/>
        <w:kinsoku/>
        <w:overflowPunct/>
        <w:bidi w:val="0"/>
        <w:snapToGrid/>
        <w:spacing w:line="413" w:lineRule="auto"/>
        <w:rPr>
          <w:rFonts w:hint="eastAsia" w:ascii="宋体" w:hAnsi="宋体" w:eastAsia="宋体" w:cs="宋体"/>
          <w:color w:val="auto"/>
          <w:sz w:val="24"/>
          <w:highlight w:val="none"/>
        </w:rPr>
      </w:pPr>
    </w:p>
    <w:p w14:paraId="4DE5D5D1">
      <w:pPr>
        <w:keepNext w:val="0"/>
        <w:keepLines w:val="0"/>
        <w:pageBreakBefore w:val="0"/>
        <w:widowControl w:val="0"/>
        <w:kinsoku/>
        <w:overflowPunct/>
        <w:bidi w:val="0"/>
        <w:snapToGrid/>
        <w:spacing w:line="413" w:lineRule="auto"/>
        <w:ind w:firstLine="1200" w:firstLineChars="5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（单位全称）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p>
    <w:p w14:paraId="73D27DA6">
      <w:pPr>
        <w:pStyle w:val="16"/>
        <w:keepNext w:val="0"/>
        <w:keepLines w:val="0"/>
        <w:pageBreakBefore w:val="0"/>
        <w:widowControl w:val="0"/>
        <w:kinsoku/>
        <w:overflowPunct/>
        <w:bidi w:val="0"/>
        <w:snapToGrid/>
        <w:spacing w:line="413" w:lineRule="auto"/>
        <w:ind w:firstLine="1200" w:firstLineChars="5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或委托代理人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rPr>
        <w:t>）</w:t>
      </w:r>
    </w:p>
    <w:p w14:paraId="0C887963">
      <w:pPr>
        <w:pStyle w:val="16"/>
        <w:keepNext w:val="0"/>
        <w:keepLines w:val="0"/>
        <w:pageBreakBefore w:val="0"/>
        <w:widowControl w:val="0"/>
        <w:kinsoku/>
        <w:overflowPunct/>
        <w:bidi w:val="0"/>
        <w:snapToGrid/>
        <w:spacing w:line="413" w:lineRule="auto"/>
        <w:ind w:firstLine="3120" w:firstLineChars="13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8DCDE6F">
      <w:pPr>
        <w:keepNext w:val="0"/>
        <w:keepLines w:val="0"/>
        <w:pageBreakBefore w:val="0"/>
        <w:widowControl w:val="0"/>
        <w:bidi w:val="0"/>
        <w:snapToGrid/>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br w:type="page"/>
      </w:r>
    </w:p>
    <w:p w14:paraId="5F90EC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一、</w:t>
      </w:r>
      <w:r>
        <w:rPr>
          <w:rFonts w:hint="eastAsia" w:ascii="宋体" w:hAnsi="宋体" w:eastAsia="宋体" w:cs="宋体"/>
          <w:b/>
          <w:color w:val="auto"/>
          <w:sz w:val="21"/>
          <w:szCs w:val="21"/>
          <w:highlight w:val="none"/>
        </w:rPr>
        <w:t>投标函</w:t>
      </w:r>
    </w:p>
    <w:p w14:paraId="04F5967C">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采购人名称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838EF40">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（采购项目名称） </w:t>
      </w:r>
      <w:r>
        <w:rPr>
          <w:rFonts w:hint="eastAsia" w:ascii="宋体" w:hAnsi="宋体" w:eastAsia="宋体" w:cs="宋体"/>
          <w:color w:val="auto"/>
          <w:sz w:val="21"/>
          <w:szCs w:val="21"/>
          <w:highlight w:val="none"/>
          <w:u w:val="none"/>
          <w:lang w:val="en-US" w:eastAsia="zh-CN"/>
        </w:rPr>
        <w:t>的</w:t>
      </w:r>
      <w:r>
        <w:rPr>
          <w:rFonts w:hint="eastAsia" w:ascii="宋体" w:hAnsi="宋体" w:eastAsia="宋体" w:cs="宋体"/>
          <w:color w:val="auto"/>
          <w:sz w:val="21"/>
          <w:szCs w:val="21"/>
          <w:highlight w:val="none"/>
        </w:rPr>
        <w:t>招标</w:t>
      </w:r>
      <w:r>
        <w:rPr>
          <w:rFonts w:hint="eastAsia" w:ascii="宋体" w:hAnsi="宋体" w:eastAsia="宋体" w:cs="宋体"/>
          <w:color w:val="auto"/>
          <w:sz w:val="21"/>
          <w:szCs w:val="21"/>
          <w:highlight w:val="none"/>
          <w:lang w:val="en-US" w:eastAsia="zh-CN"/>
        </w:rPr>
        <w:t>文件</w:t>
      </w:r>
      <w:r>
        <w:rPr>
          <w:rFonts w:hint="eastAsia" w:ascii="宋体" w:hAnsi="宋体" w:eastAsia="宋体" w:cs="宋体"/>
          <w:color w:val="auto"/>
          <w:sz w:val="21"/>
          <w:szCs w:val="21"/>
          <w:highlight w:val="none"/>
        </w:rPr>
        <w:t>，正式授权下述签字人</w:t>
      </w:r>
      <w:r>
        <w:rPr>
          <w:rFonts w:hint="eastAsia" w:ascii="宋体" w:hAnsi="宋体" w:eastAsia="宋体" w:cs="宋体"/>
          <w:color w:val="auto"/>
          <w:sz w:val="21"/>
          <w:szCs w:val="21"/>
          <w:highlight w:val="none"/>
          <w:u w:val="single"/>
        </w:rPr>
        <w:t xml:space="preserve">  （姓名和职务） </w:t>
      </w:r>
      <w:r>
        <w:rPr>
          <w:rFonts w:hint="eastAsia" w:ascii="宋体" w:hAnsi="宋体" w:eastAsia="宋体" w:cs="宋体"/>
          <w:color w:val="auto"/>
          <w:sz w:val="21"/>
          <w:szCs w:val="21"/>
          <w:highlight w:val="none"/>
        </w:rPr>
        <w:t>全权代表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供应商</w:t>
      </w:r>
      <w:r>
        <w:rPr>
          <w:rFonts w:hint="eastAsia" w:ascii="宋体" w:hAnsi="宋体" w:eastAsia="宋体" w:cs="宋体"/>
          <w:color w:val="auto"/>
          <w:sz w:val="21"/>
          <w:szCs w:val="21"/>
          <w:highlight w:val="none"/>
          <w:u w:val="single"/>
        </w:rPr>
        <w:t xml:space="preserve">全称）  </w:t>
      </w:r>
      <w:r>
        <w:rPr>
          <w:rFonts w:hint="eastAsia" w:ascii="宋体" w:hAnsi="宋体" w:eastAsia="宋体" w:cs="宋体"/>
          <w:color w:val="auto"/>
          <w:sz w:val="21"/>
          <w:szCs w:val="21"/>
          <w:highlight w:val="none"/>
        </w:rPr>
        <w:t xml:space="preserve"> 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（采购项目名称）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投标，并提交投标文件。</w:t>
      </w:r>
    </w:p>
    <w:p w14:paraId="5D0EDF61">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据此函，签字人兹宣布同意如下：</w:t>
      </w:r>
    </w:p>
    <w:p w14:paraId="0F50FB11">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1.按招标文件采购清单，我单位报价见《开标一览表》。</w:t>
      </w:r>
    </w:p>
    <w:p w14:paraId="1BC2F5E8">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2.投标有效期为90日历天，自投标截止时间算起。我方同意在规定的投标有效期遵循本投标文件，并在规定的投标有效期满之前均具有约束力。如果我方投标被接受，则至合同履行完为止，本投标函保持有效。</w:t>
      </w:r>
    </w:p>
    <w:p w14:paraId="45770036">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3.我方承诺已经具备《中华人民共和国政府采购法》及《中华人民共和国政府采购法实施条例》中规定的参加政府采购活动的供应商应当具备的条件。</w:t>
      </w:r>
    </w:p>
    <w:p w14:paraId="275FE3B8">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4.如我方投标被接受，将保证在合同有效期内承担合同规定的责任义务。</w:t>
      </w:r>
    </w:p>
    <w:p w14:paraId="16711DAD">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5.如我方投标被接受，将提供符合规定的规格、技术参数、性能和使用要求，具有质量合格证明。</w:t>
      </w:r>
    </w:p>
    <w:p w14:paraId="7794832C">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6.我方已详细审核招标文件，我方知道必须放弃提出含糊不清或误解问题的权利。</w:t>
      </w:r>
    </w:p>
    <w:p w14:paraId="5341A379">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7.如果在投标有效期内撤回投标或者有其他违约行为，我方的投标保证金可被贵方全部或部分没收。</w:t>
      </w:r>
    </w:p>
    <w:p w14:paraId="6C22CFEF">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8.同意应贵方要求提供与本投标有关的任何数据或资料。</w:t>
      </w:r>
    </w:p>
    <w:p w14:paraId="2E9024E8">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9.我方完全理解贵方不一定要接受上浮比例最高或下浮率最低的</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一定成为中标人的行为</w:t>
      </w:r>
      <w:r>
        <w:rPr>
          <w:rFonts w:hint="eastAsia" w:ascii="宋体" w:hAnsi="宋体" w:cs="宋体"/>
          <w:color w:val="auto"/>
          <w:sz w:val="21"/>
          <w:szCs w:val="21"/>
          <w:highlight w:val="none"/>
          <w:lang w:eastAsia="zh-CN"/>
        </w:rPr>
        <w:t>。</w:t>
      </w:r>
    </w:p>
    <w:p w14:paraId="0C41DA0B">
      <w:pPr>
        <w:keepNext w:val="0"/>
        <w:keepLines w:val="0"/>
        <w:pageBreakBefore w:val="0"/>
        <w:widowControl w:val="0"/>
        <w:kinsoku/>
        <w:overflowPunct/>
        <w:bidi w:val="0"/>
        <w:snapToGrid/>
        <w:spacing w:line="413" w:lineRule="auto"/>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472B0D5">
      <w:pPr>
        <w:keepNext w:val="0"/>
        <w:keepLines w:val="0"/>
        <w:pageBreakBefore w:val="0"/>
        <w:widowControl w:val="0"/>
        <w:kinsoku/>
        <w:wordWrap w:val="0"/>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（单位全称）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1B40FFBB">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26FAAEC0">
      <w:pPr>
        <w:keepNext w:val="0"/>
        <w:keepLines w:val="0"/>
        <w:pageBreakBefore w:val="0"/>
        <w:widowControl w:val="0"/>
        <w:kinsoku/>
        <w:overflowPunct/>
        <w:bidi w:val="0"/>
        <w:snapToGrid/>
        <w:spacing w:line="413"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p>
    <w:p w14:paraId="0AD335DB">
      <w:pPr>
        <w:keepNext w:val="0"/>
        <w:keepLines w:val="0"/>
        <w:pageBreakBefore w:val="0"/>
        <w:widowControl w:val="0"/>
        <w:bidi w:val="0"/>
        <w:snapToGrid/>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br w:type="page"/>
      </w:r>
    </w:p>
    <w:p w14:paraId="3CB64385">
      <w:pPr>
        <w:keepNext w:val="0"/>
        <w:keepLines w:val="0"/>
        <w:pageBreakBefore w:val="0"/>
        <w:widowControl w:val="0"/>
        <w:kinsoku/>
        <w:overflowPunct/>
        <w:bidi w:val="0"/>
        <w:snapToGrid/>
        <w:spacing w:line="413"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rPr>
        <w:t>、法定代表人身份证明</w:t>
      </w:r>
    </w:p>
    <w:p w14:paraId="4AB6EC9E">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 xml:space="preserve">                            </w:t>
      </w:r>
    </w:p>
    <w:p w14:paraId="77BC3428">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单位性质：</w:t>
      </w:r>
      <w:r>
        <w:rPr>
          <w:rFonts w:hint="eastAsia" w:ascii="宋体" w:hAnsi="宋体" w:eastAsia="宋体" w:cs="宋体"/>
          <w:color w:val="auto"/>
          <w:sz w:val="21"/>
          <w:szCs w:val="21"/>
          <w:highlight w:val="none"/>
          <w:u w:val="single"/>
        </w:rPr>
        <w:t xml:space="preserve">                           </w:t>
      </w:r>
    </w:p>
    <w:p w14:paraId="1E388EF1">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A77EE8A">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经营期限：</w:t>
      </w:r>
      <w:r>
        <w:rPr>
          <w:rFonts w:hint="eastAsia" w:ascii="宋体" w:hAnsi="宋体" w:eastAsia="宋体" w:cs="宋体"/>
          <w:color w:val="auto"/>
          <w:sz w:val="21"/>
          <w:szCs w:val="21"/>
          <w:highlight w:val="none"/>
          <w:u w:val="single"/>
        </w:rPr>
        <w:t xml:space="preserve">            </w:t>
      </w:r>
    </w:p>
    <w:p w14:paraId="539822D7">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p>
    <w:p w14:paraId="5D219BBF">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名称）的法定代表人。</w:t>
      </w:r>
    </w:p>
    <w:p w14:paraId="289A7871">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2FAA6218">
      <w:pPr>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注：附法定代表人身份证原件扫描件</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62ED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8" w:hRule="atLeast"/>
          <w:jc w:val="center"/>
        </w:trPr>
        <w:tc>
          <w:tcPr>
            <w:tcW w:w="4428" w:type="dxa"/>
            <w:vAlign w:val="center"/>
          </w:tcPr>
          <w:p w14:paraId="21A59C5C">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身份证</w:t>
            </w:r>
          </w:p>
          <w:p w14:paraId="2D899F85">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国徽</w:t>
            </w:r>
            <w:r>
              <w:rPr>
                <w:rFonts w:hint="eastAsia" w:ascii="宋体" w:hAnsi="宋体" w:eastAsia="宋体" w:cs="宋体"/>
                <w:color w:val="auto"/>
                <w:kern w:val="0"/>
                <w:sz w:val="21"/>
                <w:szCs w:val="21"/>
                <w:highlight w:val="none"/>
              </w:rPr>
              <w:t>面</w:t>
            </w:r>
          </w:p>
        </w:tc>
        <w:tc>
          <w:tcPr>
            <w:tcW w:w="4500" w:type="dxa"/>
            <w:vAlign w:val="center"/>
          </w:tcPr>
          <w:p w14:paraId="399A6924">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身份证</w:t>
            </w:r>
          </w:p>
          <w:p w14:paraId="3063A287">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人像</w:t>
            </w:r>
            <w:r>
              <w:rPr>
                <w:rFonts w:hint="eastAsia" w:ascii="宋体" w:hAnsi="宋体" w:eastAsia="宋体" w:cs="宋体"/>
                <w:color w:val="auto"/>
                <w:kern w:val="0"/>
                <w:sz w:val="21"/>
                <w:szCs w:val="21"/>
                <w:highlight w:val="none"/>
              </w:rPr>
              <w:t>面</w:t>
            </w:r>
          </w:p>
        </w:tc>
      </w:tr>
    </w:tbl>
    <w:p w14:paraId="012E435E">
      <w:pPr>
        <w:pStyle w:val="11"/>
        <w:keepNext w:val="0"/>
        <w:keepLines w:val="0"/>
        <w:pageBreakBefore w:val="0"/>
        <w:widowControl w:val="0"/>
        <w:kinsoku/>
        <w:overflowPunct/>
        <w:bidi w:val="0"/>
        <w:snapToGrid/>
        <w:rPr>
          <w:rFonts w:hint="eastAsia" w:ascii="宋体" w:hAnsi="宋体" w:eastAsia="宋体" w:cs="宋体"/>
          <w:color w:val="auto"/>
          <w:sz w:val="21"/>
          <w:szCs w:val="21"/>
          <w:highlight w:val="none"/>
        </w:rPr>
      </w:pPr>
    </w:p>
    <w:p w14:paraId="208DF81D">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p>
    <w:p w14:paraId="09AEA75C">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（单位全称）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0F05842A">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p>
    <w:p w14:paraId="3183BAC7">
      <w:pPr>
        <w:keepNext w:val="0"/>
        <w:keepLines w:val="0"/>
        <w:pageBreakBefore w:val="0"/>
        <w:widowControl w:val="0"/>
        <w:kinsoku/>
        <w:overflowPunct/>
        <w:bidi w:val="0"/>
        <w:snapToGrid/>
        <w:spacing w:line="413" w:lineRule="auto"/>
        <w:ind w:firstLine="420" w:firstLineChars="200"/>
        <w:jc w:val="left"/>
        <w:rPr>
          <w:rFonts w:hint="eastAsia" w:ascii="宋体" w:hAnsi="宋体" w:eastAsia="宋体" w:cs="宋体"/>
          <w:color w:val="auto"/>
          <w:sz w:val="21"/>
          <w:szCs w:val="21"/>
          <w:highlight w:val="none"/>
        </w:rPr>
      </w:pPr>
    </w:p>
    <w:p w14:paraId="7AC860B4">
      <w:pPr>
        <w:keepNext w:val="0"/>
        <w:keepLines w:val="0"/>
        <w:pageBreakBefore w:val="0"/>
        <w:widowControl w:val="0"/>
        <w:kinsoku/>
        <w:overflowPunct/>
        <w:bidi w:val="0"/>
        <w:snapToGrid/>
        <w:spacing w:line="413" w:lineRule="auto"/>
        <w:ind w:firstLine="420" w:firstLineChars="200"/>
        <w:jc w:val="center"/>
        <w:rPr>
          <w:rFonts w:hint="eastAsia" w:ascii="宋体" w:hAnsi="宋体" w:eastAsia="宋体" w:cs="宋体"/>
          <w:color w:val="auto"/>
          <w:sz w:val="21"/>
          <w:szCs w:val="21"/>
          <w:highlight w:val="none"/>
        </w:rPr>
      </w:pPr>
    </w:p>
    <w:p w14:paraId="22B6E911">
      <w:pPr>
        <w:keepNext w:val="0"/>
        <w:keepLines w:val="0"/>
        <w:pageBreakBefore w:val="0"/>
        <w:widowControl w:val="0"/>
        <w:kinsoku/>
        <w:overflowPunct/>
        <w:bidi w:val="0"/>
        <w:snapToGrid/>
        <w:spacing w:line="413" w:lineRule="auto"/>
        <w:ind w:firstLine="420" w:firstLineChars="200"/>
        <w:jc w:val="center"/>
        <w:rPr>
          <w:rFonts w:hint="eastAsia" w:ascii="宋体" w:hAnsi="宋体" w:eastAsia="宋体" w:cs="宋体"/>
          <w:color w:val="auto"/>
          <w:sz w:val="21"/>
          <w:szCs w:val="21"/>
          <w:highlight w:val="none"/>
        </w:rPr>
      </w:pPr>
    </w:p>
    <w:p w14:paraId="68C903B9">
      <w:pPr>
        <w:keepNext w:val="0"/>
        <w:keepLines w:val="0"/>
        <w:pageBreakBefore w:val="0"/>
        <w:widowControl w:val="0"/>
        <w:kinsoku/>
        <w:overflowPunct/>
        <w:bidi w:val="0"/>
        <w:snapToGrid/>
        <w:spacing w:line="413" w:lineRule="auto"/>
        <w:ind w:firstLine="420" w:firstLineChars="200"/>
        <w:jc w:val="center"/>
        <w:rPr>
          <w:rFonts w:hint="eastAsia" w:ascii="宋体" w:hAnsi="宋体" w:eastAsia="宋体" w:cs="宋体"/>
          <w:color w:val="auto"/>
          <w:sz w:val="21"/>
          <w:szCs w:val="21"/>
          <w:highlight w:val="none"/>
        </w:rPr>
      </w:pPr>
    </w:p>
    <w:p w14:paraId="61D2677B">
      <w:pPr>
        <w:keepNext w:val="0"/>
        <w:keepLines w:val="0"/>
        <w:pageBreakBefore w:val="0"/>
        <w:widowControl w:val="0"/>
        <w:kinsoku/>
        <w:overflowPunct/>
        <w:bidi w:val="0"/>
        <w:snapToGrid/>
        <w:spacing w:line="413" w:lineRule="auto"/>
        <w:jc w:val="both"/>
        <w:rPr>
          <w:rFonts w:hint="eastAsia" w:ascii="宋体" w:hAnsi="宋体" w:eastAsia="宋体" w:cs="宋体"/>
          <w:b/>
          <w:color w:val="auto"/>
          <w:sz w:val="21"/>
          <w:szCs w:val="21"/>
          <w:highlight w:val="none"/>
        </w:rPr>
      </w:pPr>
    </w:p>
    <w:p w14:paraId="0F62E7DB">
      <w:pPr>
        <w:keepNext w:val="0"/>
        <w:keepLines w:val="0"/>
        <w:pageBreakBefore w:val="0"/>
        <w:widowControl w:val="0"/>
        <w:kinsoku/>
        <w:overflowPunct/>
        <w:bidi w:val="0"/>
        <w:snapToGrid/>
        <w:spacing w:line="413"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rPr>
        <w:t>、授权委托书</w:t>
      </w:r>
    </w:p>
    <w:p w14:paraId="23954A51">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名称）的法定代表人，现委托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（姓名）为我方代理人。代理人根据授权，以我方名义签署、澄清、递交、撤回、修改</w:t>
      </w:r>
      <w:r>
        <w:rPr>
          <w:rFonts w:hint="eastAsia" w:ascii="宋体" w:hAnsi="宋体" w:eastAsia="宋体" w:cs="宋体"/>
          <w:color w:val="auto"/>
          <w:sz w:val="21"/>
          <w:szCs w:val="21"/>
          <w:highlight w:val="none"/>
          <w:u w:val="single"/>
        </w:rPr>
        <w:t xml:space="preserve">       （项目名称）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投标文件及投标过程中的相关承诺文件，其法律后果由我方承担。</w:t>
      </w:r>
    </w:p>
    <w:p w14:paraId="276FD1F7">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委托期限：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CE54719">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p>
    <w:p w14:paraId="1EEF143A">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p>
    <w:p w14:paraId="5C0C53F1">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附：授权代理人身份证原件扫描件</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3"/>
        <w:gridCol w:w="4556"/>
      </w:tblGrid>
      <w:tr w14:paraId="6BA4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483" w:type="dxa"/>
            <w:vAlign w:val="center"/>
          </w:tcPr>
          <w:p w14:paraId="101C1935">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身份证</w:t>
            </w:r>
          </w:p>
          <w:p w14:paraId="50AF2B9C">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国徽</w:t>
            </w:r>
            <w:r>
              <w:rPr>
                <w:rFonts w:hint="eastAsia" w:ascii="宋体" w:hAnsi="宋体" w:eastAsia="宋体" w:cs="宋体"/>
                <w:color w:val="auto"/>
                <w:kern w:val="0"/>
                <w:sz w:val="21"/>
                <w:szCs w:val="21"/>
                <w:highlight w:val="none"/>
              </w:rPr>
              <w:t>面</w:t>
            </w:r>
          </w:p>
        </w:tc>
        <w:tc>
          <w:tcPr>
            <w:tcW w:w="4556" w:type="dxa"/>
            <w:vAlign w:val="center"/>
          </w:tcPr>
          <w:p w14:paraId="4E4BB107">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身份证</w:t>
            </w:r>
          </w:p>
          <w:p w14:paraId="702EEE91">
            <w:pPr>
              <w:keepNext w:val="0"/>
              <w:keepLines w:val="0"/>
              <w:pageBreakBefore w:val="0"/>
              <w:widowControl w:val="0"/>
              <w:kinsoku/>
              <w:overflowPunct/>
              <w:autoSpaceDE w:val="0"/>
              <w:autoSpaceDN w:val="0"/>
              <w:bidi w:val="0"/>
              <w:adjustRightInd w:val="0"/>
              <w:snapToGrid/>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人像</w:t>
            </w:r>
            <w:r>
              <w:rPr>
                <w:rFonts w:hint="eastAsia" w:ascii="宋体" w:hAnsi="宋体" w:eastAsia="宋体" w:cs="宋体"/>
                <w:color w:val="auto"/>
                <w:kern w:val="0"/>
                <w:sz w:val="21"/>
                <w:szCs w:val="21"/>
                <w:highlight w:val="none"/>
              </w:rPr>
              <w:t>面</w:t>
            </w:r>
          </w:p>
        </w:tc>
      </w:tr>
    </w:tbl>
    <w:p w14:paraId="7A3F4835">
      <w:pPr>
        <w:keepNext w:val="0"/>
        <w:keepLines w:val="0"/>
        <w:pageBreakBefore w:val="0"/>
        <w:widowControl w:val="0"/>
        <w:kinsoku/>
        <w:overflowPunct/>
        <w:topLinePunct/>
        <w:bidi w:val="0"/>
        <w:snapToGrid/>
        <w:spacing w:line="413" w:lineRule="auto"/>
        <w:ind w:firstLine="6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0807D9B">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（单位全称）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7DE95CDC">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5C9167C1">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p>
    <w:p w14:paraId="16CAC485">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  </w:t>
      </w:r>
    </w:p>
    <w:p w14:paraId="2B4CA525">
      <w:pPr>
        <w:keepNext w:val="0"/>
        <w:keepLines w:val="0"/>
        <w:pageBreakBefore w:val="0"/>
        <w:widowControl w:val="0"/>
        <w:kinsoku/>
        <w:overflowPunct/>
        <w:topLinePunct/>
        <w:bidi w:val="0"/>
        <w:snapToGrid/>
        <w:spacing w:line="413"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5070BB65">
      <w:pPr>
        <w:keepNext w:val="0"/>
        <w:keepLines w:val="0"/>
        <w:pageBreakBefore w:val="0"/>
        <w:widowControl w:val="0"/>
        <w:kinsoku/>
        <w:overflowPunct/>
        <w:bidi w:val="0"/>
        <w:snapToGrid/>
        <w:spacing w:line="413"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p>
    <w:p w14:paraId="539C1224">
      <w:pPr>
        <w:keepNext w:val="0"/>
        <w:keepLines w:val="0"/>
        <w:pageBreakBefore w:val="0"/>
        <w:widowControl w:val="0"/>
        <w:bidi w:val="0"/>
        <w:snapToGrid/>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br w:type="page"/>
      </w:r>
    </w:p>
    <w:p w14:paraId="5AA66226">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四、供应商</w:t>
      </w:r>
      <w:r>
        <w:rPr>
          <w:rFonts w:hint="eastAsia" w:ascii="宋体" w:hAnsi="宋体" w:eastAsia="宋体" w:cs="宋体"/>
          <w:b/>
          <w:color w:val="auto"/>
          <w:sz w:val="21"/>
          <w:szCs w:val="21"/>
          <w:highlight w:val="none"/>
        </w:rPr>
        <w:t>基本情况表</w:t>
      </w:r>
    </w:p>
    <w:tbl>
      <w:tblPr>
        <w:tblStyle w:val="32"/>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4"/>
        <w:gridCol w:w="1332"/>
        <w:gridCol w:w="1138"/>
        <w:gridCol w:w="1393"/>
        <w:gridCol w:w="344"/>
        <w:gridCol w:w="1191"/>
        <w:gridCol w:w="865"/>
        <w:gridCol w:w="1725"/>
      </w:tblGrid>
      <w:tr w14:paraId="08D1D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46B579F0">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p>
        </w:tc>
        <w:tc>
          <w:tcPr>
            <w:tcW w:w="7988" w:type="dxa"/>
            <w:gridSpan w:val="7"/>
            <w:tcBorders>
              <w:top w:val="single" w:color="auto" w:sz="4" w:space="0"/>
              <w:left w:val="single" w:color="auto" w:sz="4" w:space="0"/>
              <w:bottom w:val="single" w:color="auto" w:sz="4" w:space="0"/>
              <w:right w:val="single" w:color="auto" w:sz="4" w:space="0"/>
            </w:tcBorders>
            <w:vAlign w:val="center"/>
          </w:tcPr>
          <w:p w14:paraId="0926BBD5">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7B3980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6B5D8085">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4207" w:type="dxa"/>
            <w:gridSpan w:val="4"/>
            <w:tcBorders>
              <w:top w:val="single" w:color="auto" w:sz="4" w:space="0"/>
              <w:left w:val="single" w:color="auto" w:sz="4" w:space="0"/>
              <w:bottom w:val="single" w:color="auto" w:sz="4" w:space="0"/>
              <w:right w:val="single" w:color="auto" w:sz="4" w:space="0"/>
            </w:tcBorders>
            <w:vAlign w:val="center"/>
          </w:tcPr>
          <w:p w14:paraId="29AF2BCC">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vAlign w:val="center"/>
          </w:tcPr>
          <w:p w14:paraId="4B28C922">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287A47B0">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6B731A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484" w:type="dxa"/>
            <w:vMerge w:val="restart"/>
            <w:tcBorders>
              <w:top w:val="single" w:color="auto" w:sz="4" w:space="0"/>
              <w:left w:val="single" w:color="auto" w:sz="4" w:space="0"/>
              <w:bottom w:val="single" w:color="auto" w:sz="4" w:space="0"/>
              <w:right w:val="single" w:color="auto" w:sz="4" w:space="0"/>
            </w:tcBorders>
            <w:vAlign w:val="center"/>
          </w:tcPr>
          <w:p w14:paraId="4444E7B2">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1332" w:type="dxa"/>
            <w:tcBorders>
              <w:top w:val="single" w:color="auto" w:sz="4" w:space="0"/>
              <w:left w:val="single" w:color="auto" w:sz="4" w:space="0"/>
              <w:bottom w:val="single" w:color="auto" w:sz="4" w:space="0"/>
              <w:right w:val="single" w:color="auto" w:sz="4" w:space="0"/>
            </w:tcBorders>
            <w:vAlign w:val="center"/>
          </w:tcPr>
          <w:p w14:paraId="2520BAD7">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2875" w:type="dxa"/>
            <w:gridSpan w:val="3"/>
            <w:tcBorders>
              <w:top w:val="single" w:color="auto" w:sz="4" w:space="0"/>
              <w:left w:val="single" w:color="auto" w:sz="4" w:space="0"/>
              <w:bottom w:val="single" w:color="auto" w:sz="4" w:space="0"/>
              <w:right w:val="single" w:color="auto" w:sz="4" w:space="0"/>
            </w:tcBorders>
            <w:vAlign w:val="center"/>
          </w:tcPr>
          <w:p w14:paraId="7F519937">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vAlign w:val="center"/>
          </w:tcPr>
          <w:p w14:paraId="56FC6280">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3A427B5E">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09467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484" w:type="dxa"/>
            <w:vMerge w:val="continue"/>
            <w:tcBorders>
              <w:top w:val="single" w:color="auto" w:sz="4" w:space="0"/>
              <w:left w:val="single" w:color="auto" w:sz="4" w:space="0"/>
              <w:bottom w:val="single" w:color="auto" w:sz="4" w:space="0"/>
              <w:right w:val="single" w:color="auto" w:sz="4" w:space="0"/>
            </w:tcBorders>
            <w:vAlign w:val="center"/>
          </w:tcPr>
          <w:p w14:paraId="1160DE88">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p>
        </w:tc>
        <w:tc>
          <w:tcPr>
            <w:tcW w:w="1332" w:type="dxa"/>
            <w:tcBorders>
              <w:top w:val="single" w:color="auto" w:sz="4" w:space="0"/>
              <w:left w:val="single" w:color="auto" w:sz="4" w:space="0"/>
              <w:bottom w:val="single" w:color="auto" w:sz="4" w:space="0"/>
              <w:right w:val="single" w:color="auto" w:sz="4" w:space="0"/>
            </w:tcBorders>
            <w:vAlign w:val="center"/>
          </w:tcPr>
          <w:p w14:paraId="20F67FA1">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tc>
        <w:tc>
          <w:tcPr>
            <w:tcW w:w="2875" w:type="dxa"/>
            <w:gridSpan w:val="3"/>
            <w:tcBorders>
              <w:top w:val="single" w:color="auto" w:sz="4" w:space="0"/>
              <w:left w:val="single" w:color="auto" w:sz="4" w:space="0"/>
              <w:bottom w:val="single" w:color="auto" w:sz="4" w:space="0"/>
              <w:right w:val="single" w:color="auto" w:sz="4" w:space="0"/>
            </w:tcBorders>
            <w:vAlign w:val="center"/>
          </w:tcPr>
          <w:p w14:paraId="32AF1BD4">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vAlign w:val="center"/>
          </w:tcPr>
          <w:p w14:paraId="5354E0D0">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 址</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4D917659">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648B1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626719F3">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公司类型</w:t>
            </w:r>
          </w:p>
        </w:tc>
        <w:tc>
          <w:tcPr>
            <w:tcW w:w="7988" w:type="dxa"/>
            <w:gridSpan w:val="7"/>
            <w:tcBorders>
              <w:top w:val="single" w:color="auto" w:sz="4" w:space="0"/>
              <w:left w:val="single" w:color="auto" w:sz="4" w:space="0"/>
              <w:bottom w:val="single" w:color="auto" w:sz="4" w:space="0"/>
              <w:right w:val="single" w:color="auto" w:sz="4" w:space="0"/>
            </w:tcBorders>
            <w:vAlign w:val="center"/>
          </w:tcPr>
          <w:p w14:paraId="7203844B">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7AA6F5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39377BC0">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332" w:type="dxa"/>
            <w:tcBorders>
              <w:top w:val="single" w:color="auto" w:sz="4" w:space="0"/>
              <w:left w:val="single" w:color="auto" w:sz="4" w:space="0"/>
              <w:bottom w:val="single" w:color="auto" w:sz="4" w:space="0"/>
              <w:right w:val="single" w:color="auto" w:sz="4" w:space="0"/>
            </w:tcBorders>
            <w:vAlign w:val="center"/>
          </w:tcPr>
          <w:p w14:paraId="03FC2591">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138" w:type="dxa"/>
            <w:tcBorders>
              <w:top w:val="single" w:color="auto" w:sz="4" w:space="0"/>
              <w:left w:val="single" w:color="auto" w:sz="4" w:space="0"/>
              <w:bottom w:val="single" w:color="auto" w:sz="4" w:space="0"/>
              <w:right w:val="single" w:color="auto" w:sz="4" w:space="0"/>
            </w:tcBorders>
            <w:vAlign w:val="center"/>
          </w:tcPr>
          <w:p w14:paraId="6B522781">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c>
          <w:tcPr>
            <w:tcW w:w="1393" w:type="dxa"/>
            <w:tcBorders>
              <w:top w:val="single" w:color="auto" w:sz="4" w:space="0"/>
              <w:left w:val="single" w:color="auto" w:sz="4" w:space="0"/>
              <w:bottom w:val="single" w:color="auto" w:sz="4" w:space="0"/>
              <w:right w:val="single" w:color="auto" w:sz="4" w:space="0"/>
            </w:tcBorders>
            <w:vAlign w:val="center"/>
          </w:tcPr>
          <w:p w14:paraId="2E5D364A">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1535" w:type="dxa"/>
            <w:gridSpan w:val="2"/>
            <w:tcBorders>
              <w:top w:val="single" w:color="auto" w:sz="4" w:space="0"/>
              <w:left w:val="single" w:color="auto" w:sz="4" w:space="0"/>
              <w:bottom w:val="single" w:color="auto" w:sz="4" w:space="0"/>
              <w:right w:val="single" w:color="auto" w:sz="4" w:space="0"/>
            </w:tcBorders>
            <w:vAlign w:val="center"/>
          </w:tcPr>
          <w:p w14:paraId="236B4B7E">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c>
          <w:tcPr>
            <w:tcW w:w="865" w:type="dxa"/>
            <w:tcBorders>
              <w:top w:val="single" w:color="auto" w:sz="4" w:space="0"/>
              <w:left w:val="single" w:color="auto" w:sz="4" w:space="0"/>
              <w:bottom w:val="single" w:color="auto" w:sz="4" w:space="0"/>
              <w:right w:val="single" w:color="auto" w:sz="4" w:space="0"/>
            </w:tcBorders>
            <w:vAlign w:val="center"/>
          </w:tcPr>
          <w:p w14:paraId="3B35DEE9">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725" w:type="dxa"/>
            <w:tcBorders>
              <w:top w:val="single" w:color="auto" w:sz="4" w:space="0"/>
              <w:left w:val="single" w:color="auto" w:sz="4" w:space="0"/>
              <w:bottom w:val="single" w:color="auto" w:sz="4" w:space="0"/>
              <w:right w:val="single" w:color="auto" w:sz="4" w:space="0"/>
            </w:tcBorders>
            <w:vAlign w:val="center"/>
          </w:tcPr>
          <w:p w14:paraId="668E0746">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4A7B19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0FBFC2D7">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p>
        </w:tc>
        <w:tc>
          <w:tcPr>
            <w:tcW w:w="2470" w:type="dxa"/>
            <w:gridSpan w:val="2"/>
            <w:tcBorders>
              <w:top w:val="single" w:color="auto" w:sz="4" w:space="0"/>
              <w:left w:val="single" w:color="auto" w:sz="4" w:space="0"/>
              <w:bottom w:val="single" w:color="auto" w:sz="4" w:space="0"/>
              <w:right w:val="single" w:color="auto" w:sz="4" w:space="0"/>
            </w:tcBorders>
            <w:vAlign w:val="center"/>
          </w:tcPr>
          <w:p w14:paraId="788B5292">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c>
          <w:tcPr>
            <w:tcW w:w="5518" w:type="dxa"/>
            <w:gridSpan w:val="5"/>
            <w:tcBorders>
              <w:top w:val="single" w:color="auto" w:sz="4" w:space="0"/>
              <w:left w:val="single" w:color="auto" w:sz="4" w:space="0"/>
              <w:bottom w:val="single" w:color="auto" w:sz="4" w:space="0"/>
              <w:right w:val="single" w:color="auto" w:sz="4" w:space="0"/>
            </w:tcBorders>
            <w:vAlign w:val="center"/>
          </w:tcPr>
          <w:p w14:paraId="4814AB10">
            <w:pPr>
              <w:keepNext w:val="0"/>
              <w:keepLines w:val="0"/>
              <w:pageBreakBefore w:val="0"/>
              <w:widowControl w:val="0"/>
              <w:kinsoku/>
              <w:overflowPunct/>
              <w:topLinePunct/>
              <w:bidi w:val="0"/>
              <w:snapToGrid/>
              <w:spacing w:line="413" w:lineRule="auto"/>
              <w:ind w:firstLine="1050" w:firstLineChars="5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r>
      <w:tr w14:paraId="416E3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5FE433AC">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营业执照号</w:t>
            </w:r>
          </w:p>
        </w:tc>
        <w:tc>
          <w:tcPr>
            <w:tcW w:w="7988" w:type="dxa"/>
            <w:gridSpan w:val="7"/>
            <w:tcBorders>
              <w:top w:val="single" w:color="auto" w:sz="4" w:space="0"/>
              <w:left w:val="single" w:color="auto" w:sz="4" w:space="0"/>
              <w:bottom w:val="single" w:color="auto" w:sz="4" w:space="0"/>
              <w:right w:val="single" w:color="auto" w:sz="4" w:space="0"/>
            </w:tcBorders>
            <w:vAlign w:val="center"/>
          </w:tcPr>
          <w:p w14:paraId="7DDDF4B9">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160BA9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39F3CAEF">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注册资金</w:t>
            </w:r>
          </w:p>
        </w:tc>
        <w:tc>
          <w:tcPr>
            <w:tcW w:w="7988" w:type="dxa"/>
            <w:gridSpan w:val="7"/>
            <w:tcBorders>
              <w:top w:val="single" w:color="auto" w:sz="4" w:space="0"/>
              <w:left w:val="single" w:color="auto" w:sz="4" w:space="0"/>
              <w:bottom w:val="single" w:color="auto" w:sz="4" w:space="0"/>
              <w:right w:val="single" w:color="auto" w:sz="4" w:space="0"/>
            </w:tcBorders>
            <w:vAlign w:val="center"/>
          </w:tcPr>
          <w:p w14:paraId="64343B4D">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57AB11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5ACD4FC4">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7988" w:type="dxa"/>
            <w:gridSpan w:val="7"/>
            <w:tcBorders>
              <w:top w:val="single" w:color="auto" w:sz="4" w:space="0"/>
              <w:left w:val="single" w:color="auto" w:sz="4" w:space="0"/>
              <w:bottom w:val="single" w:color="auto" w:sz="4" w:space="0"/>
              <w:right w:val="single" w:color="auto" w:sz="4" w:space="0"/>
            </w:tcBorders>
            <w:vAlign w:val="center"/>
          </w:tcPr>
          <w:p w14:paraId="036566D7">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68C07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530EB870">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c>
          <w:tcPr>
            <w:tcW w:w="7988" w:type="dxa"/>
            <w:gridSpan w:val="7"/>
            <w:tcBorders>
              <w:top w:val="single" w:color="auto" w:sz="4" w:space="0"/>
              <w:left w:val="single" w:color="auto" w:sz="4" w:space="0"/>
              <w:bottom w:val="single" w:color="auto" w:sz="4" w:space="0"/>
              <w:right w:val="single" w:color="auto" w:sz="4" w:space="0"/>
            </w:tcBorders>
            <w:vAlign w:val="center"/>
          </w:tcPr>
          <w:p w14:paraId="65A74340">
            <w:pPr>
              <w:keepNext w:val="0"/>
              <w:keepLines w:val="0"/>
              <w:pageBreakBefore w:val="0"/>
              <w:widowControl w:val="0"/>
              <w:kinsoku/>
              <w:overflowPunct/>
              <w:topLinePunct/>
              <w:bidi w:val="0"/>
              <w:snapToGrid/>
              <w:spacing w:line="413" w:lineRule="auto"/>
              <w:jc w:val="center"/>
              <w:rPr>
                <w:rFonts w:hint="eastAsia" w:ascii="宋体" w:hAnsi="宋体" w:eastAsia="宋体" w:cs="宋体"/>
                <w:color w:val="auto"/>
                <w:sz w:val="21"/>
                <w:szCs w:val="21"/>
                <w:highlight w:val="none"/>
              </w:rPr>
            </w:pPr>
          </w:p>
        </w:tc>
      </w:tr>
      <w:tr w14:paraId="6E57A2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1" w:hRule="atLeast"/>
          <w:jc w:val="center"/>
        </w:trPr>
        <w:tc>
          <w:tcPr>
            <w:tcW w:w="1484" w:type="dxa"/>
            <w:tcBorders>
              <w:top w:val="single" w:color="auto" w:sz="4" w:space="0"/>
              <w:left w:val="single" w:color="auto" w:sz="4" w:space="0"/>
              <w:bottom w:val="single" w:color="auto" w:sz="4" w:space="0"/>
              <w:right w:val="single" w:color="auto" w:sz="4" w:space="0"/>
            </w:tcBorders>
            <w:vAlign w:val="center"/>
          </w:tcPr>
          <w:p w14:paraId="51C62F96">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7988" w:type="dxa"/>
            <w:gridSpan w:val="7"/>
            <w:tcBorders>
              <w:top w:val="single" w:color="auto" w:sz="4" w:space="0"/>
              <w:left w:val="single" w:color="auto" w:sz="4" w:space="0"/>
              <w:bottom w:val="single" w:color="auto" w:sz="4" w:space="0"/>
              <w:right w:val="single" w:color="auto" w:sz="4" w:space="0"/>
            </w:tcBorders>
            <w:vAlign w:val="center"/>
          </w:tcPr>
          <w:p w14:paraId="37436B9A">
            <w:pPr>
              <w:keepNext w:val="0"/>
              <w:keepLines w:val="0"/>
              <w:pageBreakBefore w:val="0"/>
              <w:widowControl w:val="0"/>
              <w:kinsoku/>
              <w:overflowPunct/>
              <w:topLinePunct/>
              <w:bidi w:val="0"/>
              <w:snapToGrid/>
              <w:spacing w:line="413" w:lineRule="auto"/>
              <w:rPr>
                <w:rFonts w:hint="eastAsia" w:ascii="宋体" w:hAnsi="宋体" w:eastAsia="宋体" w:cs="宋体"/>
                <w:color w:val="auto"/>
                <w:sz w:val="21"/>
                <w:szCs w:val="21"/>
                <w:highlight w:val="none"/>
              </w:rPr>
            </w:pPr>
          </w:p>
        </w:tc>
      </w:tr>
    </w:tbl>
    <w:p w14:paraId="58EBD139">
      <w:pPr>
        <w:keepNext w:val="0"/>
        <w:keepLines w:val="0"/>
        <w:pageBreakBefore w:val="0"/>
        <w:widowControl w:val="0"/>
        <w:bidi w:val="0"/>
        <w:snapToGrid/>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br w:type="page"/>
      </w:r>
    </w:p>
    <w:p w14:paraId="1E0338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lang w:val="en-US" w:eastAsia="zh-CN"/>
        </w:rPr>
      </w:pPr>
      <w:bookmarkStart w:id="106" w:name="_Toc403511226"/>
      <w:r>
        <w:rPr>
          <w:rFonts w:hint="eastAsia" w:ascii="宋体" w:hAnsi="宋体" w:eastAsia="宋体" w:cs="宋体"/>
          <w:b/>
          <w:color w:val="auto"/>
          <w:sz w:val="21"/>
          <w:szCs w:val="21"/>
          <w:highlight w:val="none"/>
          <w:lang w:val="en-US" w:eastAsia="zh-CN"/>
        </w:rPr>
        <w:t>五、投标保证金</w:t>
      </w:r>
    </w:p>
    <w:p w14:paraId="65D57C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w:t>
      </w:r>
      <w:r>
        <w:rPr>
          <w:rFonts w:hint="eastAsia" w:ascii="宋体" w:hAnsi="宋体" w:eastAsia="宋体" w:cs="宋体"/>
          <w:b/>
          <w:color w:val="auto"/>
          <w:sz w:val="21"/>
          <w:szCs w:val="21"/>
          <w:highlight w:val="none"/>
          <w:lang w:val="en-US" w:eastAsia="zh-CN"/>
        </w:rPr>
        <w:t>投标</w:t>
      </w:r>
      <w:r>
        <w:rPr>
          <w:rFonts w:hint="eastAsia" w:ascii="宋体" w:hAnsi="宋体" w:eastAsia="宋体" w:cs="宋体"/>
          <w:b/>
          <w:color w:val="auto"/>
          <w:sz w:val="21"/>
          <w:szCs w:val="21"/>
          <w:highlight w:val="none"/>
        </w:rPr>
        <w:t>保证金汇款凭证</w:t>
      </w:r>
      <w:r>
        <w:rPr>
          <w:rFonts w:hint="eastAsia" w:ascii="宋体" w:hAnsi="宋体" w:eastAsia="宋体" w:cs="宋体"/>
          <w:b/>
          <w:color w:val="auto"/>
          <w:sz w:val="21"/>
          <w:szCs w:val="21"/>
          <w:highlight w:val="none"/>
          <w:lang w:val="en-US" w:eastAsia="zh-CN"/>
        </w:rPr>
        <w:t>或电子保函或电子保险单</w:t>
      </w:r>
      <w:r>
        <w:rPr>
          <w:rFonts w:hint="eastAsia" w:ascii="宋体" w:hAnsi="宋体" w:eastAsia="宋体" w:cs="宋体"/>
          <w:b/>
          <w:color w:val="auto"/>
          <w:sz w:val="21"/>
          <w:szCs w:val="21"/>
          <w:highlight w:val="none"/>
        </w:rPr>
        <w:t>及企业基本开户信息（开户许可证）</w:t>
      </w:r>
    </w:p>
    <w:p w14:paraId="6D7AF6BF">
      <w:pPr>
        <w:keepNext w:val="0"/>
        <w:keepLines w:val="0"/>
        <w:pageBreakBefore w:val="0"/>
        <w:widowControl w:val="0"/>
        <w:bidi w:val="0"/>
        <w:snapToGrid/>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br w:type="page"/>
      </w:r>
    </w:p>
    <w:p w14:paraId="0FE59720">
      <w:pPr>
        <w:keepNext w:val="0"/>
        <w:keepLines w:val="0"/>
        <w:pageBreakBefore w:val="0"/>
        <w:widowControl w:val="0"/>
        <w:kinsoku/>
        <w:overflowPunct/>
        <w:bidi w:val="0"/>
        <w:snapToGrid/>
        <w:spacing w:line="413" w:lineRule="auto"/>
        <w:jc w:val="cente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六</w:t>
      </w:r>
      <w:r>
        <w:rPr>
          <w:rFonts w:hint="eastAsia" w:ascii="宋体" w:hAnsi="宋体" w:eastAsia="宋体" w:cs="宋体"/>
          <w:b/>
          <w:color w:val="auto"/>
          <w:sz w:val="21"/>
          <w:szCs w:val="21"/>
          <w:highlight w:val="none"/>
        </w:rPr>
        <w:t>、商务条款偏离表</w:t>
      </w:r>
      <w:bookmarkEnd w:id="106"/>
    </w:p>
    <w:p w14:paraId="008D7404">
      <w:pPr>
        <w:pStyle w:val="16"/>
        <w:keepNext w:val="0"/>
        <w:keepLines w:val="0"/>
        <w:pageBreakBefore w:val="0"/>
        <w:widowControl w:val="0"/>
        <w:kinsoku/>
        <w:overflowPunct/>
        <w:bidi w:val="0"/>
        <w:snapToGrid/>
        <w:spacing w:line="413"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项目名称：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1033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vAlign w:val="center"/>
          </w:tcPr>
          <w:p w14:paraId="66CBFE96">
            <w:pPr>
              <w:keepNext w:val="0"/>
              <w:keepLines w:val="0"/>
              <w:pageBreakBefore w:val="0"/>
              <w:widowControl w:val="0"/>
              <w:kinsoku/>
              <w:overflowPunct/>
              <w:bidi w:val="0"/>
              <w:snapToGrid/>
              <w:spacing w:line="24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3220" w:type="dxa"/>
            <w:vAlign w:val="center"/>
          </w:tcPr>
          <w:p w14:paraId="5AB08BD4">
            <w:pPr>
              <w:keepNext w:val="0"/>
              <w:keepLines w:val="0"/>
              <w:pageBreakBefore w:val="0"/>
              <w:widowControl w:val="0"/>
              <w:kinsoku/>
              <w:overflowPunct/>
              <w:bidi w:val="0"/>
              <w:snapToGrid/>
              <w:spacing w:line="24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招标文件要求</w:t>
            </w:r>
          </w:p>
        </w:tc>
        <w:tc>
          <w:tcPr>
            <w:tcW w:w="2808" w:type="dxa"/>
            <w:vAlign w:val="center"/>
          </w:tcPr>
          <w:p w14:paraId="6710245D">
            <w:pPr>
              <w:keepNext w:val="0"/>
              <w:keepLines w:val="0"/>
              <w:pageBreakBefore w:val="0"/>
              <w:widowControl w:val="0"/>
              <w:kinsoku/>
              <w:overflowPunct/>
              <w:bidi w:val="0"/>
              <w:snapToGrid/>
              <w:spacing w:line="24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投标文件对应条款</w:t>
            </w:r>
          </w:p>
        </w:tc>
        <w:tc>
          <w:tcPr>
            <w:tcW w:w="1796" w:type="dxa"/>
            <w:vAlign w:val="center"/>
          </w:tcPr>
          <w:p w14:paraId="04A6E844">
            <w:pPr>
              <w:keepNext w:val="0"/>
              <w:keepLines w:val="0"/>
              <w:pageBreakBefore w:val="0"/>
              <w:widowControl w:val="0"/>
              <w:kinsoku/>
              <w:overflowPunct/>
              <w:bidi w:val="0"/>
              <w:snapToGrid/>
              <w:spacing w:line="24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偏离</w:t>
            </w:r>
          </w:p>
        </w:tc>
      </w:tr>
      <w:tr w14:paraId="28A9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7B6BB9DA">
            <w:pPr>
              <w:keepNext w:val="0"/>
              <w:keepLines w:val="0"/>
              <w:pageBreakBefore w:val="0"/>
              <w:widowControl w:val="0"/>
              <w:kinsoku/>
              <w:overflowPunct/>
              <w:bidi w:val="0"/>
              <w:snapToGrid/>
              <w:spacing w:line="240" w:lineRule="auto"/>
              <w:jc w:val="center"/>
              <w:rPr>
                <w:rFonts w:hint="eastAsia" w:ascii="宋体" w:hAnsi="宋体" w:eastAsia="宋体" w:cs="宋体"/>
                <w:color w:val="auto"/>
                <w:kern w:val="0"/>
                <w:sz w:val="21"/>
                <w:szCs w:val="21"/>
                <w:highlight w:val="none"/>
              </w:rPr>
            </w:pPr>
          </w:p>
        </w:tc>
        <w:tc>
          <w:tcPr>
            <w:tcW w:w="3220" w:type="dxa"/>
            <w:vAlign w:val="center"/>
          </w:tcPr>
          <w:p w14:paraId="0815742B">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2808" w:type="dxa"/>
            <w:vAlign w:val="center"/>
          </w:tcPr>
          <w:p w14:paraId="08F8DAC3">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1796" w:type="dxa"/>
            <w:vAlign w:val="center"/>
          </w:tcPr>
          <w:p w14:paraId="4B05F276">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r>
      <w:tr w14:paraId="5431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15A809F5">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3220" w:type="dxa"/>
            <w:vAlign w:val="center"/>
          </w:tcPr>
          <w:p w14:paraId="2A22824B">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2808" w:type="dxa"/>
            <w:vAlign w:val="center"/>
          </w:tcPr>
          <w:p w14:paraId="3C968170">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1796" w:type="dxa"/>
            <w:vAlign w:val="center"/>
          </w:tcPr>
          <w:p w14:paraId="2353232F">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r>
      <w:tr w14:paraId="140EC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3F4B2F48">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3220" w:type="dxa"/>
            <w:vAlign w:val="center"/>
          </w:tcPr>
          <w:p w14:paraId="269E91C7">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2808" w:type="dxa"/>
            <w:vAlign w:val="center"/>
          </w:tcPr>
          <w:p w14:paraId="21E4C73A">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1796" w:type="dxa"/>
            <w:vAlign w:val="center"/>
          </w:tcPr>
          <w:p w14:paraId="76AE961C">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r>
      <w:tr w14:paraId="6893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5C2AA93A">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3220" w:type="dxa"/>
            <w:vAlign w:val="center"/>
          </w:tcPr>
          <w:p w14:paraId="39384897">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2808" w:type="dxa"/>
            <w:vAlign w:val="center"/>
          </w:tcPr>
          <w:p w14:paraId="162764D1">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1796" w:type="dxa"/>
            <w:vAlign w:val="center"/>
          </w:tcPr>
          <w:p w14:paraId="38411040">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r>
      <w:tr w14:paraId="69BE7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6024C22A">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3220" w:type="dxa"/>
            <w:vAlign w:val="center"/>
          </w:tcPr>
          <w:p w14:paraId="25A55A2D">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2808" w:type="dxa"/>
            <w:vAlign w:val="center"/>
          </w:tcPr>
          <w:p w14:paraId="387080CB">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c>
          <w:tcPr>
            <w:tcW w:w="1796" w:type="dxa"/>
            <w:vAlign w:val="center"/>
          </w:tcPr>
          <w:p w14:paraId="13E669EA">
            <w:pPr>
              <w:keepNext w:val="0"/>
              <w:keepLines w:val="0"/>
              <w:pageBreakBefore w:val="0"/>
              <w:widowControl w:val="0"/>
              <w:kinsoku/>
              <w:overflowPunct/>
              <w:bidi w:val="0"/>
              <w:snapToGrid/>
              <w:spacing w:line="240" w:lineRule="auto"/>
              <w:jc w:val="left"/>
              <w:rPr>
                <w:rFonts w:hint="eastAsia" w:ascii="宋体" w:hAnsi="宋体" w:eastAsia="宋体" w:cs="宋体"/>
                <w:color w:val="auto"/>
                <w:kern w:val="0"/>
                <w:sz w:val="21"/>
                <w:szCs w:val="21"/>
                <w:highlight w:val="none"/>
              </w:rPr>
            </w:pPr>
          </w:p>
        </w:tc>
      </w:tr>
    </w:tbl>
    <w:p w14:paraId="5717C728">
      <w:pPr>
        <w:pStyle w:val="16"/>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w:t>
      </w:r>
      <w:r>
        <w:rPr>
          <w:rFonts w:hint="eastAsia" w:ascii="宋体" w:hAnsi="宋体" w:eastAsia="宋体" w:cs="宋体"/>
          <w:color w:val="auto"/>
          <w:kern w:val="0"/>
          <w:sz w:val="21"/>
          <w:szCs w:val="21"/>
          <w:highlight w:val="none"/>
        </w:rPr>
        <w:t>偏离</w:t>
      </w:r>
      <w:r>
        <w:rPr>
          <w:rFonts w:hint="eastAsia" w:ascii="宋体" w:hAnsi="宋体" w:eastAsia="宋体" w:cs="宋体"/>
          <w:color w:val="auto"/>
          <w:sz w:val="21"/>
          <w:szCs w:val="21"/>
          <w:highlight w:val="none"/>
        </w:rPr>
        <w:t>”系指“正偏离”、“负偏离”或“无偏离”。</w:t>
      </w:r>
    </w:p>
    <w:p w14:paraId="67D2ACD6">
      <w:pPr>
        <w:pStyle w:val="16"/>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2.如与招标文件的要求有偏离，请认真填写该表。如无偏离，本表可全部打“/”或填“无”，但需承诺商务条款要求无偏离，承诺书格式自拟。</w:t>
      </w:r>
    </w:p>
    <w:p w14:paraId="74BB0979">
      <w:pPr>
        <w:pStyle w:val="16"/>
        <w:keepNext w:val="0"/>
        <w:keepLines w:val="0"/>
        <w:pageBreakBefore w:val="0"/>
        <w:widowControl w:val="0"/>
        <w:kinsoku/>
        <w:overflowPunct/>
        <w:bidi w:val="0"/>
        <w:snapToGrid/>
        <w:spacing w:line="413"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.商务条款内容包括但不限于</w:t>
      </w:r>
      <w:r>
        <w:rPr>
          <w:rFonts w:hint="eastAsia" w:hAnsi="宋体" w:cs="宋体"/>
          <w:color w:val="auto"/>
          <w:sz w:val="21"/>
          <w:szCs w:val="21"/>
          <w:highlight w:val="none"/>
          <w:lang w:val="en-US" w:eastAsia="zh-CN"/>
        </w:rPr>
        <w:t>交货地点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质量要求</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配送服务要求、产品的防护、包装及运输要求</w:t>
      </w:r>
      <w:r>
        <w:rPr>
          <w:rFonts w:hint="eastAsia" w:hAnsi="宋体" w:cs="宋体"/>
          <w:color w:val="auto"/>
          <w:sz w:val="21"/>
          <w:szCs w:val="21"/>
          <w:highlight w:val="none"/>
          <w:lang w:val="en-US" w:eastAsia="zh-CN"/>
        </w:rPr>
        <w:t>、售后服务、合同履行期限</w:t>
      </w:r>
      <w:r>
        <w:rPr>
          <w:rFonts w:hint="eastAsia" w:ascii="宋体" w:hAnsi="宋体" w:eastAsia="宋体" w:cs="宋体"/>
          <w:color w:val="auto"/>
          <w:sz w:val="21"/>
          <w:szCs w:val="21"/>
          <w:highlight w:val="none"/>
        </w:rPr>
        <w:t xml:space="preserve">等。  </w:t>
      </w:r>
    </w:p>
    <w:p w14:paraId="7A4625A2">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p>
    <w:p w14:paraId="30C028DA">
      <w:pPr>
        <w:keepNext w:val="0"/>
        <w:keepLines w:val="0"/>
        <w:pageBreakBefore w:val="0"/>
        <w:widowControl w:val="0"/>
        <w:kinsoku/>
        <w:overflowPunct/>
        <w:bidi w:val="0"/>
        <w:snapToGrid/>
        <w:spacing w:line="413" w:lineRule="auto"/>
        <w:ind w:firstLine="2730" w:firstLineChars="1300"/>
        <w:rPr>
          <w:rFonts w:hint="eastAsia" w:ascii="宋体" w:hAnsi="宋体" w:eastAsia="宋体" w:cs="宋体"/>
          <w:color w:val="auto"/>
          <w:sz w:val="21"/>
          <w:szCs w:val="21"/>
          <w:highlight w:val="none"/>
        </w:rPr>
      </w:pPr>
    </w:p>
    <w:p w14:paraId="12EF91A8">
      <w:pPr>
        <w:keepNext w:val="0"/>
        <w:keepLines w:val="0"/>
        <w:pageBreakBefore w:val="0"/>
        <w:widowControl w:val="0"/>
        <w:kinsoku/>
        <w:overflowPunct/>
        <w:bidi w:val="0"/>
        <w:snapToGrid/>
        <w:spacing w:line="413" w:lineRule="auto"/>
        <w:ind w:firstLine="2730" w:firstLineChars="1300"/>
        <w:rPr>
          <w:rFonts w:hint="eastAsia" w:ascii="宋体" w:hAnsi="宋体" w:eastAsia="宋体" w:cs="宋体"/>
          <w:color w:val="auto"/>
          <w:sz w:val="21"/>
          <w:szCs w:val="21"/>
          <w:highlight w:val="none"/>
        </w:rPr>
      </w:pPr>
    </w:p>
    <w:p w14:paraId="6866A7A6">
      <w:pPr>
        <w:keepNext w:val="0"/>
        <w:keepLines w:val="0"/>
        <w:pageBreakBefore w:val="0"/>
        <w:widowControl w:val="0"/>
        <w:kinsoku/>
        <w:wordWrap w:val="0"/>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（单位全称）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4E186162">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0DAD9466">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24E8DD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6E28D1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七、</w:t>
      </w:r>
      <w:r>
        <w:rPr>
          <w:rFonts w:hint="eastAsia" w:ascii="宋体" w:hAnsi="宋体" w:cs="宋体"/>
          <w:b/>
          <w:color w:val="auto"/>
          <w:sz w:val="21"/>
          <w:szCs w:val="21"/>
          <w:highlight w:val="none"/>
          <w:lang w:val="en-US" w:eastAsia="zh-CN"/>
        </w:rPr>
        <w:t>售后服务方案</w:t>
      </w:r>
    </w:p>
    <w:p w14:paraId="30B350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格式自拟</w:t>
      </w:r>
    </w:p>
    <w:p w14:paraId="548C52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US" w:eastAsia="zh-CN"/>
        </w:rPr>
      </w:pPr>
    </w:p>
    <w:p w14:paraId="1C5ED5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八、应急方案及措施</w:t>
      </w:r>
    </w:p>
    <w:p w14:paraId="23BD1C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格式自拟</w:t>
      </w:r>
    </w:p>
    <w:p w14:paraId="3AC819DC">
      <w:pPr>
        <w:keepNext w:val="0"/>
        <w:keepLines w:val="0"/>
        <w:pageBreakBefore w:val="0"/>
        <w:widowControl w:val="0"/>
        <w:bidi w:val="0"/>
        <w:snapToGrid/>
        <w:jc w:val="center"/>
        <w:rPr>
          <w:rFonts w:hint="eastAsia" w:ascii="宋体" w:hAnsi="宋体" w:eastAsia="宋体" w:cs="宋体"/>
          <w:b/>
          <w:color w:val="auto"/>
          <w:sz w:val="21"/>
          <w:szCs w:val="21"/>
          <w:highlight w:val="none"/>
          <w:lang w:val="en-US" w:eastAsia="zh-CN"/>
        </w:rPr>
      </w:pPr>
    </w:p>
    <w:p w14:paraId="5FA08ED9">
      <w:pPr>
        <w:keepNext w:val="0"/>
        <w:keepLines w:val="0"/>
        <w:pageBreakBefore w:val="0"/>
        <w:widowControl w:val="0"/>
        <w:bidi w:val="0"/>
        <w:snapToGrid/>
        <w:jc w:val="center"/>
        <w:rPr>
          <w:rFonts w:hint="eastAsia" w:ascii="宋体" w:hAnsi="宋体" w:eastAsia="宋体" w:cs="宋体"/>
          <w:b/>
          <w:color w:val="auto"/>
          <w:sz w:val="21"/>
          <w:szCs w:val="21"/>
          <w:highlight w:val="none"/>
          <w:lang w:val="en-US" w:eastAsia="zh-CN"/>
        </w:rPr>
      </w:pPr>
    </w:p>
    <w:p w14:paraId="2CFA81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九</w:t>
      </w:r>
      <w:r>
        <w:rPr>
          <w:rFonts w:hint="eastAsia" w:ascii="宋体" w:hAnsi="宋体" w:eastAsia="宋体" w:cs="宋体"/>
          <w:b/>
          <w:color w:val="auto"/>
          <w:sz w:val="21"/>
          <w:szCs w:val="21"/>
          <w:highlight w:val="none"/>
          <w:lang w:val="en-US" w:eastAsia="zh-CN"/>
        </w:rPr>
        <w:t>、类似项目</w:t>
      </w:r>
      <w:r>
        <w:rPr>
          <w:rFonts w:hint="eastAsia" w:ascii="宋体" w:hAnsi="宋体" w:cs="宋体"/>
          <w:b/>
          <w:color w:val="auto"/>
          <w:sz w:val="21"/>
          <w:szCs w:val="21"/>
          <w:highlight w:val="none"/>
          <w:lang w:val="en-US" w:eastAsia="zh-CN"/>
        </w:rPr>
        <w:t>业绩</w:t>
      </w:r>
    </w:p>
    <w:tbl>
      <w:tblPr>
        <w:tblStyle w:val="32"/>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2835"/>
        <w:gridCol w:w="1701"/>
        <w:gridCol w:w="1204"/>
        <w:gridCol w:w="1631"/>
        <w:gridCol w:w="935"/>
      </w:tblGrid>
      <w:tr w14:paraId="5216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9" w:type="dxa"/>
            <w:vAlign w:val="center"/>
          </w:tcPr>
          <w:p w14:paraId="02D2F05E">
            <w:pPr>
              <w:keepNext w:val="0"/>
              <w:keepLines w:val="0"/>
              <w:pageBreakBefore w:val="0"/>
              <w:widowControl w:val="0"/>
              <w:kinsoku/>
              <w:wordWrap w:val="0"/>
              <w:overflowPunct/>
              <w:topLinePunct w:val="0"/>
              <w:autoSpaceDE/>
              <w:autoSpaceDN/>
              <w:bidi w:val="0"/>
              <w:adjustRightInd/>
              <w:snapToGrid/>
              <w:spacing w:after="0" w:line="288" w:lineRule="auto"/>
              <w:jc w:val="center"/>
              <w:textAlignment w:val="auto"/>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2835" w:type="dxa"/>
            <w:vAlign w:val="center"/>
          </w:tcPr>
          <w:p w14:paraId="765B2567">
            <w:pPr>
              <w:keepNext w:val="0"/>
              <w:keepLines w:val="0"/>
              <w:pageBreakBefore w:val="0"/>
              <w:widowControl w:val="0"/>
              <w:kinsoku/>
              <w:wordWrap w:val="0"/>
              <w:overflowPunct/>
              <w:topLinePunct w:val="0"/>
              <w:autoSpaceDE/>
              <w:autoSpaceDN/>
              <w:bidi w:val="0"/>
              <w:adjustRightInd/>
              <w:snapToGrid/>
              <w:spacing w:after="0" w:line="288" w:lineRule="auto"/>
              <w:jc w:val="center"/>
              <w:textAlignment w:val="auto"/>
              <w:rPr>
                <w:rFonts w:hint="eastAsia" w:ascii="宋体" w:hAnsi="宋体" w:eastAsia="宋体" w:cs="宋体"/>
                <w:b/>
                <w:bCs/>
                <w:color w:val="auto"/>
                <w:szCs w:val="21"/>
              </w:rPr>
            </w:pPr>
            <w:r>
              <w:rPr>
                <w:rFonts w:hint="eastAsia" w:ascii="宋体" w:hAnsi="宋体" w:eastAsia="宋体" w:cs="宋体"/>
                <w:b/>
                <w:bCs/>
                <w:color w:val="auto"/>
                <w:szCs w:val="21"/>
              </w:rPr>
              <w:t>项目名称</w:t>
            </w:r>
          </w:p>
        </w:tc>
        <w:tc>
          <w:tcPr>
            <w:tcW w:w="1701" w:type="dxa"/>
            <w:vAlign w:val="center"/>
          </w:tcPr>
          <w:p w14:paraId="5F419288">
            <w:pPr>
              <w:keepNext w:val="0"/>
              <w:keepLines w:val="0"/>
              <w:pageBreakBefore w:val="0"/>
              <w:widowControl w:val="0"/>
              <w:kinsoku/>
              <w:wordWrap w:val="0"/>
              <w:overflowPunct/>
              <w:topLinePunct w:val="0"/>
              <w:autoSpaceDE/>
              <w:autoSpaceDN/>
              <w:bidi w:val="0"/>
              <w:adjustRightInd/>
              <w:snapToGrid/>
              <w:spacing w:after="0" w:line="288" w:lineRule="auto"/>
              <w:jc w:val="center"/>
              <w:textAlignment w:val="auto"/>
              <w:rPr>
                <w:rFonts w:hint="eastAsia" w:ascii="宋体" w:hAnsi="宋体" w:eastAsia="宋体" w:cs="宋体"/>
                <w:b/>
                <w:bCs/>
                <w:color w:val="auto"/>
                <w:szCs w:val="21"/>
              </w:rPr>
            </w:pPr>
            <w:r>
              <w:rPr>
                <w:rFonts w:hint="eastAsia" w:ascii="宋体" w:hAnsi="宋体" w:eastAsia="宋体" w:cs="宋体"/>
                <w:b/>
                <w:bCs/>
                <w:color w:val="auto"/>
                <w:szCs w:val="21"/>
              </w:rPr>
              <w:t>采购单位</w:t>
            </w:r>
          </w:p>
        </w:tc>
        <w:tc>
          <w:tcPr>
            <w:tcW w:w="1204" w:type="dxa"/>
            <w:vAlign w:val="center"/>
          </w:tcPr>
          <w:p w14:paraId="509ECAD0">
            <w:pPr>
              <w:keepNext w:val="0"/>
              <w:keepLines w:val="0"/>
              <w:pageBreakBefore w:val="0"/>
              <w:widowControl w:val="0"/>
              <w:kinsoku/>
              <w:wordWrap w:val="0"/>
              <w:overflowPunct/>
              <w:topLinePunct w:val="0"/>
              <w:autoSpaceDE/>
              <w:autoSpaceDN/>
              <w:bidi w:val="0"/>
              <w:adjustRightInd/>
              <w:snapToGrid/>
              <w:spacing w:after="0" w:line="288" w:lineRule="auto"/>
              <w:jc w:val="center"/>
              <w:textAlignment w:val="auto"/>
              <w:rPr>
                <w:rFonts w:hint="eastAsia" w:ascii="宋体" w:hAnsi="宋体" w:eastAsia="宋体" w:cs="宋体"/>
                <w:b/>
                <w:bCs/>
                <w:color w:val="auto"/>
                <w:szCs w:val="21"/>
              </w:rPr>
            </w:pPr>
            <w:r>
              <w:rPr>
                <w:rFonts w:hint="eastAsia" w:ascii="宋体" w:hAnsi="宋体" w:eastAsia="宋体" w:cs="宋体"/>
                <w:b/>
                <w:bCs/>
                <w:color w:val="auto"/>
                <w:szCs w:val="32"/>
              </w:rPr>
              <w:t>合同金额</w:t>
            </w:r>
          </w:p>
        </w:tc>
        <w:tc>
          <w:tcPr>
            <w:tcW w:w="1631" w:type="dxa"/>
            <w:vAlign w:val="center"/>
          </w:tcPr>
          <w:p w14:paraId="712B5B79">
            <w:pPr>
              <w:keepNext w:val="0"/>
              <w:keepLines w:val="0"/>
              <w:pageBreakBefore w:val="0"/>
              <w:widowControl w:val="0"/>
              <w:kinsoku/>
              <w:wordWrap w:val="0"/>
              <w:overflowPunct/>
              <w:topLinePunct w:val="0"/>
              <w:autoSpaceDE/>
              <w:autoSpaceDN/>
              <w:bidi w:val="0"/>
              <w:adjustRightInd/>
              <w:snapToGrid/>
              <w:spacing w:after="0" w:line="288" w:lineRule="auto"/>
              <w:jc w:val="center"/>
              <w:textAlignment w:val="auto"/>
              <w:rPr>
                <w:rFonts w:hint="eastAsia" w:ascii="宋体" w:hAnsi="宋体" w:eastAsia="宋体" w:cs="宋体"/>
                <w:b/>
                <w:bCs/>
                <w:color w:val="auto"/>
                <w:szCs w:val="21"/>
              </w:rPr>
            </w:pPr>
            <w:r>
              <w:rPr>
                <w:rFonts w:hint="eastAsia" w:ascii="宋体" w:hAnsi="宋体" w:eastAsia="宋体" w:cs="宋体"/>
                <w:b/>
                <w:bCs/>
                <w:color w:val="auto"/>
                <w:szCs w:val="21"/>
              </w:rPr>
              <w:t>合同履行期限</w:t>
            </w:r>
          </w:p>
        </w:tc>
        <w:tc>
          <w:tcPr>
            <w:tcW w:w="935" w:type="dxa"/>
            <w:vAlign w:val="center"/>
          </w:tcPr>
          <w:p w14:paraId="53A8B7A2">
            <w:pPr>
              <w:keepNext w:val="0"/>
              <w:keepLines w:val="0"/>
              <w:pageBreakBefore w:val="0"/>
              <w:widowControl w:val="0"/>
              <w:kinsoku/>
              <w:wordWrap w:val="0"/>
              <w:overflowPunct/>
              <w:topLinePunct w:val="0"/>
              <w:autoSpaceDE/>
              <w:autoSpaceDN/>
              <w:bidi w:val="0"/>
              <w:adjustRightInd/>
              <w:snapToGrid/>
              <w:spacing w:after="0" w:line="288" w:lineRule="auto"/>
              <w:jc w:val="center"/>
              <w:textAlignment w:val="auto"/>
              <w:rPr>
                <w:rFonts w:hint="eastAsia" w:ascii="宋体" w:hAnsi="宋体" w:eastAsia="宋体" w:cs="宋体"/>
                <w:b/>
                <w:bCs/>
                <w:color w:val="auto"/>
                <w:szCs w:val="21"/>
              </w:rPr>
            </w:pPr>
            <w:r>
              <w:rPr>
                <w:rFonts w:hint="eastAsia" w:ascii="宋体" w:hAnsi="宋体" w:eastAsia="宋体" w:cs="宋体"/>
                <w:b/>
                <w:bCs/>
                <w:color w:val="auto"/>
                <w:szCs w:val="21"/>
              </w:rPr>
              <w:t>备注</w:t>
            </w:r>
          </w:p>
        </w:tc>
      </w:tr>
      <w:tr w14:paraId="133B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9" w:type="dxa"/>
          </w:tcPr>
          <w:p w14:paraId="170D0E60">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2835" w:type="dxa"/>
          </w:tcPr>
          <w:p w14:paraId="554778C8">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701" w:type="dxa"/>
          </w:tcPr>
          <w:p w14:paraId="40E2B0E3">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204" w:type="dxa"/>
          </w:tcPr>
          <w:p w14:paraId="53680E1D">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631" w:type="dxa"/>
          </w:tcPr>
          <w:p w14:paraId="7F972E9D">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935" w:type="dxa"/>
          </w:tcPr>
          <w:p w14:paraId="6C675A32">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r>
      <w:tr w14:paraId="35AFC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9" w:type="dxa"/>
          </w:tcPr>
          <w:p w14:paraId="467367A8">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2835" w:type="dxa"/>
          </w:tcPr>
          <w:p w14:paraId="2413DEF3">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701" w:type="dxa"/>
          </w:tcPr>
          <w:p w14:paraId="0E153BC6">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204" w:type="dxa"/>
          </w:tcPr>
          <w:p w14:paraId="13E90033">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631" w:type="dxa"/>
          </w:tcPr>
          <w:p w14:paraId="386F43C7">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935" w:type="dxa"/>
          </w:tcPr>
          <w:p w14:paraId="1834CACA">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r>
      <w:tr w14:paraId="3F4B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9" w:type="dxa"/>
          </w:tcPr>
          <w:p w14:paraId="13BACE47">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2835" w:type="dxa"/>
          </w:tcPr>
          <w:p w14:paraId="705FBE0C">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701" w:type="dxa"/>
          </w:tcPr>
          <w:p w14:paraId="750F3729">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204" w:type="dxa"/>
          </w:tcPr>
          <w:p w14:paraId="2E765FE9">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631" w:type="dxa"/>
          </w:tcPr>
          <w:p w14:paraId="1783520B">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935" w:type="dxa"/>
          </w:tcPr>
          <w:p w14:paraId="2F52C170">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r>
      <w:tr w14:paraId="0281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9" w:type="dxa"/>
          </w:tcPr>
          <w:p w14:paraId="792CC7D9">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2835" w:type="dxa"/>
          </w:tcPr>
          <w:p w14:paraId="3F604895">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701" w:type="dxa"/>
          </w:tcPr>
          <w:p w14:paraId="1BFC0553">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204" w:type="dxa"/>
          </w:tcPr>
          <w:p w14:paraId="3CBEDF90">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631" w:type="dxa"/>
          </w:tcPr>
          <w:p w14:paraId="6DD0F523">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935" w:type="dxa"/>
          </w:tcPr>
          <w:p w14:paraId="5BE464EE">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r>
      <w:tr w14:paraId="096F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9" w:type="dxa"/>
          </w:tcPr>
          <w:p w14:paraId="33B5F91B">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2835" w:type="dxa"/>
          </w:tcPr>
          <w:p w14:paraId="3BE0ABFB">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701" w:type="dxa"/>
          </w:tcPr>
          <w:p w14:paraId="277E78CA">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204" w:type="dxa"/>
          </w:tcPr>
          <w:p w14:paraId="0D031745">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1631" w:type="dxa"/>
          </w:tcPr>
          <w:p w14:paraId="0A921325">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c>
          <w:tcPr>
            <w:tcW w:w="935" w:type="dxa"/>
          </w:tcPr>
          <w:p w14:paraId="7477D16F">
            <w:pPr>
              <w:keepNext w:val="0"/>
              <w:keepLines w:val="0"/>
              <w:pageBreakBefore w:val="0"/>
              <w:widowControl w:val="0"/>
              <w:kinsoku/>
              <w:wordWrap w:val="0"/>
              <w:overflowPunct/>
              <w:topLinePunct w:val="0"/>
              <w:autoSpaceDE/>
              <w:autoSpaceDN/>
              <w:bidi w:val="0"/>
              <w:adjustRightInd/>
              <w:snapToGrid/>
              <w:spacing w:after="0" w:line="360" w:lineRule="auto"/>
              <w:textAlignment w:val="auto"/>
              <w:rPr>
                <w:rFonts w:hint="eastAsia" w:ascii="宋体" w:hAnsi="宋体" w:eastAsia="宋体" w:cs="宋体"/>
                <w:color w:val="auto"/>
                <w:szCs w:val="21"/>
              </w:rPr>
            </w:pPr>
          </w:p>
        </w:tc>
      </w:tr>
    </w:tbl>
    <w:p w14:paraId="5F2972B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kern w:val="0"/>
          <w:sz w:val="36"/>
          <w:highlight w:val="none"/>
        </w:rPr>
      </w:pPr>
      <w:r>
        <w:rPr>
          <w:rFonts w:hint="eastAsia" w:ascii="宋体" w:hAnsi="宋体" w:eastAsia="宋体" w:cs="宋体"/>
          <w:b/>
          <w:color w:val="auto"/>
          <w:kern w:val="0"/>
          <w:sz w:val="21"/>
          <w:szCs w:val="21"/>
          <w:highlight w:val="none"/>
          <w:lang w:val="en-US" w:eastAsia="zh-CN"/>
        </w:rPr>
        <w:t>附：中标通知书原件扫描件（如有）、项目合同</w:t>
      </w:r>
      <w:r>
        <w:rPr>
          <w:rFonts w:hint="eastAsia" w:ascii="宋体" w:hAnsi="宋体" w:cs="宋体"/>
          <w:b/>
          <w:color w:val="auto"/>
          <w:kern w:val="0"/>
          <w:sz w:val="21"/>
          <w:szCs w:val="21"/>
          <w:highlight w:val="none"/>
          <w:lang w:val="en-US" w:eastAsia="zh-CN"/>
        </w:rPr>
        <w:t>（如有）</w:t>
      </w:r>
      <w:r>
        <w:rPr>
          <w:rFonts w:hint="eastAsia" w:ascii="宋体" w:hAnsi="宋体" w:eastAsia="宋体" w:cs="宋体"/>
          <w:b/>
          <w:color w:val="auto"/>
          <w:kern w:val="0"/>
          <w:sz w:val="21"/>
          <w:szCs w:val="21"/>
          <w:highlight w:val="none"/>
          <w:lang w:val="en-US" w:eastAsia="zh-CN"/>
        </w:rPr>
        <w:t>原件扫描件。</w:t>
      </w:r>
      <w:r>
        <w:rPr>
          <w:rFonts w:hint="eastAsia" w:ascii="宋体" w:hAnsi="宋体" w:eastAsia="宋体" w:cs="宋体"/>
          <w:b/>
          <w:color w:val="auto"/>
          <w:kern w:val="0"/>
          <w:sz w:val="21"/>
          <w:szCs w:val="21"/>
          <w:highlight w:val="none"/>
        </w:rPr>
        <w:br w:type="page"/>
      </w:r>
    </w:p>
    <w:p w14:paraId="1DCF092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十、招标文件要求或供应商认为有必要提供的其他资料</w:t>
      </w:r>
    </w:p>
    <w:p w14:paraId="13D0E398">
      <w:pP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br w:type="page"/>
      </w:r>
    </w:p>
    <w:p w14:paraId="1B79A9BF">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6"/>
          <w:szCs w:val="36"/>
          <w:highlight w:val="none"/>
          <w:lang w:val="en-US" w:eastAsia="zh-CN" w:bidi="ar-SA"/>
        </w:rPr>
      </w:pPr>
    </w:p>
    <w:p w14:paraId="76B97E76">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6"/>
          <w:szCs w:val="36"/>
          <w:highlight w:val="none"/>
          <w:lang w:val="en-US" w:eastAsia="zh-CN" w:bidi="ar-SA"/>
        </w:rPr>
      </w:pPr>
    </w:p>
    <w:p w14:paraId="140EFC39">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6"/>
          <w:szCs w:val="21"/>
          <w:highlight w:val="none"/>
          <w:lang w:val="en-US" w:eastAsia="zh-CN" w:bidi="ar-SA"/>
        </w:rPr>
      </w:pPr>
      <w:r>
        <w:rPr>
          <w:rFonts w:hint="eastAsia" w:ascii="宋体" w:hAnsi="宋体" w:cs="宋体"/>
          <w:b/>
          <w:color w:val="auto"/>
          <w:kern w:val="2"/>
          <w:sz w:val="36"/>
          <w:szCs w:val="36"/>
          <w:highlight w:val="none"/>
          <w:lang w:val="en-US" w:eastAsia="zh-CN" w:bidi="ar-SA"/>
        </w:rPr>
        <w:t>临翔区2026年学校学生食堂食材采购项目</w:t>
      </w:r>
    </w:p>
    <w:p w14:paraId="32F8AD42">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2"/>
          <w:highlight w:val="none"/>
          <w:lang w:val="en-US" w:eastAsia="zh-CN" w:bidi="ar-SA"/>
        </w:rPr>
      </w:pPr>
    </w:p>
    <w:p w14:paraId="042199FC">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2"/>
          <w:highlight w:val="none"/>
          <w:lang w:val="en-US" w:eastAsia="zh-CN" w:bidi="ar-SA"/>
        </w:rPr>
      </w:pPr>
    </w:p>
    <w:p w14:paraId="7B5BA733">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2"/>
          <w:highlight w:val="none"/>
          <w:lang w:val="en-US" w:eastAsia="zh-CN" w:bidi="ar-SA"/>
        </w:rPr>
      </w:pPr>
    </w:p>
    <w:p w14:paraId="43BF9FAF">
      <w:pPr>
        <w:keepNext w:val="0"/>
        <w:keepLines w:val="0"/>
        <w:pageBreakBefore w:val="0"/>
        <w:widowControl w:val="0"/>
        <w:kinsoku/>
        <w:overflowPunct/>
        <w:bidi w:val="0"/>
        <w:snapToGrid/>
        <w:spacing w:line="413" w:lineRule="auto"/>
        <w:jc w:val="both"/>
        <w:rPr>
          <w:rFonts w:hint="eastAsia" w:ascii="宋体" w:hAnsi="宋体" w:eastAsia="宋体" w:cs="宋体"/>
          <w:b/>
          <w:color w:val="auto"/>
          <w:kern w:val="2"/>
          <w:sz w:val="32"/>
          <w:highlight w:val="none"/>
          <w:lang w:val="en-US" w:eastAsia="zh-CN" w:bidi="ar-SA"/>
        </w:rPr>
      </w:pPr>
    </w:p>
    <w:p w14:paraId="753ACE12">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48"/>
          <w:highlight w:val="none"/>
          <w:lang w:val="en-US" w:eastAsia="zh-CN" w:bidi="ar-SA"/>
        </w:rPr>
      </w:pPr>
    </w:p>
    <w:p w14:paraId="148D0AAD">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48"/>
          <w:highlight w:val="none"/>
          <w:lang w:val="en-US" w:eastAsia="zh-CN" w:bidi="ar-SA"/>
        </w:rPr>
      </w:pPr>
      <w:r>
        <w:rPr>
          <w:rFonts w:hint="eastAsia" w:ascii="宋体" w:hAnsi="宋体" w:eastAsia="宋体" w:cs="宋体"/>
          <w:b/>
          <w:color w:val="auto"/>
          <w:kern w:val="2"/>
          <w:sz w:val="48"/>
          <w:highlight w:val="none"/>
          <w:lang w:val="en-US" w:eastAsia="zh-CN" w:bidi="ar-SA"/>
        </w:rPr>
        <w:t>第三部分  报价文件部分</w:t>
      </w:r>
    </w:p>
    <w:p w14:paraId="1B31C153">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72"/>
          <w:highlight w:val="none"/>
          <w:lang w:val="en-US" w:eastAsia="zh-CN" w:bidi="ar-SA"/>
        </w:rPr>
      </w:pPr>
    </w:p>
    <w:p w14:paraId="741961EB">
      <w:pPr>
        <w:keepNext w:val="0"/>
        <w:keepLines w:val="0"/>
        <w:pageBreakBefore w:val="0"/>
        <w:widowControl w:val="0"/>
        <w:kinsoku/>
        <w:overflowPunct/>
        <w:bidi w:val="0"/>
        <w:snapToGrid/>
        <w:spacing w:line="413" w:lineRule="auto"/>
        <w:ind w:firstLine="480" w:firstLineChars="200"/>
        <w:rPr>
          <w:rFonts w:hint="eastAsia" w:ascii="宋体" w:hAnsi="宋体" w:eastAsia="宋体" w:cs="宋体"/>
          <w:color w:val="auto"/>
          <w:sz w:val="24"/>
          <w:highlight w:val="none"/>
        </w:rPr>
      </w:pPr>
    </w:p>
    <w:p w14:paraId="37B112D0">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58139BFA">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1B349D69">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6D15F9A0">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13471E80">
      <w:pPr>
        <w:keepNext w:val="0"/>
        <w:keepLines w:val="0"/>
        <w:pageBreakBefore w:val="0"/>
        <w:widowControl w:val="0"/>
        <w:kinsoku/>
        <w:overflowPunct/>
        <w:bidi w:val="0"/>
        <w:snapToGrid/>
        <w:spacing w:line="413" w:lineRule="auto"/>
        <w:ind w:firstLine="1200" w:firstLineChars="5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（单位全称）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p>
    <w:p w14:paraId="583B962C">
      <w:pPr>
        <w:keepNext w:val="0"/>
        <w:keepLines w:val="0"/>
        <w:pageBreakBefore w:val="0"/>
        <w:widowControl w:val="0"/>
        <w:kinsoku/>
        <w:overflowPunct/>
        <w:bidi w:val="0"/>
        <w:snapToGrid/>
        <w:spacing w:line="413" w:lineRule="auto"/>
        <w:ind w:firstLine="1200" w:firstLineChars="500"/>
        <w:jc w:val="both"/>
        <w:outlineLvl w:val="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法定代表人（或委托代理人）：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（电子签章）</w:t>
      </w:r>
    </w:p>
    <w:p w14:paraId="30971E10">
      <w:pPr>
        <w:keepNext w:val="0"/>
        <w:keepLines w:val="0"/>
        <w:pageBreakBefore w:val="0"/>
        <w:widowControl w:val="0"/>
        <w:kinsoku/>
        <w:overflowPunct/>
        <w:bidi w:val="0"/>
        <w:snapToGrid/>
        <w:spacing w:line="413" w:lineRule="auto"/>
        <w:ind w:firstLine="3120" w:firstLineChars="1300"/>
        <w:jc w:val="both"/>
        <w:outlineLvl w:val="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月</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w:t>
      </w:r>
    </w:p>
    <w:p w14:paraId="70BE7412">
      <w:pPr>
        <w:keepNext w:val="0"/>
        <w:keepLines w:val="0"/>
        <w:pageBreakBefore w:val="0"/>
        <w:widowControl w:val="0"/>
        <w:bidi w:val="0"/>
        <w:snapToGrid/>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br w:type="page"/>
      </w:r>
    </w:p>
    <w:p w14:paraId="111F5312">
      <w:pPr>
        <w:keepNext w:val="0"/>
        <w:keepLines w:val="0"/>
        <w:pageBreakBefore w:val="0"/>
        <w:widowControl w:val="0"/>
        <w:numPr>
          <w:ilvl w:val="0"/>
          <w:numId w:val="0"/>
        </w:numPr>
        <w:kinsoku/>
        <w:overflowPunct/>
        <w:bidi w:val="0"/>
        <w:snapToGrid/>
        <w:spacing w:line="413" w:lineRule="auto"/>
        <w:jc w:val="cente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一、</w:t>
      </w:r>
      <w:r>
        <w:rPr>
          <w:rFonts w:hint="eastAsia" w:ascii="宋体" w:hAnsi="宋体" w:eastAsia="宋体" w:cs="宋体"/>
          <w:b/>
          <w:color w:val="auto"/>
          <w:sz w:val="21"/>
          <w:szCs w:val="21"/>
          <w:highlight w:val="none"/>
        </w:rPr>
        <w:t>开标一览表</w:t>
      </w:r>
    </w:p>
    <w:p w14:paraId="286DD15E">
      <w:pPr>
        <w:keepNext w:val="0"/>
        <w:keepLines w:val="0"/>
        <w:pageBreakBefore w:val="0"/>
        <w:widowControl w:val="0"/>
        <w:numPr>
          <w:ilvl w:val="0"/>
          <w:numId w:val="0"/>
        </w:numPr>
        <w:kinsoku/>
        <w:overflowPunct/>
        <w:bidi w:val="0"/>
        <w:snapToGrid/>
        <w:spacing w:after="120" w:afterLines="0" w:afterAutospacing="0"/>
        <w:jc w:val="both"/>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项目名称：</w:t>
      </w:r>
    </w:p>
    <w:tbl>
      <w:tblPr>
        <w:tblStyle w:val="32"/>
        <w:tblW w:w="101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32"/>
        <w:gridCol w:w="2392"/>
        <w:gridCol w:w="3760"/>
        <w:gridCol w:w="2088"/>
      </w:tblGrid>
      <w:tr w14:paraId="69784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87" w:hRule="atLeast"/>
          <w:jc w:val="center"/>
        </w:trPr>
        <w:tc>
          <w:tcPr>
            <w:tcW w:w="1932" w:type="dxa"/>
            <w:vAlign w:val="center"/>
          </w:tcPr>
          <w:p w14:paraId="3226663F">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项目内容</w:t>
            </w:r>
          </w:p>
        </w:tc>
        <w:tc>
          <w:tcPr>
            <w:tcW w:w="2392" w:type="dxa"/>
            <w:vAlign w:val="center"/>
          </w:tcPr>
          <w:p w14:paraId="10875AD6">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标的名称</w:t>
            </w:r>
          </w:p>
        </w:tc>
        <w:tc>
          <w:tcPr>
            <w:tcW w:w="3760" w:type="dxa"/>
            <w:vAlign w:val="center"/>
          </w:tcPr>
          <w:p w14:paraId="25B0B85B">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报价内容</w:t>
            </w:r>
          </w:p>
        </w:tc>
        <w:tc>
          <w:tcPr>
            <w:tcW w:w="2088" w:type="dxa"/>
            <w:vAlign w:val="center"/>
          </w:tcPr>
          <w:p w14:paraId="1279664F">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w:t>
            </w:r>
          </w:p>
        </w:tc>
      </w:tr>
      <w:tr w14:paraId="41FFD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2" w:hRule="atLeast"/>
          <w:jc w:val="center"/>
        </w:trPr>
        <w:tc>
          <w:tcPr>
            <w:tcW w:w="1932" w:type="dxa"/>
            <w:vAlign w:val="center"/>
          </w:tcPr>
          <w:p w14:paraId="2245E996">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投标报价</w:t>
            </w:r>
          </w:p>
        </w:tc>
        <w:tc>
          <w:tcPr>
            <w:tcW w:w="2392" w:type="dxa"/>
            <w:vAlign w:val="center"/>
          </w:tcPr>
          <w:p w14:paraId="65E94016">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3760" w:type="dxa"/>
            <w:vAlign w:val="center"/>
          </w:tcPr>
          <w:p w14:paraId="7524EC62">
            <w:pPr>
              <w:widowControl w:val="0"/>
              <w:jc w:val="center"/>
              <w:rPr>
                <w:rFonts w:hint="eastAsia" w:ascii="宋体" w:hAnsi="宋体" w:eastAsia="宋体" w:cs="宋体"/>
                <w:color w:val="auto"/>
                <w:kern w:val="2"/>
                <w:sz w:val="21"/>
                <w:szCs w:val="21"/>
                <w:highlight w:val="none"/>
                <w:lang w:val="en-US" w:eastAsia="zh-CN" w:bidi="ar-SA"/>
              </w:rPr>
            </w:pPr>
          </w:p>
        </w:tc>
        <w:tc>
          <w:tcPr>
            <w:tcW w:w="2088" w:type="dxa"/>
            <w:vAlign w:val="center"/>
          </w:tcPr>
          <w:p w14:paraId="4DF675E2">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报价内容填写预算金额，此价格仅做参考，按各类货物投标报价下浮率执行，结算时按实际供货量结算。投标报价字段填报时录入此价格。</w:t>
            </w:r>
          </w:p>
        </w:tc>
      </w:tr>
      <w:tr w14:paraId="5A748C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1932" w:type="dxa"/>
            <w:vMerge w:val="restart"/>
            <w:vAlign w:val="center"/>
          </w:tcPr>
          <w:p w14:paraId="4C1CE084">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投标报价明细</w:t>
            </w:r>
          </w:p>
          <w:p w14:paraId="7296C649">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上浮/</w:t>
            </w:r>
            <w:r>
              <w:rPr>
                <w:rFonts w:hint="eastAsia" w:ascii="宋体" w:hAnsi="宋体" w:eastAsia="宋体" w:cs="宋体"/>
                <w:color w:val="auto"/>
                <w:kern w:val="2"/>
                <w:sz w:val="21"/>
                <w:szCs w:val="21"/>
                <w:highlight w:val="none"/>
                <w:lang w:val="en-US" w:eastAsia="zh-CN" w:bidi="ar-SA"/>
              </w:rPr>
              <w:t>下浮率）</w:t>
            </w:r>
          </w:p>
        </w:tc>
        <w:tc>
          <w:tcPr>
            <w:tcW w:w="2392" w:type="dxa"/>
            <w:tcBorders>
              <w:bottom w:val="single" w:color="auto" w:sz="4" w:space="0"/>
            </w:tcBorders>
            <w:vAlign w:val="center"/>
          </w:tcPr>
          <w:p w14:paraId="362E0842">
            <w:pPr>
              <w:keepNext w:val="0"/>
              <w:keepLines w:val="0"/>
              <w:widowControl/>
              <w:suppressLineNumbers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1.肉食品类</w:t>
            </w:r>
          </w:p>
        </w:tc>
        <w:tc>
          <w:tcPr>
            <w:tcW w:w="3760" w:type="dxa"/>
            <w:tcBorders>
              <w:bottom w:val="single" w:color="auto" w:sz="4" w:space="0"/>
            </w:tcBorders>
            <w:vAlign w:val="center"/>
          </w:tcPr>
          <w:p w14:paraId="2F854618">
            <w:pPr>
              <w:widowControl w:val="0"/>
              <w:jc w:val="center"/>
              <w:rPr>
                <w:rFonts w:hint="eastAsia" w:ascii="宋体" w:hAnsi="宋体" w:eastAsia="宋体" w:cs="宋体"/>
                <w:color w:val="auto"/>
                <w:kern w:val="2"/>
                <w:sz w:val="21"/>
                <w:szCs w:val="21"/>
                <w:highlight w:val="none"/>
                <w:lang w:val="en-US" w:eastAsia="zh-CN" w:bidi="ar-SA"/>
              </w:rPr>
            </w:pPr>
            <w:bookmarkStart w:id="107" w:name="OLE_LINK20"/>
            <w:r>
              <w:rPr>
                <w:rFonts w:hint="eastAsia" w:ascii="宋体" w:hAnsi="宋体" w:eastAsia="宋体" w:cs="宋体"/>
                <w:color w:val="auto"/>
                <w:kern w:val="2"/>
                <w:sz w:val="21"/>
                <w:szCs w:val="21"/>
                <w:highlight w:val="none"/>
                <w:u w:val="none"/>
                <w:lang w:val="en-US" w:eastAsia="zh-CN" w:bidi="ar-SA"/>
              </w:rPr>
              <w:t>在每月备案锁定的定点屠宰</w:t>
            </w:r>
            <w:r>
              <w:rPr>
                <w:rFonts w:hint="eastAsia" w:ascii="宋体" w:hAnsi="宋体" w:cs="宋体"/>
                <w:color w:val="auto"/>
                <w:kern w:val="2"/>
                <w:sz w:val="21"/>
                <w:szCs w:val="21"/>
                <w:highlight w:val="none"/>
                <w:u w:val="none"/>
                <w:lang w:val="en-US" w:eastAsia="zh-CN" w:bidi="ar-SA"/>
              </w:rPr>
              <w:t>场</w:t>
            </w:r>
            <w:r>
              <w:rPr>
                <w:rFonts w:hint="eastAsia" w:ascii="宋体" w:hAnsi="宋体" w:eastAsia="宋体" w:cs="宋体"/>
                <w:color w:val="auto"/>
                <w:kern w:val="2"/>
                <w:sz w:val="21"/>
                <w:szCs w:val="21"/>
                <w:highlight w:val="none"/>
                <w:u w:val="none"/>
                <w:lang w:val="en-US" w:eastAsia="zh-CN" w:bidi="ar-SA"/>
              </w:rPr>
              <w:t>批发单价基础上</w:t>
            </w:r>
            <w:r>
              <w:rPr>
                <w:rFonts w:hint="eastAsia" w:ascii="宋体" w:hAnsi="宋体" w:cs="宋体"/>
                <w:color w:val="auto"/>
                <w:kern w:val="2"/>
                <w:sz w:val="21"/>
                <w:szCs w:val="21"/>
                <w:highlight w:val="none"/>
                <w:u w:val="none"/>
                <w:lang w:val="en-US" w:eastAsia="zh-CN" w:bidi="ar-SA"/>
              </w:rPr>
              <w:t>上浮</w:t>
            </w:r>
            <w:r>
              <w:rPr>
                <w:rFonts w:hint="eastAsia" w:ascii="宋体" w:hAnsi="宋体" w:eastAsia="宋体" w:cs="宋体"/>
                <w:color w:val="auto"/>
                <w:kern w:val="2"/>
                <w:sz w:val="21"/>
                <w:szCs w:val="21"/>
                <w:highlight w:val="none"/>
                <w:u w:val="single"/>
                <w:lang w:val="en-US" w:eastAsia="zh-CN" w:bidi="ar-SA"/>
              </w:rPr>
              <w:t xml:space="preserve">     </w:t>
            </w:r>
            <w:bookmarkEnd w:id="107"/>
            <w:r>
              <w:rPr>
                <w:rFonts w:hint="eastAsia" w:ascii="宋体" w:hAnsi="宋体" w:eastAsia="宋体" w:cs="宋体"/>
                <w:color w:val="auto"/>
                <w:kern w:val="2"/>
                <w:sz w:val="21"/>
                <w:szCs w:val="21"/>
                <w:highlight w:val="none"/>
                <w:lang w:val="en-US" w:eastAsia="zh-CN" w:bidi="ar-SA"/>
              </w:rPr>
              <w:t>%。</w:t>
            </w:r>
          </w:p>
        </w:tc>
        <w:tc>
          <w:tcPr>
            <w:tcW w:w="2088" w:type="dxa"/>
            <w:vMerge w:val="restart"/>
            <w:vAlign w:val="center"/>
          </w:tcPr>
          <w:p w14:paraId="7EE091C7">
            <w:pPr>
              <w:widowControl w:val="0"/>
              <w:jc w:val="center"/>
              <w:rPr>
                <w:rFonts w:hint="default" w:ascii="宋体" w:hAnsi="宋体" w:eastAsia="宋体" w:cs="宋体"/>
                <w:color w:val="auto"/>
                <w:kern w:val="2"/>
                <w:sz w:val="21"/>
                <w:szCs w:val="21"/>
                <w:highlight w:val="none"/>
                <w:lang w:val="en-US" w:eastAsia="zh-CN" w:bidi="ar-SA"/>
              </w:rPr>
            </w:pPr>
          </w:p>
        </w:tc>
      </w:tr>
      <w:tr w14:paraId="3E452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1932" w:type="dxa"/>
            <w:vMerge w:val="continue"/>
            <w:vAlign w:val="center"/>
          </w:tcPr>
          <w:p w14:paraId="345553BD">
            <w:pPr>
              <w:widowControl w:val="0"/>
              <w:jc w:val="center"/>
              <w:rPr>
                <w:rFonts w:hint="eastAsia" w:ascii="宋体" w:hAnsi="宋体" w:eastAsia="宋体" w:cs="宋体"/>
                <w:color w:val="auto"/>
                <w:kern w:val="2"/>
                <w:sz w:val="21"/>
                <w:szCs w:val="21"/>
                <w:highlight w:val="none"/>
                <w:lang w:val="en-US" w:eastAsia="zh-CN" w:bidi="ar-SA"/>
              </w:rPr>
            </w:pPr>
          </w:p>
        </w:tc>
        <w:tc>
          <w:tcPr>
            <w:tcW w:w="2392" w:type="dxa"/>
            <w:tcBorders>
              <w:top w:val="single" w:color="auto" w:sz="4" w:space="0"/>
              <w:bottom w:val="single" w:color="auto" w:sz="4" w:space="0"/>
            </w:tcBorders>
            <w:vAlign w:val="center"/>
          </w:tcPr>
          <w:p w14:paraId="308C1D7E">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2.蔬菜类</w:t>
            </w:r>
          </w:p>
        </w:tc>
        <w:tc>
          <w:tcPr>
            <w:tcW w:w="3760" w:type="dxa"/>
            <w:tcBorders>
              <w:top w:val="single" w:color="auto" w:sz="4" w:space="0"/>
              <w:bottom w:val="single" w:color="auto" w:sz="4" w:space="0"/>
            </w:tcBorders>
            <w:vAlign w:val="center"/>
          </w:tcPr>
          <w:p w14:paraId="25A8E11F">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在当期询价确定的市场基准价基础上下浮</w:t>
            </w:r>
            <w:bookmarkStart w:id="108" w:name="OLE_LINK21"/>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w:t>
            </w:r>
            <w:bookmarkEnd w:id="108"/>
            <w:r>
              <w:rPr>
                <w:rFonts w:hint="eastAsia" w:ascii="宋体" w:hAnsi="宋体" w:eastAsia="宋体" w:cs="宋体"/>
                <w:color w:val="auto"/>
                <w:kern w:val="2"/>
                <w:sz w:val="21"/>
                <w:szCs w:val="21"/>
                <w:highlight w:val="none"/>
                <w:lang w:val="en-US" w:eastAsia="zh-CN" w:bidi="ar-SA"/>
              </w:rPr>
              <w:t>。</w:t>
            </w:r>
          </w:p>
        </w:tc>
        <w:tc>
          <w:tcPr>
            <w:tcW w:w="2088" w:type="dxa"/>
            <w:vMerge w:val="continue"/>
            <w:vAlign w:val="center"/>
          </w:tcPr>
          <w:p w14:paraId="4F47B81C">
            <w:pPr>
              <w:widowControl w:val="0"/>
              <w:jc w:val="center"/>
              <w:rPr>
                <w:rFonts w:hint="eastAsia" w:ascii="宋体" w:hAnsi="宋体" w:eastAsia="宋体" w:cs="宋体"/>
                <w:color w:val="auto"/>
                <w:kern w:val="2"/>
                <w:sz w:val="21"/>
                <w:szCs w:val="21"/>
                <w:highlight w:val="none"/>
                <w:lang w:val="en-US" w:eastAsia="zh-CN" w:bidi="ar-SA"/>
              </w:rPr>
            </w:pPr>
          </w:p>
        </w:tc>
      </w:tr>
      <w:tr w14:paraId="32ED5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1932" w:type="dxa"/>
            <w:vMerge w:val="continue"/>
            <w:vAlign w:val="center"/>
          </w:tcPr>
          <w:p w14:paraId="5D014F64">
            <w:pPr>
              <w:widowControl w:val="0"/>
              <w:jc w:val="center"/>
              <w:rPr>
                <w:rFonts w:hint="eastAsia" w:ascii="宋体" w:hAnsi="宋体" w:eastAsia="宋体" w:cs="宋体"/>
                <w:color w:val="auto"/>
                <w:kern w:val="2"/>
                <w:sz w:val="21"/>
                <w:szCs w:val="21"/>
                <w:highlight w:val="none"/>
                <w:lang w:val="en-US" w:eastAsia="zh-CN" w:bidi="ar-SA"/>
              </w:rPr>
            </w:pPr>
          </w:p>
        </w:tc>
        <w:tc>
          <w:tcPr>
            <w:tcW w:w="2392" w:type="dxa"/>
            <w:tcBorders>
              <w:top w:val="single" w:color="auto" w:sz="4" w:space="0"/>
              <w:bottom w:val="single" w:color="auto" w:sz="4" w:space="0"/>
            </w:tcBorders>
            <w:vAlign w:val="center"/>
          </w:tcPr>
          <w:p w14:paraId="03001ED5">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3.辅料类</w:t>
            </w:r>
          </w:p>
        </w:tc>
        <w:tc>
          <w:tcPr>
            <w:tcW w:w="3760" w:type="dxa"/>
            <w:tcBorders>
              <w:top w:val="single" w:color="auto" w:sz="4" w:space="0"/>
              <w:bottom w:val="single" w:color="auto" w:sz="4" w:space="0"/>
            </w:tcBorders>
            <w:vAlign w:val="center"/>
          </w:tcPr>
          <w:p w14:paraId="4CC35952">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在当期询价确定的市场基准价基础上下浮</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w:t>
            </w:r>
          </w:p>
        </w:tc>
        <w:tc>
          <w:tcPr>
            <w:tcW w:w="2088" w:type="dxa"/>
            <w:vMerge w:val="continue"/>
            <w:vAlign w:val="center"/>
          </w:tcPr>
          <w:p w14:paraId="37498D0C">
            <w:pPr>
              <w:widowControl w:val="0"/>
              <w:jc w:val="center"/>
              <w:rPr>
                <w:rFonts w:hint="eastAsia" w:ascii="宋体" w:hAnsi="宋体" w:eastAsia="宋体" w:cs="宋体"/>
                <w:color w:val="auto"/>
                <w:kern w:val="2"/>
                <w:sz w:val="21"/>
                <w:szCs w:val="21"/>
                <w:highlight w:val="none"/>
                <w:lang w:val="en-US" w:eastAsia="zh-CN" w:bidi="ar-SA"/>
              </w:rPr>
            </w:pPr>
          </w:p>
        </w:tc>
      </w:tr>
      <w:tr w14:paraId="348E00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6" w:hRule="atLeast"/>
          <w:jc w:val="center"/>
        </w:trPr>
        <w:tc>
          <w:tcPr>
            <w:tcW w:w="1932" w:type="dxa"/>
            <w:vAlign w:val="center"/>
          </w:tcPr>
          <w:p w14:paraId="338375AB">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合同履行期限</w:t>
            </w:r>
          </w:p>
        </w:tc>
        <w:tc>
          <w:tcPr>
            <w:tcW w:w="8240" w:type="dxa"/>
            <w:gridSpan w:val="3"/>
            <w:vAlign w:val="center"/>
          </w:tcPr>
          <w:p w14:paraId="0A8612AB">
            <w:pPr>
              <w:widowControl w:val="0"/>
              <w:jc w:val="both"/>
              <w:rPr>
                <w:rFonts w:hint="eastAsia" w:ascii="宋体" w:hAnsi="宋体" w:eastAsia="宋体" w:cs="宋体"/>
                <w:color w:val="auto"/>
                <w:kern w:val="2"/>
                <w:sz w:val="21"/>
                <w:szCs w:val="21"/>
                <w:highlight w:val="none"/>
                <w:lang w:val="en-US" w:eastAsia="zh-CN" w:bidi="ar-SA"/>
              </w:rPr>
            </w:pPr>
          </w:p>
        </w:tc>
      </w:tr>
      <w:tr w14:paraId="46D60F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1" w:hRule="atLeast"/>
          <w:jc w:val="center"/>
        </w:trPr>
        <w:tc>
          <w:tcPr>
            <w:tcW w:w="1932" w:type="dxa"/>
            <w:vAlign w:val="center"/>
          </w:tcPr>
          <w:p w14:paraId="24562096">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交货地点</w:t>
            </w:r>
          </w:p>
        </w:tc>
        <w:tc>
          <w:tcPr>
            <w:tcW w:w="8240" w:type="dxa"/>
            <w:gridSpan w:val="3"/>
            <w:vAlign w:val="center"/>
          </w:tcPr>
          <w:p w14:paraId="2D3EEEC9">
            <w:pPr>
              <w:widowControl w:val="0"/>
              <w:jc w:val="both"/>
              <w:rPr>
                <w:rFonts w:hint="eastAsia" w:ascii="宋体" w:hAnsi="宋体" w:eastAsia="宋体" w:cs="宋体"/>
                <w:color w:val="auto"/>
                <w:kern w:val="2"/>
                <w:sz w:val="21"/>
                <w:szCs w:val="21"/>
                <w:highlight w:val="none"/>
                <w:lang w:val="en-US" w:eastAsia="zh-CN" w:bidi="ar-SA"/>
              </w:rPr>
            </w:pPr>
          </w:p>
        </w:tc>
      </w:tr>
      <w:tr w14:paraId="6912C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1" w:hRule="atLeast"/>
          <w:jc w:val="center"/>
        </w:trPr>
        <w:tc>
          <w:tcPr>
            <w:tcW w:w="1932" w:type="dxa"/>
            <w:vAlign w:val="center"/>
          </w:tcPr>
          <w:p w14:paraId="7BF4586E">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质量承诺</w:t>
            </w:r>
          </w:p>
        </w:tc>
        <w:tc>
          <w:tcPr>
            <w:tcW w:w="8240" w:type="dxa"/>
            <w:gridSpan w:val="3"/>
            <w:vAlign w:val="center"/>
          </w:tcPr>
          <w:p w14:paraId="305A3880">
            <w:pPr>
              <w:widowControl w:val="0"/>
              <w:jc w:val="both"/>
              <w:rPr>
                <w:rFonts w:hint="eastAsia" w:ascii="宋体" w:hAnsi="宋体" w:eastAsia="宋体" w:cs="宋体"/>
                <w:color w:val="auto"/>
                <w:kern w:val="2"/>
                <w:sz w:val="21"/>
                <w:szCs w:val="21"/>
                <w:highlight w:val="none"/>
                <w:lang w:val="en-US" w:eastAsia="zh-CN" w:bidi="ar-SA"/>
              </w:rPr>
            </w:pPr>
          </w:p>
        </w:tc>
      </w:tr>
      <w:tr w14:paraId="1906C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6" w:hRule="atLeast"/>
          <w:jc w:val="center"/>
        </w:trPr>
        <w:tc>
          <w:tcPr>
            <w:tcW w:w="1932" w:type="dxa"/>
            <w:vAlign w:val="center"/>
          </w:tcPr>
          <w:p w14:paraId="25FC703C">
            <w:pPr>
              <w:widowControl w:val="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投标保证金缴纳形式及金额</w:t>
            </w:r>
          </w:p>
        </w:tc>
        <w:tc>
          <w:tcPr>
            <w:tcW w:w="8240" w:type="dxa"/>
            <w:gridSpan w:val="3"/>
            <w:vAlign w:val="center"/>
          </w:tcPr>
          <w:p w14:paraId="05D1C566">
            <w:pPr>
              <w:widowControl w:val="0"/>
              <w:jc w:val="center"/>
              <w:rPr>
                <w:rFonts w:hint="eastAsia" w:ascii="宋体" w:hAnsi="宋体" w:eastAsia="宋体" w:cs="宋体"/>
                <w:color w:val="auto"/>
                <w:kern w:val="2"/>
                <w:sz w:val="21"/>
                <w:szCs w:val="21"/>
                <w:highlight w:val="none"/>
                <w:lang w:val="en-US" w:eastAsia="zh-CN" w:bidi="ar-SA"/>
              </w:rPr>
            </w:pPr>
          </w:p>
        </w:tc>
      </w:tr>
    </w:tbl>
    <w:p w14:paraId="184C2578">
      <w:pPr>
        <w:keepNext w:val="0"/>
        <w:keepLines w:val="0"/>
        <w:pageBreakBefore w:val="0"/>
        <w:widowControl w:val="0"/>
        <w:kinsoku/>
        <w:wordWrap w:val="0"/>
        <w:overflowPunct/>
        <w:bidi w:val="0"/>
        <w:snapToGrid/>
        <w:spacing w:line="413" w:lineRule="auto"/>
        <w:rPr>
          <w:rFonts w:hint="eastAsia" w:ascii="宋体" w:hAnsi="宋体" w:eastAsia="宋体" w:cs="宋体"/>
          <w:color w:val="auto"/>
          <w:sz w:val="21"/>
          <w:szCs w:val="21"/>
          <w:highlight w:val="none"/>
          <w:lang w:val="en-US" w:eastAsia="zh-CN"/>
        </w:rPr>
      </w:pPr>
    </w:p>
    <w:p w14:paraId="3B7A5726">
      <w:pPr>
        <w:keepNext w:val="0"/>
        <w:keepLines w:val="0"/>
        <w:pageBreakBefore w:val="0"/>
        <w:widowControl w:val="0"/>
        <w:kinsoku/>
        <w:wordWrap w:val="0"/>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（单位全称）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46399534">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62646183">
      <w:pPr>
        <w:keepNext w:val="0"/>
        <w:keepLines w:val="0"/>
        <w:pageBreakBefore w:val="0"/>
        <w:widowControl w:val="0"/>
        <w:kinsoku/>
        <w:overflowPunct/>
        <w:bidi w:val="0"/>
        <w:snapToGrid/>
        <w:spacing w:line="413" w:lineRule="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rPr>
          <w:rFonts w:hint="eastAsia" w:ascii="宋体" w:hAnsi="宋体" w:eastAsia="宋体" w:cs="宋体"/>
          <w:b/>
          <w:color w:val="auto"/>
          <w:kern w:val="2"/>
          <w:sz w:val="21"/>
          <w:szCs w:val="21"/>
          <w:highlight w:val="none"/>
          <w:lang w:val="en-US" w:eastAsia="zh-CN" w:bidi="ar-SA"/>
        </w:rPr>
        <w:br w:type="page"/>
      </w:r>
    </w:p>
    <w:p w14:paraId="1B579DA3">
      <w:pPr>
        <w:keepNext w:val="0"/>
        <w:keepLines w:val="0"/>
        <w:pageBreakBefore w:val="0"/>
        <w:widowControl w:val="0"/>
        <w:numPr>
          <w:ilvl w:val="0"/>
          <w:numId w:val="0"/>
        </w:numPr>
        <w:kinsoku/>
        <w:overflowPunct/>
        <w:bidi w:val="0"/>
        <w:snapToGrid/>
        <w:spacing w:line="413" w:lineRule="auto"/>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二、报价明细表</w:t>
      </w:r>
    </w:p>
    <w:tbl>
      <w:tblPr>
        <w:tblStyle w:val="32"/>
        <w:tblW w:w="97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73"/>
        <w:gridCol w:w="1825"/>
        <w:gridCol w:w="3325"/>
        <w:gridCol w:w="1276"/>
        <w:gridCol w:w="1875"/>
      </w:tblGrid>
      <w:tr w14:paraId="05900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87" w:hRule="atLeast"/>
          <w:jc w:val="center"/>
        </w:trPr>
        <w:tc>
          <w:tcPr>
            <w:tcW w:w="1473" w:type="dxa"/>
            <w:vAlign w:val="center"/>
          </w:tcPr>
          <w:p w14:paraId="66B936D4">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项目内容</w:t>
            </w:r>
          </w:p>
        </w:tc>
        <w:tc>
          <w:tcPr>
            <w:tcW w:w="1825" w:type="dxa"/>
            <w:vAlign w:val="center"/>
          </w:tcPr>
          <w:p w14:paraId="4AA56421">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标的名称</w:t>
            </w:r>
          </w:p>
        </w:tc>
        <w:tc>
          <w:tcPr>
            <w:tcW w:w="3325" w:type="dxa"/>
            <w:vAlign w:val="center"/>
          </w:tcPr>
          <w:p w14:paraId="2FEBB2CE">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报价内容</w:t>
            </w:r>
          </w:p>
        </w:tc>
        <w:tc>
          <w:tcPr>
            <w:tcW w:w="1276" w:type="dxa"/>
            <w:vAlign w:val="center"/>
          </w:tcPr>
          <w:p w14:paraId="35E733A9">
            <w:pPr>
              <w:widowControl w:val="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品牌</w:t>
            </w:r>
          </w:p>
        </w:tc>
        <w:tc>
          <w:tcPr>
            <w:tcW w:w="1875" w:type="dxa"/>
            <w:vAlign w:val="center"/>
          </w:tcPr>
          <w:p w14:paraId="4F465445">
            <w:pPr>
              <w:widowControl w:val="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规格型号</w:t>
            </w:r>
          </w:p>
        </w:tc>
      </w:tr>
      <w:tr w14:paraId="541F2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1473" w:type="dxa"/>
            <w:vMerge w:val="restart"/>
            <w:vAlign w:val="center"/>
          </w:tcPr>
          <w:p w14:paraId="23CDE7A1">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投标报价明细（上浮/下浮率）</w:t>
            </w:r>
          </w:p>
        </w:tc>
        <w:tc>
          <w:tcPr>
            <w:tcW w:w="1825" w:type="dxa"/>
            <w:tcBorders>
              <w:bottom w:val="single" w:color="auto" w:sz="4" w:space="0"/>
            </w:tcBorders>
            <w:vAlign w:val="center"/>
          </w:tcPr>
          <w:p w14:paraId="16DEB44F">
            <w:pPr>
              <w:keepNext w:val="0"/>
              <w:keepLines w:val="0"/>
              <w:widowControl/>
              <w:suppressLineNumbers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肉食品类</w:t>
            </w:r>
          </w:p>
        </w:tc>
        <w:tc>
          <w:tcPr>
            <w:tcW w:w="3325" w:type="dxa"/>
            <w:tcBorders>
              <w:bottom w:val="single" w:color="auto" w:sz="4" w:space="0"/>
            </w:tcBorders>
            <w:vAlign w:val="center"/>
          </w:tcPr>
          <w:p w14:paraId="3EFE07CD">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u w:val="none"/>
                <w:lang w:val="en-US" w:eastAsia="zh-CN" w:bidi="ar-SA"/>
              </w:rPr>
              <w:t>在每月备案锁定的定点屠宰</w:t>
            </w:r>
            <w:r>
              <w:rPr>
                <w:rFonts w:hint="eastAsia" w:ascii="宋体" w:hAnsi="宋体" w:cs="宋体"/>
                <w:color w:val="auto"/>
                <w:kern w:val="2"/>
                <w:sz w:val="21"/>
                <w:szCs w:val="21"/>
                <w:highlight w:val="none"/>
                <w:u w:val="none"/>
                <w:lang w:val="en-US" w:eastAsia="zh-CN" w:bidi="ar-SA"/>
              </w:rPr>
              <w:t>场</w:t>
            </w:r>
            <w:r>
              <w:rPr>
                <w:rFonts w:hint="eastAsia" w:ascii="宋体" w:hAnsi="宋体" w:eastAsia="宋体" w:cs="宋体"/>
                <w:color w:val="auto"/>
                <w:kern w:val="2"/>
                <w:sz w:val="21"/>
                <w:szCs w:val="21"/>
                <w:highlight w:val="none"/>
                <w:u w:val="none"/>
                <w:lang w:val="en-US" w:eastAsia="zh-CN" w:bidi="ar-SA"/>
              </w:rPr>
              <w:t>批发单价基础上</w:t>
            </w:r>
            <w:r>
              <w:rPr>
                <w:rFonts w:hint="eastAsia" w:ascii="宋体" w:hAnsi="宋体" w:cs="宋体"/>
                <w:color w:val="auto"/>
                <w:kern w:val="2"/>
                <w:sz w:val="21"/>
                <w:szCs w:val="21"/>
                <w:highlight w:val="none"/>
                <w:u w:val="none"/>
                <w:lang w:val="en-US" w:eastAsia="zh-CN" w:bidi="ar-SA"/>
              </w:rPr>
              <w:t>上浮</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w:t>
            </w:r>
          </w:p>
        </w:tc>
        <w:tc>
          <w:tcPr>
            <w:tcW w:w="1276" w:type="dxa"/>
            <w:vAlign w:val="center"/>
          </w:tcPr>
          <w:p w14:paraId="2BC1CBA4">
            <w:pPr>
              <w:widowControl w:val="0"/>
              <w:jc w:val="center"/>
              <w:rPr>
                <w:rFonts w:hint="eastAsia" w:ascii="宋体" w:hAnsi="宋体" w:eastAsia="宋体" w:cs="宋体"/>
                <w:color w:val="auto"/>
                <w:kern w:val="2"/>
                <w:sz w:val="21"/>
                <w:szCs w:val="21"/>
                <w:highlight w:val="none"/>
                <w:lang w:val="en-US" w:eastAsia="zh-CN" w:bidi="ar-SA"/>
              </w:rPr>
            </w:pPr>
          </w:p>
        </w:tc>
        <w:tc>
          <w:tcPr>
            <w:tcW w:w="1875" w:type="dxa"/>
            <w:vAlign w:val="center"/>
          </w:tcPr>
          <w:p w14:paraId="218F569C">
            <w:pPr>
              <w:widowControl w:val="0"/>
              <w:jc w:val="center"/>
              <w:rPr>
                <w:rFonts w:hint="eastAsia" w:ascii="宋体" w:hAnsi="宋体" w:eastAsia="宋体" w:cs="宋体"/>
                <w:color w:val="auto"/>
                <w:kern w:val="2"/>
                <w:sz w:val="21"/>
                <w:szCs w:val="21"/>
                <w:highlight w:val="none"/>
                <w:lang w:val="en-US" w:eastAsia="zh-CN" w:bidi="ar-SA"/>
              </w:rPr>
            </w:pPr>
          </w:p>
        </w:tc>
      </w:tr>
      <w:tr w14:paraId="6A98FF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1473" w:type="dxa"/>
            <w:vMerge w:val="continue"/>
            <w:vAlign w:val="center"/>
          </w:tcPr>
          <w:p w14:paraId="0B8D61D7">
            <w:pPr>
              <w:widowControl w:val="0"/>
              <w:jc w:val="center"/>
              <w:rPr>
                <w:rFonts w:hint="eastAsia" w:ascii="宋体" w:hAnsi="宋体" w:eastAsia="宋体" w:cs="宋体"/>
                <w:color w:val="auto"/>
                <w:kern w:val="2"/>
                <w:sz w:val="21"/>
                <w:szCs w:val="21"/>
                <w:highlight w:val="none"/>
                <w:lang w:val="en-US" w:eastAsia="zh-CN" w:bidi="ar-SA"/>
              </w:rPr>
            </w:pPr>
          </w:p>
        </w:tc>
        <w:tc>
          <w:tcPr>
            <w:tcW w:w="1825" w:type="dxa"/>
            <w:tcBorders>
              <w:top w:val="single" w:color="auto" w:sz="4" w:space="0"/>
              <w:bottom w:val="single" w:color="auto" w:sz="4" w:space="0"/>
            </w:tcBorders>
            <w:vAlign w:val="center"/>
          </w:tcPr>
          <w:p w14:paraId="41193A21">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蔬菜类</w:t>
            </w:r>
          </w:p>
        </w:tc>
        <w:tc>
          <w:tcPr>
            <w:tcW w:w="3325" w:type="dxa"/>
            <w:tcBorders>
              <w:top w:val="single" w:color="auto" w:sz="4" w:space="0"/>
              <w:bottom w:val="single" w:color="auto" w:sz="4" w:space="0"/>
            </w:tcBorders>
            <w:vAlign w:val="center"/>
          </w:tcPr>
          <w:p w14:paraId="30F231AD">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在当期询价确定的市场基准价基础上下浮</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w:t>
            </w:r>
          </w:p>
        </w:tc>
        <w:tc>
          <w:tcPr>
            <w:tcW w:w="1276" w:type="dxa"/>
            <w:vAlign w:val="center"/>
          </w:tcPr>
          <w:p w14:paraId="4F5CDA8F">
            <w:pPr>
              <w:widowControl w:val="0"/>
              <w:jc w:val="center"/>
              <w:rPr>
                <w:rFonts w:hint="eastAsia" w:ascii="宋体" w:hAnsi="宋体" w:eastAsia="宋体" w:cs="宋体"/>
                <w:color w:val="auto"/>
                <w:kern w:val="2"/>
                <w:sz w:val="21"/>
                <w:szCs w:val="21"/>
                <w:highlight w:val="none"/>
                <w:lang w:val="en-US" w:eastAsia="zh-CN" w:bidi="ar-SA"/>
              </w:rPr>
            </w:pPr>
          </w:p>
        </w:tc>
        <w:tc>
          <w:tcPr>
            <w:tcW w:w="1875" w:type="dxa"/>
            <w:vAlign w:val="center"/>
          </w:tcPr>
          <w:p w14:paraId="41DFB1CC">
            <w:pPr>
              <w:widowControl w:val="0"/>
              <w:jc w:val="center"/>
              <w:rPr>
                <w:rFonts w:hint="eastAsia" w:ascii="宋体" w:hAnsi="宋体" w:eastAsia="宋体" w:cs="宋体"/>
                <w:color w:val="auto"/>
                <w:kern w:val="2"/>
                <w:sz w:val="21"/>
                <w:szCs w:val="21"/>
                <w:highlight w:val="none"/>
                <w:lang w:val="en-US" w:eastAsia="zh-CN" w:bidi="ar-SA"/>
              </w:rPr>
            </w:pPr>
          </w:p>
        </w:tc>
      </w:tr>
      <w:tr w14:paraId="1A3EC8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7" w:hRule="atLeast"/>
          <w:jc w:val="center"/>
        </w:trPr>
        <w:tc>
          <w:tcPr>
            <w:tcW w:w="1473" w:type="dxa"/>
            <w:vMerge w:val="continue"/>
            <w:vAlign w:val="center"/>
          </w:tcPr>
          <w:p w14:paraId="0A190802">
            <w:pPr>
              <w:widowControl w:val="0"/>
              <w:jc w:val="center"/>
              <w:rPr>
                <w:rFonts w:hint="eastAsia" w:ascii="宋体" w:hAnsi="宋体" w:eastAsia="宋体" w:cs="宋体"/>
                <w:color w:val="auto"/>
                <w:kern w:val="2"/>
                <w:sz w:val="21"/>
                <w:szCs w:val="21"/>
                <w:highlight w:val="none"/>
                <w:lang w:val="en-US" w:eastAsia="zh-CN" w:bidi="ar-SA"/>
              </w:rPr>
            </w:pPr>
          </w:p>
        </w:tc>
        <w:tc>
          <w:tcPr>
            <w:tcW w:w="1825" w:type="dxa"/>
            <w:tcBorders>
              <w:top w:val="single" w:color="auto" w:sz="4" w:space="0"/>
              <w:bottom w:val="single" w:color="auto" w:sz="4" w:space="0"/>
            </w:tcBorders>
            <w:vAlign w:val="center"/>
          </w:tcPr>
          <w:p w14:paraId="792A9590">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辅料类</w:t>
            </w:r>
          </w:p>
        </w:tc>
        <w:tc>
          <w:tcPr>
            <w:tcW w:w="3325" w:type="dxa"/>
            <w:tcBorders>
              <w:top w:val="single" w:color="auto" w:sz="4" w:space="0"/>
              <w:bottom w:val="single" w:color="auto" w:sz="4" w:space="0"/>
            </w:tcBorders>
            <w:vAlign w:val="center"/>
          </w:tcPr>
          <w:p w14:paraId="7D61F26E">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在当期询价确定的市场基准价基础上下浮</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w:t>
            </w:r>
          </w:p>
        </w:tc>
        <w:tc>
          <w:tcPr>
            <w:tcW w:w="1276" w:type="dxa"/>
            <w:vAlign w:val="center"/>
          </w:tcPr>
          <w:p w14:paraId="630AB638">
            <w:pPr>
              <w:widowControl w:val="0"/>
              <w:jc w:val="center"/>
              <w:rPr>
                <w:rFonts w:hint="eastAsia" w:ascii="宋体" w:hAnsi="宋体" w:eastAsia="宋体" w:cs="宋体"/>
                <w:color w:val="auto"/>
                <w:kern w:val="2"/>
                <w:sz w:val="21"/>
                <w:szCs w:val="21"/>
                <w:highlight w:val="none"/>
                <w:lang w:val="en-US" w:eastAsia="zh-CN" w:bidi="ar-SA"/>
              </w:rPr>
            </w:pPr>
          </w:p>
        </w:tc>
        <w:tc>
          <w:tcPr>
            <w:tcW w:w="1875" w:type="dxa"/>
            <w:vAlign w:val="center"/>
          </w:tcPr>
          <w:p w14:paraId="173EFC12">
            <w:pPr>
              <w:widowControl w:val="0"/>
              <w:jc w:val="center"/>
              <w:rPr>
                <w:rFonts w:hint="eastAsia" w:ascii="宋体" w:hAnsi="宋体" w:eastAsia="宋体" w:cs="宋体"/>
                <w:color w:val="auto"/>
                <w:kern w:val="2"/>
                <w:sz w:val="21"/>
                <w:szCs w:val="21"/>
                <w:highlight w:val="none"/>
                <w:lang w:val="en-US" w:eastAsia="zh-CN" w:bidi="ar-SA"/>
              </w:rPr>
            </w:pPr>
          </w:p>
        </w:tc>
      </w:tr>
    </w:tbl>
    <w:p w14:paraId="173CB7AB">
      <w:pPr>
        <w:keepNext w:val="0"/>
        <w:keepLines w:val="0"/>
        <w:pageBreakBefore w:val="0"/>
        <w:widowControl w:val="0"/>
        <w:kinsoku/>
        <w:overflowPunct/>
        <w:bidi w:val="0"/>
        <w:snapToGrid/>
        <w:spacing w:line="413" w:lineRule="auto"/>
        <w:jc w:val="center"/>
        <w:rPr>
          <w:rFonts w:hint="default" w:ascii="宋体" w:hAnsi="宋体" w:eastAsia="宋体" w:cs="宋体"/>
          <w:b/>
          <w:color w:val="auto"/>
          <w:kern w:val="2"/>
          <w:sz w:val="36"/>
          <w:szCs w:val="36"/>
          <w:highlight w:val="none"/>
          <w:lang w:val="en-US" w:eastAsia="zh-CN" w:bidi="ar-SA"/>
        </w:rPr>
      </w:pPr>
    </w:p>
    <w:p w14:paraId="70B727DA">
      <w:pPr>
        <w:rPr>
          <w:rFonts w:hint="eastAsia" w:ascii="宋体" w:hAnsi="宋体" w:eastAsia="宋体" w:cs="宋体"/>
          <w:b/>
          <w:color w:val="auto"/>
          <w:kern w:val="2"/>
          <w:sz w:val="36"/>
          <w:szCs w:val="36"/>
          <w:highlight w:val="none"/>
          <w:lang w:val="en-US" w:eastAsia="zh-CN" w:bidi="ar-SA"/>
        </w:rPr>
      </w:pPr>
      <w:r>
        <w:rPr>
          <w:rFonts w:hint="eastAsia" w:ascii="宋体" w:hAnsi="宋体" w:eastAsia="宋体" w:cs="宋体"/>
          <w:b/>
          <w:color w:val="auto"/>
          <w:kern w:val="2"/>
          <w:sz w:val="36"/>
          <w:szCs w:val="36"/>
          <w:highlight w:val="none"/>
          <w:lang w:val="en-US" w:eastAsia="zh-CN" w:bidi="ar-SA"/>
        </w:rPr>
        <w:br w:type="page"/>
      </w:r>
    </w:p>
    <w:p w14:paraId="1FE9BC34">
      <w:pPr>
        <w:keepNext w:val="0"/>
        <w:keepLines w:val="0"/>
        <w:pageBreakBefore w:val="0"/>
        <w:widowControl w:val="0"/>
        <w:kinsoku/>
        <w:overflowPunct/>
        <w:bidi w:val="0"/>
        <w:snapToGrid/>
        <w:spacing w:line="413" w:lineRule="auto"/>
        <w:jc w:val="center"/>
        <w:rPr>
          <w:rFonts w:hint="eastAsia" w:ascii="宋体" w:hAnsi="宋体" w:cs="宋体"/>
          <w:b/>
          <w:color w:val="auto"/>
          <w:kern w:val="2"/>
          <w:sz w:val="36"/>
          <w:szCs w:val="36"/>
          <w:highlight w:val="none"/>
          <w:lang w:val="en-US" w:eastAsia="zh-CN" w:bidi="ar-SA"/>
        </w:rPr>
      </w:pPr>
    </w:p>
    <w:p w14:paraId="3EE8EC0C">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6"/>
          <w:szCs w:val="21"/>
          <w:highlight w:val="none"/>
          <w:lang w:val="en-US" w:eastAsia="zh-CN" w:bidi="ar-SA"/>
        </w:rPr>
      </w:pPr>
      <w:r>
        <w:rPr>
          <w:rFonts w:hint="eastAsia" w:ascii="宋体" w:hAnsi="宋体" w:cs="宋体"/>
          <w:b/>
          <w:color w:val="auto"/>
          <w:kern w:val="2"/>
          <w:sz w:val="36"/>
          <w:szCs w:val="36"/>
          <w:highlight w:val="none"/>
          <w:lang w:val="en-US" w:eastAsia="zh-CN" w:bidi="ar-SA"/>
        </w:rPr>
        <w:t>临翔区2026年学校学生食堂食材采购项目</w:t>
      </w:r>
    </w:p>
    <w:p w14:paraId="06E78F99">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2"/>
          <w:highlight w:val="none"/>
          <w:lang w:val="en-US" w:eastAsia="zh-CN" w:bidi="ar-SA"/>
        </w:rPr>
      </w:pPr>
    </w:p>
    <w:p w14:paraId="09ACB83E">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2"/>
          <w:highlight w:val="none"/>
          <w:lang w:val="en-US" w:eastAsia="zh-CN" w:bidi="ar-SA"/>
        </w:rPr>
      </w:pPr>
    </w:p>
    <w:p w14:paraId="71A944B4">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32"/>
          <w:highlight w:val="none"/>
          <w:lang w:val="en-US" w:eastAsia="zh-CN" w:bidi="ar-SA"/>
        </w:rPr>
      </w:pPr>
    </w:p>
    <w:p w14:paraId="50E8DD3D">
      <w:pPr>
        <w:keepNext w:val="0"/>
        <w:keepLines w:val="0"/>
        <w:pageBreakBefore w:val="0"/>
        <w:widowControl w:val="0"/>
        <w:kinsoku/>
        <w:overflowPunct/>
        <w:bidi w:val="0"/>
        <w:snapToGrid/>
        <w:spacing w:line="413" w:lineRule="auto"/>
        <w:jc w:val="both"/>
        <w:rPr>
          <w:rFonts w:hint="eastAsia" w:ascii="宋体" w:hAnsi="宋体" w:eastAsia="宋体" w:cs="宋体"/>
          <w:b/>
          <w:color w:val="auto"/>
          <w:kern w:val="2"/>
          <w:sz w:val="32"/>
          <w:highlight w:val="none"/>
          <w:lang w:val="en-US" w:eastAsia="zh-CN" w:bidi="ar-SA"/>
        </w:rPr>
      </w:pPr>
    </w:p>
    <w:p w14:paraId="07F8DAA7">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48"/>
          <w:highlight w:val="none"/>
          <w:lang w:val="en-US" w:eastAsia="zh-CN" w:bidi="ar-SA"/>
        </w:rPr>
      </w:pPr>
    </w:p>
    <w:p w14:paraId="5F38FA7D">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48"/>
          <w:highlight w:val="none"/>
          <w:lang w:val="en-US" w:eastAsia="zh-CN" w:bidi="ar-SA"/>
        </w:rPr>
      </w:pPr>
      <w:r>
        <w:rPr>
          <w:rFonts w:hint="eastAsia" w:ascii="宋体" w:hAnsi="宋体" w:eastAsia="宋体" w:cs="宋体"/>
          <w:b/>
          <w:color w:val="auto"/>
          <w:kern w:val="2"/>
          <w:sz w:val="48"/>
          <w:highlight w:val="none"/>
          <w:lang w:val="en-US" w:eastAsia="zh-CN" w:bidi="ar-SA"/>
        </w:rPr>
        <w:t>第四部分  技术文件部分</w:t>
      </w:r>
    </w:p>
    <w:p w14:paraId="7B93DF07">
      <w:pPr>
        <w:keepNext w:val="0"/>
        <w:keepLines w:val="0"/>
        <w:pageBreakBefore w:val="0"/>
        <w:widowControl w:val="0"/>
        <w:kinsoku/>
        <w:overflowPunct/>
        <w:bidi w:val="0"/>
        <w:snapToGrid/>
        <w:spacing w:line="413" w:lineRule="auto"/>
        <w:jc w:val="center"/>
        <w:rPr>
          <w:rFonts w:hint="eastAsia" w:ascii="宋体" w:hAnsi="宋体" w:eastAsia="宋体" w:cs="宋体"/>
          <w:b/>
          <w:color w:val="auto"/>
          <w:kern w:val="2"/>
          <w:sz w:val="72"/>
          <w:highlight w:val="none"/>
          <w:lang w:val="en-US" w:eastAsia="zh-CN" w:bidi="ar-SA"/>
        </w:rPr>
      </w:pPr>
    </w:p>
    <w:p w14:paraId="54C3DAF4">
      <w:pPr>
        <w:keepNext w:val="0"/>
        <w:keepLines w:val="0"/>
        <w:pageBreakBefore w:val="0"/>
        <w:widowControl w:val="0"/>
        <w:kinsoku/>
        <w:overflowPunct/>
        <w:bidi w:val="0"/>
        <w:snapToGrid/>
        <w:spacing w:line="413" w:lineRule="auto"/>
        <w:ind w:firstLine="480" w:firstLineChars="200"/>
        <w:rPr>
          <w:rFonts w:hint="eastAsia" w:ascii="宋体" w:hAnsi="宋体" w:eastAsia="宋体" w:cs="宋体"/>
          <w:color w:val="auto"/>
          <w:sz w:val="24"/>
          <w:highlight w:val="none"/>
        </w:rPr>
      </w:pPr>
    </w:p>
    <w:p w14:paraId="0BE8FF85">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3EDC5E59">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5E800C1B">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3195CCCF">
      <w:pPr>
        <w:keepNext w:val="0"/>
        <w:keepLines w:val="0"/>
        <w:pageBreakBefore w:val="0"/>
        <w:widowControl w:val="0"/>
        <w:kinsoku/>
        <w:overflowPunct/>
        <w:bidi w:val="0"/>
        <w:snapToGrid/>
        <w:spacing w:after="120" w:afterLines="0" w:afterAutospacing="0" w:line="413" w:lineRule="auto"/>
        <w:jc w:val="both"/>
        <w:rPr>
          <w:rFonts w:hint="eastAsia" w:ascii="宋体" w:hAnsi="宋体" w:eastAsia="宋体" w:cs="宋体"/>
          <w:color w:val="auto"/>
          <w:kern w:val="2"/>
          <w:sz w:val="24"/>
          <w:highlight w:val="none"/>
          <w:lang w:val="en-US" w:eastAsia="zh-CN" w:bidi="ar-SA"/>
        </w:rPr>
      </w:pPr>
    </w:p>
    <w:p w14:paraId="0CEC3265">
      <w:pPr>
        <w:keepNext w:val="0"/>
        <w:keepLines w:val="0"/>
        <w:pageBreakBefore w:val="0"/>
        <w:widowControl w:val="0"/>
        <w:kinsoku/>
        <w:overflowPunct/>
        <w:bidi w:val="0"/>
        <w:snapToGrid/>
        <w:spacing w:line="413" w:lineRule="auto"/>
        <w:ind w:firstLine="1200" w:firstLineChars="5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（单位全称）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电子签章</w:t>
      </w:r>
      <w:r>
        <w:rPr>
          <w:rFonts w:hint="eastAsia" w:ascii="宋体" w:hAnsi="宋体" w:eastAsia="宋体" w:cs="宋体"/>
          <w:color w:val="auto"/>
          <w:sz w:val="24"/>
          <w:szCs w:val="24"/>
          <w:highlight w:val="none"/>
          <w:lang w:eastAsia="zh-CN"/>
        </w:rPr>
        <w:t>）</w:t>
      </w:r>
    </w:p>
    <w:p w14:paraId="5DE81E03">
      <w:pPr>
        <w:keepNext w:val="0"/>
        <w:keepLines w:val="0"/>
        <w:pageBreakBefore w:val="0"/>
        <w:widowControl w:val="0"/>
        <w:kinsoku/>
        <w:overflowPunct/>
        <w:bidi w:val="0"/>
        <w:snapToGrid/>
        <w:spacing w:line="413" w:lineRule="auto"/>
        <w:ind w:firstLine="1200" w:firstLineChars="500"/>
        <w:jc w:val="both"/>
        <w:outlineLvl w:val="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法定代表人（或委托代理人）：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（电子签章）</w:t>
      </w:r>
    </w:p>
    <w:p w14:paraId="44969708">
      <w:pPr>
        <w:keepNext w:val="0"/>
        <w:keepLines w:val="0"/>
        <w:pageBreakBefore w:val="0"/>
        <w:widowControl w:val="0"/>
        <w:kinsoku/>
        <w:overflowPunct/>
        <w:bidi w:val="0"/>
        <w:snapToGrid/>
        <w:spacing w:line="413" w:lineRule="auto"/>
        <w:ind w:firstLine="3120" w:firstLineChars="1300"/>
        <w:jc w:val="both"/>
        <w:outlineLvl w:val="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月</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w:t>
      </w:r>
    </w:p>
    <w:p w14:paraId="63087937">
      <w:pP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p>
    <w:p w14:paraId="3CF6C3EB">
      <w:pPr>
        <w:keepNext w:val="0"/>
        <w:keepLines w:val="0"/>
        <w:pageBreakBefore w:val="0"/>
        <w:widowControl w:val="0"/>
        <w:kinsoku/>
        <w:overflowPunct/>
        <w:bidi w:val="0"/>
        <w:snapToGrid/>
        <w:spacing w:line="413" w:lineRule="auto"/>
        <w:jc w:val="cente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一</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技术</w:t>
      </w:r>
      <w:r>
        <w:rPr>
          <w:rFonts w:hint="eastAsia" w:ascii="宋体" w:hAnsi="宋体" w:eastAsia="宋体" w:cs="宋体"/>
          <w:b/>
          <w:color w:val="auto"/>
          <w:sz w:val="21"/>
          <w:szCs w:val="21"/>
          <w:highlight w:val="none"/>
        </w:rPr>
        <w:t>条款偏离表</w:t>
      </w:r>
    </w:p>
    <w:p w14:paraId="7080DBAA">
      <w:pPr>
        <w:keepNext w:val="0"/>
        <w:keepLines w:val="0"/>
        <w:pageBreakBefore w:val="0"/>
        <w:widowControl w:val="0"/>
        <w:kinsoku/>
        <w:overflowPunct/>
        <w:bidi w:val="0"/>
        <w:snapToGrid/>
        <w:spacing w:line="413"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项目名称： </w:t>
      </w:r>
    </w:p>
    <w:tbl>
      <w:tblPr>
        <w:tblStyle w:val="32"/>
        <w:tblW w:w="96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7"/>
        <w:gridCol w:w="1212"/>
        <w:gridCol w:w="3719"/>
        <w:gridCol w:w="2709"/>
        <w:gridCol w:w="1150"/>
      </w:tblGrid>
      <w:tr w14:paraId="0F0E0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jc w:val="center"/>
        </w:trPr>
        <w:tc>
          <w:tcPr>
            <w:tcW w:w="817" w:type="dxa"/>
            <w:vAlign w:val="center"/>
          </w:tcPr>
          <w:p w14:paraId="4A21D141">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序号</w:t>
            </w:r>
          </w:p>
        </w:tc>
        <w:tc>
          <w:tcPr>
            <w:tcW w:w="1212" w:type="dxa"/>
            <w:vAlign w:val="center"/>
          </w:tcPr>
          <w:p w14:paraId="7A9CF850">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default" w:ascii="宋体" w:hAnsi="宋体" w:eastAsia="宋体" w:cs="宋体"/>
                <w:color w:val="auto"/>
                <w:sz w:val="21"/>
                <w:highlight w:val="none"/>
                <w:lang w:val="en-US" w:eastAsia="zh-CN"/>
              </w:rPr>
            </w:pPr>
            <w:r>
              <w:rPr>
                <w:rFonts w:hint="eastAsia" w:cs="宋体"/>
                <w:color w:val="auto"/>
                <w:sz w:val="21"/>
                <w:highlight w:val="none"/>
                <w:lang w:val="en-US" w:eastAsia="zh-CN"/>
              </w:rPr>
              <w:t>货物名称</w:t>
            </w:r>
          </w:p>
        </w:tc>
        <w:tc>
          <w:tcPr>
            <w:tcW w:w="3719" w:type="dxa"/>
            <w:shd w:val="clear" w:color="auto" w:fill="auto"/>
            <w:vAlign w:val="center"/>
          </w:tcPr>
          <w:p w14:paraId="4AB96FCF">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color w:val="auto"/>
                <w:kern w:val="2"/>
                <w:sz w:val="21"/>
                <w:highlight w:val="none"/>
                <w:lang w:val="en-US" w:eastAsia="zh-CN" w:bidi="zh-CN"/>
              </w:rPr>
            </w:pPr>
            <w:r>
              <w:rPr>
                <w:rFonts w:hint="eastAsia" w:ascii="宋体" w:hAnsi="宋体" w:eastAsia="宋体" w:cs="宋体"/>
                <w:color w:val="auto"/>
                <w:sz w:val="21"/>
                <w:highlight w:val="none"/>
                <w:lang w:eastAsia="zh-CN"/>
              </w:rPr>
              <w:t>招标</w:t>
            </w:r>
            <w:r>
              <w:rPr>
                <w:rFonts w:hint="eastAsia" w:ascii="宋体" w:hAnsi="宋体" w:eastAsia="宋体" w:cs="宋体"/>
                <w:color w:val="auto"/>
                <w:sz w:val="21"/>
                <w:highlight w:val="none"/>
              </w:rPr>
              <w:t>文件技术要求</w:t>
            </w:r>
          </w:p>
        </w:tc>
        <w:tc>
          <w:tcPr>
            <w:tcW w:w="2709" w:type="dxa"/>
            <w:shd w:val="clear" w:color="auto" w:fill="auto"/>
            <w:vAlign w:val="center"/>
          </w:tcPr>
          <w:p w14:paraId="18CF5F2B">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default" w:ascii="宋体" w:hAnsi="宋体" w:eastAsia="宋体" w:cs="宋体"/>
                <w:color w:val="auto"/>
                <w:kern w:val="2"/>
                <w:sz w:val="21"/>
                <w:highlight w:val="none"/>
                <w:lang w:val="en-US" w:eastAsia="zh-CN" w:bidi="zh-CN"/>
              </w:rPr>
            </w:pPr>
            <w:r>
              <w:rPr>
                <w:rFonts w:hint="eastAsia" w:ascii="宋体" w:hAnsi="宋体" w:eastAsia="宋体" w:cs="宋体"/>
                <w:color w:val="auto"/>
                <w:sz w:val="21"/>
                <w:highlight w:val="none"/>
                <w:lang w:eastAsia="zh-CN"/>
              </w:rPr>
              <w:t>投标</w:t>
            </w:r>
            <w:r>
              <w:rPr>
                <w:rFonts w:hint="eastAsia" w:ascii="宋体" w:hAnsi="宋体" w:eastAsia="宋体" w:cs="宋体"/>
                <w:color w:val="auto"/>
                <w:sz w:val="21"/>
                <w:highlight w:val="none"/>
              </w:rPr>
              <w:t>文件对应</w:t>
            </w:r>
            <w:r>
              <w:rPr>
                <w:rFonts w:hint="eastAsia" w:ascii="宋体" w:hAnsi="宋体" w:eastAsia="宋体" w:cs="宋体"/>
                <w:color w:val="auto"/>
                <w:sz w:val="21"/>
                <w:highlight w:val="none"/>
                <w:lang w:val="en-US" w:eastAsia="zh-CN"/>
              </w:rPr>
              <w:t>技术响应</w:t>
            </w:r>
          </w:p>
        </w:tc>
        <w:tc>
          <w:tcPr>
            <w:tcW w:w="1150" w:type="dxa"/>
            <w:shd w:val="clear" w:color="auto" w:fill="auto"/>
            <w:vAlign w:val="center"/>
          </w:tcPr>
          <w:p w14:paraId="2CBB3830">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color w:val="auto"/>
                <w:kern w:val="2"/>
                <w:sz w:val="21"/>
                <w:highlight w:val="none"/>
                <w:lang w:val="zh-CN" w:eastAsia="zh-CN" w:bidi="zh-CN"/>
              </w:rPr>
            </w:pPr>
            <w:r>
              <w:rPr>
                <w:rFonts w:hint="eastAsia" w:ascii="宋体" w:hAnsi="宋体" w:eastAsia="宋体" w:cs="宋体"/>
                <w:color w:val="auto"/>
                <w:sz w:val="21"/>
                <w:highlight w:val="none"/>
              </w:rPr>
              <w:t>偏离</w:t>
            </w:r>
          </w:p>
        </w:tc>
      </w:tr>
      <w:tr w14:paraId="081CC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jc w:val="center"/>
        </w:trPr>
        <w:tc>
          <w:tcPr>
            <w:tcW w:w="817" w:type="dxa"/>
            <w:vMerge w:val="restart"/>
            <w:vAlign w:val="center"/>
          </w:tcPr>
          <w:p w14:paraId="55CB44D7">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color w:val="auto"/>
                <w:sz w:val="21"/>
                <w:highlight w:val="none"/>
                <w:lang w:val="en-US" w:eastAsia="zh-CN"/>
              </w:rPr>
            </w:pPr>
            <w:r>
              <w:rPr>
                <w:rFonts w:hint="eastAsia" w:cs="宋体"/>
                <w:color w:val="auto"/>
                <w:w w:val="100"/>
                <w:sz w:val="21"/>
                <w:highlight w:val="none"/>
                <w:lang w:val="en-US" w:eastAsia="zh-CN"/>
              </w:rPr>
              <w:t>1</w:t>
            </w:r>
          </w:p>
        </w:tc>
        <w:tc>
          <w:tcPr>
            <w:tcW w:w="1212" w:type="dxa"/>
            <w:vMerge w:val="restart"/>
            <w:vAlign w:val="center"/>
          </w:tcPr>
          <w:p w14:paraId="4D1663B3">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default" w:ascii="宋体" w:hAnsi="宋体" w:eastAsia="宋体" w:cs="宋体"/>
                <w:color w:val="auto"/>
                <w:sz w:val="21"/>
                <w:highlight w:val="none"/>
                <w:lang w:val="en-US" w:eastAsia="zh-CN"/>
              </w:rPr>
            </w:pPr>
            <w:r>
              <w:rPr>
                <w:rFonts w:hint="eastAsia" w:cs="宋体"/>
                <w:color w:val="auto"/>
                <w:sz w:val="21"/>
                <w:highlight w:val="none"/>
                <w:lang w:val="en-US" w:eastAsia="zh-CN"/>
              </w:rPr>
              <w:t>肉食品类</w:t>
            </w:r>
          </w:p>
        </w:tc>
        <w:tc>
          <w:tcPr>
            <w:tcW w:w="3719" w:type="dxa"/>
            <w:shd w:val="clear" w:color="auto" w:fill="auto"/>
            <w:vAlign w:val="center"/>
          </w:tcPr>
          <w:p w14:paraId="44125C32">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猪肉：</w:t>
            </w:r>
          </w:p>
          <w:p w14:paraId="68A80673">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1.猪肉必须为当天宰杀白条猪，每头猪不低于100公斤；</w:t>
            </w:r>
          </w:p>
          <w:p w14:paraId="39A6FC23">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2.猪肉应为当天宰杀的鲜肉，应整块送至学校，每块猪肉应加盖检疫验讫章和肉品品质检验合格验讫章，不允许配送绞切分割的肉及冰冻肉，拒绝母猪、种公猪猪肉、病死猪肉及疫区猪肉；</w:t>
            </w:r>
          </w:p>
          <w:p w14:paraId="09B5BA4D">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3.猪肉配送要求全程冷链（冷藏设备配送），并保证猪肉新鲜、干净卫生、无异味；</w:t>
            </w:r>
          </w:p>
          <w:p w14:paraId="2C3E38EC">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4.配送时随猪肉附《动物产品检疫合格证明》《肉品品质检验合格证》。</w:t>
            </w:r>
          </w:p>
        </w:tc>
        <w:tc>
          <w:tcPr>
            <w:tcW w:w="2709" w:type="dxa"/>
          </w:tcPr>
          <w:p w14:paraId="5CE8B40B">
            <w:pPr>
              <w:pStyle w:val="113"/>
              <w:keepNext w:val="0"/>
              <w:keepLines w:val="0"/>
              <w:pageBreakBefore w:val="0"/>
              <w:widowControl w:val="0"/>
              <w:kinsoku/>
              <w:wordWrap/>
              <w:overflowPunct/>
              <w:topLinePunct w:val="0"/>
              <w:autoSpaceDE/>
              <w:autoSpaceDN/>
              <w:bidi w:val="0"/>
              <w:adjustRightInd/>
              <w:snapToGrid/>
              <w:spacing w:line="288" w:lineRule="auto"/>
              <w:ind w:left="42" w:leftChars="20" w:right="42" w:rightChars="2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c>
          <w:tcPr>
            <w:tcW w:w="1150" w:type="dxa"/>
          </w:tcPr>
          <w:p w14:paraId="184EB3E9">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r>
      <w:tr w14:paraId="14C4E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jc w:val="center"/>
        </w:trPr>
        <w:tc>
          <w:tcPr>
            <w:tcW w:w="817" w:type="dxa"/>
            <w:vMerge w:val="continue"/>
          </w:tcPr>
          <w:p w14:paraId="0C309767">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p>
        </w:tc>
        <w:tc>
          <w:tcPr>
            <w:tcW w:w="1212" w:type="dxa"/>
            <w:vMerge w:val="continue"/>
          </w:tcPr>
          <w:p w14:paraId="7ACDC50D">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p>
        </w:tc>
        <w:tc>
          <w:tcPr>
            <w:tcW w:w="3719" w:type="dxa"/>
            <w:shd w:val="clear" w:color="auto" w:fill="auto"/>
            <w:vAlign w:val="center"/>
          </w:tcPr>
          <w:p w14:paraId="7A4B98D9">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牛肉：</w:t>
            </w:r>
          </w:p>
          <w:p w14:paraId="41104AF3">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1.瘦肉呈均匀的鲜红色或深红色、有光泽，脂肪呈乳白色或微黄色。具有牛肉正常气味，无异味，瘦肉切面纹理清晰，皮下脂肪适度、均匀、形态丰满；肉质紧密、有弹性、表面湿润、不黏手、无注水。</w:t>
            </w:r>
          </w:p>
          <w:p w14:paraId="5A728F0F">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2.配送时需提供牛肉的《动物产品检疫合格证明》《肉品品质检验合格证》。</w:t>
            </w:r>
          </w:p>
        </w:tc>
        <w:tc>
          <w:tcPr>
            <w:tcW w:w="2709" w:type="dxa"/>
          </w:tcPr>
          <w:p w14:paraId="4EEFAD35">
            <w:pPr>
              <w:pStyle w:val="113"/>
              <w:keepNext w:val="0"/>
              <w:keepLines w:val="0"/>
              <w:pageBreakBefore w:val="0"/>
              <w:widowControl w:val="0"/>
              <w:kinsoku/>
              <w:wordWrap/>
              <w:overflowPunct/>
              <w:topLinePunct w:val="0"/>
              <w:autoSpaceDE/>
              <w:autoSpaceDN/>
              <w:bidi w:val="0"/>
              <w:adjustRightInd/>
              <w:snapToGrid/>
              <w:spacing w:line="288" w:lineRule="auto"/>
              <w:ind w:left="42" w:leftChars="20" w:right="42" w:rightChars="2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c>
          <w:tcPr>
            <w:tcW w:w="1150" w:type="dxa"/>
          </w:tcPr>
          <w:p w14:paraId="7ED43C05">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r>
      <w:tr w14:paraId="6DB71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jc w:val="center"/>
        </w:trPr>
        <w:tc>
          <w:tcPr>
            <w:tcW w:w="817" w:type="dxa"/>
            <w:vMerge w:val="continue"/>
          </w:tcPr>
          <w:p w14:paraId="03EED3BA">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p>
        </w:tc>
        <w:tc>
          <w:tcPr>
            <w:tcW w:w="1212" w:type="dxa"/>
            <w:vMerge w:val="continue"/>
          </w:tcPr>
          <w:p w14:paraId="52C9A162">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p>
        </w:tc>
        <w:tc>
          <w:tcPr>
            <w:tcW w:w="3719" w:type="dxa"/>
            <w:shd w:val="clear" w:color="auto" w:fill="auto"/>
            <w:vAlign w:val="center"/>
          </w:tcPr>
          <w:p w14:paraId="09FA48DA">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家禽类：</w:t>
            </w:r>
          </w:p>
          <w:p w14:paraId="569063DF">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1.必须为当天宰杀鲜禽肉，从宰杀到送货不得超过8小时，宰杀品种按学校实际要求提供（如：肉鸡、土杂鸡等）；</w:t>
            </w:r>
          </w:p>
          <w:p w14:paraId="7000571D">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2.鲜禽肉应整只送至学校，不允许配送剁切分割的肉及冻品肉，拒绝病死及疫区禽肉；</w:t>
            </w:r>
          </w:p>
          <w:p w14:paraId="5337B308">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3.肉类颜色要正常，感观好无长毛及毛根，口腔及宰杀刀口无血污杂质，无紫斑淤血，大小适中，无附加水分；</w:t>
            </w:r>
          </w:p>
          <w:p w14:paraId="5DA15799">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4.禽肉配送要求全程冷链（冷藏设备配送），并保证肉质新鲜、干净卫生、无异味；</w:t>
            </w:r>
          </w:p>
          <w:p w14:paraId="35A1B47D">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5.配送时需提供鲜禽肉的《动物产品检疫合格证明》《肉品品质检验合格证》。</w:t>
            </w:r>
          </w:p>
        </w:tc>
        <w:tc>
          <w:tcPr>
            <w:tcW w:w="2709" w:type="dxa"/>
          </w:tcPr>
          <w:p w14:paraId="4CA8166A">
            <w:pPr>
              <w:pStyle w:val="113"/>
              <w:keepNext w:val="0"/>
              <w:keepLines w:val="0"/>
              <w:pageBreakBefore w:val="0"/>
              <w:widowControl w:val="0"/>
              <w:kinsoku/>
              <w:wordWrap/>
              <w:overflowPunct/>
              <w:topLinePunct w:val="0"/>
              <w:autoSpaceDE/>
              <w:autoSpaceDN/>
              <w:bidi w:val="0"/>
              <w:adjustRightInd/>
              <w:snapToGrid/>
              <w:spacing w:line="288" w:lineRule="auto"/>
              <w:ind w:left="42" w:leftChars="20" w:right="42" w:rightChars="2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c>
          <w:tcPr>
            <w:tcW w:w="1150" w:type="dxa"/>
          </w:tcPr>
          <w:p w14:paraId="5DAD9707">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r>
      <w:tr w14:paraId="14105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jc w:val="center"/>
        </w:trPr>
        <w:tc>
          <w:tcPr>
            <w:tcW w:w="817" w:type="dxa"/>
            <w:vAlign w:val="center"/>
          </w:tcPr>
          <w:p w14:paraId="1B2F15EF">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color w:val="auto"/>
                <w:sz w:val="21"/>
                <w:highlight w:val="none"/>
                <w:lang w:val="en-US" w:eastAsia="zh-CN"/>
              </w:rPr>
            </w:pPr>
            <w:r>
              <w:rPr>
                <w:rFonts w:hint="eastAsia" w:cs="宋体"/>
                <w:color w:val="auto"/>
                <w:w w:val="100"/>
                <w:sz w:val="21"/>
                <w:highlight w:val="none"/>
                <w:lang w:val="en-US" w:eastAsia="zh-CN"/>
              </w:rPr>
              <w:t>2</w:t>
            </w:r>
          </w:p>
        </w:tc>
        <w:tc>
          <w:tcPr>
            <w:tcW w:w="1212" w:type="dxa"/>
            <w:vAlign w:val="center"/>
          </w:tcPr>
          <w:p w14:paraId="56A41729">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color w:val="auto"/>
                <w:sz w:val="21"/>
                <w:highlight w:val="none"/>
                <w:lang w:val="en-US" w:eastAsia="zh-CN"/>
              </w:rPr>
            </w:pPr>
            <w:r>
              <w:rPr>
                <w:rFonts w:hint="eastAsia" w:cs="宋体"/>
                <w:color w:val="auto"/>
                <w:sz w:val="21"/>
                <w:highlight w:val="none"/>
                <w:lang w:val="en-US" w:eastAsia="zh-CN"/>
              </w:rPr>
              <w:t>蔬菜类</w:t>
            </w:r>
          </w:p>
        </w:tc>
        <w:tc>
          <w:tcPr>
            <w:tcW w:w="3719" w:type="dxa"/>
          </w:tcPr>
          <w:p w14:paraId="68B55472">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1.具体感官要求：蔬菜成熟，保持鲜嫩；无异常气味，无腐烂变质；从蔬菜形态看，应尽量避免由于客观因素而造成的各种非正常、不新鲜的蔬菜，例如萎蔫、枯塌、损伤、病变、虫害侵蚀等情况。</w:t>
            </w:r>
          </w:p>
          <w:p w14:paraId="1AB803B9">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2.叶菜类：色泽正常，茎基部削平，无枯黄叶、病叶(包 括大面积黑点)、泥土、明显机械伤和病虫害伤，无烧心焦边、腐烂等现象，无抽苔（菜心除外），无畸形、异味，结球叶菜要结球适度，松花菜、花菜应新鲜洁白，不带叶麸，无畸形花，葱花、小白菜等根茎部无绿色粉末(蓝矾)。</w:t>
            </w:r>
          </w:p>
          <w:p w14:paraId="217B5C37">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茄果类：番茄、茄子、甜椒、辣椒等。属同一品种规格，果实整洁，成熟度适中，番茄根蒂新鲜、无绿果，大小均匀，无裂果及空洞现象，茄果不能有裂蒂及果皮变硬现象，无腐烂、畸形、异味，无明显机械伤。</w:t>
            </w:r>
          </w:p>
          <w:p w14:paraId="5112CA36">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4.瓜果类：黄瓜、冬瓜、丝瓜、苦瓜、南瓜、洋丝瓜、西葫芦等。 属同一品种规格，形状、色泽一致，瓜条均匀，无疤点，无断裂，无腐烂及烂心、畸形、异味、明显机械伤，不带泥土。</w:t>
            </w:r>
          </w:p>
          <w:p w14:paraId="4FF3B258">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5.根菜类：萝卜、胡萝卜等。属同一品种规格，皮细光滑，大小均匀，肉质脆嫩致密新鲜，根条均匀，无腐烂、畸形、裂痕、糠心、异味，不带泥沙，不带茎叶和须根。 </w:t>
            </w:r>
          </w:p>
          <w:p w14:paraId="1E1CD90D">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6.薯芋类：马铃薯、山药、芋、姜等。属同一品种规格，色泽一致，允许少量泥沙，马铃薯、芋大小均匀，不带须根、茎叶，不干瘪，无腐烂、畸形、异味、明显机械伤、病虫害斑，马铃薯无发芽，皮不变绿。</w:t>
            </w:r>
          </w:p>
          <w:p w14:paraId="6F9B4CF8">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7.葱蒜类：葱、蒜、韭菜、洋葱等。属同一品种规格，</w:t>
            </w:r>
          </w:p>
          <w:p w14:paraId="20CA8B2D">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允许葱、青蒜类保留干净须根，葱、蒜、韭菜根条均匀，洋葱葛头去根去枯叶、个体大小均匀，可食部分新鲜幼嫩，无腐烂、畸形、异味。</w:t>
            </w:r>
          </w:p>
          <w:p w14:paraId="3E39B7EC">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8.豆类：豌豆、毛豆、豇豆等。属同一品种规格，形态完整，成熟度适中，无腐烂、畸形、异味，豆荚类新鲜、幼嫩、均匀，豆仁类籽粒饱满，较均匀，无发芽，无虫害，不带泥土杂质。</w:t>
            </w:r>
          </w:p>
          <w:p w14:paraId="68F40F40">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9.水生菜类：藕、茨菇、茭白、马蹄、菱角等。属同一品种规格，肉质嫩，成熟度适中，无腐烂、畸形、异味，无明显机械伤，不带泥土和杂质，不干瘪，茭白和藕不黑心。</w:t>
            </w:r>
          </w:p>
          <w:p w14:paraId="2E96AAA2">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10.食用菌类：白蘑菇、草菇、香菇、北风菌、平菇、木耳等。属同一品种规格，蘑菇、草菇菌盖圆整略展开，柄粗壮，菌膜紧，菇柄切削平整，不浸泡水（蘑菇允许浸盐水保鲜)，新鲜，无杂质，无畸形菇，无腐烂、异味。 </w:t>
            </w:r>
          </w:p>
          <w:p w14:paraId="516DB9F0">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sz w:val="21"/>
                <w:highlight w:val="none"/>
              </w:rPr>
            </w:pPr>
            <w:r>
              <w:rPr>
                <w:rFonts w:hint="eastAsia" w:ascii="宋体" w:hAnsi="宋体" w:eastAsia="宋体" w:cs="宋体"/>
                <w:color w:val="auto"/>
                <w:kern w:val="0"/>
                <w:sz w:val="21"/>
                <w:szCs w:val="21"/>
                <w:lang w:val="en-US" w:eastAsia="zh-CN" w:bidi="ar-SA"/>
              </w:rPr>
              <w:t>11.芽苗类：绿豆芽、黄豆芽、香椿苗等。芽苗幼嫩，不带豆壳杂质，新鲜，不浸水，无腐烂、异味。</w:t>
            </w:r>
          </w:p>
        </w:tc>
        <w:tc>
          <w:tcPr>
            <w:tcW w:w="2709" w:type="dxa"/>
          </w:tcPr>
          <w:p w14:paraId="6B29E352">
            <w:pPr>
              <w:pStyle w:val="113"/>
              <w:keepNext w:val="0"/>
              <w:keepLines w:val="0"/>
              <w:pageBreakBefore w:val="0"/>
              <w:widowControl w:val="0"/>
              <w:kinsoku/>
              <w:wordWrap/>
              <w:overflowPunct/>
              <w:topLinePunct w:val="0"/>
              <w:autoSpaceDE/>
              <w:autoSpaceDN/>
              <w:bidi w:val="0"/>
              <w:adjustRightInd/>
              <w:snapToGrid/>
              <w:spacing w:line="288" w:lineRule="auto"/>
              <w:ind w:left="42" w:leftChars="20" w:right="42" w:rightChars="2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c>
          <w:tcPr>
            <w:tcW w:w="1150" w:type="dxa"/>
          </w:tcPr>
          <w:p w14:paraId="4C64F583">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r>
      <w:tr w14:paraId="10209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jc w:val="center"/>
        </w:trPr>
        <w:tc>
          <w:tcPr>
            <w:tcW w:w="817" w:type="dxa"/>
            <w:vAlign w:val="center"/>
          </w:tcPr>
          <w:p w14:paraId="29FAE297">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color w:val="auto"/>
                <w:sz w:val="21"/>
                <w:highlight w:val="none"/>
                <w:lang w:val="en-US" w:eastAsia="zh-CN"/>
              </w:rPr>
            </w:pPr>
            <w:r>
              <w:rPr>
                <w:rFonts w:hint="eastAsia" w:cs="宋体"/>
                <w:color w:val="auto"/>
                <w:sz w:val="21"/>
                <w:highlight w:val="none"/>
                <w:lang w:val="en-US" w:eastAsia="zh-CN"/>
              </w:rPr>
              <w:t>3</w:t>
            </w:r>
          </w:p>
        </w:tc>
        <w:tc>
          <w:tcPr>
            <w:tcW w:w="1212" w:type="dxa"/>
            <w:vAlign w:val="center"/>
          </w:tcPr>
          <w:p w14:paraId="5BA7CA9A">
            <w:pPr>
              <w:pStyle w:val="113"/>
              <w:keepNext w:val="0"/>
              <w:keepLines w:val="0"/>
              <w:pageBreakBefore w:val="0"/>
              <w:widowControl w:val="0"/>
              <w:kinsoku/>
              <w:wordWrap/>
              <w:overflowPunct/>
              <w:topLinePunct w:val="0"/>
              <w:autoSpaceDE/>
              <w:autoSpaceDN/>
              <w:bidi w:val="0"/>
              <w:adjustRightInd/>
              <w:snapToGrid/>
              <w:spacing w:line="288" w:lineRule="auto"/>
              <w:ind w:left="0"/>
              <w:jc w:val="center"/>
              <w:textAlignment w:val="auto"/>
              <w:rPr>
                <w:rFonts w:hint="default" w:ascii="宋体" w:hAnsi="宋体" w:eastAsia="宋体" w:cs="宋体"/>
                <w:color w:val="auto"/>
                <w:sz w:val="21"/>
                <w:highlight w:val="none"/>
                <w:lang w:val="en-US" w:eastAsia="zh-CN"/>
              </w:rPr>
            </w:pPr>
            <w:r>
              <w:rPr>
                <w:rFonts w:hint="eastAsia" w:cs="宋体"/>
                <w:color w:val="auto"/>
                <w:sz w:val="21"/>
                <w:highlight w:val="none"/>
                <w:lang w:val="en-US" w:eastAsia="zh-CN"/>
              </w:rPr>
              <w:t>辅料类</w:t>
            </w:r>
          </w:p>
        </w:tc>
        <w:tc>
          <w:tcPr>
            <w:tcW w:w="3719" w:type="dxa"/>
          </w:tcPr>
          <w:p w14:paraId="7FE54CAB">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1.酿造类调味品：具有固有气味，滋味纯正，无异味杂质；</w:t>
            </w:r>
          </w:p>
          <w:p w14:paraId="3490E4C9">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2.干货及干货类调味品：气味纯正、干燥、无杂质、无霉变、无</w:t>
            </w:r>
            <w:r>
              <w:rPr>
                <w:rFonts w:hint="eastAsia" w:ascii="宋体" w:hAnsi="宋体" w:cs="宋体"/>
                <w:color w:val="auto"/>
                <w:kern w:val="0"/>
                <w:sz w:val="21"/>
                <w:szCs w:val="21"/>
                <w:lang w:val="en-US" w:eastAsia="zh-CN" w:bidi="ar-SA"/>
              </w:rPr>
              <w:t>蛀虫</w:t>
            </w:r>
            <w:r>
              <w:rPr>
                <w:rFonts w:hint="eastAsia" w:ascii="宋体" w:hAnsi="宋体" w:eastAsia="宋体" w:cs="宋体"/>
                <w:color w:val="auto"/>
                <w:kern w:val="0"/>
                <w:sz w:val="21"/>
                <w:szCs w:val="21"/>
                <w:lang w:val="en-US" w:eastAsia="zh-CN" w:bidi="ar-SA"/>
              </w:rPr>
              <w:t>，具有干货及干货类调味品食用 价值、营养价值，颗粒类要求颗粒饱满、大小均匀，条状、块状、干果、叶片类要求无碎裂，粉末类要求为纯正原材料粉磨加工、粉末均匀、无掺杂，整体可使用率需达到 99%以上，配送时须随货提供农残、亚硝酸盐验检报告（复印件）供学校点存档；</w:t>
            </w:r>
          </w:p>
          <w:p w14:paraId="0D4F664A">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3.食盐：天然无掺杂、纯度高；</w:t>
            </w:r>
          </w:p>
          <w:p w14:paraId="7AE57152">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4.味精：白色光亮、晶粒大小均匀、无杂质，味鲜稍咸且无异味；</w:t>
            </w:r>
          </w:p>
          <w:p w14:paraId="75236A1F">
            <w:pPr>
              <w:keepNext w:val="0"/>
              <w:keepLines w:val="0"/>
              <w:pageBreakBefore w:val="0"/>
              <w:widowControl w:val="0"/>
              <w:kinsoku/>
              <w:wordWrap/>
              <w:overflowPunct/>
              <w:topLinePunct w:val="0"/>
              <w:autoSpaceDE/>
              <w:autoSpaceDN/>
              <w:bidi w:val="0"/>
              <w:adjustRightInd/>
              <w:snapToGrid/>
              <w:spacing w:line="288" w:lineRule="auto"/>
              <w:ind w:left="42" w:leftChars="20" w:right="42" w:rightChars="20"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5.糖：水溶味甜、无杂质漂浮、无异味、干燥；</w:t>
            </w:r>
          </w:p>
          <w:p w14:paraId="4239CA41">
            <w:pPr>
              <w:pStyle w:val="113"/>
              <w:keepNext w:val="0"/>
              <w:keepLines w:val="0"/>
              <w:pageBreakBefore w:val="0"/>
              <w:widowControl w:val="0"/>
              <w:kinsoku/>
              <w:wordWrap/>
              <w:overflowPunct/>
              <w:topLinePunct w:val="0"/>
              <w:autoSpaceDE/>
              <w:autoSpaceDN/>
              <w:bidi w:val="0"/>
              <w:adjustRightInd/>
              <w:snapToGrid/>
              <w:spacing w:line="288" w:lineRule="auto"/>
              <w:ind w:left="42" w:leftChars="20" w:right="42" w:rightChars="20"/>
              <w:textAlignment w:val="auto"/>
              <w:rPr>
                <w:rFonts w:hint="eastAsia" w:ascii="宋体" w:hAnsi="宋体" w:eastAsia="宋体" w:cs="宋体"/>
                <w:color w:val="auto"/>
                <w:sz w:val="21"/>
                <w:highlight w:val="none"/>
              </w:rPr>
            </w:pPr>
            <w:r>
              <w:rPr>
                <w:rFonts w:hint="eastAsia" w:ascii="宋体" w:hAnsi="宋体" w:eastAsia="宋体" w:cs="宋体"/>
                <w:color w:val="auto"/>
                <w:kern w:val="0"/>
                <w:sz w:val="21"/>
                <w:szCs w:val="21"/>
              </w:rPr>
              <w:t>6</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其它类调味品：按采购人要求提供等值优质的产品。</w:t>
            </w:r>
          </w:p>
        </w:tc>
        <w:tc>
          <w:tcPr>
            <w:tcW w:w="2709" w:type="dxa"/>
          </w:tcPr>
          <w:p w14:paraId="696EECBF">
            <w:pPr>
              <w:pStyle w:val="113"/>
              <w:keepNext w:val="0"/>
              <w:keepLines w:val="0"/>
              <w:pageBreakBefore w:val="0"/>
              <w:widowControl w:val="0"/>
              <w:kinsoku/>
              <w:wordWrap/>
              <w:overflowPunct/>
              <w:topLinePunct w:val="0"/>
              <w:autoSpaceDE/>
              <w:autoSpaceDN/>
              <w:bidi w:val="0"/>
              <w:adjustRightInd/>
              <w:snapToGrid/>
              <w:spacing w:line="288" w:lineRule="auto"/>
              <w:ind w:left="42" w:leftChars="20" w:right="42" w:rightChars="2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c>
          <w:tcPr>
            <w:tcW w:w="1150" w:type="dxa"/>
          </w:tcPr>
          <w:p w14:paraId="2F07FDC1">
            <w:pPr>
              <w:pStyle w:val="113"/>
              <w:keepNext w:val="0"/>
              <w:keepLines w:val="0"/>
              <w:pageBreakBefore w:val="0"/>
              <w:widowControl w:val="0"/>
              <w:kinsoku/>
              <w:wordWrap/>
              <w:overflowPunct/>
              <w:topLinePunct w:val="0"/>
              <w:autoSpaceDE/>
              <w:autoSpaceDN/>
              <w:bidi w:val="0"/>
              <w:adjustRightInd/>
              <w:snapToGrid/>
              <w:spacing w:line="288" w:lineRule="auto"/>
              <w:ind w:left="0"/>
              <w:textAlignment w:val="auto"/>
              <w:rPr>
                <w:rFonts w:hint="eastAsia" w:ascii="宋体" w:hAnsi="宋体" w:eastAsia="宋体" w:cs="宋体"/>
                <w:color w:val="auto"/>
                <w:sz w:val="21"/>
                <w:highlight w:val="none"/>
              </w:rPr>
            </w:pPr>
            <w:r>
              <w:rPr>
                <w:rFonts w:hint="eastAsia" w:ascii="宋体" w:hAnsi="宋体" w:eastAsia="宋体" w:cs="宋体"/>
                <w:color w:val="auto"/>
                <w:w w:val="100"/>
                <w:sz w:val="21"/>
                <w:highlight w:val="none"/>
              </w:rPr>
              <w:t xml:space="preserve"> </w:t>
            </w:r>
          </w:p>
        </w:tc>
      </w:tr>
    </w:tbl>
    <w:p w14:paraId="090BCDDC">
      <w:pPr>
        <w:keepNext w:val="0"/>
        <w:keepLines w:val="0"/>
        <w:pageBreakBefore w:val="0"/>
        <w:widowControl w:val="0"/>
        <w:kinsoku/>
        <w:overflowPunct/>
        <w:bidi w:val="0"/>
        <w:snapToGrid/>
        <w:spacing w:line="413"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注：1.“</w:t>
      </w:r>
      <w:r>
        <w:rPr>
          <w:rFonts w:hint="eastAsia" w:ascii="宋体" w:hAnsi="宋体" w:eastAsia="宋体" w:cs="宋体"/>
          <w:color w:val="auto"/>
          <w:kern w:val="0"/>
          <w:sz w:val="21"/>
          <w:szCs w:val="21"/>
          <w:highlight w:val="none"/>
          <w:lang w:val="en-US" w:eastAsia="zh-CN" w:bidi="ar-SA"/>
        </w:rPr>
        <w:t>偏离</w:t>
      </w:r>
      <w:r>
        <w:rPr>
          <w:rFonts w:hint="eastAsia" w:ascii="宋体" w:hAnsi="宋体" w:eastAsia="宋体" w:cs="宋体"/>
          <w:color w:val="auto"/>
          <w:kern w:val="2"/>
          <w:sz w:val="21"/>
          <w:szCs w:val="21"/>
          <w:highlight w:val="none"/>
          <w:lang w:val="en-US" w:eastAsia="zh-CN" w:bidi="ar-SA"/>
        </w:rPr>
        <w:t>”系指“正偏离”、“负偏离”或“无偏离”。</w:t>
      </w:r>
    </w:p>
    <w:p w14:paraId="3F9AA1EC">
      <w:pPr>
        <w:keepNext w:val="0"/>
        <w:keepLines w:val="0"/>
        <w:pageBreakBefore w:val="0"/>
        <w:widowControl w:val="0"/>
        <w:kinsoku/>
        <w:overflowPunct/>
        <w:bidi w:val="0"/>
        <w:snapToGrid/>
        <w:spacing w:line="413" w:lineRule="auto"/>
        <w:ind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2.各供应商必须对招标文件“第五章 采购需求”中的技术要求作出全面、真实的反映，供应商应如实填写技术条款偏离表，并对所填写内容真实性负责。</w:t>
      </w:r>
    </w:p>
    <w:p w14:paraId="2B35F42D">
      <w:pPr>
        <w:keepNext w:val="0"/>
        <w:keepLines w:val="0"/>
        <w:pageBreakBefore w:val="0"/>
        <w:widowControl w:val="0"/>
        <w:kinsoku/>
        <w:overflowPunct/>
        <w:bidi w:val="0"/>
        <w:snapToGrid/>
        <w:spacing w:line="413" w:lineRule="auto"/>
        <w:ind w:firstLine="2730" w:firstLineChars="1300"/>
        <w:rPr>
          <w:rFonts w:hint="eastAsia" w:ascii="宋体" w:hAnsi="宋体" w:eastAsia="宋体" w:cs="宋体"/>
          <w:color w:val="auto"/>
          <w:sz w:val="21"/>
          <w:szCs w:val="21"/>
          <w:highlight w:val="none"/>
        </w:rPr>
      </w:pPr>
    </w:p>
    <w:p w14:paraId="7E630D20">
      <w:pPr>
        <w:keepNext w:val="0"/>
        <w:keepLines w:val="0"/>
        <w:pageBreakBefore w:val="0"/>
        <w:widowControl w:val="0"/>
        <w:kinsoku/>
        <w:wordWrap w:val="0"/>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（单位全称）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79556FCD">
      <w:pPr>
        <w:keepNext w:val="0"/>
        <w:keepLines w:val="0"/>
        <w:pageBreakBefore w:val="0"/>
        <w:widowControl w:val="0"/>
        <w:kinsoku/>
        <w:overflowPunct/>
        <w:bidi w:val="0"/>
        <w:snapToGrid/>
        <w:spacing w:line="413"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电子签章</w:t>
      </w:r>
      <w:r>
        <w:rPr>
          <w:rFonts w:hint="eastAsia" w:ascii="宋体" w:hAnsi="宋体" w:eastAsia="宋体" w:cs="宋体"/>
          <w:color w:val="auto"/>
          <w:sz w:val="21"/>
          <w:szCs w:val="21"/>
          <w:highlight w:val="none"/>
        </w:rPr>
        <w:t>）</w:t>
      </w:r>
    </w:p>
    <w:p w14:paraId="0813495E">
      <w:pPr>
        <w:keepNext w:val="0"/>
        <w:keepLines w:val="0"/>
        <w:pageBreakBefore w:val="0"/>
        <w:widowControl w:val="0"/>
        <w:kinsoku/>
        <w:overflowPunct/>
        <w:bidi w:val="0"/>
        <w:snapToGrid/>
        <w:spacing w:line="413" w:lineRule="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rPr>
          <w:rFonts w:hint="eastAsia" w:ascii="宋体" w:hAnsi="宋体" w:eastAsia="宋体" w:cs="宋体"/>
          <w:b/>
          <w:color w:val="auto"/>
          <w:kern w:val="2"/>
          <w:sz w:val="21"/>
          <w:szCs w:val="21"/>
          <w:highlight w:val="none"/>
          <w:lang w:val="en-US" w:eastAsia="zh-CN" w:bidi="ar-SA"/>
        </w:rPr>
        <w:br w:type="page"/>
      </w:r>
    </w:p>
    <w:p w14:paraId="5C222C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二</w:t>
      </w:r>
      <w:r>
        <w:rPr>
          <w:rFonts w:hint="eastAsia" w:ascii="宋体" w:hAnsi="宋体" w:eastAsia="宋体" w:cs="宋体"/>
          <w:b/>
          <w:color w:val="auto"/>
          <w:sz w:val="21"/>
          <w:szCs w:val="21"/>
          <w:highlight w:val="none"/>
          <w:lang w:val="en-US" w:eastAsia="zh-CN"/>
        </w:rPr>
        <w:t>、项目实施方案</w:t>
      </w:r>
    </w:p>
    <w:p w14:paraId="3E749F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格式自拟</w:t>
      </w:r>
    </w:p>
    <w:p w14:paraId="26FB2D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US" w:eastAsia="zh-CN"/>
        </w:rPr>
      </w:pPr>
    </w:p>
    <w:p w14:paraId="78EA71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三</w:t>
      </w:r>
      <w:r>
        <w:rPr>
          <w:rFonts w:hint="eastAsia" w:ascii="宋体" w:hAnsi="宋体" w:eastAsia="宋体" w:cs="宋体"/>
          <w:b/>
          <w:color w:val="auto"/>
          <w:sz w:val="21"/>
          <w:szCs w:val="21"/>
          <w:highlight w:val="none"/>
          <w:lang w:val="en-US" w:eastAsia="zh-CN"/>
        </w:rPr>
        <w:t>、食品质量、安全及卫生管理方案</w:t>
      </w:r>
    </w:p>
    <w:p w14:paraId="54CCBA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格式自拟</w:t>
      </w:r>
    </w:p>
    <w:p w14:paraId="11DA2F87">
      <w:pPr>
        <w:keepNext w:val="0"/>
        <w:keepLines w:val="0"/>
        <w:pageBreakBefore w:val="0"/>
        <w:widowControl w:val="0"/>
        <w:bidi w:val="0"/>
        <w:snapToGrid/>
        <w:jc w:val="center"/>
        <w:rPr>
          <w:rFonts w:hint="eastAsia" w:ascii="宋体" w:hAnsi="宋体" w:eastAsia="宋体" w:cs="宋体"/>
          <w:b/>
          <w:color w:val="auto"/>
          <w:sz w:val="21"/>
          <w:szCs w:val="21"/>
          <w:highlight w:val="none"/>
          <w:lang w:val="en-US" w:eastAsia="zh-CN"/>
        </w:rPr>
      </w:pPr>
    </w:p>
    <w:p w14:paraId="70357031">
      <w:pPr>
        <w:keepNext w:val="0"/>
        <w:keepLines w:val="0"/>
        <w:pageBreakBefore w:val="0"/>
        <w:widowControl w:val="0"/>
        <w:bidi w:val="0"/>
        <w:snapToGrid/>
        <w:jc w:val="center"/>
        <w:rPr>
          <w:rFonts w:hint="eastAsia" w:ascii="宋体" w:hAnsi="宋体" w:eastAsia="宋体" w:cs="宋体"/>
          <w:b/>
          <w:color w:val="auto"/>
          <w:sz w:val="21"/>
          <w:szCs w:val="21"/>
          <w:highlight w:val="none"/>
          <w:lang w:val="en-US" w:eastAsia="zh-CN"/>
        </w:rPr>
      </w:pPr>
    </w:p>
    <w:p w14:paraId="1F9F531E">
      <w:pPr>
        <w:keepNext w:val="0"/>
        <w:keepLines w:val="0"/>
        <w:pageBreakBefore w:val="0"/>
        <w:widowControl w:val="0"/>
        <w:bidi w:val="0"/>
        <w:snapToGrid/>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四</w:t>
      </w:r>
      <w:r>
        <w:rPr>
          <w:rFonts w:hint="eastAsia" w:ascii="宋体" w:hAnsi="宋体" w:eastAsia="宋体" w:cs="宋体"/>
          <w:b/>
          <w:color w:val="auto"/>
          <w:sz w:val="21"/>
          <w:szCs w:val="21"/>
          <w:highlight w:val="none"/>
          <w:lang w:val="en-US" w:eastAsia="zh-CN"/>
        </w:rPr>
        <w:t>、拟投入本项目的技术实力（项目组织团队）</w:t>
      </w:r>
    </w:p>
    <w:p w14:paraId="042407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格式自拟</w:t>
      </w:r>
    </w:p>
    <w:p w14:paraId="3AC4AA0E">
      <w:pPr>
        <w:jc w:val="center"/>
        <w:rPr>
          <w:rFonts w:hint="eastAsia" w:ascii="宋体" w:hAnsi="宋体" w:eastAsia="宋体" w:cs="宋体"/>
          <w:b/>
          <w:color w:val="auto"/>
          <w:sz w:val="21"/>
          <w:szCs w:val="21"/>
          <w:highlight w:val="none"/>
          <w:lang w:val="en-US" w:eastAsia="zh-CN"/>
        </w:rPr>
      </w:pPr>
    </w:p>
    <w:p w14:paraId="7755920D">
      <w:pPr>
        <w:pStyle w:val="43"/>
        <w:rPr>
          <w:rFonts w:hint="eastAsia"/>
          <w:color w:val="auto"/>
          <w:lang w:val="en-US" w:eastAsia="zh-CN"/>
        </w:rPr>
      </w:pPr>
    </w:p>
    <w:p w14:paraId="385E25EE">
      <w:pPr>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五</w:t>
      </w:r>
      <w:r>
        <w:rPr>
          <w:rFonts w:hint="eastAsia" w:ascii="宋体" w:hAnsi="宋体" w:eastAsia="宋体" w:cs="宋体"/>
          <w:b/>
          <w:color w:val="auto"/>
          <w:sz w:val="21"/>
          <w:szCs w:val="21"/>
          <w:highlight w:val="none"/>
          <w:lang w:val="en-US" w:eastAsia="zh-CN"/>
        </w:rPr>
        <w:t>、拟投入本项目设备、仓库及配送车辆</w:t>
      </w:r>
    </w:p>
    <w:p w14:paraId="72015F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格式自拟</w:t>
      </w:r>
    </w:p>
    <w:p w14:paraId="44060E20">
      <w:pPr>
        <w:keepNext w:val="0"/>
        <w:keepLines w:val="0"/>
        <w:pageBreakBefore w:val="0"/>
        <w:widowControl w:val="0"/>
        <w:kinsoku/>
        <w:overflowPunct/>
        <w:bidi w:val="0"/>
        <w:snapToGrid/>
        <w:spacing w:line="413" w:lineRule="auto"/>
        <w:jc w:val="both"/>
        <w:outlineLvl w:val="1"/>
        <w:rPr>
          <w:rFonts w:hint="eastAsia" w:ascii="宋体" w:hAnsi="宋体" w:eastAsia="宋体" w:cs="宋体"/>
          <w:color w:val="auto"/>
          <w:kern w:val="2"/>
          <w:sz w:val="24"/>
          <w:szCs w:val="24"/>
          <w:highlight w:val="none"/>
          <w:lang w:val="en-US" w:eastAsia="zh-CN" w:bidi="ar-SA"/>
        </w:rPr>
      </w:pPr>
    </w:p>
    <w:p w14:paraId="513CB124">
      <w:pPr>
        <w:keepNext w:val="0"/>
        <w:keepLines w:val="0"/>
        <w:pageBreakBefore w:val="0"/>
        <w:widowControl w:val="0"/>
        <w:bidi w:val="0"/>
        <w:snapToGrid/>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br w:type="page"/>
      </w:r>
    </w:p>
    <w:bookmarkEnd w:id="91"/>
    <w:bookmarkEnd w:id="92"/>
    <w:bookmarkEnd w:id="93"/>
    <w:bookmarkEnd w:id="94"/>
    <w:bookmarkEnd w:id="95"/>
    <w:bookmarkEnd w:id="96"/>
    <w:bookmarkEnd w:id="97"/>
    <w:bookmarkEnd w:id="98"/>
    <w:p w14:paraId="73B5BAD5">
      <w:pPr>
        <w:keepNext w:val="0"/>
        <w:keepLines w:val="0"/>
        <w:pageBreakBefore w:val="0"/>
        <w:widowControl w:val="0"/>
        <w:kinsoku/>
        <w:overflowPunct/>
        <w:bidi w:val="0"/>
        <w:snapToGrid/>
        <w:jc w:val="center"/>
        <w:outlineLvl w:val="0"/>
        <w:rPr>
          <w:rStyle w:val="44"/>
          <w:rFonts w:hint="eastAsia" w:ascii="宋体" w:hAnsi="宋体" w:eastAsia="宋体" w:cs="宋体"/>
          <w:color w:val="auto"/>
          <w:highlight w:val="none"/>
          <w:lang w:val="en-US" w:eastAsia="zh-CN"/>
        </w:rPr>
      </w:pPr>
      <w:bookmarkStart w:id="109" w:name="_Toc21361"/>
      <w:bookmarkStart w:id="110" w:name="_Toc16038"/>
      <w:bookmarkStart w:id="111" w:name="_Toc26230"/>
      <w:bookmarkStart w:id="112" w:name="_Toc5154"/>
      <w:bookmarkStart w:id="113" w:name="_Toc7613"/>
      <w:bookmarkStart w:id="114" w:name="_Toc26732"/>
      <w:bookmarkStart w:id="115" w:name="_Toc250531123"/>
      <w:r>
        <w:rPr>
          <w:rStyle w:val="44"/>
          <w:rFonts w:hint="eastAsia" w:ascii="宋体" w:hAnsi="宋体" w:eastAsia="宋体" w:cs="宋体"/>
          <w:color w:val="auto"/>
          <w:highlight w:val="none"/>
          <w:lang w:val="en-US" w:eastAsia="zh-CN"/>
        </w:rPr>
        <w:t>第五章 采购需求</w:t>
      </w:r>
      <w:bookmarkEnd w:id="109"/>
      <w:bookmarkEnd w:id="110"/>
      <w:bookmarkEnd w:id="111"/>
    </w:p>
    <w:p w14:paraId="5A172BCC">
      <w:pPr>
        <w:adjustRightInd w:val="0"/>
        <w:snapToGrid w:val="0"/>
        <w:spacing w:line="440" w:lineRule="exact"/>
        <w:ind w:firstLine="422" w:firstLineChars="200"/>
        <w:outlineLvl w:val="1"/>
        <w:rPr>
          <w:rFonts w:hint="default" w:ascii="宋体" w:hAnsi="宋体" w:eastAsia="宋体" w:cs="宋体"/>
          <w:b/>
          <w:color w:val="auto"/>
          <w:sz w:val="21"/>
          <w:szCs w:val="16"/>
          <w:lang w:val="en-US" w:eastAsia="zh-CN"/>
        </w:rPr>
      </w:pPr>
      <w:bookmarkStart w:id="116" w:name="_Toc20884"/>
      <w:bookmarkStart w:id="117" w:name="_Toc31055"/>
      <w:r>
        <w:rPr>
          <w:rFonts w:hint="eastAsia" w:ascii="宋体" w:hAnsi="宋体" w:eastAsia="宋体" w:cs="宋体"/>
          <w:b/>
          <w:color w:val="auto"/>
          <w:sz w:val="21"/>
          <w:szCs w:val="16"/>
        </w:rPr>
        <w:t>一、采购货物清单</w:t>
      </w:r>
      <w:bookmarkEnd w:id="116"/>
    </w:p>
    <w:tbl>
      <w:tblPr>
        <w:tblStyle w:val="32"/>
        <w:tblW w:w="9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556"/>
        <w:gridCol w:w="1831"/>
        <w:gridCol w:w="600"/>
        <w:gridCol w:w="665"/>
        <w:gridCol w:w="1824"/>
        <w:gridCol w:w="1800"/>
        <w:gridCol w:w="1958"/>
      </w:tblGrid>
      <w:tr w14:paraId="2554C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80F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9CA2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是否进口</w:t>
            </w:r>
          </w:p>
        </w:tc>
        <w:tc>
          <w:tcPr>
            <w:tcW w:w="1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316E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标的名称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A8BD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163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计量单位</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B131D">
            <w:pPr>
              <w:keepNext w:val="0"/>
              <w:keepLines w:val="0"/>
              <w:widowControl/>
              <w:suppressLineNumbers w:val="0"/>
              <w:jc w:val="center"/>
              <w:textAlignment w:val="center"/>
              <w:rPr>
                <w:rStyle w:val="72"/>
                <w:rFonts w:hint="eastAsia" w:ascii="宋体" w:hAnsi="宋体" w:eastAsia="宋体" w:cs="宋体"/>
                <w:b/>
                <w:bCs/>
                <w:color w:val="auto"/>
                <w:sz w:val="21"/>
                <w:szCs w:val="21"/>
                <w:lang w:val="en-US" w:eastAsia="zh-CN" w:bidi="ar"/>
              </w:rPr>
            </w:pPr>
            <w:r>
              <w:rPr>
                <w:rStyle w:val="72"/>
                <w:rFonts w:hint="eastAsia" w:ascii="宋体" w:hAnsi="宋体" w:eastAsia="宋体" w:cs="宋体"/>
                <w:b/>
                <w:bCs/>
                <w:color w:val="auto"/>
                <w:sz w:val="21"/>
                <w:szCs w:val="21"/>
                <w:lang w:val="en-US" w:eastAsia="zh-CN" w:bidi="ar"/>
              </w:rPr>
              <w:t>预算单价</w:t>
            </w:r>
            <w:r>
              <w:rPr>
                <w:rStyle w:val="68"/>
                <w:rFonts w:hint="eastAsia" w:ascii="宋体" w:hAnsi="宋体" w:eastAsia="宋体" w:cs="宋体"/>
                <w:b/>
                <w:bCs/>
                <w:color w:val="auto"/>
                <w:sz w:val="21"/>
                <w:szCs w:val="21"/>
                <w:lang w:val="en-US" w:eastAsia="zh-CN" w:bidi="ar"/>
              </w:rPr>
              <w:t>（元/年</w:t>
            </w:r>
            <w:r>
              <w:rPr>
                <w:rStyle w:val="72"/>
                <w:rFonts w:hint="eastAsia" w:ascii="宋体" w:hAnsi="宋体" w:eastAsia="宋体" w:cs="宋体"/>
                <w:b/>
                <w:bCs/>
                <w:color w:val="auto"/>
                <w:sz w:val="21"/>
                <w:szCs w:val="21"/>
                <w:lang w:val="en-US" w:eastAsia="zh-CN" w:bidi="ar"/>
              </w:rPr>
              <w:t>）</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CB7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Style w:val="72"/>
                <w:rFonts w:hint="eastAsia" w:ascii="宋体" w:hAnsi="宋体" w:eastAsia="宋体" w:cs="宋体"/>
                <w:b/>
                <w:bCs/>
                <w:color w:val="auto"/>
                <w:sz w:val="21"/>
                <w:szCs w:val="21"/>
                <w:lang w:val="en-US" w:eastAsia="zh-CN" w:bidi="ar"/>
              </w:rPr>
              <w:t>合计金额</w:t>
            </w:r>
            <w:r>
              <w:rPr>
                <w:rStyle w:val="60"/>
                <w:rFonts w:hint="eastAsia" w:ascii="宋体" w:hAnsi="宋体" w:eastAsia="宋体" w:cs="宋体"/>
                <w:b/>
                <w:bCs/>
                <w:color w:val="auto"/>
                <w:sz w:val="21"/>
                <w:szCs w:val="21"/>
                <w:lang w:val="en-US" w:eastAsia="zh-CN" w:bidi="ar"/>
              </w:rPr>
              <w:t>（元/年</w:t>
            </w:r>
            <w:r>
              <w:rPr>
                <w:rStyle w:val="72"/>
                <w:rFonts w:hint="eastAsia" w:ascii="宋体" w:hAnsi="宋体" w:eastAsia="宋体" w:cs="宋体"/>
                <w:b/>
                <w:bCs/>
                <w:color w:val="auto"/>
                <w:sz w:val="21"/>
                <w:szCs w:val="21"/>
                <w:lang w:val="en-US" w:eastAsia="zh-CN" w:bidi="ar"/>
              </w:rPr>
              <w:t>）</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F2B8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交货地点</w:t>
            </w:r>
          </w:p>
        </w:tc>
      </w:tr>
      <w:tr w14:paraId="021E1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8C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83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0BB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F3177">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00E6F">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474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1093100.25</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FCE5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1093100.25</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990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临沧市临翔区中心幼儿园</w:t>
            </w:r>
          </w:p>
        </w:tc>
      </w:tr>
      <w:tr w14:paraId="29AE2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182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92E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9D33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C92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95BF0">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6B51A">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982533.9</w:t>
            </w:r>
            <w:r>
              <w:rPr>
                <w:rFonts w:hint="eastAsia" w:ascii="宋体" w:hAnsi="宋体" w:cs="宋体"/>
                <w:i w:val="0"/>
                <w:iCs w:val="0"/>
                <w:color w:val="auto"/>
                <w:kern w:val="0"/>
                <w:sz w:val="21"/>
                <w:szCs w:val="21"/>
                <w:u w:val="none"/>
                <w:lang w:val="en-US" w:eastAsia="zh-CN" w:bidi="ar"/>
              </w:rPr>
              <w:t>0</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5979">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982533.9</w:t>
            </w:r>
            <w:r>
              <w:rPr>
                <w:rFonts w:hint="eastAsia" w:ascii="宋体" w:hAnsi="宋体" w:cs="宋体"/>
                <w:i w:val="0"/>
                <w:iCs w:val="0"/>
                <w:color w:val="auto"/>
                <w:kern w:val="0"/>
                <w:sz w:val="21"/>
                <w:szCs w:val="21"/>
                <w:u w:val="none"/>
                <w:lang w:val="en-US" w:eastAsia="zh-CN" w:bidi="ar"/>
              </w:rPr>
              <w:t>0</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67A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2"/>
                <w:sz w:val="21"/>
                <w:szCs w:val="21"/>
                <w:u w:val="none"/>
                <w:lang w:val="en-US" w:eastAsia="zh-CN" w:bidi="ar-SA"/>
              </w:rPr>
              <w:t>临沧市临翔区幼儿园</w:t>
            </w:r>
          </w:p>
        </w:tc>
      </w:tr>
      <w:tr w14:paraId="57FBB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EB73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822E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6185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306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47868">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72F6">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430278</w:t>
            </w:r>
            <w:r>
              <w:rPr>
                <w:rFonts w:hint="eastAsia" w:ascii="宋体" w:hAnsi="宋体" w:cs="宋体"/>
                <w:i w:val="0"/>
                <w:iCs w:val="0"/>
                <w:color w:val="auto"/>
                <w:kern w:val="0"/>
                <w:sz w:val="21"/>
                <w:szCs w:val="21"/>
                <w:u w:val="none"/>
                <w:lang w:val="en-US" w:eastAsia="zh-CN" w:bidi="ar"/>
              </w:rPr>
              <w:t>.00</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2D9A">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430278</w:t>
            </w:r>
            <w:r>
              <w:rPr>
                <w:rFonts w:hint="eastAsia" w:ascii="宋体" w:hAnsi="宋体" w:cs="宋体"/>
                <w:i w:val="0"/>
                <w:iCs w:val="0"/>
                <w:color w:val="auto"/>
                <w:kern w:val="0"/>
                <w:sz w:val="21"/>
                <w:szCs w:val="21"/>
                <w:u w:val="none"/>
                <w:lang w:val="en-US" w:eastAsia="zh-CN" w:bidi="ar"/>
              </w:rPr>
              <w:t>.00</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52DA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2"/>
                <w:sz w:val="21"/>
                <w:szCs w:val="21"/>
                <w:u w:val="none"/>
                <w:lang w:val="en-US" w:eastAsia="zh-CN" w:bidi="ar-SA"/>
              </w:rPr>
              <w:t>临沧市临翔区中平幼儿园</w:t>
            </w:r>
          </w:p>
        </w:tc>
      </w:tr>
      <w:tr w14:paraId="4B46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89B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3A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F09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38D2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3482">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364E">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706000</w:t>
            </w:r>
            <w:r>
              <w:rPr>
                <w:rFonts w:hint="eastAsia" w:ascii="宋体" w:hAnsi="宋体" w:cs="宋体"/>
                <w:i w:val="0"/>
                <w:iCs w:val="0"/>
                <w:color w:val="auto"/>
                <w:kern w:val="0"/>
                <w:sz w:val="21"/>
                <w:szCs w:val="21"/>
                <w:u w:val="none"/>
                <w:lang w:val="en-US" w:eastAsia="zh-CN" w:bidi="ar"/>
              </w:rPr>
              <w:t>.00</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3696">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706000</w:t>
            </w:r>
            <w:r>
              <w:rPr>
                <w:rFonts w:hint="eastAsia" w:ascii="宋体" w:hAnsi="宋体" w:cs="宋体"/>
                <w:i w:val="0"/>
                <w:iCs w:val="0"/>
                <w:color w:val="auto"/>
                <w:kern w:val="0"/>
                <w:sz w:val="21"/>
                <w:szCs w:val="21"/>
                <w:u w:val="none"/>
                <w:lang w:val="en-US" w:eastAsia="zh-CN" w:bidi="ar"/>
              </w:rPr>
              <w:t>.00</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4765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2"/>
                <w:sz w:val="21"/>
                <w:szCs w:val="21"/>
                <w:u w:val="none"/>
                <w:lang w:val="en-US" w:eastAsia="zh-CN" w:bidi="ar-SA"/>
              </w:rPr>
              <w:t>临沧市临翔区青华幼儿园</w:t>
            </w:r>
          </w:p>
        </w:tc>
      </w:tr>
      <w:tr w14:paraId="6F7B6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888C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2C45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24F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276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B7A77">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EF311">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4096000</w:t>
            </w:r>
            <w:r>
              <w:rPr>
                <w:rFonts w:hint="eastAsia" w:ascii="宋体" w:hAnsi="宋体" w:cs="宋体"/>
                <w:i w:val="0"/>
                <w:iCs w:val="0"/>
                <w:color w:val="auto"/>
                <w:kern w:val="0"/>
                <w:sz w:val="21"/>
                <w:szCs w:val="21"/>
                <w:u w:val="none"/>
                <w:lang w:val="en-US" w:eastAsia="zh-CN" w:bidi="ar"/>
              </w:rPr>
              <w:t>.00</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C328">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4096000</w:t>
            </w:r>
            <w:r>
              <w:rPr>
                <w:rFonts w:hint="eastAsia" w:ascii="宋体" w:hAnsi="宋体" w:cs="宋体"/>
                <w:i w:val="0"/>
                <w:iCs w:val="0"/>
                <w:color w:val="auto"/>
                <w:kern w:val="0"/>
                <w:sz w:val="21"/>
                <w:szCs w:val="21"/>
                <w:u w:val="none"/>
                <w:lang w:val="en-US" w:eastAsia="zh-CN" w:bidi="ar"/>
              </w:rPr>
              <w:t>.00</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2855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2"/>
                <w:sz w:val="21"/>
                <w:szCs w:val="21"/>
                <w:u w:val="none"/>
                <w:lang w:val="en-US" w:eastAsia="zh-CN" w:bidi="ar-SA"/>
              </w:rPr>
              <w:t>临沧市临翔区文华实验学校</w:t>
            </w:r>
          </w:p>
        </w:tc>
      </w:tr>
      <w:tr w14:paraId="194AD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4FC7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9879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7A7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5715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34A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B1CF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971035.27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E4B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971035.27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5BE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临翔区第二中学</w:t>
            </w:r>
          </w:p>
        </w:tc>
      </w:tr>
      <w:tr w14:paraId="65EE1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F4D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48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EB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5A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2FF40">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146E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2715981.19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29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2715981.19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BE8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凤翔中心校所有食堂供餐学校</w:t>
            </w:r>
          </w:p>
        </w:tc>
      </w:tr>
      <w:tr w14:paraId="12F86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6238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8</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5EE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800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AD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5E04D">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F44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3606941.54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280A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3606941.54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19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忙畔中心校所有食堂供餐学校</w:t>
            </w:r>
          </w:p>
        </w:tc>
      </w:tr>
      <w:tr w14:paraId="68D53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83F1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9</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BFE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22D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69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E2D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324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5460180.18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B306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5460180.18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A05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蚂蚁堆中心校所有食堂供餐学校</w:t>
            </w:r>
          </w:p>
        </w:tc>
      </w:tr>
      <w:tr w14:paraId="417D5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440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10</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FF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A9C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C4D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B3F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BB04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3809885.87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4C7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3809885.87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FD6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博尚中心校所有食堂供餐学校</w:t>
            </w:r>
          </w:p>
        </w:tc>
      </w:tr>
      <w:tr w14:paraId="29D4D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A58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11</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BB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A9E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F6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24F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62C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3040678.22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6A3A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3040678.22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77A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圈内中心校所有食堂供餐学校</w:t>
            </w:r>
          </w:p>
        </w:tc>
      </w:tr>
      <w:tr w14:paraId="5467B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610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sz w:val="21"/>
                <w:szCs w:val="21"/>
                <w:u w:val="none"/>
                <w:lang w:val="en-US" w:eastAsia="zh-CN"/>
              </w:rPr>
              <w:t>12</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600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EE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58F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BDE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8C7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1742657.65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AB4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1742657.65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7C6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平村中心校所有食堂供餐学校</w:t>
            </w:r>
          </w:p>
        </w:tc>
      </w:tr>
      <w:tr w14:paraId="0F928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9A90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sz w:val="21"/>
                <w:szCs w:val="21"/>
                <w:u w:val="none"/>
                <w:lang w:val="en-US" w:eastAsia="zh-CN"/>
              </w:rPr>
              <w:t>13</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77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17E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E83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ECF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8A5B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4506752.03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9A61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4506752.03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563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马台中心校所有食堂供餐学校</w:t>
            </w:r>
          </w:p>
        </w:tc>
      </w:tr>
      <w:tr w14:paraId="1BD61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BF749">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sz w:val="21"/>
                <w:szCs w:val="21"/>
                <w:u w:val="none"/>
                <w:lang w:val="en-US" w:eastAsia="zh-CN"/>
              </w:rPr>
              <w:t>14</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52B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E7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6A7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EB6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5B8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2512587.04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08C1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2512587.04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FE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邦东中心校所有食堂供餐学校</w:t>
            </w:r>
          </w:p>
        </w:tc>
      </w:tr>
      <w:tr w14:paraId="21C34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8D98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15</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7A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DD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F3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60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527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4201247.50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772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4201247.50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BF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章驮中心校所有食堂供餐学校</w:t>
            </w:r>
          </w:p>
        </w:tc>
      </w:tr>
      <w:tr w14:paraId="11DE4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B9091">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cs="宋体"/>
                <w:i w:val="0"/>
                <w:iCs w:val="0"/>
                <w:color w:val="auto"/>
                <w:sz w:val="21"/>
                <w:szCs w:val="21"/>
                <w:u w:val="none"/>
                <w:lang w:val="en-US" w:eastAsia="zh-CN"/>
              </w:rPr>
              <w:t>16</w:t>
            </w:r>
          </w:p>
        </w:tc>
        <w:tc>
          <w:tcPr>
            <w:tcW w:w="5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F9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否</w:t>
            </w:r>
          </w:p>
        </w:tc>
        <w:tc>
          <w:tcPr>
            <w:tcW w:w="1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AA3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肉食品类、蔬菜</w:t>
            </w:r>
            <w:r>
              <w:rPr>
                <w:rFonts w:hint="eastAsia" w:ascii="宋体" w:hAnsi="宋体" w:cs="宋体"/>
                <w:i w:val="0"/>
                <w:iCs w:val="0"/>
                <w:color w:val="auto"/>
                <w:sz w:val="21"/>
                <w:szCs w:val="21"/>
                <w:u w:val="none"/>
                <w:lang w:val="en-US" w:eastAsia="zh-CN"/>
              </w:rPr>
              <w:t>类</w:t>
            </w:r>
            <w:r>
              <w:rPr>
                <w:rFonts w:hint="eastAsia" w:ascii="宋体" w:hAnsi="宋体" w:eastAsia="宋体" w:cs="宋体"/>
                <w:i w:val="0"/>
                <w:iCs w:val="0"/>
                <w:color w:val="auto"/>
                <w:sz w:val="21"/>
                <w:szCs w:val="21"/>
                <w:u w:val="none"/>
              </w:rPr>
              <w:t>及辅料类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B1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B7D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批</w:t>
            </w:r>
          </w:p>
        </w:tc>
        <w:tc>
          <w:tcPr>
            <w:tcW w:w="1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F051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1041359.37 </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B9F3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1041359.37 </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E9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南美中心校所有食堂供餐学校</w:t>
            </w:r>
          </w:p>
        </w:tc>
      </w:tr>
      <w:tr w14:paraId="59759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06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AEA13">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合计</w:t>
            </w:r>
          </w:p>
        </w:tc>
        <w:tc>
          <w:tcPr>
            <w:tcW w:w="375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D23B7">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40917218.01</w:t>
            </w:r>
            <w:r>
              <w:rPr>
                <w:rFonts w:hint="eastAsia" w:ascii="宋体" w:hAnsi="宋体" w:cs="宋体"/>
                <w:i w:val="0"/>
                <w:iCs w:val="0"/>
                <w:color w:val="auto"/>
                <w:kern w:val="0"/>
                <w:sz w:val="21"/>
                <w:szCs w:val="21"/>
                <w:u w:val="none"/>
                <w:lang w:val="en-US" w:eastAsia="zh-CN" w:bidi="ar"/>
              </w:rPr>
              <w:t>元</w:t>
            </w:r>
          </w:p>
        </w:tc>
      </w:tr>
    </w:tbl>
    <w:p w14:paraId="41EED5E8">
      <w:pPr>
        <w:adjustRightInd w:val="0"/>
        <w:snapToGrid w:val="0"/>
        <w:spacing w:line="440" w:lineRule="exact"/>
        <w:ind w:firstLine="482" w:firstLineChars="200"/>
        <w:outlineLvl w:val="1"/>
        <w:rPr>
          <w:rFonts w:hint="default" w:ascii="宋体" w:hAnsi="宋体" w:cs="宋体"/>
          <w:b/>
          <w:color w:val="auto"/>
          <w:sz w:val="24"/>
          <w:lang w:val="en-US" w:eastAsia="zh-CN"/>
        </w:rPr>
      </w:pPr>
      <w:r>
        <w:rPr>
          <w:rFonts w:hint="eastAsia" w:ascii="宋体" w:hAnsi="宋体" w:cs="宋体"/>
          <w:b/>
          <w:color w:val="auto"/>
          <w:sz w:val="24"/>
          <w:lang w:val="en-US" w:eastAsia="zh-CN"/>
        </w:rPr>
        <w:t>备注：本采购货物预算金额仅为预估测算金额，最终以实际配送数量据实结算为准。</w:t>
      </w:r>
    </w:p>
    <w:p w14:paraId="4A1C6190">
      <w:pPr>
        <w:adjustRightInd w:val="0"/>
        <w:snapToGrid w:val="0"/>
        <w:spacing w:line="440" w:lineRule="exact"/>
        <w:ind w:firstLine="482" w:firstLineChars="200"/>
        <w:outlineLvl w:val="1"/>
        <w:rPr>
          <w:rFonts w:hint="eastAsia" w:ascii="宋体" w:hAnsi="宋体" w:cs="宋体"/>
          <w:b/>
          <w:color w:val="auto"/>
          <w:sz w:val="24"/>
          <w:lang w:val="en-US" w:eastAsia="zh-CN"/>
        </w:rPr>
      </w:pPr>
      <w:r>
        <w:rPr>
          <w:rFonts w:hint="eastAsia" w:ascii="宋体" w:hAnsi="宋体" w:cs="宋体"/>
          <w:b/>
          <w:color w:val="auto"/>
          <w:sz w:val="24"/>
          <w:lang w:val="en-US" w:eastAsia="zh-CN"/>
        </w:rPr>
        <w:t>涉及配送学校清单明细：</w:t>
      </w:r>
    </w:p>
    <w:tbl>
      <w:tblPr>
        <w:tblStyle w:val="32"/>
        <w:tblW w:w="97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3141"/>
        <w:gridCol w:w="5552"/>
      </w:tblGrid>
      <w:tr w14:paraId="4CA29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108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6EECF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3141"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90B22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乡镇中心校</w:t>
            </w:r>
          </w:p>
        </w:tc>
        <w:tc>
          <w:tcPr>
            <w:tcW w:w="5552"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25487E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     校</w:t>
            </w:r>
          </w:p>
        </w:tc>
      </w:tr>
      <w:tr w14:paraId="70C64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37EFE7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5A1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临沧市临翔区中心幼儿园</w:t>
            </w:r>
          </w:p>
        </w:tc>
        <w:tc>
          <w:tcPr>
            <w:tcW w:w="5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872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临沧市临翔区中心幼儿园</w:t>
            </w:r>
          </w:p>
        </w:tc>
      </w:tr>
      <w:tr w14:paraId="4470A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6B776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3D6E">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临沧市临翔区幼儿园</w:t>
            </w:r>
          </w:p>
        </w:tc>
        <w:tc>
          <w:tcPr>
            <w:tcW w:w="5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B391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临沧市临翔区幼儿园</w:t>
            </w:r>
          </w:p>
        </w:tc>
      </w:tr>
      <w:tr w14:paraId="5355F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32A52E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8047">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临沧市临翔区中平幼儿园</w:t>
            </w:r>
          </w:p>
        </w:tc>
        <w:tc>
          <w:tcPr>
            <w:tcW w:w="5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1D5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临沧市临翔区中平幼儿园</w:t>
            </w:r>
          </w:p>
        </w:tc>
      </w:tr>
      <w:tr w14:paraId="400A4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1CCF2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D1DE">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临沧市临翔区青华幼儿园</w:t>
            </w:r>
          </w:p>
        </w:tc>
        <w:tc>
          <w:tcPr>
            <w:tcW w:w="5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0FF2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临沧市临翔区青华幼儿园</w:t>
            </w:r>
          </w:p>
        </w:tc>
      </w:tr>
      <w:tr w14:paraId="5AE91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F4BF2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01E44">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临沧市临翔区文华实验学校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024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临沧市临翔区文华实验学校</w:t>
            </w:r>
          </w:p>
        </w:tc>
      </w:tr>
      <w:tr w14:paraId="175F4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9AA60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6</w:t>
            </w:r>
          </w:p>
        </w:tc>
        <w:tc>
          <w:tcPr>
            <w:tcW w:w="3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12A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临沧市临翔区第二中学</w:t>
            </w:r>
          </w:p>
        </w:tc>
        <w:tc>
          <w:tcPr>
            <w:tcW w:w="5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6540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临沧市临翔区第二中学</w:t>
            </w:r>
          </w:p>
        </w:tc>
      </w:tr>
      <w:tr w14:paraId="2A153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E2F0A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7</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11B6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凤翔中心校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9C5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临沧市临翔区凤翔街道新村中学</w:t>
            </w:r>
          </w:p>
        </w:tc>
      </w:tr>
      <w:tr w14:paraId="173A8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D16D2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2BAD6">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D27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临沧市临翔区凤翔街道新村完小</w:t>
            </w:r>
          </w:p>
        </w:tc>
      </w:tr>
      <w:tr w14:paraId="514D4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EA0D1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9</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EAB95">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5B3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临沧市临翔区凤翔街道昔本完小</w:t>
            </w:r>
          </w:p>
        </w:tc>
      </w:tr>
      <w:tr w14:paraId="1697C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B19C0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F9845">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EB1E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临沧市临翔区凤翔街道石房完小</w:t>
            </w:r>
          </w:p>
        </w:tc>
      </w:tr>
      <w:tr w14:paraId="423AC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BC878E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27E62">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DD6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临沧市临翔区凤翔街道中山小学</w:t>
            </w:r>
          </w:p>
        </w:tc>
      </w:tr>
      <w:tr w14:paraId="65F51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7FF8D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12</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78401">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2E85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临沧市临翔区凤翔街道南信小学</w:t>
            </w:r>
          </w:p>
        </w:tc>
      </w:tr>
      <w:tr w14:paraId="00898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15148C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13</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636B2">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696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临沧市临翔区凤翔街道南本小学</w:t>
            </w:r>
          </w:p>
        </w:tc>
      </w:tr>
      <w:tr w14:paraId="5BF0A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2796E6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14</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948EA">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EBD8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临沧市临翔区凤翔街道南信桥完小</w:t>
            </w:r>
          </w:p>
        </w:tc>
      </w:tr>
      <w:tr w14:paraId="68D66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20C4C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15</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250D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忙畔中心校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4AB5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临沧市临翔区忙畔街道青华中学</w:t>
            </w:r>
          </w:p>
        </w:tc>
      </w:tr>
      <w:tr w14:paraId="45E46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5BA39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16</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52C50">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146D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临沧市临翔区忙畔街道大文中学</w:t>
            </w:r>
          </w:p>
        </w:tc>
      </w:tr>
      <w:tr w14:paraId="2E5CE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45482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B442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211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ascii="宋体" w:hAnsi="宋体" w:eastAsia="宋体" w:cs="宋体"/>
                <w:color w:val="auto"/>
                <w:sz w:val="24"/>
                <w:szCs w:val="24"/>
              </w:rPr>
              <w:t>临沧市临翔区忙畔街道大文完小</w:t>
            </w:r>
          </w:p>
        </w:tc>
      </w:tr>
      <w:tr w14:paraId="275AF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CE82DA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D0BA0">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F1F3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ascii="宋体" w:hAnsi="宋体" w:eastAsia="宋体" w:cs="宋体"/>
                <w:color w:val="auto"/>
                <w:sz w:val="24"/>
                <w:szCs w:val="24"/>
              </w:rPr>
              <w:t>临沧市临翔区忙畔街道南崃完小</w:t>
            </w:r>
          </w:p>
        </w:tc>
      </w:tr>
      <w:tr w14:paraId="3922B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756338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19</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138BB">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F27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临沧市临翔区忙畔街道岔河完小</w:t>
            </w:r>
          </w:p>
        </w:tc>
      </w:tr>
      <w:tr w14:paraId="43C94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7C681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7021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B1C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临沧市临翔区忙畔街道丙简完小</w:t>
            </w:r>
          </w:p>
        </w:tc>
      </w:tr>
      <w:tr w14:paraId="1CBFE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26980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FF480">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6BC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临沧市临翔区忙畔街道明子完小</w:t>
            </w:r>
          </w:p>
        </w:tc>
      </w:tr>
      <w:tr w14:paraId="1A447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1531D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22</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88C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蚂蚁堆中心校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CDB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临沧市临翔区蚂蚁堆乡蚂蚁堆中学</w:t>
            </w:r>
          </w:p>
        </w:tc>
      </w:tr>
      <w:tr w14:paraId="12FB2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98DA2A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23</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CE38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EAC9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临沧市临翔区蚂蚁堆乡新塘房完小</w:t>
            </w:r>
          </w:p>
        </w:tc>
      </w:tr>
      <w:tr w14:paraId="79A53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48C3B7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24</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1F5EF">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651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临沧市临翔区蚂蚁堆乡杏勒完小</w:t>
            </w:r>
          </w:p>
        </w:tc>
      </w:tr>
      <w:tr w14:paraId="11D57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F49B7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25</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A7E9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96D2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临沧市临翔区蚂蚁堆乡忙糯完小</w:t>
            </w:r>
          </w:p>
        </w:tc>
      </w:tr>
      <w:tr w14:paraId="1813B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8C85C0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26</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67D89">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E5D3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临沧市临翔区蚂蚁堆乡新民完小</w:t>
            </w:r>
          </w:p>
        </w:tc>
      </w:tr>
      <w:tr w14:paraId="7603A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D910B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29763">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6FC5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临沧市临翔区蚂蚁堆乡曼启完小</w:t>
            </w:r>
          </w:p>
        </w:tc>
      </w:tr>
      <w:tr w14:paraId="40DBB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6E9AE5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454A3">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F6C8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临沧市临翔区蚂蚁堆乡蚂蚁堆完小</w:t>
            </w:r>
          </w:p>
        </w:tc>
      </w:tr>
      <w:tr w14:paraId="2043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D9D0F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29</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89777">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087F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临沧市临翔区蚂蚁堆乡遮奈完小</w:t>
            </w:r>
          </w:p>
        </w:tc>
      </w:tr>
      <w:tr w14:paraId="25F3C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5B375A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B51A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C44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临沧市临翔区蚂蚁堆乡一水完小</w:t>
            </w:r>
          </w:p>
        </w:tc>
      </w:tr>
      <w:tr w14:paraId="31732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47221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95517">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44F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临沧市临翔区蚂蚁堆乡曼毫完小</w:t>
            </w:r>
          </w:p>
        </w:tc>
      </w:tr>
      <w:tr w14:paraId="4215A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3B664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32</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76420">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D7B1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临沧市临翔区蚂蚁堆乡白河完小</w:t>
            </w:r>
          </w:p>
        </w:tc>
      </w:tr>
      <w:tr w14:paraId="45AB2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DC697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33</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774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博尚中心校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CBF4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临沧市临翔区博尚镇那招中学</w:t>
            </w:r>
          </w:p>
        </w:tc>
      </w:tr>
      <w:tr w14:paraId="4057B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802B8B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34</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1E520">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A9B1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临沧市临翔区博尚镇勐托中学</w:t>
            </w:r>
          </w:p>
        </w:tc>
      </w:tr>
      <w:tr w14:paraId="4B84B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3642F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35</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1ABB7">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B83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临沧市临翔区博尚镇博尚完小</w:t>
            </w:r>
          </w:p>
        </w:tc>
      </w:tr>
      <w:tr w14:paraId="7F0B5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AC333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36</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849ED">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5A70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临沧市临翔区博尚镇那招中心完小</w:t>
            </w:r>
          </w:p>
        </w:tc>
      </w:tr>
      <w:tr w14:paraId="2FC2A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0C307B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8C4F0">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0E77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临沧市临翔区博尚镇邦别小学</w:t>
            </w:r>
          </w:p>
        </w:tc>
      </w:tr>
      <w:tr w14:paraId="327FD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D64C18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BB356">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632A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临沧市临翔区博尚镇户有完小</w:t>
            </w:r>
          </w:p>
        </w:tc>
      </w:tr>
      <w:tr w14:paraId="5840B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846C1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39</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A2015">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192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临沧市临翔区博尚镇永泉完小</w:t>
            </w:r>
          </w:p>
        </w:tc>
      </w:tr>
      <w:tr w14:paraId="5F7D9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77984A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074D4">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43C7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临沧市临翔区博尚镇永和完小</w:t>
            </w:r>
          </w:p>
        </w:tc>
      </w:tr>
      <w:tr w14:paraId="3BBEE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E5F09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E66B9">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080E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临沧市临翔区博尚镇勐托完小</w:t>
            </w:r>
          </w:p>
        </w:tc>
      </w:tr>
      <w:tr w14:paraId="089FC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298211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42</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987ED">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188D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临沧市临翔区博尚镇碗窑完小</w:t>
            </w:r>
          </w:p>
        </w:tc>
      </w:tr>
      <w:tr w14:paraId="430DC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9836D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43</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6CD0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629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临沧市临翔区博尚镇完贤完小</w:t>
            </w:r>
          </w:p>
        </w:tc>
      </w:tr>
      <w:tr w14:paraId="072DF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19770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44</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D8079">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1967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临沧市临翔区博尚镇完等完小</w:t>
            </w:r>
          </w:p>
        </w:tc>
      </w:tr>
      <w:tr w14:paraId="5884F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142CF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45</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BCCE6">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973E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临沧市临翔区博尚镇白家寨小学</w:t>
            </w:r>
          </w:p>
        </w:tc>
      </w:tr>
      <w:tr w14:paraId="67CF1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C68C7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46</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8C4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圈内中心校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EB23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临沧市临翔区圈内乡宁安中学</w:t>
            </w:r>
          </w:p>
        </w:tc>
      </w:tr>
      <w:tr w14:paraId="4C839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8C0B5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76EB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1C5A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临沧市临翔区圈内乡斗阁中学</w:t>
            </w:r>
          </w:p>
        </w:tc>
      </w:tr>
      <w:tr w14:paraId="5726F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C5BB75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705D2">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8D8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临沧市临翔区圈内乡宁安完小</w:t>
            </w:r>
          </w:p>
        </w:tc>
      </w:tr>
      <w:tr w14:paraId="4361E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335EA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49</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4B3DF">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A77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临沧市临翔区圈内乡圈内完小</w:t>
            </w:r>
          </w:p>
        </w:tc>
      </w:tr>
      <w:tr w14:paraId="0C2E0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8881F9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5FF95">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F254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临沧市临翔区圈内乡斗阁完小</w:t>
            </w:r>
          </w:p>
        </w:tc>
      </w:tr>
      <w:tr w14:paraId="29E4D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D876D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88132">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67D2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临沧市临翔区圈内乡腊东完小</w:t>
            </w:r>
          </w:p>
        </w:tc>
      </w:tr>
      <w:tr w14:paraId="516D3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E9BD7C">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52</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F2534">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7335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临沧市临翔区圈内乡细博完小</w:t>
            </w:r>
          </w:p>
        </w:tc>
      </w:tr>
      <w:tr w14:paraId="73F91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88CEC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53</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F623A">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01A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临沧市临翔区圈内乡昔木完小</w:t>
            </w:r>
          </w:p>
        </w:tc>
      </w:tr>
      <w:tr w14:paraId="6D801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9BFC8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54</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F1384">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821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临沧市临翔区圈内乡炭窑完小</w:t>
            </w:r>
          </w:p>
        </w:tc>
      </w:tr>
      <w:tr w14:paraId="3191F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FFE395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55</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8F95C">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36FA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临沧市临翔区圈内乡文远完小</w:t>
            </w:r>
          </w:p>
        </w:tc>
      </w:tr>
      <w:tr w14:paraId="3C3BF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74D77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56</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D5EE8">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C43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临沧市临翔区圈内乡文宁完小</w:t>
            </w:r>
          </w:p>
        </w:tc>
      </w:tr>
      <w:tr w14:paraId="291AB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B0E0D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57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B4B22">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16AA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临沧市临翔区圈内乡南赛河完小</w:t>
            </w:r>
          </w:p>
        </w:tc>
      </w:tr>
      <w:tr w14:paraId="2ADFB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B0A7C4">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58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8847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2935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临沧市临翔区圈内乡旧家小学</w:t>
            </w:r>
          </w:p>
        </w:tc>
      </w:tr>
      <w:tr w14:paraId="69601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5472FE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59</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CCE3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平村中心校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AD01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临沧市临翔区平村乡平村中学</w:t>
            </w:r>
          </w:p>
        </w:tc>
      </w:tr>
      <w:tr w14:paraId="0B13D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3378C0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D2BDB">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752E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临沧市临翔区平村乡平村中心完小</w:t>
            </w:r>
          </w:p>
        </w:tc>
      </w:tr>
      <w:tr w14:paraId="0E781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46C93D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112CD">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F945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临沧市临翔区平村乡平村完小</w:t>
            </w:r>
          </w:p>
        </w:tc>
      </w:tr>
      <w:tr w14:paraId="5730E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9C1E13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62</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17698">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DA8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临沧市临翔区平村乡那玉完小</w:t>
            </w:r>
          </w:p>
        </w:tc>
      </w:tr>
      <w:tr w14:paraId="68F9F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3DC10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63</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D01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马台中心校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F0B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临沧市临翔区马台乡马台中学</w:t>
            </w:r>
          </w:p>
        </w:tc>
      </w:tr>
      <w:tr w14:paraId="11722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0E4F6F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64</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76A78">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E8C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临沧市临翔区马台乡全河中学</w:t>
            </w:r>
          </w:p>
        </w:tc>
      </w:tr>
      <w:tr w14:paraId="22B5E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A7FDAA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65</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88541">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03F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临沧市临翔区马台乡平河完小</w:t>
            </w:r>
          </w:p>
        </w:tc>
      </w:tr>
      <w:tr w14:paraId="6066A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3A648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66</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B9381">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FC00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临沧市临翔区马台乡全河完小</w:t>
            </w:r>
          </w:p>
        </w:tc>
      </w:tr>
      <w:tr w14:paraId="2EBDB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B00D6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97FB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11EA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临沧市临翔区马台乡那杏完小</w:t>
            </w:r>
          </w:p>
        </w:tc>
      </w:tr>
      <w:tr w14:paraId="223F7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6B743E6">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C2E15">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CCC2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临沧市临翔区马台乡马台完小</w:t>
            </w:r>
          </w:p>
        </w:tc>
      </w:tr>
      <w:tr w14:paraId="7D27C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138CB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69</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E477C">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1EB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临沧市临翔区马台乡唐家完小</w:t>
            </w:r>
          </w:p>
        </w:tc>
      </w:tr>
      <w:tr w14:paraId="3D043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729F30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18719">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2295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临沧市临翔区马台乡琅琊完小</w:t>
            </w:r>
          </w:p>
        </w:tc>
      </w:tr>
      <w:tr w14:paraId="09ABD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137C9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71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3EB4E">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AFE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临沧市临翔区马台乡清河完小</w:t>
            </w:r>
          </w:p>
        </w:tc>
      </w:tr>
      <w:tr w14:paraId="5F9E1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3C3621C">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72</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A56ED">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FD8A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临沧市临翔区马台乡平掌完小</w:t>
            </w:r>
          </w:p>
        </w:tc>
      </w:tr>
      <w:tr w14:paraId="34802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DAC29B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73</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764E7">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0FB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临沧市临翔区马台乡南糯完小</w:t>
            </w:r>
          </w:p>
        </w:tc>
      </w:tr>
      <w:tr w14:paraId="7D57B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DB99E2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74</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B2B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邦东中心校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04B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临沧市临翔区邦东乡邦东中学</w:t>
            </w:r>
          </w:p>
        </w:tc>
      </w:tr>
      <w:tr w14:paraId="28C8F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3FA98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75</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09081">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C0F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临沧市临翔区邦东乡邦东完小</w:t>
            </w:r>
          </w:p>
        </w:tc>
      </w:tr>
      <w:tr w14:paraId="28950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9C88CB">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76</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74DCA">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8BD7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临沧市临翔区邦东乡邦东中心完小</w:t>
            </w:r>
          </w:p>
        </w:tc>
      </w:tr>
      <w:tr w14:paraId="1F665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8A265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73A54">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C6CA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临沧市临翔区邦东乡和平完小</w:t>
            </w:r>
          </w:p>
        </w:tc>
      </w:tr>
      <w:tr w14:paraId="429B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B143401">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9A349">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AD48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临沧市临翔区邦东乡璋珍完小</w:t>
            </w:r>
          </w:p>
        </w:tc>
      </w:tr>
      <w:tr w14:paraId="67555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21F185">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79</w:t>
            </w:r>
          </w:p>
        </w:tc>
        <w:tc>
          <w:tcPr>
            <w:tcW w:w="3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C43F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章驮中心校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0796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临沧市临翔区章驮乡章驮中学</w:t>
            </w:r>
          </w:p>
        </w:tc>
      </w:tr>
      <w:tr w14:paraId="7FC1A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1B5C2E">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80</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9F671">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007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临沧市临翔区章驮乡邦卖中学</w:t>
            </w:r>
          </w:p>
        </w:tc>
      </w:tr>
      <w:tr w14:paraId="00DDA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655899A">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81</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BC689">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29C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临沧市临翔区章驮乡勐旺完小</w:t>
            </w:r>
          </w:p>
        </w:tc>
      </w:tr>
      <w:tr w14:paraId="084E9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DAB0AA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2"/>
                <w:szCs w:val="22"/>
                <w:u w:val="none"/>
                <w:lang w:val="en-US" w:eastAsia="zh-CN" w:bidi="ar"/>
              </w:rPr>
              <w:t>82</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358C3">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2820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临沧市临翔区章驮乡章驮中心完小</w:t>
            </w:r>
          </w:p>
        </w:tc>
      </w:tr>
      <w:tr w14:paraId="560BF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6C5BD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83</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DA444">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DEBE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临沧市临翔区章驮乡塘房完小</w:t>
            </w:r>
          </w:p>
        </w:tc>
      </w:tr>
      <w:tr w14:paraId="5EB43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6615948">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84</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85E95">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C3F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临沧市临翔区章驮乡龙平完小</w:t>
            </w:r>
          </w:p>
        </w:tc>
      </w:tr>
      <w:tr w14:paraId="56D56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EABCDDC">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2"/>
                <w:szCs w:val="22"/>
                <w:u w:val="none"/>
                <w:lang w:val="en-US" w:eastAsia="zh-CN" w:bidi="ar"/>
              </w:rPr>
              <w:t>85</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B66CB">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6C2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临沧市临翔区章驮乡邦福完小</w:t>
            </w:r>
          </w:p>
        </w:tc>
      </w:tr>
      <w:tr w14:paraId="6989E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F28B3B">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86</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A83CF">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E04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临沧市临翔区章驮乡户远完小</w:t>
            </w:r>
          </w:p>
        </w:tc>
      </w:tr>
      <w:tr w14:paraId="2217C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95C54CE">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87</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A9CB1">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2340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临沧市临翔区章驮乡邦卖完小</w:t>
            </w:r>
          </w:p>
        </w:tc>
      </w:tr>
      <w:tr w14:paraId="1C13B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3D292B">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88</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F8049">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3EEF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临沧市临翔区章驮乡采花坝完小</w:t>
            </w:r>
          </w:p>
        </w:tc>
      </w:tr>
      <w:tr w14:paraId="05A7E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CEBC163">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89</w:t>
            </w:r>
          </w:p>
        </w:tc>
        <w:tc>
          <w:tcPr>
            <w:tcW w:w="3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64B20">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5560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临沧市临翔区章驮乡新寨完小</w:t>
            </w:r>
          </w:p>
        </w:tc>
      </w:tr>
      <w:tr w14:paraId="6EFF7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D0E6EC">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90</w:t>
            </w:r>
          </w:p>
        </w:tc>
        <w:tc>
          <w:tcPr>
            <w:tcW w:w="3141" w:type="dxa"/>
            <w:vMerge w:val="restart"/>
            <w:tcBorders>
              <w:top w:val="single" w:color="000000" w:sz="4" w:space="0"/>
              <w:left w:val="single" w:color="000000" w:sz="4" w:space="0"/>
              <w:right w:val="single" w:color="000000" w:sz="4" w:space="0"/>
            </w:tcBorders>
            <w:shd w:val="clear" w:color="auto" w:fill="auto"/>
            <w:vAlign w:val="center"/>
          </w:tcPr>
          <w:p w14:paraId="36D4F1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南美中心校</w:t>
            </w:r>
          </w:p>
        </w:tc>
        <w:tc>
          <w:tcPr>
            <w:tcW w:w="5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8F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临沧市临翔区南美乡南美中学</w:t>
            </w:r>
          </w:p>
        </w:tc>
      </w:tr>
      <w:tr w14:paraId="52A55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4EDA309">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91</w:t>
            </w:r>
          </w:p>
        </w:tc>
        <w:tc>
          <w:tcPr>
            <w:tcW w:w="3141" w:type="dxa"/>
            <w:vMerge w:val="continue"/>
            <w:tcBorders>
              <w:left w:val="single" w:color="000000" w:sz="4" w:space="0"/>
              <w:right w:val="single" w:color="000000" w:sz="4" w:space="0"/>
            </w:tcBorders>
            <w:shd w:val="clear" w:color="auto" w:fill="auto"/>
            <w:vAlign w:val="center"/>
          </w:tcPr>
          <w:p w14:paraId="4E0306A8">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522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临沧市临翔区南美乡南美完小</w:t>
            </w:r>
          </w:p>
        </w:tc>
      </w:tr>
      <w:tr w14:paraId="20E08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080" w:type="dxa"/>
            <w:tcBorders>
              <w:top w:val="single" w:color="000000" w:sz="4" w:space="0"/>
              <w:left w:val="single" w:color="000000" w:sz="8" w:space="0"/>
              <w:bottom w:val="single" w:color="000000" w:sz="8" w:space="0"/>
              <w:right w:val="single" w:color="000000" w:sz="4" w:space="0"/>
            </w:tcBorders>
            <w:shd w:val="clear" w:color="auto" w:fill="auto"/>
            <w:noWrap/>
            <w:vAlign w:val="center"/>
          </w:tcPr>
          <w:p w14:paraId="6D348344">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92</w:t>
            </w:r>
          </w:p>
        </w:tc>
        <w:tc>
          <w:tcPr>
            <w:tcW w:w="3141" w:type="dxa"/>
            <w:vMerge w:val="continue"/>
            <w:tcBorders>
              <w:left w:val="single" w:color="000000" w:sz="4" w:space="0"/>
              <w:bottom w:val="single" w:color="000000" w:sz="8" w:space="0"/>
              <w:right w:val="single" w:color="000000" w:sz="4" w:space="0"/>
            </w:tcBorders>
            <w:shd w:val="clear" w:color="auto" w:fill="auto"/>
            <w:vAlign w:val="center"/>
          </w:tcPr>
          <w:p w14:paraId="08FACB06">
            <w:pPr>
              <w:jc w:val="center"/>
              <w:rPr>
                <w:rFonts w:hint="eastAsia" w:ascii="宋体" w:hAnsi="宋体" w:eastAsia="宋体" w:cs="宋体"/>
                <w:i w:val="0"/>
                <w:iCs w:val="0"/>
                <w:color w:val="auto"/>
                <w:sz w:val="21"/>
                <w:szCs w:val="21"/>
                <w:u w:val="none"/>
              </w:rPr>
            </w:pPr>
          </w:p>
        </w:tc>
        <w:tc>
          <w:tcPr>
            <w:tcW w:w="5552" w:type="dxa"/>
            <w:tcBorders>
              <w:top w:val="single" w:color="000000" w:sz="4" w:space="0"/>
              <w:left w:val="single" w:color="000000" w:sz="4" w:space="0"/>
              <w:bottom w:val="single" w:color="000000" w:sz="8" w:space="0"/>
              <w:right w:val="single" w:color="000000" w:sz="4" w:space="0"/>
            </w:tcBorders>
            <w:shd w:val="clear" w:color="auto" w:fill="auto"/>
            <w:noWrap/>
            <w:vAlign w:val="center"/>
          </w:tcPr>
          <w:p w14:paraId="1593663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临沧市临翔区南美乡多依小学</w:t>
            </w:r>
          </w:p>
        </w:tc>
      </w:tr>
    </w:tbl>
    <w:p w14:paraId="67ECA5FC">
      <w:pPr>
        <w:adjustRightInd w:val="0"/>
        <w:snapToGrid w:val="0"/>
        <w:spacing w:line="440" w:lineRule="exact"/>
        <w:ind w:firstLine="422" w:firstLineChars="200"/>
        <w:outlineLvl w:val="1"/>
        <w:rPr>
          <w:rFonts w:hint="eastAsia" w:ascii="宋体" w:hAnsi="宋体" w:eastAsia="宋体" w:cs="宋体"/>
          <w:b/>
          <w:color w:val="auto"/>
          <w:sz w:val="21"/>
          <w:szCs w:val="16"/>
          <w:lang w:val="en-US" w:eastAsia="zh-CN"/>
        </w:rPr>
      </w:pPr>
      <w:r>
        <w:rPr>
          <w:rFonts w:hint="eastAsia" w:ascii="宋体" w:hAnsi="宋体" w:eastAsia="宋体" w:cs="宋体"/>
          <w:b/>
          <w:color w:val="auto"/>
          <w:sz w:val="21"/>
          <w:szCs w:val="16"/>
          <w:lang w:val="en-US" w:eastAsia="zh-CN"/>
        </w:rPr>
        <w:t>二、技术要求</w:t>
      </w:r>
    </w:p>
    <w:tbl>
      <w:tblPr>
        <w:tblStyle w:val="33"/>
        <w:tblW w:w="9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155"/>
        <w:gridCol w:w="5714"/>
        <w:gridCol w:w="2212"/>
      </w:tblGrid>
      <w:tr w14:paraId="706A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Align w:val="center"/>
          </w:tcPr>
          <w:p w14:paraId="0AE95DCF">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序号</w:t>
            </w:r>
          </w:p>
        </w:tc>
        <w:tc>
          <w:tcPr>
            <w:tcW w:w="1155" w:type="dxa"/>
            <w:vAlign w:val="center"/>
          </w:tcPr>
          <w:p w14:paraId="115D5EA5">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货物名称</w:t>
            </w:r>
          </w:p>
        </w:tc>
        <w:tc>
          <w:tcPr>
            <w:tcW w:w="5714" w:type="dxa"/>
            <w:vAlign w:val="center"/>
          </w:tcPr>
          <w:p w14:paraId="14F70B6B">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lang w:val="en-US" w:eastAsia="zh-CN"/>
              </w:rPr>
              <w:t>技术</w:t>
            </w:r>
            <w:r>
              <w:rPr>
                <w:rFonts w:hint="eastAsia" w:ascii="宋体" w:hAnsi="宋体" w:eastAsia="宋体" w:cs="宋体"/>
                <w:b/>
                <w:color w:val="auto"/>
                <w:kern w:val="0"/>
                <w:sz w:val="21"/>
                <w:szCs w:val="21"/>
              </w:rPr>
              <w:t>要求</w:t>
            </w:r>
          </w:p>
        </w:tc>
        <w:tc>
          <w:tcPr>
            <w:tcW w:w="2212" w:type="dxa"/>
            <w:vAlign w:val="center"/>
          </w:tcPr>
          <w:p w14:paraId="7BC18C4D">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供货要求</w:t>
            </w:r>
          </w:p>
        </w:tc>
      </w:tr>
      <w:tr w14:paraId="16AB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Merge w:val="restart"/>
            <w:vAlign w:val="center"/>
          </w:tcPr>
          <w:p w14:paraId="3B016691">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1</w:t>
            </w:r>
          </w:p>
        </w:tc>
        <w:tc>
          <w:tcPr>
            <w:tcW w:w="1155" w:type="dxa"/>
            <w:vMerge w:val="restart"/>
            <w:vAlign w:val="center"/>
          </w:tcPr>
          <w:p w14:paraId="58AFBB90">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肉食品类</w:t>
            </w:r>
          </w:p>
        </w:tc>
        <w:tc>
          <w:tcPr>
            <w:tcW w:w="5714" w:type="dxa"/>
            <w:vAlign w:val="center"/>
          </w:tcPr>
          <w:p w14:paraId="69485313">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猪肉：</w:t>
            </w:r>
          </w:p>
          <w:p w14:paraId="07C869A1">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猪肉必须为当天宰杀白条猪，每头猪不低于100公斤；</w:t>
            </w:r>
          </w:p>
          <w:p w14:paraId="0D29C2BB">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lang w:val="en-US" w:eastAsia="zh-CN"/>
              </w:rPr>
              <w:t>.猪肉应为当天宰杀的鲜肉，应整块送至学校，</w:t>
            </w:r>
            <w:r>
              <w:rPr>
                <w:rFonts w:hint="eastAsia" w:ascii="宋体" w:hAnsi="宋体" w:eastAsia="宋体" w:cs="宋体"/>
                <w:color w:val="auto"/>
                <w:kern w:val="0"/>
                <w:sz w:val="21"/>
                <w:szCs w:val="21"/>
              </w:rPr>
              <w:t>每块猪肉应加盖检疫验讫章和肉品品质检验合格验讫章</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不允许配送绞切分割的肉及冰冻肉，</w:t>
            </w:r>
            <w:r>
              <w:rPr>
                <w:rFonts w:hint="eastAsia" w:ascii="宋体" w:hAnsi="宋体" w:eastAsia="宋体" w:cs="宋体"/>
                <w:color w:val="auto"/>
                <w:kern w:val="0"/>
                <w:sz w:val="21"/>
                <w:szCs w:val="21"/>
              </w:rPr>
              <w:t>拒绝母猪、种公猪猪肉、病死猪肉及疫区猪肉；</w:t>
            </w:r>
          </w:p>
          <w:p w14:paraId="576013C7">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猪肉配送要求全程冷链（冷藏</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配送），并保证猪肉新鲜、干净卫生、无异味；</w:t>
            </w:r>
          </w:p>
          <w:p w14:paraId="7C990EF7">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配送时随猪肉附《动物产品检疫合格证明》</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肉品品质检验合格证</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w:t>
            </w:r>
          </w:p>
        </w:tc>
        <w:tc>
          <w:tcPr>
            <w:tcW w:w="2212" w:type="dxa"/>
            <w:vMerge w:val="restart"/>
            <w:vAlign w:val="center"/>
          </w:tcPr>
          <w:p w14:paraId="4FF5FAC0">
            <w:pPr>
              <w:pStyle w:val="16"/>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供应商所供应的肉食品类应来自正规的养殖场或屠宰场，有完整的养殖、检疫、屠宰等环节的记录和证明文件，确保肉品来源可追溯；确保肉类应保持新鲜，色泽正常，肉质有弹性，无异味，表面无黏液，确保肉类无疫病、无寄生虫感染；</w:t>
            </w:r>
            <w:r>
              <w:rPr>
                <w:rFonts w:hint="eastAsia" w:ascii="宋体" w:hAnsi="宋体" w:eastAsia="宋体" w:cs="宋体"/>
                <w:color w:val="auto"/>
                <w:kern w:val="0"/>
                <w:sz w:val="21"/>
                <w:szCs w:val="21"/>
                <w:lang w:eastAsia="zh-CN"/>
              </w:rPr>
              <w:t>配送时随货提供《动物检疫合格证明》和《肉品品质检验合格证》</w:t>
            </w:r>
            <w:r>
              <w:rPr>
                <w:rFonts w:hint="eastAsia" w:hAnsi="宋体" w:cs="宋体"/>
                <w:color w:val="auto"/>
                <w:kern w:val="0"/>
                <w:sz w:val="21"/>
                <w:szCs w:val="21"/>
                <w:lang w:eastAsia="zh-CN"/>
              </w:rPr>
              <w:t>。</w:t>
            </w:r>
          </w:p>
        </w:tc>
      </w:tr>
      <w:tr w14:paraId="17168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Merge w:val="continue"/>
            <w:vAlign w:val="center"/>
          </w:tcPr>
          <w:p w14:paraId="20EB29DE">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p>
        </w:tc>
        <w:tc>
          <w:tcPr>
            <w:tcW w:w="1155" w:type="dxa"/>
            <w:vMerge w:val="continue"/>
            <w:vAlign w:val="center"/>
          </w:tcPr>
          <w:p w14:paraId="702C706F">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color w:val="auto"/>
                <w:kern w:val="0"/>
                <w:sz w:val="21"/>
                <w:szCs w:val="21"/>
              </w:rPr>
            </w:pPr>
          </w:p>
        </w:tc>
        <w:tc>
          <w:tcPr>
            <w:tcW w:w="5714" w:type="dxa"/>
            <w:vAlign w:val="center"/>
          </w:tcPr>
          <w:p w14:paraId="5DA87220">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牛肉：</w:t>
            </w:r>
          </w:p>
          <w:p w14:paraId="173EF1D7">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rPr>
              <w:t>瘦肉呈均匀的鲜红色或深红色、有光泽，脂肪呈乳白色或微黄色。具有牛肉正常气味，无异味，瘦肉切面纹理清晰，皮下脂肪适度、均匀、形态丰满；肉质紧密、有弹性、表面湿润、不黏手、无注水</w:t>
            </w:r>
            <w:r>
              <w:rPr>
                <w:rFonts w:hint="eastAsia" w:ascii="宋体" w:hAnsi="宋体" w:eastAsia="宋体" w:cs="宋体"/>
                <w:color w:val="auto"/>
                <w:kern w:val="0"/>
                <w:sz w:val="21"/>
                <w:szCs w:val="21"/>
                <w:lang w:eastAsia="zh-CN"/>
              </w:rPr>
              <w:t>。</w:t>
            </w:r>
          </w:p>
          <w:p w14:paraId="6D7796D6">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2.配送时需提供</w:t>
            </w:r>
            <w:r>
              <w:rPr>
                <w:rFonts w:hint="eastAsia" w:ascii="宋体" w:hAnsi="宋体" w:eastAsia="宋体" w:cs="宋体"/>
                <w:color w:val="auto"/>
                <w:kern w:val="0"/>
                <w:sz w:val="21"/>
                <w:szCs w:val="21"/>
              </w:rPr>
              <w:t>牛肉</w:t>
            </w:r>
            <w:r>
              <w:rPr>
                <w:rFonts w:hint="eastAsia" w:ascii="宋体" w:hAnsi="宋体" w:eastAsia="宋体" w:cs="宋体"/>
                <w:color w:val="auto"/>
                <w:kern w:val="0"/>
                <w:sz w:val="21"/>
                <w:szCs w:val="21"/>
                <w:lang w:val="en-US" w:eastAsia="zh-CN"/>
              </w:rPr>
              <w:t>的</w:t>
            </w:r>
            <w:r>
              <w:rPr>
                <w:rFonts w:hint="eastAsia" w:ascii="宋体" w:hAnsi="宋体" w:eastAsia="宋体" w:cs="宋体"/>
                <w:color w:val="auto"/>
                <w:kern w:val="0"/>
                <w:sz w:val="21"/>
                <w:szCs w:val="21"/>
              </w:rPr>
              <w:t>《动物产品检疫合格证明》</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肉品品质检验合格证</w:t>
            </w:r>
            <w:r>
              <w:rPr>
                <w:rFonts w:hint="eastAsia" w:ascii="宋体" w:hAnsi="宋体" w:eastAsia="宋体" w:cs="宋体"/>
                <w:color w:val="auto"/>
                <w:kern w:val="0"/>
                <w:sz w:val="21"/>
                <w:szCs w:val="21"/>
                <w:lang w:eastAsia="zh-CN"/>
              </w:rPr>
              <w:t>》。</w:t>
            </w:r>
          </w:p>
        </w:tc>
        <w:tc>
          <w:tcPr>
            <w:tcW w:w="2212" w:type="dxa"/>
            <w:vMerge w:val="continue"/>
            <w:vAlign w:val="center"/>
          </w:tcPr>
          <w:p w14:paraId="357AD51B">
            <w:pPr>
              <w:pStyle w:val="16"/>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rPr>
            </w:pPr>
          </w:p>
        </w:tc>
      </w:tr>
      <w:tr w14:paraId="48258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Merge w:val="continue"/>
            <w:vAlign w:val="center"/>
          </w:tcPr>
          <w:p w14:paraId="5CDF0E96">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rPr>
            </w:pPr>
          </w:p>
        </w:tc>
        <w:tc>
          <w:tcPr>
            <w:tcW w:w="1155" w:type="dxa"/>
            <w:vMerge w:val="continue"/>
            <w:vAlign w:val="center"/>
          </w:tcPr>
          <w:p w14:paraId="6D26D0AC">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rPr>
            </w:pPr>
          </w:p>
        </w:tc>
        <w:tc>
          <w:tcPr>
            <w:tcW w:w="5714" w:type="dxa"/>
            <w:vAlign w:val="center"/>
          </w:tcPr>
          <w:p w14:paraId="51C299A3">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家禽类：</w:t>
            </w:r>
          </w:p>
          <w:p w14:paraId="1C34CF6D">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必须为当天宰杀鲜禽肉，从宰杀到送货不得超过8小时，宰杀品种按学校实际要求提供（如：肉鸡、土杂鸡等）；</w:t>
            </w:r>
          </w:p>
          <w:p w14:paraId="3D774A47">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鲜禽肉应整只送至学校，不允许配送剁切分割的肉及冻品肉，拒绝病死及疫区禽肉；</w:t>
            </w:r>
          </w:p>
          <w:p w14:paraId="2CB9EAF2">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肉类颜色要正常，感观好无长毛及毛根，口腔及宰杀刀口无血污杂质，无紫斑淤血，大小适中，无附加水分；</w:t>
            </w:r>
          </w:p>
          <w:p w14:paraId="69257FC1">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禽肉配送要求全程冷链（冷藏</w:t>
            </w:r>
            <w:r>
              <w:rPr>
                <w:rFonts w:hint="eastAsia" w:ascii="宋体" w:hAnsi="宋体" w:eastAsia="宋体" w:cs="宋体"/>
                <w:color w:val="auto"/>
                <w:kern w:val="0"/>
                <w:sz w:val="21"/>
                <w:szCs w:val="21"/>
                <w:lang w:val="en-US" w:eastAsia="zh-CN"/>
              </w:rPr>
              <w:t>设备</w:t>
            </w:r>
            <w:r>
              <w:rPr>
                <w:rFonts w:hint="eastAsia" w:ascii="宋体" w:hAnsi="宋体" w:eastAsia="宋体" w:cs="宋体"/>
                <w:color w:val="auto"/>
                <w:kern w:val="0"/>
                <w:sz w:val="21"/>
                <w:szCs w:val="21"/>
              </w:rPr>
              <w:t>配送），并保证肉质新鲜、干净卫生、无异味；</w:t>
            </w:r>
          </w:p>
          <w:p w14:paraId="0C6B44F7">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5</w:t>
            </w:r>
            <w:r>
              <w:rPr>
                <w:rFonts w:hint="eastAsia" w:ascii="宋体" w:hAnsi="宋体" w:eastAsia="宋体" w:cs="宋体"/>
                <w:color w:val="auto"/>
                <w:kern w:val="0"/>
                <w:sz w:val="21"/>
                <w:szCs w:val="21"/>
                <w:lang w:val="en-US" w:eastAsia="zh-CN"/>
              </w:rPr>
              <w:t>.配送时需提供</w:t>
            </w:r>
            <w:r>
              <w:rPr>
                <w:rFonts w:hint="eastAsia" w:ascii="宋体" w:hAnsi="宋体" w:eastAsia="宋体" w:cs="宋体"/>
                <w:color w:val="auto"/>
                <w:kern w:val="0"/>
                <w:sz w:val="21"/>
                <w:szCs w:val="21"/>
              </w:rPr>
              <w:t>鲜禽肉</w:t>
            </w:r>
            <w:r>
              <w:rPr>
                <w:rFonts w:hint="eastAsia" w:ascii="宋体" w:hAnsi="宋体" w:eastAsia="宋体" w:cs="宋体"/>
                <w:color w:val="auto"/>
                <w:kern w:val="0"/>
                <w:sz w:val="21"/>
                <w:szCs w:val="21"/>
                <w:lang w:val="en-US" w:eastAsia="zh-CN"/>
              </w:rPr>
              <w:t>的</w:t>
            </w:r>
            <w:r>
              <w:rPr>
                <w:rFonts w:hint="eastAsia" w:ascii="宋体" w:hAnsi="宋体" w:eastAsia="宋体" w:cs="宋体"/>
                <w:color w:val="auto"/>
                <w:kern w:val="0"/>
                <w:sz w:val="21"/>
                <w:szCs w:val="21"/>
              </w:rPr>
              <w:t>《动物产品检疫合格证明》</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肉品品质检验合格证</w:t>
            </w:r>
            <w:r>
              <w:rPr>
                <w:rFonts w:hint="eastAsia" w:ascii="宋体" w:hAnsi="宋体" w:eastAsia="宋体" w:cs="宋体"/>
                <w:color w:val="auto"/>
                <w:kern w:val="0"/>
                <w:sz w:val="21"/>
                <w:szCs w:val="21"/>
                <w:lang w:eastAsia="zh-CN"/>
              </w:rPr>
              <w:t>》。</w:t>
            </w:r>
          </w:p>
        </w:tc>
        <w:tc>
          <w:tcPr>
            <w:tcW w:w="2212" w:type="dxa"/>
            <w:vMerge w:val="continue"/>
            <w:vAlign w:val="center"/>
          </w:tcPr>
          <w:p w14:paraId="38A1CA6D">
            <w:pPr>
              <w:pStyle w:val="16"/>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rPr>
            </w:pPr>
          </w:p>
        </w:tc>
      </w:tr>
      <w:tr w14:paraId="514A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shd w:val="clear" w:color="auto" w:fill="auto"/>
            <w:vAlign w:val="center"/>
          </w:tcPr>
          <w:p w14:paraId="567FBC08">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w:t>
            </w:r>
          </w:p>
        </w:tc>
        <w:tc>
          <w:tcPr>
            <w:tcW w:w="1155" w:type="dxa"/>
            <w:shd w:val="clear" w:color="auto" w:fill="auto"/>
            <w:vAlign w:val="center"/>
          </w:tcPr>
          <w:p w14:paraId="1170F58F">
            <w:pPr>
              <w:pStyle w:val="16"/>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b/>
                <w:bCs/>
                <w:color w:val="auto"/>
                <w:kern w:val="0"/>
                <w:sz w:val="21"/>
                <w:szCs w:val="21"/>
              </w:rPr>
              <w:t>蔬菜类</w:t>
            </w:r>
          </w:p>
        </w:tc>
        <w:tc>
          <w:tcPr>
            <w:tcW w:w="5714" w:type="dxa"/>
            <w:shd w:val="clear" w:color="auto" w:fill="auto"/>
            <w:vAlign w:val="center"/>
          </w:tcPr>
          <w:p w14:paraId="73CC300A">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1.具体感官要求：蔬菜成熟，保持鲜嫩；无异常气味，无腐烂变质；从蔬菜形态看，应尽量避免由于客观因素而造成的各种非正常、不新鲜的蔬菜，例如萎蔫、枯塌、损伤、病变、虫害侵蚀等情况。</w:t>
            </w:r>
          </w:p>
          <w:p w14:paraId="0EF236AE">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2.叶菜类：色泽正常，茎基部削平，无枯黄叶、病叶(包 括大面积黑点)、泥土、明显机械伤和病虫害伤，无烧心焦边、腐烂等现象，无抽苔（菜心除外），无畸形、异味，结球叶菜要结球适度，松花菜、花菜应新鲜洁白，不带叶麸，无畸形花，葱花、小白菜等根茎部无绿色粉末(蓝矾)。</w:t>
            </w:r>
          </w:p>
          <w:p w14:paraId="0A6869EC">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茄果类：番茄、茄子、甜椒、辣椒等。属同一品种规格，果实整洁，成熟度适中，番茄根蒂新鲜、无绿果，大小均匀，无裂果及空洞现象，茄果不能有裂蒂及果皮变硬现象，无腐烂、畸形、异味，无明显机械伤。</w:t>
            </w:r>
          </w:p>
          <w:p w14:paraId="2531670F">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4.瓜果类：黄瓜、冬瓜、丝瓜、苦瓜、南瓜、洋丝瓜、西葫芦等。 属同一品种规格，形状、色泽一致，瓜条均匀，无疤点，无断裂，无腐烂及烂心、畸形、异味、明显机械伤，不带泥土。</w:t>
            </w:r>
          </w:p>
          <w:p w14:paraId="69285D2D">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5.根菜类：萝卜、胡萝卜等。属同一品种规格，皮细光滑，大小均匀，肉质脆嫩致密新鲜，根条均匀，无腐烂、畸形、裂痕、糠心、异味，不带泥沙，不带茎叶和须根。 </w:t>
            </w:r>
          </w:p>
          <w:p w14:paraId="09A423A6">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6.薯芋类：马铃薯、山药、芋、姜等。属同一品种规格，色泽一致，允许少量泥沙，马铃薯、芋大小均匀，不带须根、茎叶，不干瘪，无腐烂、畸形、异味、明显机械伤、病虫害斑，马铃薯无发芽，皮不变绿。</w:t>
            </w:r>
          </w:p>
          <w:p w14:paraId="452F33F9">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7.葱蒜类：葱、蒜、韭菜、洋葱等。属同一品种规格，</w:t>
            </w:r>
          </w:p>
          <w:p w14:paraId="7A985BC8">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允许葱、青蒜类保留干净须根，葱、蒜、韭菜根条均匀，洋葱葛头去根去枯叶、个体大小均匀，可食部分新鲜幼嫩，无腐烂、畸形、异味。</w:t>
            </w:r>
          </w:p>
          <w:p w14:paraId="0EAD95CB">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8.豆类：豌豆、毛豆等。属同一品种规格，形态完整，成熟度适中，无腐烂、畸形、异味，豆荚类新鲜、幼嫩、均匀，豆仁类籽粒饱满，较均匀，无发芽，无虫害，不带泥土杂质。</w:t>
            </w:r>
          </w:p>
          <w:p w14:paraId="5F9BBE7B">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9.水生菜类：藕、茨菇、茭白、马蹄、菱角等。属同一品种规格，肉质嫩，成熟度适中，无腐烂、畸形、异味，无明显机械伤，不带泥土和杂质，不干瘪，茭白和藕不黑心。</w:t>
            </w:r>
          </w:p>
          <w:p w14:paraId="5052D926">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10.食用菌类：白蘑菇、草菇、香菇、北风菌、平菇、木 耳等。属同一品种规格，蘑菇、草菇菌盖圆整略展开，柄粗壮，菌膜紧，菇柄切削平整，不浸泡水（蘑菇允许浸盐水保鲜)，新鲜，无杂质，无畸形菇，无腐烂、异味。 </w:t>
            </w:r>
          </w:p>
          <w:p w14:paraId="20271B4A">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11.芽苗类：绿豆芽、黄豆芽、香椿苗等。芽苗幼嫩，不带豆壳杂质，新鲜，不浸水，无腐烂、异味。</w:t>
            </w:r>
          </w:p>
        </w:tc>
        <w:tc>
          <w:tcPr>
            <w:tcW w:w="2212" w:type="dxa"/>
            <w:shd w:val="clear" w:color="auto" w:fill="auto"/>
            <w:vAlign w:val="center"/>
          </w:tcPr>
          <w:p w14:paraId="4CA5AFAF">
            <w:pPr>
              <w:pStyle w:val="16"/>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供应商所供应的蔬菜类须保证符合国家农药残留限量标准；配送时需随货提供农残自检报告或食用农产品农药残留快速检测报告单，同时采购人也有权对所供蔬菜进行不定期抽检。</w:t>
            </w:r>
          </w:p>
        </w:tc>
      </w:tr>
      <w:tr w14:paraId="4F62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6" w:type="dxa"/>
            <w:vAlign w:val="center"/>
          </w:tcPr>
          <w:p w14:paraId="1C8CE603">
            <w:pPr>
              <w:pStyle w:val="7"/>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b/>
                <w:bCs/>
                <w:color w:val="auto"/>
                <w:kern w:val="0"/>
                <w:sz w:val="21"/>
                <w:szCs w:val="21"/>
                <w:lang w:val="en-US" w:eastAsia="zh-CN"/>
              </w:rPr>
            </w:pPr>
            <w:r>
              <w:rPr>
                <w:rFonts w:hint="eastAsia" w:ascii="宋体" w:hAnsi="宋体" w:eastAsia="宋体" w:cs="宋体"/>
                <w:b/>
                <w:bCs/>
                <w:color w:val="auto"/>
                <w:kern w:val="0"/>
                <w:sz w:val="21"/>
                <w:szCs w:val="21"/>
                <w:lang w:val="en-US" w:eastAsia="zh-CN"/>
              </w:rPr>
              <w:t>3</w:t>
            </w:r>
          </w:p>
        </w:tc>
        <w:tc>
          <w:tcPr>
            <w:tcW w:w="1155" w:type="dxa"/>
            <w:vAlign w:val="center"/>
          </w:tcPr>
          <w:p w14:paraId="78EB21C6">
            <w:pPr>
              <w:pStyle w:val="7"/>
              <w:keepNext w:val="0"/>
              <w:keepLines w:val="0"/>
              <w:pageBreakBefore w:val="0"/>
              <w:kinsoku/>
              <w:wordWrap/>
              <w:overflowPunct/>
              <w:topLinePunct w:val="0"/>
              <w:autoSpaceDE/>
              <w:autoSpaceDN/>
              <w:bidi w:val="0"/>
              <w:adjustRightInd/>
              <w:snapToGrid/>
              <w:spacing w:line="312" w:lineRule="auto"/>
              <w:ind w:left="0" w:leftChars="0" w:firstLine="0" w:firstLineChars="0"/>
              <w:jc w:val="center"/>
              <w:textAlignment w:val="auto"/>
              <w:rPr>
                <w:rFonts w:hint="eastAsia" w:ascii="宋体" w:hAnsi="宋体" w:eastAsia="宋体" w:cs="宋体"/>
                <w:b/>
                <w:bCs/>
                <w:color w:val="auto"/>
                <w:kern w:val="0"/>
                <w:sz w:val="21"/>
                <w:szCs w:val="21"/>
                <w:lang w:eastAsia="zh-CN"/>
              </w:rPr>
            </w:pPr>
            <w:r>
              <w:rPr>
                <w:rFonts w:hint="eastAsia" w:ascii="宋体" w:hAnsi="宋体" w:eastAsia="宋体" w:cs="宋体"/>
                <w:b/>
                <w:bCs/>
                <w:color w:val="auto"/>
                <w:kern w:val="0"/>
                <w:sz w:val="21"/>
                <w:szCs w:val="21"/>
                <w:lang w:val="en-US" w:eastAsia="zh-CN"/>
              </w:rPr>
              <w:t>辅料类</w:t>
            </w:r>
          </w:p>
        </w:tc>
        <w:tc>
          <w:tcPr>
            <w:tcW w:w="5714" w:type="dxa"/>
            <w:vAlign w:val="center"/>
          </w:tcPr>
          <w:p w14:paraId="02AAF24F">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酿造类调味品：具有固有气味，滋味纯正，无异味杂质；</w:t>
            </w:r>
          </w:p>
          <w:p w14:paraId="128783AC">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干货及干货类调味品：气味纯正、干燥、无杂质、无霉变、无</w:t>
            </w:r>
            <w:r>
              <w:rPr>
                <w:rFonts w:hint="eastAsia" w:hAnsi="宋体" w:cs="宋体"/>
                <w:color w:val="auto"/>
                <w:kern w:val="0"/>
                <w:sz w:val="21"/>
                <w:szCs w:val="21"/>
                <w:lang w:val="en-US" w:eastAsia="zh-CN"/>
              </w:rPr>
              <w:t>蛀虫</w:t>
            </w:r>
            <w:r>
              <w:rPr>
                <w:rFonts w:hint="eastAsia" w:ascii="宋体" w:hAnsi="宋体" w:eastAsia="宋体" w:cs="宋体"/>
                <w:color w:val="auto"/>
                <w:kern w:val="0"/>
                <w:sz w:val="21"/>
                <w:szCs w:val="21"/>
              </w:rPr>
              <w:t>，具有干货及干货类调味品食用 价值、营养价值，颗粒类要求颗粒饱满、大小均匀，条状、块状、干果、叶片类要求无碎裂，粉末类要求为纯正原材料粉磨加工、粉末均匀、无掺杂，整体可使用率需达到 99%以上，配送时须随货提供农残、亚硝酸盐验检报告（复印件）供学校点存档；</w:t>
            </w:r>
          </w:p>
          <w:p w14:paraId="7C071EFD">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食盐：天然无掺杂、纯度高；</w:t>
            </w:r>
          </w:p>
          <w:p w14:paraId="180597DD">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味精：白色光亮、晶粒大小均匀、无杂质，味鲜稍咸且无异味；</w:t>
            </w:r>
          </w:p>
          <w:p w14:paraId="5F525C59">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糖：水溶味甜、无杂质漂浮、无异味、干燥；</w:t>
            </w:r>
          </w:p>
          <w:p w14:paraId="383CD81C">
            <w:pPr>
              <w:pStyle w:val="16"/>
              <w:keepNext w:val="0"/>
              <w:keepLines w:val="0"/>
              <w:pageBreakBefore w:val="0"/>
              <w:kinsoku/>
              <w:wordWrap/>
              <w:overflowPunct/>
              <w:topLinePunct w:val="0"/>
              <w:autoSpaceDE/>
              <w:autoSpaceDN/>
              <w:bidi w:val="0"/>
              <w:adjustRightInd/>
              <w:snapToGrid/>
              <w:spacing w:line="312" w:lineRule="auto"/>
              <w:ind w:firstLine="0" w:firstLineChars="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rPr>
              <w:t>其它类调味品：按采购人要求提供等值优质的产品。</w:t>
            </w:r>
          </w:p>
        </w:tc>
        <w:tc>
          <w:tcPr>
            <w:tcW w:w="2212" w:type="dxa"/>
            <w:vAlign w:val="center"/>
          </w:tcPr>
          <w:p w14:paraId="04647A71">
            <w:pPr>
              <w:pStyle w:val="16"/>
              <w:keepNext w:val="0"/>
              <w:keepLines w:val="0"/>
              <w:pageBreakBefore w:val="0"/>
              <w:kinsoku/>
              <w:wordWrap/>
              <w:overflowPunct/>
              <w:topLinePunct w:val="0"/>
              <w:autoSpaceDE/>
              <w:autoSpaceDN/>
              <w:bidi w:val="0"/>
              <w:adjustRightInd/>
              <w:snapToGrid/>
              <w:spacing w:line="312" w:lineRule="auto"/>
              <w:ind w:firstLine="0" w:firstLineChars="0"/>
              <w:jc w:val="center"/>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供应商所供应的辅料类产品须保证符合《中华人民共和国食品安全法》和国家相关质量检验标准、卫生标准及地方的相关法律法规要求，农药残留、重金属、亚硝酸盐不得超过国家限定范围标准，配送时须随货提供当批次检验报告供各校点存档。</w:t>
            </w:r>
          </w:p>
        </w:tc>
      </w:tr>
    </w:tbl>
    <w:p w14:paraId="5EE020BA">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三、质量要求</w:t>
      </w:r>
    </w:p>
    <w:p w14:paraId="6559F85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（1）肉禽类：符合《中华人民共和国食品安全法》、</w:t>
      </w:r>
      <w:r>
        <w:rPr>
          <w:rFonts w:hint="eastAsia" w:ascii="宋体" w:hAnsi="宋体" w:cs="宋体"/>
          <w:b w:val="0"/>
          <w:bCs w:val="0"/>
          <w:color w:val="auto"/>
          <w:sz w:val="21"/>
          <w:szCs w:val="21"/>
          <w:highlight w:val="none"/>
          <w:lang w:val="en-US" w:eastAsia="zh-CN"/>
        </w:rPr>
        <w:t>《动物检验检疫管理办法》</w:t>
      </w:r>
      <w:r>
        <w:rPr>
          <w:rFonts w:hint="eastAsia" w:ascii="宋体" w:hAnsi="宋体" w:eastAsia="宋体" w:cs="宋体"/>
          <w:b w:val="0"/>
          <w:bCs w:val="0"/>
          <w:color w:val="auto"/>
          <w:sz w:val="21"/>
          <w:szCs w:val="21"/>
          <w:highlight w:val="none"/>
          <w:lang w:val="en-US" w:eastAsia="zh-CN"/>
        </w:rPr>
        <w:t>和国家相关质量检验标准、卫生标准及地方的相关法律法规要求。</w:t>
      </w:r>
    </w:p>
    <w:p w14:paraId="4C3DE04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（2）蔬菜类：符合《中华人民共和国食品安全法》、</w:t>
      </w:r>
      <w:r>
        <w:rPr>
          <w:rFonts w:hint="eastAsia" w:ascii="宋体" w:hAnsi="宋体" w:cs="宋体"/>
          <w:b w:val="0"/>
          <w:bCs w:val="0"/>
          <w:color w:val="auto"/>
          <w:sz w:val="21"/>
          <w:szCs w:val="21"/>
          <w:highlight w:val="none"/>
          <w:lang w:val="en-US" w:eastAsia="zh-CN"/>
        </w:rPr>
        <w:t>GB/T23351-2009《国家新鲜水果和蔬菜 词汇》</w:t>
      </w:r>
      <w:r>
        <w:rPr>
          <w:rFonts w:hint="eastAsia" w:ascii="宋体" w:hAnsi="宋体" w:eastAsia="宋体" w:cs="宋体"/>
          <w:b w:val="0"/>
          <w:bCs w:val="0"/>
          <w:color w:val="auto"/>
          <w:sz w:val="21"/>
          <w:szCs w:val="21"/>
          <w:highlight w:val="none"/>
          <w:lang w:val="en-US" w:eastAsia="zh-CN"/>
        </w:rPr>
        <w:t>和国家相关质量检验标准、卫生标准及地方的相关法律法规要求，且为非转基因植物。</w:t>
      </w:r>
    </w:p>
    <w:p w14:paraId="6E3E459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干货及调味类：符合《中华人民共和国食品安全法》和国家相关质量检验标准、卫生标准及地方的相关法律法规要求，农药残留、重金属、亚硝酸盐不得超过国家限定范围标准；符合《中华人民共和国食品安全法》、GB2717-2018《酱油》标准、GB2719-2018《食醋》标准、SB/T10416-2007《调味料酒》、GB/T5461-2016《食用盐》、GB 2720-2015《味精》、GB13104-2014《食品安全国家标准-食糖》等标准和国家相关质量检验标准、卫生标准及地方的相关法律法规要求。</w:t>
      </w:r>
    </w:p>
    <w:p w14:paraId="34BAA3D6">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注：（1）如乙方配送物资达不到上述标段对应物资质量要求，</w:t>
      </w:r>
      <w:r>
        <w:rPr>
          <w:rFonts w:hint="eastAsia" w:ascii="宋体" w:hAnsi="宋体" w:cs="宋体"/>
          <w:color w:val="auto"/>
          <w:lang w:val="en-US" w:eastAsia="zh-CN"/>
        </w:rPr>
        <w:t>学校</w:t>
      </w:r>
      <w:r>
        <w:rPr>
          <w:rFonts w:hint="eastAsia" w:ascii="宋体" w:hAnsi="宋体" w:eastAsia="宋体" w:cs="宋体"/>
          <w:color w:val="auto"/>
          <w:lang w:val="en-US" w:eastAsia="zh-CN"/>
        </w:rPr>
        <w:t>有权拒收，并扣除乙方单批次货物总价的10%-20%作为违约金。</w:t>
      </w:r>
    </w:p>
    <w:p w14:paraId="7AC2087A">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（2）为切实保障学生用餐的质量安全，教育体育局</w:t>
      </w:r>
      <w:r>
        <w:rPr>
          <w:rFonts w:hint="eastAsia" w:ascii="宋体" w:hAnsi="宋体" w:cs="宋体"/>
          <w:color w:val="auto"/>
          <w:lang w:val="en-US" w:eastAsia="zh-CN"/>
        </w:rPr>
        <w:t>（或学校）</w:t>
      </w:r>
      <w:r>
        <w:rPr>
          <w:rFonts w:hint="eastAsia" w:ascii="宋体" w:hAnsi="宋体" w:eastAsia="宋体" w:cs="宋体"/>
          <w:color w:val="auto"/>
          <w:lang w:val="en-US" w:eastAsia="zh-CN"/>
        </w:rPr>
        <w:t>可向第三方检测单位申请一年两次对供应商所供食品进行抽样检测（检测费由供货商承担），检测单位向供应商出具食品质量检验报告，同时将检验结果报送领导小组备案，如食品检测不符合报告不符合上述质量要求，</w:t>
      </w:r>
      <w:r>
        <w:rPr>
          <w:rFonts w:hint="eastAsia" w:ascii="宋体" w:hAnsi="宋体" w:cs="宋体"/>
          <w:color w:val="auto"/>
          <w:lang w:val="en-US" w:eastAsia="zh-CN"/>
        </w:rPr>
        <w:t>学校</w:t>
      </w:r>
      <w:r>
        <w:rPr>
          <w:rFonts w:hint="eastAsia" w:ascii="宋体" w:hAnsi="宋体" w:eastAsia="宋体" w:cs="宋体"/>
          <w:color w:val="auto"/>
          <w:lang w:val="en-US" w:eastAsia="zh-CN"/>
        </w:rPr>
        <w:t>有权拒收，并扣除乙方已配送货物总价的10%-20%作为违约金。</w:t>
      </w:r>
    </w:p>
    <w:p w14:paraId="7375F6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（3）在合同履行过程中，如国家相关质量检验标准、卫生标准及地方的相关法律法规有新标准出台，按新标准执行。</w:t>
      </w:r>
    </w:p>
    <w:p w14:paraId="035643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四、配送服务要求</w:t>
      </w:r>
    </w:p>
    <w:p w14:paraId="08721C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供应商应严格按采购人需求，提供合格、优质并符合中华人民共和国有关质量标准及卫生标准和达到采购清单中技术规格要求的货物；确保其供应的货物质量达到采购人要求，如不能满足采购人要求，则采购人有权向中标供应商提出退换或索赔的要求，情节严重的提前终止年度采购合同，并承担相应经济及法律责任。</w:t>
      </w:r>
    </w:p>
    <w:p w14:paraId="53D823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（2）供应商应严格遵守《中华人民共和国食品安全法》、《中华人民共和国农产品质量安全法》</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《中华人民共和国产品质量法》等相关规定，一经发现供应商供应的货物存在质量问题的，除全部退货外，将取消供应商的供货资格，没收全部履约保证金，并承担由此造成的经济责任和法律责任。</w:t>
      </w:r>
    </w:p>
    <w:p w14:paraId="11D90E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（3）配送要求：供应商应按各学校食堂要求时间供货，并对学校食堂所需物资保证能做到日配送，偏远乡镇做到每周至少3次配送；特殊情况下需临时增加配送任务时，供需双方结合实际商议配送。</w:t>
      </w:r>
    </w:p>
    <w:p w14:paraId="2BDFE7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（4）在合理情况下，供应商应无条件配合采购主体学校提出的配送时间，不得因配送时间推迟导致学校食堂无法按时就餐。</w:t>
      </w:r>
    </w:p>
    <w:p w14:paraId="100DE43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配送责任划分：①对提供的食品及原料因假冒伪劣、腐烂变质、过期、农药残留超标等导致校方就餐人员食物中毒或损害健康的，经疾病预防控制中心或有关法定检测机构鉴定确为食品质量原因引起的，供应商必须承担相关法律责任和赔偿责任，由此产生的一切后果均由供应商承担。</w:t>
      </w:r>
    </w:p>
    <w:p w14:paraId="548CAB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②供应商须按与学校商定的地点及有关要求按时、按质、按量将所订购的食品送达，如遇不可抗力导致不能送达，供应商需在1小时内通知学校，以便学校及时解决食品供应问题。非不可抗力因素导致食品不能送达的，由供应商承担学校相应损失（损失大小由供应商、学校、教体局和区内有关职能部门共同协商确定）。</w:t>
      </w:r>
    </w:p>
    <w:p w14:paraId="3838FAD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③供应商员工在配送食品过程中造成的意外事故（含第三人侵害、交通事故、工伤及其他不可抗因素等）造成供应商人员受损，由供应商自己承担，学校不承担任何责任。</w:t>
      </w:r>
    </w:p>
    <w:p w14:paraId="360544E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④为预防食品安全事件的发生，中标供应商在与采购人签订采购合同前必须购买年累计赔偿限额不低于</w:t>
      </w:r>
      <w:r>
        <w:rPr>
          <w:rFonts w:hint="eastAsia" w:ascii="宋体" w:hAnsi="宋体" w:cs="宋体"/>
          <w:b w:val="0"/>
          <w:bCs w:val="0"/>
          <w:color w:val="auto"/>
          <w:sz w:val="21"/>
          <w:szCs w:val="21"/>
          <w:highlight w:val="none"/>
          <w:lang w:val="en-US" w:eastAsia="zh-CN"/>
        </w:rPr>
        <w:t>1000万元的食品安全责任保险进行承保</w:t>
      </w:r>
      <w:r>
        <w:rPr>
          <w:rFonts w:hint="eastAsia" w:ascii="宋体" w:hAnsi="宋体" w:eastAsia="宋体" w:cs="宋体"/>
          <w:b w:val="0"/>
          <w:bCs w:val="0"/>
          <w:color w:val="auto"/>
          <w:sz w:val="21"/>
          <w:szCs w:val="21"/>
          <w:highlight w:val="none"/>
          <w:lang w:val="en-US" w:eastAsia="zh-CN"/>
        </w:rPr>
        <w:t>。如学校出现食品安全事件，在双方责任不明确时，所需费用由供货商、保险公司先暂付，责任认定后，由责任方承担所有费用。</w:t>
      </w:r>
    </w:p>
    <w:p w14:paraId="1AE5540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供应商所供应的肉食品类应来自正规的养殖场或屠宰场，有完整的养殖、检疫、屠宰等环节的记录和证明文件，确保肉品来源可追溯；确保肉类应保持新鲜，色泽正常，肉质有弹性，无异味，表面无黏液，确保肉类无疫病、无寄生虫感染；配送时随货提供《动物检疫合格证明》和《肉品品质检验合格证》。</w:t>
      </w:r>
    </w:p>
    <w:p w14:paraId="7BA95EC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（6）供应商所供应的蔬菜类须保证符合国家农药残留限量标准；配送时需随货提供农残自检报告或食用农产品农药残留快速检测报告单，同时采购人也有权对所供蔬菜进行不定期抽检。</w:t>
      </w:r>
    </w:p>
    <w:p w14:paraId="06BD3F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供应商所供应的辅料类产品须保证符合《中华人民共和国食品安全法》和国家相关质量检验标准、卫生标准及地方的相关法律法规要求，农药残留、重金属、亚硝酸盐不得超过国家限定范围标准，配送时须随货提供当批次检验报告供各校点存档。</w:t>
      </w:r>
    </w:p>
    <w:p w14:paraId="155845E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五、产品的防护、包装及运输要求</w:t>
      </w:r>
    </w:p>
    <w:p w14:paraId="69223A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食品安全防护、包装及运输制度的规定，食品及包装须无金属丝、金属块、绳索、玻璃、尖锐器物等可能造成危害的物品。为了保证产品在运输和装卸过程中的安全，所供食材应根据其使用环境和使用日期做相应的防护包装，包装材料应无毒无害，由于包装不善导致产品包装破损、变质、受污，由供应商承担一切责任；运输车辆必须清洁、干燥、无异味；严禁与有毒、有害、有异味、易污染的物品混装混运。</w:t>
      </w:r>
    </w:p>
    <w:p w14:paraId="1099F1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六、验收标准</w:t>
      </w:r>
    </w:p>
    <w:p w14:paraId="2BE6A2D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供应商根据采购人需求将物资运送至指定地点后，采购人将对产品进行抽样检查，如发现有数量不足、卫生和质量等问题，供应商应按照采购人的要求采取补足、更换、召回等处理措施，及时提供相应的合格物资</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并承担由此发生的一切损失和费用。</w:t>
      </w:r>
    </w:p>
    <w:p w14:paraId="2C754D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（2）供应商已按照规定提供了采购方所需产品，且产品符合质量要求，采购人才会对货物进行签收。 </w:t>
      </w:r>
    </w:p>
    <w:p w14:paraId="752CDB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七、售后服务要求</w:t>
      </w:r>
    </w:p>
    <w:p w14:paraId="67C127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供应商须无条件更换有质量问题问题或有破损的产品，若出现安全问题或安全事故，应及时处理，并承担全部责任。</w:t>
      </w:r>
    </w:p>
    <w:p w14:paraId="3707F31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lang w:val="en-US" w:eastAsia="zh-CN"/>
        </w:rPr>
        <w:t>商品定价基数</w:t>
      </w:r>
    </w:p>
    <w:p w14:paraId="6482E41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（1）肉食品类</w:t>
      </w:r>
    </w:p>
    <w:p w14:paraId="18DF51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①基准价报送与备案要求：供应商须于每月25日至30日，将加盖定点屠宰场公章的次月肉类批发价格依据证明（或屠宰场当期价格公示材料或其他能够客观、真实佐证定点屠宰场批发价格的有效证明材料）报送报送采购人及各供货学校，由采购人及各供货学校统一收存备案存档；屠宰批发价格一经双方确认锁定，作为次月完整1个月供货计价唯一基数，该执行周期内定点屠宰批发单价固定不变，不随屠宰场临时调价、市场短期涨跌调整。</w:t>
      </w:r>
    </w:p>
    <w:p w14:paraId="2ECC4E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②月度结算单价计算公式：次月结算单价=每月25-30日备案锁定的定点屠宰场批发单价×（1+中标上浮比例）。</w:t>
      </w:r>
    </w:p>
    <w:p w14:paraId="088F59C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③逾期报送违约责任：供应商未在当月25日—30日完成屠宰次月批发价备案，或提交单据无屠宰场有效盖章、价格材料虚假的，次月肉类结算不采用上浮计价模式，统一按上期备案锁定的定点屠宰场批发单价结算，全部价差亏损由供应商承担，同时采购人有权记入履约不良记录。</w:t>
      </w:r>
    </w:p>
    <w:p w14:paraId="44E3F0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（2）蔬菜类、辅料类</w:t>
      </w:r>
    </w:p>
    <w:p w14:paraId="228A39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1）询价基准与标准</w:t>
      </w:r>
    </w:p>
    <w:p w14:paraId="512FC9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①询价方式：由询价小组开展市场询价工作，询价范围限定为供货上月在临翔区城区内正常运营的三家或三家以上大型商超或农贸市场，以该范围内的产品实际售价作为询价基础。</w:t>
      </w:r>
    </w:p>
    <w:p w14:paraId="041A5CD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②基准价计算：以三家或三家以上商超/农贸市场的询价结果取平均值，作为本次询价的基准价。</w:t>
      </w:r>
    </w:p>
    <w:p w14:paraId="74C7DF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③排除情形：经核实属于大型商超、农贸市场的引流价、特价商品价格及处理品价格，均不纳入本次询价标准范围，不参与基准价计算。</w:t>
      </w:r>
    </w:p>
    <w:p w14:paraId="45FF6B2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2）询价周期与执行期</w:t>
      </w:r>
    </w:p>
    <w:p w14:paraId="55623A5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①询价频次：按学期周期设定，每个学期开展2次询价，确保价格与市场动态适配。</w:t>
      </w:r>
    </w:p>
    <w:p w14:paraId="760CE65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②询价时间：两次询价分别在固定节点启动，第一次为学期初，第二次为学期中，避免周期混乱。</w:t>
      </w:r>
    </w:p>
    <w:p w14:paraId="137D37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③执行期规则：每次询价确定的基准价及对应价格标准，执行期为2个月（覆盖两次询价间隔周期），有效期内严格按该价格标准执行；若学期末存在剩余周期不足2个月或超出2个月的情况，仍按最近一次询价价格执行至学期结束。</w:t>
      </w:r>
    </w:p>
    <w:p w14:paraId="016166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④特殊调整情形：仅当市场价格浮动幅度达到或超过5%（含5%），且供应商已完成一个月配送服务并能提供有效价格浮动例证（有调价货物在配送学校当地市场和临翔区其他二个不同地方市场价格变动涨跌每千克或每升超过5%的例证）时，可不受学期初、学期中固定节点限制，提前启动临时询价；若未满足上述条件，则需按学期内最近一次询价确定的市场价格，完整执行至下一次固定询价节点。</w:t>
      </w:r>
    </w:p>
    <w:p w14:paraId="656C47E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3）询价小组组成</w:t>
      </w:r>
    </w:p>
    <w:p w14:paraId="690487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询价小组由三方成员共同组成，具体为：教体局代表、学校代表、供应商代表。</w:t>
      </w:r>
    </w:p>
    <w:p w14:paraId="26B540B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lang w:val="en-US" w:eastAsia="zh-CN"/>
        </w:rPr>
        <w:t>、结算方式</w:t>
      </w:r>
    </w:p>
    <w:p w14:paraId="1183683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按月进行货款结算，双方应在次月5日前（如遇周末及法定节假日则顺延）对上月供货情况及对应价款进行核对确认（以甲方授权委托代理人签字确认的配送验收清单所载内容为准）并确定上月最终结算价款。</w:t>
      </w:r>
    </w:p>
    <w:p w14:paraId="1E1EEEE6">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2" w:firstLineChars="200"/>
        <w:textAlignment w:val="auto"/>
        <w:rPr>
          <w:rFonts w:hint="eastAsia" w:ascii="宋体" w:hAnsi="宋体" w:cs="宋体"/>
          <w:b/>
          <w:bCs/>
          <w:color w:val="auto"/>
          <w:lang w:val="en-US" w:eastAsia="zh-CN"/>
        </w:rPr>
      </w:pPr>
      <w:r>
        <w:rPr>
          <w:rFonts w:hint="eastAsia" w:ascii="宋体" w:hAnsi="宋体" w:cs="宋体"/>
          <w:b/>
          <w:bCs/>
          <w:color w:val="auto"/>
          <w:lang w:val="en-US" w:eastAsia="zh-CN"/>
        </w:rPr>
        <w:t>根据每月确定的商品价格（单价）×（1±上浮率/下浮率）×实际完成的商品供应数量进行结算；一旦中标，该报价（上浮率/下浮率）将作为本项目供货周期内货物价格的唯一计算依据，且上浮率/下浮率不得调整。</w:t>
      </w:r>
    </w:p>
    <w:p w14:paraId="6AF2403C">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2" w:firstLineChars="200"/>
        <w:textAlignment w:val="auto"/>
        <w:rPr>
          <w:rFonts w:hint="eastAsia" w:ascii="宋体" w:hAnsi="宋体" w:eastAsia="宋体" w:cs="宋体"/>
          <w:b/>
          <w:bCs/>
          <w:color w:val="auto"/>
          <w:lang w:val="en-US" w:eastAsia="zh-CN"/>
        </w:rPr>
      </w:pPr>
      <w:r>
        <w:rPr>
          <w:rFonts w:hint="eastAsia" w:ascii="宋体" w:hAnsi="宋体" w:cs="宋体"/>
          <w:b/>
          <w:bCs/>
          <w:color w:val="auto"/>
          <w:lang w:val="en-US" w:eastAsia="zh-CN"/>
        </w:rPr>
        <w:t>十</w:t>
      </w:r>
      <w:r>
        <w:rPr>
          <w:rFonts w:hint="eastAsia" w:ascii="宋体" w:hAnsi="宋体" w:eastAsia="宋体" w:cs="宋体"/>
          <w:b/>
          <w:bCs/>
          <w:color w:val="auto"/>
          <w:lang w:val="en-US" w:eastAsia="zh-CN"/>
        </w:rPr>
        <w:t>、实行供应商资格退出机制</w:t>
      </w:r>
    </w:p>
    <w:p w14:paraId="0F868B23">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供应商出现下列情况之一的，区教育体育局协调各职能部门调查核实相关情况，情节轻微或未造成重大损害事实的，应责令限期整改；情节严重或造成重大损害事实的，及时终止其供应资格；涉嫌违法犯罪的，要及时移交行政、司法机关依法处理：</w:t>
      </w:r>
    </w:p>
    <w:p w14:paraId="2EEFC288">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1．供应商资质条件发生重大变化，未如实报告相关部门的；</w:t>
      </w:r>
    </w:p>
    <w:p w14:paraId="7BC47622">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2．供应商资质出现质量问题，采取隐瞒手段继续供应的；</w:t>
      </w:r>
    </w:p>
    <w:p w14:paraId="5FCC8946">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3．以次充好，骗取差价及因供应商责任发生食品质量问题，导致食品安全事故的；</w:t>
      </w:r>
    </w:p>
    <w:p w14:paraId="2F685ED1">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4．虚开税务发票，发生偷税、漏税行为的；</w:t>
      </w:r>
    </w:p>
    <w:p w14:paraId="34E6B7BE">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5．有掺杂使假、缺斤少两等违法违规行为的；</w:t>
      </w:r>
    </w:p>
    <w:p w14:paraId="17B5ACC8">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6．未经有关部门批准，擅自提高供应价格的；</w:t>
      </w:r>
    </w:p>
    <w:p w14:paraId="6B6A5B35">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7．有故意迟供、拒供、断供行为的；</w:t>
      </w:r>
    </w:p>
    <w:p w14:paraId="411FFD57">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8．私自串换供应品种或降低供应质量的；</w:t>
      </w:r>
    </w:p>
    <w:p w14:paraId="15A800D3">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9．与学校相关人员勾结谋取不正当利益的；</w:t>
      </w:r>
    </w:p>
    <w:p w14:paraId="6537D3DE">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10．向学校供应超过约定保质期的食品的；</w:t>
      </w:r>
    </w:p>
    <w:p w14:paraId="013B6632">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11．向学校供应无生产许可证、产品说明书食品的；</w:t>
      </w:r>
    </w:p>
    <w:p w14:paraId="6862161A">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12．其他违反国家有关法律法规规定的行为。</w:t>
      </w:r>
    </w:p>
    <w:p w14:paraId="6BBD053B">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将出现以上情况造成重大影响和在学生食堂食材采购、采购工作中提供虚假材料的供应商列入“黑名单”，对列入“黑名单”的供应商要进行通报，并禁止参与学校食堂食材供应有关工作。</w:t>
      </w:r>
    </w:p>
    <w:p w14:paraId="7E916F62">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2" w:firstLineChars="200"/>
        <w:textAlignment w:val="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十</w:t>
      </w:r>
      <w:r>
        <w:rPr>
          <w:rFonts w:hint="eastAsia" w:ascii="宋体" w:hAnsi="宋体" w:cs="宋体"/>
          <w:b/>
          <w:bCs/>
          <w:color w:val="auto"/>
          <w:lang w:val="en-US" w:eastAsia="zh-CN"/>
        </w:rPr>
        <w:t>一</w:t>
      </w:r>
      <w:r>
        <w:rPr>
          <w:rFonts w:hint="eastAsia" w:ascii="宋体" w:hAnsi="宋体" w:eastAsia="宋体" w:cs="宋体"/>
          <w:b/>
          <w:bCs/>
          <w:color w:val="auto"/>
          <w:lang w:val="en-US" w:eastAsia="zh-CN"/>
        </w:rPr>
        <w:t>、配送责任划分</w:t>
      </w:r>
    </w:p>
    <w:p w14:paraId="06D34F33">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对提供的食品及原料因假冒伪劣、腐烂变质、过期、农药残留超标等导致校方就餐人员食物中毒或损害健康的，经疾病预防控制中心或有关法定检测机构鉴定确为食品质量原因引起的，供应商必须承担法律责任和赔偿责任，由此产生的一切后果均由供应商承担。</w:t>
      </w:r>
    </w:p>
    <w:p w14:paraId="01E14871">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供应商须按与学校商定的地点及有关要求按时、按质、按量将所订购的食品送达，如遇不可抗力导致不能送达，供应商需在1小时内通知学校，以便学校及时解决食品供应问题。非不可抗力因素导致食品不能送达的，由供应商承担学校相应损失（损失大小由供应商、学校、教体局和区内有关职能部门共同协商确定）。</w:t>
      </w:r>
    </w:p>
    <w:p w14:paraId="0170CA58">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3.供应商员工在配送食品过程中造成的意外事故（含第三人侵害、交通事故、工伤及其他不可抗因素等）造成供应商人员受损，由供应商自己承担，学校不承担任何责任。</w:t>
      </w:r>
    </w:p>
    <w:p w14:paraId="61438DC0">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4.针对本次项目，为预防食品安全（中毒）事件的发生，后续工作得以妥善处理。要求中标供应商在与采购人签订采购合同前必须购买年累计赔偿限额不低于</w:t>
      </w:r>
      <w:r>
        <w:rPr>
          <w:rFonts w:hint="eastAsia" w:ascii="宋体" w:hAnsi="宋体" w:cs="宋体"/>
          <w:color w:val="auto"/>
          <w:lang w:val="en-US" w:eastAsia="zh-CN"/>
        </w:rPr>
        <w:t>1000万元的食品安全责任保险进行承保</w:t>
      </w:r>
      <w:r>
        <w:rPr>
          <w:rFonts w:hint="eastAsia" w:ascii="宋体" w:hAnsi="宋体" w:eastAsia="宋体" w:cs="宋体"/>
          <w:color w:val="auto"/>
          <w:lang w:val="en-US" w:eastAsia="zh-CN"/>
        </w:rPr>
        <w:t>。如学校出现食品安全事件，在双方责任不明确时，所需费用由供货商、保险公司先暂付，责任认定后，由责任方承担所有费用。</w:t>
      </w:r>
    </w:p>
    <w:p w14:paraId="015E3592">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2" w:firstLineChars="200"/>
        <w:textAlignment w:val="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十</w:t>
      </w:r>
      <w:r>
        <w:rPr>
          <w:rFonts w:hint="eastAsia" w:ascii="宋体" w:hAnsi="宋体" w:cs="宋体"/>
          <w:b/>
          <w:bCs/>
          <w:color w:val="auto"/>
          <w:lang w:val="en-US" w:eastAsia="zh-CN"/>
        </w:rPr>
        <w:t>二</w:t>
      </w:r>
      <w:r>
        <w:rPr>
          <w:rFonts w:hint="eastAsia" w:ascii="宋体" w:hAnsi="宋体" w:eastAsia="宋体" w:cs="宋体"/>
          <w:b/>
          <w:bCs/>
          <w:color w:val="auto"/>
          <w:lang w:val="en-US" w:eastAsia="zh-CN"/>
        </w:rPr>
        <w:t>、其他要求</w:t>
      </w:r>
    </w:p>
    <w:p w14:paraId="733F80D1">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1.★因食品质量、安全、卫生等问题发生退货或造成不良社会影响的或被食品安全执法部门处理等情形造成的经济损失由中标方全额负责。</w:t>
      </w:r>
    </w:p>
    <w:p w14:paraId="057534CB">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所供食材及原料因假冒伪劣、腐烂变质、过期等导致校方就餐人员食物中毒或损害健康的，经有关法定检测机构鉴定确为食品质量原因引起的，供应商必须承担相应法律责任和赔偿责任，由此产生的一切后果（含经济及法律后果）均由供应商承担。</w:t>
      </w:r>
    </w:p>
    <w:p w14:paraId="65340F25">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供应商须积极配合学校、采购人和其他相关部门做好食品安全宣传工作。供应商对其提供的食品应尽培训义务，有科学合理、操作性强的培训方案，每学年至少培训1次。在配送及食用过程中，要组织做好相关人员安全食用的知识培训，使学校相关工作人员、学校专管员能够正常安全卫生地管理。培训产生的相关费用由中标投标人负责。</w:t>
      </w:r>
    </w:p>
    <w:p w14:paraId="1A856143">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4.供应商须按照国家、云南省、临沧市及临沧市临翔区教育体育局和各学校相关卫生、传染病防控要求，做好卫生、传染病防控工作。</w:t>
      </w:r>
    </w:p>
    <w:p w14:paraId="7CEC2D92">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5.中标企业应将食品安全作为第一要务，全权承担食品采购、配送、仓储的安全生产责任，确保向学校提供符合国家食品安全标准的食品。有条件的应建立农产品农药残留快速检测室，配备农药残留快速检测仪器设备和检测人员，相关工作人员必须持有健康证。</w:t>
      </w:r>
    </w:p>
    <w:p w14:paraId="7E3C7247">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6.教育主管部门督促学校做好配送接收工作，确保配送工作安全、高效、顺利交接，中标企业并配合学校做好食材的验收、入库、存储和索证索票工作。</w:t>
      </w:r>
    </w:p>
    <w:p w14:paraId="5F49722F">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7.政府相关职能部门定期不定期组织人员对供应商和各学校食品加工点的食品安全管理及运营情况进行检查，对发现的食品安全问题应详细记录、督促整改，并按照问题大小依据部门执法权限依法对相关责任单位和责任人进行处理。</w:t>
      </w:r>
    </w:p>
    <w:p w14:paraId="7C774AE5">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8.★因中标企业配送的食品/食材原因发生食品安全责任事故/事件或造成不良社会影响的或不积极履行救治和善后处置义务的，采购人有权单方面终止合同，由此产生的经济和法律后果由中标企业全部承担。</w:t>
      </w:r>
    </w:p>
    <w:p w14:paraId="2E7A45A4">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9.中标企业受到行政管理部门吊销营业执照或停业处分，或其他丧失合法经营身份或资格的情况发生时自动解除合同，取消其履行合同的资格。</w:t>
      </w:r>
    </w:p>
    <w:p w14:paraId="6082DB22">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10.中标企业违反国家有关法律法规和政策规定，不适宜继续配送服务或不能有效履行合同的，取消其履行合同的资格</w:t>
      </w:r>
    </w:p>
    <w:p w14:paraId="4ECFCCF8">
      <w:pPr>
        <w:pStyle w:val="11"/>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11.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食品堆放科学合理，避免造成食品的交叉污染；如对温度有要求的食品应确定食品的温度，记录送货车辆温度，并记录存档。在任何条件下，冷藏、冷冻食品都必须用专用冷藏、冷冻载具运输，应当有必要的保温设备并在整个运输过程中保持安全的冷藏、冷冻温度；商品到达目的地时外包装箱干爽，无软化现象。否则，视为投标人严重违规，采购人有权要求投标人进行赔偿并解除合约。</w:t>
      </w:r>
    </w:p>
    <w:p w14:paraId="04F2CB30">
      <w:pPr>
        <w:rPr>
          <w:rStyle w:val="44"/>
          <w:rFonts w:hint="eastAsia" w:ascii="宋体" w:hAnsi="宋体" w:eastAsia="宋体" w:cs="宋体"/>
          <w:color w:val="auto"/>
          <w:highlight w:val="none"/>
          <w:lang w:val="en-US" w:eastAsia="zh-CN"/>
        </w:rPr>
      </w:pPr>
      <w:r>
        <w:rPr>
          <w:rStyle w:val="44"/>
          <w:rFonts w:hint="eastAsia" w:ascii="宋体" w:hAnsi="宋体" w:eastAsia="宋体" w:cs="宋体"/>
          <w:color w:val="auto"/>
          <w:highlight w:val="none"/>
          <w:lang w:val="en-US" w:eastAsia="zh-CN"/>
        </w:rPr>
        <w:br w:type="page"/>
      </w:r>
    </w:p>
    <w:p w14:paraId="01B8599D">
      <w:pPr>
        <w:pStyle w:val="11"/>
        <w:keepNext w:val="0"/>
        <w:keepLines w:val="0"/>
        <w:pageBreakBefore w:val="0"/>
        <w:widowControl w:val="0"/>
        <w:kinsoku/>
        <w:overflowPunct/>
        <w:bidi w:val="0"/>
        <w:snapToGrid/>
        <w:spacing w:line="413" w:lineRule="auto"/>
        <w:jc w:val="center"/>
        <w:outlineLvl w:val="0"/>
        <w:rPr>
          <w:rStyle w:val="44"/>
          <w:rFonts w:hint="eastAsia" w:ascii="宋体" w:hAnsi="宋体" w:eastAsia="宋体" w:cs="宋体"/>
          <w:color w:val="auto"/>
          <w:highlight w:val="none"/>
          <w:lang w:val="en-US" w:eastAsia="zh-CN"/>
        </w:rPr>
      </w:pPr>
      <w:bookmarkStart w:id="118" w:name="_Toc15705"/>
      <w:r>
        <w:rPr>
          <w:rStyle w:val="44"/>
          <w:rFonts w:hint="eastAsia" w:ascii="宋体" w:hAnsi="宋体" w:eastAsia="宋体" w:cs="宋体"/>
          <w:color w:val="auto"/>
          <w:highlight w:val="none"/>
          <w:lang w:val="en-US" w:eastAsia="zh-CN"/>
        </w:rPr>
        <w:t>第六章 评标方法（综合评分法）</w:t>
      </w:r>
      <w:bookmarkEnd w:id="112"/>
      <w:bookmarkEnd w:id="117"/>
      <w:bookmarkEnd w:id="118"/>
    </w:p>
    <w:bookmarkEnd w:id="113"/>
    <w:p w14:paraId="7CADE826">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color w:val="auto"/>
          <w:kern w:val="0"/>
          <w:sz w:val="21"/>
          <w:szCs w:val="21"/>
          <w:highlight w:val="none"/>
          <w:lang w:val="en-US" w:eastAsia="zh-CN" w:bidi="ar-SA"/>
        </w:rPr>
      </w:pPr>
      <w:bookmarkStart w:id="119" w:name="_Toc22680"/>
      <w:bookmarkStart w:id="120" w:name="_Toc152045599"/>
      <w:bookmarkStart w:id="121" w:name="_Toc3007"/>
      <w:bookmarkStart w:id="122" w:name="_Toc10412"/>
      <w:bookmarkStart w:id="123" w:name="_Toc144974566"/>
      <w:bookmarkStart w:id="124" w:name="_Toc393222601"/>
      <w:bookmarkStart w:id="125" w:name="_Toc354867105"/>
      <w:bookmarkStart w:id="126" w:name="_Toc244421280"/>
      <w:bookmarkStart w:id="127" w:name="_Toc152042376"/>
      <w:bookmarkStart w:id="128" w:name="_Toc248569767"/>
      <w:bookmarkStart w:id="129" w:name="_Toc240709630"/>
      <w:bookmarkStart w:id="130" w:name="_Toc243158250"/>
      <w:r>
        <w:rPr>
          <w:rFonts w:hint="eastAsia" w:ascii="宋体" w:hAnsi="宋体" w:eastAsia="宋体" w:cs="宋体"/>
          <w:b/>
          <w:color w:val="auto"/>
          <w:kern w:val="0"/>
          <w:sz w:val="21"/>
          <w:szCs w:val="21"/>
          <w:highlight w:val="none"/>
          <w:lang w:val="en-US" w:eastAsia="zh-CN" w:bidi="ar-SA"/>
        </w:rPr>
        <w:t>一、评标机构</w:t>
      </w:r>
    </w:p>
    <w:p w14:paraId="05ADA62A">
      <w:pPr>
        <w:pStyle w:val="13"/>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评标机构为评标委员会，评标委员会的组成见</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须知</w:t>
      </w: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.1。</w:t>
      </w:r>
    </w:p>
    <w:p w14:paraId="3AEEE598">
      <w:pPr>
        <w:pStyle w:val="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二、评标原则</w:t>
      </w:r>
    </w:p>
    <w:p w14:paraId="4575207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评标应遵循下列原则：</w:t>
      </w:r>
    </w:p>
    <w:p w14:paraId="0C90E49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坚持公平、公正、科学、择优、合法、保密的原则，本着实事求是的精神，不带有任何主观意愿和偏见，认真负责地做好评标工作，公平、公正地对待每一个</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p>
    <w:p w14:paraId="34F7D01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全面分析，综合评审。</w:t>
      </w:r>
    </w:p>
    <w:p w14:paraId="4971DAA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评标只对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的投标文件、澄清函进行评审，除此以外的资料、信息不应作为评标的依据。</w:t>
      </w:r>
    </w:p>
    <w:p w14:paraId="161A6A5E">
      <w:pPr>
        <w:pStyle w:val="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三、评标纪律</w:t>
      </w:r>
    </w:p>
    <w:p w14:paraId="11072BE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对评标内容和评标办法要严格保密,不得向</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或与该过程无关的</w:t>
      </w: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sz w:val="21"/>
          <w:szCs w:val="21"/>
          <w:highlight w:val="none"/>
        </w:rPr>
        <w:t>人员泄露；</w:t>
      </w:r>
    </w:p>
    <w:p w14:paraId="503286C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评标期间的一切资料,包括评标意见、评标记录和评标结论,一律不得向外传和泄露；</w:t>
      </w:r>
    </w:p>
    <w:p w14:paraId="4354740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任何属于投标文件审查、澄清、评价和比较的资料，不得向</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或与该过程无关的</w:t>
      </w: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sz w:val="21"/>
          <w:szCs w:val="21"/>
          <w:highlight w:val="none"/>
        </w:rPr>
        <w:t>人员泄露；</w:t>
      </w:r>
    </w:p>
    <w:p w14:paraId="153DEE1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所有资料（包括招标文件、投标文件、评标表格及各种文字记录）在评标结束后均应分别整理、存档备查，任何人不得复制和保留；</w:t>
      </w:r>
    </w:p>
    <w:p w14:paraId="2269213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评标结束后，与会人员不得向外界透露评标人员的评标意见，如因此造成的后果由责任者承担；</w:t>
      </w:r>
    </w:p>
    <w:p w14:paraId="2EFF08B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评标期间，评标人员不得外出，确需外出时应事先请假；</w:t>
      </w:r>
    </w:p>
    <w:p w14:paraId="4DEBF80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评标期间，所有与会人员均不得私自以任何方式和</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进行联系，需询问、澄清的问题由评委会统一组织办理；</w:t>
      </w:r>
    </w:p>
    <w:p w14:paraId="5942C37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评标期间，未经允许评标委员会以外的任何单位或部门不得参加评标和采访评标工作。</w:t>
      </w:r>
    </w:p>
    <w:p w14:paraId="70D7430E">
      <w:pPr>
        <w:pStyle w:val="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四、评标目的</w:t>
      </w:r>
    </w:p>
    <w:p w14:paraId="570CFA2B">
      <w:pPr>
        <w:pStyle w:val="13"/>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评标工作的目的：审查</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的投标文件与招标文件的所有条款、条件是否相符；是否已提供了必备的资料、文件、证书，做出实质性响应；按评标程序和评标办法推荐出合格的中标候选人。</w:t>
      </w:r>
    </w:p>
    <w:p w14:paraId="4E113F5A">
      <w:pPr>
        <w:pStyle w:val="13"/>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0" w:leftChars="0" w:firstLine="422"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五、</w:t>
      </w:r>
      <w:r>
        <w:rPr>
          <w:rFonts w:hint="eastAsia" w:ascii="宋体" w:hAnsi="宋体" w:eastAsia="宋体" w:cs="宋体"/>
          <w:b/>
          <w:color w:val="auto"/>
          <w:kern w:val="0"/>
          <w:sz w:val="21"/>
          <w:szCs w:val="21"/>
          <w:highlight w:val="none"/>
        </w:rPr>
        <w:t>采购项目的政府采购政策：</w:t>
      </w:r>
    </w:p>
    <w:p w14:paraId="43144357">
      <w:pPr>
        <w:pStyle w:val="13"/>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20"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bCs/>
          <w:color w:val="auto"/>
          <w:kern w:val="0"/>
          <w:sz w:val="21"/>
          <w:szCs w:val="21"/>
          <w:highlight w:val="none"/>
        </w:rPr>
        <w:t>扶持中小企业政策：评审时小型和微型企业产品享受</w:t>
      </w:r>
      <w:r>
        <w:rPr>
          <w:rFonts w:hint="eastAsia" w:ascii="宋体" w:hAnsi="宋体" w:eastAsia="宋体" w:cs="宋体"/>
          <w:bCs/>
          <w:color w:val="auto"/>
          <w:kern w:val="0"/>
          <w:sz w:val="21"/>
          <w:szCs w:val="21"/>
          <w:highlight w:val="none"/>
          <w:lang w:val="en-US" w:eastAsia="zh-CN"/>
        </w:rPr>
        <w:t>10</w:t>
      </w:r>
      <w:r>
        <w:rPr>
          <w:rFonts w:hint="eastAsia" w:ascii="宋体" w:hAnsi="宋体" w:eastAsia="宋体" w:cs="宋体"/>
          <w:bCs/>
          <w:color w:val="auto"/>
          <w:kern w:val="0"/>
          <w:sz w:val="21"/>
          <w:szCs w:val="21"/>
          <w:highlight w:val="none"/>
        </w:rPr>
        <w:t>%的价格折扣，监狱企业、残疾人福利性单位视同小型、微型企业。</w:t>
      </w:r>
    </w:p>
    <w:p w14:paraId="5687B9EF">
      <w:pPr>
        <w:pStyle w:val="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六、评标程序</w:t>
      </w:r>
    </w:p>
    <w:p w14:paraId="61845E3A">
      <w:pPr>
        <w:pStyle w:val="13"/>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评标只对通过资格审查的投标文件进行评审。评标按符合性审查→综合评分→得分汇总→评标报告的程序进行。</w:t>
      </w:r>
    </w:p>
    <w:p w14:paraId="432CF491">
      <w:pPr>
        <w:pStyle w:val="2"/>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left="0" w:leftChars="0" w:firstLine="422"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七、评标办法</w:t>
      </w:r>
      <w:r>
        <w:rPr>
          <w:rFonts w:hint="eastAsia" w:ascii="宋体" w:hAnsi="宋体" w:eastAsia="宋体" w:cs="宋体"/>
          <w:color w:val="auto"/>
          <w:sz w:val="21"/>
          <w:szCs w:val="21"/>
          <w:highlight w:val="none"/>
          <w:lang w:val="en-US" w:eastAsia="zh-CN"/>
        </w:rPr>
        <w:t>和标准</w:t>
      </w:r>
    </w:p>
    <w:p w14:paraId="1CBB9633">
      <w:pPr>
        <w:pStyle w:val="13"/>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本次招标采用《政府采购货物和服务招标投标管理办法（财政部令第87号）》第五十五条规定的“综合评分法”，即：投标文件满足招标文件全部实质性要求，且按照评审因素的量化指标评审得分最高的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为中标候选人的评标方法。</w:t>
      </w:r>
    </w:p>
    <w:p w14:paraId="6A2E99B3">
      <w:pPr>
        <w:pStyle w:val="31"/>
        <w:keepNext w:val="0"/>
        <w:keepLines w:val="0"/>
        <w:pageBreakBefore w:val="0"/>
        <w:widowControl w:val="0"/>
        <w:kinsoku/>
        <w:wordWrap/>
        <w:overflowPunct/>
        <w:topLinePunct w:val="0"/>
        <w:autoSpaceDE/>
        <w:autoSpaceDN/>
        <w:bidi w:val="0"/>
        <w:adjustRightInd/>
        <w:snapToGrid/>
        <w:spacing w:after="0" w:afterLines="0" w:line="360" w:lineRule="auto"/>
        <w:ind w:left="0" w:lef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1.评标委员会按照招标文件中规定的评标方法和标准，对符合性审查合格的投标文件进行商务和技术评估，综合比较与评价。招标文件中没有规定的评标方法和标准，不作为评标依据。</w:t>
      </w:r>
    </w:p>
    <w:p w14:paraId="24F2501E">
      <w:pPr>
        <w:pStyle w:val="31"/>
        <w:keepNext w:val="0"/>
        <w:keepLines w:val="0"/>
        <w:pageBreakBefore w:val="0"/>
        <w:widowControl w:val="0"/>
        <w:kinsoku/>
        <w:wordWrap/>
        <w:overflowPunct/>
        <w:topLinePunct w:val="0"/>
        <w:autoSpaceDE/>
        <w:autoSpaceDN/>
        <w:bidi w:val="0"/>
        <w:adjustRightInd/>
        <w:snapToGrid/>
        <w:spacing w:after="0" w:afterLines="0" w:line="360" w:lineRule="auto"/>
        <w:ind w:left="0" w:lef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2.投标报价得分按本章《综合评分》的规定对投标报价进行计算并得出得分；</w:t>
      </w:r>
    </w:p>
    <w:p w14:paraId="675A86FC">
      <w:pPr>
        <w:pStyle w:val="31"/>
        <w:keepNext w:val="0"/>
        <w:keepLines w:val="0"/>
        <w:pageBreakBefore w:val="0"/>
        <w:widowControl w:val="0"/>
        <w:kinsoku/>
        <w:wordWrap/>
        <w:overflowPunct/>
        <w:topLinePunct w:val="0"/>
        <w:autoSpaceDE/>
        <w:autoSpaceDN/>
        <w:bidi w:val="0"/>
        <w:adjustRightInd/>
        <w:snapToGrid/>
        <w:spacing w:after="0" w:afterLines="0" w:line="360" w:lineRule="auto"/>
        <w:ind w:left="0" w:lef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3.技术部分得分按本章《综合评分》的规定对技术部分评分并计算出汇总得分；</w:t>
      </w:r>
    </w:p>
    <w:p w14:paraId="2037B839">
      <w:pPr>
        <w:pStyle w:val="31"/>
        <w:keepNext w:val="0"/>
        <w:keepLines w:val="0"/>
        <w:pageBreakBefore w:val="0"/>
        <w:widowControl w:val="0"/>
        <w:kinsoku/>
        <w:wordWrap/>
        <w:overflowPunct/>
        <w:topLinePunct w:val="0"/>
        <w:autoSpaceDE/>
        <w:autoSpaceDN/>
        <w:bidi w:val="0"/>
        <w:adjustRightInd/>
        <w:snapToGrid/>
        <w:spacing w:after="0" w:afterLines="0" w:line="360" w:lineRule="auto"/>
        <w:ind w:left="0" w:lef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4.商务部分得分按本章《综合评分》的规定对</w:t>
      </w:r>
      <w:r>
        <w:rPr>
          <w:rFonts w:hint="eastAsia" w:ascii="宋体" w:hAnsi="宋体" w:cs="宋体"/>
          <w:color w:val="auto"/>
          <w:kern w:val="2"/>
          <w:sz w:val="21"/>
          <w:szCs w:val="21"/>
          <w:highlight w:val="none"/>
          <w:lang w:val="en-US" w:eastAsia="zh-CN" w:bidi="ar-SA"/>
        </w:rPr>
        <w:t>商务部分</w:t>
      </w:r>
      <w:r>
        <w:rPr>
          <w:rFonts w:hint="eastAsia" w:ascii="宋体" w:hAnsi="宋体" w:eastAsia="宋体" w:cs="宋体"/>
          <w:color w:val="auto"/>
          <w:kern w:val="2"/>
          <w:sz w:val="21"/>
          <w:szCs w:val="21"/>
          <w:highlight w:val="none"/>
          <w:lang w:val="en-US" w:eastAsia="zh-CN" w:bidi="ar-SA"/>
        </w:rPr>
        <w:t>评分并计算出汇总得分；</w:t>
      </w:r>
    </w:p>
    <w:p w14:paraId="157EB8AB">
      <w:pPr>
        <w:pStyle w:val="31"/>
        <w:keepNext w:val="0"/>
        <w:keepLines w:val="0"/>
        <w:pageBreakBefore w:val="0"/>
        <w:widowControl w:val="0"/>
        <w:kinsoku/>
        <w:wordWrap/>
        <w:overflowPunct/>
        <w:topLinePunct w:val="0"/>
        <w:autoSpaceDE/>
        <w:autoSpaceDN/>
        <w:bidi w:val="0"/>
        <w:adjustRightInd/>
        <w:snapToGrid/>
        <w:spacing w:after="0" w:afterLines="0" w:line="360" w:lineRule="auto"/>
        <w:ind w:left="0" w:lef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5.评标总得分：按本章《综合评分》的规定计算评标总得分。</w:t>
      </w:r>
    </w:p>
    <w:p w14:paraId="177B2B23">
      <w:pPr>
        <w:pStyle w:val="31"/>
        <w:keepNext w:val="0"/>
        <w:keepLines w:val="0"/>
        <w:pageBreakBefore w:val="0"/>
        <w:widowControl w:val="0"/>
        <w:kinsoku/>
        <w:wordWrap/>
        <w:overflowPunct/>
        <w:topLinePunct w:val="0"/>
        <w:autoSpaceDE/>
        <w:autoSpaceDN/>
        <w:bidi w:val="0"/>
        <w:adjustRightInd/>
        <w:snapToGrid/>
        <w:spacing w:after="0" w:afterLines="0" w:line="360" w:lineRule="auto"/>
        <w:ind w:left="0" w:lef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委员会各成员独立对每个供应商的投标文件进行评价，并汇总每个供应商的得分。供应商各项评分因素得分为该项因素评标委员会各成员汇总得分的算术平均值（保留小数点后两位），小数点后第三位“四舍五入”。</w:t>
      </w:r>
    </w:p>
    <w:p w14:paraId="7C3DC97C">
      <w:pPr>
        <w:pStyle w:val="13"/>
        <w:keepNext w:val="0"/>
        <w:keepLines w:val="0"/>
        <w:pageBreakBefore w:val="0"/>
        <w:widowControl w:val="0"/>
        <w:kinsoku/>
        <w:wordWrap/>
        <w:overflowPunct/>
        <w:topLinePunct w:val="0"/>
        <w:autoSpaceDE/>
        <w:autoSpaceDN/>
        <w:bidi w:val="0"/>
        <w:adjustRightInd/>
        <w:snapToGrid/>
        <w:spacing w:after="0" w:afterLines="0" w:line="360" w:lineRule="auto"/>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注：小型、微型企业（监狱企业、残疾人福利性单位）产品的价格给予</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%的扣除，用扣除后的价格参与评审。</w:t>
      </w:r>
    </w:p>
    <w:bookmarkEnd w:id="119"/>
    <w:bookmarkEnd w:id="120"/>
    <w:bookmarkEnd w:id="121"/>
    <w:bookmarkEnd w:id="122"/>
    <w:bookmarkEnd w:id="123"/>
    <w:bookmarkEnd w:id="124"/>
    <w:bookmarkEnd w:id="125"/>
    <w:bookmarkEnd w:id="126"/>
    <w:bookmarkEnd w:id="127"/>
    <w:bookmarkEnd w:id="128"/>
    <w:bookmarkEnd w:id="129"/>
    <w:bookmarkEnd w:id="130"/>
    <w:p w14:paraId="3A4EB13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（一）资格审查87号令</w:t>
      </w:r>
    </w:p>
    <w:p w14:paraId="53FE9B8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采购人或</w:t>
      </w:r>
      <w:r>
        <w:rPr>
          <w:rFonts w:hint="eastAsia" w:ascii="宋体" w:hAnsi="宋体" w:eastAsia="宋体" w:cs="宋体"/>
          <w:b/>
          <w:bCs/>
          <w:color w:val="auto"/>
          <w:sz w:val="21"/>
          <w:szCs w:val="21"/>
          <w:highlight w:val="none"/>
          <w:lang w:eastAsia="zh-CN"/>
        </w:rPr>
        <w:t>采购代理机构</w:t>
      </w:r>
      <w:r>
        <w:rPr>
          <w:rFonts w:hint="eastAsia" w:ascii="宋体" w:hAnsi="宋体" w:eastAsia="宋体" w:cs="宋体"/>
          <w:b/>
          <w:bCs/>
          <w:color w:val="auto"/>
          <w:sz w:val="21"/>
          <w:szCs w:val="21"/>
          <w:highlight w:val="none"/>
        </w:rPr>
        <w:t>依据法律法规和招标文件内容对</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投标文件中的资格证明材料进行审查。</w:t>
      </w:r>
    </w:p>
    <w:tbl>
      <w:tblPr>
        <w:tblStyle w:val="32"/>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3459"/>
        <w:gridCol w:w="5176"/>
      </w:tblGrid>
      <w:tr w14:paraId="4737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dxa"/>
            <w:tcBorders>
              <w:top w:val="single" w:color="auto" w:sz="4" w:space="0"/>
              <w:left w:val="single" w:color="auto" w:sz="4" w:space="0"/>
              <w:bottom w:val="single" w:color="auto" w:sz="4" w:space="0"/>
              <w:right w:val="single" w:color="auto" w:sz="4" w:space="0"/>
            </w:tcBorders>
            <w:noWrap w:val="0"/>
            <w:vAlign w:val="center"/>
          </w:tcPr>
          <w:p w14:paraId="1FFD5FC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1461096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项目内容</w:t>
            </w:r>
          </w:p>
        </w:tc>
        <w:tc>
          <w:tcPr>
            <w:tcW w:w="5176" w:type="dxa"/>
            <w:tcBorders>
              <w:top w:val="single" w:color="auto" w:sz="4" w:space="0"/>
              <w:left w:val="single" w:color="auto" w:sz="4" w:space="0"/>
              <w:bottom w:val="single" w:color="auto" w:sz="4" w:space="0"/>
              <w:right w:val="single" w:color="auto" w:sz="4" w:space="0"/>
            </w:tcBorders>
            <w:noWrap w:val="0"/>
            <w:vAlign w:val="center"/>
          </w:tcPr>
          <w:p w14:paraId="621E7021">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评审内容</w:t>
            </w:r>
          </w:p>
        </w:tc>
      </w:tr>
      <w:tr w14:paraId="06891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dxa"/>
            <w:tcBorders>
              <w:top w:val="single" w:color="auto" w:sz="4" w:space="0"/>
              <w:left w:val="single" w:color="auto" w:sz="4" w:space="0"/>
              <w:bottom w:val="single" w:color="auto" w:sz="4" w:space="0"/>
              <w:right w:val="single" w:color="auto" w:sz="4" w:space="0"/>
            </w:tcBorders>
            <w:noWrap w:val="0"/>
            <w:vAlign w:val="center"/>
          </w:tcPr>
          <w:p w14:paraId="6342158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79C6060D">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满足《中华人民共和国政府采购法》第二十二条规定；符合《中华人民共和国政府采购法实施条例》第十八条规定</w:t>
            </w:r>
          </w:p>
        </w:tc>
        <w:tc>
          <w:tcPr>
            <w:tcW w:w="5176" w:type="dxa"/>
            <w:tcBorders>
              <w:top w:val="single" w:color="auto" w:sz="4" w:space="0"/>
              <w:left w:val="single" w:color="auto" w:sz="4" w:space="0"/>
              <w:bottom w:val="single" w:color="auto" w:sz="4" w:space="0"/>
              <w:right w:val="single" w:color="auto" w:sz="4" w:space="0"/>
            </w:tcBorders>
            <w:noWrap w:val="0"/>
            <w:vAlign w:val="center"/>
          </w:tcPr>
          <w:p w14:paraId="09CCCD7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1.具有独立承担民事责任的能力：供应商须为在中华人民共和国注册且具有独立承担民事责任能力的法人或其他组织，持有有效的法人或者其他组织的营业执照等证明文件（提供要求资料扫描件）。</w:t>
            </w:r>
          </w:p>
          <w:p w14:paraId="154E3E8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具有良好的商业信誉和健全的财务会计制度：</w:t>
            </w:r>
          </w:p>
          <w:p w14:paraId="6601BC4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2.1按照《财政部关于在政府采购活动中查询及使用信用记录有关问题的通知》（财库[2016]125号）相关要求，供应商应未被列入“信用中国”网站（www.creditchina.gov.cn）公布的“失信被执行人”“重大税收违法失信主体名单”；未被列入“中国政府采购网”（www.ccgp.gov.cn）公布的“政府采购严重违法失信行为信息记录”名单（以资格审查人员于投标（响应）截止时间当天查询结果为准，如相关失信记录已失效，投标人需提供相关证明资料）；提供具有良好的商业信誉承诺书（格式自拟）；</w:t>
            </w:r>
          </w:p>
          <w:p w14:paraId="2F50076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2.2具有良好的财务状况，提供2023-2025年任意一年的财务会计资料：经会计师事务所或审计机构审计的，需提供完整审计报告（含资产负债表、现金流量表、损益表/利润表）；未经审计的，需提供企业内部正式编制的财务会计报表（含资产负债表、现金流量表、损益表/利润表），并加盖企业公章及财务专用章（如有），同时提供“报表真实有效”的书面承诺（格式自拟）。成立不足一年或新成立的企业提供自成立以来的上述财务会计资料或开户银行出具的资信证明（提供要求资料扫描件）。</w:t>
            </w:r>
          </w:p>
          <w:p w14:paraId="5F39F3B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具有履行合同所必需的设备和专业技术能力：提供具有履行合同所必需的设备和专业技术能力相关证明材料或书面承诺（格式自拟）。</w:t>
            </w:r>
          </w:p>
          <w:p w14:paraId="3EBB76E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有依法缴纳税收和社会保障资金的良好记录：提供2025年6月至投标文件递交截止时间前任意3个月依法缴纳税收和缴纳社会保障资金的证明；成立不足3个月或新成立的企业无需提供；如依法免税或不需要缴纳社会保障资金的，提供相应文件证明（提供要求资料扫描件）。</w:t>
            </w:r>
          </w:p>
          <w:p w14:paraId="472C65A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参加政府采购活动前三年内，在经营活动中没有违法记录：提供参加政府采购活动前3年内在经营活动中没有重大违法记录的书面声明（重大违法记录是指供应商因违法经营受到刑事处罚或者责令停产停业、吊销许可证或者执照、较大数额罚款等行政处罚）（格式自拟）。</w:t>
            </w:r>
          </w:p>
          <w:p w14:paraId="351DB4F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default" w:ascii="宋体" w:hAnsi="宋体" w:eastAsia="宋体" w:cs="宋体"/>
                <w:color w:val="auto"/>
                <w:sz w:val="21"/>
                <w:szCs w:val="21"/>
                <w:highlight w:val="none"/>
                <w:lang w:val="en-US" w:eastAsia="zh-CN"/>
              </w:rPr>
              <w:t>法律、行政法规规定的其他条件（提供承诺书）。</w:t>
            </w:r>
          </w:p>
          <w:p w14:paraId="21FF620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default" w:ascii="宋体" w:hAnsi="宋体" w:eastAsia="宋体" w:cs="宋体"/>
                <w:color w:val="auto"/>
                <w:sz w:val="21"/>
                <w:szCs w:val="21"/>
                <w:highlight w:val="none"/>
                <w:lang w:val="en-US" w:eastAsia="zh-CN"/>
              </w:rPr>
              <w:t>单位负责人为同一人或者存在直接控股、管理关系的不同供应商，不得参加同一合同项下的政府采购活动。</w:t>
            </w:r>
          </w:p>
          <w:p w14:paraId="584E3B0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除单一来源采购项目外，为采购项目提供整体设计、规范编制或者项目管理、监理、检测等服务的供应商，不得再参加该采购项目的其他采购活动（提供承诺书）。</w:t>
            </w:r>
          </w:p>
        </w:tc>
      </w:tr>
      <w:tr w14:paraId="3B02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dxa"/>
            <w:tcBorders>
              <w:top w:val="single" w:color="auto" w:sz="4" w:space="0"/>
              <w:left w:val="single" w:color="auto" w:sz="4" w:space="0"/>
              <w:bottom w:val="single" w:color="auto" w:sz="4" w:space="0"/>
              <w:right w:val="single" w:color="auto" w:sz="4" w:space="0"/>
            </w:tcBorders>
            <w:noWrap w:val="0"/>
            <w:vAlign w:val="center"/>
          </w:tcPr>
          <w:p w14:paraId="40A67A3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49C75D7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5176" w:type="dxa"/>
            <w:tcBorders>
              <w:top w:val="single" w:color="auto" w:sz="4" w:space="0"/>
              <w:left w:val="single" w:color="auto" w:sz="4" w:space="0"/>
              <w:bottom w:val="single" w:color="auto" w:sz="4" w:space="0"/>
              <w:right w:val="single" w:color="auto" w:sz="4" w:space="0"/>
            </w:tcBorders>
            <w:noWrap w:val="0"/>
            <w:vAlign w:val="center"/>
          </w:tcPr>
          <w:p w14:paraId="538A5E1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本项目属于专门面向中小企业采购的项目，监狱企业、残疾人福利性单位视同小型或微型企业。</w:t>
            </w:r>
          </w:p>
        </w:tc>
      </w:tr>
      <w:tr w14:paraId="61CD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6" w:type="dxa"/>
            <w:tcBorders>
              <w:top w:val="single" w:color="auto" w:sz="4" w:space="0"/>
              <w:left w:val="single" w:color="auto" w:sz="4" w:space="0"/>
              <w:bottom w:val="single" w:color="auto" w:sz="4" w:space="0"/>
              <w:right w:val="single" w:color="auto" w:sz="4" w:space="0"/>
            </w:tcBorders>
            <w:noWrap w:val="0"/>
            <w:vAlign w:val="center"/>
          </w:tcPr>
          <w:p w14:paraId="0F65325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3459" w:type="dxa"/>
            <w:tcBorders>
              <w:top w:val="single" w:color="auto" w:sz="4" w:space="0"/>
              <w:left w:val="single" w:color="auto" w:sz="4" w:space="0"/>
              <w:bottom w:val="single" w:color="auto" w:sz="4" w:space="0"/>
              <w:right w:val="single" w:color="auto" w:sz="4" w:space="0"/>
            </w:tcBorders>
            <w:noWrap w:val="0"/>
            <w:vAlign w:val="center"/>
          </w:tcPr>
          <w:p w14:paraId="1FD7E13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特定资格要求</w:t>
            </w:r>
          </w:p>
        </w:tc>
        <w:tc>
          <w:tcPr>
            <w:tcW w:w="5176" w:type="dxa"/>
            <w:tcBorders>
              <w:top w:val="single" w:color="auto" w:sz="4" w:space="0"/>
              <w:left w:val="single" w:color="auto" w:sz="4" w:space="0"/>
              <w:bottom w:val="single" w:color="auto" w:sz="4" w:space="0"/>
              <w:right w:val="single" w:color="auto" w:sz="4" w:space="0"/>
            </w:tcBorders>
            <w:noWrap w:val="0"/>
            <w:vAlign w:val="center"/>
          </w:tcPr>
          <w:p w14:paraId="6172CA2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供应商须具有食品生产许可证或食品经营许可证或仅销售预包装食品经营者备案信息采集表（提供要求资料扫描件）。</w:t>
            </w:r>
          </w:p>
          <w:p w14:paraId="64C06A4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供应商近3年内未发生食品安全事故或查实食品安全负面舆论事件（提供承诺书）。</w:t>
            </w:r>
          </w:p>
        </w:tc>
      </w:tr>
    </w:tbl>
    <w:p w14:paraId="195B7E1A">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（二）符合性审查。评标委员会依据招标文件的规定，从</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投标文件的有效性、完整性和对招标文件的响应程度进行审查，以确定是否对招标文件的实质性要求作出响应。符合性审查资料表如下：</w:t>
      </w:r>
    </w:p>
    <w:tbl>
      <w:tblPr>
        <w:tblStyle w:val="32"/>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400"/>
        <w:gridCol w:w="5649"/>
      </w:tblGrid>
      <w:tr w14:paraId="3E5D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75099526">
            <w:pPr>
              <w:keepNext w:val="0"/>
              <w:keepLines w:val="0"/>
              <w:pageBreakBefore w:val="0"/>
              <w:widowControl w:val="0"/>
              <w:kinsoku/>
              <w:overflowPunct/>
              <w:bidi w:val="0"/>
              <w:snapToGrid/>
              <w:spacing w:line="40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序号</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16D6B864">
            <w:pPr>
              <w:keepNext w:val="0"/>
              <w:keepLines w:val="0"/>
              <w:pageBreakBefore w:val="0"/>
              <w:widowControl w:val="0"/>
              <w:kinsoku/>
              <w:overflowPunct/>
              <w:bidi w:val="0"/>
              <w:snapToGrid/>
              <w:spacing w:line="40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评审因素</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40F4D93A">
            <w:pPr>
              <w:keepNext w:val="0"/>
              <w:keepLines w:val="0"/>
              <w:pageBreakBefore w:val="0"/>
              <w:widowControl w:val="0"/>
              <w:kinsoku/>
              <w:overflowPunct/>
              <w:bidi w:val="0"/>
              <w:snapToGrid/>
              <w:spacing w:line="40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评审标准</w:t>
            </w:r>
          </w:p>
        </w:tc>
      </w:tr>
      <w:tr w14:paraId="41619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2B301186">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7AA830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投标文件格式及内容</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6C0CAB22">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符合招标文件中规定的“投标文件格式”的要求</w:t>
            </w:r>
          </w:p>
        </w:tc>
      </w:tr>
      <w:tr w14:paraId="411E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7AED8315">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046930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投标函签字盖章</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6E4FEB61">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有法定代表人或其委托代理人签字及加盖单位章</w:t>
            </w:r>
          </w:p>
        </w:tc>
      </w:tr>
      <w:tr w14:paraId="2EAEE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1D61C306">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6E2A2682">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投标保证金</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14910BEF">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按招标文件要求提交了投标保证金，并在</w:t>
            </w:r>
            <w:r>
              <w:rPr>
                <w:rFonts w:hint="eastAsia" w:ascii="宋体" w:hAnsi="宋体" w:eastAsia="宋体" w:cs="宋体"/>
                <w:color w:val="auto"/>
                <w:sz w:val="21"/>
                <w:szCs w:val="21"/>
                <w:highlight w:val="none"/>
              </w:rPr>
              <w:t>投标文件中提供原件扫描件</w:t>
            </w:r>
          </w:p>
        </w:tc>
      </w:tr>
      <w:tr w14:paraId="2C1A1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23EDF011">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5D77FF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投标报价</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25BDA2C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对招标文件采购内容作完整唯一报价</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且</w:t>
            </w:r>
            <w:r>
              <w:rPr>
                <w:rFonts w:hint="eastAsia" w:ascii="宋体" w:hAnsi="宋体" w:eastAsia="宋体" w:cs="宋体"/>
                <w:color w:val="auto"/>
                <w:sz w:val="21"/>
                <w:szCs w:val="21"/>
                <w:highlight w:val="none"/>
              </w:rPr>
              <w:t>投标文件投标报价未超过采购预算价</w:t>
            </w:r>
            <w:r>
              <w:rPr>
                <w:rFonts w:hint="eastAsia" w:ascii="宋体" w:hAnsi="宋体" w:eastAsia="宋体" w:cs="宋体"/>
                <w:color w:val="auto"/>
                <w:sz w:val="21"/>
                <w:szCs w:val="21"/>
                <w:highlight w:val="none"/>
                <w:lang w:eastAsia="zh-CN"/>
              </w:rPr>
              <w:t>。</w:t>
            </w:r>
          </w:p>
        </w:tc>
      </w:tr>
      <w:tr w14:paraId="6C8E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0DD4F190">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162232C5">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交货地点</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4EF7F8FD">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符合招标文件规定</w:t>
            </w:r>
          </w:p>
        </w:tc>
      </w:tr>
      <w:tr w14:paraId="241D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7B49FB79">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5D9D47AA">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质量承诺</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41C4D0C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符合招标文件规定</w:t>
            </w:r>
          </w:p>
        </w:tc>
      </w:tr>
      <w:tr w14:paraId="1241B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10269C20">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5057E323">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配送服务承诺</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5A01944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符合招标文件规定</w:t>
            </w:r>
          </w:p>
        </w:tc>
      </w:tr>
      <w:tr w14:paraId="274E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595F39A2">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040288BF">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产品的防护、包装及运输承诺</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5D8A3BC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符合招标文件规定</w:t>
            </w:r>
          </w:p>
        </w:tc>
      </w:tr>
      <w:tr w14:paraId="6B3B0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2589618D">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C8EE8F0">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售后</w:t>
            </w:r>
            <w:r>
              <w:rPr>
                <w:rFonts w:hint="eastAsia" w:ascii="宋体" w:hAnsi="宋体" w:eastAsia="宋体" w:cs="宋体"/>
                <w:color w:val="auto"/>
                <w:sz w:val="21"/>
                <w:szCs w:val="21"/>
                <w:highlight w:val="none"/>
                <w:lang w:val="en-US" w:eastAsia="zh-CN"/>
              </w:rPr>
              <w:t>服务承诺</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14AF8A5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符合招标文件规定</w:t>
            </w:r>
          </w:p>
        </w:tc>
      </w:tr>
      <w:tr w14:paraId="02A78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320220A8">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37CC741B">
            <w:pPr>
              <w:keepNext w:val="0"/>
              <w:keepLines w:val="0"/>
              <w:pageBreakBefore w:val="0"/>
              <w:widowControl w:val="0"/>
              <w:kinsoku/>
              <w:overflowPunct/>
              <w:topLinePunct w:val="0"/>
              <w:bidi w:val="0"/>
              <w:adjustRightInd/>
              <w:snapToGrid/>
              <w:spacing w:line="288" w:lineRule="auto"/>
              <w:ind w:left="0" w:leftChars="0" w:right="0" w:rightChars="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合同履行期限</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499C121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符合招标文件规定</w:t>
            </w:r>
          </w:p>
        </w:tc>
      </w:tr>
      <w:tr w14:paraId="7582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79ED4374">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06303C8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技术条款偏离</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4F275132">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投标文件载明条款不存在采购人不能接受的偏离</w:t>
            </w:r>
          </w:p>
        </w:tc>
      </w:tr>
      <w:tr w14:paraId="51706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6D89C193">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637D379D">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商务条款偏离</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1AA6935C">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投标文件载明条款不存在采购人不能接受的偏离</w:t>
            </w:r>
          </w:p>
        </w:tc>
      </w:tr>
      <w:tr w14:paraId="17AC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4D63CD41">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2400" w:type="dxa"/>
            <w:tcBorders>
              <w:top w:val="single" w:color="auto" w:sz="4" w:space="0"/>
              <w:left w:val="single" w:color="auto" w:sz="4" w:space="0"/>
              <w:bottom w:val="single" w:color="auto" w:sz="4" w:space="0"/>
              <w:right w:val="single" w:color="auto" w:sz="4" w:space="0"/>
            </w:tcBorders>
            <w:noWrap w:val="0"/>
            <w:vAlign w:val="center"/>
          </w:tcPr>
          <w:p w14:paraId="29A496D4">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投标有效期</w:t>
            </w:r>
          </w:p>
        </w:tc>
        <w:tc>
          <w:tcPr>
            <w:tcW w:w="5649" w:type="dxa"/>
            <w:tcBorders>
              <w:top w:val="single" w:color="auto" w:sz="4" w:space="0"/>
              <w:left w:val="single" w:color="auto" w:sz="4" w:space="0"/>
              <w:bottom w:val="single" w:color="auto" w:sz="4" w:space="0"/>
              <w:right w:val="single" w:color="auto" w:sz="4" w:space="0"/>
            </w:tcBorders>
            <w:noWrap w:val="0"/>
            <w:vAlign w:val="center"/>
          </w:tcPr>
          <w:p w14:paraId="0AD4405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符合招标文件规定</w:t>
            </w:r>
          </w:p>
        </w:tc>
      </w:tr>
      <w:tr w14:paraId="7790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0" w:type="auto"/>
            <w:noWrap w:val="0"/>
            <w:vAlign w:val="center"/>
          </w:tcPr>
          <w:p w14:paraId="1AED3834">
            <w:pPr>
              <w:keepNext w:val="0"/>
              <w:keepLines w:val="0"/>
              <w:pageBreakBefore w:val="0"/>
              <w:widowControl w:val="0"/>
              <w:kinsoku/>
              <w:overflowPunct/>
              <w:bidi w:val="0"/>
              <w:snapToGrid/>
              <w:spacing w:line="40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0" w:type="auto"/>
            <w:noWrap w:val="0"/>
            <w:vAlign w:val="center"/>
          </w:tcPr>
          <w:p w14:paraId="0872A4CA">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无效标</w:t>
            </w:r>
            <w:r>
              <w:rPr>
                <w:rFonts w:hint="eastAsia" w:ascii="宋体" w:hAnsi="宋体" w:eastAsia="宋体" w:cs="宋体"/>
                <w:color w:val="auto"/>
                <w:sz w:val="21"/>
                <w:szCs w:val="21"/>
                <w:highlight w:val="none"/>
              </w:rPr>
              <w:t>条件</w:t>
            </w:r>
          </w:p>
        </w:tc>
        <w:tc>
          <w:tcPr>
            <w:tcW w:w="5649" w:type="dxa"/>
            <w:noWrap w:val="0"/>
            <w:vAlign w:val="center"/>
          </w:tcPr>
          <w:p w14:paraId="468A311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或投标文件有下列情形之一的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其投标作</w:t>
            </w:r>
            <w:r>
              <w:rPr>
                <w:rFonts w:hint="eastAsia" w:ascii="宋体" w:hAnsi="宋体" w:eastAsia="宋体" w:cs="宋体"/>
                <w:color w:val="auto"/>
                <w:sz w:val="21"/>
                <w:szCs w:val="21"/>
                <w:highlight w:val="none"/>
                <w:lang w:val="en-US" w:eastAsia="zh-CN"/>
              </w:rPr>
              <w:t>无效标</w:t>
            </w:r>
            <w:r>
              <w:rPr>
                <w:rFonts w:hint="eastAsia" w:ascii="宋体" w:hAnsi="宋体" w:eastAsia="宋体" w:cs="宋体"/>
                <w:color w:val="auto"/>
                <w:sz w:val="21"/>
                <w:szCs w:val="21"/>
                <w:highlight w:val="none"/>
              </w:rPr>
              <w:t>处理：</w:t>
            </w:r>
          </w:p>
          <w:p w14:paraId="3BA4A56B">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投标文件的内容及有关材料弄虚作假；</w:t>
            </w:r>
          </w:p>
          <w:p w14:paraId="0AED129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有串通投标或有其他违法行为的；</w:t>
            </w:r>
          </w:p>
          <w:p w14:paraId="11FA2F6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投标文件不符合招标文件规定的实质性要求；</w:t>
            </w:r>
          </w:p>
          <w:p w14:paraId="0DE166D5">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投标文件不按规定格式及内容填写；</w:t>
            </w:r>
          </w:p>
          <w:p w14:paraId="514A8BD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投标文件未按招标文件规定的要求签名与盖章的；</w:t>
            </w:r>
          </w:p>
          <w:p w14:paraId="7EFFB193">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6.供应商</w:t>
            </w:r>
            <w:r>
              <w:rPr>
                <w:rFonts w:hint="eastAsia" w:ascii="宋体" w:hAnsi="宋体" w:eastAsia="宋体" w:cs="宋体"/>
                <w:color w:val="auto"/>
                <w:sz w:val="21"/>
                <w:szCs w:val="21"/>
                <w:highlight w:val="none"/>
              </w:rPr>
              <w:t>不按评标委员会要求对投标文件相关内容进行澄清、说明或补正的；</w:t>
            </w:r>
          </w:p>
          <w:p w14:paraId="7CECA42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cs="宋体"/>
                <w:color w:val="auto"/>
                <w:sz w:val="21"/>
                <w:szCs w:val="21"/>
                <w:highlight w:val="none"/>
                <w:lang w:val="en-US" w:eastAsia="zh-CN"/>
              </w:rPr>
              <w:t>投标报价未按招标文件规定要求填报的</w:t>
            </w:r>
            <w:r>
              <w:rPr>
                <w:rFonts w:hint="eastAsia" w:ascii="宋体" w:hAnsi="宋体" w:eastAsia="宋体" w:cs="宋体"/>
                <w:color w:val="auto"/>
                <w:sz w:val="21"/>
                <w:szCs w:val="21"/>
                <w:highlight w:val="none"/>
              </w:rPr>
              <w:t>；</w:t>
            </w:r>
          </w:p>
          <w:p w14:paraId="5282BD4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8.主要技术</w:t>
            </w:r>
            <w:r>
              <w:rPr>
                <w:rFonts w:hint="eastAsia" w:ascii="宋体" w:hAnsi="宋体" w:cs="宋体"/>
                <w:color w:val="auto"/>
                <w:sz w:val="21"/>
                <w:szCs w:val="21"/>
                <w:highlight w:val="none"/>
                <w:lang w:val="en-US" w:eastAsia="zh-CN"/>
              </w:rPr>
              <w:t>要求</w:t>
            </w:r>
            <w:r>
              <w:rPr>
                <w:rFonts w:hint="eastAsia" w:ascii="宋体" w:hAnsi="宋体" w:eastAsia="宋体" w:cs="宋体"/>
                <w:color w:val="auto"/>
                <w:sz w:val="21"/>
                <w:szCs w:val="21"/>
                <w:highlight w:val="none"/>
                <w:lang w:val="en-US" w:eastAsia="zh-CN"/>
              </w:rPr>
              <w:t>不响应招标文件要求的；</w:t>
            </w:r>
          </w:p>
          <w:p w14:paraId="0AC75400">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9.未按规定缴纳投标保证金的；</w:t>
            </w:r>
          </w:p>
          <w:p w14:paraId="1F91597E">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投标文件附有</w:t>
            </w:r>
            <w:r>
              <w:rPr>
                <w:rFonts w:hint="eastAsia" w:ascii="宋体" w:hAnsi="宋体" w:eastAsia="宋体" w:cs="宋体"/>
                <w:color w:val="auto"/>
                <w:sz w:val="21"/>
                <w:szCs w:val="21"/>
                <w:highlight w:val="none"/>
                <w:lang w:val="en-US" w:eastAsia="zh-CN"/>
              </w:rPr>
              <w:t>其他</w:t>
            </w:r>
            <w:r>
              <w:rPr>
                <w:rFonts w:hint="eastAsia" w:ascii="宋体" w:hAnsi="宋体" w:eastAsia="宋体" w:cs="宋体"/>
                <w:color w:val="auto"/>
                <w:sz w:val="21"/>
                <w:szCs w:val="21"/>
                <w:highlight w:val="none"/>
              </w:rPr>
              <w:t>采购人不能接受的条件的</w:t>
            </w:r>
            <w:r>
              <w:rPr>
                <w:rFonts w:hint="eastAsia" w:ascii="宋体" w:hAnsi="宋体" w:cs="宋体"/>
                <w:color w:val="auto"/>
                <w:sz w:val="21"/>
                <w:szCs w:val="21"/>
                <w:highlight w:val="none"/>
                <w:lang w:eastAsia="zh-CN"/>
              </w:rPr>
              <w:t>。</w:t>
            </w:r>
          </w:p>
        </w:tc>
      </w:tr>
    </w:tbl>
    <w:p w14:paraId="63922B4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三）强化政府采购异常低价审查</w:t>
      </w:r>
    </w:p>
    <w:p w14:paraId="28691A5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为整治政府采购领域“内卷式”竞争，维护优质优价、良性竞争秩序，保障采购项目质量与履约能力，根据财政部《关于推动解决政府采购异常低价问题的通知》（财库〔2026〕2号）要求，本项目在评标环节严格执行异常低价投标审查机制，具体规定如下：</w:t>
      </w:r>
    </w:p>
    <w:p w14:paraId="5ED2EA0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1.异常低价审查启动情形</w:t>
      </w:r>
    </w:p>
    <w:p w14:paraId="27A4C03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通过资格审查与符合性审查的投标人，出现下列情形之一的，评标委员会应当立即启动异常低价投标审查程序：</w:t>
      </w:r>
    </w:p>
    <w:p w14:paraId="1379738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（1）投标报价低于全部通过符合性审查投标人投标报价平均值的50%；</w:t>
      </w:r>
    </w:p>
    <w:p w14:paraId="788F271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（2）投标报价低于通过符合性审查的次低投标报价的50%；</w:t>
      </w:r>
    </w:p>
    <w:p w14:paraId="578B35B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（3）投标报价低于本项目最高限价的45%；</w:t>
      </w:r>
    </w:p>
    <w:p w14:paraId="1FC0343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（4）评标委员会基于专业判断，认为投标人报价明显过低，可能影响产品质量、服务水平或无法诚信履约的其他情形。</w:t>
      </w:r>
    </w:p>
    <w:p w14:paraId="2577DAB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2.异常低价审查实施要求</w:t>
      </w:r>
    </w:p>
    <w:p w14:paraId="1BD1190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（1）解释与举证时限</w:t>
      </w:r>
    </w:p>
    <w:p w14:paraId="5CC4DC0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启动审查后，应当要求相关投标人在评审现场不少于30分钟的合理时间内，对投标价格的合理性作出书面解释，并提交完整成本证明材料，包括但不限于：设备采购/生产成本、人工成本、运输安装费、调试费、售后服务费、税费、运维成本、全生命周期费用等详细测算依据及佐证材料。</w:t>
      </w:r>
    </w:p>
    <w:p w14:paraId="1F6146E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（2）合理性评审标准</w:t>
      </w:r>
    </w:p>
    <w:p w14:paraId="7627ADC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评标委员会结合同类项目中标成交价、市场公允价格、行业人工费用标准、行业平均成本水平等，对投标人报价及证明材料进行综合判断，确认其报价是否具备合理性、是否能保障项目实施质量。</w:t>
      </w:r>
    </w:p>
    <w:p w14:paraId="7021CDA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（3）审查结果处理</w:t>
      </w:r>
    </w:p>
    <w:p w14:paraId="129AD67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投标人不能提供书面说明、无法提交证明材料，或提交材料不足以证明报价合理性的，评标委员会应当将其投标作无效投标处理。</w:t>
      </w:r>
    </w:p>
    <w:p w14:paraId="424513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（4）审查记录与归档</w:t>
      </w:r>
    </w:p>
    <w:p w14:paraId="5960D54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异常低价审查的启动原因、审查过程、审查意见、最终结果须完整记入评标报告，并与投标人提交的说明材料、证明文件、评审查询记录等一并归档留存。</w:t>
      </w:r>
    </w:p>
    <w:p w14:paraId="4BBB508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3.评审纪律与责任</w:t>
      </w:r>
    </w:p>
    <w:p w14:paraId="492538C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（1）评标委员会必须严格执行本条款，对符合启动条件的异常低价投标不得遗漏审查。</w:t>
      </w:r>
    </w:p>
    <w:p w14:paraId="2008D70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（2）评审专家未按规定开展异常低价审查、履职不到位的，将按规定上报财政部门追究相关责任。</w:t>
      </w:r>
    </w:p>
    <w:p w14:paraId="2789888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（3）异常低价审查全过程严格保密，不得向投标人或无关人员泄露审查信息。</w:t>
      </w:r>
    </w:p>
    <w:p w14:paraId="6BC6C83D">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（四）澄清有关问题</w:t>
      </w:r>
    </w:p>
    <w:p w14:paraId="5E132AB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对投标文件中含义不明确、同类问题表述不一致或者有明显文字和计算错误的内容，评标委员会可以书面形式（应当由评标委员会成员签字）要求供应商作出必要澄清、说明或者纠正。供应商的澄清、说明或者补正应当采用书面形式，由其授权的代表签字，并不得超出投标文件的范围或者改变投标文件的实质性内容。</w:t>
      </w:r>
    </w:p>
    <w:p w14:paraId="10AE31E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3571442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（五）比较与评价</w:t>
      </w:r>
    </w:p>
    <w:p w14:paraId="6D512C9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按招标文件中规定的评标方法和标准，对资格性审查和符合性审查合格的投标文件进行技术部分和履约能力部分评估，综合比较与评价。</w:t>
      </w:r>
    </w:p>
    <w:p w14:paraId="44DF163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各成员应当独立对每个有效供应商的标书进行评价、打分，然后由评审组长组织评标委员会成员对各评委打分情况进行核查及复核，个别评委对同一供应商同一评分项的打分偏离较大的，应对供应商的投标文件进行再次核对，确属打分有误的，应及时进行修正。</w:t>
      </w:r>
    </w:p>
    <w:p w14:paraId="16E20FF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过程中，不得干预或者影响正常评标工作，不得发表倾向性、引导性意见，不得修改或细化招标文件确定的评标程序、评标方法、评标因素和评标标准，不得接受供应商主动提出的澄清或者说明，不得征询采购人代表的倾向性意见，对需要专业判断的主观评审因素不得协商评分，不得违反规定的评标格式评分和撰写评标意见，不得拒绝对自己的评标意见签字确认。</w:t>
      </w:r>
    </w:p>
    <w:p w14:paraId="3217D933">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（六）综合评分</w:t>
      </w:r>
    </w:p>
    <w:p w14:paraId="5847C2B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按照采购文件中规定的招标要求，对通过商务评审的投标文件按照标段进行综合评分，评分细则如下：</w:t>
      </w:r>
    </w:p>
    <w:tbl>
      <w:tblPr>
        <w:tblStyle w:val="32"/>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127"/>
        <w:gridCol w:w="6816"/>
      </w:tblGrid>
      <w:tr w14:paraId="125CB6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tcBorders>
              <w:tl2br w:val="nil"/>
              <w:tr2bl w:val="nil"/>
            </w:tcBorders>
            <w:noWrap w:val="0"/>
            <w:vAlign w:val="center"/>
          </w:tcPr>
          <w:p w14:paraId="076F258C">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2127" w:type="dxa"/>
            <w:tcBorders>
              <w:tl2br w:val="nil"/>
              <w:tr2bl w:val="nil"/>
            </w:tcBorders>
            <w:noWrap w:val="0"/>
            <w:vAlign w:val="center"/>
          </w:tcPr>
          <w:p w14:paraId="5E8F3159">
            <w:pPr>
              <w:keepNext w:val="0"/>
              <w:keepLines w:val="0"/>
              <w:pageBreakBefore w:val="0"/>
              <w:widowControl w:val="0"/>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评审因素</w:t>
            </w:r>
          </w:p>
        </w:tc>
        <w:tc>
          <w:tcPr>
            <w:tcW w:w="6816" w:type="dxa"/>
            <w:tcBorders>
              <w:tl2br w:val="nil"/>
              <w:tr2bl w:val="nil"/>
            </w:tcBorders>
            <w:noWrap w:val="0"/>
            <w:vAlign w:val="center"/>
          </w:tcPr>
          <w:p w14:paraId="05E734E1">
            <w:pPr>
              <w:keepNext w:val="0"/>
              <w:keepLines w:val="0"/>
              <w:pageBreakBefore w:val="0"/>
              <w:widowControl w:val="0"/>
              <w:kinsoku/>
              <w:wordWrap/>
              <w:overflowPunct/>
              <w:topLinePunct w:val="0"/>
              <w:autoSpaceDE/>
              <w:autoSpaceDN/>
              <w:bidi w:val="0"/>
              <w:adjustRightInd/>
              <w:snapToGrid/>
              <w:spacing w:beforeAutospacing="0" w:afterAutospacing="0" w:line="288" w:lineRule="auto"/>
              <w:ind w:left="0" w:leftChars="0" w:right="0" w:right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评审标准</w:t>
            </w:r>
          </w:p>
        </w:tc>
      </w:tr>
      <w:tr w14:paraId="1D7913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tcBorders>
              <w:tl2br w:val="nil"/>
              <w:tr2bl w:val="nil"/>
            </w:tcBorders>
            <w:noWrap w:val="0"/>
            <w:vAlign w:val="center"/>
          </w:tcPr>
          <w:p w14:paraId="4C14FE40">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p>
        </w:tc>
        <w:tc>
          <w:tcPr>
            <w:tcW w:w="2127" w:type="dxa"/>
            <w:tcBorders>
              <w:tl2br w:val="nil"/>
              <w:tr2bl w:val="nil"/>
            </w:tcBorders>
            <w:noWrap w:val="0"/>
            <w:vAlign w:val="center"/>
          </w:tcPr>
          <w:p w14:paraId="796DECBB">
            <w:pPr>
              <w:keepNext w:val="0"/>
              <w:keepLines w:val="0"/>
              <w:pageBreakBefore w:val="0"/>
              <w:widowControl w:val="0"/>
              <w:kinsoku/>
              <w:wordWrap/>
              <w:overflowPunct/>
              <w:topLinePunct w:val="0"/>
              <w:autoSpaceDE/>
              <w:autoSpaceDN/>
              <w:bidi w:val="0"/>
              <w:adjustRightInd/>
              <w:snapToGrid/>
              <w:spacing w:beforeAutospacing="0" w:afterAutospacing="0" w:line="288" w:lineRule="auto"/>
              <w:ind w:left="0" w:leftChars="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rPr>
              <w:t>评标总得分计算公式</w:t>
            </w:r>
          </w:p>
        </w:tc>
        <w:tc>
          <w:tcPr>
            <w:tcW w:w="6816" w:type="dxa"/>
            <w:tcBorders>
              <w:tl2br w:val="nil"/>
              <w:tr2bl w:val="nil"/>
            </w:tcBorders>
            <w:noWrap w:val="0"/>
            <w:vAlign w:val="center"/>
          </w:tcPr>
          <w:p w14:paraId="37E229E2">
            <w:pPr>
              <w:keepNext w:val="0"/>
              <w:keepLines w:val="0"/>
              <w:pageBreakBefore w:val="0"/>
              <w:widowControl w:val="0"/>
              <w:kinsoku/>
              <w:wordWrap/>
              <w:overflowPunct/>
              <w:topLinePunct w:val="0"/>
              <w:autoSpaceDE/>
              <w:autoSpaceDN/>
              <w:bidi w:val="0"/>
              <w:adjustRightInd/>
              <w:snapToGrid/>
              <w:spacing w:beforeAutospacing="0" w:afterAutospacing="0" w:line="288" w:lineRule="auto"/>
              <w:ind w:lef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的评标总得分＝F1＋F2＋F3</w:t>
            </w:r>
          </w:p>
          <w:p w14:paraId="283B7C88">
            <w:pPr>
              <w:keepNext w:val="0"/>
              <w:keepLines w:val="0"/>
              <w:pageBreakBefore w:val="0"/>
              <w:widowControl w:val="0"/>
              <w:kinsoku/>
              <w:wordWrap/>
              <w:overflowPunct/>
              <w:topLinePunct w:val="0"/>
              <w:autoSpaceDE/>
              <w:autoSpaceDN/>
              <w:bidi w:val="0"/>
              <w:adjustRightInd/>
              <w:snapToGrid/>
              <w:spacing w:beforeAutospacing="0" w:afterAutospacing="0" w:line="288" w:lineRule="auto"/>
              <w:ind w:left="0" w:lef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其中：F1、F2、F3分别为投标报价、技术部分、</w:t>
            </w:r>
            <w:r>
              <w:rPr>
                <w:rFonts w:hint="eastAsia" w:ascii="宋体" w:hAnsi="宋体" w:eastAsia="宋体" w:cs="宋体"/>
                <w:bCs/>
                <w:color w:val="auto"/>
                <w:sz w:val="21"/>
                <w:szCs w:val="21"/>
                <w:highlight w:val="none"/>
                <w:lang w:val="en-US" w:eastAsia="zh-CN"/>
              </w:rPr>
              <w:t>商务</w:t>
            </w:r>
            <w:r>
              <w:rPr>
                <w:rFonts w:hint="eastAsia" w:ascii="宋体" w:hAnsi="宋体" w:eastAsia="宋体" w:cs="宋体"/>
                <w:bCs/>
                <w:color w:val="auto"/>
                <w:sz w:val="21"/>
                <w:szCs w:val="21"/>
                <w:highlight w:val="none"/>
              </w:rPr>
              <w:t>部分</w:t>
            </w:r>
            <w:r>
              <w:rPr>
                <w:rFonts w:hint="eastAsia" w:ascii="宋体" w:hAnsi="宋体" w:eastAsia="宋体" w:cs="宋体"/>
                <w:color w:val="auto"/>
                <w:sz w:val="21"/>
                <w:szCs w:val="21"/>
                <w:highlight w:val="none"/>
              </w:rPr>
              <w:t>3项评分因素的汇总得分。</w:t>
            </w:r>
          </w:p>
        </w:tc>
      </w:tr>
      <w:tr w14:paraId="2D6BB2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tcBorders>
              <w:tl2br w:val="nil"/>
              <w:tr2bl w:val="nil"/>
            </w:tcBorders>
            <w:noWrap w:val="0"/>
            <w:vAlign w:val="center"/>
          </w:tcPr>
          <w:p w14:paraId="349CD98E">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p>
        </w:tc>
        <w:tc>
          <w:tcPr>
            <w:tcW w:w="2127" w:type="dxa"/>
            <w:tcBorders>
              <w:tl2br w:val="nil"/>
              <w:tr2bl w:val="nil"/>
            </w:tcBorders>
            <w:noWrap w:val="0"/>
            <w:vAlign w:val="center"/>
          </w:tcPr>
          <w:p w14:paraId="609623BC">
            <w:pPr>
              <w:keepNext w:val="0"/>
              <w:keepLines w:val="0"/>
              <w:pageBreakBefore w:val="0"/>
              <w:widowControl w:val="0"/>
              <w:kinsoku/>
              <w:wordWrap/>
              <w:overflowPunct/>
              <w:topLinePunct w:val="0"/>
              <w:autoSpaceDE/>
              <w:autoSpaceDN/>
              <w:bidi w:val="0"/>
              <w:adjustRightInd/>
              <w:snapToGrid/>
              <w:spacing w:beforeAutospacing="0" w:afterAutospacing="0" w:line="288" w:lineRule="auto"/>
              <w:ind w:left="0" w:leftChars="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rPr>
              <w:t>评分因素</w:t>
            </w:r>
            <w:r>
              <w:rPr>
                <w:rFonts w:hint="eastAsia" w:ascii="宋体" w:hAnsi="宋体" w:eastAsia="宋体" w:cs="宋体"/>
                <w:b/>
                <w:bCs/>
                <w:color w:val="auto"/>
                <w:sz w:val="21"/>
                <w:szCs w:val="21"/>
                <w:highlight w:val="none"/>
                <w:lang w:val="en-US" w:eastAsia="zh-CN"/>
              </w:rPr>
              <w:t>分值</w:t>
            </w:r>
          </w:p>
        </w:tc>
        <w:tc>
          <w:tcPr>
            <w:tcW w:w="6816" w:type="dxa"/>
            <w:tcBorders>
              <w:tl2br w:val="nil"/>
              <w:tr2bl w:val="nil"/>
            </w:tcBorders>
            <w:noWrap w:val="0"/>
            <w:vAlign w:val="center"/>
          </w:tcPr>
          <w:p w14:paraId="1A2D2C39">
            <w:pPr>
              <w:keepNext w:val="0"/>
              <w:keepLines w:val="0"/>
              <w:pageBreakBefore w:val="0"/>
              <w:widowControl w:val="0"/>
              <w:kinsoku/>
              <w:wordWrap/>
              <w:overflowPunct/>
              <w:topLinePunct w:val="0"/>
              <w:autoSpaceDE/>
              <w:autoSpaceDN/>
              <w:bidi w:val="0"/>
              <w:adjustRightInd/>
              <w:snapToGrid/>
              <w:spacing w:line="288" w:lineRule="auto"/>
              <w:ind w:left="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投标报价F1</w:t>
            </w:r>
            <w:r>
              <w:rPr>
                <w:rFonts w:hint="eastAsia" w:ascii="宋体" w:hAnsi="宋体" w:eastAsia="宋体" w:cs="宋体"/>
                <w:b/>
                <w:bCs/>
                <w:color w:val="auto"/>
                <w:sz w:val="21"/>
                <w:szCs w:val="21"/>
                <w:highlight w:val="none"/>
                <w:lang w:val="en-US" w:eastAsia="zh-CN"/>
              </w:rPr>
              <w:t>：30</w:t>
            </w:r>
            <w:r>
              <w:rPr>
                <w:rFonts w:hint="eastAsia" w:ascii="宋体" w:hAnsi="宋体" w:eastAsia="宋体" w:cs="宋体"/>
                <w:b/>
                <w:bCs/>
                <w:color w:val="auto"/>
                <w:sz w:val="21"/>
                <w:szCs w:val="21"/>
                <w:highlight w:val="none"/>
              </w:rPr>
              <w:t>分。</w:t>
            </w:r>
          </w:p>
          <w:p w14:paraId="4E4BFEF3">
            <w:pPr>
              <w:keepNext w:val="0"/>
              <w:keepLines w:val="0"/>
              <w:pageBreakBefore w:val="0"/>
              <w:widowControl w:val="0"/>
              <w:kinsoku/>
              <w:wordWrap/>
              <w:overflowPunct/>
              <w:topLinePunct w:val="0"/>
              <w:autoSpaceDE/>
              <w:autoSpaceDN/>
              <w:bidi w:val="0"/>
              <w:adjustRightInd/>
              <w:snapToGrid/>
              <w:spacing w:line="288" w:lineRule="auto"/>
              <w:ind w:left="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技术部分F2：</w:t>
            </w:r>
            <w:r>
              <w:rPr>
                <w:rFonts w:hint="eastAsia" w:ascii="宋体" w:hAnsi="宋体" w:cs="宋体"/>
                <w:b/>
                <w:bCs/>
                <w:color w:val="auto"/>
                <w:sz w:val="21"/>
                <w:szCs w:val="21"/>
                <w:highlight w:val="none"/>
                <w:lang w:val="en-US" w:eastAsia="zh-CN"/>
              </w:rPr>
              <w:t>50</w:t>
            </w:r>
            <w:r>
              <w:rPr>
                <w:rFonts w:hint="eastAsia" w:ascii="宋体" w:hAnsi="宋体" w:eastAsia="宋体" w:cs="宋体"/>
                <w:b/>
                <w:bCs/>
                <w:color w:val="auto"/>
                <w:sz w:val="21"/>
                <w:szCs w:val="21"/>
                <w:highlight w:val="none"/>
              </w:rPr>
              <w:t>分。</w:t>
            </w:r>
          </w:p>
          <w:p w14:paraId="42F137A7">
            <w:pPr>
              <w:keepNext w:val="0"/>
              <w:keepLines w:val="0"/>
              <w:pageBreakBefore w:val="0"/>
              <w:widowControl w:val="0"/>
              <w:kinsoku/>
              <w:wordWrap/>
              <w:overflowPunct/>
              <w:topLinePunct w:val="0"/>
              <w:autoSpaceDE/>
              <w:autoSpaceDN/>
              <w:bidi w:val="0"/>
              <w:adjustRightInd/>
              <w:snapToGrid/>
              <w:spacing w:line="288" w:lineRule="auto"/>
              <w:ind w:left="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商务</w:t>
            </w:r>
            <w:r>
              <w:rPr>
                <w:rFonts w:hint="eastAsia" w:ascii="宋体" w:hAnsi="宋体" w:eastAsia="宋体" w:cs="宋体"/>
                <w:b/>
                <w:bCs/>
                <w:color w:val="auto"/>
                <w:sz w:val="21"/>
                <w:szCs w:val="21"/>
                <w:highlight w:val="none"/>
              </w:rPr>
              <w:t>部分F3：</w:t>
            </w:r>
            <w:r>
              <w:rPr>
                <w:rFonts w:hint="eastAsia" w:ascii="宋体" w:hAnsi="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分。</w:t>
            </w:r>
          </w:p>
        </w:tc>
      </w:tr>
      <w:tr w14:paraId="16178B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5" w:type="dxa"/>
            <w:vMerge w:val="restart"/>
            <w:tcBorders>
              <w:tl2br w:val="nil"/>
              <w:tr2bl w:val="nil"/>
            </w:tcBorders>
            <w:noWrap w:val="0"/>
            <w:vAlign w:val="center"/>
          </w:tcPr>
          <w:p w14:paraId="58C93B80">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p>
        </w:tc>
        <w:tc>
          <w:tcPr>
            <w:tcW w:w="2127" w:type="dxa"/>
            <w:vMerge w:val="restart"/>
            <w:tcBorders>
              <w:tl2br w:val="nil"/>
              <w:tr2bl w:val="nil"/>
            </w:tcBorders>
            <w:noWrap w:val="0"/>
            <w:vAlign w:val="center"/>
          </w:tcPr>
          <w:p w14:paraId="7ABFBD5A">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投标报价得分F1</w:t>
            </w:r>
          </w:p>
          <w:p w14:paraId="1B492595">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rPr>
              <w:t>（满分</w:t>
            </w:r>
            <w:r>
              <w:rPr>
                <w:rFonts w:hint="eastAsia" w:ascii="宋体" w:hAnsi="宋体" w:eastAsia="宋体" w:cs="宋体"/>
                <w:b/>
                <w:bCs/>
                <w:color w:val="auto"/>
                <w:sz w:val="21"/>
                <w:szCs w:val="21"/>
                <w:highlight w:val="none"/>
                <w:lang w:val="en-US" w:eastAsia="zh-CN"/>
              </w:rPr>
              <w:t>30</w:t>
            </w:r>
            <w:r>
              <w:rPr>
                <w:rFonts w:hint="eastAsia" w:ascii="宋体" w:hAnsi="宋体" w:eastAsia="宋体" w:cs="宋体"/>
                <w:b/>
                <w:bCs/>
                <w:color w:val="auto"/>
                <w:sz w:val="21"/>
                <w:szCs w:val="21"/>
                <w:highlight w:val="none"/>
              </w:rPr>
              <w:t>分）</w:t>
            </w:r>
          </w:p>
        </w:tc>
        <w:tc>
          <w:tcPr>
            <w:tcW w:w="6816" w:type="dxa"/>
            <w:tcBorders>
              <w:tl2br w:val="nil"/>
              <w:tr2bl w:val="nil"/>
            </w:tcBorders>
            <w:noWrap w:val="0"/>
            <w:vAlign w:val="center"/>
          </w:tcPr>
          <w:p w14:paraId="15EB6230">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肉食品类：投标报价得分=（评标基准价）/（投标报价）×对应货物类别分值</w:t>
            </w:r>
          </w:p>
          <w:p w14:paraId="63DD8149">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注：评标基准价即实质性要求审查合格且投标价格最低（即</w:t>
            </w:r>
            <w:r>
              <w:rPr>
                <w:rFonts w:hint="eastAsia" w:ascii="宋体" w:hAnsi="宋体" w:cs="宋体"/>
                <w:color w:val="auto"/>
                <w:sz w:val="21"/>
                <w:szCs w:val="21"/>
                <w:highlight w:val="none"/>
                <w:lang w:val="en-US" w:eastAsia="zh-CN"/>
              </w:rPr>
              <w:t>上浮率最小</w:t>
            </w:r>
            <w:r>
              <w:rPr>
                <w:rFonts w:hint="eastAsia" w:ascii="宋体" w:hAnsi="宋体" w:eastAsia="宋体" w:cs="宋体"/>
                <w:color w:val="auto"/>
                <w:sz w:val="21"/>
                <w:szCs w:val="21"/>
                <w:highlight w:val="none"/>
              </w:rPr>
              <w:t>）的有效投标报价</w:t>
            </w:r>
            <w:r>
              <w:rPr>
                <w:rFonts w:hint="eastAsia" w:ascii="宋体" w:hAnsi="宋体" w:cs="宋体"/>
                <w:color w:val="auto"/>
                <w:sz w:val="21"/>
                <w:szCs w:val="21"/>
                <w:highlight w:val="none"/>
                <w:lang w:eastAsia="zh-CN"/>
              </w:rPr>
              <w:t>。</w:t>
            </w:r>
          </w:p>
          <w:p w14:paraId="3F57180D">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蔬菜类、辅料类</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投标报价得分=（1-评标基准价）/（1-投标报价）×</w:t>
            </w:r>
            <w:r>
              <w:rPr>
                <w:rFonts w:hint="eastAsia" w:ascii="宋体" w:hAnsi="宋体" w:eastAsia="宋体" w:cs="宋体"/>
                <w:b/>
                <w:bCs/>
                <w:color w:val="auto"/>
                <w:sz w:val="21"/>
                <w:szCs w:val="21"/>
                <w:highlight w:val="none"/>
                <w:lang w:val="en-US" w:eastAsia="zh-CN"/>
              </w:rPr>
              <w:t>对应货物类别分值</w:t>
            </w:r>
          </w:p>
          <w:p w14:paraId="0C12E3C2">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注：评标基准价即实质性要求审查合格且投标价格最低（即下浮率最大）的有效投标报价</w:t>
            </w:r>
            <w:r>
              <w:rPr>
                <w:rFonts w:hint="eastAsia" w:ascii="宋体" w:hAnsi="宋体" w:cs="宋体"/>
                <w:color w:val="auto"/>
                <w:sz w:val="21"/>
                <w:szCs w:val="21"/>
                <w:highlight w:val="none"/>
                <w:lang w:eastAsia="zh-CN"/>
              </w:rPr>
              <w:t>。</w:t>
            </w:r>
          </w:p>
        </w:tc>
      </w:tr>
      <w:tr w14:paraId="50D54E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5" w:type="dxa"/>
            <w:vMerge w:val="continue"/>
            <w:tcBorders>
              <w:tl2br w:val="nil"/>
              <w:tr2bl w:val="nil"/>
            </w:tcBorders>
            <w:noWrap w:val="0"/>
            <w:vAlign w:val="center"/>
          </w:tcPr>
          <w:p w14:paraId="04E2F6D5">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p>
        </w:tc>
        <w:tc>
          <w:tcPr>
            <w:tcW w:w="2127" w:type="dxa"/>
            <w:vMerge w:val="continue"/>
            <w:tcBorders>
              <w:tl2br w:val="nil"/>
              <w:tr2bl w:val="nil"/>
            </w:tcBorders>
            <w:noWrap w:val="0"/>
            <w:vAlign w:val="center"/>
          </w:tcPr>
          <w:p w14:paraId="25269E53">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sz w:val="21"/>
                <w:szCs w:val="21"/>
                <w:highlight w:val="none"/>
              </w:rPr>
            </w:pPr>
          </w:p>
        </w:tc>
        <w:tc>
          <w:tcPr>
            <w:tcW w:w="6816" w:type="dxa"/>
            <w:tcBorders>
              <w:tl2br w:val="nil"/>
              <w:tr2bl w:val="nil"/>
            </w:tcBorders>
            <w:noWrap w:val="0"/>
            <w:vAlign w:val="center"/>
          </w:tcPr>
          <w:p w14:paraId="3912042C">
            <w:pPr>
              <w:keepNext w:val="0"/>
              <w:keepLines w:val="0"/>
              <w:pageBreakBefore w:val="0"/>
              <w:widowControl w:val="0"/>
              <w:kinsoku/>
              <w:wordWrap/>
              <w:overflowPunct/>
              <w:topLinePunct w:val="0"/>
              <w:autoSpaceDE/>
              <w:autoSpaceDN/>
              <w:bidi w:val="0"/>
              <w:adjustRightInd/>
              <w:snapToGrid/>
              <w:spacing w:line="288" w:lineRule="auto"/>
              <w:ind w:left="0" w:leftChars="0" w:right="0" w:rightChars="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分值构成为：</w:t>
            </w:r>
          </w:p>
          <w:p w14:paraId="291AF3CA">
            <w:pPr>
              <w:pStyle w:val="31"/>
              <w:ind w:left="0" w:leftChars="0" w:firstLine="0" w:firstLineChars="0"/>
              <w:rPr>
                <w:rFonts w:hint="eastAsia" w:ascii="宋体" w:hAnsi="宋体" w:eastAsia="宋体" w:cs="宋体"/>
                <w:b/>
                <w:bCs/>
                <w:color w:val="auto"/>
                <w:sz w:val="21"/>
                <w:szCs w:val="21"/>
                <w:highlight w:val="none"/>
                <w:lang w:val="en-US" w:eastAsia="zh-CN"/>
              </w:rPr>
            </w:pPr>
            <w:r>
              <w:rPr>
                <w:rFonts w:hint="eastAsia" w:ascii="宋体" w:hAnsi="宋体" w:cs="宋体"/>
                <w:color w:val="auto"/>
                <w:lang w:val="en-US" w:eastAsia="zh-CN"/>
              </w:rPr>
              <w:t>肉食品类</w:t>
            </w:r>
            <w:r>
              <w:rPr>
                <w:rFonts w:hint="eastAsia" w:ascii="宋体" w:hAnsi="宋体" w:eastAsia="宋体" w:cs="宋体"/>
                <w:color w:val="auto"/>
                <w:lang w:val="en-US" w:eastAsia="zh-CN"/>
              </w:rPr>
              <w:t>（</w:t>
            </w:r>
            <w:r>
              <w:rPr>
                <w:rFonts w:hint="eastAsia" w:ascii="宋体" w:hAnsi="宋体" w:cs="宋体"/>
                <w:color w:val="auto"/>
                <w:lang w:val="en-US" w:eastAsia="zh-CN"/>
              </w:rPr>
              <w:t>15</w:t>
            </w:r>
            <w:r>
              <w:rPr>
                <w:rFonts w:hint="eastAsia" w:ascii="宋体" w:hAnsi="宋体" w:eastAsia="宋体" w:cs="宋体"/>
                <w:color w:val="auto"/>
                <w:lang w:val="en-US" w:eastAsia="zh-CN"/>
              </w:rPr>
              <w:t>分）</w:t>
            </w:r>
            <w:r>
              <w:rPr>
                <w:rFonts w:hint="eastAsia" w:ascii="宋体" w:hAnsi="宋体" w:cs="宋体"/>
                <w:color w:val="auto"/>
                <w:lang w:val="en-US" w:eastAsia="zh-CN"/>
              </w:rPr>
              <w:t>、蔬菜类（10分）、辅料类（5分）</w:t>
            </w:r>
          </w:p>
        </w:tc>
      </w:tr>
      <w:tr w14:paraId="627C27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vMerge w:val="restart"/>
            <w:tcBorders>
              <w:tl2br w:val="nil"/>
              <w:tr2bl w:val="nil"/>
            </w:tcBorders>
            <w:noWrap w:val="0"/>
            <w:vAlign w:val="center"/>
          </w:tcPr>
          <w:p w14:paraId="2B47D099">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p>
        </w:tc>
        <w:tc>
          <w:tcPr>
            <w:tcW w:w="2127" w:type="dxa"/>
            <w:vMerge w:val="restart"/>
            <w:tcBorders>
              <w:tl2br w:val="nil"/>
              <w:tr2bl w:val="nil"/>
            </w:tcBorders>
            <w:noWrap w:val="0"/>
            <w:vAlign w:val="center"/>
          </w:tcPr>
          <w:p w14:paraId="5455802A">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技术部分得分F2</w:t>
            </w:r>
          </w:p>
          <w:p w14:paraId="1C797B58">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（满分</w:t>
            </w:r>
            <w:r>
              <w:rPr>
                <w:rFonts w:hint="eastAsia" w:ascii="宋体" w:hAnsi="宋体" w:cs="宋体"/>
                <w:b/>
                <w:bCs/>
                <w:color w:val="auto"/>
                <w:kern w:val="2"/>
                <w:sz w:val="21"/>
                <w:szCs w:val="21"/>
                <w:highlight w:val="none"/>
                <w:lang w:val="en-US" w:eastAsia="zh-CN" w:bidi="ar-SA"/>
              </w:rPr>
              <w:t>50</w:t>
            </w:r>
            <w:r>
              <w:rPr>
                <w:rFonts w:hint="eastAsia" w:ascii="宋体" w:hAnsi="宋体" w:eastAsia="宋体" w:cs="宋体"/>
                <w:b/>
                <w:bCs/>
                <w:color w:val="auto"/>
                <w:kern w:val="2"/>
                <w:sz w:val="21"/>
                <w:szCs w:val="21"/>
                <w:highlight w:val="none"/>
                <w:lang w:val="en-US" w:eastAsia="zh-CN" w:bidi="ar-SA"/>
              </w:rPr>
              <w:t>分）</w:t>
            </w:r>
          </w:p>
        </w:tc>
        <w:tc>
          <w:tcPr>
            <w:tcW w:w="6816" w:type="dxa"/>
            <w:tcBorders>
              <w:tl2br w:val="nil"/>
              <w:tr2bl w:val="nil"/>
            </w:tcBorders>
            <w:noWrap w:val="0"/>
            <w:vAlign w:val="center"/>
          </w:tcPr>
          <w:p w14:paraId="5AFBE3AE">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项目实施方案评审</w:t>
            </w:r>
            <w:r>
              <w:rPr>
                <w:rFonts w:hint="eastAsia" w:ascii="宋体" w:hAnsi="宋体" w:cs="宋体"/>
                <w:b/>
                <w:bCs/>
                <w:color w:val="auto"/>
                <w:sz w:val="21"/>
                <w:szCs w:val="21"/>
                <w:highlight w:val="none"/>
                <w:lang w:val="en-US" w:eastAsia="zh-CN"/>
              </w:rPr>
              <w:t>（满分20分）</w:t>
            </w:r>
          </w:p>
          <w:p w14:paraId="5176A9EB">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投标人需针对本项目的需求提供</w:t>
            </w:r>
            <w:r>
              <w:rPr>
                <w:rFonts w:hint="eastAsia" w:ascii="宋体" w:hAnsi="宋体" w:cs="宋体"/>
                <w:color w:val="auto"/>
                <w:sz w:val="21"/>
                <w:szCs w:val="21"/>
                <w:highlight w:val="none"/>
                <w:lang w:val="en-US" w:eastAsia="zh-CN"/>
              </w:rPr>
              <w:t>项目实施方案</w:t>
            </w:r>
            <w:r>
              <w:rPr>
                <w:rFonts w:hint="eastAsia" w:ascii="宋体" w:hAnsi="宋体" w:eastAsia="宋体" w:cs="宋体"/>
                <w:color w:val="auto"/>
                <w:sz w:val="21"/>
                <w:szCs w:val="21"/>
                <w:highlight w:val="none"/>
                <w:lang w:val="en-US" w:eastAsia="zh-CN"/>
              </w:rPr>
              <w:t>，方案内容包含：①项目需求分析；②原材料采购、包装、保存方案；③配送时效性与保鲜措施；④食材验收</w:t>
            </w:r>
            <w:r>
              <w:rPr>
                <w:rFonts w:hint="eastAsia" w:ascii="宋体" w:hAnsi="宋体" w:cs="宋体"/>
                <w:color w:val="auto"/>
                <w:sz w:val="21"/>
                <w:szCs w:val="21"/>
                <w:highlight w:val="none"/>
                <w:lang w:val="en-US" w:eastAsia="zh-CN"/>
              </w:rPr>
              <w:t>及留样管理</w:t>
            </w:r>
            <w:r>
              <w:rPr>
                <w:rFonts w:hint="eastAsia" w:ascii="宋体" w:hAnsi="宋体" w:eastAsia="宋体" w:cs="宋体"/>
                <w:color w:val="auto"/>
                <w:sz w:val="21"/>
                <w:szCs w:val="21"/>
                <w:highlight w:val="none"/>
                <w:lang w:val="en-US" w:eastAsia="zh-CN"/>
              </w:rPr>
              <w:t>；⑤项目风险与控制方案（共有5项，每项满分</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p w14:paraId="73B2DAB3">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以上5项实施方案</w:t>
            </w:r>
            <w:r>
              <w:rPr>
                <w:rFonts w:hint="eastAsia" w:ascii="宋体" w:hAnsi="宋体" w:eastAsia="宋体" w:cs="宋体"/>
                <w:color w:val="auto"/>
                <w:sz w:val="21"/>
                <w:szCs w:val="21"/>
                <w:highlight w:val="none"/>
                <w:lang w:val="en-US" w:eastAsia="zh-CN"/>
              </w:rPr>
              <w:t>每有一项项目实施方案充分满足项目需求，内容完整、科学有效且可操作性强，完全满足项目需求该项得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p w14:paraId="249E79B7">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以上5项实施方案</w:t>
            </w:r>
            <w:r>
              <w:rPr>
                <w:rFonts w:hint="eastAsia" w:ascii="宋体" w:hAnsi="宋体" w:eastAsia="宋体" w:cs="宋体"/>
                <w:color w:val="auto"/>
                <w:sz w:val="21"/>
                <w:szCs w:val="21"/>
                <w:highlight w:val="none"/>
                <w:lang w:val="en-US" w:eastAsia="zh-CN"/>
              </w:rPr>
              <w:t>每有一项项目实施方案满足项目需求，内容较完整有可操作性，但有瑕疵的该项得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w:t>
            </w:r>
          </w:p>
          <w:p w14:paraId="741CDB7A">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3.以上5项实施方案</w:t>
            </w:r>
            <w:r>
              <w:rPr>
                <w:rFonts w:hint="eastAsia" w:ascii="宋体" w:hAnsi="宋体" w:eastAsia="宋体" w:cs="宋体"/>
                <w:color w:val="auto"/>
                <w:sz w:val="21"/>
                <w:szCs w:val="21"/>
                <w:highlight w:val="none"/>
                <w:lang w:val="en-US" w:eastAsia="zh-CN"/>
              </w:rPr>
              <w:t>每有一项项目实施方案基本满足项目需求，内容完整性一般，可操作性较弱，存在明显瑕疵但不影响核心实施的，该项得2分；​</w:t>
            </w:r>
          </w:p>
          <w:p w14:paraId="504F29E3">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4.以上5项实施方案</w:t>
            </w:r>
            <w:r>
              <w:rPr>
                <w:rFonts w:hint="eastAsia" w:ascii="宋体" w:hAnsi="宋体" w:eastAsia="宋体" w:cs="宋体"/>
                <w:color w:val="auto"/>
                <w:sz w:val="21"/>
                <w:szCs w:val="21"/>
                <w:highlight w:val="none"/>
                <w:lang w:val="en-US" w:eastAsia="zh-CN"/>
              </w:rPr>
              <w:t>每有一项项目实施方案勉强满足项目需求核心要点，内容不完整，可操作性差，存在严重瑕疵可能影响实施效果的，该项得1分；</w:t>
            </w:r>
          </w:p>
          <w:p w14:paraId="63F2B64D">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以上5项实施方案</w:t>
            </w:r>
            <w:r>
              <w:rPr>
                <w:rFonts w:hint="eastAsia" w:ascii="宋体" w:hAnsi="宋体" w:eastAsia="宋体" w:cs="宋体"/>
                <w:color w:val="auto"/>
                <w:sz w:val="21"/>
                <w:szCs w:val="21"/>
                <w:highlight w:val="none"/>
                <w:lang w:val="en-US" w:eastAsia="zh-CN"/>
              </w:rPr>
              <w:t>每缺少一项项目实施方案内容的该项得0分。</w:t>
            </w:r>
          </w:p>
          <w:p w14:paraId="70DF0EDE">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未提供此部分内容的不得分。</w:t>
            </w:r>
          </w:p>
          <w:p w14:paraId="6DFB1FF4">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注：缺陷或瑕疵是指内容不齐全或过于简略；低于招标文件要求；相关表述存在与项目实际不符或其他不匹配的内容；前后存在语义不清或逻辑性错误等任意一项类似缺陷或瑕疵；相关内容可操作性或针对性较差等。</w:t>
            </w:r>
          </w:p>
        </w:tc>
      </w:tr>
      <w:tr w14:paraId="7ADC58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vMerge w:val="continue"/>
            <w:tcBorders>
              <w:tl2br w:val="nil"/>
              <w:tr2bl w:val="nil"/>
            </w:tcBorders>
            <w:noWrap w:val="0"/>
            <w:vAlign w:val="center"/>
          </w:tcPr>
          <w:p w14:paraId="053FA070">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p>
        </w:tc>
        <w:tc>
          <w:tcPr>
            <w:tcW w:w="2127" w:type="dxa"/>
            <w:vMerge w:val="continue"/>
            <w:tcBorders>
              <w:tl2br w:val="nil"/>
              <w:tr2bl w:val="nil"/>
            </w:tcBorders>
            <w:noWrap w:val="0"/>
            <w:vAlign w:val="center"/>
          </w:tcPr>
          <w:p w14:paraId="7A219B79">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p>
        </w:tc>
        <w:tc>
          <w:tcPr>
            <w:tcW w:w="6816" w:type="dxa"/>
            <w:tcBorders>
              <w:tl2br w:val="nil"/>
              <w:tr2bl w:val="nil"/>
            </w:tcBorders>
            <w:noWrap w:val="0"/>
            <w:vAlign w:val="center"/>
          </w:tcPr>
          <w:p w14:paraId="1396A3C8">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（2）食品质量、安全及卫生管理方案</w:t>
            </w:r>
            <w:r>
              <w:rPr>
                <w:rFonts w:hint="eastAsia" w:ascii="宋体" w:hAnsi="宋体" w:eastAsia="宋体" w:cs="宋体"/>
                <w:b/>
                <w:bCs/>
                <w:color w:val="auto"/>
                <w:sz w:val="21"/>
                <w:szCs w:val="21"/>
                <w:highlight w:val="none"/>
                <w:lang w:val="en-US" w:eastAsia="zh-CN"/>
              </w:rPr>
              <w:t>评审</w:t>
            </w:r>
            <w:r>
              <w:rPr>
                <w:rFonts w:hint="eastAsia" w:ascii="宋体" w:hAnsi="宋体" w:cs="宋体"/>
                <w:b/>
                <w:bCs/>
                <w:color w:val="auto"/>
                <w:sz w:val="21"/>
                <w:szCs w:val="21"/>
                <w:highlight w:val="none"/>
                <w:lang w:val="en-US" w:eastAsia="zh-CN"/>
              </w:rPr>
              <w:t>（满分10分）</w:t>
            </w:r>
          </w:p>
          <w:p w14:paraId="54CC9918">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投标人需针对本项目的需求提供食品质量及安全管理方案，方案内容包含：①食品质量承诺及保证措施；②食品安全</w:t>
            </w:r>
            <w:r>
              <w:rPr>
                <w:rFonts w:hint="eastAsia" w:ascii="宋体" w:hAnsi="宋体" w:cs="宋体"/>
                <w:color w:val="auto"/>
                <w:sz w:val="21"/>
                <w:szCs w:val="21"/>
                <w:highlight w:val="none"/>
                <w:lang w:val="en-US" w:eastAsia="zh-CN"/>
              </w:rPr>
              <w:t>及卫生</w:t>
            </w:r>
            <w:r>
              <w:rPr>
                <w:rFonts w:hint="eastAsia" w:ascii="宋体" w:hAnsi="宋体" w:eastAsia="宋体" w:cs="宋体"/>
                <w:color w:val="auto"/>
                <w:sz w:val="21"/>
                <w:szCs w:val="21"/>
                <w:highlight w:val="none"/>
                <w:lang w:val="en-US" w:eastAsia="zh-CN"/>
              </w:rPr>
              <w:t>管理</w:t>
            </w:r>
            <w:r>
              <w:rPr>
                <w:rFonts w:hint="eastAsia" w:ascii="宋体" w:hAnsi="宋体" w:cs="宋体"/>
                <w:color w:val="auto"/>
                <w:sz w:val="21"/>
                <w:szCs w:val="21"/>
                <w:highlight w:val="none"/>
                <w:lang w:val="en-US" w:eastAsia="zh-CN"/>
              </w:rPr>
              <w:t>承诺</w:t>
            </w:r>
            <w:r>
              <w:rPr>
                <w:rFonts w:hint="eastAsia" w:ascii="宋体" w:hAnsi="宋体" w:eastAsia="宋体" w:cs="宋体"/>
                <w:color w:val="auto"/>
                <w:sz w:val="21"/>
                <w:szCs w:val="21"/>
                <w:highlight w:val="none"/>
                <w:lang w:val="en-US" w:eastAsia="zh-CN"/>
              </w:rPr>
              <w:t>及保证措施；③</w:t>
            </w:r>
            <w:r>
              <w:rPr>
                <w:rFonts w:hint="eastAsia" w:ascii="宋体" w:hAnsi="宋体" w:cs="宋体"/>
                <w:color w:val="auto"/>
                <w:sz w:val="21"/>
                <w:szCs w:val="21"/>
                <w:highlight w:val="none"/>
                <w:lang w:val="en-US" w:eastAsia="zh-CN"/>
              </w:rPr>
              <w:t>食品</w:t>
            </w:r>
            <w:r>
              <w:rPr>
                <w:rFonts w:hint="eastAsia" w:ascii="宋体" w:hAnsi="宋体" w:eastAsia="宋体" w:cs="宋体"/>
                <w:color w:val="auto"/>
                <w:sz w:val="21"/>
                <w:szCs w:val="21"/>
                <w:highlight w:val="none"/>
                <w:lang w:val="en-US" w:eastAsia="zh-CN"/>
              </w:rPr>
              <w:t>检验检疫与溯源管理措施；④</w:t>
            </w:r>
            <w:r>
              <w:rPr>
                <w:rFonts w:hint="eastAsia" w:ascii="宋体" w:hAnsi="宋体" w:cs="宋体"/>
                <w:color w:val="auto"/>
                <w:sz w:val="21"/>
                <w:szCs w:val="21"/>
                <w:highlight w:val="none"/>
                <w:lang w:val="en-US" w:eastAsia="zh-CN"/>
              </w:rPr>
              <w:t>食品</w:t>
            </w:r>
            <w:r>
              <w:rPr>
                <w:rFonts w:hint="eastAsia" w:ascii="宋体" w:hAnsi="宋体" w:eastAsia="宋体" w:cs="宋体"/>
                <w:color w:val="auto"/>
                <w:sz w:val="21"/>
                <w:szCs w:val="21"/>
                <w:highlight w:val="none"/>
                <w:lang w:val="en-US" w:eastAsia="zh-CN"/>
              </w:rPr>
              <w:t>新鲜度与保质期管理措施；⑤食品质量、安全</w:t>
            </w:r>
            <w:r>
              <w:rPr>
                <w:rFonts w:hint="eastAsia" w:ascii="宋体" w:hAnsi="宋体" w:cs="宋体"/>
                <w:color w:val="auto"/>
                <w:sz w:val="21"/>
                <w:szCs w:val="21"/>
                <w:highlight w:val="none"/>
                <w:lang w:val="en-US" w:eastAsia="zh-CN"/>
              </w:rPr>
              <w:t>及</w:t>
            </w:r>
            <w:r>
              <w:rPr>
                <w:rFonts w:hint="eastAsia" w:ascii="宋体" w:hAnsi="宋体" w:eastAsia="宋体" w:cs="宋体"/>
                <w:color w:val="auto"/>
                <w:sz w:val="21"/>
                <w:szCs w:val="21"/>
                <w:highlight w:val="none"/>
                <w:lang w:val="en-US" w:eastAsia="zh-CN"/>
              </w:rPr>
              <w:t>卫生违约</w:t>
            </w:r>
            <w:r>
              <w:rPr>
                <w:rFonts w:hint="eastAsia" w:ascii="宋体" w:hAnsi="宋体" w:cs="宋体"/>
                <w:color w:val="auto"/>
                <w:sz w:val="21"/>
                <w:szCs w:val="21"/>
                <w:highlight w:val="none"/>
                <w:lang w:val="en-US" w:eastAsia="zh-CN"/>
              </w:rPr>
              <w:t>责任</w:t>
            </w:r>
            <w:r>
              <w:rPr>
                <w:rFonts w:hint="eastAsia" w:ascii="宋体" w:hAnsi="宋体" w:eastAsia="宋体" w:cs="宋体"/>
                <w:color w:val="auto"/>
                <w:sz w:val="21"/>
                <w:szCs w:val="21"/>
                <w:highlight w:val="none"/>
                <w:lang w:val="en-US" w:eastAsia="zh-CN"/>
              </w:rPr>
              <w:t>（共有5项，每项满分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0A8386BD">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以上5项食品质量、安全及卫生管理方案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食品质量、安全及卫生管理方案</w:t>
            </w:r>
            <w:r>
              <w:rPr>
                <w:rFonts w:hint="eastAsia" w:ascii="宋体" w:hAnsi="宋体" w:eastAsia="宋体" w:cs="宋体"/>
                <w:color w:val="auto"/>
                <w:sz w:val="21"/>
                <w:szCs w:val="21"/>
                <w:highlight w:val="none"/>
                <w:lang w:val="en-US" w:eastAsia="zh-CN"/>
              </w:rPr>
              <w:t>充分满足项目需求，内容完整、科学有效且可操作性强，完全满足项目需求该项得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3C2747B8">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以上5项食品质量、安全及卫生管理方案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食品质量、安全及卫生管理方案</w:t>
            </w:r>
            <w:r>
              <w:rPr>
                <w:rFonts w:hint="eastAsia" w:ascii="宋体" w:hAnsi="宋体" w:eastAsia="宋体" w:cs="宋体"/>
                <w:color w:val="auto"/>
                <w:sz w:val="21"/>
                <w:szCs w:val="21"/>
                <w:highlight w:val="none"/>
                <w:lang w:val="en-US" w:eastAsia="zh-CN"/>
              </w:rPr>
              <w:t>满足项目需求，内容较完整有可操作性，但有瑕疵的该项得</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1BD052C1">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3.以上5项食品质量、安全及卫生管理方案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食品质量、安全及卫生管理方案</w:t>
            </w:r>
            <w:r>
              <w:rPr>
                <w:rFonts w:hint="eastAsia" w:ascii="宋体" w:hAnsi="宋体" w:eastAsia="宋体" w:cs="宋体"/>
                <w:color w:val="auto"/>
                <w:sz w:val="21"/>
                <w:szCs w:val="21"/>
                <w:highlight w:val="none"/>
                <w:lang w:val="en-US" w:eastAsia="zh-CN"/>
              </w:rPr>
              <w:t>基本满足项目需求，内容完整性一般，可操作性较弱，存在明显瑕疵但不影响核心实施的，该项得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p>
          <w:p w14:paraId="4C23EB18">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4.以上5项食品质量、安全及卫生管理方案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食品质量、安全及卫生管理方案勉强满足项目需求核心要点</w:t>
            </w:r>
            <w:r>
              <w:rPr>
                <w:rFonts w:hint="eastAsia" w:ascii="宋体" w:hAnsi="宋体" w:eastAsia="宋体" w:cs="宋体"/>
                <w:color w:val="auto"/>
                <w:sz w:val="21"/>
                <w:szCs w:val="21"/>
                <w:highlight w:val="none"/>
                <w:lang w:val="en-US" w:eastAsia="zh-CN"/>
              </w:rPr>
              <w:t>，内容不完整，可操作性差，存在严重瑕疵可能影响实施效果的，该项得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w:t>
            </w:r>
          </w:p>
          <w:p w14:paraId="572B8EC0">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以上5项食品质量、安全及卫生管理方案</w:t>
            </w:r>
            <w:r>
              <w:rPr>
                <w:rFonts w:hint="eastAsia" w:ascii="宋体" w:hAnsi="宋体" w:eastAsia="宋体" w:cs="宋体"/>
                <w:color w:val="auto"/>
                <w:sz w:val="21"/>
                <w:szCs w:val="21"/>
                <w:highlight w:val="none"/>
                <w:lang w:val="en-US" w:eastAsia="zh-CN"/>
              </w:rPr>
              <w:t>每缺少一项</w:t>
            </w:r>
            <w:r>
              <w:rPr>
                <w:rFonts w:hint="eastAsia" w:ascii="宋体" w:hAnsi="宋体" w:cs="宋体"/>
                <w:color w:val="auto"/>
                <w:sz w:val="21"/>
                <w:szCs w:val="21"/>
                <w:highlight w:val="none"/>
                <w:lang w:val="en-US" w:eastAsia="zh-CN"/>
              </w:rPr>
              <w:t>食品质量、安全及卫生管理方案</w:t>
            </w:r>
            <w:r>
              <w:rPr>
                <w:rFonts w:hint="eastAsia" w:ascii="宋体" w:hAnsi="宋体" w:eastAsia="宋体" w:cs="宋体"/>
                <w:color w:val="auto"/>
                <w:sz w:val="21"/>
                <w:szCs w:val="21"/>
                <w:highlight w:val="none"/>
                <w:lang w:val="en-US" w:eastAsia="zh-CN"/>
              </w:rPr>
              <w:t>内容的该项得0分。</w:t>
            </w:r>
          </w:p>
          <w:p w14:paraId="5D386C23">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未提供此部分内容的不得分。</w:t>
            </w:r>
          </w:p>
          <w:p w14:paraId="05181888">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缺陷或瑕疵是指内容不齐全或过于简略；低于招标文件要求；相关表述存在与项目实际不符或其他不匹配的内容；前后存在语义不清或逻辑性错误等任意一项类似缺陷或瑕疵；相关内容可操作性或针对性较差等。</w:t>
            </w:r>
          </w:p>
        </w:tc>
      </w:tr>
      <w:tr w14:paraId="64356D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vMerge w:val="continue"/>
            <w:tcBorders>
              <w:tl2br w:val="nil"/>
              <w:tr2bl w:val="nil"/>
            </w:tcBorders>
            <w:noWrap w:val="0"/>
            <w:vAlign w:val="center"/>
          </w:tcPr>
          <w:p w14:paraId="6BFE2C1C">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p>
        </w:tc>
        <w:tc>
          <w:tcPr>
            <w:tcW w:w="2127" w:type="dxa"/>
            <w:vMerge w:val="continue"/>
            <w:tcBorders>
              <w:tl2br w:val="nil"/>
              <w:tr2bl w:val="nil"/>
            </w:tcBorders>
            <w:noWrap w:val="0"/>
            <w:vAlign w:val="center"/>
          </w:tcPr>
          <w:p w14:paraId="38F3C343">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p>
        </w:tc>
        <w:tc>
          <w:tcPr>
            <w:tcW w:w="6816" w:type="dxa"/>
            <w:tcBorders>
              <w:tl2br w:val="nil"/>
              <w:tr2bl w:val="nil"/>
            </w:tcBorders>
            <w:noWrap w:val="0"/>
            <w:vAlign w:val="center"/>
          </w:tcPr>
          <w:p w14:paraId="01822822">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（3）拟投入本项目的技术实力（项目组织团队）评审（满分10分）</w:t>
            </w:r>
          </w:p>
          <w:p w14:paraId="702A9A16">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第一档次（10分）：拟投入本项目的技术实力（项目组织团队）极强，人员搭配科学精准，职责分工清晰明确且无重叠，资料提供完整详尽。</w:t>
            </w:r>
          </w:p>
          <w:p w14:paraId="493AA436">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第二档次（8分）：拟投入本项目的技术实力（项目组织团队）较强，人员搭配合理有序，职责分工明确，资料提供齐全规范。</w:t>
            </w:r>
          </w:p>
          <w:p w14:paraId="787181A9">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第三档次（6分）：拟投入本项目的技术实力（项目组织团队）一般，人员搭配基本合理，职责分工基本明确，资料提供基本齐全。</w:t>
            </w:r>
          </w:p>
          <w:p w14:paraId="31948A1A">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第四档次（4分）：拟投入本项目的技术实力（项目组织团队）较弱，人员搭配存在一定不合理性，职责分工不够清晰，资料提供存在少量缺失。</w:t>
            </w:r>
          </w:p>
          <w:p w14:paraId="204054DE">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第五档次（2分）：拟投入本项目的技术实力（项目组织团队）极弱，人员搭配混乱，职责分工模糊不清，资料提供严重缺失或不规范。</w:t>
            </w:r>
          </w:p>
          <w:p w14:paraId="6578E1AD">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第六档次（0分）：未提供任何与本项目相关的组织团队信息。</w:t>
            </w:r>
          </w:p>
          <w:p w14:paraId="25604A41">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注：投标文件中须提供项目实施团队人员配备表及相对应人员资料扫描件，人员资料包括身份证、健康证、职业资格证书（如有）；配送人员还应提供驾驶证；无人员资料或人员资料不明确、不齐全、无法体现对应内容的不予认可。</w:t>
            </w:r>
          </w:p>
        </w:tc>
      </w:tr>
      <w:tr w14:paraId="1006B9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vMerge w:val="continue"/>
            <w:tcBorders>
              <w:tl2br w:val="nil"/>
              <w:tr2bl w:val="nil"/>
            </w:tcBorders>
            <w:noWrap w:val="0"/>
            <w:vAlign w:val="center"/>
          </w:tcPr>
          <w:p w14:paraId="73CEFD1A">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p>
        </w:tc>
        <w:tc>
          <w:tcPr>
            <w:tcW w:w="2127" w:type="dxa"/>
            <w:vMerge w:val="continue"/>
            <w:tcBorders>
              <w:tl2br w:val="nil"/>
              <w:tr2bl w:val="nil"/>
            </w:tcBorders>
            <w:noWrap w:val="0"/>
            <w:vAlign w:val="center"/>
          </w:tcPr>
          <w:p w14:paraId="3D77EC5A">
            <w:pPr>
              <w:keepNext w:val="0"/>
              <w:keepLines w:val="0"/>
              <w:pageBreakBefore w:val="0"/>
              <w:widowControl w:val="0"/>
              <w:numPr>
                <w:ilvl w:val="0"/>
                <w:numId w:val="0"/>
              </w:numPr>
              <w:kinsoku/>
              <w:wordWrap/>
              <w:overflowPunct/>
              <w:topLinePunct w:val="0"/>
              <w:bidi w:val="0"/>
              <w:adjustRightInd/>
              <w:snapToGrid/>
              <w:spacing w:line="288"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p>
        </w:tc>
        <w:tc>
          <w:tcPr>
            <w:tcW w:w="6816" w:type="dxa"/>
            <w:tcBorders>
              <w:tl2br w:val="nil"/>
              <w:tr2bl w:val="nil"/>
            </w:tcBorders>
            <w:noWrap w:val="0"/>
            <w:vAlign w:val="center"/>
          </w:tcPr>
          <w:p w14:paraId="7689955F">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（4）拟投入本项目设备、仓库及配送车辆评审（满分10分）</w:t>
            </w:r>
          </w:p>
          <w:p w14:paraId="0C2616D4">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一档次（10分）：投标人拟投入本项目的设备、仓库及配送车辆极其完善，不仅种类与数量齐全，且搭配科学合理，能精准适配项目各环节需求；分工明确、协调计划细致全面，涵盖各类突发情况的应对方案；同时提供充分、有效的证明材料（如设备购置发票、仓库产权证明、车辆行驶证及运营资质等），可完全且高效地满足配送需求，甚至能应对超预期的配送任务。​</w:t>
            </w:r>
          </w:p>
          <w:p w14:paraId="5AB02C97">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二档次（8分）：投标人拟投入本项目的设备、仓库及配送车辆较为齐全，搭配基本合理，能覆盖项目主要配送环节；分工与协调计划较为完善，可满足常规配送场景的需求；提供的证明材料基本有效，能较好地满足配送需求，仅在极特殊情况下可能需要轻微调整。​</w:t>
            </w:r>
          </w:p>
          <w:p w14:paraId="1784E6B9">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三档次（6分）：投标人拟投入本项目的设备、仓库及配送车辆基本齐全，搭配存在少量不合理之处，但不影响核心配送流程；分工与协调计划有一定基础，但不够细致，对部分特殊场景考虑不足；提供的证明材料存在少许瑕疵（如部分材料时效性待确认），能基本满足配送需求，在复杂情况下可能需要临时协调。​</w:t>
            </w:r>
          </w:p>
          <w:p w14:paraId="650704D6">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四档次（4分）：投标人拟投入本项目的设备、仓库及配送车辆齐全性不足，存在明显缺项或数量短缺，搭配合理性较差，对部分配送环节支撑力度不够；分工与协调计划较为简略，缺乏可操作性；提供的证明材料不充分，仅能勉强满足最基础的配送需求，多数情况下需要外部资源补充。​</w:t>
            </w:r>
          </w:p>
          <w:p w14:paraId="6EC51E99">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五档次（2分）：投标人拟投入本项目的设备、仓库及配送车辆严重匮乏，无法覆盖项目关键配送环节，搭配混乱；未制定有效的分工与协调计划；提供的证明材料极少或无效，难以满足配送需求，存在严重影响项目进度的风险。</w:t>
            </w:r>
          </w:p>
          <w:p w14:paraId="34935015">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第六档次（0分）：未提供任何与本项目相关的设备、仓库及配送车辆信息。</w:t>
            </w:r>
          </w:p>
          <w:p w14:paraId="11385847">
            <w:pPr>
              <w:keepNext w:val="0"/>
              <w:keepLines w:val="0"/>
              <w:pageBreakBefore w:val="0"/>
              <w:widowControl w:val="0"/>
              <w:tabs>
                <w:tab w:val="left" w:pos="540"/>
              </w:tabs>
              <w:kinsoku/>
              <w:wordWrap/>
              <w:overflowPunct/>
              <w:topLinePunct w:val="0"/>
              <w:autoSpaceDE/>
              <w:autoSpaceDN/>
              <w:bidi w:val="0"/>
              <w:adjustRightInd/>
              <w:snapToGrid/>
              <w:spacing w:line="288" w:lineRule="auto"/>
              <w:ind w:left="0"/>
              <w:jc w:val="both"/>
              <w:textAlignment w:val="auto"/>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备注：设备、仓储提供相关证明材料（相关产权或租赁合同等）。无自有检验设备的单位，可提供具备检验资质单位合作协议书。配备车辆相关证明材料，如：行车证、租赁合同等。</w:t>
            </w:r>
          </w:p>
        </w:tc>
      </w:tr>
      <w:tr w14:paraId="7D6455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95" w:type="dxa"/>
            <w:vMerge w:val="restart"/>
            <w:tcBorders>
              <w:tl2br w:val="nil"/>
              <w:tr2bl w:val="nil"/>
            </w:tcBorders>
            <w:noWrap w:val="0"/>
            <w:vAlign w:val="center"/>
          </w:tcPr>
          <w:p w14:paraId="2212B5CD">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w:t>
            </w:r>
          </w:p>
        </w:tc>
        <w:tc>
          <w:tcPr>
            <w:tcW w:w="2127" w:type="dxa"/>
            <w:vMerge w:val="restart"/>
            <w:tcBorders>
              <w:tl2br w:val="nil"/>
              <w:tr2bl w:val="nil"/>
            </w:tcBorders>
            <w:noWrap w:val="0"/>
            <w:vAlign w:val="center"/>
          </w:tcPr>
          <w:p w14:paraId="44F275E6">
            <w:pPr>
              <w:keepNext w:val="0"/>
              <w:keepLines w:val="0"/>
              <w:pageBreakBefore w:val="0"/>
              <w:widowControl w:val="0"/>
              <w:shd w:val="clear" w:color="auto" w:fill="auto"/>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商务部分</w:t>
            </w:r>
            <w:r>
              <w:rPr>
                <w:rFonts w:hint="eastAsia" w:ascii="宋体" w:hAnsi="宋体" w:eastAsia="宋体" w:cs="宋体"/>
                <w:b/>
                <w:bCs/>
                <w:color w:val="auto"/>
                <w:sz w:val="21"/>
                <w:szCs w:val="21"/>
                <w:highlight w:val="none"/>
              </w:rPr>
              <w:t>得分F3</w:t>
            </w:r>
          </w:p>
          <w:p w14:paraId="7F5EBC76">
            <w:pPr>
              <w:keepNext w:val="0"/>
              <w:keepLines w:val="0"/>
              <w:pageBreakBefore w:val="0"/>
              <w:widowControl w:val="0"/>
              <w:shd w:val="clear" w:color="auto" w:fill="auto"/>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rPr>
              <w:t>（满分</w:t>
            </w:r>
            <w:r>
              <w:rPr>
                <w:rFonts w:hint="eastAsia" w:ascii="宋体" w:hAnsi="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分）</w:t>
            </w:r>
          </w:p>
        </w:tc>
        <w:tc>
          <w:tcPr>
            <w:tcW w:w="6816" w:type="dxa"/>
            <w:tcBorders>
              <w:tl2br w:val="nil"/>
              <w:tr2bl w:val="nil"/>
            </w:tcBorders>
            <w:shd w:val="clear" w:color="auto" w:fill="auto"/>
            <w:noWrap w:val="0"/>
            <w:vAlign w:val="center"/>
          </w:tcPr>
          <w:p w14:paraId="6E9E71FD">
            <w:pPr>
              <w:keepNext w:val="0"/>
              <w:keepLines w:val="0"/>
              <w:pageBreakBefore w:val="0"/>
              <w:widowControl w:val="0"/>
              <w:shd w:val="clear" w:color="auto" w:fill="auto"/>
              <w:kinsoku/>
              <w:wordWrap/>
              <w:overflowPunct/>
              <w:topLinePunct w:val="0"/>
              <w:autoSpaceDE/>
              <w:autoSpaceDN/>
              <w:bidi w:val="0"/>
              <w:adjustRightInd/>
              <w:snapToGrid/>
              <w:spacing w:line="288" w:lineRule="auto"/>
              <w:ind w:left="0" w:leftChars="0" w:right="0" w:rightChars="0" w:firstLine="0" w:firstLineChars="0"/>
              <w:jc w:val="left"/>
              <w:textAlignment w:val="auto"/>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（1）售后服务方案评审（满分10分）</w:t>
            </w:r>
          </w:p>
          <w:p w14:paraId="1954690F">
            <w:pPr>
              <w:keepNext w:val="0"/>
              <w:keepLines w:val="0"/>
              <w:pageBreakBefore w:val="0"/>
              <w:widowControl w:val="0"/>
              <w:shd w:val="clear" w:color="auto" w:fill="auto"/>
              <w:kinsoku/>
              <w:wordWrap/>
              <w:overflowPunct/>
              <w:topLinePunct w:val="0"/>
              <w:autoSpaceDE/>
              <w:autoSpaceDN/>
              <w:bidi w:val="0"/>
              <w:adjustRightInd/>
              <w:snapToGrid/>
              <w:spacing w:line="288" w:lineRule="auto"/>
              <w:ind w:left="0" w:leftChars="0" w:right="0" w:rightChars="0" w:firstLine="0" w:firstLineChars="0"/>
              <w:jc w:val="left"/>
              <w:textAlignment w:val="auto"/>
              <w:outlineLvl w:val="9"/>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投标人须提供符合采购需求的售后服务方案，至少包括：①售后服务保障措施；②售后服务团队人员；③售后问题响应与处理机制惩罚措施；④食材退换货保障措施及违约责任；⑤食材供应信息反馈（共有5项，每项满分2分）。</w:t>
            </w:r>
          </w:p>
          <w:p w14:paraId="116DF1A7">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以上5项售后服务方案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售后服务方案</w:t>
            </w:r>
            <w:r>
              <w:rPr>
                <w:rFonts w:hint="eastAsia" w:ascii="宋体" w:hAnsi="宋体" w:eastAsia="宋体" w:cs="宋体"/>
                <w:color w:val="auto"/>
                <w:sz w:val="21"/>
                <w:szCs w:val="21"/>
                <w:highlight w:val="none"/>
                <w:lang w:val="en-US" w:eastAsia="zh-CN"/>
              </w:rPr>
              <w:t>充分满足项目需求，内容完整、科学有效且可操作性强，完全满足项目需求该项得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679D7CC9">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以上5项售后服务方案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售后服务方案</w:t>
            </w:r>
            <w:r>
              <w:rPr>
                <w:rFonts w:hint="eastAsia" w:ascii="宋体" w:hAnsi="宋体" w:eastAsia="宋体" w:cs="宋体"/>
                <w:color w:val="auto"/>
                <w:sz w:val="21"/>
                <w:szCs w:val="21"/>
                <w:highlight w:val="none"/>
                <w:lang w:val="en-US" w:eastAsia="zh-CN"/>
              </w:rPr>
              <w:t>满足项目需求，内容较完整有可操作性，但有瑕疵的该项得</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20DE5503">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3.以上5项售后服务方案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售后服务方案</w:t>
            </w:r>
            <w:r>
              <w:rPr>
                <w:rFonts w:hint="eastAsia" w:ascii="宋体" w:hAnsi="宋体" w:eastAsia="宋体" w:cs="宋体"/>
                <w:color w:val="auto"/>
                <w:sz w:val="21"/>
                <w:szCs w:val="21"/>
                <w:highlight w:val="none"/>
                <w:lang w:val="en-US" w:eastAsia="zh-CN"/>
              </w:rPr>
              <w:t>基本满足项目需求，内容完整性一般，可操作性较弱，存在明显瑕疵但不影响核心实施的，该项得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p>
          <w:p w14:paraId="76DD8718">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4.以上5项售后服务方案</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售后服务方案勉强满足项目需求核心要点</w:t>
            </w:r>
            <w:r>
              <w:rPr>
                <w:rFonts w:hint="eastAsia" w:ascii="宋体" w:hAnsi="宋体" w:eastAsia="宋体" w:cs="宋体"/>
                <w:color w:val="auto"/>
                <w:sz w:val="21"/>
                <w:szCs w:val="21"/>
                <w:highlight w:val="none"/>
                <w:lang w:val="en-US" w:eastAsia="zh-CN"/>
              </w:rPr>
              <w:t>，内容不完整，可操作性差，存在严重瑕疵可能影响实施效果的，该项得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w:t>
            </w:r>
          </w:p>
          <w:p w14:paraId="33A8FB3E">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以上5项售后服务方案</w:t>
            </w:r>
            <w:r>
              <w:rPr>
                <w:rFonts w:hint="eastAsia" w:ascii="宋体" w:hAnsi="宋体" w:eastAsia="宋体" w:cs="宋体"/>
                <w:color w:val="auto"/>
                <w:sz w:val="21"/>
                <w:szCs w:val="21"/>
                <w:highlight w:val="none"/>
                <w:lang w:val="en-US" w:eastAsia="zh-CN"/>
              </w:rPr>
              <w:t>每缺少一项</w:t>
            </w:r>
            <w:r>
              <w:rPr>
                <w:rFonts w:hint="eastAsia" w:ascii="宋体" w:hAnsi="宋体" w:cs="宋体"/>
                <w:color w:val="auto"/>
                <w:sz w:val="21"/>
                <w:szCs w:val="21"/>
                <w:highlight w:val="none"/>
                <w:lang w:val="en-US" w:eastAsia="zh-CN"/>
              </w:rPr>
              <w:t>售后服务方案</w:t>
            </w:r>
            <w:r>
              <w:rPr>
                <w:rFonts w:hint="eastAsia" w:ascii="宋体" w:hAnsi="宋体" w:eastAsia="宋体" w:cs="宋体"/>
                <w:color w:val="auto"/>
                <w:sz w:val="21"/>
                <w:szCs w:val="21"/>
                <w:highlight w:val="none"/>
                <w:lang w:val="en-US" w:eastAsia="zh-CN"/>
              </w:rPr>
              <w:t>内容的该项得0分。</w:t>
            </w:r>
          </w:p>
          <w:p w14:paraId="5583D57B">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未提供此部分内容的不得分。</w:t>
            </w:r>
          </w:p>
          <w:p w14:paraId="7006F632">
            <w:pPr>
              <w:keepNext w:val="0"/>
              <w:keepLines w:val="0"/>
              <w:pageBreakBefore w:val="0"/>
              <w:widowControl w:val="0"/>
              <w:shd w:val="clear" w:color="auto" w:fill="auto"/>
              <w:kinsoku/>
              <w:wordWrap/>
              <w:overflowPunct/>
              <w:topLinePunct w:val="0"/>
              <w:autoSpaceDE/>
              <w:autoSpaceDN/>
              <w:bidi w:val="0"/>
              <w:adjustRightInd/>
              <w:snapToGrid/>
              <w:spacing w:line="288" w:lineRule="auto"/>
              <w:ind w:left="0" w:leftChars="0" w:right="0" w:rightChars="0" w:firstLine="0" w:firstLineChars="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注：缺陷或瑕疵是指内容不齐全或过于简略；低于招标文件要求；相关表述存在与项目实际不符或其他不匹配的内容；前后存在语义不清或逻辑性错误等任意一项类似缺陷或瑕疵；相关内容可操作性或针对性较差等。</w:t>
            </w:r>
          </w:p>
        </w:tc>
      </w:tr>
      <w:tr w14:paraId="4E6118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vMerge w:val="continue"/>
            <w:tcBorders>
              <w:tl2br w:val="nil"/>
              <w:tr2bl w:val="nil"/>
            </w:tcBorders>
            <w:noWrap w:val="0"/>
            <w:vAlign w:val="center"/>
          </w:tcPr>
          <w:p w14:paraId="542A2A15">
            <w:pPr>
              <w:keepNext w:val="0"/>
              <w:keepLines w:val="0"/>
              <w:pageBreakBefore w:val="0"/>
              <w:widowControl w:val="0"/>
              <w:kinsoku/>
              <w:wordWrap/>
              <w:overflowPunct/>
              <w:topLinePunct w:val="0"/>
              <w:autoSpaceDE w:val="0"/>
              <w:autoSpaceDN w:val="0"/>
              <w:bidi w:val="0"/>
              <w:adjustRightInd/>
              <w:snapToGrid/>
              <w:spacing w:line="288" w:lineRule="auto"/>
              <w:ind w:left="0" w:leftChars="0" w:right="0" w:rightChars="0"/>
              <w:jc w:val="both"/>
              <w:textAlignment w:val="auto"/>
              <w:rPr>
                <w:rFonts w:hint="eastAsia" w:ascii="宋体" w:hAnsi="宋体" w:eastAsia="宋体" w:cs="宋体"/>
                <w:b w:val="0"/>
                <w:bCs w:val="0"/>
                <w:color w:val="auto"/>
                <w:sz w:val="21"/>
                <w:szCs w:val="21"/>
                <w:highlight w:val="none"/>
                <w:lang w:val="en-US" w:eastAsia="zh-CN"/>
              </w:rPr>
            </w:pPr>
          </w:p>
        </w:tc>
        <w:tc>
          <w:tcPr>
            <w:tcW w:w="2127" w:type="dxa"/>
            <w:vMerge w:val="continue"/>
            <w:tcBorders>
              <w:tl2br w:val="nil"/>
              <w:tr2bl w:val="nil"/>
            </w:tcBorders>
            <w:noWrap w:val="0"/>
            <w:vAlign w:val="center"/>
          </w:tcPr>
          <w:p w14:paraId="7323CB94">
            <w:pPr>
              <w:keepNext w:val="0"/>
              <w:keepLines w:val="0"/>
              <w:pageBreakBefore w:val="0"/>
              <w:widowControl w:val="0"/>
              <w:shd w:val="clear" w:color="auto" w:fill="auto"/>
              <w:kinsoku/>
              <w:wordWrap/>
              <w:overflowPunct/>
              <w:topLinePunct w:val="0"/>
              <w:autoSpaceDE/>
              <w:autoSpaceDN/>
              <w:bidi w:val="0"/>
              <w:adjustRightInd/>
              <w:snapToGrid/>
              <w:spacing w:line="288" w:lineRule="auto"/>
              <w:ind w:left="0"/>
              <w:jc w:val="center"/>
              <w:textAlignment w:val="auto"/>
              <w:rPr>
                <w:rFonts w:hint="eastAsia" w:ascii="宋体" w:hAnsi="宋体" w:eastAsia="宋体" w:cs="宋体"/>
                <w:b/>
                <w:bCs/>
                <w:color w:val="auto"/>
                <w:kern w:val="2"/>
                <w:sz w:val="21"/>
                <w:szCs w:val="21"/>
                <w:highlight w:val="none"/>
                <w:lang w:val="en-US" w:eastAsia="zh-CN" w:bidi="ar-SA"/>
              </w:rPr>
            </w:pPr>
          </w:p>
        </w:tc>
        <w:tc>
          <w:tcPr>
            <w:tcW w:w="6816" w:type="dxa"/>
            <w:tcBorders>
              <w:tl2br w:val="nil"/>
              <w:tr2bl w:val="nil"/>
            </w:tcBorders>
            <w:shd w:val="clear" w:color="auto" w:fill="auto"/>
            <w:noWrap w:val="0"/>
            <w:vAlign w:val="center"/>
          </w:tcPr>
          <w:p w14:paraId="09A63710">
            <w:pPr>
              <w:keepNext w:val="0"/>
              <w:keepLines w:val="0"/>
              <w:pageBreakBefore w:val="0"/>
              <w:widowControl w:val="0"/>
              <w:kinsoku/>
              <w:overflowPunct/>
              <w:topLinePunct w:val="0"/>
              <w:autoSpaceDE/>
              <w:autoSpaceDN/>
              <w:bidi w:val="0"/>
              <w:adjustRightInd/>
              <w:snapToGrid/>
              <w:spacing w:line="288" w:lineRule="auto"/>
              <w:ind w:left="0"/>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（2）应急方案及措施评审（满分10分）</w:t>
            </w:r>
          </w:p>
          <w:p w14:paraId="7B3125EF">
            <w:pPr>
              <w:keepNext w:val="0"/>
              <w:keepLines w:val="0"/>
              <w:pageBreakBefore w:val="0"/>
              <w:widowControl w:val="0"/>
              <w:kinsoku/>
              <w:overflowPunct/>
              <w:topLinePunct w:val="0"/>
              <w:autoSpaceDE/>
              <w:autoSpaceDN/>
              <w:bidi w:val="0"/>
              <w:adjustRightInd/>
              <w:snapToGrid/>
              <w:spacing w:line="288" w:lineRule="auto"/>
              <w:ind w:left="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投标人须提供符合采购需求的应急方案及措施，至少包括：①食品安全事故应急方案及措施；②原材料断货应急方案及措施；③临时配送应急方案及措施；④食材质量不达标应急方案及措施；⑤突发公共卫生事件应急方案及措施（共有5项，每项满分2分）。</w:t>
            </w:r>
          </w:p>
          <w:p w14:paraId="25566081">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以上5项应急方案及措施</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应急方案及措施</w:t>
            </w:r>
            <w:r>
              <w:rPr>
                <w:rFonts w:hint="eastAsia" w:ascii="宋体" w:hAnsi="宋体" w:eastAsia="宋体" w:cs="宋体"/>
                <w:color w:val="auto"/>
                <w:sz w:val="21"/>
                <w:szCs w:val="21"/>
                <w:highlight w:val="none"/>
                <w:lang w:val="en-US" w:eastAsia="zh-CN"/>
              </w:rPr>
              <w:t>充分满足项目需求，内容完整、科学有效且可操作性强，完全满足项目需求该项得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1C969815">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以上5项应急方案及措施</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应急方案及措施</w:t>
            </w:r>
            <w:r>
              <w:rPr>
                <w:rFonts w:hint="eastAsia" w:ascii="宋体" w:hAnsi="宋体" w:eastAsia="宋体" w:cs="宋体"/>
                <w:color w:val="auto"/>
                <w:sz w:val="21"/>
                <w:szCs w:val="21"/>
                <w:highlight w:val="none"/>
                <w:lang w:val="en-US" w:eastAsia="zh-CN"/>
              </w:rPr>
              <w:t>满足项目需求，内容较完整有可操作性，但有瑕疵的该项得</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zh-CN"/>
              </w:rPr>
              <w:t>分；</w:t>
            </w:r>
          </w:p>
          <w:p w14:paraId="043621EB">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3.以上5项应急方案及措施</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应急方案及措施</w:t>
            </w:r>
            <w:r>
              <w:rPr>
                <w:rFonts w:hint="eastAsia" w:ascii="宋体" w:hAnsi="宋体" w:eastAsia="宋体" w:cs="宋体"/>
                <w:color w:val="auto"/>
                <w:sz w:val="21"/>
                <w:szCs w:val="21"/>
                <w:highlight w:val="none"/>
                <w:lang w:val="en-US" w:eastAsia="zh-CN"/>
              </w:rPr>
              <w:t>基本满足项目需求，内容完整性一般，可操作性较弱，存在明显瑕疵但不影响核心实施的，该项得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w:t>
            </w:r>
          </w:p>
          <w:p w14:paraId="2C1C2BDD">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4.以上5项应急方案及措施</w:t>
            </w:r>
            <w:r>
              <w:rPr>
                <w:rFonts w:hint="eastAsia" w:ascii="宋体" w:hAnsi="宋体" w:eastAsia="宋体" w:cs="宋体"/>
                <w:color w:val="auto"/>
                <w:sz w:val="21"/>
                <w:szCs w:val="21"/>
                <w:highlight w:val="none"/>
                <w:lang w:val="en-US" w:eastAsia="zh-CN"/>
              </w:rPr>
              <w:t>每有一项</w:t>
            </w:r>
            <w:r>
              <w:rPr>
                <w:rFonts w:hint="eastAsia" w:ascii="宋体" w:hAnsi="宋体" w:cs="宋体"/>
                <w:color w:val="auto"/>
                <w:sz w:val="21"/>
                <w:szCs w:val="21"/>
                <w:highlight w:val="none"/>
                <w:lang w:val="en-US" w:eastAsia="zh-CN"/>
              </w:rPr>
              <w:t>应急方案及措施勉强满足项目需求核心要点</w:t>
            </w:r>
            <w:r>
              <w:rPr>
                <w:rFonts w:hint="eastAsia" w:ascii="宋体" w:hAnsi="宋体" w:eastAsia="宋体" w:cs="宋体"/>
                <w:color w:val="auto"/>
                <w:sz w:val="21"/>
                <w:szCs w:val="21"/>
                <w:highlight w:val="none"/>
                <w:lang w:val="en-US" w:eastAsia="zh-CN"/>
              </w:rPr>
              <w:t>，内容不完整，可操作性差，存在严重瑕疵可能影响实施效果的，该项得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lang w:val="en-US" w:eastAsia="zh-CN"/>
              </w:rPr>
              <w:t>分；</w:t>
            </w:r>
          </w:p>
          <w:p w14:paraId="5293E07D">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以上5项应急方案及措施</w:t>
            </w:r>
            <w:r>
              <w:rPr>
                <w:rFonts w:hint="eastAsia" w:ascii="宋体" w:hAnsi="宋体" w:eastAsia="宋体" w:cs="宋体"/>
                <w:color w:val="auto"/>
                <w:sz w:val="21"/>
                <w:szCs w:val="21"/>
                <w:highlight w:val="none"/>
                <w:lang w:val="en-US" w:eastAsia="zh-CN"/>
              </w:rPr>
              <w:t>每缺少一项</w:t>
            </w:r>
            <w:r>
              <w:rPr>
                <w:rFonts w:hint="eastAsia" w:ascii="宋体" w:hAnsi="宋体" w:cs="宋体"/>
                <w:color w:val="auto"/>
                <w:sz w:val="21"/>
                <w:szCs w:val="21"/>
                <w:highlight w:val="none"/>
                <w:lang w:val="en-US" w:eastAsia="zh-CN"/>
              </w:rPr>
              <w:t>应急方案及措施</w:t>
            </w:r>
            <w:r>
              <w:rPr>
                <w:rFonts w:hint="eastAsia" w:ascii="宋体" w:hAnsi="宋体" w:eastAsia="宋体" w:cs="宋体"/>
                <w:color w:val="auto"/>
                <w:sz w:val="21"/>
                <w:szCs w:val="21"/>
                <w:highlight w:val="none"/>
                <w:lang w:val="en-US" w:eastAsia="zh-CN"/>
              </w:rPr>
              <w:t>内容的该项得0分。</w:t>
            </w:r>
          </w:p>
          <w:p w14:paraId="7395EF24">
            <w:pPr>
              <w:keepNext w:val="0"/>
              <w:keepLines w:val="0"/>
              <w:pageBreakBefore w:val="0"/>
              <w:widowControl w:val="0"/>
              <w:kinsoku/>
              <w:wordWrap w:val="0"/>
              <w:overflowPunct/>
              <w:topLinePunct w:val="0"/>
              <w:autoSpaceDE/>
              <w:autoSpaceDN/>
              <w:bidi w:val="0"/>
              <w:adjustRightInd/>
              <w:snapToGrid/>
              <w:spacing w:line="288" w:lineRule="auto"/>
              <w:ind w:left="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未提供此部分内容的不得分。</w:t>
            </w:r>
          </w:p>
          <w:p w14:paraId="30665B67">
            <w:pPr>
              <w:keepNext w:val="0"/>
              <w:keepLines w:val="0"/>
              <w:pageBreakBefore w:val="0"/>
              <w:widowControl w:val="0"/>
              <w:kinsoku/>
              <w:overflowPunct/>
              <w:topLinePunct w:val="0"/>
              <w:autoSpaceDE/>
              <w:autoSpaceDN/>
              <w:bidi w:val="0"/>
              <w:adjustRightInd/>
              <w:snapToGrid/>
              <w:spacing w:line="288" w:lineRule="auto"/>
              <w:ind w:left="0" w:lef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注：缺陷或瑕疵是指内容不齐全或过于简略；低于招标文件要求；相关表述存在与项目实际不符或其他不匹配的内容；前后存在语义不清或逻辑性错误等任意一项类似缺陷或瑕疵；相关内容可操作性或针对性较差等。</w:t>
            </w:r>
          </w:p>
        </w:tc>
      </w:tr>
    </w:tbl>
    <w:p w14:paraId="0C0C4F6E">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八、中标候选供应商推荐</w:t>
      </w:r>
    </w:p>
    <w:p w14:paraId="0E70ABDD">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推荐中标候选供应商名单。中标候选供应商数量应当根据采购需要确定，但必须按顺序排列中标候选供应商。采用综合评分法的，评标结果按评审后得分由高到低顺序排列。得分相同的，按投标报价由低到高顺序排列。得分且报价相同的，按技术部分得分由高到低顺序排列，评审得分最高的供应商为第一的中标候选人。</w:t>
      </w:r>
    </w:p>
    <w:p w14:paraId="61173E38">
      <w:pPr>
        <w:pStyle w:val="2"/>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九、评标报告</w:t>
      </w:r>
    </w:p>
    <w:p w14:paraId="53E4A225">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460" w:firstLineChars="200"/>
        <w:jc w:val="both"/>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val="en-US" w:eastAsia="zh-CN"/>
        </w:rPr>
        <w:t>9</w:t>
      </w:r>
      <w:r>
        <w:rPr>
          <w:rFonts w:hint="eastAsia" w:ascii="宋体" w:hAnsi="宋体" w:eastAsia="宋体" w:cs="宋体"/>
          <w:color w:val="auto"/>
          <w:spacing w:val="10"/>
          <w:sz w:val="21"/>
          <w:szCs w:val="21"/>
          <w:highlight w:val="none"/>
        </w:rPr>
        <w:t>.1评标报告由评标委员会全体成员签字。对评标结论持有异议的评标委员会成员可以用书面方式阐述不同意见和理由。评标委员会成员拒绝在评标报告上签字且不陈述其不同意见和理由的，可视为同意评标结论。评标委员会将对此做出书面说明并记录在案。</w:t>
      </w:r>
    </w:p>
    <w:p w14:paraId="1701B4C2">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.2采购人根据评标委员会书面评标报告，确定中标人。</w:t>
      </w:r>
      <w:bookmarkEnd w:id="114"/>
      <w:bookmarkEnd w:id="115"/>
    </w:p>
    <w:sectPr>
      <w:footerReference r:id="rId11" w:type="default"/>
      <w:pgSz w:w="11906" w:h="16838"/>
      <w:pgMar w:top="1417" w:right="1417" w:bottom="1417" w:left="1417" w:header="850" w:footer="992" w:gutter="0"/>
      <w:pgNumType w:fmt="numberInDash"/>
      <w:cols w:space="708"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Romani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auto"/>
    <w:pitch w:val="default"/>
    <w:sig w:usb0="E00006FF" w:usb1="0000FCFF" w:usb2="00000001" w:usb3="00000000" w:csb0="6000019F" w:csb1="DFD7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DejaVu Math TeX Gyre"/>
    <w:panose1 w:val="00000000000000000000"/>
    <w:charset w:val="00"/>
    <w:family w:val="auto"/>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8F0B5">
    <w:pPr>
      <w:pStyle w:val="20"/>
      <w:tabs>
        <w:tab w:val="left" w:pos="4918"/>
        <w:tab w:val="clear" w:pos="4153"/>
      </w:tabs>
      <w:ind w:right="360"/>
      <w:jc w:val="both"/>
      <w:rPr>
        <w:rFonts w:hint="eastAsia"/>
      </w:rPr>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A6129">
    <w:pPr>
      <w:pStyle w:val="20"/>
      <w:framePr w:wrap="around" w:vAnchor="text" w:hAnchor="margin" w:xAlign="center" w:y="1"/>
      <w:rPr>
        <w:rStyle w:val="36"/>
      </w:rPr>
    </w:pPr>
    <w:r>
      <w:fldChar w:fldCharType="begin"/>
    </w:r>
    <w:r>
      <w:rPr>
        <w:rStyle w:val="36"/>
      </w:rPr>
      <w:instrText xml:space="preserve">PAGE  </w:instrText>
    </w:r>
    <w:r>
      <w:fldChar w:fldCharType="separate"/>
    </w:r>
    <w:r>
      <w:rPr>
        <w:rStyle w:val="36"/>
      </w:rPr>
      <w:t>44</w:t>
    </w:r>
    <w:r>
      <w:fldChar w:fldCharType="end"/>
    </w:r>
  </w:p>
  <w:p w14:paraId="0567537F">
    <w:pPr>
      <w:pStyle w:val="20"/>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14:paraId="01601F9E">
                          <w:pPr>
                            <w:pStyle w:val="20"/>
                            <w:rPr>
                              <w:rStyle w:val="36"/>
                              <w:sz w:val="21"/>
                            </w:rPr>
                          </w:pPr>
                          <w:r>
                            <w:rPr>
                              <w:sz w:val="21"/>
                            </w:rPr>
                            <w:fldChar w:fldCharType="begin"/>
                          </w:r>
                          <w:r>
                            <w:rPr>
                              <w:rStyle w:val="36"/>
                              <w:sz w:val="21"/>
                            </w:rPr>
                            <w:instrText xml:space="preserve">Page</w:instrText>
                          </w:r>
                          <w:r>
                            <w:rPr>
                              <w:sz w:val="21"/>
                            </w:rPr>
                            <w:fldChar w:fldCharType="separate"/>
                          </w:r>
                          <w:r>
                            <w:rPr>
                              <w:rStyle w:val="36"/>
                              <w:sz w:val="21"/>
                            </w:rPr>
                            <w:t>44</w:t>
                          </w:r>
                          <w:r>
                            <w:rPr>
                              <w:sz w:val="21"/>
                            </w:rPr>
                            <w:fldChar w:fldCharType="end"/>
                          </w:r>
                        </w:p>
                      </w:txbxContent>
                    </wps:txbx>
                    <wps:bodyPr wrap="square" lIns="0" tIns="0" rIns="0" bIns="0" upright="1"/>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0n7CvT&#10;AAAAAwEAAA8AAAAAAAAAAQAgAAAAIgAAAGRycy9kb3ducmV2LnhtbFBLAQIUABQAAAAIAIdO4kAI&#10;5UztswEAAH0DAAAOAAAAAAAAAAEAIAAAACIBAABkcnMvZTJvRG9jLnhtbFBLBQYAAAAABgAGAFkB&#10;AABHBQAAAAA=&#10;">
              <v:fill on="f" focussize="0,0"/>
              <v:stroke on="f"/>
              <v:imagedata o:title=""/>
              <o:lock v:ext="edit" aspectratio="f"/>
              <v:textbox inset="0mm,0mm,0mm,0mm">
                <w:txbxContent>
                  <w:p w14:paraId="01601F9E">
                    <w:pPr>
                      <w:pStyle w:val="20"/>
                      <w:rPr>
                        <w:rStyle w:val="36"/>
                        <w:sz w:val="21"/>
                      </w:rPr>
                    </w:pPr>
                    <w:r>
                      <w:rPr>
                        <w:sz w:val="21"/>
                      </w:rPr>
                      <w:fldChar w:fldCharType="begin"/>
                    </w:r>
                    <w:r>
                      <w:rPr>
                        <w:rStyle w:val="36"/>
                        <w:sz w:val="21"/>
                      </w:rPr>
                      <w:instrText xml:space="preserve">Page</w:instrText>
                    </w:r>
                    <w:r>
                      <w:rPr>
                        <w:sz w:val="21"/>
                      </w:rPr>
                      <w:fldChar w:fldCharType="separate"/>
                    </w:r>
                    <w:r>
                      <w:rPr>
                        <w:rStyle w:val="36"/>
                        <w:sz w:val="21"/>
                      </w:rPr>
                      <w:t>44</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506CC">
    <w:pPr>
      <w:pStyle w:val="20"/>
      <w:tabs>
        <w:tab w:val="center" w:pos="4536"/>
        <w:tab w:val="clear" w:pos="4153"/>
      </w:tabs>
      <w:ind w:right="360"/>
    </w:pP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DCAE8">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8956F">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08956F">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9BD2D">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F3F5C">
                          <w:pPr>
                            <w:pStyle w:val="2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37F3F5C">
                    <w:pPr>
                      <w:pStyle w:val="2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29416">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780F75">
                          <w:pPr>
                            <w:pStyle w:val="2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7780F75">
                    <w:pPr>
                      <w:pStyle w:val="2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59381">
    <w:pPr>
      <w:pStyle w:val="2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A7F64">
                          <w:pPr>
                            <w:pStyle w:val="2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B4A7F64">
                    <w:pPr>
                      <w:pStyle w:val="2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081A2">
    <w:pPr>
      <w:pStyle w:val="20"/>
      <w:ind w:right="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0A1EBF">
                          <w:pPr>
                            <w:pStyle w:val="2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A0A1EBF">
                    <w:pPr>
                      <w:pStyle w:val="2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215E1">
    <w:pPr>
      <w:pStyle w:val="21"/>
      <w:pBdr>
        <w:bottom w:val="dotted" w:color="auto" w:sz="4" w:space="0"/>
      </w:pBdr>
      <w:jc w:val="both"/>
      <w:rPr>
        <w:rFonts w:hint="eastAsia" w:ascii="宋体" w:hAnsi="宋体" w:eastAsia="宋体" w:cs="宋体"/>
        <w:b/>
        <w:bCs/>
        <w:lang w:val="en-US" w:eastAsia="zh-CN"/>
      </w:rPr>
    </w:pPr>
    <w:r>
      <w:rPr>
        <w:sz w:val="18"/>
      </w:rPr>
      <w:drawing>
        <wp:anchor distT="0" distB="0" distL="114300" distR="114300" simplePos="0" relativeHeight="251661312" behindDoc="1" locked="0" layoutInCell="1" allowOverlap="1">
          <wp:simplePos x="0" y="0"/>
          <wp:positionH relativeFrom="margin">
            <wp:align>center</wp:align>
          </wp:positionH>
          <wp:positionV relativeFrom="margin">
            <wp:align>center</wp:align>
          </wp:positionV>
          <wp:extent cx="3228975" cy="3243580"/>
          <wp:effectExtent l="0" t="0" r="0" b="0"/>
          <wp:wrapNone/>
          <wp:docPr id="4" name="WordPictureWatermark34187"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34187" descr="图片4"/>
                  <pic:cNvPicPr>
                    <a:picLocks noChangeAspect="1"/>
                  </pic:cNvPicPr>
                </pic:nvPicPr>
                <pic:blipFill>
                  <a:blip r:embed="rId1">
                    <a:lum bright="69998" contrast="-70001"/>
                  </a:blip>
                  <a:stretch>
                    <a:fillRect/>
                  </a:stretch>
                </pic:blipFill>
                <pic:spPr>
                  <a:xfrm>
                    <a:off x="0" y="0"/>
                    <a:ext cx="3228975" cy="3243580"/>
                  </a:xfrm>
                  <a:prstGeom prst="rect">
                    <a:avLst/>
                  </a:prstGeom>
                  <a:noFill/>
                  <a:ln>
                    <a:noFill/>
                  </a:ln>
                </pic:spPr>
              </pic:pic>
            </a:graphicData>
          </a:graphic>
        </wp:anchor>
      </w:drawing>
    </w:r>
    <w:r>
      <w:rPr>
        <w:rFonts w:hint="eastAsia" w:eastAsia="宋体"/>
        <w:lang w:eastAsia="zh-CN"/>
      </w:rPr>
      <w:drawing>
        <wp:inline distT="0" distB="0" distL="114300" distR="114300">
          <wp:extent cx="523875" cy="521970"/>
          <wp:effectExtent l="0" t="0" r="9525" b="11430"/>
          <wp:docPr id="3" name="图片 3" descr="lou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ugo2"/>
                  <pic:cNvPicPr>
                    <a:picLocks noChangeAspect="1"/>
                  </pic:cNvPicPr>
                </pic:nvPicPr>
                <pic:blipFill>
                  <a:blip r:embed="rId2"/>
                  <a:stretch>
                    <a:fillRect/>
                  </a:stretch>
                </pic:blipFill>
                <pic:spPr>
                  <a:xfrm>
                    <a:off x="0" y="0"/>
                    <a:ext cx="523875" cy="521970"/>
                  </a:xfrm>
                  <a:prstGeom prst="rect">
                    <a:avLst/>
                  </a:prstGeom>
                </pic:spPr>
              </pic:pic>
            </a:graphicData>
          </a:graphic>
        </wp:inline>
      </w:drawing>
    </w:r>
    <w:r>
      <w:rPr>
        <w:rFonts w:hint="eastAsia"/>
        <w:lang w:val="en-US" w:eastAsia="zh-CN"/>
      </w:rPr>
      <w:t xml:space="preserve">                                              </w:t>
    </w:r>
    <w:r>
      <w:rPr>
        <w:rFonts w:hint="eastAsia" w:ascii="宋体" w:hAnsi="宋体" w:eastAsia="宋体" w:cs="宋体"/>
        <w:b/>
        <w:bCs/>
        <w:lang w:val="en-US" w:eastAsia="zh-CN"/>
      </w:rPr>
      <w:t>临翔区2026年学校学生食堂食材采购项目招标文件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lvlText w:val="%1."/>
      <w:lvlJc w:val="left"/>
      <w:pPr>
        <w:ind w:left="425" w:hanging="425"/>
      </w:pPr>
    </w:lvl>
    <w:lvl w:ilvl="1" w:tentative="0">
      <w:start w:val="1"/>
      <w:numFmt w:val="decimal"/>
      <w:lvlText w:val="%1.%2."/>
      <w:lvlJc w:val="left"/>
      <w:pPr>
        <w:ind w:left="850" w:hanging="425"/>
      </w:pPr>
    </w:lvl>
    <w:lvl w:ilvl="2" w:tentative="0">
      <w:start w:val="1"/>
      <w:numFmt w:val="decimal"/>
      <w:lvlText w:val="%1.%2.%3."/>
      <w:lvlJc w:val="left"/>
      <w:pPr>
        <w:ind w:left="1275" w:hanging="425"/>
      </w:pPr>
    </w:lvl>
    <w:lvl w:ilvl="3" w:tentative="0">
      <w:start w:val="1"/>
      <w:numFmt w:val="decimal"/>
      <w:lvlText w:val="%1.%2.%3.%4."/>
      <w:lvlJc w:val="left"/>
      <w:pPr>
        <w:ind w:left="1700" w:hanging="425"/>
      </w:pPr>
    </w:lvl>
    <w:lvl w:ilvl="4" w:tentative="0">
      <w:start w:val="1"/>
      <w:numFmt w:val="decimal"/>
      <w:pStyle w:val="6"/>
      <w:lvlText w:val="%1.%2.%3.%4.%5."/>
      <w:lvlJc w:val="left"/>
      <w:pPr>
        <w:ind w:left="2125" w:hanging="425"/>
      </w:pPr>
    </w:lvl>
    <w:lvl w:ilvl="5" w:tentative="0">
      <w:start w:val="1"/>
      <w:numFmt w:val="decimal"/>
      <w:lvlText w:val="%1.%2.%3.%4.%5.%6."/>
      <w:lvlJc w:val="left"/>
      <w:pPr>
        <w:ind w:left="2550" w:hanging="425"/>
      </w:pPr>
    </w:lvl>
    <w:lvl w:ilvl="6" w:tentative="0">
      <w:start w:val="1"/>
      <w:numFmt w:val="decimal"/>
      <w:lvlText w:val="%1.%2.%3.%4.%5.%6.%7."/>
      <w:lvlJc w:val="left"/>
      <w:pPr>
        <w:ind w:left="2975" w:hanging="425"/>
      </w:pPr>
    </w:lvl>
    <w:lvl w:ilvl="7" w:tentative="0">
      <w:start w:val="1"/>
      <w:numFmt w:val="decimal"/>
      <w:lvlText w:val="%1.%2.%3.%4.%5.%6.%7.%8."/>
      <w:lvlJc w:val="left"/>
      <w:pPr>
        <w:ind w:left="3400" w:hanging="425"/>
      </w:pPr>
    </w:lvl>
    <w:lvl w:ilvl="8" w:tentative="0">
      <w:start w:val="1"/>
      <w:numFmt w:val="decimal"/>
      <w:lvlText w:val="%1.%2.%3.%4.%5.%6.%7.%8.%9."/>
      <w:lvlJc w:val="left"/>
      <w:pPr>
        <w:ind w:left="3825" w:hanging="425"/>
      </w:pPr>
    </w:lvl>
  </w:abstractNum>
  <w:abstractNum w:abstractNumId="1">
    <w:nsid w:val="00000010"/>
    <w:multiLevelType w:val="multilevel"/>
    <w:tmpl w:val="00000010"/>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2"/>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hMGIwMDAyMjU1NmRhMDU3ZmM4ZmRkYWE3YmFiYjgifQ=="/>
  </w:docVars>
  <w:rsids>
    <w:rsidRoot w:val="00172A27"/>
    <w:rsid w:val="00003258"/>
    <w:rsid w:val="0000421D"/>
    <w:rsid w:val="0000425C"/>
    <w:rsid w:val="00006A10"/>
    <w:rsid w:val="000115CA"/>
    <w:rsid w:val="00014F96"/>
    <w:rsid w:val="000167C3"/>
    <w:rsid w:val="000168FA"/>
    <w:rsid w:val="00017397"/>
    <w:rsid w:val="00020A49"/>
    <w:rsid w:val="00023DFB"/>
    <w:rsid w:val="00023EF5"/>
    <w:rsid w:val="00024402"/>
    <w:rsid w:val="00025CC5"/>
    <w:rsid w:val="00025EB5"/>
    <w:rsid w:val="000273EE"/>
    <w:rsid w:val="00030F3C"/>
    <w:rsid w:val="00033411"/>
    <w:rsid w:val="0003342E"/>
    <w:rsid w:val="0003664F"/>
    <w:rsid w:val="00036D1C"/>
    <w:rsid w:val="000371E0"/>
    <w:rsid w:val="00037702"/>
    <w:rsid w:val="00040CFC"/>
    <w:rsid w:val="00042787"/>
    <w:rsid w:val="000478EC"/>
    <w:rsid w:val="000537C8"/>
    <w:rsid w:val="00054B14"/>
    <w:rsid w:val="000556B3"/>
    <w:rsid w:val="00055F71"/>
    <w:rsid w:val="00057E22"/>
    <w:rsid w:val="00057E25"/>
    <w:rsid w:val="00061693"/>
    <w:rsid w:val="00062A62"/>
    <w:rsid w:val="000639DD"/>
    <w:rsid w:val="00063F12"/>
    <w:rsid w:val="00065687"/>
    <w:rsid w:val="00066DDB"/>
    <w:rsid w:val="00066F5D"/>
    <w:rsid w:val="000671AC"/>
    <w:rsid w:val="0007173F"/>
    <w:rsid w:val="00071F37"/>
    <w:rsid w:val="00072F05"/>
    <w:rsid w:val="00073BC0"/>
    <w:rsid w:val="00073BDA"/>
    <w:rsid w:val="00074012"/>
    <w:rsid w:val="0008031F"/>
    <w:rsid w:val="000825B3"/>
    <w:rsid w:val="00082636"/>
    <w:rsid w:val="00083374"/>
    <w:rsid w:val="00083D93"/>
    <w:rsid w:val="00086036"/>
    <w:rsid w:val="00087F08"/>
    <w:rsid w:val="00090BF5"/>
    <w:rsid w:val="00095874"/>
    <w:rsid w:val="000A290A"/>
    <w:rsid w:val="000A2D52"/>
    <w:rsid w:val="000A3385"/>
    <w:rsid w:val="000A35FA"/>
    <w:rsid w:val="000A61E3"/>
    <w:rsid w:val="000A6EEB"/>
    <w:rsid w:val="000A7084"/>
    <w:rsid w:val="000B118C"/>
    <w:rsid w:val="000B29BE"/>
    <w:rsid w:val="000B65AC"/>
    <w:rsid w:val="000C1CA0"/>
    <w:rsid w:val="000C3DD0"/>
    <w:rsid w:val="000C4738"/>
    <w:rsid w:val="000C4769"/>
    <w:rsid w:val="000C4B12"/>
    <w:rsid w:val="000C5064"/>
    <w:rsid w:val="000C6BEE"/>
    <w:rsid w:val="000D16E9"/>
    <w:rsid w:val="000D29EE"/>
    <w:rsid w:val="000D41BC"/>
    <w:rsid w:val="000D4EA5"/>
    <w:rsid w:val="000D5794"/>
    <w:rsid w:val="000D5DB4"/>
    <w:rsid w:val="000D665D"/>
    <w:rsid w:val="000D7B6D"/>
    <w:rsid w:val="000D7B7F"/>
    <w:rsid w:val="000D7E5C"/>
    <w:rsid w:val="000E69F6"/>
    <w:rsid w:val="000E70C6"/>
    <w:rsid w:val="000F0456"/>
    <w:rsid w:val="000F0EE0"/>
    <w:rsid w:val="000F3AA1"/>
    <w:rsid w:val="000F4CB4"/>
    <w:rsid w:val="000F4EF5"/>
    <w:rsid w:val="000F6445"/>
    <w:rsid w:val="001001B9"/>
    <w:rsid w:val="00100827"/>
    <w:rsid w:val="0010127D"/>
    <w:rsid w:val="00103853"/>
    <w:rsid w:val="00104EAE"/>
    <w:rsid w:val="00106436"/>
    <w:rsid w:val="00110CEC"/>
    <w:rsid w:val="00112699"/>
    <w:rsid w:val="001170C3"/>
    <w:rsid w:val="00124420"/>
    <w:rsid w:val="00125B7A"/>
    <w:rsid w:val="00126631"/>
    <w:rsid w:val="0012692B"/>
    <w:rsid w:val="0012767F"/>
    <w:rsid w:val="00130CDD"/>
    <w:rsid w:val="00131F1A"/>
    <w:rsid w:val="00132157"/>
    <w:rsid w:val="001328DD"/>
    <w:rsid w:val="00132A20"/>
    <w:rsid w:val="00132F67"/>
    <w:rsid w:val="001347C6"/>
    <w:rsid w:val="00134DFC"/>
    <w:rsid w:val="0013711B"/>
    <w:rsid w:val="0013758E"/>
    <w:rsid w:val="0014443A"/>
    <w:rsid w:val="0014551C"/>
    <w:rsid w:val="001474C1"/>
    <w:rsid w:val="00147AF0"/>
    <w:rsid w:val="00147D1F"/>
    <w:rsid w:val="00151D0E"/>
    <w:rsid w:val="00151F13"/>
    <w:rsid w:val="00152AF8"/>
    <w:rsid w:val="00152D05"/>
    <w:rsid w:val="00156411"/>
    <w:rsid w:val="00156F32"/>
    <w:rsid w:val="00156FC4"/>
    <w:rsid w:val="00157CD4"/>
    <w:rsid w:val="00162D84"/>
    <w:rsid w:val="00163995"/>
    <w:rsid w:val="00164127"/>
    <w:rsid w:val="00164F5B"/>
    <w:rsid w:val="00165A86"/>
    <w:rsid w:val="00165EB3"/>
    <w:rsid w:val="001669EB"/>
    <w:rsid w:val="00167FF5"/>
    <w:rsid w:val="001711E2"/>
    <w:rsid w:val="00171736"/>
    <w:rsid w:val="001737A2"/>
    <w:rsid w:val="00175863"/>
    <w:rsid w:val="001775DC"/>
    <w:rsid w:val="00177F13"/>
    <w:rsid w:val="001827BA"/>
    <w:rsid w:val="00184A1A"/>
    <w:rsid w:val="001851E0"/>
    <w:rsid w:val="0018556F"/>
    <w:rsid w:val="001877B7"/>
    <w:rsid w:val="00187879"/>
    <w:rsid w:val="00190CDC"/>
    <w:rsid w:val="0019118F"/>
    <w:rsid w:val="001928E8"/>
    <w:rsid w:val="00192989"/>
    <w:rsid w:val="0019370B"/>
    <w:rsid w:val="00194DE9"/>
    <w:rsid w:val="00195F3E"/>
    <w:rsid w:val="001978D9"/>
    <w:rsid w:val="00197C80"/>
    <w:rsid w:val="001A2FE2"/>
    <w:rsid w:val="001A3A31"/>
    <w:rsid w:val="001A46F3"/>
    <w:rsid w:val="001A6074"/>
    <w:rsid w:val="001A6410"/>
    <w:rsid w:val="001B07FC"/>
    <w:rsid w:val="001B1B14"/>
    <w:rsid w:val="001B2CE0"/>
    <w:rsid w:val="001B340F"/>
    <w:rsid w:val="001B5587"/>
    <w:rsid w:val="001B5712"/>
    <w:rsid w:val="001B5EFE"/>
    <w:rsid w:val="001B6FFD"/>
    <w:rsid w:val="001B79CC"/>
    <w:rsid w:val="001C04CC"/>
    <w:rsid w:val="001C2E55"/>
    <w:rsid w:val="001C3E0D"/>
    <w:rsid w:val="001C4343"/>
    <w:rsid w:val="001C44A2"/>
    <w:rsid w:val="001C502F"/>
    <w:rsid w:val="001C5A47"/>
    <w:rsid w:val="001C799E"/>
    <w:rsid w:val="001C7BCD"/>
    <w:rsid w:val="001D19DF"/>
    <w:rsid w:val="001D21CA"/>
    <w:rsid w:val="001D25AC"/>
    <w:rsid w:val="001D272F"/>
    <w:rsid w:val="001D4465"/>
    <w:rsid w:val="001E037F"/>
    <w:rsid w:val="001E0B35"/>
    <w:rsid w:val="001E28E0"/>
    <w:rsid w:val="001E2F4C"/>
    <w:rsid w:val="001E3210"/>
    <w:rsid w:val="001E387A"/>
    <w:rsid w:val="001E3916"/>
    <w:rsid w:val="001E4CDA"/>
    <w:rsid w:val="001E5BBE"/>
    <w:rsid w:val="001E5EFA"/>
    <w:rsid w:val="001F3A89"/>
    <w:rsid w:val="001F3C2A"/>
    <w:rsid w:val="001F4C80"/>
    <w:rsid w:val="001F66E2"/>
    <w:rsid w:val="001F6889"/>
    <w:rsid w:val="001F6E49"/>
    <w:rsid w:val="001F71FD"/>
    <w:rsid w:val="001F79EC"/>
    <w:rsid w:val="0020219F"/>
    <w:rsid w:val="00202512"/>
    <w:rsid w:val="00202F2D"/>
    <w:rsid w:val="00204B76"/>
    <w:rsid w:val="00206A41"/>
    <w:rsid w:val="002071C5"/>
    <w:rsid w:val="0021276B"/>
    <w:rsid w:val="002133A6"/>
    <w:rsid w:val="0021479C"/>
    <w:rsid w:val="002149B4"/>
    <w:rsid w:val="0021563C"/>
    <w:rsid w:val="00215E58"/>
    <w:rsid w:val="002166C7"/>
    <w:rsid w:val="002171E6"/>
    <w:rsid w:val="00221628"/>
    <w:rsid w:val="00224849"/>
    <w:rsid w:val="002254DD"/>
    <w:rsid w:val="00225E52"/>
    <w:rsid w:val="00226244"/>
    <w:rsid w:val="002263BF"/>
    <w:rsid w:val="0023028D"/>
    <w:rsid w:val="00231084"/>
    <w:rsid w:val="00231884"/>
    <w:rsid w:val="00233CB2"/>
    <w:rsid w:val="00233DAC"/>
    <w:rsid w:val="00240046"/>
    <w:rsid w:val="002409C0"/>
    <w:rsid w:val="002419C5"/>
    <w:rsid w:val="002452F2"/>
    <w:rsid w:val="00245357"/>
    <w:rsid w:val="00246776"/>
    <w:rsid w:val="00246AE6"/>
    <w:rsid w:val="002476BB"/>
    <w:rsid w:val="00247D25"/>
    <w:rsid w:val="0025004C"/>
    <w:rsid w:val="00251AD3"/>
    <w:rsid w:val="00252688"/>
    <w:rsid w:val="0025416B"/>
    <w:rsid w:val="0025594D"/>
    <w:rsid w:val="002563DB"/>
    <w:rsid w:val="002616F0"/>
    <w:rsid w:val="00262809"/>
    <w:rsid w:val="00262941"/>
    <w:rsid w:val="00262D71"/>
    <w:rsid w:val="00263094"/>
    <w:rsid w:val="0026438C"/>
    <w:rsid w:val="00265476"/>
    <w:rsid w:val="002668DD"/>
    <w:rsid w:val="0026691D"/>
    <w:rsid w:val="002700B4"/>
    <w:rsid w:val="002725F9"/>
    <w:rsid w:val="00272F3F"/>
    <w:rsid w:val="00273A23"/>
    <w:rsid w:val="0027564A"/>
    <w:rsid w:val="00275A57"/>
    <w:rsid w:val="00275DD1"/>
    <w:rsid w:val="00277BB2"/>
    <w:rsid w:val="00282720"/>
    <w:rsid w:val="0028275D"/>
    <w:rsid w:val="0028360B"/>
    <w:rsid w:val="00284290"/>
    <w:rsid w:val="00287B29"/>
    <w:rsid w:val="00291268"/>
    <w:rsid w:val="002964EC"/>
    <w:rsid w:val="002965E5"/>
    <w:rsid w:val="0029706A"/>
    <w:rsid w:val="002A4138"/>
    <w:rsid w:val="002A4361"/>
    <w:rsid w:val="002A6DD2"/>
    <w:rsid w:val="002B502F"/>
    <w:rsid w:val="002B54EC"/>
    <w:rsid w:val="002B5F3D"/>
    <w:rsid w:val="002B7F89"/>
    <w:rsid w:val="002C2C32"/>
    <w:rsid w:val="002C5479"/>
    <w:rsid w:val="002C6C63"/>
    <w:rsid w:val="002C6ED7"/>
    <w:rsid w:val="002C7861"/>
    <w:rsid w:val="002D00CD"/>
    <w:rsid w:val="002D15E6"/>
    <w:rsid w:val="002D3103"/>
    <w:rsid w:val="002D3615"/>
    <w:rsid w:val="002D38A0"/>
    <w:rsid w:val="002D5589"/>
    <w:rsid w:val="002E17A7"/>
    <w:rsid w:val="002E272A"/>
    <w:rsid w:val="002E6768"/>
    <w:rsid w:val="002F110C"/>
    <w:rsid w:val="002F1217"/>
    <w:rsid w:val="002F2459"/>
    <w:rsid w:val="002F639E"/>
    <w:rsid w:val="002F645B"/>
    <w:rsid w:val="002F6597"/>
    <w:rsid w:val="002F6734"/>
    <w:rsid w:val="002F6C1E"/>
    <w:rsid w:val="002F7B85"/>
    <w:rsid w:val="00300A61"/>
    <w:rsid w:val="003022EE"/>
    <w:rsid w:val="00302458"/>
    <w:rsid w:val="00303EB7"/>
    <w:rsid w:val="00305C02"/>
    <w:rsid w:val="00305E05"/>
    <w:rsid w:val="00306774"/>
    <w:rsid w:val="00310484"/>
    <w:rsid w:val="00311912"/>
    <w:rsid w:val="0031413A"/>
    <w:rsid w:val="00317961"/>
    <w:rsid w:val="00317E47"/>
    <w:rsid w:val="00321596"/>
    <w:rsid w:val="00321DBE"/>
    <w:rsid w:val="00322241"/>
    <w:rsid w:val="00322F19"/>
    <w:rsid w:val="0032490E"/>
    <w:rsid w:val="00324C1D"/>
    <w:rsid w:val="003253AF"/>
    <w:rsid w:val="0032558C"/>
    <w:rsid w:val="0032599A"/>
    <w:rsid w:val="00326792"/>
    <w:rsid w:val="00326DA8"/>
    <w:rsid w:val="003278E7"/>
    <w:rsid w:val="00330749"/>
    <w:rsid w:val="0033101F"/>
    <w:rsid w:val="003321A5"/>
    <w:rsid w:val="003324ED"/>
    <w:rsid w:val="00333DF9"/>
    <w:rsid w:val="00334278"/>
    <w:rsid w:val="00335588"/>
    <w:rsid w:val="00335ADD"/>
    <w:rsid w:val="003366D0"/>
    <w:rsid w:val="003376AA"/>
    <w:rsid w:val="00340A4E"/>
    <w:rsid w:val="00340EEE"/>
    <w:rsid w:val="003414A0"/>
    <w:rsid w:val="00342318"/>
    <w:rsid w:val="00342D80"/>
    <w:rsid w:val="00343D89"/>
    <w:rsid w:val="0034473F"/>
    <w:rsid w:val="00345146"/>
    <w:rsid w:val="003459A2"/>
    <w:rsid w:val="003476B4"/>
    <w:rsid w:val="00351F4D"/>
    <w:rsid w:val="0035341D"/>
    <w:rsid w:val="003538C1"/>
    <w:rsid w:val="0035432C"/>
    <w:rsid w:val="0035746D"/>
    <w:rsid w:val="003579AD"/>
    <w:rsid w:val="00360F80"/>
    <w:rsid w:val="00362A03"/>
    <w:rsid w:val="00364514"/>
    <w:rsid w:val="00367174"/>
    <w:rsid w:val="003675C6"/>
    <w:rsid w:val="0036772A"/>
    <w:rsid w:val="00367AB4"/>
    <w:rsid w:val="00367E83"/>
    <w:rsid w:val="003701D8"/>
    <w:rsid w:val="0037172B"/>
    <w:rsid w:val="00372408"/>
    <w:rsid w:val="00372C1A"/>
    <w:rsid w:val="00372F42"/>
    <w:rsid w:val="0037350D"/>
    <w:rsid w:val="003743E6"/>
    <w:rsid w:val="00374834"/>
    <w:rsid w:val="003749E8"/>
    <w:rsid w:val="00374C42"/>
    <w:rsid w:val="00375918"/>
    <w:rsid w:val="0037647B"/>
    <w:rsid w:val="003809EB"/>
    <w:rsid w:val="00380A8F"/>
    <w:rsid w:val="003810A3"/>
    <w:rsid w:val="003819A5"/>
    <w:rsid w:val="0038725F"/>
    <w:rsid w:val="00387476"/>
    <w:rsid w:val="00390A18"/>
    <w:rsid w:val="00390B2B"/>
    <w:rsid w:val="003927E6"/>
    <w:rsid w:val="00392CB5"/>
    <w:rsid w:val="00393101"/>
    <w:rsid w:val="00393EC3"/>
    <w:rsid w:val="00395DFE"/>
    <w:rsid w:val="00395F7F"/>
    <w:rsid w:val="003960F8"/>
    <w:rsid w:val="00396256"/>
    <w:rsid w:val="003966B9"/>
    <w:rsid w:val="0039751A"/>
    <w:rsid w:val="003A0347"/>
    <w:rsid w:val="003A07BC"/>
    <w:rsid w:val="003A0C47"/>
    <w:rsid w:val="003A12AE"/>
    <w:rsid w:val="003A275C"/>
    <w:rsid w:val="003A3FD8"/>
    <w:rsid w:val="003A42D7"/>
    <w:rsid w:val="003A4EF7"/>
    <w:rsid w:val="003A675F"/>
    <w:rsid w:val="003B39B1"/>
    <w:rsid w:val="003B4E4E"/>
    <w:rsid w:val="003B5AA1"/>
    <w:rsid w:val="003B7BDE"/>
    <w:rsid w:val="003C0A9F"/>
    <w:rsid w:val="003C0D31"/>
    <w:rsid w:val="003C1844"/>
    <w:rsid w:val="003C27A7"/>
    <w:rsid w:val="003D0C87"/>
    <w:rsid w:val="003D11CB"/>
    <w:rsid w:val="003D24CE"/>
    <w:rsid w:val="003D40BF"/>
    <w:rsid w:val="003D44EC"/>
    <w:rsid w:val="003D700B"/>
    <w:rsid w:val="003E0D41"/>
    <w:rsid w:val="003E0DFF"/>
    <w:rsid w:val="003E1E63"/>
    <w:rsid w:val="003E4F3E"/>
    <w:rsid w:val="003E7635"/>
    <w:rsid w:val="003F16C2"/>
    <w:rsid w:val="003F2C9F"/>
    <w:rsid w:val="003F31DF"/>
    <w:rsid w:val="003F38CD"/>
    <w:rsid w:val="003F4E86"/>
    <w:rsid w:val="003F4FCA"/>
    <w:rsid w:val="0040047E"/>
    <w:rsid w:val="004006EE"/>
    <w:rsid w:val="00401538"/>
    <w:rsid w:val="004043A4"/>
    <w:rsid w:val="00405450"/>
    <w:rsid w:val="00406D61"/>
    <w:rsid w:val="00410F36"/>
    <w:rsid w:val="004237D8"/>
    <w:rsid w:val="00424646"/>
    <w:rsid w:val="00424EF2"/>
    <w:rsid w:val="004257B1"/>
    <w:rsid w:val="0042644C"/>
    <w:rsid w:val="00430C6B"/>
    <w:rsid w:val="00430F33"/>
    <w:rsid w:val="0043186F"/>
    <w:rsid w:val="004334C7"/>
    <w:rsid w:val="00433BF6"/>
    <w:rsid w:val="00435660"/>
    <w:rsid w:val="00436635"/>
    <w:rsid w:val="004410E3"/>
    <w:rsid w:val="004415FC"/>
    <w:rsid w:val="00442121"/>
    <w:rsid w:val="004465C4"/>
    <w:rsid w:val="004475C0"/>
    <w:rsid w:val="0044765F"/>
    <w:rsid w:val="00451135"/>
    <w:rsid w:val="0045188E"/>
    <w:rsid w:val="004538B8"/>
    <w:rsid w:val="00453A4A"/>
    <w:rsid w:val="00453B54"/>
    <w:rsid w:val="00454BFD"/>
    <w:rsid w:val="004558FC"/>
    <w:rsid w:val="00455B4E"/>
    <w:rsid w:val="004563D8"/>
    <w:rsid w:val="00463ED9"/>
    <w:rsid w:val="004647CB"/>
    <w:rsid w:val="004649F4"/>
    <w:rsid w:val="004650C7"/>
    <w:rsid w:val="00466B37"/>
    <w:rsid w:val="00467D10"/>
    <w:rsid w:val="00467E47"/>
    <w:rsid w:val="004709E9"/>
    <w:rsid w:val="004713AA"/>
    <w:rsid w:val="0047334A"/>
    <w:rsid w:val="00473CEA"/>
    <w:rsid w:val="004740E4"/>
    <w:rsid w:val="00475888"/>
    <w:rsid w:val="004805B5"/>
    <w:rsid w:val="00481482"/>
    <w:rsid w:val="004840DC"/>
    <w:rsid w:val="00484CA7"/>
    <w:rsid w:val="004866F6"/>
    <w:rsid w:val="004874D5"/>
    <w:rsid w:val="00487A67"/>
    <w:rsid w:val="00487E9A"/>
    <w:rsid w:val="00491631"/>
    <w:rsid w:val="00492C0D"/>
    <w:rsid w:val="00493B07"/>
    <w:rsid w:val="00493F9F"/>
    <w:rsid w:val="00494A09"/>
    <w:rsid w:val="00494FD4"/>
    <w:rsid w:val="0049790F"/>
    <w:rsid w:val="004A12E1"/>
    <w:rsid w:val="004A323D"/>
    <w:rsid w:val="004A37D8"/>
    <w:rsid w:val="004B24F9"/>
    <w:rsid w:val="004B2A2C"/>
    <w:rsid w:val="004B2A70"/>
    <w:rsid w:val="004B4355"/>
    <w:rsid w:val="004B4EF3"/>
    <w:rsid w:val="004B7BCE"/>
    <w:rsid w:val="004C06E0"/>
    <w:rsid w:val="004C06E3"/>
    <w:rsid w:val="004C1302"/>
    <w:rsid w:val="004C19FD"/>
    <w:rsid w:val="004C2620"/>
    <w:rsid w:val="004C2F05"/>
    <w:rsid w:val="004C3169"/>
    <w:rsid w:val="004C327F"/>
    <w:rsid w:val="004C3714"/>
    <w:rsid w:val="004C43E2"/>
    <w:rsid w:val="004C489B"/>
    <w:rsid w:val="004C4B42"/>
    <w:rsid w:val="004C4FF0"/>
    <w:rsid w:val="004C7440"/>
    <w:rsid w:val="004C7CF2"/>
    <w:rsid w:val="004D05DF"/>
    <w:rsid w:val="004D0BD9"/>
    <w:rsid w:val="004D1205"/>
    <w:rsid w:val="004D35B8"/>
    <w:rsid w:val="004D3EE9"/>
    <w:rsid w:val="004D4CD5"/>
    <w:rsid w:val="004D4DAB"/>
    <w:rsid w:val="004D5665"/>
    <w:rsid w:val="004D644A"/>
    <w:rsid w:val="004E0653"/>
    <w:rsid w:val="004E2381"/>
    <w:rsid w:val="004E2BB0"/>
    <w:rsid w:val="004E34CF"/>
    <w:rsid w:val="004E5EC5"/>
    <w:rsid w:val="004E5F3D"/>
    <w:rsid w:val="004E794C"/>
    <w:rsid w:val="004F0261"/>
    <w:rsid w:val="004F169E"/>
    <w:rsid w:val="004F2069"/>
    <w:rsid w:val="004F21D7"/>
    <w:rsid w:val="004F2D6E"/>
    <w:rsid w:val="004F50F7"/>
    <w:rsid w:val="004F60A5"/>
    <w:rsid w:val="004F6686"/>
    <w:rsid w:val="004F6D9E"/>
    <w:rsid w:val="004F6F6F"/>
    <w:rsid w:val="004F734B"/>
    <w:rsid w:val="00500AAD"/>
    <w:rsid w:val="005029CA"/>
    <w:rsid w:val="00504C2D"/>
    <w:rsid w:val="00505D35"/>
    <w:rsid w:val="005108B9"/>
    <w:rsid w:val="00510E32"/>
    <w:rsid w:val="00511ADC"/>
    <w:rsid w:val="00511D20"/>
    <w:rsid w:val="005123E5"/>
    <w:rsid w:val="00513116"/>
    <w:rsid w:val="005144F6"/>
    <w:rsid w:val="00514767"/>
    <w:rsid w:val="0051656A"/>
    <w:rsid w:val="0051753D"/>
    <w:rsid w:val="00517AE5"/>
    <w:rsid w:val="00520E59"/>
    <w:rsid w:val="00523BF5"/>
    <w:rsid w:val="00524182"/>
    <w:rsid w:val="00524E62"/>
    <w:rsid w:val="00525D75"/>
    <w:rsid w:val="00526064"/>
    <w:rsid w:val="00530D4C"/>
    <w:rsid w:val="00531866"/>
    <w:rsid w:val="00531E6D"/>
    <w:rsid w:val="005321F1"/>
    <w:rsid w:val="00533122"/>
    <w:rsid w:val="005348D1"/>
    <w:rsid w:val="00534CFA"/>
    <w:rsid w:val="0053505F"/>
    <w:rsid w:val="00536F37"/>
    <w:rsid w:val="0055480D"/>
    <w:rsid w:val="005551B0"/>
    <w:rsid w:val="005554E4"/>
    <w:rsid w:val="00555FCA"/>
    <w:rsid w:val="005571F9"/>
    <w:rsid w:val="00560303"/>
    <w:rsid w:val="005619FD"/>
    <w:rsid w:val="0056338B"/>
    <w:rsid w:val="0056531F"/>
    <w:rsid w:val="00567700"/>
    <w:rsid w:val="00571043"/>
    <w:rsid w:val="00571A60"/>
    <w:rsid w:val="00571FFA"/>
    <w:rsid w:val="005726B3"/>
    <w:rsid w:val="005728F1"/>
    <w:rsid w:val="00572DFE"/>
    <w:rsid w:val="00572F69"/>
    <w:rsid w:val="005733B9"/>
    <w:rsid w:val="00575861"/>
    <w:rsid w:val="00575D78"/>
    <w:rsid w:val="00576127"/>
    <w:rsid w:val="00576D47"/>
    <w:rsid w:val="005771E3"/>
    <w:rsid w:val="005779CC"/>
    <w:rsid w:val="00577DF1"/>
    <w:rsid w:val="00580496"/>
    <w:rsid w:val="00580C7F"/>
    <w:rsid w:val="00581B47"/>
    <w:rsid w:val="00581ED1"/>
    <w:rsid w:val="005836BA"/>
    <w:rsid w:val="005846C3"/>
    <w:rsid w:val="005859CC"/>
    <w:rsid w:val="00585B74"/>
    <w:rsid w:val="00590CDF"/>
    <w:rsid w:val="005917E4"/>
    <w:rsid w:val="005919A1"/>
    <w:rsid w:val="005920EB"/>
    <w:rsid w:val="00593DAA"/>
    <w:rsid w:val="005967F9"/>
    <w:rsid w:val="0059707D"/>
    <w:rsid w:val="00597245"/>
    <w:rsid w:val="005A0B70"/>
    <w:rsid w:val="005A136B"/>
    <w:rsid w:val="005A1C7E"/>
    <w:rsid w:val="005A38B1"/>
    <w:rsid w:val="005A5C7F"/>
    <w:rsid w:val="005A5F58"/>
    <w:rsid w:val="005A678E"/>
    <w:rsid w:val="005A73B1"/>
    <w:rsid w:val="005A7860"/>
    <w:rsid w:val="005B0A81"/>
    <w:rsid w:val="005B1F97"/>
    <w:rsid w:val="005B20E8"/>
    <w:rsid w:val="005B235C"/>
    <w:rsid w:val="005B2B3B"/>
    <w:rsid w:val="005B35B5"/>
    <w:rsid w:val="005B368E"/>
    <w:rsid w:val="005B3F15"/>
    <w:rsid w:val="005B4178"/>
    <w:rsid w:val="005B4BE3"/>
    <w:rsid w:val="005B4EFC"/>
    <w:rsid w:val="005B5CC8"/>
    <w:rsid w:val="005C005B"/>
    <w:rsid w:val="005C00E6"/>
    <w:rsid w:val="005C0E53"/>
    <w:rsid w:val="005C26FB"/>
    <w:rsid w:val="005C43E4"/>
    <w:rsid w:val="005C4724"/>
    <w:rsid w:val="005C7FDC"/>
    <w:rsid w:val="005D00C3"/>
    <w:rsid w:val="005D091A"/>
    <w:rsid w:val="005D26B0"/>
    <w:rsid w:val="005D40FF"/>
    <w:rsid w:val="005D4C29"/>
    <w:rsid w:val="005D4CDE"/>
    <w:rsid w:val="005D4E48"/>
    <w:rsid w:val="005D5425"/>
    <w:rsid w:val="005D592D"/>
    <w:rsid w:val="005D59E3"/>
    <w:rsid w:val="005D7BEE"/>
    <w:rsid w:val="005E2039"/>
    <w:rsid w:val="005E23C3"/>
    <w:rsid w:val="005E2E55"/>
    <w:rsid w:val="005E535E"/>
    <w:rsid w:val="005E7C59"/>
    <w:rsid w:val="005F0E04"/>
    <w:rsid w:val="005F2DA5"/>
    <w:rsid w:val="005F2EBC"/>
    <w:rsid w:val="005F361B"/>
    <w:rsid w:val="005F5B36"/>
    <w:rsid w:val="005F77F8"/>
    <w:rsid w:val="005F7B43"/>
    <w:rsid w:val="0060178B"/>
    <w:rsid w:val="00605698"/>
    <w:rsid w:val="00605EED"/>
    <w:rsid w:val="00606836"/>
    <w:rsid w:val="00610002"/>
    <w:rsid w:val="00610572"/>
    <w:rsid w:val="00610B09"/>
    <w:rsid w:val="00610B21"/>
    <w:rsid w:val="0061148A"/>
    <w:rsid w:val="006119A9"/>
    <w:rsid w:val="00611BA9"/>
    <w:rsid w:val="00616A16"/>
    <w:rsid w:val="006222A5"/>
    <w:rsid w:val="0062731B"/>
    <w:rsid w:val="0063668F"/>
    <w:rsid w:val="0063678A"/>
    <w:rsid w:val="00636C0E"/>
    <w:rsid w:val="006373B3"/>
    <w:rsid w:val="00637D19"/>
    <w:rsid w:val="00640160"/>
    <w:rsid w:val="0064019A"/>
    <w:rsid w:val="00641B82"/>
    <w:rsid w:val="00643A49"/>
    <w:rsid w:val="00644264"/>
    <w:rsid w:val="006444DC"/>
    <w:rsid w:val="00646038"/>
    <w:rsid w:val="00647052"/>
    <w:rsid w:val="00647ADA"/>
    <w:rsid w:val="0065072C"/>
    <w:rsid w:val="006508E8"/>
    <w:rsid w:val="00652336"/>
    <w:rsid w:val="0065441D"/>
    <w:rsid w:val="00664533"/>
    <w:rsid w:val="006645C0"/>
    <w:rsid w:val="00665033"/>
    <w:rsid w:val="00666F80"/>
    <w:rsid w:val="006711D8"/>
    <w:rsid w:val="00672B49"/>
    <w:rsid w:val="00674611"/>
    <w:rsid w:val="00675C13"/>
    <w:rsid w:val="006769FD"/>
    <w:rsid w:val="00676EFA"/>
    <w:rsid w:val="00677128"/>
    <w:rsid w:val="00677AB5"/>
    <w:rsid w:val="00680288"/>
    <w:rsid w:val="0068061E"/>
    <w:rsid w:val="0068223C"/>
    <w:rsid w:val="0068305D"/>
    <w:rsid w:val="0068424F"/>
    <w:rsid w:val="006844AA"/>
    <w:rsid w:val="00685268"/>
    <w:rsid w:val="0068597A"/>
    <w:rsid w:val="00686E34"/>
    <w:rsid w:val="00691D2B"/>
    <w:rsid w:val="00692CC7"/>
    <w:rsid w:val="00696C5F"/>
    <w:rsid w:val="006A12BA"/>
    <w:rsid w:val="006A1EF4"/>
    <w:rsid w:val="006A3594"/>
    <w:rsid w:val="006A46F8"/>
    <w:rsid w:val="006A53E5"/>
    <w:rsid w:val="006A6DDC"/>
    <w:rsid w:val="006A6E46"/>
    <w:rsid w:val="006B04DE"/>
    <w:rsid w:val="006C077D"/>
    <w:rsid w:val="006C0CCF"/>
    <w:rsid w:val="006C2315"/>
    <w:rsid w:val="006C4583"/>
    <w:rsid w:val="006C6401"/>
    <w:rsid w:val="006D1D84"/>
    <w:rsid w:val="006D2274"/>
    <w:rsid w:val="006D2930"/>
    <w:rsid w:val="006D5AFD"/>
    <w:rsid w:val="006D5DAC"/>
    <w:rsid w:val="006E02DB"/>
    <w:rsid w:val="006E08D8"/>
    <w:rsid w:val="006E1092"/>
    <w:rsid w:val="006E19A3"/>
    <w:rsid w:val="006E23FB"/>
    <w:rsid w:val="006E33B3"/>
    <w:rsid w:val="006E3872"/>
    <w:rsid w:val="006E62FA"/>
    <w:rsid w:val="006E76C8"/>
    <w:rsid w:val="006F0D1D"/>
    <w:rsid w:val="006F1139"/>
    <w:rsid w:val="006F138B"/>
    <w:rsid w:val="006F368C"/>
    <w:rsid w:val="006F4F94"/>
    <w:rsid w:val="006F5849"/>
    <w:rsid w:val="006F5A26"/>
    <w:rsid w:val="006F6394"/>
    <w:rsid w:val="00700616"/>
    <w:rsid w:val="007010CA"/>
    <w:rsid w:val="00701418"/>
    <w:rsid w:val="00703333"/>
    <w:rsid w:val="00703BCC"/>
    <w:rsid w:val="007056E6"/>
    <w:rsid w:val="007058A8"/>
    <w:rsid w:val="007071E5"/>
    <w:rsid w:val="0071210F"/>
    <w:rsid w:val="007130ED"/>
    <w:rsid w:val="00713CC9"/>
    <w:rsid w:val="007174B0"/>
    <w:rsid w:val="00717F3C"/>
    <w:rsid w:val="0072006C"/>
    <w:rsid w:val="00722A58"/>
    <w:rsid w:val="007241EB"/>
    <w:rsid w:val="00724B47"/>
    <w:rsid w:val="00726412"/>
    <w:rsid w:val="007267A2"/>
    <w:rsid w:val="0072693D"/>
    <w:rsid w:val="007270E1"/>
    <w:rsid w:val="00733EA9"/>
    <w:rsid w:val="00734471"/>
    <w:rsid w:val="00737F25"/>
    <w:rsid w:val="00737FC0"/>
    <w:rsid w:val="00740870"/>
    <w:rsid w:val="00741578"/>
    <w:rsid w:val="00741A18"/>
    <w:rsid w:val="00741C68"/>
    <w:rsid w:val="00743EDA"/>
    <w:rsid w:val="00744F12"/>
    <w:rsid w:val="00745066"/>
    <w:rsid w:val="00746484"/>
    <w:rsid w:val="007509C3"/>
    <w:rsid w:val="00751C0B"/>
    <w:rsid w:val="0075256C"/>
    <w:rsid w:val="00753E6A"/>
    <w:rsid w:val="007552CE"/>
    <w:rsid w:val="0075674E"/>
    <w:rsid w:val="0075780A"/>
    <w:rsid w:val="00757FF7"/>
    <w:rsid w:val="0076068D"/>
    <w:rsid w:val="007608B3"/>
    <w:rsid w:val="007609C2"/>
    <w:rsid w:val="00763471"/>
    <w:rsid w:val="00770193"/>
    <w:rsid w:val="00771066"/>
    <w:rsid w:val="00771FBA"/>
    <w:rsid w:val="00772B10"/>
    <w:rsid w:val="00774389"/>
    <w:rsid w:val="00774579"/>
    <w:rsid w:val="00774CA3"/>
    <w:rsid w:val="0077502E"/>
    <w:rsid w:val="007760D9"/>
    <w:rsid w:val="00782D51"/>
    <w:rsid w:val="00783723"/>
    <w:rsid w:val="007842E7"/>
    <w:rsid w:val="0078454E"/>
    <w:rsid w:val="0078573D"/>
    <w:rsid w:val="00785A1E"/>
    <w:rsid w:val="00790B84"/>
    <w:rsid w:val="00791112"/>
    <w:rsid w:val="00794126"/>
    <w:rsid w:val="00794E09"/>
    <w:rsid w:val="007958BD"/>
    <w:rsid w:val="00797922"/>
    <w:rsid w:val="00797D74"/>
    <w:rsid w:val="007A1568"/>
    <w:rsid w:val="007A212C"/>
    <w:rsid w:val="007A4A2B"/>
    <w:rsid w:val="007A4FBF"/>
    <w:rsid w:val="007A5808"/>
    <w:rsid w:val="007A594D"/>
    <w:rsid w:val="007B0DFE"/>
    <w:rsid w:val="007B1D78"/>
    <w:rsid w:val="007B37A4"/>
    <w:rsid w:val="007B4FB3"/>
    <w:rsid w:val="007B56A1"/>
    <w:rsid w:val="007B5B15"/>
    <w:rsid w:val="007B7C6C"/>
    <w:rsid w:val="007C0A0D"/>
    <w:rsid w:val="007C187D"/>
    <w:rsid w:val="007C2BD6"/>
    <w:rsid w:val="007C3F81"/>
    <w:rsid w:val="007C73DE"/>
    <w:rsid w:val="007D25E9"/>
    <w:rsid w:val="007D5008"/>
    <w:rsid w:val="007E2DF9"/>
    <w:rsid w:val="007E30E1"/>
    <w:rsid w:val="007E3923"/>
    <w:rsid w:val="007E4B5C"/>
    <w:rsid w:val="007E7CF1"/>
    <w:rsid w:val="007E7FC5"/>
    <w:rsid w:val="007F29EF"/>
    <w:rsid w:val="007F3B72"/>
    <w:rsid w:val="007F5A10"/>
    <w:rsid w:val="007F5E0D"/>
    <w:rsid w:val="007F7047"/>
    <w:rsid w:val="008027D0"/>
    <w:rsid w:val="00804CF5"/>
    <w:rsid w:val="0080624D"/>
    <w:rsid w:val="008073F1"/>
    <w:rsid w:val="00814183"/>
    <w:rsid w:val="00817A3B"/>
    <w:rsid w:val="00817C80"/>
    <w:rsid w:val="00817F80"/>
    <w:rsid w:val="008236C1"/>
    <w:rsid w:val="00825AA1"/>
    <w:rsid w:val="00827833"/>
    <w:rsid w:val="00830FC7"/>
    <w:rsid w:val="00833B55"/>
    <w:rsid w:val="00833FA3"/>
    <w:rsid w:val="00834155"/>
    <w:rsid w:val="00834C59"/>
    <w:rsid w:val="00835C20"/>
    <w:rsid w:val="00840B81"/>
    <w:rsid w:val="0084300E"/>
    <w:rsid w:val="0084639F"/>
    <w:rsid w:val="00847E16"/>
    <w:rsid w:val="00847E32"/>
    <w:rsid w:val="00853538"/>
    <w:rsid w:val="00853792"/>
    <w:rsid w:val="00853E7A"/>
    <w:rsid w:val="00855312"/>
    <w:rsid w:val="008559B9"/>
    <w:rsid w:val="008600E7"/>
    <w:rsid w:val="00864979"/>
    <w:rsid w:val="00867B42"/>
    <w:rsid w:val="0087061B"/>
    <w:rsid w:val="00871F2D"/>
    <w:rsid w:val="0087236E"/>
    <w:rsid w:val="008734C5"/>
    <w:rsid w:val="00873CF1"/>
    <w:rsid w:val="00874FDD"/>
    <w:rsid w:val="00876730"/>
    <w:rsid w:val="00876B22"/>
    <w:rsid w:val="00876F94"/>
    <w:rsid w:val="00877657"/>
    <w:rsid w:val="00880679"/>
    <w:rsid w:val="008808AE"/>
    <w:rsid w:val="00882221"/>
    <w:rsid w:val="00890632"/>
    <w:rsid w:val="0089208F"/>
    <w:rsid w:val="00892ADB"/>
    <w:rsid w:val="008930A6"/>
    <w:rsid w:val="00893212"/>
    <w:rsid w:val="00893E2D"/>
    <w:rsid w:val="00894E03"/>
    <w:rsid w:val="008972D6"/>
    <w:rsid w:val="008A06E7"/>
    <w:rsid w:val="008A2F77"/>
    <w:rsid w:val="008B1B9D"/>
    <w:rsid w:val="008C205B"/>
    <w:rsid w:val="008C23D8"/>
    <w:rsid w:val="008C34F3"/>
    <w:rsid w:val="008C430D"/>
    <w:rsid w:val="008C4404"/>
    <w:rsid w:val="008D0E4C"/>
    <w:rsid w:val="008D10B2"/>
    <w:rsid w:val="008D149B"/>
    <w:rsid w:val="008D222B"/>
    <w:rsid w:val="008D53FF"/>
    <w:rsid w:val="008D5971"/>
    <w:rsid w:val="008D67D7"/>
    <w:rsid w:val="008D774F"/>
    <w:rsid w:val="008E0DC5"/>
    <w:rsid w:val="008E1142"/>
    <w:rsid w:val="008E1569"/>
    <w:rsid w:val="008E2CBA"/>
    <w:rsid w:val="008E3651"/>
    <w:rsid w:val="008E3893"/>
    <w:rsid w:val="008E3FEC"/>
    <w:rsid w:val="008E40E7"/>
    <w:rsid w:val="008E7D3E"/>
    <w:rsid w:val="008E7EF1"/>
    <w:rsid w:val="008F0600"/>
    <w:rsid w:val="008F186E"/>
    <w:rsid w:val="008F259B"/>
    <w:rsid w:val="008F2681"/>
    <w:rsid w:val="008F32FC"/>
    <w:rsid w:val="008F3F0C"/>
    <w:rsid w:val="008F4719"/>
    <w:rsid w:val="008F4846"/>
    <w:rsid w:val="008F493F"/>
    <w:rsid w:val="008F684F"/>
    <w:rsid w:val="008F7D45"/>
    <w:rsid w:val="00903A96"/>
    <w:rsid w:val="00904315"/>
    <w:rsid w:val="00905357"/>
    <w:rsid w:val="009066A2"/>
    <w:rsid w:val="00907D32"/>
    <w:rsid w:val="00907EF4"/>
    <w:rsid w:val="00911812"/>
    <w:rsid w:val="00911BEB"/>
    <w:rsid w:val="00911DB8"/>
    <w:rsid w:val="009120E4"/>
    <w:rsid w:val="009122BA"/>
    <w:rsid w:val="00913E32"/>
    <w:rsid w:val="009165E5"/>
    <w:rsid w:val="00917BE9"/>
    <w:rsid w:val="00922368"/>
    <w:rsid w:val="00923C25"/>
    <w:rsid w:val="00923DD8"/>
    <w:rsid w:val="00927C76"/>
    <w:rsid w:val="00931151"/>
    <w:rsid w:val="009315AC"/>
    <w:rsid w:val="009356C6"/>
    <w:rsid w:val="00935985"/>
    <w:rsid w:val="00937B15"/>
    <w:rsid w:val="0094331B"/>
    <w:rsid w:val="009436D0"/>
    <w:rsid w:val="009469EA"/>
    <w:rsid w:val="00947D1B"/>
    <w:rsid w:val="009511AA"/>
    <w:rsid w:val="00951233"/>
    <w:rsid w:val="00951783"/>
    <w:rsid w:val="00952FB7"/>
    <w:rsid w:val="009537F4"/>
    <w:rsid w:val="00954012"/>
    <w:rsid w:val="009547C2"/>
    <w:rsid w:val="0095599E"/>
    <w:rsid w:val="00955AA2"/>
    <w:rsid w:val="009564B3"/>
    <w:rsid w:val="00956D81"/>
    <w:rsid w:val="00956DC2"/>
    <w:rsid w:val="0096154A"/>
    <w:rsid w:val="00961805"/>
    <w:rsid w:val="00961F81"/>
    <w:rsid w:val="0096270D"/>
    <w:rsid w:val="00964B64"/>
    <w:rsid w:val="00964CC3"/>
    <w:rsid w:val="009654DB"/>
    <w:rsid w:val="00970048"/>
    <w:rsid w:val="009706C0"/>
    <w:rsid w:val="00971F92"/>
    <w:rsid w:val="0097250E"/>
    <w:rsid w:val="00972E09"/>
    <w:rsid w:val="00973D8D"/>
    <w:rsid w:val="009741F7"/>
    <w:rsid w:val="009747F9"/>
    <w:rsid w:val="00975399"/>
    <w:rsid w:val="00975E16"/>
    <w:rsid w:val="009818CC"/>
    <w:rsid w:val="0098253B"/>
    <w:rsid w:val="00982704"/>
    <w:rsid w:val="009832FD"/>
    <w:rsid w:val="009839A7"/>
    <w:rsid w:val="00986390"/>
    <w:rsid w:val="00986414"/>
    <w:rsid w:val="00987F3B"/>
    <w:rsid w:val="009913DB"/>
    <w:rsid w:val="0099368B"/>
    <w:rsid w:val="00993BCB"/>
    <w:rsid w:val="00994E2E"/>
    <w:rsid w:val="00994FAA"/>
    <w:rsid w:val="00995539"/>
    <w:rsid w:val="009A03C7"/>
    <w:rsid w:val="009A1AA1"/>
    <w:rsid w:val="009A318B"/>
    <w:rsid w:val="009A3E0A"/>
    <w:rsid w:val="009B0F5A"/>
    <w:rsid w:val="009B1154"/>
    <w:rsid w:val="009B21A3"/>
    <w:rsid w:val="009B2225"/>
    <w:rsid w:val="009B3BD8"/>
    <w:rsid w:val="009B41AD"/>
    <w:rsid w:val="009B4818"/>
    <w:rsid w:val="009B51CA"/>
    <w:rsid w:val="009B6808"/>
    <w:rsid w:val="009B6D4E"/>
    <w:rsid w:val="009B75ED"/>
    <w:rsid w:val="009C092C"/>
    <w:rsid w:val="009C0C52"/>
    <w:rsid w:val="009C36C8"/>
    <w:rsid w:val="009C456D"/>
    <w:rsid w:val="009C5890"/>
    <w:rsid w:val="009C6B6F"/>
    <w:rsid w:val="009C70AF"/>
    <w:rsid w:val="009C72E5"/>
    <w:rsid w:val="009C7306"/>
    <w:rsid w:val="009C7B1E"/>
    <w:rsid w:val="009C7E02"/>
    <w:rsid w:val="009D419D"/>
    <w:rsid w:val="009D450B"/>
    <w:rsid w:val="009D7B43"/>
    <w:rsid w:val="009E011B"/>
    <w:rsid w:val="009E2B32"/>
    <w:rsid w:val="009E2F1B"/>
    <w:rsid w:val="009E3013"/>
    <w:rsid w:val="009E3955"/>
    <w:rsid w:val="009E57BA"/>
    <w:rsid w:val="009E6B4B"/>
    <w:rsid w:val="009E6F2C"/>
    <w:rsid w:val="009E7103"/>
    <w:rsid w:val="009E7483"/>
    <w:rsid w:val="009E7994"/>
    <w:rsid w:val="009E7F36"/>
    <w:rsid w:val="009F1208"/>
    <w:rsid w:val="009F22AB"/>
    <w:rsid w:val="009F37F3"/>
    <w:rsid w:val="009F3BB6"/>
    <w:rsid w:val="009F40B5"/>
    <w:rsid w:val="009F5610"/>
    <w:rsid w:val="009F7EB3"/>
    <w:rsid w:val="00A0044C"/>
    <w:rsid w:val="00A0058B"/>
    <w:rsid w:val="00A0442A"/>
    <w:rsid w:val="00A04CA9"/>
    <w:rsid w:val="00A0554B"/>
    <w:rsid w:val="00A10773"/>
    <w:rsid w:val="00A117E3"/>
    <w:rsid w:val="00A1648B"/>
    <w:rsid w:val="00A16637"/>
    <w:rsid w:val="00A20BA0"/>
    <w:rsid w:val="00A247B2"/>
    <w:rsid w:val="00A26F05"/>
    <w:rsid w:val="00A27783"/>
    <w:rsid w:val="00A3119F"/>
    <w:rsid w:val="00A31559"/>
    <w:rsid w:val="00A31DF1"/>
    <w:rsid w:val="00A33F43"/>
    <w:rsid w:val="00A34671"/>
    <w:rsid w:val="00A350B5"/>
    <w:rsid w:val="00A3538C"/>
    <w:rsid w:val="00A40158"/>
    <w:rsid w:val="00A4068F"/>
    <w:rsid w:val="00A4104F"/>
    <w:rsid w:val="00A44870"/>
    <w:rsid w:val="00A45A59"/>
    <w:rsid w:val="00A51143"/>
    <w:rsid w:val="00A529B7"/>
    <w:rsid w:val="00A52ACD"/>
    <w:rsid w:val="00A54952"/>
    <w:rsid w:val="00A5525E"/>
    <w:rsid w:val="00A558D5"/>
    <w:rsid w:val="00A60F13"/>
    <w:rsid w:val="00A6133F"/>
    <w:rsid w:val="00A6193C"/>
    <w:rsid w:val="00A6271C"/>
    <w:rsid w:val="00A64296"/>
    <w:rsid w:val="00A6523F"/>
    <w:rsid w:val="00A655E5"/>
    <w:rsid w:val="00A70F5B"/>
    <w:rsid w:val="00A719D6"/>
    <w:rsid w:val="00A71C75"/>
    <w:rsid w:val="00A72146"/>
    <w:rsid w:val="00A74F43"/>
    <w:rsid w:val="00A77387"/>
    <w:rsid w:val="00A80079"/>
    <w:rsid w:val="00A805C2"/>
    <w:rsid w:val="00A811E7"/>
    <w:rsid w:val="00A8195F"/>
    <w:rsid w:val="00A819BF"/>
    <w:rsid w:val="00A85E52"/>
    <w:rsid w:val="00A907CD"/>
    <w:rsid w:val="00A91E4B"/>
    <w:rsid w:val="00A93952"/>
    <w:rsid w:val="00A93E89"/>
    <w:rsid w:val="00A94ABA"/>
    <w:rsid w:val="00A951DE"/>
    <w:rsid w:val="00A95B3B"/>
    <w:rsid w:val="00A95BCF"/>
    <w:rsid w:val="00A9754D"/>
    <w:rsid w:val="00AA035D"/>
    <w:rsid w:val="00AA193A"/>
    <w:rsid w:val="00AA31CA"/>
    <w:rsid w:val="00AA3B14"/>
    <w:rsid w:val="00AA5060"/>
    <w:rsid w:val="00AA5232"/>
    <w:rsid w:val="00AA5CFD"/>
    <w:rsid w:val="00AA5F3C"/>
    <w:rsid w:val="00AA7B7F"/>
    <w:rsid w:val="00AA7CD6"/>
    <w:rsid w:val="00AB01DF"/>
    <w:rsid w:val="00AB0436"/>
    <w:rsid w:val="00AB1B2B"/>
    <w:rsid w:val="00AB28EC"/>
    <w:rsid w:val="00AB3511"/>
    <w:rsid w:val="00AB48F6"/>
    <w:rsid w:val="00AC02D2"/>
    <w:rsid w:val="00AC11A3"/>
    <w:rsid w:val="00AC5454"/>
    <w:rsid w:val="00AC5524"/>
    <w:rsid w:val="00AC6B2D"/>
    <w:rsid w:val="00AD4F9E"/>
    <w:rsid w:val="00AD502D"/>
    <w:rsid w:val="00AD5C80"/>
    <w:rsid w:val="00AD6036"/>
    <w:rsid w:val="00AD7629"/>
    <w:rsid w:val="00AD7D8B"/>
    <w:rsid w:val="00AE1FA4"/>
    <w:rsid w:val="00AE3FAC"/>
    <w:rsid w:val="00AE546B"/>
    <w:rsid w:val="00AE59DB"/>
    <w:rsid w:val="00AE642A"/>
    <w:rsid w:val="00AF0BC8"/>
    <w:rsid w:val="00AF1D7A"/>
    <w:rsid w:val="00AF59AC"/>
    <w:rsid w:val="00AF6311"/>
    <w:rsid w:val="00B01220"/>
    <w:rsid w:val="00B07A9C"/>
    <w:rsid w:val="00B11C8D"/>
    <w:rsid w:val="00B11E64"/>
    <w:rsid w:val="00B12C80"/>
    <w:rsid w:val="00B13C08"/>
    <w:rsid w:val="00B13DD0"/>
    <w:rsid w:val="00B14522"/>
    <w:rsid w:val="00B15FDC"/>
    <w:rsid w:val="00B17627"/>
    <w:rsid w:val="00B1782A"/>
    <w:rsid w:val="00B20145"/>
    <w:rsid w:val="00B233D5"/>
    <w:rsid w:val="00B25B89"/>
    <w:rsid w:val="00B270DB"/>
    <w:rsid w:val="00B27390"/>
    <w:rsid w:val="00B27746"/>
    <w:rsid w:val="00B27C27"/>
    <w:rsid w:val="00B322F3"/>
    <w:rsid w:val="00B35E7B"/>
    <w:rsid w:val="00B378ED"/>
    <w:rsid w:val="00B40FA9"/>
    <w:rsid w:val="00B41D6C"/>
    <w:rsid w:val="00B45547"/>
    <w:rsid w:val="00B46403"/>
    <w:rsid w:val="00B47FCB"/>
    <w:rsid w:val="00B53A5B"/>
    <w:rsid w:val="00B540EA"/>
    <w:rsid w:val="00B5642F"/>
    <w:rsid w:val="00B57750"/>
    <w:rsid w:val="00B6398E"/>
    <w:rsid w:val="00B646A8"/>
    <w:rsid w:val="00B650D8"/>
    <w:rsid w:val="00B651D9"/>
    <w:rsid w:val="00B6743F"/>
    <w:rsid w:val="00B67EA7"/>
    <w:rsid w:val="00B70460"/>
    <w:rsid w:val="00B70B69"/>
    <w:rsid w:val="00B70C69"/>
    <w:rsid w:val="00B71D73"/>
    <w:rsid w:val="00B71FF3"/>
    <w:rsid w:val="00B73AC3"/>
    <w:rsid w:val="00B73D95"/>
    <w:rsid w:val="00B778BF"/>
    <w:rsid w:val="00B811B5"/>
    <w:rsid w:val="00B81B1D"/>
    <w:rsid w:val="00B81E89"/>
    <w:rsid w:val="00B828C9"/>
    <w:rsid w:val="00B83E47"/>
    <w:rsid w:val="00B8564C"/>
    <w:rsid w:val="00B86610"/>
    <w:rsid w:val="00B878AD"/>
    <w:rsid w:val="00B90CEB"/>
    <w:rsid w:val="00B90ED8"/>
    <w:rsid w:val="00B93DFC"/>
    <w:rsid w:val="00B956CC"/>
    <w:rsid w:val="00BA0768"/>
    <w:rsid w:val="00BA1919"/>
    <w:rsid w:val="00BA1B0F"/>
    <w:rsid w:val="00BA3337"/>
    <w:rsid w:val="00BA41B4"/>
    <w:rsid w:val="00BA4420"/>
    <w:rsid w:val="00BA5188"/>
    <w:rsid w:val="00BA659E"/>
    <w:rsid w:val="00BA753F"/>
    <w:rsid w:val="00BB3D87"/>
    <w:rsid w:val="00BB75BC"/>
    <w:rsid w:val="00BB7AB5"/>
    <w:rsid w:val="00BC00A6"/>
    <w:rsid w:val="00BC1562"/>
    <w:rsid w:val="00BC29A5"/>
    <w:rsid w:val="00BC39D0"/>
    <w:rsid w:val="00BC3C51"/>
    <w:rsid w:val="00BC4130"/>
    <w:rsid w:val="00BC54DA"/>
    <w:rsid w:val="00BD285E"/>
    <w:rsid w:val="00BD3100"/>
    <w:rsid w:val="00BD4C57"/>
    <w:rsid w:val="00BD655D"/>
    <w:rsid w:val="00BD7217"/>
    <w:rsid w:val="00BE1024"/>
    <w:rsid w:val="00BE1EB7"/>
    <w:rsid w:val="00BE1EF7"/>
    <w:rsid w:val="00BE2BCC"/>
    <w:rsid w:val="00BE3631"/>
    <w:rsid w:val="00BE4200"/>
    <w:rsid w:val="00BE430C"/>
    <w:rsid w:val="00BE52C5"/>
    <w:rsid w:val="00BE5956"/>
    <w:rsid w:val="00BE6E63"/>
    <w:rsid w:val="00BE7E7A"/>
    <w:rsid w:val="00BF0AD7"/>
    <w:rsid w:val="00BF17F6"/>
    <w:rsid w:val="00BF39C8"/>
    <w:rsid w:val="00BF48CF"/>
    <w:rsid w:val="00BF4926"/>
    <w:rsid w:val="00BF4E15"/>
    <w:rsid w:val="00BF6C57"/>
    <w:rsid w:val="00BF7FD5"/>
    <w:rsid w:val="00C0156D"/>
    <w:rsid w:val="00C03484"/>
    <w:rsid w:val="00C03E22"/>
    <w:rsid w:val="00C0484B"/>
    <w:rsid w:val="00C05103"/>
    <w:rsid w:val="00C0519E"/>
    <w:rsid w:val="00C06320"/>
    <w:rsid w:val="00C071F5"/>
    <w:rsid w:val="00C103AF"/>
    <w:rsid w:val="00C115BB"/>
    <w:rsid w:val="00C11901"/>
    <w:rsid w:val="00C17B95"/>
    <w:rsid w:val="00C218A8"/>
    <w:rsid w:val="00C24FE5"/>
    <w:rsid w:val="00C25561"/>
    <w:rsid w:val="00C26509"/>
    <w:rsid w:val="00C266FA"/>
    <w:rsid w:val="00C26A93"/>
    <w:rsid w:val="00C30036"/>
    <w:rsid w:val="00C30052"/>
    <w:rsid w:val="00C30A82"/>
    <w:rsid w:val="00C3100D"/>
    <w:rsid w:val="00C3172F"/>
    <w:rsid w:val="00C33F50"/>
    <w:rsid w:val="00C3427D"/>
    <w:rsid w:val="00C3564F"/>
    <w:rsid w:val="00C37F13"/>
    <w:rsid w:val="00C4009D"/>
    <w:rsid w:val="00C41282"/>
    <w:rsid w:val="00C425C8"/>
    <w:rsid w:val="00C42975"/>
    <w:rsid w:val="00C42E2A"/>
    <w:rsid w:val="00C45539"/>
    <w:rsid w:val="00C46778"/>
    <w:rsid w:val="00C51FA8"/>
    <w:rsid w:val="00C537B6"/>
    <w:rsid w:val="00C537F7"/>
    <w:rsid w:val="00C55C9C"/>
    <w:rsid w:val="00C603F0"/>
    <w:rsid w:val="00C605E7"/>
    <w:rsid w:val="00C60911"/>
    <w:rsid w:val="00C6109B"/>
    <w:rsid w:val="00C61445"/>
    <w:rsid w:val="00C61CF5"/>
    <w:rsid w:val="00C62197"/>
    <w:rsid w:val="00C63469"/>
    <w:rsid w:val="00C65942"/>
    <w:rsid w:val="00C662CE"/>
    <w:rsid w:val="00C66C4D"/>
    <w:rsid w:val="00C67469"/>
    <w:rsid w:val="00C7090C"/>
    <w:rsid w:val="00C715F7"/>
    <w:rsid w:val="00C71949"/>
    <w:rsid w:val="00C72F8A"/>
    <w:rsid w:val="00C7405A"/>
    <w:rsid w:val="00C74883"/>
    <w:rsid w:val="00C756ED"/>
    <w:rsid w:val="00C81118"/>
    <w:rsid w:val="00C814B3"/>
    <w:rsid w:val="00C84B74"/>
    <w:rsid w:val="00C856CF"/>
    <w:rsid w:val="00C86DCC"/>
    <w:rsid w:val="00C877DD"/>
    <w:rsid w:val="00C90740"/>
    <w:rsid w:val="00C925D3"/>
    <w:rsid w:val="00C96573"/>
    <w:rsid w:val="00C969A4"/>
    <w:rsid w:val="00CA0C98"/>
    <w:rsid w:val="00CA1E25"/>
    <w:rsid w:val="00CA292B"/>
    <w:rsid w:val="00CA39A4"/>
    <w:rsid w:val="00CA4E42"/>
    <w:rsid w:val="00CA5431"/>
    <w:rsid w:val="00CA6B6E"/>
    <w:rsid w:val="00CA7E29"/>
    <w:rsid w:val="00CB0250"/>
    <w:rsid w:val="00CB05A3"/>
    <w:rsid w:val="00CB0867"/>
    <w:rsid w:val="00CB1F84"/>
    <w:rsid w:val="00CB2659"/>
    <w:rsid w:val="00CB527D"/>
    <w:rsid w:val="00CC1FC3"/>
    <w:rsid w:val="00CC24D1"/>
    <w:rsid w:val="00CC2504"/>
    <w:rsid w:val="00CC2E2B"/>
    <w:rsid w:val="00CC3461"/>
    <w:rsid w:val="00CC3EE5"/>
    <w:rsid w:val="00CC4038"/>
    <w:rsid w:val="00CC4B45"/>
    <w:rsid w:val="00CC5D9D"/>
    <w:rsid w:val="00CC5DB8"/>
    <w:rsid w:val="00CC7B5A"/>
    <w:rsid w:val="00CD01D0"/>
    <w:rsid w:val="00CD05D8"/>
    <w:rsid w:val="00CD1291"/>
    <w:rsid w:val="00CD142A"/>
    <w:rsid w:val="00CD1779"/>
    <w:rsid w:val="00CD26E3"/>
    <w:rsid w:val="00CD282D"/>
    <w:rsid w:val="00CD3BD6"/>
    <w:rsid w:val="00CD3BDD"/>
    <w:rsid w:val="00CD41B8"/>
    <w:rsid w:val="00CD5AF0"/>
    <w:rsid w:val="00CD6110"/>
    <w:rsid w:val="00CD6BF2"/>
    <w:rsid w:val="00CD72B6"/>
    <w:rsid w:val="00CE13E4"/>
    <w:rsid w:val="00CE157B"/>
    <w:rsid w:val="00CE1634"/>
    <w:rsid w:val="00CE2788"/>
    <w:rsid w:val="00CE27FF"/>
    <w:rsid w:val="00CE3797"/>
    <w:rsid w:val="00CE6025"/>
    <w:rsid w:val="00CF0403"/>
    <w:rsid w:val="00CF0EF0"/>
    <w:rsid w:val="00CF2240"/>
    <w:rsid w:val="00CF2454"/>
    <w:rsid w:val="00CF409B"/>
    <w:rsid w:val="00CF5C6D"/>
    <w:rsid w:val="00CF6124"/>
    <w:rsid w:val="00CF77C0"/>
    <w:rsid w:val="00D01459"/>
    <w:rsid w:val="00D02A13"/>
    <w:rsid w:val="00D02E29"/>
    <w:rsid w:val="00D03B54"/>
    <w:rsid w:val="00D0512D"/>
    <w:rsid w:val="00D054B3"/>
    <w:rsid w:val="00D068EF"/>
    <w:rsid w:val="00D06D20"/>
    <w:rsid w:val="00D076C0"/>
    <w:rsid w:val="00D07BF0"/>
    <w:rsid w:val="00D110FE"/>
    <w:rsid w:val="00D12045"/>
    <w:rsid w:val="00D12CAA"/>
    <w:rsid w:val="00D15D08"/>
    <w:rsid w:val="00D16FA3"/>
    <w:rsid w:val="00D17204"/>
    <w:rsid w:val="00D17BBD"/>
    <w:rsid w:val="00D209FA"/>
    <w:rsid w:val="00D20EFE"/>
    <w:rsid w:val="00D21D5E"/>
    <w:rsid w:val="00D22D56"/>
    <w:rsid w:val="00D2376E"/>
    <w:rsid w:val="00D24044"/>
    <w:rsid w:val="00D24191"/>
    <w:rsid w:val="00D253A2"/>
    <w:rsid w:val="00D25BE4"/>
    <w:rsid w:val="00D31AD5"/>
    <w:rsid w:val="00D32318"/>
    <w:rsid w:val="00D32FA2"/>
    <w:rsid w:val="00D338CC"/>
    <w:rsid w:val="00D33D9A"/>
    <w:rsid w:val="00D33E47"/>
    <w:rsid w:val="00D355E2"/>
    <w:rsid w:val="00D40EA3"/>
    <w:rsid w:val="00D40F04"/>
    <w:rsid w:val="00D43250"/>
    <w:rsid w:val="00D43CAF"/>
    <w:rsid w:val="00D442D5"/>
    <w:rsid w:val="00D47FD1"/>
    <w:rsid w:val="00D503F1"/>
    <w:rsid w:val="00D50414"/>
    <w:rsid w:val="00D5309F"/>
    <w:rsid w:val="00D53629"/>
    <w:rsid w:val="00D54387"/>
    <w:rsid w:val="00D543DF"/>
    <w:rsid w:val="00D55815"/>
    <w:rsid w:val="00D568D1"/>
    <w:rsid w:val="00D60E21"/>
    <w:rsid w:val="00D62345"/>
    <w:rsid w:val="00D648E5"/>
    <w:rsid w:val="00D65A12"/>
    <w:rsid w:val="00D65F80"/>
    <w:rsid w:val="00D6639C"/>
    <w:rsid w:val="00D664A5"/>
    <w:rsid w:val="00D66AB2"/>
    <w:rsid w:val="00D71E17"/>
    <w:rsid w:val="00D72337"/>
    <w:rsid w:val="00D72880"/>
    <w:rsid w:val="00D736CE"/>
    <w:rsid w:val="00D7516B"/>
    <w:rsid w:val="00D75EC1"/>
    <w:rsid w:val="00D76AB4"/>
    <w:rsid w:val="00D779F8"/>
    <w:rsid w:val="00D84961"/>
    <w:rsid w:val="00D90243"/>
    <w:rsid w:val="00D9053B"/>
    <w:rsid w:val="00D9170B"/>
    <w:rsid w:val="00D95ABB"/>
    <w:rsid w:val="00D9627F"/>
    <w:rsid w:val="00D964E5"/>
    <w:rsid w:val="00D96AF4"/>
    <w:rsid w:val="00D97DBB"/>
    <w:rsid w:val="00DA0DD1"/>
    <w:rsid w:val="00DA4CD5"/>
    <w:rsid w:val="00DB0065"/>
    <w:rsid w:val="00DB09B3"/>
    <w:rsid w:val="00DB2BA6"/>
    <w:rsid w:val="00DB2F2C"/>
    <w:rsid w:val="00DB3665"/>
    <w:rsid w:val="00DB653C"/>
    <w:rsid w:val="00DC10E8"/>
    <w:rsid w:val="00DC152A"/>
    <w:rsid w:val="00DC15D5"/>
    <w:rsid w:val="00DC2C66"/>
    <w:rsid w:val="00DC37E9"/>
    <w:rsid w:val="00DC65F2"/>
    <w:rsid w:val="00DC7A1B"/>
    <w:rsid w:val="00DC7EB2"/>
    <w:rsid w:val="00DD070D"/>
    <w:rsid w:val="00DD0807"/>
    <w:rsid w:val="00DD18EF"/>
    <w:rsid w:val="00DD19B6"/>
    <w:rsid w:val="00DD2ED2"/>
    <w:rsid w:val="00DD3F6F"/>
    <w:rsid w:val="00DD6666"/>
    <w:rsid w:val="00DE0D33"/>
    <w:rsid w:val="00DE1927"/>
    <w:rsid w:val="00DE207E"/>
    <w:rsid w:val="00DE2ECC"/>
    <w:rsid w:val="00DE5923"/>
    <w:rsid w:val="00DE60BC"/>
    <w:rsid w:val="00DF0A04"/>
    <w:rsid w:val="00DF0CD9"/>
    <w:rsid w:val="00DF0E7D"/>
    <w:rsid w:val="00DF6F7D"/>
    <w:rsid w:val="00DF738D"/>
    <w:rsid w:val="00DF7426"/>
    <w:rsid w:val="00E00738"/>
    <w:rsid w:val="00E0098E"/>
    <w:rsid w:val="00E061A4"/>
    <w:rsid w:val="00E0621C"/>
    <w:rsid w:val="00E11883"/>
    <w:rsid w:val="00E12B38"/>
    <w:rsid w:val="00E1605A"/>
    <w:rsid w:val="00E23607"/>
    <w:rsid w:val="00E26BC0"/>
    <w:rsid w:val="00E31178"/>
    <w:rsid w:val="00E33E5D"/>
    <w:rsid w:val="00E35531"/>
    <w:rsid w:val="00E42A43"/>
    <w:rsid w:val="00E43E0F"/>
    <w:rsid w:val="00E451AE"/>
    <w:rsid w:val="00E478DD"/>
    <w:rsid w:val="00E47C9E"/>
    <w:rsid w:val="00E52182"/>
    <w:rsid w:val="00E526BB"/>
    <w:rsid w:val="00E53894"/>
    <w:rsid w:val="00E55F94"/>
    <w:rsid w:val="00E567C2"/>
    <w:rsid w:val="00E60A9C"/>
    <w:rsid w:val="00E61BDA"/>
    <w:rsid w:val="00E67115"/>
    <w:rsid w:val="00E672CE"/>
    <w:rsid w:val="00E70C36"/>
    <w:rsid w:val="00E722EF"/>
    <w:rsid w:val="00E72FDE"/>
    <w:rsid w:val="00E748B0"/>
    <w:rsid w:val="00E75E30"/>
    <w:rsid w:val="00E84B04"/>
    <w:rsid w:val="00E86012"/>
    <w:rsid w:val="00E861EE"/>
    <w:rsid w:val="00E87556"/>
    <w:rsid w:val="00E9296E"/>
    <w:rsid w:val="00E97FD1"/>
    <w:rsid w:val="00EA695D"/>
    <w:rsid w:val="00EA6C5B"/>
    <w:rsid w:val="00EB241B"/>
    <w:rsid w:val="00EB3322"/>
    <w:rsid w:val="00EB3D64"/>
    <w:rsid w:val="00EB3F62"/>
    <w:rsid w:val="00EB4645"/>
    <w:rsid w:val="00EB5377"/>
    <w:rsid w:val="00EB64EC"/>
    <w:rsid w:val="00EB698F"/>
    <w:rsid w:val="00EC0414"/>
    <w:rsid w:val="00EC06EC"/>
    <w:rsid w:val="00EC142C"/>
    <w:rsid w:val="00EC23B0"/>
    <w:rsid w:val="00EC2C2E"/>
    <w:rsid w:val="00EC2C88"/>
    <w:rsid w:val="00EC2DD5"/>
    <w:rsid w:val="00EC51B0"/>
    <w:rsid w:val="00EC5AAC"/>
    <w:rsid w:val="00EC75BB"/>
    <w:rsid w:val="00ED2F27"/>
    <w:rsid w:val="00ED4B44"/>
    <w:rsid w:val="00ED53FF"/>
    <w:rsid w:val="00ED7D85"/>
    <w:rsid w:val="00EE2543"/>
    <w:rsid w:val="00EE32E4"/>
    <w:rsid w:val="00EE383E"/>
    <w:rsid w:val="00EE4E89"/>
    <w:rsid w:val="00EE6321"/>
    <w:rsid w:val="00EE71AA"/>
    <w:rsid w:val="00EE7674"/>
    <w:rsid w:val="00EE7C93"/>
    <w:rsid w:val="00EF2869"/>
    <w:rsid w:val="00EF2F2B"/>
    <w:rsid w:val="00EF5681"/>
    <w:rsid w:val="00EF5F24"/>
    <w:rsid w:val="00EF64BE"/>
    <w:rsid w:val="00EF71C4"/>
    <w:rsid w:val="00F00DD2"/>
    <w:rsid w:val="00F024CA"/>
    <w:rsid w:val="00F04131"/>
    <w:rsid w:val="00F07449"/>
    <w:rsid w:val="00F07AE6"/>
    <w:rsid w:val="00F1063F"/>
    <w:rsid w:val="00F109E2"/>
    <w:rsid w:val="00F139D4"/>
    <w:rsid w:val="00F15D0A"/>
    <w:rsid w:val="00F174C3"/>
    <w:rsid w:val="00F17E34"/>
    <w:rsid w:val="00F2314A"/>
    <w:rsid w:val="00F23F7F"/>
    <w:rsid w:val="00F24CC1"/>
    <w:rsid w:val="00F2663E"/>
    <w:rsid w:val="00F316E9"/>
    <w:rsid w:val="00F33025"/>
    <w:rsid w:val="00F342D0"/>
    <w:rsid w:val="00F35616"/>
    <w:rsid w:val="00F40010"/>
    <w:rsid w:val="00F42D3A"/>
    <w:rsid w:val="00F43A6E"/>
    <w:rsid w:val="00F4402E"/>
    <w:rsid w:val="00F516AD"/>
    <w:rsid w:val="00F54005"/>
    <w:rsid w:val="00F56D49"/>
    <w:rsid w:val="00F56DC9"/>
    <w:rsid w:val="00F623A9"/>
    <w:rsid w:val="00F62E75"/>
    <w:rsid w:val="00F65135"/>
    <w:rsid w:val="00F651BC"/>
    <w:rsid w:val="00F659E1"/>
    <w:rsid w:val="00F667A8"/>
    <w:rsid w:val="00F70DD5"/>
    <w:rsid w:val="00F710D6"/>
    <w:rsid w:val="00F71E2D"/>
    <w:rsid w:val="00F720E0"/>
    <w:rsid w:val="00F72162"/>
    <w:rsid w:val="00F72248"/>
    <w:rsid w:val="00F7439A"/>
    <w:rsid w:val="00F75528"/>
    <w:rsid w:val="00F80EC8"/>
    <w:rsid w:val="00F82D4F"/>
    <w:rsid w:val="00F83EC2"/>
    <w:rsid w:val="00F83F26"/>
    <w:rsid w:val="00F843DD"/>
    <w:rsid w:val="00F84D76"/>
    <w:rsid w:val="00F84DD3"/>
    <w:rsid w:val="00F8520B"/>
    <w:rsid w:val="00F855C9"/>
    <w:rsid w:val="00F85985"/>
    <w:rsid w:val="00F87FEA"/>
    <w:rsid w:val="00F91575"/>
    <w:rsid w:val="00F916AD"/>
    <w:rsid w:val="00F92DA9"/>
    <w:rsid w:val="00F937B6"/>
    <w:rsid w:val="00F93B45"/>
    <w:rsid w:val="00F94C55"/>
    <w:rsid w:val="00F97C68"/>
    <w:rsid w:val="00FA1C7B"/>
    <w:rsid w:val="00FA31A5"/>
    <w:rsid w:val="00FA4252"/>
    <w:rsid w:val="00FA4F56"/>
    <w:rsid w:val="00FA6D40"/>
    <w:rsid w:val="00FB1F30"/>
    <w:rsid w:val="00FB383C"/>
    <w:rsid w:val="00FC25BA"/>
    <w:rsid w:val="00FC319F"/>
    <w:rsid w:val="00FC4249"/>
    <w:rsid w:val="00FC532A"/>
    <w:rsid w:val="00FC7783"/>
    <w:rsid w:val="00FD0448"/>
    <w:rsid w:val="00FD0724"/>
    <w:rsid w:val="00FD11F3"/>
    <w:rsid w:val="00FD2CAE"/>
    <w:rsid w:val="00FD2CCB"/>
    <w:rsid w:val="00FD4766"/>
    <w:rsid w:val="00FD665F"/>
    <w:rsid w:val="00FE1C28"/>
    <w:rsid w:val="00FE3F19"/>
    <w:rsid w:val="00FE5E97"/>
    <w:rsid w:val="00FE5FF4"/>
    <w:rsid w:val="00FE73ED"/>
    <w:rsid w:val="00FE75C1"/>
    <w:rsid w:val="00FF06DF"/>
    <w:rsid w:val="00FF2B1E"/>
    <w:rsid w:val="00FF43EF"/>
    <w:rsid w:val="00FF51A1"/>
    <w:rsid w:val="00FF5C75"/>
    <w:rsid w:val="00FF6B1E"/>
    <w:rsid w:val="00FF7A29"/>
    <w:rsid w:val="01017948"/>
    <w:rsid w:val="01031C04"/>
    <w:rsid w:val="01084A05"/>
    <w:rsid w:val="01163E93"/>
    <w:rsid w:val="011E72F3"/>
    <w:rsid w:val="013E3550"/>
    <w:rsid w:val="01494C2C"/>
    <w:rsid w:val="0149619E"/>
    <w:rsid w:val="01530028"/>
    <w:rsid w:val="015B4FE6"/>
    <w:rsid w:val="015B7657"/>
    <w:rsid w:val="016F226C"/>
    <w:rsid w:val="01721251"/>
    <w:rsid w:val="017F75FC"/>
    <w:rsid w:val="018362EB"/>
    <w:rsid w:val="01876257"/>
    <w:rsid w:val="018F32BE"/>
    <w:rsid w:val="01907945"/>
    <w:rsid w:val="01932323"/>
    <w:rsid w:val="01A06018"/>
    <w:rsid w:val="01AE0913"/>
    <w:rsid w:val="01B43FFD"/>
    <w:rsid w:val="01B72459"/>
    <w:rsid w:val="01BB244A"/>
    <w:rsid w:val="01BF5411"/>
    <w:rsid w:val="01CF1530"/>
    <w:rsid w:val="01DA727F"/>
    <w:rsid w:val="01DB4962"/>
    <w:rsid w:val="01DF7A21"/>
    <w:rsid w:val="01E53739"/>
    <w:rsid w:val="01E82028"/>
    <w:rsid w:val="01F634C7"/>
    <w:rsid w:val="020E0C87"/>
    <w:rsid w:val="021D04ED"/>
    <w:rsid w:val="0226046E"/>
    <w:rsid w:val="023A45F8"/>
    <w:rsid w:val="024C6E61"/>
    <w:rsid w:val="024F35BF"/>
    <w:rsid w:val="025B522F"/>
    <w:rsid w:val="028B1CBA"/>
    <w:rsid w:val="028B2D8B"/>
    <w:rsid w:val="028F40F5"/>
    <w:rsid w:val="0292090C"/>
    <w:rsid w:val="0299077F"/>
    <w:rsid w:val="02A94A90"/>
    <w:rsid w:val="02AA0E66"/>
    <w:rsid w:val="02AF7852"/>
    <w:rsid w:val="02B24426"/>
    <w:rsid w:val="02B24ABE"/>
    <w:rsid w:val="02B30282"/>
    <w:rsid w:val="02DD7AB9"/>
    <w:rsid w:val="02E54B43"/>
    <w:rsid w:val="02EF3F5D"/>
    <w:rsid w:val="02F61A11"/>
    <w:rsid w:val="02F70F8D"/>
    <w:rsid w:val="03104C69"/>
    <w:rsid w:val="03117A44"/>
    <w:rsid w:val="031400CD"/>
    <w:rsid w:val="03176F89"/>
    <w:rsid w:val="032E0D4E"/>
    <w:rsid w:val="033B6F34"/>
    <w:rsid w:val="03441448"/>
    <w:rsid w:val="035E3DE4"/>
    <w:rsid w:val="0366395B"/>
    <w:rsid w:val="036C2D68"/>
    <w:rsid w:val="0370470B"/>
    <w:rsid w:val="037F5DED"/>
    <w:rsid w:val="03823E9F"/>
    <w:rsid w:val="038302EE"/>
    <w:rsid w:val="038D06BC"/>
    <w:rsid w:val="038E5020"/>
    <w:rsid w:val="03943BE4"/>
    <w:rsid w:val="03976CB0"/>
    <w:rsid w:val="03A15B4A"/>
    <w:rsid w:val="03A8541E"/>
    <w:rsid w:val="03C3431D"/>
    <w:rsid w:val="03C82CE7"/>
    <w:rsid w:val="03CE4FBC"/>
    <w:rsid w:val="03D218CC"/>
    <w:rsid w:val="03D7151A"/>
    <w:rsid w:val="03EC0ADA"/>
    <w:rsid w:val="03EF2B33"/>
    <w:rsid w:val="03F359AA"/>
    <w:rsid w:val="04303736"/>
    <w:rsid w:val="04437D85"/>
    <w:rsid w:val="044B7594"/>
    <w:rsid w:val="044C4D8D"/>
    <w:rsid w:val="044E786B"/>
    <w:rsid w:val="04533482"/>
    <w:rsid w:val="04561FC9"/>
    <w:rsid w:val="04650E5C"/>
    <w:rsid w:val="04822B01"/>
    <w:rsid w:val="04845678"/>
    <w:rsid w:val="04846212"/>
    <w:rsid w:val="0491690C"/>
    <w:rsid w:val="04931CE5"/>
    <w:rsid w:val="04953D35"/>
    <w:rsid w:val="04A04D11"/>
    <w:rsid w:val="04B8442C"/>
    <w:rsid w:val="04B861B4"/>
    <w:rsid w:val="04BB13BE"/>
    <w:rsid w:val="04C406AA"/>
    <w:rsid w:val="04C74F48"/>
    <w:rsid w:val="04C90826"/>
    <w:rsid w:val="04CD7D05"/>
    <w:rsid w:val="04D14DE8"/>
    <w:rsid w:val="04D26F15"/>
    <w:rsid w:val="04D8694E"/>
    <w:rsid w:val="04E14F2A"/>
    <w:rsid w:val="04E75F1C"/>
    <w:rsid w:val="04F2177A"/>
    <w:rsid w:val="04F90005"/>
    <w:rsid w:val="04FA5DFF"/>
    <w:rsid w:val="051504D9"/>
    <w:rsid w:val="05233DB3"/>
    <w:rsid w:val="052F37BC"/>
    <w:rsid w:val="054A15F9"/>
    <w:rsid w:val="055407BE"/>
    <w:rsid w:val="055D7449"/>
    <w:rsid w:val="05660CFD"/>
    <w:rsid w:val="05665D07"/>
    <w:rsid w:val="057D39ED"/>
    <w:rsid w:val="05805807"/>
    <w:rsid w:val="0585197B"/>
    <w:rsid w:val="058768B5"/>
    <w:rsid w:val="058C7E64"/>
    <w:rsid w:val="05911CB9"/>
    <w:rsid w:val="05923AF4"/>
    <w:rsid w:val="05963249"/>
    <w:rsid w:val="05990CB0"/>
    <w:rsid w:val="059960DD"/>
    <w:rsid w:val="059B33D1"/>
    <w:rsid w:val="05A462ED"/>
    <w:rsid w:val="05AE5DE1"/>
    <w:rsid w:val="05B95F12"/>
    <w:rsid w:val="05BB6388"/>
    <w:rsid w:val="05C15072"/>
    <w:rsid w:val="05C769BF"/>
    <w:rsid w:val="05D03D33"/>
    <w:rsid w:val="05F916FC"/>
    <w:rsid w:val="061515C8"/>
    <w:rsid w:val="06162DE0"/>
    <w:rsid w:val="0617725D"/>
    <w:rsid w:val="061D5B5F"/>
    <w:rsid w:val="062914F0"/>
    <w:rsid w:val="062B1DDB"/>
    <w:rsid w:val="0634018D"/>
    <w:rsid w:val="0635439B"/>
    <w:rsid w:val="06442A10"/>
    <w:rsid w:val="064C67A7"/>
    <w:rsid w:val="06510766"/>
    <w:rsid w:val="06512676"/>
    <w:rsid w:val="0654794A"/>
    <w:rsid w:val="06580B11"/>
    <w:rsid w:val="06645EF0"/>
    <w:rsid w:val="066A7A79"/>
    <w:rsid w:val="066D7035"/>
    <w:rsid w:val="06714A45"/>
    <w:rsid w:val="067803E8"/>
    <w:rsid w:val="06862967"/>
    <w:rsid w:val="069D39AB"/>
    <w:rsid w:val="06A27815"/>
    <w:rsid w:val="06A56461"/>
    <w:rsid w:val="06A72D36"/>
    <w:rsid w:val="06AA1506"/>
    <w:rsid w:val="06BB4D3F"/>
    <w:rsid w:val="06BD7B73"/>
    <w:rsid w:val="06C6781D"/>
    <w:rsid w:val="06CE09F2"/>
    <w:rsid w:val="06DF0467"/>
    <w:rsid w:val="06E179B4"/>
    <w:rsid w:val="06E53970"/>
    <w:rsid w:val="06EC71A6"/>
    <w:rsid w:val="06EE2458"/>
    <w:rsid w:val="06EF7087"/>
    <w:rsid w:val="06F02B1A"/>
    <w:rsid w:val="07062E71"/>
    <w:rsid w:val="070A28EA"/>
    <w:rsid w:val="07104A49"/>
    <w:rsid w:val="07112C6D"/>
    <w:rsid w:val="071B47E7"/>
    <w:rsid w:val="07431C2D"/>
    <w:rsid w:val="07446D89"/>
    <w:rsid w:val="076C0191"/>
    <w:rsid w:val="076E3085"/>
    <w:rsid w:val="0786432F"/>
    <w:rsid w:val="079F187C"/>
    <w:rsid w:val="07A07925"/>
    <w:rsid w:val="07A726F6"/>
    <w:rsid w:val="07B40FAC"/>
    <w:rsid w:val="07B85F5A"/>
    <w:rsid w:val="07C07C6C"/>
    <w:rsid w:val="07C531CC"/>
    <w:rsid w:val="07C73819"/>
    <w:rsid w:val="07D75976"/>
    <w:rsid w:val="07DF4733"/>
    <w:rsid w:val="07DF7F6F"/>
    <w:rsid w:val="07FD01C8"/>
    <w:rsid w:val="08002164"/>
    <w:rsid w:val="0800697D"/>
    <w:rsid w:val="08114F0B"/>
    <w:rsid w:val="08162582"/>
    <w:rsid w:val="08273624"/>
    <w:rsid w:val="082A5712"/>
    <w:rsid w:val="083A6F7A"/>
    <w:rsid w:val="085B2273"/>
    <w:rsid w:val="085F65C7"/>
    <w:rsid w:val="08607386"/>
    <w:rsid w:val="087A7F7F"/>
    <w:rsid w:val="088A44EE"/>
    <w:rsid w:val="088D63EF"/>
    <w:rsid w:val="089135F4"/>
    <w:rsid w:val="08934572"/>
    <w:rsid w:val="0899026A"/>
    <w:rsid w:val="089B73F4"/>
    <w:rsid w:val="08B0248A"/>
    <w:rsid w:val="08BA5D0B"/>
    <w:rsid w:val="08BD20E2"/>
    <w:rsid w:val="08DB1266"/>
    <w:rsid w:val="08EA32D1"/>
    <w:rsid w:val="08FC0BFF"/>
    <w:rsid w:val="09040A03"/>
    <w:rsid w:val="09044ABA"/>
    <w:rsid w:val="090637DE"/>
    <w:rsid w:val="090806E0"/>
    <w:rsid w:val="090A1998"/>
    <w:rsid w:val="09122869"/>
    <w:rsid w:val="09181A0E"/>
    <w:rsid w:val="091C32AD"/>
    <w:rsid w:val="092F6DC9"/>
    <w:rsid w:val="09320C15"/>
    <w:rsid w:val="09392D0E"/>
    <w:rsid w:val="09417A29"/>
    <w:rsid w:val="09484ED5"/>
    <w:rsid w:val="0956292C"/>
    <w:rsid w:val="095656F2"/>
    <w:rsid w:val="095A4B89"/>
    <w:rsid w:val="095E0134"/>
    <w:rsid w:val="09685FAB"/>
    <w:rsid w:val="097C13B8"/>
    <w:rsid w:val="097E746A"/>
    <w:rsid w:val="098350DA"/>
    <w:rsid w:val="098C2F56"/>
    <w:rsid w:val="0995059C"/>
    <w:rsid w:val="09995579"/>
    <w:rsid w:val="099E52CB"/>
    <w:rsid w:val="09A45C60"/>
    <w:rsid w:val="09C35E1E"/>
    <w:rsid w:val="09CB15CF"/>
    <w:rsid w:val="09D51589"/>
    <w:rsid w:val="09EA33AB"/>
    <w:rsid w:val="09EB3F3B"/>
    <w:rsid w:val="0A0750CC"/>
    <w:rsid w:val="0A0F1ECD"/>
    <w:rsid w:val="0A121A20"/>
    <w:rsid w:val="0A2F491B"/>
    <w:rsid w:val="0A5276CE"/>
    <w:rsid w:val="0A7470D6"/>
    <w:rsid w:val="0A7C2687"/>
    <w:rsid w:val="0A81303B"/>
    <w:rsid w:val="0A8B17D8"/>
    <w:rsid w:val="0A983F6E"/>
    <w:rsid w:val="0A9E16FB"/>
    <w:rsid w:val="0AA74DF8"/>
    <w:rsid w:val="0AC0160E"/>
    <w:rsid w:val="0ACE2EA4"/>
    <w:rsid w:val="0AD16A32"/>
    <w:rsid w:val="0AE27370"/>
    <w:rsid w:val="0AE827B0"/>
    <w:rsid w:val="0AF67B2D"/>
    <w:rsid w:val="0B016F5E"/>
    <w:rsid w:val="0B0F403B"/>
    <w:rsid w:val="0B14207C"/>
    <w:rsid w:val="0B15137B"/>
    <w:rsid w:val="0B1746CA"/>
    <w:rsid w:val="0B220BD3"/>
    <w:rsid w:val="0B282A04"/>
    <w:rsid w:val="0B2B5C33"/>
    <w:rsid w:val="0B416F66"/>
    <w:rsid w:val="0B597130"/>
    <w:rsid w:val="0B5E034C"/>
    <w:rsid w:val="0B636480"/>
    <w:rsid w:val="0B6529EF"/>
    <w:rsid w:val="0B8438FD"/>
    <w:rsid w:val="0B8D2F0B"/>
    <w:rsid w:val="0BA263A0"/>
    <w:rsid w:val="0BAB74B9"/>
    <w:rsid w:val="0BB05F2E"/>
    <w:rsid w:val="0BB20DE9"/>
    <w:rsid w:val="0BB46C54"/>
    <w:rsid w:val="0BB63437"/>
    <w:rsid w:val="0C0A5525"/>
    <w:rsid w:val="0C0A57DE"/>
    <w:rsid w:val="0C0E01FA"/>
    <w:rsid w:val="0C0E2143"/>
    <w:rsid w:val="0C1215B3"/>
    <w:rsid w:val="0C2F1549"/>
    <w:rsid w:val="0C35227D"/>
    <w:rsid w:val="0C46773A"/>
    <w:rsid w:val="0C50326D"/>
    <w:rsid w:val="0C5D3849"/>
    <w:rsid w:val="0C687DD8"/>
    <w:rsid w:val="0C6E7809"/>
    <w:rsid w:val="0C6F43A6"/>
    <w:rsid w:val="0C7847AD"/>
    <w:rsid w:val="0C7F0380"/>
    <w:rsid w:val="0C9804DF"/>
    <w:rsid w:val="0C9B6BDE"/>
    <w:rsid w:val="0CA16FAF"/>
    <w:rsid w:val="0CA32A7D"/>
    <w:rsid w:val="0CA80924"/>
    <w:rsid w:val="0CAA6B80"/>
    <w:rsid w:val="0CAF4E2B"/>
    <w:rsid w:val="0CC70D61"/>
    <w:rsid w:val="0CCD2546"/>
    <w:rsid w:val="0CD8398F"/>
    <w:rsid w:val="0CD850E7"/>
    <w:rsid w:val="0CF14360"/>
    <w:rsid w:val="0D045145"/>
    <w:rsid w:val="0D0F0BBE"/>
    <w:rsid w:val="0D20294A"/>
    <w:rsid w:val="0D3974D6"/>
    <w:rsid w:val="0D3D7C96"/>
    <w:rsid w:val="0D4205DC"/>
    <w:rsid w:val="0D5648B3"/>
    <w:rsid w:val="0D5A5575"/>
    <w:rsid w:val="0D615F46"/>
    <w:rsid w:val="0D8174B5"/>
    <w:rsid w:val="0D8408B7"/>
    <w:rsid w:val="0D886D1C"/>
    <w:rsid w:val="0D8A1BD2"/>
    <w:rsid w:val="0D8D286E"/>
    <w:rsid w:val="0D9755F8"/>
    <w:rsid w:val="0D9F3E12"/>
    <w:rsid w:val="0DAA2BB1"/>
    <w:rsid w:val="0DAD2225"/>
    <w:rsid w:val="0DAF6A3D"/>
    <w:rsid w:val="0DBC60F9"/>
    <w:rsid w:val="0DC43F13"/>
    <w:rsid w:val="0DC61A39"/>
    <w:rsid w:val="0DCC22FB"/>
    <w:rsid w:val="0DD34156"/>
    <w:rsid w:val="0DDA4D34"/>
    <w:rsid w:val="0E082111"/>
    <w:rsid w:val="0E0E6E3D"/>
    <w:rsid w:val="0E1126F9"/>
    <w:rsid w:val="0E124C7E"/>
    <w:rsid w:val="0E160A2D"/>
    <w:rsid w:val="0E1B6A54"/>
    <w:rsid w:val="0E236E8B"/>
    <w:rsid w:val="0E29487F"/>
    <w:rsid w:val="0E2C514F"/>
    <w:rsid w:val="0E3E66AD"/>
    <w:rsid w:val="0E421347"/>
    <w:rsid w:val="0E572D6C"/>
    <w:rsid w:val="0E585EA4"/>
    <w:rsid w:val="0E5A10DE"/>
    <w:rsid w:val="0E66736E"/>
    <w:rsid w:val="0E7145BF"/>
    <w:rsid w:val="0E882E15"/>
    <w:rsid w:val="0EA34551"/>
    <w:rsid w:val="0EAF44D8"/>
    <w:rsid w:val="0ED47B5A"/>
    <w:rsid w:val="0EDC2DF7"/>
    <w:rsid w:val="0EE4218F"/>
    <w:rsid w:val="0EE63C63"/>
    <w:rsid w:val="0EFE248B"/>
    <w:rsid w:val="0F0A7A38"/>
    <w:rsid w:val="0F165B9E"/>
    <w:rsid w:val="0F167E69"/>
    <w:rsid w:val="0F467233"/>
    <w:rsid w:val="0F4A3D3C"/>
    <w:rsid w:val="0F4C5F6E"/>
    <w:rsid w:val="0F4C70F5"/>
    <w:rsid w:val="0F5B5FD3"/>
    <w:rsid w:val="0F614806"/>
    <w:rsid w:val="0F742C42"/>
    <w:rsid w:val="0F7C0735"/>
    <w:rsid w:val="0F8C0AB4"/>
    <w:rsid w:val="0F9E1DE0"/>
    <w:rsid w:val="0FA00F94"/>
    <w:rsid w:val="0FA067BC"/>
    <w:rsid w:val="0FAF615D"/>
    <w:rsid w:val="0FCF3A9B"/>
    <w:rsid w:val="0FD53E41"/>
    <w:rsid w:val="0FD8068E"/>
    <w:rsid w:val="10044A9B"/>
    <w:rsid w:val="10063F2E"/>
    <w:rsid w:val="10174286"/>
    <w:rsid w:val="10174681"/>
    <w:rsid w:val="10240293"/>
    <w:rsid w:val="102614D3"/>
    <w:rsid w:val="102818A0"/>
    <w:rsid w:val="102D459C"/>
    <w:rsid w:val="10321FB3"/>
    <w:rsid w:val="103B4960"/>
    <w:rsid w:val="103C1A75"/>
    <w:rsid w:val="10444429"/>
    <w:rsid w:val="105B2F7A"/>
    <w:rsid w:val="1087681E"/>
    <w:rsid w:val="1087710B"/>
    <w:rsid w:val="109966E1"/>
    <w:rsid w:val="10A96D3C"/>
    <w:rsid w:val="10B93AD7"/>
    <w:rsid w:val="10CC410A"/>
    <w:rsid w:val="10CD426E"/>
    <w:rsid w:val="10DC7404"/>
    <w:rsid w:val="110927A3"/>
    <w:rsid w:val="11194576"/>
    <w:rsid w:val="11196A9C"/>
    <w:rsid w:val="11280014"/>
    <w:rsid w:val="113A6663"/>
    <w:rsid w:val="113B7F94"/>
    <w:rsid w:val="11436963"/>
    <w:rsid w:val="114F7E4E"/>
    <w:rsid w:val="115D4FF9"/>
    <w:rsid w:val="116021A5"/>
    <w:rsid w:val="11750EB3"/>
    <w:rsid w:val="117739F1"/>
    <w:rsid w:val="117956CA"/>
    <w:rsid w:val="118B1D98"/>
    <w:rsid w:val="118D509A"/>
    <w:rsid w:val="11967418"/>
    <w:rsid w:val="1197600A"/>
    <w:rsid w:val="11A81B26"/>
    <w:rsid w:val="11AA0589"/>
    <w:rsid w:val="11B04EDA"/>
    <w:rsid w:val="11B64E9B"/>
    <w:rsid w:val="11BF67BD"/>
    <w:rsid w:val="11DA4E06"/>
    <w:rsid w:val="11DF3712"/>
    <w:rsid w:val="11F216EC"/>
    <w:rsid w:val="11F748B7"/>
    <w:rsid w:val="11FB530D"/>
    <w:rsid w:val="121E652A"/>
    <w:rsid w:val="124832B1"/>
    <w:rsid w:val="124B1B30"/>
    <w:rsid w:val="124C0369"/>
    <w:rsid w:val="124C5169"/>
    <w:rsid w:val="124F0E6A"/>
    <w:rsid w:val="124F5DBE"/>
    <w:rsid w:val="125510DB"/>
    <w:rsid w:val="1255782F"/>
    <w:rsid w:val="126A612E"/>
    <w:rsid w:val="12722EB8"/>
    <w:rsid w:val="12962350"/>
    <w:rsid w:val="12BB57C7"/>
    <w:rsid w:val="12C16C73"/>
    <w:rsid w:val="12D22B3E"/>
    <w:rsid w:val="12EB6997"/>
    <w:rsid w:val="12FC5744"/>
    <w:rsid w:val="12FF594C"/>
    <w:rsid w:val="130363E4"/>
    <w:rsid w:val="13051255"/>
    <w:rsid w:val="131A2E0A"/>
    <w:rsid w:val="134947B2"/>
    <w:rsid w:val="135079C0"/>
    <w:rsid w:val="135974C7"/>
    <w:rsid w:val="135C647F"/>
    <w:rsid w:val="13626380"/>
    <w:rsid w:val="1368549B"/>
    <w:rsid w:val="136F1FA2"/>
    <w:rsid w:val="136F4BA0"/>
    <w:rsid w:val="137530C0"/>
    <w:rsid w:val="137659FE"/>
    <w:rsid w:val="1379798A"/>
    <w:rsid w:val="137C194F"/>
    <w:rsid w:val="1393490E"/>
    <w:rsid w:val="13975FDC"/>
    <w:rsid w:val="13985C26"/>
    <w:rsid w:val="1399016C"/>
    <w:rsid w:val="13A74F45"/>
    <w:rsid w:val="13AD7F33"/>
    <w:rsid w:val="13D17D24"/>
    <w:rsid w:val="13DD7ADC"/>
    <w:rsid w:val="13E6693C"/>
    <w:rsid w:val="13EA415B"/>
    <w:rsid w:val="13EF2A84"/>
    <w:rsid w:val="14007C81"/>
    <w:rsid w:val="14011A1D"/>
    <w:rsid w:val="14034DA0"/>
    <w:rsid w:val="14057FBF"/>
    <w:rsid w:val="1410675C"/>
    <w:rsid w:val="14132899"/>
    <w:rsid w:val="1417341A"/>
    <w:rsid w:val="143C792F"/>
    <w:rsid w:val="14544069"/>
    <w:rsid w:val="146464DC"/>
    <w:rsid w:val="14777564"/>
    <w:rsid w:val="147C57F8"/>
    <w:rsid w:val="14825104"/>
    <w:rsid w:val="149E0D95"/>
    <w:rsid w:val="14AD2E2B"/>
    <w:rsid w:val="14BF1DEB"/>
    <w:rsid w:val="14C533F5"/>
    <w:rsid w:val="14DC3D51"/>
    <w:rsid w:val="150567DB"/>
    <w:rsid w:val="150D74E2"/>
    <w:rsid w:val="1510411E"/>
    <w:rsid w:val="152A2FDE"/>
    <w:rsid w:val="15412DE5"/>
    <w:rsid w:val="15466D60"/>
    <w:rsid w:val="1547419D"/>
    <w:rsid w:val="15486C45"/>
    <w:rsid w:val="154A14C2"/>
    <w:rsid w:val="154A66E7"/>
    <w:rsid w:val="15602773"/>
    <w:rsid w:val="15785D0F"/>
    <w:rsid w:val="15793D3A"/>
    <w:rsid w:val="157D2584"/>
    <w:rsid w:val="15973CBB"/>
    <w:rsid w:val="15A83398"/>
    <w:rsid w:val="15AF18F2"/>
    <w:rsid w:val="15B35510"/>
    <w:rsid w:val="15D420DE"/>
    <w:rsid w:val="15D80213"/>
    <w:rsid w:val="15DD68D0"/>
    <w:rsid w:val="15E61EF6"/>
    <w:rsid w:val="15EC1571"/>
    <w:rsid w:val="15ED4A05"/>
    <w:rsid w:val="15F83F53"/>
    <w:rsid w:val="15FE1230"/>
    <w:rsid w:val="1604115B"/>
    <w:rsid w:val="16096967"/>
    <w:rsid w:val="160C06DB"/>
    <w:rsid w:val="160F21BC"/>
    <w:rsid w:val="16130BAE"/>
    <w:rsid w:val="161604F6"/>
    <w:rsid w:val="161668C3"/>
    <w:rsid w:val="1618304E"/>
    <w:rsid w:val="16184DFC"/>
    <w:rsid w:val="161B05B3"/>
    <w:rsid w:val="16242AE2"/>
    <w:rsid w:val="16330354"/>
    <w:rsid w:val="1634550A"/>
    <w:rsid w:val="165043CE"/>
    <w:rsid w:val="167504A0"/>
    <w:rsid w:val="16862582"/>
    <w:rsid w:val="16A37178"/>
    <w:rsid w:val="16B20DAC"/>
    <w:rsid w:val="16B850C0"/>
    <w:rsid w:val="16C15FB6"/>
    <w:rsid w:val="16CF3171"/>
    <w:rsid w:val="16D306E3"/>
    <w:rsid w:val="16D407EA"/>
    <w:rsid w:val="16D83C4D"/>
    <w:rsid w:val="16D9120B"/>
    <w:rsid w:val="16EF3335"/>
    <w:rsid w:val="16F72EA6"/>
    <w:rsid w:val="16F818FA"/>
    <w:rsid w:val="17047EDA"/>
    <w:rsid w:val="17071B56"/>
    <w:rsid w:val="170B0881"/>
    <w:rsid w:val="17130511"/>
    <w:rsid w:val="171657DF"/>
    <w:rsid w:val="171F4A38"/>
    <w:rsid w:val="17366659"/>
    <w:rsid w:val="173B7F62"/>
    <w:rsid w:val="17495799"/>
    <w:rsid w:val="174F244F"/>
    <w:rsid w:val="175400B6"/>
    <w:rsid w:val="17567378"/>
    <w:rsid w:val="1759391E"/>
    <w:rsid w:val="175F5875"/>
    <w:rsid w:val="17656B71"/>
    <w:rsid w:val="176A3F62"/>
    <w:rsid w:val="177644D0"/>
    <w:rsid w:val="177A6C1D"/>
    <w:rsid w:val="177B2113"/>
    <w:rsid w:val="177D4EED"/>
    <w:rsid w:val="177E40A8"/>
    <w:rsid w:val="177F5440"/>
    <w:rsid w:val="1780739A"/>
    <w:rsid w:val="178C0424"/>
    <w:rsid w:val="1790541C"/>
    <w:rsid w:val="1793134D"/>
    <w:rsid w:val="179672AA"/>
    <w:rsid w:val="17A45508"/>
    <w:rsid w:val="17A83E5E"/>
    <w:rsid w:val="17B01B03"/>
    <w:rsid w:val="17BC79A4"/>
    <w:rsid w:val="17C118B0"/>
    <w:rsid w:val="17C50794"/>
    <w:rsid w:val="17C87CB0"/>
    <w:rsid w:val="17CE697D"/>
    <w:rsid w:val="17D86F39"/>
    <w:rsid w:val="17F81222"/>
    <w:rsid w:val="17FA66B9"/>
    <w:rsid w:val="1807571C"/>
    <w:rsid w:val="181A0C10"/>
    <w:rsid w:val="18213C4E"/>
    <w:rsid w:val="1833416F"/>
    <w:rsid w:val="18557844"/>
    <w:rsid w:val="185D4F09"/>
    <w:rsid w:val="1862216F"/>
    <w:rsid w:val="18635B7C"/>
    <w:rsid w:val="18716A45"/>
    <w:rsid w:val="18755151"/>
    <w:rsid w:val="18757761"/>
    <w:rsid w:val="189447A9"/>
    <w:rsid w:val="18A27B3C"/>
    <w:rsid w:val="18A80781"/>
    <w:rsid w:val="18BA32D2"/>
    <w:rsid w:val="18BA663E"/>
    <w:rsid w:val="18C37B56"/>
    <w:rsid w:val="18C42F9B"/>
    <w:rsid w:val="18C82496"/>
    <w:rsid w:val="18C94437"/>
    <w:rsid w:val="18DF3AC0"/>
    <w:rsid w:val="18E63C50"/>
    <w:rsid w:val="18EA5D69"/>
    <w:rsid w:val="18F25DD8"/>
    <w:rsid w:val="19137BA4"/>
    <w:rsid w:val="191C4C03"/>
    <w:rsid w:val="19234009"/>
    <w:rsid w:val="192D606D"/>
    <w:rsid w:val="193163BA"/>
    <w:rsid w:val="193628A2"/>
    <w:rsid w:val="194C75C6"/>
    <w:rsid w:val="195206AD"/>
    <w:rsid w:val="19596730"/>
    <w:rsid w:val="195B5262"/>
    <w:rsid w:val="196071E6"/>
    <w:rsid w:val="19611E60"/>
    <w:rsid w:val="19701B4C"/>
    <w:rsid w:val="19720DF8"/>
    <w:rsid w:val="197E7A5F"/>
    <w:rsid w:val="198C4895"/>
    <w:rsid w:val="19AA0461"/>
    <w:rsid w:val="19C35DCD"/>
    <w:rsid w:val="19C556BC"/>
    <w:rsid w:val="19CF55DB"/>
    <w:rsid w:val="19D26AF5"/>
    <w:rsid w:val="19D516A1"/>
    <w:rsid w:val="19E478A1"/>
    <w:rsid w:val="19E92FBB"/>
    <w:rsid w:val="19EA1FA2"/>
    <w:rsid w:val="19FE3772"/>
    <w:rsid w:val="1A0369B5"/>
    <w:rsid w:val="1A057641"/>
    <w:rsid w:val="1A057D8D"/>
    <w:rsid w:val="1A0A4846"/>
    <w:rsid w:val="1A143050"/>
    <w:rsid w:val="1A197394"/>
    <w:rsid w:val="1A2076D0"/>
    <w:rsid w:val="1A230036"/>
    <w:rsid w:val="1A234395"/>
    <w:rsid w:val="1A3B36DD"/>
    <w:rsid w:val="1A3C2278"/>
    <w:rsid w:val="1A40351C"/>
    <w:rsid w:val="1A611745"/>
    <w:rsid w:val="1A642ADB"/>
    <w:rsid w:val="1A6A025E"/>
    <w:rsid w:val="1A6E5659"/>
    <w:rsid w:val="1A702B77"/>
    <w:rsid w:val="1A790F87"/>
    <w:rsid w:val="1A7B020E"/>
    <w:rsid w:val="1A7D0355"/>
    <w:rsid w:val="1A7E4804"/>
    <w:rsid w:val="1A831E1A"/>
    <w:rsid w:val="1A987552"/>
    <w:rsid w:val="1AA71957"/>
    <w:rsid w:val="1AAB33DD"/>
    <w:rsid w:val="1AB13A06"/>
    <w:rsid w:val="1AB26F84"/>
    <w:rsid w:val="1AB7268E"/>
    <w:rsid w:val="1ABA5B32"/>
    <w:rsid w:val="1AC31FAD"/>
    <w:rsid w:val="1ACB4B33"/>
    <w:rsid w:val="1AD0039B"/>
    <w:rsid w:val="1AD635FB"/>
    <w:rsid w:val="1ADB133B"/>
    <w:rsid w:val="1ADC1701"/>
    <w:rsid w:val="1AE27644"/>
    <w:rsid w:val="1AF90320"/>
    <w:rsid w:val="1B023D68"/>
    <w:rsid w:val="1B0A563E"/>
    <w:rsid w:val="1B0B334A"/>
    <w:rsid w:val="1B124037"/>
    <w:rsid w:val="1B1362F8"/>
    <w:rsid w:val="1B171B26"/>
    <w:rsid w:val="1B25620F"/>
    <w:rsid w:val="1B2B55D1"/>
    <w:rsid w:val="1B330E9B"/>
    <w:rsid w:val="1B353519"/>
    <w:rsid w:val="1B4B04C3"/>
    <w:rsid w:val="1B4C1981"/>
    <w:rsid w:val="1B536ED1"/>
    <w:rsid w:val="1B5D1455"/>
    <w:rsid w:val="1B83082F"/>
    <w:rsid w:val="1B9C3223"/>
    <w:rsid w:val="1BB13501"/>
    <w:rsid w:val="1BB52303"/>
    <w:rsid w:val="1BBE6748"/>
    <w:rsid w:val="1BC573BB"/>
    <w:rsid w:val="1BC872C4"/>
    <w:rsid w:val="1BD60C16"/>
    <w:rsid w:val="1BD73AB7"/>
    <w:rsid w:val="1BDC4FAC"/>
    <w:rsid w:val="1C0F0ABB"/>
    <w:rsid w:val="1C17611C"/>
    <w:rsid w:val="1C1B2763"/>
    <w:rsid w:val="1C1D30BD"/>
    <w:rsid w:val="1C2E1D20"/>
    <w:rsid w:val="1C2E6480"/>
    <w:rsid w:val="1C361ED6"/>
    <w:rsid w:val="1C406BD8"/>
    <w:rsid w:val="1C727C93"/>
    <w:rsid w:val="1C7A0240"/>
    <w:rsid w:val="1C822F5D"/>
    <w:rsid w:val="1C847DA8"/>
    <w:rsid w:val="1C871564"/>
    <w:rsid w:val="1C9018AA"/>
    <w:rsid w:val="1C944BFE"/>
    <w:rsid w:val="1C95766B"/>
    <w:rsid w:val="1C957DF0"/>
    <w:rsid w:val="1C985356"/>
    <w:rsid w:val="1CA23087"/>
    <w:rsid w:val="1CA95BB4"/>
    <w:rsid w:val="1CAE639B"/>
    <w:rsid w:val="1CBF5FD1"/>
    <w:rsid w:val="1CC158F1"/>
    <w:rsid w:val="1CD77764"/>
    <w:rsid w:val="1CDC4DD5"/>
    <w:rsid w:val="1CDF5833"/>
    <w:rsid w:val="1CF1208B"/>
    <w:rsid w:val="1CF3663F"/>
    <w:rsid w:val="1CFD69F1"/>
    <w:rsid w:val="1D062631"/>
    <w:rsid w:val="1D097B94"/>
    <w:rsid w:val="1D0A0488"/>
    <w:rsid w:val="1D0A2A1E"/>
    <w:rsid w:val="1D124501"/>
    <w:rsid w:val="1D1C2D71"/>
    <w:rsid w:val="1D2967D2"/>
    <w:rsid w:val="1D2E6A9D"/>
    <w:rsid w:val="1D33169F"/>
    <w:rsid w:val="1D346BBA"/>
    <w:rsid w:val="1D3818E3"/>
    <w:rsid w:val="1D3E0FBC"/>
    <w:rsid w:val="1D3F0B7A"/>
    <w:rsid w:val="1D420663"/>
    <w:rsid w:val="1D4D5368"/>
    <w:rsid w:val="1D6B43AB"/>
    <w:rsid w:val="1D6E50E7"/>
    <w:rsid w:val="1D7D18D5"/>
    <w:rsid w:val="1D831DD6"/>
    <w:rsid w:val="1D921A63"/>
    <w:rsid w:val="1D97065E"/>
    <w:rsid w:val="1DAF62CD"/>
    <w:rsid w:val="1DB66B3B"/>
    <w:rsid w:val="1DC9117B"/>
    <w:rsid w:val="1DCB7DC7"/>
    <w:rsid w:val="1DCC3F77"/>
    <w:rsid w:val="1DD90936"/>
    <w:rsid w:val="1DE2203C"/>
    <w:rsid w:val="1DEB2380"/>
    <w:rsid w:val="1DF93765"/>
    <w:rsid w:val="1DFA5BF6"/>
    <w:rsid w:val="1E033BE8"/>
    <w:rsid w:val="1E04512B"/>
    <w:rsid w:val="1E0761EC"/>
    <w:rsid w:val="1E1A4FF0"/>
    <w:rsid w:val="1E1B4FBE"/>
    <w:rsid w:val="1E2D48C4"/>
    <w:rsid w:val="1E370DE0"/>
    <w:rsid w:val="1E392D0A"/>
    <w:rsid w:val="1E3B1FF6"/>
    <w:rsid w:val="1E487D92"/>
    <w:rsid w:val="1E49739C"/>
    <w:rsid w:val="1E590DD1"/>
    <w:rsid w:val="1E5F7150"/>
    <w:rsid w:val="1E61132A"/>
    <w:rsid w:val="1E657AD9"/>
    <w:rsid w:val="1E76570A"/>
    <w:rsid w:val="1E7D5094"/>
    <w:rsid w:val="1EA17340"/>
    <w:rsid w:val="1EAB05E8"/>
    <w:rsid w:val="1EBC1DDC"/>
    <w:rsid w:val="1EBD6947"/>
    <w:rsid w:val="1ECE5175"/>
    <w:rsid w:val="1EDB4283"/>
    <w:rsid w:val="1EDF6243"/>
    <w:rsid w:val="1EEA603D"/>
    <w:rsid w:val="1EEE298E"/>
    <w:rsid w:val="1EF64EB4"/>
    <w:rsid w:val="1F00370B"/>
    <w:rsid w:val="1F016C2F"/>
    <w:rsid w:val="1F020C23"/>
    <w:rsid w:val="1F094D35"/>
    <w:rsid w:val="1F0C27F6"/>
    <w:rsid w:val="1F11206A"/>
    <w:rsid w:val="1F13648E"/>
    <w:rsid w:val="1F1C0F96"/>
    <w:rsid w:val="1F1D3483"/>
    <w:rsid w:val="1F2B08D2"/>
    <w:rsid w:val="1F453934"/>
    <w:rsid w:val="1F4A2109"/>
    <w:rsid w:val="1F4B43BA"/>
    <w:rsid w:val="1F4C30BB"/>
    <w:rsid w:val="1F5143C5"/>
    <w:rsid w:val="1F753E53"/>
    <w:rsid w:val="1F814AF0"/>
    <w:rsid w:val="1F8436E6"/>
    <w:rsid w:val="1F8A4E43"/>
    <w:rsid w:val="1F8F04FF"/>
    <w:rsid w:val="1F9564C0"/>
    <w:rsid w:val="1FA01547"/>
    <w:rsid w:val="1FA97E75"/>
    <w:rsid w:val="1FAE77A6"/>
    <w:rsid w:val="1FBA1928"/>
    <w:rsid w:val="1FBE56A1"/>
    <w:rsid w:val="1FBF453A"/>
    <w:rsid w:val="1FF1299C"/>
    <w:rsid w:val="1FF63CA5"/>
    <w:rsid w:val="1FF95155"/>
    <w:rsid w:val="1FFF19F2"/>
    <w:rsid w:val="20163E99"/>
    <w:rsid w:val="2018641E"/>
    <w:rsid w:val="201B4C5A"/>
    <w:rsid w:val="201B786B"/>
    <w:rsid w:val="202050CD"/>
    <w:rsid w:val="203017A6"/>
    <w:rsid w:val="20360ABC"/>
    <w:rsid w:val="20536730"/>
    <w:rsid w:val="207124E5"/>
    <w:rsid w:val="2076591A"/>
    <w:rsid w:val="20776154"/>
    <w:rsid w:val="20791893"/>
    <w:rsid w:val="20811D57"/>
    <w:rsid w:val="20850D87"/>
    <w:rsid w:val="20876524"/>
    <w:rsid w:val="208805ED"/>
    <w:rsid w:val="208A3AF0"/>
    <w:rsid w:val="209B6D55"/>
    <w:rsid w:val="209D6EB9"/>
    <w:rsid w:val="20AF62C6"/>
    <w:rsid w:val="20B65D3D"/>
    <w:rsid w:val="20BB3C3E"/>
    <w:rsid w:val="20D6616D"/>
    <w:rsid w:val="20D93F1F"/>
    <w:rsid w:val="20DC6DF4"/>
    <w:rsid w:val="20F70AB5"/>
    <w:rsid w:val="210533DA"/>
    <w:rsid w:val="21142194"/>
    <w:rsid w:val="21262AC3"/>
    <w:rsid w:val="212B53A9"/>
    <w:rsid w:val="213B19AC"/>
    <w:rsid w:val="213D6C62"/>
    <w:rsid w:val="21461254"/>
    <w:rsid w:val="214C004F"/>
    <w:rsid w:val="214E6B14"/>
    <w:rsid w:val="21623AFF"/>
    <w:rsid w:val="216C49EB"/>
    <w:rsid w:val="217073DD"/>
    <w:rsid w:val="218F06EB"/>
    <w:rsid w:val="218F3D16"/>
    <w:rsid w:val="219D0405"/>
    <w:rsid w:val="21A55706"/>
    <w:rsid w:val="21A730C8"/>
    <w:rsid w:val="21B8623C"/>
    <w:rsid w:val="21C347B6"/>
    <w:rsid w:val="21DA0BC6"/>
    <w:rsid w:val="21E300BE"/>
    <w:rsid w:val="22084C34"/>
    <w:rsid w:val="220E5A6A"/>
    <w:rsid w:val="221943D6"/>
    <w:rsid w:val="223A040D"/>
    <w:rsid w:val="223D420E"/>
    <w:rsid w:val="22431BCD"/>
    <w:rsid w:val="224E0583"/>
    <w:rsid w:val="225B749A"/>
    <w:rsid w:val="2265761B"/>
    <w:rsid w:val="226D45ED"/>
    <w:rsid w:val="227B7251"/>
    <w:rsid w:val="228316AC"/>
    <w:rsid w:val="228E37A1"/>
    <w:rsid w:val="229B4DEB"/>
    <w:rsid w:val="22A36191"/>
    <w:rsid w:val="22AE27F2"/>
    <w:rsid w:val="22AF3E28"/>
    <w:rsid w:val="22B248D1"/>
    <w:rsid w:val="22BB548D"/>
    <w:rsid w:val="22C07354"/>
    <w:rsid w:val="22C25AFE"/>
    <w:rsid w:val="22D00866"/>
    <w:rsid w:val="22D84291"/>
    <w:rsid w:val="22DF561F"/>
    <w:rsid w:val="22E37ECF"/>
    <w:rsid w:val="22E62DC8"/>
    <w:rsid w:val="22EC1460"/>
    <w:rsid w:val="22F9317B"/>
    <w:rsid w:val="22FE6CB3"/>
    <w:rsid w:val="2301438E"/>
    <w:rsid w:val="230E7DCA"/>
    <w:rsid w:val="23154048"/>
    <w:rsid w:val="231921B3"/>
    <w:rsid w:val="231D47BD"/>
    <w:rsid w:val="23286D64"/>
    <w:rsid w:val="23287E9A"/>
    <w:rsid w:val="23397B5B"/>
    <w:rsid w:val="233E3794"/>
    <w:rsid w:val="23436BD1"/>
    <w:rsid w:val="234F5BD5"/>
    <w:rsid w:val="23535FA2"/>
    <w:rsid w:val="23653A05"/>
    <w:rsid w:val="23712DB0"/>
    <w:rsid w:val="23725A85"/>
    <w:rsid w:val="23730FB4"/>
    <w:rsid w:val="23760EDD"/>
    <w:rsid w:val="23785C99"/>
    <w:rsid w:val="23803B0F"/>
    <w:rsid w:val="238B4E5F"/>
    <w:rsid w:val="238F6D19"/>
    <w:rsid w:val="23982FAF"/>
    <w:rsid w:val="23985FD7"/>
    <w:rsid w:val="23BD39B2"/>
    <w:rsid w:val="23C24CD9"/>
    <w:rsid w:val="23CB6E3E"/>
    <w:rsid w:val="23CC6C32"/>
    <w:rsid w:val="23CF7C9E"/>
    <w:rsid w:val="23DB6F0D"/>
    <w:rsid w:val="23E13CC9"/>
    <w:rsid w:val="23F5013E"/>
    <w:rsid w:val="24105D3E"/>
    <w:rsid w:val="241567F3"/>
    <w:rsid w:val="24164041"/>
    <w:rsid w:val="24191002"/>
    <w:rsid w:val="2419171E"/>
    <w:rsid w:val="241A5C5D"/>
    <w:rsid w:val="241C17CD"/>
    <w:rsid w:val="241E275B"/>
    <w:rsid w:val="241F0BB5"/>
    <w:rsid w:val="242470EE"/>
    <w:rsid w:val="242B03F0"/>
    <w:rsid w:val="243D1474"/>
    <w:rsid w:val="243D7961"/>
    <w:rsid w:val="246524B6"/>
    <w:rsid w:val="24671DA0"/>
    <w:rsid w:val="246D24D1"/>
    <w:rsid w:val="247955CF"/>
    <w:rsid w:val="24881961"/>
    <w:rsid w:val="2491003D"/>
    <w:rsid w:val="249B5700"/>
    <w:rsid w:val="24B34E7F"/>
    <w:rsid w:val="24BB1D3F"/>
    <w:rsid w:val="24C12B05"/>
    <w:rsid w:val="24CD76F9"/>
    <w:rsid w:val="24D23B3E"/>
    <w:rsid w:val="24D405E3"/>
    <w:rsid w:val="24D4398F"/>
    <w:rsid w:val="24D560A0"/>
    <w:rsid w:val="24D67DD8"/>
    <w:rsid w:val="24EA7AB7"/>
    <w:rsid w:val="250336B4"/>
    <w:rsid w:val="25174EE8"/>
    <w:rsid w:val="252074BF"/>
    <w:rsid w:val="25232939"/>
    <w:rsid w:val="2528768B"/>
    <w:rsid w:val="252F0707"/>
    <w:rsid w:val="25697422"/>
    <w:rsid w:val="256C42FD"/>
    <w:rsid w:val="256D4382"/>
    <w:rsid w:val="25926007"/>
    <w:rsid w:val="25964A14"/>
    <w:rsid w:val="259A3B35"/>
    <w:rsid w:val="259E0924"/>
    <w:rsid w:val="25A14E0E"/>
    <w:rsid w:val="25A16BBC"/>
    <w:rsid w:val="25AA3414"/>
    <w:rsid w:val="25AE1A98"/>
    <w:rsid w:val="25B32C9D"/>
    <w:rsid w:val="25C8369F"/>
    <w:rsid w:val="25CB2D14"/>
    <w:rsid w:val="25CB59E7"/>
    <w:rsid w:val="25E16BC9"/>
    <w:rsid w:val="25E66F66"/>
    <w:rsid w:val="25E90546"/>
    <w:rsid w:val="25F15629"/>
    <w:rsid w:val="25F44A13"/>
    <w:rsid w:val="26227F58"/>
    <w:rsid w:val="2623087E"/>
    <w:rsid w:val="26243349"/>
    <w:rsid w:val="26267609"/>
    <w:rsid w:val="262C0AC7"/>
    <w:rsid w:val="263317DE"/>
    <w:rsid w:val="26347A30"/>
    <w:rsid w:val="26376F68"/>
    <w:rsid w:val="26471854"/>
    <w:rsid w:val="26722306"/>
    <w:rsid w:val="26727723"/>
    <w:rsid w:val="268C286B"/>
    <w:rsid w:val="269739D4"/>
    <w:rsid w:val="26986966"/>
    <w:rsid w:val="269A2E8E"/>
    <w:rsid w:val="269E39DE"/>
    <w:rsid w:val="26A1116C"/>
    <w:rsid w:val="26AA1794"/>
    <w:rsid w:val="26AF50D6"/>
    <w:rsid w:val="26BA06B3"/>
    <w:rsid w:val="26C12644"/>
    <w:rsid w:val="26C811E1"/>
    <w:rsid w:val="26E04F0F"/>
    <w:rsid w:val="26E30CDC"/>
    <w:rsid w:val="26E36D60"/>
    <w:rsid w:val="26F006EC"/>
    <w:rsid w:val="27004950"/>
    <w:rsid w:val="27282656"/>
    <w:rsid w:val="273527DA"/>
    <w:rsid w:val="273B094A"/>
    <w:rsid w:val="273B5568"/>
    <w:rsid w:val="27494D99"/>
    <w:rsid w:val="27531D10"/>
    <w:rsid w:val="275639D6"/>
    <w:rsid w:val="276E51C4"/>
    <w:rsid w:val="27777ECB"/>
    <w:rsid w:val="27791365"/>
    <w:rsid w:val="27910EB2"/>
    <w:rsid w:val="27A073FB"/>
    <w:rsid w:val="27B11C91"/>
    <w:rsid w:val="27BA3818"/>
    <w:rsid w:val="27C31D3F"/>
    <w:rsid w:val="27C76682"/>
    <w:rsid w:val="27E556CD"/>
    <w:rsid w:val="27EF23B9"/>
    <w:rsid w:val="28034F6C"/>
    <w:rsid w:val="280B63E2"/>
    <w:rsid w:val="2820799F"/>
    <w:rsid w:val="28287F12"/>
    <w:rsid w:val="282A49B1"/>
    <w:rsid w:val="282E6776"/>
    <w:rsid w:val="283E4B96"/>
    <w:rsid w:val="28476C75"/>
    <w:rsid w:val="284D3A98"/>
    <w:rsid w:val="28503E9F"/>
    <w:rsid w:val="285C04FD"/>
    <w:rsid w:val="286173A1"/>
    <w:rsid w:val="28777CB7"/>
    <w:rsid w:val="28801FE8"/>
    <w:rsid w:val="289A78F2"/>
    <w:rsid w:val="28A77F51"/>
    <w:rsid w:val="28A90768"/>
    <w:rsid w:val="28C36E49"/>
    <w:rsid w:val="28C6127E"/>
    <w:rsid w:val="28C80903"/>
    <w:rsid w:val="28E4702D"/>
    <w:rsid w:val="28FB2A87"/>
    <w:rsid w:val="290F02E0"/>
    <w:rsid w:val="2916319A"/>
    <w:rsid w:val="291A1FC5"/>
    <w:rsid w:val="291B2551"/>
    <w:rsid w:val="294A00C0"/>
    <w:rsid w:val="294E3860"/>
    <w:rsid w:val="29525802"/>
    <w:rsid w:val="29531FF7"/>
    <w:rsid w:val="29692161"/>
    <w:rsid w:val="29746733"/>
    <w:rsid w:val="29764F40"/>
    <w:rsid w:val="298142D1"/>
    <w:rsid w:val="298A6757"/>
    <w:rsid w:val="298D2961"/>
    <w:rsid w:val="299327C4"/>
    <w:rsid w:val="29A2401C"/>
    <w:rsid w:val="29A25C2E"/>
    <w:rsid w:val="29A96F50"/>
    <w:rsid w:val="29B32E8F"/>
    <w:rsid w:val="29B340D2"/>
    <w:rsid w:val="29B448EC"/>
    <w:rsid w:val="29C31AFF"/>
    <w:rsid w:val="29CF67D9"/>
    <w:rsid w:val="29D37EAC"/>
    <w:rsid w:val="29DC1134"/>
    <w:rsid w:val="2A0353C9"/>
    <w:rsid w:val="2A0408DE"/>
    <w:rsid w:val="2A053A21"/>
    <w:rsid w:val="2A07507B"/>
    <w:rsid w:val="2A076B02"/>
    <w:rsid w:val="2A150CC1"/>
    <w:rsid w:val="2A1859A5"/>
    <w:rsid w:val="2A2C4E94"/>
    <w:rsid w:val="2A2F5977"/>
    <w:rsid w:val="2A314606"/>
    <w:rsid w:val="2A357D44"/>
    <w:rsid w:val="2A440359"/>
    <w:rsid w:val="2A446AAD"/>
    <w:rsid w:val="2A5210C0"/>
    <w:rsid w:val="2A6019A1"/>
    <w:rsid w:val="2A691522"/>
    <w:rsid w:val="2A6E5461"/>
    <w:rsid w:val="2A750580"/>
    <w:rsid w:val="2A7F1496"/>
    <w:rsid w:val="2A802623"/>
    <w:rsid w:val="2A8C07DD"/>
    <w:rsid w:val="2A8C4297"/>
    <w:rsid w:val="2A8E3413"/>
    <w:rsid w:val="2A8F4E82"/>
    <w:rsid w:val="2A903783"/>
    <w:rsid w:val="2A934C79"/>
    <w:rsid w:val="2A9D437A"/>
    <w:rsid w:val="2AA75305"/>
    <w:rsid w:val="2AAB5F64"/>
    <w:rsid w:val="2AC20C1E"/>
    <w:rsid w:val="2AC26D51"/>
    <w:rsid w:val="2AC31382"/>
    <w:rsid w:val="2ACC5BD0"/>
    <w:rsid w:val="2ADD1458"/>
    <w:rsid w:val="2ADE4D64"/>
    <w:rsid w:val="2AE17EE7"/>
    <w:rsid w:val="2AEE2629"/>
    <w:rsid w:val="2AF27EBA"/>
    <w:rsid w:val="2AF60DC1"/>
    <w:rsid w:val="2AFD2F0D"/>
    <w:rsid w:val="2AFF5F45"/>
    <w:rsid w:val="2B0578F2"/>
    <w:rsid w:val="2B08148B"/>
    <w:rsid w:val="2B08276B"/>
    <w:rsid w:val="2B0E0295"/>
    <w:rsid w:val="2B11166C"/>
    <w:rsid w:val="2B210275"/>
    <w:rsid w:val="2B2F5CC3"/>
    <w:rsid w:val="2B3B26A0"/>
    <w:rsid w:val="2B576F8E"/>
    <w:rsid w:val="2B577A04"/>
    <w:rsid w:val="2B596509"/>
    <w:rsid w:val="2B5E6C1E"/>
    <w:rsid w:val="2BA354CD"/>
    <w:rsid w:val="2BA76D4D"/>
    <w:rsid w:val="2BE66F47"/>
    <w:rsid w:val="2BEA4084"/>
    <w:rsid w:val="2C0D7540"/>
    <w:rsid w:val="2C1E3FD6"/>
    <w:rsid w:val="2C232C0B"/>
    <w:rsid w:val="2C2C59BB"/>
    <w:rsid w:val="2C347894"/>
    <w:rsid w:val="2C3A0591"/>
    <w:rsid w:val="2C3D70FA"/>
    <w:rsid w:val="2C4130AC"/>
    <w:rsid w:val="2C416BAA"/>
    <w:rsid w:val="2C46226B"/>
    <w:rsid w:val="2C513772"/>
    <w:rsid w:val="2C5F6D46"/>
    <w:rsid w:val="2C686E00"/>
    <w:rsid w:val="2C6C1204"/>
    <w:rsid w:val="2C6D5423"/>
    <w:rsid w:val="2C7E39B1"/>
    <w:rsid w:val="2C8E6106"/>
    <w:rsid w:val="2CA13051"/>
    <w:rsid w:val="2CAC3E01"/>
    <w:rsid w:val="2CAE1BBE"/>
    <w:rsid w:val="2CBA1CCC"/>
    <w:rsid w:val="2CBA449F"/>
    <w:rsid w:val="2CBD6469"/>
    <w:rsid w:val="2CCB3BFA"/>
    <w:rsid w:val="2CDE03F6"/>
    <w:rsid w:val="2CE31EBE"/>
    <w:rsid w:val="2D012636"/>
    <w:rsid w:val="2D022EAC"/>
    <w:rsid w:val="2D0D0FDB"/>
    <w:rsid w:val="2D1648D7"/>
    <w:rsid w:val="2D1D0F63"/>
    <w:rsid w:val="2D235A91"/>
    <w:rsid w:val="2D2554EB"/>
    <w:rsid w:val="2D2612DD"/>
    <w:rsid w:val="2D2D07B6"/>
    <w:rsid w:val="2D2E7187"/>
    <w:rsid w:val="2D36365B"/>
    <w:rsid w:val="2D3E7B36"/>
    <w:rsid w:val="2D583553"/>
    <w:rsid w:val="2D60735C"/>
    <w:rsid w:val="2D78226B"/>
    <w:rsid w:val="2D7C20C7"/>
    <w:rsid w:val="2D7D5780"/>
    <w:rsid w:val="2D8F4F9E"/>
    <w:rsid w:val="2D9C355D"/>
    <w:rsid w:val="2DAC2A11"/>
    <w:rsid w:val="2DB57F28"/>
    <w:rsid w:val="2DB651CE"/>
    <w:rsid w:val="2DB7242E"/>
    <w:rsid w:val="2DBE26F6"/>
    <w:rsid w:val="2DDB3F2B"/>
    <w:rsid w:val="2DE26350"/>
    <w:rsid w:val="2DE5457D"/>
    <w:rsid w:val="2DF34523"/>
    <w:rsid w:val="2DFA397D"/>
    <w:rsid w:val="2E066D98"/>
    <w:rsid w:val="2E0C4DEE"/>
    <w:rsid w:val="2E25793B"/>
    <w:rsid w:val="2E2619A9"/>
    <w:rsid w:val="2E354380"/>
    <w:rsid w:val="2E4D503C"/>
    <w:rsid w:val="2E513149"/>
    <w:rsid w:val="2E6949BD"/>
    <w:rsid w:val="2E7620E9"/>
    <w:rsid w:val="2E81758A"/>
    <w:rsid w:val="2E9A689E"/>
    <w:rsid w:val="2E9E5169"/>
    <w:rsid w:val="2ECB6A58"/>
    <w:rsid w:val="2ED76FA1"/>
    <w:rsid w:val="2ED92932"/>
    <w:rsid w:val="2F054C69"/>
    <w:rsid w:val="2F1C4220"/>
    <w:rsid w:val="2F1F5FEC"/>
    <w:rsid w:val="2F207C50"/>
    <w:rsid w:val="2F367221"/>
    <w:rsid w:val="2F3939EC"/>
    <w:rsid w:val="2F401024"/>
    <w:rsid w:val="2F404FE7"/>
    <w:rsid w:val="2F7E4C26"/>
    <w:rsid w:val="2F861254"/>
    <w:rsid w:val="2F9425DF"/>
    <w:rsid w:val="2F9945EB"/>
    <w:rsid w:val="2F9B467C"/>
    <w:rsid w:val="2FBF6773"/>
    <w:rsid w:val="2FC63EED"/>
    <w:rsid w:val="2FC654AB"/>
    <w:rsid w:val="2FEB4C30"/>
    <w:rsid w:val="2FF258DD"/>
    <w:rsid w:val="2FF4108C"/>
    <w:rsid w:val="2FF72667"/>
    <w:rsid w:val="2FF8529D"/>
    <w:rsid w:val="30177783"/>
    <w:rsid w:val="30187A85"/>
    <w:rsid w:val="30307D6C"/>
    <w:rsid w:val="3032698E"/>
    <w:rsid w:val="303840DB"/>
    <w:rsid w:val="303B772F"/>
    <w:rsid w:val="303D1BD7"/>
    <w:rsid w:val="303D733F"/>
    <w:rsid w:val="303F4338"/>
    <w:rsid w:val="304A1F48"/>
    <w:rsid w:val="30530B7F"/>
    <w:rsid w:val="305E3360"/>
    <w:rsid w:val="305E525E"/>
    <w:rsid w:val="306A61E4"/>
    <w:rsid w:val="307D6477"/>
    <w:rsid w:val="30863B5D"/>
    <w:rsid w:val="30872E52"/>
    <w:rsid w:val="30872EDA"/>
    <w:rsid w:val="308F4C3A"/>
    <w:rsid w:val="309D29FE"/>
    <w:rsid w:val="30B13C77"/>
    <w:rsid w:val="30B62967"/>
    <w:rsid w:val="30BB1A81"/>
    <w:rsid w:val="30C32ECA"/>
    <w:rsid w:val="30C53AF9"/>
    <w:rsid w:val="30CF271F"/>
    <w:rsid w:val="30D16222"/>
    <w:rsid w:val="30D429FA"/>
    <w:rsid w:val="30D43353"/>
    <w:rsid w:val="30D52B92"/>
    <w:rsid w:val="30E16A85"/>
    <w:rsid w:val="31021BB6"/>
    <w:rsid w:val="310A7738"/>
    <w:rsid w:val="310B3A83"/>
    <w:rsid w:val="310D15A9"/>
    <w:rsid w:val="311122A6"/>
    <w:rsid w:val="311122C4"/>
    <w:rsid w:val="31200041"/>
    <w:rsid w:val="31201C22"/>
    <w:rsid w:val="312C23B6"/>
    <w:rsid w:val="312C68BA"/>
    <w:rsid w:val="312D39F9"/>
    <w:rsid w:val="31315B2D"/>
    <w:rsid w:val="3135465C"/>
    <w:rsid w:val="31391FD7"/>
    <w:rsid w:val="31396BB2"/>
    <w:rsid w:val="31570B3C"/>
    <w:rsid w:val="316067AA"/>
    <w:rsid w:val="3167204E"/>
    <w:rsid w:val="31725F5A"/>
    <w:rsid w:val="31761669"/>
    <w:rsid w:val="31762AE5"/>
    <w:rsid w:val="3178368F"/>
    <w:rsid w:val="318D3D48"/>
    <w:rsid w:val="319822F7"/>
    <w:rsid w:val="31A57778"/>
    <w:rsid w:val="31A906B5"/>
    <w:rsid w:val="31AC0AE8"/>
    <w:rsid w:val="31BD2C18"/>
    <w:rsid w:val="31C65E65"/>
    <w:rsid w:val="31C65FE5"/>
    <w:rsid w:val="31D05704"/>
    <w:rsid w:val="31E37869"/>
    <w:rsid w:val="321201D0"/>
    <w:rsid w:val="32134DB6"/>
    <w:rsid w:val="32135BD3"/>
    <w:rsid w:val="32217265"/>
    <w:rsid w:val="32316A80"/>
    <w:rsid w:val="32396CA4"/>
    <w:rsid w:val="32507DBD"/>
    <w:rsid w:val="32545DB2"/>
    <w:rsid w:val="326075C5"/>
    <w:rsid w:val="32625925"/>
    <w:rsid w:val="32781C9F"/>
    <w:rsid w:val="32996D89"/>
    <w:rsid w:val="32BE6E04"/>
    <w:rsid w:val="32D22AAA"/>
    <w:rsid w:val="32DE4236"/>
    <w:rsid w:val="32E225DD"/>
    <w:rsid w:val="32EE6616"/>
    <w:rsid w:val="32EF2183"/>
    <w:rsid w:val="32F17109"/>
    <w:rsid w:val="32FF29EB"/>
    <w:rsid w:val="33016AF7"/>
    <w:rsid w:val="330251B4"/>
    <w:rsid w:val="330A7FE1"/>
    <w:rsid w:val="331A42E4"/>
    <w:rsid w:val="331D184C"/>
    <w:rsid w:val="332D640E"/>
    <w:rsid w:val="332E5478"/>
    <w:rsid w:val="332F5F89"/>
    <w:rsid w:val="332F7845"/>
    <w:rsid w:val="333968F6"/>
    <w:rsid w:val="334B616F"/>
    <w:rsid w:val="33527CC1"/>
    <w:rsid w:val="337413C3"/>
    <w:rsid w:val="337831C0"/>
    <w:rsid w:val="337C1C3D"/>
    <w:rsid w:val="337D0287"/>
    <w:rsid w:val="338B638D"/>
    <w:rsid w:val="3394210A"/>
    <w:rsid w:val="3397533E"/>
    <w:rsid w:val="339847BF"/>
    <w:rsid w:val="339D64B1"/>
    <w:rsid w:val="33A416E1"/>
    <w:rsid w:val="33A75B38"/>
    <w:rsid w:val="33AE363D"/>
    <w:rsid w:val="33AF64B1"/>
    <w:rsid w:val="33B93C9F"/>
    <w:rsid w:val="33BE15AE"/>
    <w:rsid w:val="33C11474"/>
    <w:rsid w:val="33C16F6D"/>
    <w:rsid w:val="33CB12A8"/>
    <w:rsid w:val="33D14AAB"/>
    <w:rsid w:val="33D56070"/>
    <w:rsid w:val="33D64324"/>
    <w:rsid w:val="33E8246B"/>
    <w:rsid w:val="33E87C5E"/>
    <w:rsid w:val="34016B4A"/>
    <w:rsid w:val="34147210"/>
    <w:rsid w:val="34185655"/>
    <w:rsid w:val="34297A21"/>
    <w:rsid w:val="342C1356"/>
    <w:rsid w:val="342C5338"/>
    <w:rsid w:val="342F6D70"/>
    <w:rsid w:val="343071EC"/>
    <w:rsid w:val="34324035"/>
    <w:rsid w:val="3449340B"/>
    <w:rsid w:val="345A77BA"/>
    <w:rsid w:val="346774C1"/>
    <w:rsid w:val="346809D2"/>
    <w:rsid w:val="346C65E7"/>
    <w:rsid w:val="3470766F"/>
    <w:rsid w:val="347A6AD3"/>
    <w:rsid w:val="347D3709"/>
    <w:rsid w:val="34802E27"/>
    <w:rsid w:val="34877DC3"/>
    <w:rsid w:val="348C2FD8"/>
    <w:rsid w:val="349F2DE1"/>
    <w:rsid w:val="34A765D0"/>
    <w:rsid w:val="34B251D0"/>
    <w:rsid w:val="34CB752E"/>
    <w:rsid w:val="34ED2750"/>
    <w:rsid w:val="34F73F89"/>
    <w:rsid w:val="34FD49AF"/>
    <w:rsid w:val="35030615"/>
    <w:rsid w:val="352376CD"/>
    <w:rsid w:val="35314C58"/>
    <w:rsid w:val="3538203C"/>
    <w:rsid w:val="35400507"/>
    <w:rsid w:val="3547569B"/>
    <w:rsid w:val="3553070C"/>
    <w:rsid w:val="355756EA"/>
    <w:rsid w:val="35723B45"/>
    <w:rsid w:val="35891369"/>
    <w:rsid w:val="35900E28"/>
    <w:rsid w:val="3597553D"/>
    <w:rsid w:val="35976A65"/>
    <w:rsid w:val="359C5E8C"/>
    <w:rsid w:val="359D7120"/>
    <w:rsid w:val="359E7E03"/>
    <w:rsid w:val="35A71D89"/>
    <w:rsid w:val="35A93E85"/>
    <w:rsid w:val="35B35B21"/>
    <w:rsid w:val="35B44BB6"/>
    <w:rsid w:val="35BA097B"/>
    <w:rsid w:val="35BF08E1"/>
    <w:rsid w:val="35C6046F"/>
    <w:rsid w:val="35CE2185"/>
    <w:rsid w:val="35CF1523"/>
    <w:rsid w:val="35D408E8"/>
    <w:rsid w:val="35EA651B"/>
    <w:rsid w:val="36017E8B"/>
    <w:rsid w:val="360A6BB5"/>
    <w:rsid w:val="360A7CEE"/>
    <w:rsid w:val="360D204B"/>
    <w:rsid w:val="360F1840"/>
    <w:rsid w:val="361C7938"/>
    <w:rsid w:val="36445A95"/>
    <w:rsid w:val="364C4248"/>
    <w:rsid w:val="36502D23"/>
    <w:rsid w:val="36596E56"/>
    <w:rsid w:val="366263D4"/>
    <w:rsid w:val="366C4FC4"/>
    <w:rsid w:val="36826596"/>
    <w:rsid w:val="36BE5B53"/>
    <w:rsid w:val="36C81C0E"/>
    <w:rsid w:val="36D843AE"/>
    <w:rsid w:val="36EB71A0"/>
    <w:rsid w:val="37144D14"/>
    <w:rsid w:val="37164F30"/>
    <w:rsid w:val="37197A0B"/>
    <w:rsid w:val="37294C63"/>
    <w:rsid w:val="37304FB2"/>
    <w:rsid w:val="37313B18"/>
    <w:rsid w:val="37374FCB"/>
    <w:rsid w:val="3744384B"/>
    <w:rsid w:val="374B65C6"/>
    <w:rsid w:val="3760467F"/>
    <w:rsid w:val="37606376"/>
    <w:rsid w:val="377578D7"/>
    <w:rsid w:val="378704F9"/>
    <w:rsid w:val="37991DE9"/>
    <w:rsid w:val="379C3AC9"/>
    <w:rsid w:val="37A07274"/>
    <w:rsid w:val="37B70338"/>
    <w:rsid w:val="37B7584E"/>
    <w:rsid w:val="37CB4E3F"/>
    <w:rsid w:val="37CF4139"/>
    <w:rsid w:val="37E27C26"/>
    <w:rsid w:val="37E8259A"/>
    <w:rsid w:val="37F7180A"/>
    <w:rsid w:val="38052635"/>
    <w:rsid w:val="38194E02"/>
    <w:rsid w:val="381C1E3C"/>
    <w:rsid w:val="3822516C"/>
    <w:rsid w:val="382D42DF"/>
    <w:rsid w:val="3834209A"/>
    <w:rsid w:val="384F24A7"/>
    <w:rsid w:val="38544C40"/>
    <w:rsid w:val="38587E12"/>
    <w:rsid w:val="3875476A"/>
    <w:rsid w:val="3879010B"/>
    <w:rsid w:val="38804F79"/>
    <w:rsid w:val="38826368"/>
    <w:rsid w:val="3886433E"/>
    <w:rsid w:val="388B33D1"/>
    <w:rsid w:val="389E51DE"/>
    <w:rsid w:val="38A722E3"/>
    <w:rsid w:val="38B36EDA"/>
    <w:rsid w:val="38BF1CEF"/>
    <w:rsid w:val="38C01D94"/>
    <w:rsid w:val="38C469F6"/>
    <w:rsid w:val="38C733FC"/>
    <w:rsid w:val="38D44E23"/>
    <w:rsid w:val="38D70FA7"/>
    <w:rsid w:val="38D97589"/>
    <w:rsid w:val="38DB79A0"/>
    <w:rsid w:val="38E5105E"/>
    <w:rsid w:val="38E64E9D"/>
    <w:rsid w:val="38F045C5"/>
    <w:rsid w:val="38F37FB6"/>
    <w:rsid w:val="390060B0"/>
    <w:rsid w:val="39102784"/>
    <w:rsid w:val="39173183"/>
    <w:rsid w:val="391B1953"/>
    <w:rsid w:val="391F6F8F"/>
    <w:rsid w:val="393A7072"/>
    <w:rsid w:val="394E6C03"/>
    <w:rsid w:val="396655D7"/>
    <w:rsid w:val="39692164"/>
    <w:rsid w:val="396A388A"/>
    <w:rsid w:val="396B43F0"/>
    <w:rsid w:val="396F5A67"/>
    <w:rsid w:val="39725C4D"/>
    <w:rsid w:val="398F7C1F"/>
    <w:rsid w:val="3993130D"/>
    <w:rsid w:val="39970734"/>
    <w:rsid w:val="399F7CFD"/>
    <w:rsid w:val="39A147F5"/>
    <w:rsid w:val="39A47078"/>
    <w:rsid w:val="39AD49A8"/>
    <w:rsid w:val="39D92401"/>
    <w:rsid w:val="39DC5FBD"/>
    <w:rsid w:val="39DE54B0"/>
    <w:rsid w:val="39EB4452"/>
    <w:rsid w:val="39FC2CA0"/>
    <w:rsid w:val="39FD66FD"/>
    <w:rsid w:val="39FF2ECD"/>
    <w:rsid w:val="3A0A032D"/>
    <w:rsid w:val="3A1615E3"/>
    <w:rsid w:val="3A2109EC"/>
    <w:rsid w:val="3A2E433E"/>
    <w:rsid w:val="3A3F7042"/>
    <w:rsid w:val="3A5229F4"/>
    <w:rsid w:val="3A567637"/>
    <w:rsid w:val="3A571D05"/>
    <w:rsid w:val="3A601A6C"/>
    <w:rsid w:val="3A707CBE"/>
    <w:rsid w:val="3A710C6A"/>
    <w:rsid w:val="3A716CD1"/>
    <w:rsid w:val="3A7F5CDD"/>
    <w:rsid w:val="3A86774C"/>
    <w:rsid w:val="3A87172F"/>
    <w:rsid w:val="3A901193"/>
    <w:rsid w:val="3AAA0621"/>
    <w:rsid w:val="3ABC35AE"/>
    <w:rsid w:val="3AD834A2"/>
    <w:rsid w:val="3ADC169C"/>
    <w:rsid w:val="3ADD27CA"/>
    <w:rsid w:val="3ADF7990"/>
    <w:rsid w:val="3AE03B76"/>
    <w:rsid w:val="3AE57F21"/>
    <w:rsid w:val="3AEA5CD4"/>
    <w:rsid w:val="3AEE4EA8"/>
    <w:rsid w:val="3AF031DB"/>
    <w:rsid w:val="3AF40225"/>
    <w:rsid w:val="3AFE01B5"/>
    <w:rsid w:val="3B235982"/>
    <w:rsid w:val="3B4A0F14"/>
    <w:rsid w:val="3B502BB3"/>
    <w:rsid w:val="3B566EFC"/>
    <w:rsid w:val="3B5D1848"/>
    <w:rsid w:val="3B61351D"/>
    <w:rsid w:val="3B6E440F"/>
    <w:rsid w:val="3B7E4E9B"/>
    <w:rsid w:val="3B7F12F6"/>
    <w:rsid w:val="3B804702"/>
    <w:rsid w:val="3B8406BA"/>
    <w:rsid w:val="3B8E2CDE"/>
    <w:rsid w:val="3B8F05BF"/>
    <w:rsid w:val="3B985F13"/>
    <w:rsid w:val="3BD65A0E"/>
    <w:rsid w:val="3BED75E4"/>
    <w:rsid w:val="3BF27B39"/>
    <w:rsid w:val="3C0472BE"/>
    <w:rsid w:val="3C0A7ECD"/>
    <w:rsid w:val="3C174336"/>
    <w:rsid w:val="3C1C4D96"/>
    <w:rsid w:val="3C2D0EB3"/>
    <w:rsid w:val="3C2D6992"/>
    <w:rsid w:val="3C2F2A84"/>
    <w:rsid w:val="3C330F83"/>
    <w:rsid w:val="3C37572C"/>
    <w:rsid w:val="3C407F33"/>
    <w:rsid w:val="3C761E16"/>
    <w:rsid w:val="3C7638C4"/>
    <w:rsid w:val="3C770627"/>
    <w:rsid w:val="3C826FEA"/>
    <w:rsid w:val="3C954EF2"/>
    <w:rsid w:val="3C9742C5"/>
    <w:rsid w:val="3C9765BB"/>
    <w:rsid w:val="3C9776F3"/>
    <w:rsid w:val="3C9E57AB"/>
    <w:rsid w:val="3CA10ED6"/>
    <w:rsid w:val="3CAE64D7"/>
    <w:rsid w:val="3CAF5C0A"/>
    <w:rsid w:val="3CBF1F62"/>
    <w:rsid w:val="3CC64C47"/>
    <w:rsid w:val="3CD00C4D"/>
    <w:rsid w:val="3CD46088"/>
    <w:rsid w:val="3CDA1DF2"/>
    <w:rsid w:val="3CDB1B21"/>
    <w:rsid w:val="3CDC13B5"/>
    <w:rsid w:val="3CDC62D4"/>
    <w:rsid w:val="3CEF32A1"/>
    <w:rsid w:val="3CF96E8C"/>
    <w:rsid w:val="3CFB49AC"/>
    <w:rsid w:val="3D03110B"/>
    <w:rsid w:val="3D0D1430"/>
    <w:rsid w:val="3D142586"/>
    <w:rsid w:val="3D163594"/>
    <w:rsid w:val="3D170DEA"/>
    <w:rsid w:val="3D2B3910"/>
    <w:rsid w:val="3D3E2AEA"/>
    <w:rsid w:val="3D3F6C08"/>
    <w:rsid w:val="3D424C84"/>
    <w:rsid w:val="3D4F6E40"/>
    <w:rsid w:val="3D517B9F"/>
    <w:rsid w:val="3D744747"/>
    <w:rsid w:val="3D766728"/>
    <w:rsid w:val="3D7A6509"/>
    <w:rsid w:val="3D7C02F5"/>
    <w:rsid w:val="3D96273E"/>
    <w:rsid w:val="3DA27397"/>
    <w:rsid w:val="3DA42F19"/>
    <w:rsid w:val="3DC46A85"/>
    <w:rsid w:val="3DC94A47"/>
    <w:rsid w:val="3DD44622"/>
    <w:rsid w:val="3DDA15A7"/>
    <w:rsid w:val="3DE21587"/>
    <w:rsid w:val="3DE23DBE"/>
    <w:rsid w:val="3DE2791A"/>
    <w:rsid w:val="3DEA6446"/>
    <w:rsid w:val="3DF1549E"/>
    <w:rsid w:val="3DF85731"/>
    <w:rsid w:val="3E0A4442"/>
    <w:rsid w:val="3E0C1F8A"/>
    <w:rsid w:val="3E0F0FEE"/>
    <w:rsid w:val="3E2A3A3F"/>
    <w:rsid w:val="3E2C300D"/>
    <w:rsid w:val="3E317D59"/>
    <w:rsid w:val="3E463E83"/>
    <w:rsid w:val="3E4B0B59"/>
    <w:rsid w:val="3E65446C"/>
    <w:rsid w:val="3E717BD3"/>
    <w:rsid w:val="3E762E96"/>
    <w:rsid w:val="3E806B42"/>
    <w:rsid w:val="3E896E5C"/>
    <w:rsid w:val="3E983192"/>
    <w:rsid w:val="3E983EF4"/>
    <w:rsid w:val="3E9A4EF7"/>
    <w:rsid w:val="3EAC0CF1"/>
    <w:rsid w:val="3EAF1452"/>
    <w:rsid w:val="3EB344DA"/>
    <w:rsid w:val="3EB5502E"/>
    <w:rsid w:val="3EB676BE"/>
    <w:rsid w:val="3EE01F49"/>
    <w:rsid w:val="3EE0770F"/>
    <w:rsid w:val="3EE44FBA"/>
    <w:rsid w:val="3EE64EF5"/>
    <w:rsid w:val="3EE8174D"/>
    <w:rsid w:val="3F000B81"/>
    <w:rsid w:val="3F060A0F"/>
    <w:rsid w:val="3F19594D"/>
    <w:rsid w:val="3F2A055F"/>
    <w:rsid w:val="3F361A9D"/>
    <w:rsid w:val="3F374566"/>
    <w:rsid w:val="3F3F12C3"/>
    <w:rsid w:val="3F3F2FD1"/>
    <w:rsid w:val="3F436E3B"/>
    <w:rsid w:val="3F4B281A"/>
    <w:rsid w:val="3F4C768B"/>
    <w:rsid w:val="3F4E18EB"/>
    <w:rsid w:val="3F5B3F09"/>
    <w:rsid w:val="3F6B66AC"/>
    <w:rsid w:val="3F6C475F"/>
    <w:rsid w:val="3F725E8D"/>
    <w:rsid w:val="3F8A62EE"/>
    <w:rsid w:val="3FA1248E"/>
    <w:rsid w:val="3FB11C9A"/>
    <w:rsid w:val="3FB939EC"/>
    <w:rsid w:val="3FBD21E1"/>
    <w:rsid w:val="3FC134E8"/>
    <w:rsid w:val="3FC574F3"/>
    <w:rsid w:val="3FD7067F"/>
    <w:rsid w:val="3FD9024B"/>
    <w:rsid w:val="3FE364C6"/>
    <w:rsid w:val="3FE54BD7"/>
    <w:rsid w:val="3FF461FC"/>
    <w:rsid w:val="40065B72"/>
    <w:rsid w:val="400D3374"/>
    <w:rsid w:val="40152E7F"/>
    <w:rsid w:val="4019459C"/>
    <w:rsid w:val="401A1C6B"/>
    <w:rsid w:val="40204729"/>
    <w:rsid w:val="40307062"/>
    <w:rsid w:val="40341156"/>
    <w:rsid w:val="40397820"/>
    <w:rsid w:val="404D19C2"/>
    <w:rsid w:val="405E6E09"/>
    <w:rsid w:val="407057C5"/>
    <w:rsid w:val="407266D7"/>
    <w:rsid w:val="407F2A1B"/>
    <w:rsid w:val="408D0011"/>
    <w:rsid w:val="40A23390"/>
    <w:rsid w:val="40B463EC"/>
    <w:rsid w:val="40BB61AC"/>
    <w:rsid w:val="40C63523"/>
    <w:rsid w:val="40E257CB"/>
    <w:rsid w:val="40E95A61"/>
    <w:rsid w:val="40EA0287"/>
    <w:rsid w:val="40F45471"/>
    <w:rsid w:val="40F64F10"/>
    <w:rsid w:val="40F94610"/>
    <w:rsid w:val="41011761"/>
    <w:rsid w:val="41095D48"/>
    <w:rsid w:val="410B1EE0"/>
    <w:rsid w:val="411F65FB"/>
    <w:rsid w:val="412255E9"/>
    <w:rsid w:val="41281AE7"/>
    <w:rsid w:val="412E2095"/>
    <w:rsid w:val="412E610F"/>
    <w:rsid w:val="413F7969"/>
    <w:rsid w:val="41550D46"/>
    <w:rsid w:val="41795FF8"/>
    <w:rsid w:val="417B550B"/>
    <w:rsid w:val="41835669"/>
    <w:rsid w:val="419A7CA2"/>
    <w:rsid w:val="41AB58DE"/>
    <w:rsid w:val="41AC365F"/>
    <w:rsid w:val="41BF0C6F"/>
    <w:rsid w:val="41C44DFE"/>
    <w:rsid w:val="41D36574"/>
    <w:rsid w:val="41DB56BD"/>
    <w:rsid w:val="41E21728"/>
    <w:rsid w:val="41E773E8"/>
    <w:rsid w:val="41F1517A"/>
    <w:rsid w:val="41F540C0"/>
    <w:rsid w:val="41F811BA"/>
    <w:rsid w:val="42064003"/>
    <w:rsid w:val="422026E9"/>
    <w:rsid w:val="4225368A"/>
    <w:rsid w:val="422B4771"/>
    <w:rsid w:val="423817BC"/>
    <w:rsid w:val="424A74D3"/>
    <w:rsid w:val="424E0604"/>
    <w:rsid w:val="4250660D"/>
    <w:rsid w:val="426278F1"/>
    <w:rsid w:val="426875CD"/>
    <w:rsid w:val="426F409D"/>
    <w:rsid w:val="42703849"/>
    <w:rsid w:val="428202C9"/>
    <w:rsid w:val="42882982"/>
    <w:rsid w:val="42884D11"/>
    <w:rsid w:val="42884F34"/>
    <w:rsid w:val="42A11DB5"/>
    <w:rsid w:val="42AB5AD5"/>
    <w:rsid w:val="42B65EE3"/>
    <w:rsid w:val="42B66A0F"/>
    <w:rsid w:val="42BA1F66"/>
    <w:rsid w:val="42C30480"/>
    <w:rsid w:val="42E5320A"/>
    <w:rsid w:val="42EF582E"/>
    <w:rsid w:val="42F12482"/>
    <w:rsid w:val="42F350D4"/>
    <w:rsid w:val="42F71CEC"/>
    <w:rsid w:val="42FB2A7C"/>
    <w:rsid w:val="430E2740"/>
    <w:rsid w:val="431467C7"/>
    <w:rsid w:val="431B0C1F"/>
    <w:rsid w:val="431C762F"/>
    <w:rsid w:val="432E66D8"/>
    <w:rsid w:val="433011B7"/>
    <w:rsid w:val="43345549"/>
    <w:rsid w:val="43396A0B"/>
    <w:rsid w:val="43457CFC"/>
    <w:rsid w:val="43515758"/>
    <w:rsid w:val="43533164"/>
    <w:rsid w:val="43581859"/>
    <w:rsid w:val="435E3845"/>
    <w:rsid w:val="436E146B"/>
    <w:rsid w:val="437372DB"/>
    <w:rsid w:val="43767116"/>
    <w:rsid w:val="439C027C"/>
    <w:rsid w:val="43A8355B"/>
    <w:rsid w:val="43C348B8"/>
    <w:rsid w:val="43C66658"/>
    <w:rsid w:val="43CD3BF4"/>
    <w:rsid w:val="43E50A43"/>
    <w:rsid w:val="44022B08"/>
    <w:rsid w:val="44051BFB"/>
    <w:rsid w:val="441A65A0"/>
    <w:rsid w:val="442D300C"/>
    <w:rsid w:val="44331CA2"/>
    <w:rsid w:val="44477F5C"/>
    <w:rsid w:val="4448090D"/>
    <w:rsid w:val="444C00D0"/>
    <w:rsid w:val="444D2512"/>
    <w:rsid w:val="44573407"/>
    <w:rsid w:val="445F17E0"/>
    <w:rsid w:val="44600737"/>
    <w:rsid w:val="44612BC0"/>
    <w:rsid w:val="446C43E1"/>
    <w:rsid w:val="44726FDA"/>
    <w:rsid w:val="448472AF"/>
    <w:rsid w:val="4498412E"/>
    <w:rsid w:val="44A03A39"/>
    <w:rsid w:val="44DA7C44"/>
    <w:rsid w:val="44F937BB"/>
    <w:rsid w:val="45090416"/>
    <w:rsid w:val="450A060D"/>
    <w:rsid w:val="45154A79"/>
    <w:rsid w:val="45160E6C"/>
    <w:rsid w:val="452627E2"/>
    <w:rsid w:val="4543250E"/>
    <w:rsid w:val="45465D3A"/>
    <w:rsid w:val="454E50C6"/>
    <w:rsid w:val="45617CBE"/>
    <w:rsid w:val="456977DE"/>
    <w:rsid w:val="456C1D2C"/>
    <w:rsid w:val="45715AF3"/>
    <w:rsid w:val="45835E86"/>
    <w:rsid w:val="45845FEE"/>
    <w:rsid w:val="45956B60"/>
    <w:rsid w:val="45996A30"/>
    <w:rsid w:val="45A03A5C"/>
    <w:rsid w:val="45AC718B"/>
    <w:rsid w:val="45BA7860"/>
    <w:rsid w:val="45CC580C"/>
    <w:rsid w:val="45D428B4"/>
    <w:rsid w:val="45D668A1"/>
    <w:rsid w:val="45D907A2"/>
    <w:rsid w:val="45DE745B"/>
    <w:rsid w:val="45EC6E41"/>
    <w:rsid w:val="45ED1C80"/>
    <w:rsid w:val="45F05B72"/>
    <w:rsid w:val="45F35533"/>
    <w:rsid w:val="45F4083F"/>
    <w:rsid w:val="45F60B87"/>
    <w:rsid w:val="45F92966"/>
    <w:rsid w:val="45FF1C64"/>
    <w:rsid w:val="46020F28"/>
    <w:rsid w:val="4605689B"/>
    <w:rsid w:val="4606541B"/>
    <w:rsid w:val="460E346B"/>
    <w:rsid w:val="461E1725"/>
    <w:rsid w:val="462318B2"/>
    <w:rsid w:val="462A5687"/>
    <w:rsid w:val="463E19F3"/>
    <w:rsid w:val="46470C62"/>
    <w:rsid w:val="464936B8"/>
    <w:rsid w:val="464C2809"/>
    <w:rsid w:val="465A0995"/>
    <w:rsid w:val="465F0D84"/>
    <w:rsid w:val="4661454B"/>
    <w:rsid w:val="46625D4B"/>
    <w:rsid w:val="46634195"/>
    <w:rsid w:val="466757D8"/>
    <w:rsid w:val="4676762E"/>
    <w:rsid w:val="46841EB6"/>
    <w:rsid w:val="46872BBD"/>
    <w:rsid w:val="468953FF"/>
    <w:rsid w:val="46973DEF"/>
    <w:rsid w:val="4698695F"/>
    <w:rsid w:val="46A95F95"/>
    <w:rsid w:val="46AC1163"/>
    <w:rsid w:val="46BE7ADA"/>
    <w:rsid w:val="46C37300"/>
    <w:rsid w:val="46DC078C"/>
    <w:rsid w:val="46E73D65"/>
    <w:rsid w:val="46F20C3E"/>
    <w:rsid w:val="46F70BC7"/>
    <w:rsid w:val="46FE76A3"/>
    <w:rsid w:val="471148EE"/>
    <w:rsid w:val="47224E96"/>
    <w:rsid w:val="47317DF3"/>
    <w:rsid w:val="473531B0"/>
    <w:rsid w:val="473816D9"/>
    <w:rsid w:val="473C3C95"/>
    <w:rsid w:val="474814E4"/>
    <w:rsid w:val="474A1772"/>
    <w:rsid w:val="474F5229"/>
    <w:rsid w:val="47510CB1"/>
    <w:rsid w:val="4754424B"/>
    <w:rsid w:val="47576159"/>
    <w:rsid w:val="47655843"/>
    <w:rsid w:val="47895BCA"/>
    <w:rsid w:val="478F28C0"/>
    <w:rsid w:val="479539EF"/>
    <w:rsid w:val="47A45B98"/>
    <w:rsid w:val="47AC56D2"/>
    <w:rsid w:val="47B07AB8"/>
    <w:rsid w:val="47B760A7"/>
    <w:rsid w:val="47BA01A9"/>
    <w:rsid w:val="47C1549B"/>
    <w:rsid w:val="47CC020A"/>
    <w:rsid w:val="47CF2D44"/>
    <w:rsid w:val="47DC6D2F"/>
    <w:rsid w:val="47EF60A3"/>
    <w:rsid w:val="47F24BFD"/>
    <w:rsid w:val="47F308F3"/>
    <w:rsid w:val="47FC661C"/>
    <w:rsid w:val="481065B8"/>
    <w:rsid w:val="48114DFE"/>
    <w:rsid w:val="48117DBD"/>
    <w:rsid w:val="48155B31"/>
    <w:rsid w:val="482B5AE9"/>
    <w:rsid w:val="48337AD8"/>
    <w:rsid w:val="484066F8"/>
    <w:rsid w:val="484D3818"/>
    <w:rsid w:val="485943D7"/>
    <w:rsid w:val="485B6CAA"/>
    <w:rsid w:val="48914416"/>
    <w:rsid w:val="48952158"/>
    <w:rsid w:val="48B06F92"/>
    <w:rsid w:val="48B34BFE"/>
    <w:rsid w:val="48B60907"/>
    <w:rsid w:val="48C56842"/>
    <w:rsid w:val="48CA298E"/>
    <w:rsid w:val="48CF7159"/>
    <w:rsid w:val="48DD6B27"/>
    <w:rsid w:val="48E0231B"/>
    <w:rsid w:val="48E13021"/>
    <w:rsid w:val="48E9476C"/>
    <w:rsid w:val="48EC7778"/>
    <w:rsid w:val="48F20B7E"/>
    <w:rsid w:val="48FF3A76"/>
    <w:rsid w:val="48FF4CC6"/>
    <w:rsid w:val="490145AA"/>
    <w:rsid w:val="490F0441"/>
    <w:rsid w:val="49190E82"/>
    <w:rsid w:val="491D17D8"/>
    <w:rsid w:val="492523D5"/>
    <w:rsid w:val="492B3C34"/>
    <w:rsid w:val="494823CC"/>
    <w:rsid w:val="494A02A5"/>
    <w:rsid w:val="49620B30"/>
    <w:rsid w:val="496539C7"/>
    <w:rsid w:val="49675177"/>
    <w:rsid w:val="49741074"/>
    <w:rsid w:val="4979533B"/>
    <w:rsid w:val="497C0E47"/>
    <w:rsid w:val="497D499A"/>
    <w:rsid w:val="497E0789"/>
    <w:rsid w:val="49835AFB"/>
    <w:rsid w:val="49851FC4"/>
    <w:rsid w:val="49861AA1"/>
    <w:rsid w:val="49933180"/>
    <w:rsid w:val="49A43EC4"/>
    <w:rsid w:val="49B71306"/>
    <w:rsid w:val="49C32184"/>
    <w:rsid w:val="49CF02CF"/>
    <w:rsid w:val="49D645E9"/>
    <w:rsid w:val="49E27A14"/>
    <w:rsid w:val="49E719B8"/>
    <w:rsid w:val="49ED38CE"/>
    <w:rsid w:val="4A047BC0"/>
    <w:rsid w:val="4A070C15"/>
    <w:rsid w:val="4A07604F"/>
    <w:rsid w:val="4A0B234F"/>
    <w:rsid w:val="4A0C644A"/>
    <w:rsid w:val="4A1348D8"/>
    <w:rsid w:val="4A1C2405"/>
    <w:rsid w:val="4A1E63E0"/>
    <w:rsid w:val="4A1F507D"/>
    <w:rsid w:val="4A211CE0"/>
    <w:rsid w:val="4A2C2BDC"/>
    <w:rsid w:val="4A3644A9"/>
    <w:rsid w:val="4A451761"/>
    <w:rsid w:val="4A4756D4"/>
    <w:rsid w:val="4A526DBB"/>
    <w:rsid w:val="4A5A5F98"/>
    <w:rsid w:val="4A5C2B3D"/>
    <w:rsid w:val="4A5E5988"/>
    <w:rsid w:val="4A605EFE"/>
    <w:rsid w:val="4A6634FB"/>
    <w:rsid w:val="4A6C31F7"/>
    <w:rsid w:val="4A73618D"/>
    <w:rsid w:val="4A7B093F"/>
    <w:rsid w:val="4A867C7F"/>
    <w:rsid w:val="4A895657"/>
    <w:rsid w:val="4A8B5CDF"/>
    <w:rsid w:val="4A9A7BD3"/>
    <w:rsid w:val="4AA45D8F"/>
    <w:rsid w:val="4AAD7404"/>
    <w:rsid w:val="4ABD16AB"/>
    <w:rsid w:val="4AC35E28"/>
    <w:rsid w:val="4AF40C8C"/>
    <w:rsid w:val="4AF45C2B"/>
    <w:rsid w:val="4AFC4289"/>
    <w:rsid w:val="4AFD79C4"/>
    <w:rsid w:val="4B054C48"/>
    <w:rsid w:val="4B076095"/>
    <w:rsid w:val="4B0944D4"/>
    <w:rsid w:val="4B0E3FFC"/>
    <w:rsid w:val="4B1811A6"/>
    <w:rsid w:val="4B1C06BE"/>
    <w:rsid w:val="4B200E87"/>
    <w:rsid w:val="4B351F72"/>
    <w:rsid w:val="4B533D72"/>
    <w:rsid w:val="4B5F1C4D"/>
    <w:rsid w:val="4B68317E"/>
    <w:rsid w:val="4B7154D1"/>
    <w:rsid w:val="4B7B35AD"/>
    <w:rsid w:val="4B7F1507"/>
    <w:rsid w:val="4B9177A7"/>
    <w:rsid w:val="4BAF0F5A"/>
    <w:rsid w:val="4BB52DB9"/>
    <w:rsid w:val="4BB9109A"/>
    <w:rsid w:val="4BC845F3"/>
    <w:rsid w:val="4BD016F9"/>
    <w:rsid w:val="4BD20FFE"/>
    <w:rsid w:val="4BD331EF"/>
    <w:rsid w:val="4BD9286E"/>
    <w:rsid w:val="4BDB0BB4"/>
    <w:rsid w:val="4BDD7C99"/>
    <w:rsid w:val="4BE228AB"/>
    <w:rsid w:val="4BEA19F6"/>
    <w:rsid w:val="4BFD053C"/>
    <w:rsid w:val="4C0131FE"/>
    <w:rsid w:val="4C12586E"/>
    <w:rsid w:val="4C1A27CF"/>
    <w:rsid w:val="4C1E06B7"/>
    <w:rsid w:val="4C3D1ED9"/>
    <w:rsid w:val="4C435BF5"/>
    <w:rsid w:val="4C5A2EAF"/>
    <w:rsid w:val="4C5B3833"/>
    <w:rsid w:val="4C5D796C"/>
    <w:rsid w:val="4C6373E0"/>
    <w:rsid w:val="4C64691C"/>
    <w:rsid w:val="4C7162F6"/>
    <w:rsid w:val="4C831DEE"/>
    <w:rsid w:val="4C853A11"/>
    <w:rsid w:val="4C93186A"/>
    <w:rsid w:val="4C9909CC"/>
    <w:rsid w:val="4C9945DC"/>
    <w:rsid w:val="4C994BE1"/>
    <w:rsid w:val="4CA12D72"/>
    <w:rsid w:val="4CA154F5"/>
    <w:rsid w:val="4CA158D9"/>
    <w:rsid w:val="4CA41C77"/>
    <w:rsid w:val="4CBD26DF"/>
    <w:rsid w:val="4CBF3B59"/>
    <w:rsid w:val="4CD30910"/>
    <w:rsid w:val="4CD3422D"/>
    <w:rsid w:val="4CE80A0B"/>
    <w:rsid w:val="4CF2331C"/>
    <w:rsid w:val="4CFA4C80"/>
    <w:rsid w:val="4CFE5DF2"/>
    <w:rsid w:val="4D044CEC"/>
    <w:rsid w:val="4D0478F3"/>
    <w:rsid w:val="4D0B1E88"/>
    <w:rsid w:val="4D154C85"/>
    <w:rsid w:val="4D183566"/>
    <w:rsid w:val="4D2C085A"/>
    <w:rsid w:val="4D2C3D58"/>
    <w:rsid w:val="4D2D5708"/>
    <w:rsid w:val="4D3A1520"/>
    <w:rsid w:val="4D3D54DF"/>
    <w:rsid w:val="4D3E36BC"/>
    <w:rsid w:val="4D473EED"/>
    <w:rsid w:val="4D4C4C98"/>
    <w:rsid w:val="4D543420"/>
    <w:rsid w:val="4D5D3916"/>
    <w:rsid w:val="4D5F546C"/>
    <w:rsid w:val="4D761AB8"/>
    <w:rsid w:val="4D7713CF"/>
    <w:rsid w:val="4D791F31"/>
    <w:rsid w:val="4D7A36CB"/>
    <w:rsid w:val="4D7B6FFC"/>
    <w:rsid w:val="4D9B0761"/>
    <w:rsid w:val="4DBF43DF"/>
    <w:rsid w:val="4DC5717B"/>
    <w:rsid w:val="4DD77DEC"/>
    <w:rsid w:val="4DE01BD2"/>
    <w:rsid w:val="4DE3355B"/>
    <w:rsid w:val="4DF22C39"/>
    <w:rsid w:val="4E0E2165"/>
    <w:rsid w:val="4E0E2C9E"/>
    <w:rsid w:val="4E1521F1"/>
    <w:rsid w:val="4E18414D"/>
    <w:rsid w:val="4E1C5F8A"/>
    <w:rsid w:val="4E234C10"/>
    <w:rsid w:val="4E257ADB"/>
    <w:rsid w:val="4E2A2BD4"/>
    <w:rsid w:val="4E2B0E69"/>
    <w:rsid w:val="4E2E2F3E"/>
    <w:rsid w:val="4E3F2463"/>
    <w:rsid w:val="4E421AB6"/>
    <w:rsid w:val="4E4E5DEC"/>
    <w:rsid w:val="4E5D32EC"/>
    <w:rsid w:val="4E66332D"/>
    <w:rsid w:val="4E7A5342"/>
    <w:rsid w:val="4E7C3473"/>
    <w:rsid w:val="4E7D2FE7"/>
    <w:rsid w:val="4E7E5597"/>
    <w:rsid w:val="4E881E17"/>
    <w:rsid w:val="4E9019ED"/>
    <w:rsid w:val="4E9053B2"/>
    <w:rsid w:val="4EA350EB"/>
    <w:rsid w:val="4EA677C7"/>
    <w:rsid w:val="4EDD760D"/>
    <w:rsid w:val="4EF31987"/>
    <w:rsid w:val="4EFD14E3"/>
    <w:rsid w:val="4F0B18BC"/>
    <w:rsid w:val="4F2A7373"/>
    <w:rsid w:val="4F3F418E"/>
    <w:rsid w:val="4F4E59A9"/>
    <w:rsid w:val="4F5403A7"/>
    <w:rsid w:val="4F5B2D82"/>
    <w:rsid w:val="4F72242E"/>
    <w:rsid w:val="4F771876"/>
    <w:rsid w:val="4F7D5E8D"/>
    <w:rsid w:val="4F8224F8"/>
    <w:rsid w:val="4F8A63B3"/>
    <w:rsid w:val="4F8C5E44"/>
    <w:rsid w:val="4F982757"/>
    <w:rsid w:val="4F996C19"/>
    <w:rsid w:val="4FA16600"/>
    <w:rsid w:val="4FA37FC7"/>
    <w:rsid w:val="4FAB59A8"/>
    <w:rsid w:val="4FB7442D"/>
    <w:rsid w:val="4FC51397"/>
    <w:rsid w:val="4FC96E4D"/>
    <w:rsid w:val="4FCA1325"/>
    <w:rsid w:val="4FD931B3"/>
    <w:rsid w:val="4FF22555"/>
    <w:rsid w:val="500D3466"/>
    <w:rsid w:val="501D34F7"/>
    <w:rsid w:val="50314561"/>
    <w:rsid w:val="50366CE3"/>
    <w:rsid w:val="5042620D"/>
    <w:rsid w:val="50493293"/>
    <w:rsid w:val="505441E0"/>
    <w:rsid w:val="505F1776"/>
    <w:rsid w:val="506458EE"/>
    <w:rsid w:val="506948F3"/>
    <w:rsid w:val="5076486A"/>
    <w:rsid w:val="5084793E"/>
    <w:rsid w:val="508623D7"/>
    <w:rsid w:val="509070A7"/>
    <w:rsid w:val="50934D08"/>
    <w:rsid w:val="50990932"/>
    <w:rsid w:val="50A05B3E"/>
    <w:rsid w:val="50A152AB"/>
    <w:rsid w:val="50AF4549"/>
    <w:rsid w:val="50B10F1E"/>
    <w:rsid w:val="50B86F1D"/>
    <w:rsid w:val="50BD45D7"/>
    <w:rsid w:val="50C667E3"/>
    <w:rsid w:val="50F4571B"/>
    <w:rsid w:val="50F85BE5"/>
    <w:rsid w:val="510150B3"/>
    <w:rsid w:val="510425AE"/>
    <w:rsid w:val="510F3297"/>
    <w:rsid w:val="511300BE"/>
    <w:rsid w:val="5116195C"/>
    <w:rsid w:val="51226953"/>
    <w:rsid w:val="512C2F2E"/>
    <w:rsid w:val="513428CE"/>
    <w:rsid w:val="5148306F"/>
    <w:rsid w:val="51526DFE"/>
    <w:rsid w:val="5161411A"/>
    <w:rsid w:val="5167040A"/>
    <w:rsid w:val="51681F7B"/>
    <w:rsid w:val="516E37AD"/>
    <w:rsid w:val="51803BAD"/>
    <w:rsid w:val="51844A02"/>
    <w:rsid w:val="51953538"/>
    <w:rsid w:val="51A815E1"/>
    <w:rsid w:val="51A96C75"/>
    <w:rsid w:val="51AA471F"/>
    <w:rsid w:val="51B8286E"/>
    <w:rsid w:val="51BF499C"/>
    <w:rsid w:val="51C87651"/>
    <w:rsid w:val="51F50CC4"/>
    <w:rsid w:val="51F75A3A"/>
    <w:rsid w:val="51FC028D"/>
    <w:rsid w:val="52005075"/>
    <w:rsid w:val="520D36E7"/>
    <w:rsid w:val="520D5AD7"/>
    <w:rsid w:val="52290C1A"/>
    <w:rsid w:val="52437B45"/>
    <w:rsid w:val="52574B97"/>
    <w:rsid w:val="5275584E"/>
    <w:rsid w:val="52877259"/>
    <w:rsid w:val="52A01984"/>
    <w:rsid w:val="52A1794C"/>
    <w:rsid w:val="52AE3632"/>
    <w:rsid w:val="52B73C12"/>
    <w:rsid w:val="52C9266C"/>
    <w:rsid w:val="52D90E94"/>
    <w:rsid w:val="52E426AB"/>
    <w:rsid w:val="52E54B9E"/>
    <w:rsid w:val="52EA6014"/>
    <w:rsid w:val="530F642B"/>
    <w:rsid w:val="531356F0"/>
    <w:rsid w:val="53182AC1"/>
    <w:rsid w:val="53233EF9"/>
    <w:rsid w:val="53316DC0"/>
    <w:rsid w:val="533B4E9A"/>
    <w:rsid w:val="533E219F"/>
    <w:rsid w:val="533E7927"/>
    <w:rsid w:val="53436916"/>
    <w:rsid w:val="53805899"/>
    <w:rsid w:val="53942FB9"/>
    <w:rsid w:val="53A3305D"/>
    <w:rsid w:val="53AE15D6"/>
    <w:rsid w:val="53B0755A"/>
    <w:rsid w:val="53D36377"/>
    <w:rsid w:val="53D5400D"/>
    <w:rsid w:val="53DB24A1"/>
    <w:rsid w:val="53E421E6"/>
    <w:rsid w:val="53EB64D8"/>
    <w:rsid w:val="53ED21F1"/>
    <w:rsid w:val="53F32E59"/>
    <w:rsid w:val="53FC752F"/>
    <w:rsid w:val="53FF7302"/>
    <w:rsid w:val="54053BD1"/>
    <w:rsid w:val="5406369A"/>
    <w:rsid w:val="540A21E6"/>
    <w:rsid w:val="5416231D"/>
    <w:rsid w:val="542179A6"/>
    <w:rsid w:val="54223980"/>
    <w:rsid w:val="54255916"/>
    <w:rsid w:val="542712B8"/>
    <w:rsid w:val="542F2728"/>
    <w:rsid w:val="54352A41"/>
    <w:rsid w:val="54436756"/>
    <w:rsid w:val="545F05B3"/>
    <w:rsid w:val="5479557E"/>
    <w:rsid w:val="547D45B1"/>
    <w:rsid w:val="54803F9A"/>
    <w:rsid w:val="5486504B"/>
    <w:rsid w:val="54885BC7"/>
    <w:rsid w:val="548D4527"/>
    <w:rsid w:val="54901FF5"/>
    <w:rsid w:val="54A54BEE"/>
    <w:rsid w:val="54AE652C"/>
    <w:rsid w:val="54B413A0"/>
    <w:rsid w:val="54BD7D4E"/>
    <w:rsid w:val="54CF1F55"/>
    <w:rsid w:val="54D360AC"/>
    <w:rsid w:val="54D62704"/>
    <w:rsid w:val="54DF28CC"/>
    <w:rsid w:val="54DF76E3"/>
    <w:rsid w:val="54E17060"/>
    <w:rsid w:val="54ED44E0"/>
    <w:rsid w:val="54EF2566"/>
    <w:rsid w:val="54F20DD8"/>
    <w:rsid w:val="54FB1595"/>
    <w:rsid w:val="54FC04BD"/>
    <w:rsid w:val="54FE2B1D"/>
    <w:rsid w:val="55060B15"/>
    <w:rsid w:val="55101AD9"/>
    <w:rsid w:val="5512628F"/>
    <w:rsid w:val="551A424C"/>
    <w:rsid w:val="552705DC"/>
    <w:rsid w:val="55346088"/>
    <w:rsid w:val="553E39D0"/>
    <w:rsid w:val="555121BE"/>
    <w:rsid w:val="55582C38"/>
    <w:rsid w:val="555864E8"/>
    <w:rsid w:val="55607AD1"/>
    <w:rsid w:val="5563538C"/>
    <w:rsid w:val="556525C2"/>
    <w:rsid w:val="55742ED3"/>
    <w:rsid w:val="55800FC3"/>
    <w:rsid w:val="55816D1A"/>
    <w:rsid w:val="558232B4"/>
    <w:rsid w:val="55823D0A"/>
    <w:rsid w:val="558404D8"/>
    <w:rsid w:val="558D6EA0"/>
    <w:rsid w:val="55BB2D85"/>
    <w:rsid w:val="55C53951"/>
    <w:rsid w:val="55D03B75"/>
    <w:rsid w:val="55D34C0B"/>
    <w:rsid w:val="55D911AB"/>
    <w:rsid w:val="55DC59A2"/>
    <w:rsid w:val="55E22755"/>
    <w:rsid w:val="55E61CE2"/>
    <w:rsid w:val="55F74FBA"/>
    <w:rsid w:val="55FD2353"/>
    <w:rsid w:val="56095028"/>
    <w:rsid w:val="561701C4"/>
    <w:rsid w:val="561925CF"/>
    <w:rsid w:val="561B7A15"/>
    <w:rsid w:val="561D553B"/>
    <w:rsid w:val="562C0203"/>
    <w:rsid w:val="5630098F"/>
    <w:rsid w:val="5648259F"/>
    <w:rsid w:val="564841A3"/>
    <w:rsid w:val="56507773"/>
    <w:rsid w:val="565E476B"/>
    <w:rsid w:val="566273F2"/>
    <w:rsid w:val="5671481D"/>
    <w:rsid w:val="56797A1E"/>
    <w:rsid w:val="567E06C3"/>
    <w:rsid w:val="567F0DF1"/>
    <w:rsid w:val="56864174"/>
    <w:rsid w:val="568A3CC6"/>
    <w:rsid w:val="568D446F"/>
    <w:rsid w:val="56906DE5"/>
    <w:rsid w:val="569A3030"/>
    <w:rsid w:val="569C2904"/>
    <w:rsid w:val="569F5BFB"/>
    <w:rsid w:val="56AE6854"/>
    <w:rsid w:val="56B34E12"/>
    <w:rsid w:val="56BC64C1"/>
    <w:rsid w:val="56BE457F"/>
    <w:rsid w:val="56C105BC"/>
    <w:rsid w:val="56C60BAE"/>
    <w:rsid w:val="56C85645"/>
    <w:rsid w:val="56CA56C3"/>
    <w:rsid w:val="56D1403F"/>
    <w:rsid w:val="56D450AC"/>
    <w:rsid w:val="56DA0E78"/>
    <w:rsid w:val="56DC6378"/>
    <w:rsid w:val="56E10D2C"/>
    <w:rsid w:val="56EF6C99"/>
    <w:rsid w:val="56F64CF8"/>
    <w:rsid w:val="56FC55E9"/>
    <w:rsid w:val="570D52D9"/>
    <w:rsid w:val="5712706A"/>
    <w:rsid w:val="57250B4B"/>
    <w:rsid w:val="572D41EC"/>
    <w:rsid w:val="57324557"/>
    <w:rsid w:val="574A05B2"/>
    <w:rsid w:val="574C665C"/>
    <w:rsid w:val="57576D5B"/>
    <w:rsid w:val="575B1AF9"/>
    <w:rsid w:val="575E4BFD"/>
    <w:rsid w:val="575E6045"/>
    <w:rsid w:val="5769394F"/>
    <w:rsid w:val="577B4341"/>
    <w:rsid w:val="577D0987"/>
    <w:rsid w:val="578B0F61"/>
    <w:rsid w:val="578D7D5F"/>
    <w:rsid w:val="579519DA"/>
    <w:rsid w:val="57965C58"/>
    <w:rsid w:val="57975A3C"/>
    <w:rsid w:val="57995095"/>
    <w:rsid w:val="579F69F6"/>
    <w:rsid w:val="57A16195"/>
    <w:rsid w:val="57A163EA"/>
    <w:rsid w:val="57A52B16"/>
    <w:rsid w:val="57CA470F"/>
    <w:rsid w:val="57D30E2D"/>
    <w:rsid w:val="57E83EF3"/>
    <w:rsid w:val="57EC2180"/>
    <w:rsid w:val="57F219F1"/>
    <w:rsid w:val="57F87EB3"/>
    <w:rsid w:val="57F9210E"/>
    <w:rsid w:val="58025141"/>
    <w:rsid w:val="580D3411"/>
    <w:rsid w:val="58147782"/>
    <w:rsid w:val="581D04AA"/>
    <w:rsid w:val="58203010"/>
    <w:rsid w:val="582744B9"/>
    <w:rsid w:val="58366D88"/>
    <w:rsid w:val="584C6D1F"/>
    <w:rsid w:val="5857072A"/>
    <w:rsid w:val="585B3210"/>
    <w:rsid w:val="585D54A1"/>
    <w:rsid w:val="58605AC4"/>
    <w:rsid w:val="58626111"/>
    <w:rsid w:val="58717625"/>
    <w:rsid w:val="588C4DF1"/>
    <w:rsid w:val="58972348"/>
    <w:rsid w:val="589947E1"/>
    <w:rsid w:val="58AD5163"/>
    <w:rsid w:val="58B301B3"/>
    <w:rsid w:val="58B92C98"/>
    <w:rsid w:val="58DA1937"/>
    <w:rsid w:val="58EB2C1C"/>
    <w:rsid w:val="58F637C6"/>
    <w:rsid w:val="58F80200"/>
    <w:rsid w:val="592449FF"/>
    <w:rsid w:val="59246BE1"/>
    <w:rsid w:val="592709AB"/>
    <w:rsid w:val="592E1E7C"/>
    <w:rsid w:val="593732B8"/>
    <w:rsid w:val="593F2C7D"/>
    <w:rsid w:val="595D7438"/>
    <w:rsid w:val="595F7E07"/>
    <w:rsid w:val="59643AFA"/>
    <w:rsid w:val="5967369D"/>
    <w:rsid w:val="597F25E1"/>
    <w:rsid w:val="59970451"/>
    <w:rsid w:val="59A40A27"/>
    <w:rsid w:val="59AD0683"/>
    <w:rsid w:val="59B93963"/>
    <w:rsid w:val="59D151FB"/>
    <w:rsid w:val="59D41030"/>
    <w:rsid w:val="59D65577"/>
    <w:rsid w:val="59D679F3"/>
    <w:rsid w:val="59E348D7"/>
    <w:rsid w:val="59F476C2"/>
    <w:rsid w:val="59F91E1B"/>
    <w:rsid w:val="5A02569F"/>
    <w:rsid w:val="5A045332"/>
    <w:rsid w:val="5A1D6B25"/>
    <w:rsid w:val="5A216A57"/>
    <w:rsid w:val="5A233546"/>
    <w:rsid w:val="5A253790"/>
    <w:rsid w:val="5A2C680A"/>
    <w:rsid w:val="5A345770"/>
    <w:rsid w:val="5A361DAE"/>
    <w:rsid w:val="5A3B5997"/>
    <w:rsid w:val="5A4D0241"/>
    <w:rsid w:val="5A505ED5"/>
    <w:rsid w:val="5A5636F8"/>
    <w:rsid w:val="5A6D4678"/>
    <w:rsid w:val="5A7E3E82"/>
    <w:rsid w:val="5A8F3EB9"/>
    <w:rsid w:val="5A952603"/>
    <w:rsid w:val="5AB352E8"/>
    <w:rsid w:val="5AB81340"/>
    <w:rsid w:val="5ABA4DE5"/>
    <w:rsid w:val="5ABF450B"/>
    <w:rsid w:val="5ACE1FD5"/>
    <w:rsid w:val="5AE1122D"/>
    <w:rsid w:val="5AE662E1"/>
    <w:rsid w:val="5AEC35AF"/>
    <w:rsid w:val="5AED2235"/>
    <w:rsid w:val="5AEE79B3"/>
    <w:rsid w:val="5AF42BC7"/>
    <w:rsid w:val="5AFD0A89"/>
    <w:rsid w:val="5AFD5A55"/>
    <w:rsid w:val="5B1024F7"/>
    <w:rsid w:val="5B213377"/>
    <w:rsid w:val="5B352C84"/>
    <w:rsid w:val="5B372FCA"/>
    <w:rsid w:val="5B375648"/>
    <w:rsid w:val="5B4476E6"/>
    <w:rsid w:val="5B4572F2"/>
    <w:rsid w:val="5B4D27BD"/>
    <w:rsid w:val="5B506723"/>
    <w:rsid w:val="5B61236E"/>
    <w:rsid w:val="5B6234E7"/>
    <w:rsid w:val="5B6E1D39"/>
    <w:rsid w:val="5B723495"/>
    <w:rsid w:val="5B7420A1"/>
    <w:rsid w:val="5B7B333B"/>
    <w:rsid w:val="5B7B51DE"/>
    <w:rsid w:val="5B7F559C"/>
    <w:rsid w:val="5B971598"/>
    <w:rsid w:val="5B9A166B"/>
    <w:rsid w:val="5B9C5800"/>
    <w:rsid w:val="5BA17CE4"/>
    <w:rsid w:val="5BA346B3"/>
    <w:rsid w:val="5BAA56EF"/>
    <w:rsid w:val="5BAB28FE"/>
    <w:rsid w:val="5BB54828"/>
    <w:rsid w:val="5BB74E83"/>
    <w:rsid w:val="5BC66667"/>
    <w:rsid w:val="5BC8375F"/>
    <w:rsid w:val="5BCB35B9"/>
    <w:rsid w:val="5BFA0513"/>
    <w:rsid w:val="5C0A1364"/>
    <w:rsid w:val="5C140881"/>
    <w:rsid w:val="5C1528AE"/>
    <w:rsid w:val="5C1900EC"/>
    <w:rsid w:val="5C19719D"/>
    <w:rsid w:val="5C2C4103"/>
    <w:rsid w:val="5C3F378B"/>
    <w:rsid w:val="5C52009E"/>
    <w:rsid w:val="5C6467E5"/>
    <w:rsid w:val="5C670114"/>
    <w:rsid w:val="5C7560D1"/>
    <w:rsid w:val="5C76698D"/>
    <w:rsid w:val="5C81539A"/>
    <w:rsid w:val="5C891B7C"/>
    <w:rsid w:val="5CB20CDF"/>
    <w:rsid w:val="5CCC3BE6"/>
    <w:rsid w:val="5CDD0767"/>
    <w:rsid w:val="5CE40A0C"/>
    <w:rsid w:val="5CF20BF6"/>
    <w:rsid w:val="5CF56886"/>
    <w:rsid w:val="5CF73AAB"/>
    <w:rsid w:val="5CFF1E3E"/>
    <w:rsid w:val="5D0045A0"/>
    <w:rsid w:val="5D0F427F"/>
    <w:rsid w:val="5D115998"/>
    <w:rsid w:val="5D1714B1"/>
    <w:rsid w:val="5D1A0A10"/>
    <w:rsid w:val="5D1C068C"/>
    <w:rsid w:val="5D286599"/>
    <w:rsid w:val="5D2876AC"/>
    <w:rsid w:val="5D2C05C0"/>
    <w:rsid w:val="5D363443"/>
    <w:rsid w:val="5D4B1F4D"/>
    <w:rsid w:val="5D514660"/>
    <w:rsid w:val="5D537B35"/>
    <w:rsid w:val="5D5739EC"/>
    <w:rsid w:val="5D57596B"/>
    <w:rsid w:val="5D5828C3"/>
    <w:rsid w:val="5D5C4B9B"/>
    <w:rsid w:val="5D5D7998"/>
    <w:rsid w:val="5D610403"/>
    <w:rsid w:val="5D7945F3"/>
    <w:rsid w:val="5D8660BC"/>
    <w:rsid w:val="5D8D1BD9"/>
    <w:rsid w:val="5D932CA5"/>
    <w:rsid w:val="5D971AC9"/>
    <w:rsid w:val="5D9B0C4A"/>
    <w:rsid w:val="5DC42D98"/>
    <w:rsid w:val="5DCD1E25"/>
    <w:rsid w:val="5DE472FF"/>
    <w:rsid w:val="5DE56B72"/>
    <w:rsid w:val="5DED15CA"/>
    <w:rsid w:val="5E0B5A57"/>
    <w:rsid w:val="5E101065"/>
    <w:rsid w:val="5E12704A"/>
    <w:rsid w:val="5E131CC5"/>
    <w:rsid w:val="5E14191A"/>
    <w:rsid w:val="5E174667"/>
    <w:rsid w:val="5E214CAE"/>
    <w:rsid w:val="5E23671B"/>
    <w:rsid w:val="5E2B589D"/>
    <w:rsid w:val="5E2C2B50"/>
    <w:rsid w:val="5E303ADC"/>
    <w:rsid w:val="5E3F26CB"/>
    <w:rsid w:val="5E6967CD"/>
    <w:rsid w:val="5E6C52B2"/>
    <w:rsid w:val="5E791030"/>
    <w:rsid w:val="5E801DF3"/>
    <w:rsid w:val="5E895E64"/>
    <w:rsid w:val="5E8E391E"/>
    <w:rsid w:val="5E911717"/>
    <w:rsid w:val="5E9D673E"/>
    <w:rsid w:val="5EA41270"/>
    <w:rsid w:val="5EBC431E"/>
    <w:rsid w:val="5EC41DD2"/>
    <w:rsid w:val="5EC7130E"/>
    <w:rsid w:val="5ED31D8D"/>
    <w:rsid w:val="5ED328F0"/>
    <w:rsid w:val="5ED6112F"/>
    <w:rsid w:val="5EF2464C"/>
    <w:rsid w:val="5F10290B"/>
    <w:rsid w:val="5F195BA2"/>
    <w:rsid w:val="5F1B0316"/>
    <w:rsid w:val="5F1F403F"/>
    <w:rsid w:val="5F2A4C4C"/>
    <w:rsid w:val="5F3257AB"/>
    <w:rsid w:val="5F3610ED"/>
    <w:rsid w:val="5F3C7BAB"/>
    <w:rsid w:val="5F44087E"/>
    <w:rsid w:val="5F583325"/>
    <w:rsid w:val="5F614F39"/>
    <w:rsid w:val="5F7A4D9A"/>
    <w:rsid w:val="5F7F0ABD"/>
    <w:rsid w:val="5F9C22D2"/>
    <w:rsid w:val="5FD03D3F"/>
    <w:rsid w:val="5FD92155"/>
    <w:rsid w:val="5FDA335A"/>
    <w:rsid w:val="5FE86BBA"/>
    <w:rsid w:val="5FE90A23"/>
    <w:rsid w:val="5FF829F7"/>
    <w:rsid w:val="5FFD2037"/>
    <w:rsid w:val="60077078"/>
    <w:rsid w:val="600A70C8"/>
    <w:rsid w:val="600D672C"/>
    <w:rsid w:val="601F5769"/>
    <w:rsid w:val="601F7AAF"/>
    <w:rsid w:val="60252DBF"/>
    <w:rsid w:val="60431742"/>
    <w:rsid w:val="605F64D2"/>
    <w:rsid w:val="607522CE"/>
    <w:rsid w:val="607F0FEB"/>
    <w:rsid w:val="608560A1"/>
    <w:rsid w:val="608D6456"/>
    <w:rsid w:val="60943783"/>
    <w:rsid w:val="609F7981"/>
    <w:rsid w:val="60A07B8A"/>
    <w:rsid w:val="60A22EDD"/>
    <w:rsid w:val="60B70334"/>
    <w:rsid w:val="60BA27D4"/>
    <w:rsid w:val="60C026B3"/>
    <w:rsid w:val="60CB271B"/>
    <w:rsid w:val="60D55390"/>
    <w:rsid w:val="60D72294"/>
    <w:rsid w:val="60FA0A47"/>
    <w:rsid w:val="610C4D13"/>
    <w:rsid w:val="610F1862"/>
    <w:rsid w:val="611759A9"/>
    <w:rsid w:val="612012A9"/>
    <w:rsid w:val="613E75EB"/>
    <w:rsid w:val="614218AD"/>
    <w:rsid w:val="61502F36"/>
    <w:rsid w:val="6155302F"/>
    <w:rsid w:val="61567B36"/>
    <w:rsid w:val="61647B51"/>
    <w:rsid w:val="61666826"/>
    <w:rsid w:val="61890B12"/>
    <w:rsid w:val="6192502F"/>
    <w:rsid w:val="619A0388"/>
    <w:rsid w:val="61B422AF"/>
    <w:rsid w:val="61DD1B03"/>
    <w:rsid w:val="61E4238F"/>
    <w:rsid w:val="61E94593"/>
    <w:rsid w:val="61EA47CA"/>
    <w:rsid w:val="61F024E4"/>
    <w:rsid w:val="61F45CEA"/>
    <w:rsid w:val="620C0225"/>
    <w:rsid w:val="621403C4"/>
    <w:rsid w:val="622113F4"/>
    <w:rsid w:val="62211968"/>
    <w:rsid w:val="62234661"/>
    <w:rsid w:val="622A2F02"/>
    <w:rsid w:val="623C31ED"/>
    <w:rsid w:val="62654201"/>
    <w:rsid w:val="62657C53"/>
    <w:rsid w:val="626968D2"/>
    <w:rsid w:val="6283543B"/>
    <w:rsid w:val="62857C03"/>
    <w:rsid w:val="628D0CC8"/>
    <w:rsid w:val="62A13A0B"/>
    <w:rsid w:val="62A71327"/>
    <w:rsid w:val="62AE5783"/>
    <w:rsid w:val="62AF7E63"/>
    <w:rsid w:val="62CF080C"/>
    <w:rsid w:val="62FB0247"/>
    <w:rsid w:val="62FE54BB"/>
    <w:rsid w:val="630261E5"/>
    <w:rsid w:val="630466DB"/>
    <w:rsid w:val="630E255D"/>
    <w:rsid w:val="63171EA2"/>
    <w:rsid w:val="631A23FC"/>
    <w:rsid w:val="631C1CD7"/>
    <w:rsid w:val="634938AA"/>
    <w:rsid w:val="634E53BB"/>
    <w:rsid w:val="63525703"/>
    <w:rsid w:val="635741BA"/>
    <w:rsid w:val="635967AE"/>
    <w:rsid w:val="635C192B"/>
    <w:rsid w:val="636B756D"/>
    <w:rsid w:val="63724B56"/>
    <w:rsid w:val="6377691F"/>
    <w:rsid w:val="637B56D6"/>
    <w:rsid w:val="6380114F"/>
    <w:rsid w:val="638E5D64"/>
    <w:rsid w:val="63936E3D"/>
    <w:rsid w:val="639876A6"/>
    <w:rsid w:val="63B3128D"/>
    <w:rsid w:val="63B644B2"/>
    <w:rsid w:val="63D868B0"/>
    <w:rsid w:val="63DA71AF"/>
    <w:rsid w:val="63E1229E"/>
    <w:rsid w:val="63E55933"/>
    <w:rsid w:val="63F06A5A"/>
    <w:rsid w:val="63F707B7"/>
    <w:rsid w:val="63F87055"/>
    <w:rsid w:val="63F94F3A"/>
    <w:rsid w:val="64042AC5"/>
    <w:rsid w:val="64070CBE"/>
    <w:rsid w:val="640A63AE"/>
    <w:rsid w:val="640E1787"/>
    <w:rsid w:val="64112817"/>
    <w:rsid w:val="64403609"/>
    <w:rsid w:val="644465FA"/>
    <w:rsid w:val="645A7036"/>
    <w:rsid w:val="64670BE1"/>
    <w:rsid w:val="64681FC0"/>
    <w:rsid w:val="64685AF4"/>
    <w:rsid w:val="64831F84"/>
    <w:rsid w:val="648617FF"/>
    <w:rsid w:val="64927027"/>
    <w:rsid w:val="649C2AAD"/>
    <w:rsid w:val="64AA7751"/>
    <w:rsid w:val="64AB1A67"/>
    <w:rsid w:val="64AF6401"/>
    <w:rsid w:val="64B110F1"/>
    <w:rsid w:val="64B80024"/>
    <w:rsid w:val="64BB04F9"/>
    <w:rsid w:val="64BC1EE1"/>
    <w:rsid w:val="64C626C2"/>
    <w:rsid w:val="64CD535D"/>
    <w:rsid w:val="64E10C0E"/>
    <w:rsid w:val="64E30B29"/>
    <w:rsid w:val="64ED174C"/>
    <w:rsid w:val="65070DB9"/>
    <w:rsid w:val="651656A2"/>
    <w:rsid w:val="65342437"/>
    <w:rsid w:val="653435D2"/>
    <w:rsid w:val="65384140"/>
    <w:rsid w:val="65393B52"/>
    <w:rsid w:val="65460490"/>
    <w:rsid w:val="654F023B"/>
    <w:rsid w:val="654F2506"/>
    <w:rsid w:val="65547EB8"/>
    <w:rsid w:val="655645C6"/>
    <w:rsid w:val="656A6F28"/>
    <w:rsid w:val="657223A0"/>
    <w:rsid w:val="657F5E72"/>
    <w:rsid w:val="65942C36"/>
    <w:rsid w:val="65B40042"/>
    <w:rsid w:val="65B604EE"/>
    <w:rsid w:val="65C21E82"/>
    <w:rsid w:val="65E27985"/>
    <w:rsid w:val="65ED78FA"/>
    <w:rsid w:val="65F27EB2"/>
    <w:rsid w:val="65F35694"/>
    <w:rsid w:val="66065245"/>
    <w:rsid w:val="66150C06"/>
    <w:rsid w:val="661D1AC1"/>
    <w:rsid w:val="661D6EBE"/>
    <w:rsid w:val="66234993"/>
    <w:rsid w:val="66247119"/>
    <w:rsid w:val="66277793"/>
    <w:rsid w:val="662B38BD"/>
    <w:rsid w:val="664B5CB9"/>
    <w:rsid w:val="664C30A0"/>
    <w:rsid w:val="664F29A7"/>
    <w:rsid w:val="66562149"/>
    <w:rsid w:val="665A2E04"/>
    <w:rsid w:val="665E7BD6"/>
    <w:rsid w:val="666B53EC"/>
    <w:rsid w:val="66741ECD"/>
    <w:rsid w:val="66743A05"/>
    <w:rsid w:val="667B4E63"/>
    <w:rsid w:val="667F75CD"/>
    <w:rsid w:val="668E5566"/>
    <w:rsid w:val="669334ED"/>
    <w:rsid w:val="66976C44"/>
    <w:rsid w:val="669F08D9"/>
    <w:rsid w:val="66C258A6"/>
    <w:rsid w:val="66CA526B"/>
    <w:rsid w:val="66CF4D2A"/>
    <w:rsid w:val="66D802C3"/>
    <w:rsid w:val="66DF1DD9"/>
    <w:rsid w:val="66EE39C5"/>
    <w:rsid w:val="66F66060"/>
    <w:rsid w:val="66FE6CC3"/>
    <w:rsid w:val="67012997"/>
    <w:rsid w:val="670339CB"/>
    <w:rsid w:val="670873FF"/>
    <w:rsid w:val="670D15FF"/>
    <w:rsid w:val="671322E3"/>
    <w:rsid w:val="6730396A"/>
    <w:rsid w:val="67352FAA"/>
    <w:rsid w:val="673C794E"/>
    <w:rsid w:val="673D5A3D"/>
    <w:rsid w:val="67437165"/>
    <w:rsid w:val="676E1276"/>
    <w:rsid w:val="67776980"/>
    <w:rsid w:val="6783459B"/>
    <w:rsid w:val="67915D89"/>
    <w:rsid w:val="67931B42"/>
    <w:rsid w:val="679420DE"/>
    <w:rsid w:val="67990255"/>
    <w:rsid w:val="679A70EC"/>
    <w:rsid w:val="679E70BC"/>
    <w:rsid w:val="67B51464"/>
    <w:rsid w:val="67D84780"/>
    <w:rsid w:val="67E12027"/>
    <w:rsid w:val="67E26298"/>
    <w:rsid w:val="67F45697"/>
    <w:rsid w:val="68026CD5"/>
    <w:rsid w:val="68090A98"/>
    <w:rsid w:val="681A7329"/>
    <w:rsid w:val="681A7F35"/>
    <w:rsid w:val="681F2BC4"/>
    <w:rsid w:val="682C28BD"/>
    <w:rsid w:val="682E182A"/>
    <w:rsid w:val="68356714"/>
    <w:rsid w:val="683A638D"/>
    <w:rsid w:val="6844432C"/>
    <w:rsid w:val="684C1B2A"/>
    <w:rsid w:val="686A0AB4"/>
    <w:rsid w:val="686D5EAE"/>
    <w:rsid w:val="6876117E"/>
    <w:rsid w:val="687C5953"/>
    <w:rsid w:val="68824192"/>
    <w:rsid w:val="68AE130C"/>
    <w:rsid w:val="68B00ED4"/>
    <w:rsid w:val="68B24209"/>
    <w:rsid w:val="68CD2DF1"/>
    <w:rsid w:val="68DB3FE7"/>
    <w:rsid w:val="68F16ADF"/>
    <w:rsid w:val="68F40181"/>
    <w:rsid w:val="68FB506F"/>
    <w:rsid w:val="69194288"/>
    <w:rsid w:val="691B0000"/>
    <w:rsid w:val="69223554"/>
    <w:rsid w:val="693D1D24"/>
    <w:rsid w:val="69433A31"/>
    <w:rsid w:val="69470287"/>
    <w:rsid w:val="694B09BB"/>
    <w:rsid w:val="694B5470"/>
    <w:rsid w:val="695B177B"/>
    <w:rsid w:val="695E5638"/>
    <w:rsid w:val="695F702D"/>
    <w:rsid w:val="697D38DB"/>
    <w:rsid w:val="697E57A8"/>
    <w:rsid w:val="697F233D"/>
    <w:rsid w:val="698424C2"/>
    <w:rsid w:val="698473AF"/>
    <w:rsid w:val="69890B6A"/>
    <w:rsid w:val="698A0CE2"/>
    <w:rsid w:val="698F4078"/>
    <w:rsid w:val="699C3FDF"/>
    <w:rsid w:val="69A0054E"/>
    <w:rsid w:val="69A47B5D"/>
    <w:rsid w:val="69A84E32"/>
    <w:rsid w:val="69AF5911"/>
    <w:rsid w:val="69B44AF0"/>
    <w:rsid w:val="69BB70ED"/>
    <w:rsid w:val="69D3393B"/>
    <w:rsid w:val="69F14D30"/>
    <w:rsid w:val="69FF0A2B"/>
    <w:rsid w:val="69FF42EF"/>
    <w:rsid w:val="6A0509AF"/>
    <w:rsid w:val="6A276531"/>
    <w:rsid w:val="6A3C3BC0"/>
    <w:rsid w:val="6A4E5368"/>
    <w:rsid w:val="6A503532"/>
    <w:rsid w:val="6A537326"/>
    <w:rsid w:val="6A55789B"/>
    <w:rsid w:val="6A5F034A"/>
    <w:rsid w:val="6A6652AB"/>
    <w:rsid w:val="6A6A0440"/>
    <w:rsid w:val="6A6C0A0D"/>
    <w:rsid w:val="6A6C73AF"/>
    <w:rsid w:val="6A75263E"/>
    <w:rsid w:val="6A753546"/>
    <w:rsid w:val="6A833455"/>
    <w:rsid w:val="6A851946"/>
    <w:rsid w:val="6A932044"/>
    <w:rsid w:val="6A9A04D0"/>
    <w:rsid w:val="6A9B1575"/>
    <w:rsid w:val="6AA17380"/>
    <w:rsid w:val="6AB07089"/>
    <w:rsid w:val="6ABA2A86"/>
    <w:rsid w:val="6ABD0040"/>
    <w:rsid w:val="6AC00FBD"/>
    <w:rsid w:val="6ACD532A"/>
    <w:rsid w:val="6ACF2E50"/>
    <w:rsid w:val="6AD222DD"/>
    <w:rsid w:val="6AD71D05"/>
    <w:rsid w:val="6AD9567C"/>
    <w:rsid w:val="6ADB4B06"/>
    <w:rsid w:val="6AE52674"/>
    <w:rsid w:val="6AE74CE7"/>
    <w:rsid w:val="6B2A43FB"/>
    <w:rsid w:val="6B2B65BD"/>
    <w:rsid w:val="6B312A10"/>
    <w:rsid w:val="6B4340BA"/>
    <w:rsid w:val="6B440452"/>
    <w:rsid w:val="6B44508B"/>
    <w:rsid w:val="6B4F174F"/>
    <w:rsid w:val="6B55218C"/>
    <w:rsid w:val="6B5B7839"/>
    <w:rsid w:val="6B680DFC"/>
    <w:rsid w:val="6B6B0A1B"/>
    <w:rsid w:val="6B757AC3"/>
    <w:rsid w:val="6B7F7C8E"/>
    <w:rsid w:val="6BAD17CB"/>
    <w:rsid w:val="6BB02928"/>
    <w:rsid w:val="6BB04FB7"/>
    <w:rsid w:val="6BB72EF7"/>
    <w:rsid w:val="6BB97D5F"/>
    <w:rsid w:val="6BBA13D3"/>
    <w:rsid w:val="6BBA6E0E"/>
    <w:rsid w:val="6BC0738D"/>
    <w:rsid w:val="6BD30C41"/>
    <w:rsid w:val="6BE17E25"/>
    <w:rsid w:val="6BE46F8F"/>
    <w:rsid w:val="6BED5BEE"/>
    <w:rsid w:val="6BF45110"/>
    <w:rsid w:val="6C00332A"/>
    <w:rsid w:val="6C01245B"/>
    <w:rsid w:val="6C066E33"/>
    <w:rsid w:val="6C122480"/>
    <w:rsid w:val="6C28024A"/>
    <w:rsid w:val="6C2A20AC"/>
    <w:rsid w:val="6C2F5253"/>
    <w:rsid w:val="6C357D78"/>
    <w:rsid w:val="6C555646"/>
    <w:rsid w:val="6C5850C7"/>
    <w:rsid w:val="6C5C00D6"/>
    <w:rsid w:val="6C633D59"/>
    <w:rsid w:val="6C6D15E0"/>
    <w:rsid w:val="6C7041BF"/>
    <w:rsid w:val="6C7964CA"/>
    <w:rsid w:val="6C7B0611"/>
    <w:rsid w:val="6C8546D2"/>
    <w:rsid w:val="6C88474B"/>
    <w:rsid w:val="6C941BC5"/>
    <w:rsid w:val="6C9440E1"/>
    <w:rsid w:val="6CA502A1"/>
    <w:rsid w:val="6CB91B78"/>
    <w:rsid w:val="6CC304A5"/>
    <w:rsid w:val="6CCF3F0D"/>
    <w:rsid w:val="6CD41BDD"/>
    <w:rsid w:val="6CD70C84"/>
    <w:rsid w:val="6CD818B6"/>
    <w:rsid w:val="6CF654A0"/>
    <w:rsid w:val="6D000756"/>
    <w:rsid w:val="6D001F74"/>
    <w:rsid w:val="6D053E35"/>
    <w:rsid w:val="6D1234C8"/>
    <w:rsid w:val="6D1547E8"/>
    <w:rsid w:val="6D1A42FC"/>
    <w:rsid w:val="6D28194D"/>
    <w:rsid w:val="6D2F0EDE"/>
    <w:rsid w:val="6D337691"/>
    <w:rsid w:val="6D4A1E41"/>
    <w:rsid w:val="6D4D0348"/>
    <w:rsid w:val="6D4F322B"/>
    <w:rsid w:val="6D5A0E7D"/>
    <w:rsid w:val="6D5B2169"/>
    <w:rsid w:val="6D5B31BC"/>
    <w:rsid w:val="6D5C001E"/>
    <w:rsid w:val="6D6856BA"/>
    <w:rsid w:val="6D6B0A08"/>
    <w:rsid w:val="6D7C2C55"/>
    <w:rsid w:val="6D871DE4"/>
    <w:rsid w:val="6D892E6D"/>
    <w:rsid w:val="6D961EF9"/>
    <w:rsid w:val="6D994E61"/>
    <w:rsid w:val="6DA653A1"/>
    <w:rsid w:val="6DA76755"/>
    <w:rsid w:val="6DB36353"/>
    <w:rsid w:val="6DC24EEE"/>
    <w:rsid w:val="6DC27BD1"/>
    <w:rsid w:val="6DF70A7D"/>
    <w:rsid w:val="6DFF4759"/>
    <w:rsid w:val="6E05249D"/>
    <w:rsid w:val="6E0A3154"/>
    <w:rsid w:val="6E0D2A66"/>
    <w:rsid w:val="6E163722"/>
    <w:rsid w:val="6E184E23"/>
    <w:rsid w:val="6E196ADC"/>
    <w:rsid w:val="6E1E24FA"/>
    <w:rsid w:val="6E21383A"/>
    <w:rsid w:val="6E281B11"/>
    <w:rsid w:val="6E38417F"/>
    <w:rsid w:val="6E384F4E"/>
    <w:rsid w:val="6E5321AA"/>
    <w:rsid w:val="6E5C1A9F"/>
    <w:rsid w:val="6E7F2EF3"/>
    <w:rsid w:val="6E920504"/>
    <w:rsid w:val="6E950C7A"/>
    <w:rsid w:val="6E95615F"/>
    <w:rsid w:val="6E961F7F"/>
    <w:rsid w:val="6E9F3322"/>
    <w:rsid w:val="6EA00025"/>
    <w:rsid w:val="6EA338D2"/>
    <w:rsid w:val="6EB27CEB"/>
    <w:rsid w:val="6EC35DF5"/>
    <w:rsid w:val="6EC502CA"/>
    <w:rsid w:val="6EC5724B"/>
    <w:rsid w:val="6ED9046A"/>
    <w:rsid w:val="6EDC15A8"/>
    <w:rsid w:val="6F02226C"/>
    <w:rsid w:val="6F111073"/>
    <w:rsid w:val="6F146342"/>
    <w:rsid w:val="6F473F93"/>
    <w:rsid w:val="6F507E84"/>
    <w:rsid w:val="6F550149"/>
    <w:rsid w:val="6F5C073F"/>
    <w:rsid w:val="6F636E3C"/>
    <w:rsid w:val="6F6477D0"/>
    <w:rsid w:val="6F6850D2"/>
    <w:rsid w:val="6F7355DD"/>
    <w:rsid w:val="6F8C7562"/>
    <w:rsid w:val="6F901477"/>
    <w:rsid w:val="6FA00D1C"/>
    <w:rsid w:val="6FA65A39"/>
    <w:rsid w:val="6FB216F9"/>
    <w:rsid w:val="6FB410D2"/>
    <w:rsid w:val="6FD17AC7"/>
    <w:rsid w:val="6FDA5F61"/>
    <w:rsid w:val="6FE0219C"/>
    <w:rsid w:val="6FE03895"/>
    <w:rsid w:val="6FE901F3"/>
    <w:rsid w:val="6FE97EB3"/>
    <w:rsid w:val="6FED6E7C"/>
    <w:rsid w:val="6FF841C0"/>
    <w:rsid w:val="6FFE37C5"/>
    <w:rsid w:val="70074E3A"/>
    <w:rsid w:val="700A5460"/>
    <w:rsid w:val="702669C1"/>
    <w:rsid w:val="705D3D53"/>
    <w:rsid w:val="706F67DF"/>
    <w:rsid w:val="706F782A"/>
    <w:rsid w:val="70781894"/>
    <w:rsid w:val="708F5B3F"/>
    <w:rsid w:val="7090115C"/>
    <w:rsid w:val="70A8486B"/>
    <w:rsid w:val="70B229CE"/>
    <w:rsid w:val="70B436F7"/>
    <w:rsid w:val="70B90F6C"/>
    <w:rsid w:val="70C24864"/>
    <w:rsid w:val="70C40AA9"/>
    <w:rsid w:val="70C76378"/>
    <w:rsid w:val="70DA12E4"/>
    <w:rsid w:val="70DB7F13"/>
    <w:rsid w:val="70E15399"/>
    <w:rsid w:val="70EB38EA"/>
    <w:rsid w:val="70F729E3"/>
    <w:rsid w:val="71091A03"/>
    <w:rsid w:val="711E4ED4"/>
    <w:rsid w:val="71281DDA"/>
    <w:rsid w:val="714762D3"/>
    <w:rsid w:val="71616F29"/>
    <w:rsid w:val="7161743F"/>
    <w:rsid w:val="71786985"/>
    <w:rsid w:val="717951F8"/>
    <w:rsid w:val="71AB5C99"/>
    <w:rsid w:val="71B227FB"/>
    <w:rsid w:val="71B55ED6"/>
    <w:rsid w:val="71B63F7F"/>
    <w:rsid w:val="71B82AA1"/>
    <w:rsid w:val="71BC7AFF"/>
    <w:rsid w:val="71CC54E6"/>
    <w:rsid w:val="71D14CEC"/>
    <w:rsid w:val="71DB4D5E"/>
    <w:rsid w:val="71DF6E28"/>
    <w:rsid w:val="71F008E4"/>
    <w:rsid w:val="71F633B8"/>
    <w:rsid w:val="71F74C6A"/>
    <w:rsid w:val="71F95CBE"/>
    <w:rsid w:val="71FA1581"/>
    <w:rsid w:val="720003EA"/>
    <w:rsid w:val="72027C3D"/>
    <w:rsid w:val="7207477C"/>
    <w:rsid w:val="72074977"/>
    <w:rsid w:val="721757F8"/>
    <w:rsid w:val="72366FC3"/>
    <w:rsid w:val="724C5269"/>
    <w:rsid w:val="7257225E"/>
    <w:rsid w:val="72593AAB"/>
    <w:rsid w:val="72632563"/>
    <w:rsid w:val="72646520"/>
    <w:rsid w:val="726E4717"/>
    <w:rsid w:val="727640AA"/>
    <w:rsid w:val="727D3192"/>
    <w:rsid w:val="7280290B"/>
    <w:rsid w:val="728A39C7"/>
    <w:rsid w:val="729533A2"/>
    <w:rsid w:val="729725AA"/>
    <w:rsid w:val="72A23C41"/>
    <w:rsid w:val="72AB3ADA"/>
    <w:rsid w:val="72B34785"/>
    <w:rsid w:val="72BC0045"/>
    <w:rsid w:val="72BD6ACB"/>
    <w:rsid w:val="72C123D0"/>
    <w:rsid w:val="72C22F53"/>
    <w:rsid w:val="72C2773E"/>
    <w:rsid w:val="72C93178"/>
    <w:rsid w:val="72D0795C"/>
    <w:rsid w:val="72D303BC"/>
    <w:rsid w:val="72E667CD"/>
    <w:rsid w:val="730C3FBE"/>
    <w:rsid w:val="73163C83"/>
    <w:rsid w:val="732606A5"/>
    <w:rsid w:val="732E7851"/>
    <w:rsid w:val="73320420"/>
    <w:rsid w:val="73440153"/>
    <w:rsid w:val="734E227B"/>
    <w:rsid w:val="735218DC"/>
    <w:rsid w:val="73576BA7"/>
    <w:rsid w:val="735A32B5"/>
    <w:rsid w:val="736037B3"/>
    <w:rsid w:val="736466DF"/>
    <w:rsid w:val="73672FD3"/>
    <w:rsid w:val="73745B85"/>
    <w:rsid w:val="737D78EA"/>
    <w:rsid w:val="738465B7"/>
    <w:rsid w:val="73874207"/>
    <w:rsid w:val="738A53BD"/>
    <w:rsid w:val="739435FA"/>
    <w:rsid w:val="739D0E97"/>
    <w:rsid w:val="73AE686F"/>
    <w:rsid w:val="73B06013"/>
    <w:rsid w:val="73C21494"/>
    <w:rsid w:val="73C531A0"/>
    <w:rsid w:val="73CF3EC1"/>
    <w:rsid w:val="73DF0548"/>
    <w:rsid w:val="73EA0CFB"/>
    <w:rsid w:val="73EB23DD"/>
    <w:rsid w:val="73F52D48"/>
    <w:rsid w:val="73F75F52"/>
    <w:rsid w:val="73F81633"/>
    <w:rsid w:val="740D09C4"/>
    <w:rsid w:val="74151928"/>
    <w:rsid w:val="7419334F"/>
    <w:rsid w:val="741B5B2A"/>
    <w:rsid w:val="74260BF7"/>
    <w:rsid w:val="74372D5F"/>
    <w:rsid w:val="74416C8A"/>
    <w:rsid w:val="74431C33"/>
    <w:rsid w:val="744458D1"/>
    <w:rsid w:val="74463771"/>
    <w:rsid w:val="74477806"/>
    <w:rsid w:val="74490E75"/>
    <w:rsid w:val="744B1C8C"/>
    <w:rsid w:val="74614D6B"/>
    <w:rsid w:val="74662958"/>
    <w:rsid w:val="746B0D3F"/>
    <w:rsid w:val="746E0F1B"/>
    <w:rsid w:val="7471098A"/>
    <w:rsid w:val="7473694C"/>
    <w:rsid w:val="7494043B"/>
    <w:rsid w:val="749570ED"/>
    <w:rsid w:val="749C27BA"/>
    <w:rsid w:val="749C52B8"/>
    <w:rsid w:val="74A857E2"/>
    <w:rsid w:val="74A878F0"/>
    <w:rsid w:val="74BA2DED"/>
    <w:rsid w:val="74CD5389"/>
    <w:rsid w:val="74D675AF"/>
    <w:rsid w:val="74EB16D9"/>
    <w:rsid w:val="74EF3380"/>
    <w:rsid w:val="74F10E21"/>
    <w:rsid w:val="74F326FC"/>
    <w:rsid w:val="74FA6D1C"/>
    <w:rsid w:val="7505261B"/>
    <w:rsid w:val="750E0A19"/>
    <w:rsid w:val="750F77CC"/>
    <w:rsid w:val="75105BD1"/>
    <w:rsid w:val="751076F8"/>
    <w:rsid w:val="7516730D"/>
    <w:rsid w:val="75222B7F"/>
    <w:rsid w:val="75272722"/>
    <w:rsid w:val="755218FF"/>
    <w:rsid w:val="75526B58"/>
    <w:rsid w:val="756B1C94"/>
    <w:rsid w:val="756D1BE3"/>
    <w:rsid w:val="757C3BD5"/>
    <w:rsid w:val="757D4D47"/>
    <w:rsid w:val="75817831"/>
    <w:rsid w:val="75824227"/>
    <w:rsid w:val="75892E05"/>
    <w:rsid w:val="758F4435"/>
    <w:rsid w:val="759B209D"/>
    <w:rsid w:val="759F0683"/>
    <w:rsid w:val="75A80DAA"/>
    <w:rsid w:val="75AB0304"/>
    <w:rsid w:val="75B57543"/>
    <w:rsid w:val="75B67C45"/>
    <w:rsid w:val="75BA1E5C"/>
    <w:rsid w:val="75BA3D95"/>
    <w:rsid w:val="75C5557C"/>
    <w:rsid w:val="75CE6D8B"/>
    <w:rsid w:val="75D039C2"/>
    <w:rsid w:val="75DD35E5"/>
    <w:rsid w:val="75E04BA2"/>
    <w:rsid w:val="75ED7A90"/>
    <w:rsid w:val="75EF18AC"/>
    <w:rsid w:val="75FF715E"/>
    <w:rsid w:val="76041A24"/>
    <w:rsid w:val="76095481"/>
    <w:rsid w:val="760A3EDD"/>
    <w:rsid w:val="760A6819"/>
    <w:rsid w:val="76183D17"/>
    <w:rsid w:val="761923AB"/>
    <w:rsid w:val="762073FB"/>
    <w:rsid w:val="7624075C"/>
    <w:rsid w:val="76310C6F"/>
    <w:rsid w:val="76365BA9"/>
    <w:rsid w:val="764861AD"/>
    <w:rsid w:val="76497AB2"/>
    <w:rsid w:val="7673070E"/>
    <w:rsid w:val="76753916"/>
    <w:rsid w:val="768246BC"/>
    <w:rsid w:val="768A6501"/>
    <w:rsid w:val="76916C43"/>
    <w:rsid w:val="76940144"/>
    <w:rsid w:val="76A43741"/>
    <w:rsid w:val="76B14D33"/>
    <w:rsid w:val="76B4221A"/>
    <w:rsid w:val="76BF1FB3"/>
    <w:rsid w:val="76D120CD"/>
    <w:rsid w:val="76D356E9"/>
    <w:rsid w:val="76EC4D8A"/>
    <w:rsid w:val="76FD1637"/>
    <w:rsid w:val="77033DE0"/>
    <w:rsid w:val="7718123D"/>
    <w:rsid w:val="771B78F6"/>
    <w:rsid w:val="77324E93"/>
    <w:rsid w:val="77705835"/>
    <w:rsid w:val="777E05FF"/>
    <w:rsid w:val="77862549"/>
    <w:rsid w:val="778C312B"/>
    <w:rsid w:val="77955421"/>
    <w:rsid w:val="77A673F8"/>
    <w:rsid w:val="77AB07A1"/>
    <w:rsid w:val="77AD276B"/>
    <w:rsid w:val="77AD60A8"/>
    <w:rsid w:val="77AD6C17"/>
    <w:rsid w:val="77AF0D8F"/>
    <w:rsid w:val="77BA6486"/>
    <w:rsid w:val="77CA133A"/>
    <w:rsid w:val="77D52A6A"/>
    <w:rsid w:val="77D621FB"/>
    <w:rsid w:val="77DE0B76"/>
    <w:rsid w:val="77E211FB"/>
    <w:rsid w:val="77E24E64"/>
    <w:rsid w:val="77E74D74"/>
    <w:rsid w:val="77E85B71"/>
    <w:rsid w:val="77F45590"/>
    <w:rsid w:val="78014865"/>
    <w:rsid w:val="78044952"/>
    <w:rsid w:val="780659D7"/>
    <w:rsid w:val="782567A5"/>
    <w:rsid w:val="783672DB"/>
    <w:rsid w:val="78411603"/>
    <w:rsid w:val="784159EC"/>
    <w:rsid w:val="78465917"/>
    <w:rsid w:val="78563B47"/>
    <w:rsid w:val="78594833"/>
    <w:rsid w:val="786170B2"/>
    <w:rsid w:val="786A4696"/>
    <w:rsid w:val="786C7F30"/>
    <w:rsid w:val="7874698F"/>
    <w:rsid w:val="788D2458"/>
    <w:rsid w:val="788E6844"/>
    <w:rsid w:val="78975488"/>
    <w:rsid w:val="789C632E"/>
    <w:rsid w:val="78BB6171"/>
    <w:rsid w:val="78CC0CAC"/>
    <w:rsid w:val="78D33F7D"/>
    <w:rsid w:val="78D54726"/>
    <w:rsid w:val="78D9133E"/>
    <w:rsid w:val="78D9738A"/>
    <w:rsid w:val="790234DC"/>
    <w:rsid w:val="790C3ED3"/>
    <w:rsid w:val="791A4487"/>
    <w:rsid w:val="79352A18"/>
    <w:rsid w:val="793542C2"/>
    <w:rsid w:val="793914AA"/>
    <w:rsid w:val="793B57C0"/>
    <w:rsid w:val="7942146A"/>
    <w:rsid w:val="794B2D41"/>
    <w:rsid w:val="795234ED"/>
    <w:rsid w:val="795D10B7"/>
    <w:rsid w:val="795E1300"/>
    <w:rsid w:val="795F1843"/>
    <w:rsid w:val="79676F3A"/>
    <w:rsid w:val="796C45CF"/>
    <w:rsid w:val="797C460C"/>
    <w:rsid w:val="7997722F"/>
    <w:rsid w:val="799C708A"/>
    <w:rsid w:val="79AE5130"/>
    <w:rsid w:val="79AF6D5B"/>
    <w:rsid w:val="79B03C9A"/>
    <w:rsid w:val="79B85A3F"/>
    <w:rsid w:val="79C079C2"/>
    <w:rsid w:val="79C35EDA"/>
    <w:rsid w:val="79C56C36"/>
    <w:rsid w:val="79D264B9"/>
    <w:rsid w:val="79D35223"/>
    <w:rsid w:val="79E2338E"/>
    <w:rsid w:val="79EE5F52"/>
    <w:rsid w:val="79F226B7"/>
    <w:rsid w:val="79F52D7F"/>
    <w:rsid w:val="7A00626D"/>
    <w:rsid w:val="7A0423EA"/>
    <w:rsid w:val="7A157AC9"/>
    <w:rsid w:val="7A173B80"/>
    <w:rsid w:val="7A18134C"/>
    <w:rsid w:val="7A1C6C6A"/>
    <w:rsid w:val="7A1D44EF"/>
    <w:rsid w:val="7A376DA8"/>
    <w:rsid w:val="7A414A3A"/>
    <w:rsid w:val="7A485217"/>
    <w:rsid w:val="7A494B50"/>
    <w:rsid w:val="7A4C2BC3"/>
    <w:rsid w:val="7A540C7C"/>
    <w:rsid w:val="7A5709FE"/>
    <w:rsid w:val="7A6A6A5F"/>
    <w:rsid w:val="7A6B4864"/>
    <w:rsid w:val="7A7840C4"/>
    <w:rsid w:val="7A7A3426"/>
    <w:rsid w:val="7A80319A"/>
    <w:rsid w:val="7A83372C"/>
    <w:rsid w:val="7A8803BB"/>
    <w:rsid w:val="7A8A124B"/>
    <w:rsid w:val="7A9E45ED"/>
    <w:rsid w:val="7AB116D7"/>
    <w:rsid w:val="7AB51468"/>
    <w:rsid w:val="7ACA5706"/>
    <w:rsid w:val="7AE74C66"/>
    <w:rsid w:val="7AEB0E81"/>
    <w:rsid w:val="7AEB5748"/>
    <w:rsid w:val="7AF93097"/>
    <w:rsid w:val="7AF931F2"/>
    <w:rsid w:val="7AFA4FA7"/>
    <w:rsid w:val="7AFE496A"/>
    <w:rsid w:val="7B2B3D09"/>
    <w:rsid w:val="7B2C15E4"/>
    <w:rsid w:val="7B3772B9"/>
    <w:rsid w:val="7B3775FE"/>
    <w:rsid w:val="7B474F06"/>
    <w:rsid w:val="7B486307"/>
    <w:rsid w:val="7B4A5863"/>
    <w:rsid w:val="7B4C2C26"/>
    <w:rsid w:val="7B55441F"/>
    <w:rsid w:val="7B5D0A22"/>
    <w:rsid w:val="7B793183"/>
    <w:rsid w:val="7B7D708F"/>
    <w:rsid w:val="7B8D3E3D"/>
    <w:rsid w:val="7B956969"/>
    <w:rsid w:val="7BB312E6"/>
    <w:rsid w:val="7BC10363"/>
    <w:rsid w:val="7BCA1FA7"/>
    <w:rsid w:val="7BDC565E"/>
    <w:rsid w:val="7BEF053A"/>
    <w:rsid w:val="7C0515F9"/>
    <w:rsid w:val="7C1246E0"/>
    <w:rsid w:val="7C1B7654"/>
    <w:rsid w:val="7C2E31B4"/>
    <w:rsid w:val="7C374594"/>
    <w:rsid w:val="7C3B673E"/>
    <w:rsid w:val="7C3F3FE4"/>
    <w:rsid w:val="7C472874"/>
    <w:rsid w:val="7C5749B7"/>
    <w:rsid w:val="7C706380"/>
    <w:rsid w:val="7C756BAE"/>
    <w:rsid w:val="7C7A4BE6"/>
    <w:rsid w:val="7C820399"/>
    <w:rsid w:val="7C837923"/>
    <w:rsid w:val="7CA67D2C"/>
    <w:rsid w:val="7CAA5555"/>
    <w:rsid w:val="7CAA604D"/>
    <w:rsid w:val="7CB0550D"/>
    <w:rsid w:val="7CB35245"/>
    <w:rsid w:val="7CC23E0D"/>
    <w:rsid w:val="7CCD582E"/>
    <w:rsid w:val="7CDA5CB6"/>
    <w:rsid w:val="7CDA5EA2"/>
    <w:rsid w:val="7CEE5E30"/>
    <w:rsid w:val="7CF40508"/>
    <w:rsid w:val="7CF64CC2"/>
    <w:rsid w:val="7CF76612"/>
    <w:rsid w:val="7D016862"/>
    <w:rsid w:val="7D07128D"/>
    <w:rsid w:val="7D090FF5"/>
    <w:rsid w:val="7D186509"/>
    <w:rsid w:val="7D2B0D6B"/>
    <w:rsid w:val="7D314F76"/>
    <w:rsid w:val="7D3D4225"/>
    <w:rsid w:val="7D405340"/>
    <w:rsid w:val="7D4A2275"/>
    <w:rsid w:val="7D514F12"/>
    <w:rsid w:val="7D5249BB"/>
    <w:rsid w:val="7D641B1E"/>
    <w:rsid w:val="7D656F4B"/>
    <w:rsid w:val="7D6A2A40"/>
    <w:rsid w:val="7D727E0C"/>
    <w:rsid w:val="7D897ADE"/>
    <w:rsid w:val="7D907808"/>
    <w:rsid w:val="7DB14637"/>
    <w:rsid w:val="7DB749EA"/>
    <w:rsid w:val="7DC076FC"/>
    <w:rsid w:val="7DDD0C12"/>
    <w:rsid w:val="7DF6029C"/>
    <w:rsid w:val="7DFA46D0"/>
    <w:rsid w:val="7DFD787D"/>
    <w:rsid w:val="7DFE2733"/>
    <w:rsid w:val="7E097603"/>
    <w:rsid w:val="7E12157A"/>
    <w:rsid w:val="7E1C4F5D"/>
    <w:rsid w:val="7E2A18A2"/>
    <w:rsid w:val="7E491ED4"/>
    <w:rsid w:val="7E4F55D1"/>
    <w:rsid w:val="7E572901"/>
    <w:rsid w:val="7E6F074C"/>
    <w:rsid w:val="7E7228AC"/>
    <w:rsid w:val="7E747B3F"/>
    <w:rsid w:val="7E7F57CF"/>
    <w:rsid w:val="7E824496"/>
    <w:rsid w:val="7E832C11"/>
    <w:rsid w:val="7E8A62A7"/>
    <w:rsid w:val="7E950672"/>
    <w:rsid w:val="7E9B7047"/>
    <w:rsid w:val="7E9F3612"/>
    <w:rsid w:val="7EAC5562"/>
    <w:rsid w:val="7EB94250"/>
    <w:rsid w:val="7EC4120A"/>
    <w:rsid w:val="7ECC7093"/>
    <w:rsid w:val="7ED0690A"/>
    <w:rsid w:val="7F191FD5"/>
    <w:rsid w:val="7F1B2E23"/>
    <w:rsid w:val="7F1B3618"/>
    <w:rsid w:val="7F3D58B7"/>
    <w:rsid w:val="7F4537BD"/>
    <w:rsid w:val="7F5C00AA"/>
    <w:rsid w:val="7F5F19C6"/>
    <w:rsid w:val="7F6D20B2"/>
    <w:rsid w:val="7F6F2AAC"/>
    <w:rsid w:val="7F710506"/>
    <w:rsid w:val="7F716F72"/>
    <w:rsid w:val="7F8518D8"/>
    <w:rsid w:val="7F855D7C"/>
    <w:rsid w:val="7F9A3BC5"/>
    <w:rsid w:val="7FB02371"/>
    <w:rsid w:val="7FB46C04"/>
    <w:rsid w:val="7FD241BD"/>
    <w:rsid w:val="7FD3037A"/>
    <w:rsid w:val="7FE06136"/>
    <w:rsid w:val="7FE2704E"/>
    <w:rsid w:val="7FF90045"/>
    <w:rsid w:val="AFC777BE"/>
    <w:rsid w:val="B9D7BB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4"/>
    <w:qFormat/>
    <w:uiPriority w:val="0"/>
    <w:pPr>
      <w:keepNext/>
      <w:keepLines/>
      <w:numPr>
        <w:ilvl w:val="0"/>
        <w:numId w:val="1"/>
      </w:numPr>
      <w:adjustRightInd w:val="0"/>
      <w:spacing w:before="120" w:line="360" w:lineRule="auto"/>
      <w:textAlignment w:val="baseline"/>
      <w:outlineLvl w:val="0"/>
    </w:pPr>
    <w:rPr>
      <w:rFonts w:eastAsia="黑体"/>
      <w:b/>
      <w:kern w:val="44"/>
      <w:sz w:val="28"/>
    </w:rPr>
  </w:style>
  <w:style w:type="paragraph" w:styleId="2">
    <w:name w:val="heading 2"/>
    <w:basedOn w:val="1"/>
    <w:next w:val="1"/>
    <w:link w:val="45"/>
    <w:qFormat/>
    <w:uiPriority w:val="0"/>
    <w:pPr>
      <w:keepNext/>
      <w:numPr>
        <w:ilvl w:val="1"/>
        <w:numId w:val="1"/>
      </w:numPr>
      <w:adjustRightInd w:val="0"/>
      <w:spacing w:before="120" w:line="360" w:lineRule="auto"/>
      <w:textAlignment w:val="baseline"/>
      <w:outlineLvl w:val="1"/>
    </w:pPr>
    <w:rPr>
      <w:rFonts w:eastAsia="黑体"/>
      <w:b/>
      <w:sz w:val="28"/>
    </w:rPr>
  </w:style>
  <w:style w:type="paragraph" w:styleId="4">
    <w:name w:val="heading 3"/>
    <w:basedOn w:val="1"/>
    <w:next w:val="1"/>
    <w:link w:val="46"/>
    <w:qFormat/>
    <w:uiPriority w:val="0"/>
    <w:pPr>
      <w:numPr>
        <w:ilvl w:val="2"/>
        <w:numId w:val="1"/>
      </w:numPr>
      <w:tabs>
        <w:tab w:val="left" w:pos="900"/>
        <w:tab w:val="clear" w:pos="1588"/>
      </w:tabs>
      <w:adjustRightInd w:val="0"/>
      <w:spacing w:before="120" w:beforeLines="0" w:beforeAutospacing="0" w:line="360" w:lineRule="auto"/>
      <w:textAlignment w:val="baseline"/>
      <w:outlineLvl w:val="2"/>
    </w:pPr>
    <w:rPr>
      <w:rFonts w:eastAsia="黑体"/>
      <w:b/>
      <w:kern w:val="0"/>
      <w:sz w:val="28"/>
    </w:rPr>
  </w:style>
  <w:style w:type="paragraph" w:styleId="5">
    <w:name w:val="heading 4"/>
    <w:basedOn w:val="1"/>
    <w:next w:val="1"/>
    <w:link w:val="47"/>
    <w:qFormat/>
    <w:uiPriority w:val="0"/>
    <w:pPr>
      <w:numPr>
        <w:ilvl w:val="3"/>
        <w:numId w:val="1"/>
      </w:numPr>
      <w:adjustRightInd w:val="0"/>
      <w:spacing w:before="120" w:beforeLines="0" w:beforeAutospacing="0" w:line="360" w:lineRule="auto"/>
      <w:textAlignment w:val="baseline"/>
      <w:outlineLvl w:val="3"/>
    </w:pPr>
    <w:rPr>
      <w:rFonts w:ascii="Arial" w:hAnsi="Arial" w:eastAsia="黑体"/>
      <w:kern w:val="0"/>
      <w:sz w:val="28"/>
    </w:rPr>
  </w:style>
  <w:style w:type="paragraph" w:styleId="6">
    <w:name w:val="heading 5"/>
    <w:basedOn w:val="1"/>
    <w:next w:val="1"/>
    <w:link w:val="48"/>
    <w:qFormat/>
    <w:uiPriority w:val="0"/>
    <w:pPr>
      <w:keepNext/>
      <w:keepLines/>
      <w:numPr>
        <w:ilvl w:val="4"/>
        <w:numId w:val="2"/>
      </w:numPr>
      <w:adjustRightInd w:val="0"/>
      <w:spacing w:before="280" w:beforeLines="0" w:beforeAutospacing="0" w:after="290" w:afterLines="0" w:afterAutospacing="0" w:line="376" w:lineRule="atLeast"/>
      <w:textAlignment w:val="baseline"/>
      <w:outlineLvl w:val="4"/>
    </w:pPr>
    <w:rPr>
      <w:b/>
      <w:kern w:val="0"/>
      <w:sz w:val="28"/>
    </w:rPr>
  </w:style>
  <w:style w:type="character" w:default="1" w:styleId="34">
    <w:name w:val="Default Paragraph Font"/>
    <w:qFormat/>
    <w:uiPriority w:val="0"/>
  </w:style>
  <w:style w:type="table" w:default="1" w:styleId="32">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widowControl/>
      <w:ind w:firstLine="420" w:firstLineChars="200"/>
      <w:jc w:val="left"/>
    </w:pPr>
    <w:rPr>
      <w:kern w:val="0"/>
      <w:sz w:val="20"/>
    </w:rPr>
  </w:style>
  <w:style w:type="paragraph" w:styleId="8">
    <w:name w:val="Document Map"/>
    <w:basedOn w:val="1"/>
    <w:qFormat/>
    <w:uiPriority w:val="0"/>
    <w:pPr>
      <w:shd w:val="clear" w:color="auto" w:fill="000080"/>
    </w:pPr>
  </w:style>
  <w:style w:type="paragraph" w:styleId="9">
    <w:name w:val="toa heading"/>
    <w:basedOn w:val="1"/>
    <w:next w:val="1"/>
    <w:semiHidden/>
    <w:qFormat/>
    <w:uiPriority w:val="0"/>
    <w:pPr>
      <w:spacing w:before="120"/>
    </w:pPr>
    <w:rPr>
      <w:rFonts w:ascii="Arial" w:hAnsi="Arial"/>
      <w:kern w:val="0"/>
      <w:sz w:val="24"/>
    </w:rPr>
  </w:style>
  <w:style w:type="paragraph" w:styleId="10">
    <w:name w:val="annotation text"/>
    <w:basedOn w:val="1"/>
    <w:qFormat/>
    <w:uiPriority w:val="0"/>
    <w:pPr>
      <w:jc w:val="left"/>
    </w:pPr>
  </w:style>
  <w:style w:type="paragraph" w:styleId="11">
    <w:name w:val="Body Text"/>
    <w:basedOn w:val="1"/>
    <w:next w:val="12"/>
    <w:link w:val="49"/>
    <w:qFormat/>
    <w:uiPriority w:val="0"/>
    <w:pPr>
      <w:spacing w:after="120" w:afterLines="0" w:afterAutospacing="0"/>
    </w:pPr>
  </w:style>
  <w:style w:type="paragraph" w:styleId="12">
    <w:name w:val="Body Text 2"/>
    <w:basedOn w:val="1"/>
    <w:qFormat/>
    <w:uiPriority w:val="0"/>
    <w:pPr>
      <w:spacing w:line="400" w:lineRule="exact"/>
    </w:pPr>
    <w:rPr>
      <w:rFonts w:ascii="宋体"/>
      <w:color w:val="FF00FF"/>
      <w:sz w:val="24"/>
      <w:shd w:val="pct10" w:color="auto" w:fill="FFFFFF"/>
    </w:rPr>
  </w:style>
  <w:style w:type="paragraph" w:styleId="13">
    <w:name w:val="Body Text Indent"/>
    <w:basedOn w:val="1"/>
    <w:qFormat/>
    <w:uiPriority w:val="0"/>
    <w:pPr>
      <w:spacing w:after="120" w:afterLines="0" w:afterAutospacing="0"/>
      <w:ind w:left="420" w:leftChars="200"/>
    </w:pPr>
  </w:style>
  <w:style w:type="paragraph" w:styleId="14">
    <w:name w:val="Block Text"/>
    <w:basedOn w:val="1"/>
    <w:next w:val="1"/>
    <w:qFormat/>
    <w:uiPriority w:val="0"/>
    <w:pPr>
      <w:spacing w:after="120" w:afterLines="0"/>
      <w:ind w:left="1440" w:right="1440"/>
    </w:pPr>
  </w:style>
  <w:style w:type="paragraph" w:styleId="15">
    <w:name w:val="toc 3"/>
    <w:basedOn w:val="1"/>
    <w:next w:val="1"/>
    <w:qFormat/>
    <w:uiPriority w:val="0"/>
    <w:pPr>
      <w:ind w:left="840" w:leftChars="400"/>
    </w:pPr>
    <w:rPr>
      <w:rFonts w:ascii="宋体" w:hAnsi="宋体"/>
      <w:sz w:val="24"/>
      <w:szCs w:val="24"/>
    </w:rPr>
  </w:style>
  <w:style w:type="paragraph" w:styleId="16">
    <w:name w:val="Plain Text"/>
    <w:basedOn w:val="1"/>
    <w:link w:val="50"/>
    <w:qFormat/>
    <w:uiPriority w:val="0"/>
    <w:rPr>
      <w:rFonts w:ascii="宋体"/>
    </w:rPr>
  </w:style>
  <w:style w:type="paragraph" w:styleId="17">
    <w:name w:val="Date"/>
    <w:basedOn w:val="1"/>
    <w:next w:val="1"/>
    <w:link w:val="51"/>
    <w:qFormat/>
    <w:uiPriority w:val="0"/>
    <w:pPr>
      <w:ind w:left="100" w:leftChars="2500"/>
    </w:pPr>
  </w:style>
  <w:style w:type="paragraph" w:styleId="18">
    <w:name w:val="Body Text Indent 2"/>
    <w:basedOn w:val="1"/>
    <w:qFormat/>
    <w:uiPriority w:val="0"/>
    <w:pPr>
      <w:spacing w:after="120" w:afterLines="0" w:afterAutospacing="0" w:line="480" w:lineRule="auto"/>
      <w:ind w:left="200" w:leftChars="200"/>
    </w:pPr>
  </w:style>
  <w:style w:type="paragraph" w:styleId="19">
    <w:name w:val="Balloon Text"/>
    <w:basedOn w:val="1"/>
    <w:qFormat/>
    <w:uiPriority w:val="0"/>
    <w:rPr>
      <w:sz w:val="18"/>
    </w:rPr>
  </w:style>
  <w:style w:type="paragraph" w:styleId="20">
    <w:name w:val="footer"/>
    <w:basedOn w:val="1"/>
    <w:link w:val="52"/>
    <w:qFormat/>
    <w:uiPriority w:val="0"/>
    <w:pPr>
      <w:tabs>
        <w:tab w:val="center" w:pos="4153"/>
        <w:tab w:val="right" w:pos="8306"/>
      </w:tabs>
      <w:snapToGrid w:val="0"/>
      <w:jc w:val="left"/>
    </w:pPr>
    <w:rPr>
      <w:rFonts w:ascii="宋体"/>
      <w:sz w:val="18"/>
    </w:rPr>
  </w:style>
  <w:style w:type="paragraph" w:styleId="21">
    <w:name w:val="header"/>
    <w:basedOn w:val="1"/>
    <w:link w:val="53"/>
    <w:qFormat/>
    <w:uiPriority w:val="0"/>
    <w:pPr>
      <w:pBdr>
        <w:bottom w:val="single" w:color="auto" w:sz="6" w:space="1"/>
      </w:pBdr>
      <w:tabs>
        <w:tab w:val="center" w:pos="4153"/>
        <w:tab w:val="right" w:pos="8306"/>
      </w:tabs>
      <w:snapToGrid w:val="0"/>
      <w:jc w:val="center"/>
    </w:pPr>
    <w:rPr>
      <w:sz w:val="18"/>
    </w:rPr>
  </w:style>
  <w:style w:type="paragraph" w:styleId="22">
    <w:name w:val="toc 1"/>
    <w:basedOn w:val="1"/>
    <w:next w:val="1"/>
    <w:qFormat/>
    <w:uiPriority w:val="39"/>
    <w:pPr>
      <w:tabs>
        <w:tab w:val="right" w:leader="dot" w:pos="9628"/>
      </w:tabs>
      <w:spacing w:before="120" w:beforeLines="0" w:beforeAutospacing="0" w:after="120" w:afterLines="0" w:afterAutospacing="0"/>
      <w:ind w:firstLine="74" w:firstLineChars="74"/>
      <w:jc w:val="left"/>
    </w:pPr>
    <w:rPr>
      <w:b/>
      <w:caps/>
      <w:sz w:val="20"/>
    </w:rPr>
  </w:style>
  <w:style w:type="paragraph" w:styleId="23">
    <w:name w:val="toc 4"/>
    <w:basedOn w:val="1"/>
    <w:next w:val="1"/>
    <w:qFormat/>
    <w:uiPriority w:val="0"/>
    <w:pPr>
      <w:ind w:left="1260" w:leftChars="600"/>
    </w:pPr>
    <w:rPr>
      <w:rFonts w:ascii="宋体" w:hAnsi="宋体"/>
      <w:sz w:val="24"/>
      <w:szCs w:val="24"/>
    </w:rPr>
  </w:style>
  <w:style w:type="paragraph" w:styleId="24">
    <w:name w:val="List"/>
    <w:basedOn w:val="1"/>
    <w:qFormat/>
    <w:uiPriority w:val="0"/>
    <w:pPr>
      <w:ind w:left="200" w:hanging="200" w:hangingChars="200"/>
    </w:pPr>
    <w:rPr>
      <w:szCs w:val="24"/>
    </w:rPr>
  </w:style>
  <w:style w:type="paragraph" w:styleId="25">
    <w:name w:val="Body Text Indent 3"/>
    <w:basedOn w:val="1"/>
    <w:qFormat/>
    <w:uiPriority w:val="0"/>
    <w:pPr>
      <w:spacing w:after="120" w:afterLines="0" w:afterAutospacing="0"/>
      <w:ind w:left="420" w:leftChars="200"/>
    </w:pPr>
    <w:rPr>
      <w:sz w:val="16"/>
    </w:rPr>
  </w:style>
  <w:style w:type="paragraph" w:styleId="26">
    <w:name w:val="toc 2"/>
    <w:basedOn w:val="1"/>
    <w:next w:val="1"/>
    <w:qFormat/>
    <w:uiPriority w:val="39"/>
    <w:pPr>
      <w:tabs>
        <w:tab w:val="right" w:leader="dot" w:pos="9628"/>
      </w:tabs>
      <w:spacing w:line="260" w:lineRule="exact"/>
      <w:ind w:left="210"/>
      <w:jc w:val="left"/>
    </w:pPr>
    <w:rPr>
      <w:smallCaps/>
      <w:sz w:val="20"/>
    </w:rPr>
  </w:style>
  <w:style w:type="paragraph" w:styleId="27">
    <w:name w:val="toc 9"/>
    <w:basedOn w:val="1"/>
    <w:next w:val="1"/>
    <w:qFormat/>
    <w:uiPriority w:val="0"/>
    <w:pPr>
      <w:ind w:left="1680"/>
      <w:jc w:val="left"/>
    </w:pPr>
    <w:rPr>
      <w:sz w:val="18"/>
    </w:rPr>
  </w:style>
  <w:style w:type="paragraph" w:styleId="2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0">
    <w:name w:val="Title"/>
    <w:basedOn w:val="1"/>
    <w:next w:val="1"/>
    <w:link w:val="54"/>
    <w:qFormat/>
    <w:uiPriority w:val="0"/>
    <w:pPr>
      <w:jc w:val="center"/>
    </w:pPr>
    <w:rPr>
      <w:rFonts w:ascii="黑体" w:hAnsi="Romania"/>
      <w:sz w:val="44"/>
    </w:rPr>
  </w:style>
  <w:style w:type="paragraph" w:styleId="31">
    <w:name w:val="Body Text First Indent 2"/>
    <w:basedOn w:val="13"/>
    <w:unhideWhenUsed/>
    <w:qFormat/>
    <w:uiPriority w:val="99"/>
    <w:pPr>
      <w:ind w:firstLine="420" w:firstLine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0"/>
    <w:rPr>
      <w:b/>
    </w:rPr>
  </w:style>
  <w:style w:type="character" w:styleId="36">
    <w:name w:val="page number"/>
    <w:qFormat/>
    <w:uiPriority w:val="0"/>
  </w:style>
  <w:style w:type="character" w:styleId="37">
    <w:name w:val="FollowedHyperlink"/>
    <w:basedOn w:val="34"/>
    <w:qFormat/>
    <w:uiPriority w:val="99"/>
    <w:rPr>
      <w:color w:val="646464"/>
      <w:sz w:val="18"/>
      <w:szCs w:val="18"/>
      <w:u w:val="none"/>
    </w:rPr>
  </w:style>
  <w:style w:type="character" w:styleId="38">
    <w:name w:val="HTML Definition"/>
    <w:basedOn w:val="34"/>
    <w:qFormat/>
    <w:uiPriority w:val="0"/>
    <w:rPr>
      <w:i/>
      <w:shd w:val="clear" w:color="auto" w:fill="F0AD4E"/>
    </w:rPr>
  </w:style>
  <w:style w:type="character" w:styleId="39">
    <w:name w:val="Hyperlink"/>
    <w:basedOn w:val="34"/>
    <w:qFormat/>
    <w:uiPriority w:val="99"/>
    <w:rPr>
      <w:color w:val="646464"/>
      <w:sz w:val="18"/>
      <w:szCs w:val="18"/>
      <w:u w:val="none"/>
    </w:rPr>
  </w:style>
  <w:style w:type="character" w:styleId="40">
    <w:name w:val="HTML Code"/>
    <w:basedOn w:val="34"/>
    <w:qFormat/>
    <w:uiPriority w:val="0"/>
    <w:rPr>
      <w:rFonts w:hint="default" w:ascii="Consolas" w:hAnsi="Consolas" w:eastAsia="Consolas" w:cs="Consolas"/>
      <w:color w:val="C7254E"/>
      <w:sz w:val="21"/>
      <w:szCs w:val="21"/>
      <w:shd w:val="clear" w:color="auto" w:fill="F9F2F4"/>
    </w:rPr>
  </w:style>
  <w:style w:type="character" w:styleId="41">
    <w:name w:val="HTML Keyboard"/>
    <w:basedOn w:val="34"/>
    <w:qFormat/>
    <w:uiPriority w:val="0"/>
    <w:rPr>
      <w:rFonts w:ascii="Consolas" w:hAnsi="Consolas" w:eastAsia="Consolas" w:cs="Consolas"/>
      <w:color w:val="FFFFFF"/>
      <w:sz w:val="21"/>
      <w:szCs w:val="21"/>
      <w:shd w:val="clear" w:color="auto" w:fill="333333"/>
    </w:rPr>
  </w:style>
  <w:style w:type="character" w:styleId="42">
    <w:name w:val="HTML Sample"/>
    <w:basedOn w:val="34"/>
    <w:qFormat/>
    <w:uiPriority w:val="0"/>
    <w:rPr>
      <w:rFonts w:hint="default" w:ascii="Consolas" w:hAnsi="Consolas" w:eastAsia="Consolas" w:cs="Consolas"/>
      <w:sz w:val="21"/>
      <w:szCs w:val="21"/>
    </w:rPr>
  </w:style>
  <w:style w:type="paragraph" w:customStyle="1" w:styleId="4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4">
    <w:name w:val="标题 1 Char"/>
    <w:link w:val="3"/>
    <w:qFormat/>
    <w:uiPriority w:val="0"/>
    <w:rPr>
      <w:rFonts w:eastAsia="黑体"/>
      <w:b/>
      <w:kern w:val="44"/>
      <w:sz w:val="28"/>
      <w:lang w:val="en-US" w:eastAsia="zh-CN" w:bidi="ar-SA"/>
    </w:rPr>
  </w:style>
  <w:style w:type="character" w:customStyle="1" w:styleId="45">
    <w:name w:val="标题 2 Char"/>
    <w:link w:val="2"/>
    <w:qFormat/>
    <w:uiPriority w:val="0"/>
    <w:rPr>
      <w:rFonts w:eastAsia="黑体"/>
      <w:b/>
      <w:kern w:val="2"/>
      <w:sz w:val="28"/>
      <w:lang w:val="en-US" w:eastAsia="zh-CN" w:bidi="ar-SA"/>
    </w:rPr>
  </w:style>
  <w:style w:type="character" w:customStyle="1" w:styleId="46">
    <w:name w:val="标题 3 Char"/>
    <w:link w:val="4"/>
    <w:qFormat/>
    <w:uiPriority w:val="0"/>
    <w:rPr>
      <w:rFonts w:eastAsia="黑体"/>
      <w:b/>
      <w:sz w:val="28"/>
    </w:rPr>
  </w:style>
  <w:style w:type="character" w:customStyle="1" w:styleId="47">
    <w:name w:val="标题 4 Char"/>
    <w:link w:val="5"/>
    <w:qFormat/>
    <w:locked/>
    <w:uiPriority w:val="0"/>
    <w:rPr>
      <w:rFonts w:ascii="Arial" w:hAnsi="Arial" w:eastAsia="黑体"/>
      <w:sz w:val="28"/>
      <w:lang w:val="en-US" w:eastAsia="zh-CN" w:bidi="ar-SA"/>
    </w:rPr>
  </w:style>
  <w:style w:type="character" w:customStyle="1" w:styleId="48">
    <w:name w:val="标题 5 Char"/>
    <w:link w:val="6"/>
    <w:qFormat/>
    <w:uiPriority w:val="0"/>
    <w:rPr>
      <w:b/>
      <w:sz w:val="28"/>
    </w:rPr>
  </w:style>
  <w:style w:type="character" w:customStyle="1" w:styleId="49">
    <w:name w:val="正文文本 Char"/>
    <w:link w:val="11"/>
    <w:qFormat/>
    <w:uiPriority w:val="0"/>
    <w:rPr>
      <w:kern w:val="2"/>
      <w:sz w:val="21"/>
    </w:rPr>
  </w:style>
  <w:style w:type="character" w:customStyle="1" w:styleId="50">
    <w:name w:val="纯文本 Char"/>
    <w:link w:val="16"/>
    <w:qFormat/>
    <w:uiPriority w:val="0"/>
    <w:rPr>
      <w:rFonts w:ascii="宋体" w:eastAsia="宋体"/>
      <w:kern w:val="2"/>
      <w:sz w:val="21"/>
      <w:lang w:val="en-US" w:eastAsia="zh-CN"/>
    </w:rPr>
  </w:style>
  <w:style w:type="character" w:customStyle="1" w:styleId="51">
    <w:name w:val="日期 Char"/>
    <w:link w:val="17"/>
    <w:qFormat/>
    <w:uiPriority w:val="0"/>
    <w:rPr>
      <w:kern w:val="2"/>
      <w:sz w:val="21"/>
    </w:rPr>
  </w:style>
  <w:style w:type="character" w:customStyle="1" w:styleId="52">
    <w:name w:val="页脚 Char"/>
    <w:link w:val="20"/>
    <w:qFormat/>
    <w:uiPriority w:val="0"/>
    <w:rPr>
      <w:rFonts w:ascii="宋体"/>
      <w:kern w:val="2"/>
      <w:sz w:val="18"/>
    </w:rPr>
  </w:style>
  <w:style w:type="character" w:customStyle="1" w:styleId="53">
    <w:name w:val="页眉 Char"/>
    <w:link w:val="21"/>
    <w:qFormat/>
    <w:locked/>
    <w:uiPriority w:val="0"/>
    <w:rPr>
      <w:rFonts w:eastAsia="宋体"/>
      <w:kern w:val="2"/>
      <w:sz w:val="18"/>
      <w:lang w:val="en-US" w:eastAsia="zh-CN" w:bidi="ar-SA"/>
    </w:rPr>
  </w:style>
  <w:style w:type="character" w:customStyle="1" w:styleId="54">
    <w:name w:val="标题 Char"/>
    <w:link w:val="30"/>
    <w:qFormat/>
    <w:uiPriority w:val="0"/>
    <w:rPr>
      <w:rFonts w:ascii="黑体" w:hAnsi="Romania" w:eastAsia="宋体"/>
      <w:kern w:val="2"/>
      <w:sz w:val="44"/>
      <w:lang w:val="en-US" w:eastAsia="zh-CN"/>
    </w:rPr>
  </w:style>
  <w:style w:type="character" w:customStyle="1" w:styleId="55">
    <w:name w:val="font31"/>
    <w:qFormat/>
    <w:uiPriority w:val="0"/>
    <w:rPr>
      <w:rFonts w:hint="eastAsia" w:ascii="宋体" w:hAnsi="宋体" w:eastAsia="宋体"/>
      <w:color w:val="000000"/>
      <w:sz w:val="18"/>
      <w:szCs w:val="18"/>
      <w:u w:val="none"/>
    </w:rPr>
  </w:style>
  <w:style w:type="character" w:customStyle="1" w:styleId="56">
    <w:name w:val="抬头正文 Char"/>
    <w:link w:val="57"/>
    <w:qFormat/>
    <w:locked/>
    <w:uiPriority w:val="0"/>
    <w:rPr>
      <w:rFonts w:ascii="仿宋" w:hAnsi="仿宋" w:eastAsia="仿宋"/>
      <w:sz w:val="28"/>
      <w:lang w:val="en-US" w:eastAsia="zh-CN" w:bidi="ar-SA"/>
    </w:rPr>
  </w:style>
  <w:style w:type="paragraph" w:customStyle="1" w:styleId="57">
    <w:name w:val="抬头正文"/>
    <w:basedOn w:val="1"/>
    <w:link w:val="56"/>
    <w:qFormat/>
    <w:uiPriority w:val="0"/>
    <w:pPr>
      <w:spacing w:line="360" w:lineRule="auto"/>
      <w:ind w:firstLine="566" w:firstLineChars="202"/>
    </w:pPr>
    <w:rPr>
      <w:rFonts w:ascii="仿宋" w:hAnsi="仿宋" w:eastAsia="仿宋"/>
      <w:kern w:val="0"/>
      <w:sz w:val="28"/>
    </w:rPr>
  </w:style>
  <w:style w:type="character" w:customStyle="1" w:styleId="58">
    <w:name w:val="Heading 3 Char"/>
    <w:qFormat/>
    <w:locked/>
    <w:uiPriority w:val="0"/>
    <w:rPr>
      <w:rFonts w:ascii="仿宋_GB2312" w:eastAsia="仿宋_GB2312"/>
      <w:b/>
      <w:sz w:val="28"/>
    </w:rPr>
  </w:style>
  <w:style w:type="character" w:customStyle="1" w:styleId="59">
    <w:name w:val="未处理的提及"/>
    <w:unhideWhenUsed/>
    <w:qFormat/>
    <w:uiPriority w:val="99"/>
    <w:rPr>
      <w:color w:val="605E5C"/>
      <w:shd w:val="clear" w:color="auto" w:fill="E1DFDD"/>
    </w:rPr>
  </w:style>
  <w:style w:type="character" w:customStyle="1" w:styleId="60">
    <w:name w:val="font51"/>
    <w:basedOn w:val="34"/>
    <w:qFormat/>
    <w:uiPriority w:val="0"/>
    <w:rPr>
      <w:rFonts w:ascii="??" w:hAnsi="??" w:eastAsia="Times New Roman" w:cs="??"/>
      <w:color w:val="000000"/>
      <w:sz w:val="20"/>
      <w:szCs w:val="20"/>
      <w:u w:val="none"/>
    </w:rPr>
  </w:style>
  <w:style w:type="character" w:customStyle="1" w:styleId="61">
    <w:name w:val="纯文本 Char1"/>
    <w:qFormat/>
    <w:uiPriority w:val="0"/>
    <w:rPr>
      <w:rFonts w:ascii="宋体" w:eastAsia="宋体"/>
      <w:kern w:val="2"/>
      <w:sz w:val="21"/>
      <w:lang w:val="en-US" w:eastAsia="zh-CN"/>
    </w:rPr>
  </w:style>
  <w:style w:type="character" w:customStyle="1" w:styleId="62">
    <w:name w:val="孙普文字 Char"/>
    <w:qFormat/>
    <w:uiPriority w:val="0"/>
    <w:rPr>
      <w:rFonts w:ascii="宋体" w:hAnsi="Times New Roman" w:eastAsia="宋体"/>
    </w:rPr>
  </w:style>
  <w:style w:type="character" w:customStyle="1" w:styleId="63">
    <w:name w:val="grame"/>
    <w:qFormat/>
    <w:uiPriority w:val="0"/>
  </w:style>
  <w:style w:type="character" w:customStyle="1" w:styleId="64">
    <w:name w:val="font01"/>
    <w:qFormat/>
    <w:uiPriority w:val="0"/>
    <w:rPr>
      <w:rFonts w:hint="eastAsia" w:ascii="宋体" w:hAnsi="宋体" w:eastAsia="宋体"/>
      <w:color w:val="FF0000"/>
      <w:sz w:val="18"/>
      <w:szCs w:val="18"/>
      <w:u w:val="single"/>
    </w:rPr>
  </w:style>
  <w:style w:type="character" w:customStyle="1" w:styleId="65">
    <w:name w:val="Char Char Char Char Char Char"/>
    <w:qFormat/>
    <w:uiPriority w:val="0"/>
    <w:rPr>
      <w:rFonts w:ascii="宋体" w:hAnsi="宋体" w:eastAsia="宋体"/>
      <w:kern w:val="2"/>
      <w:sz w:val="21"/>
      <w:lang w:val="en-US" w:eastAsia="zh-CN"/>
    </w:rPr>
  </w:style>
  <w:style w:type="character" w:customStyle="1" w:styleId="66">
    <w:name w:val="font21"/>
    <w:qFormat/>
    <w:uiPriority w:val="0"/>
    <w:rPr>
      <w:rFonts w:hint="eastAsia" w:ascii="宋体" w:hAnsi="宋体" w:eastAsia="宋体"/>
      <w:color w:val="000000"/>
      <w:sz w:val="18"/>
      <w:szCs w:val="18"/>
      <w:u w:val="single"/>
    </w:rPr>
  </w:style>
  <w:style w:type="character" w:customStyle="1" w:styleId="67">
    <w:name w:val="Char Char4"/>
    <w:qFormat/>
    <w:locked/>
    <w:uiPriority w:val="0"/>
    <w:rPr>
      <w:rFonts w:ascii="宋体" w:hAnsi="宋体" w:eastAsia="宋体"/>
      <w:kern w:val="2"/>
      <w:sz w:val="21"/>
      <w:lang w:val="en-US" w:eastAsia="zh-CN" w:bidi="ar-SA"/>
    </w:rPr>
  </w:style>
  <w:style w:type="character" w:customStyle="1" w:styleId="68">
    <w:name w:val="font41"/>
    <w:basedOn w:val="34"/>
    <w:qFormat/>
    <w:uiPriority w:val="0"/>
    <w:rPr>
      <w:rFonts w:hint="eastAsia" w:ascii="宋体" w:hAnsi="宋体" w:eastAsia="宋体"/>
      <w:color w:val="000000"/>
      <w:sz w:val="18"/>
      <w:szCs w:val="18"/>
      <w:u w:val="none"/>
    </w:rPr>
  </w:style>
  <w:style w:type="character" w:customStyle="1" w:styleId="69">
    <w:name w:val="Heading 2 Char"/>
    <w:qFormat/>
    <w:locked/>
    <w:uiPriority w:val="0"/>
    <w:rPr>
      <w:rFonts w:ascii="Times New Roman" w:hAnsi="Times New Roman" w:eastAsia="仿宋_GB2312"/>
      <w:b/>
      <w:sz w:val="30"/>
    </w:rPr>
  </w:style>
  <w:style w:type="character" w:customStyle="1" w:styleId="70">
    <w:name w:val="item-name"/>
    <w:basedOn w:val="34"/>
    <w:qFormat/>
    <w:uiPriority w:val="0"/>
  </w:style>
  <w:style w:type="character" w:customStyle="1" w:styleId="71">
    <w:name w:val="Char Char3"/>
    <w:qFormat/>
    <w:locked/>
    <w:uiPriority w:val="0"/>
    <w:rPr>
      <w:rFonts w:ascii="宋体" w:hAnsi="宋体" w:eastAsia="宋体"/>
      <w:kern w:val="2"/>
      <w:sz w:val="21"/>
      <w:lang w:val="en-US" w:eastAsia="zh-CN" w:bidi="ar-SA"/>
    </w:rPr>
  </w:style>
  <w:style w:type="character" w:customStyle="1" w:styleId="72">
    <w:name w:val="font11"/>
    <w:basedOn w:val="34"/>
    <w:qFormat/>
    <w:uiPriority w:val="0"/>
    <w:rPr>
      <w:rFonts w:hint="eastAsia" w:ascii="宋体" w:hAnsi="宋体" w:eastAsia="宋体"/>
      <w:color w:val="000000"/>
      <w:sz w:val="18"/>
      <w:u w:val="none"/>
    </w:rPr>
  </w:style>
  <w:style w:type="character" w:customStyle="1" w:styleId="73">
    <w:name w:val="Subtle Emphasis"/>
    <w:qFormat/>
    <w:uiPriority w:val="0"/>
    <w:rPr>
      <w:rFonts w:eastAsia="仿宋_GB2312"/>
      <w:color w:val="auto"/>
      <w:sz w:val="24"/>
    </w:rPr>
  </w:style>
  <w:style w:type="character" w:customStyle="1" w:styleId="74">
    <w:name w:val="item-name1"/>
    <w:basedOn w:val="34"/>
    <w:qFormat/>
    <w:uiPriority w:val="0"/>
  </w:style>
  <w:style w:type="paragraph" w:customStyle="1" w:styleId="75">
    <w:name w:val="WPSOffice手动目录 3"/>
    <w:qFormat/>
    <w:uiPriority w:val="0"/>
    <w:pPr>
      <w:ind w:left="400" w:leftChars="400"/>
    </w:pPr>
    <w:rPr>
      <w:rFonts w:ascii="Calibri" w:hAnsi="Calibri" w:eastAsia="宋体" w:cs="Times New Roman"/>
      <w:lang w:val="en-US" w:eastAsia="zh-CN" w:bidi="ar-SA"/>
    </w:rPr>
  </w:style>
  <w:style w:type="paragraph" w:styleId="76">
    <w:name w:val="List Paragraph"/>
    <w:basedOn w:val="1"/>
    <w:qFormat/>
    <w:uiPriority w:val="0"/>
    <w:pPr>
      <w:ind w:firstLine="420" w:firstLineChars="200"/>
    </w:pPr>
  </w:style>
  <w:style w:type="paragraph" w:customStyle="1" w:styleId="77">
    <w:name w:val="p2"/>
    <w:basedOn w:val="1"/>
    <w:qFormat/>
    <w:uiPriority w:val="0"/>
    <w:pPr>
      <w:widowControl/>
      <w:spacing w:line="480" w:lineRule="auto"/>
      <w:ind w:firstLine="420"/>
      <w:jc w:val="left"/>
    </w:pPr>
    <w:rPr>
      <w:rFonts w:hint="eastAsia" w:ascii="宋体" w:hAnsi="宋体"/>
      <w:kern w:val="0"/>
      <w:szCs w:val="21"/>
    </w:rPr>
  </w:style>
  <w:style w:type="paragraph" w:customStyle="1" w:styleId="78">
    <w:name w:val=" Char Char Char"/>
    <w:basedOn w:val="1"/>
    <w:qFormat/>
    <w:uiPriority w:val="0"/>
    <w:pPr>
      <w:ind w:firstLine="200" w:firstLineChars="200"/>
    </w:pPr>
    <w:rPr>
      <w:sz w:val="24"/>
    </w:rPr>
  </w:style>
  <w:style w:type="paragraph" w:customStyle="1" w:styleId="79">
    <w:name w:val="样式 样式 样式 标题 3H3h33rd level3Head 3section:3section:31section:32....."/>
    <w:basedOn w:val="1"/>
    <w:qFormat/>
    <w:uiPriority w:val="0"/>
    <w:pPr>
      <w:keepNext/>
      <w:keepLines/>
      <w:numPr>
        <w:ilvl w:val="2"/>
        <w:numId w:val="0"/>
      </w:numPr>
      <w:snapToGrid w:val="0"/>
      <w:spacing w:before="156"/>
      <w:outlineLvl w:val="2"/>
    </w:pPr>
    <w:rPr>
      <w:rFonts w:eastAsia="黑体" w:cs="宋体"/>
      <w:b/>
      <w:bCs/>
      <w:sz w:val="28"/>
    </w:rPr>
  </w:style>
  <w:style w:type="paragraph" w:customStyle="1" w:styleId="80">
    <w:name w:val="文档正文"/>
    <w:basedOn w:val="1"/>
    <w:qFormat/>
    <w:uiPriority w:val="0"/>
    <w:pPr>
      <w:spacing w:line="480" w:lineRule="atLeast"/>
      <w:ind w:firstLine="567"/>
    </w:pPr>
    <w:rPr>
      <w:rFonts w:ascii="仿宋_GB2312" w:eastAsia="仿宋_GB2312"/>
      <w:sz w:val="28"/>
    </w:rPr>
  </w:style>
  <w:style w:type="paragraph" w:customStyle="1" w:styleId="81">
    <w:name w:val="页脚 New"/>
    <w:basedOn w:val="1"/>
    <w:qFormat/>
    <w:uiPriority w:val="0"/>
    <w:pPr>
      <w:tabs>
        <w:tab w:val="center" w:pos="4153"/>
        <w:tab w:val="right" w:pos="8306"/>
      </w:tabs>
      <w:snapToGrid w:val="0"/>
      <w:jc w:val="left"/>
    </w:pPr>
    <w:rPr>
      <w:rFonts w:ascii="Calibri" w:hAnsi="Calibri"/>
      <w:sz w:val="18"/>
      <w:szCs w:val="18"/>
    </w:rPr>
  </w:style>
  <w:style w:type="paragraph" w:customStyle="1" w:styleId="82">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Absatz2AL"/>
    <w:basedOn w:val="11"/>
    <w:next w:val="1"/>
    <w:qFormat/>
    <w:uiPriority w:val="0"/>
    <w:pPr>
      <w:widowControl/>
      <w:overflowPunct w:val="0"/>
      <w:autoSpaceDE w:val="0"/>
      <w:autoSpaceDN w:val="0"/>
      <w:adjustRightInd w:val="0"/>
      <w:spacing w:after="0" w:afterLines="0" w:afterAutospacing="0"/>
      <w:textAlignment w:val="baseline"/>
    </w:pPr>
    <w:rPr>
      <w:rFonts w:eastAsia="楷体_GB2312"/>
      <w:kern w:val="0"/>
      <w:sz w:val="24"/>
      <w:lang w:val="de-DE" w:eastAsia="de-DE"/>
    </w:rPr>
  </w:style>
  <w:style w:type="paragraph" w:customStyle="1" w:styleId="84">
    <w:name w:val="样式 (中文) 仿宋_GB2312 四号 行距: 1.5 倍行距"/>
    <w:basedOn w:val="1"/>
    <w:qFormat/>
    <w:uiPriority w:val="0"/>
    <w:pPr>
      <w:spacing w:line="360" w:lineRule="auto"/>
      <w:ind w:firstLine="200" w:firstLineChars="200"/>
    </w:pPr>
    <w:rPr>
      <w:rFonts w:eastAsia="仿宋_GB2312" w:cs="宋体"/>
      <w:sz w:val="28"/>
    </w:rPr>
  </w:style>
  <w:style w:type="paragraph" w:customStyle="1" w:styleId="85">
    <w:name w:val="列出段落8"/>
    <w:basedOn w:val="1"/>
    <w:qFormat/>
    <w:uiPriority w:val="0"/>
    <w:pPr>
      <w:ind w:firstLine="420" w:firstLineChars="200"/>
    </w:pPr>
  </w:style>
  <w:style w:type="paragraph" w:customStyle="1" w:styleId="86">
    <w:name w:val="WPSOffice手动目录 2"/>
    <w:qFormat/>
    <w:uiPriority w:val="0"/>
    <w:pPr>
      <w:ind w:left="200" w:leftChars="200"/>
    </w:pPr>
    <w:rPr>
      <w:rFonts w:ascii="Calibri" w:hAnsi="Calibri" w:eastAsia="宋体" w:cs="Times New Roman"/>
      <w:lang w:val="en-US" w:eastAsia="zh-CN" w:bidi="ar-SA"/>
    </w:rPr>
  </w:style>
  <w:style w:type="paragraph" w:customStyle="1" w:styleId="87">
    <w:name w:val=" Char Char1 Char Char"/>
    <w:basedOn w:val="1"/>
    <w:qFormat/>
    <w:uiPriority w:val="0"/>
    <w:pPr>
      <w:tabs>
        <w:tab w:val="left" w:pos="360"/>
      </w:tabs>
    </w:pPr>
  </w:style>
  <w:style w:type="paragraph" w:customStyle="1" w:styleId="88">
    <w:name w:val="标题4"/>
    <w:basedOn w:val="5"/>
    <w:qFormat/>
    <w:uiPriority w:val="0"/>
    <w:pPr>
      <w:keepNext/>
      <w:keepLines/>
      <w:numPr>
        <w:ilvl w:val="0"/>
        <w:numId w:val="0"/>
      </w:numPr>
      <w:tabs>
        <w:tab w:val="left" w:pos="1080"/>
        <w:tab w:val="clear" w:pos="2155"/>
      </w:tabs>
      <w:adjustRightInd/>
      <w:spacing w:before="280" w:after="290" w:line="374" w:lineRule="auto"/>
      <w:textAlignment w:val="auto"/>
    </w:pPr>
    <w:rPr>
      <w:rFonts w:ascii="华文行楷" w:hAnsi="华文中宋" w:eastAsia="华文行楷"/>
      <w:bCs/>
      <w:sz w:val="24"/>
    </w:rPr>
  </w:style>
  <w:style w:type="paragraph" w:customStyle="1" w:styleId="89">
    <w:name w:val="List Paragraph11"/>
    <w:basedOn w:val="1"/>
    <w:qFormat/>
    <w:uiPriority w:val="0"/>
    <w:pPr>
      <w:ind w:firstLine="420" w:firstLineChars="200"/>
    </w:pPr>
  </w:style>
  <w:style w:type="paragraph" w:customStyle="1" w:styleId="90">
    <w:name w:val="List Paragraph1"/>
    <w:basedOn w:val="1"/>
    <w:qFormat/>
    <w:uiPriority w:val="0"/>
    <w:pPr>
      <w:widowControl/>
      <w:spacing w:after="200" w:line="276" w:lineRule="auto"/>
      <w:ind w:left="720"/>
      <w:contextualSpacing/>
      <w:jc w:val="left"/>
    </w:pPr>
    <w:rPr>
      <w:rFonts w:ascii="宋体" w:hAnsi="宋体"/>
      <w:kern w:val="0"/>
      <w:sz w:val="22"/>
      <w:lang w:eastAsia="en-US"/>
    </w:rPr>
  </w:style>
  <w:style w:type="paragraph" w:customStyle="1" w:styleId="91">
    <w:name w:val="表格"/>
    <w:basedOn w:val="1"/>
    <w:qFormat/>
    <w:uiPriority w:val="0"/>
    <w:pPr>
      <w:tabs>
        <w:tab w:val="left" w:pos="1200"/>
      </w:tabs>
      <w:spacing w:line="500" w:lineRule="exact"/>
      <w:jc w:val="center"/>
    </w:pPr>
    <w:rPr>
      <w:rFonts w:ascii="宋体"/>
      <w:sz w:val="24"/>
    </w:rPr>
  </w:style>
  <w:style w:type="paragraph" w:customStyle="1" w:styleId="92">
    <w:name w:val="样式 首行缩进:  2 字符"/>
    <w:basedOn w:val="1"/>
    <w:qFormat/>
    <w:uiPriority w:val="0"/>
    <w:pPr>
      <w:spacing w:line="400" w:lineRule="exact"/>
      <w:ind w:firstLine="200" w:firstLineChars="200"/>
    </w:pPr>
    <w:rPr>
      <w:rFonts w:cs="宋体"/>
      <w:sz w:val="24"/>
    </w:rPr>
  </w:style>
  <w:style w:type="paragraph" w:customStyle="1" w:styleId="93">
    <w:name w:val="正文首行缩进1"/>
    <w:basedOn w:val="1"/>
    <w:qFormat/>
    <w:uiPriority w:val="0"/>
    <w:pPr>
      <w:adjustRightInd/>
      <w:spacing w:after="120" w:afterLines="0" w:line="240" w:lineRule="auto"/>
      <w:ind w:firstLine="420" w:firstLineChars="100"/>
      <w:textAlignment w:val="auto"/>
    </w:pPr>
    <w:rPr>
      <w:rFonts w:ascii="Times New Roman" w:hAnsi="Times New Roman" w:eastAsia="宋体"/>
      <w:kern w:val="0"/>
      <w:sz w:val="20"/>
    </w:rPr>
  </w:style>
  <w:style w:type="paragraph" w:customStyle="1" w:styleId="94">
    <w:name w:val="xl23"/>
    <w:next w:val="27"/>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5">
    <w:name w:val=" Char Char Char Char Char Char Char Char Char Char Char Char"/>
    <w:basedOn w:val="1"/>
    <w:qFormat/>
    <w:uiPriority w:val="0"/>
    <w:pPr>
      <w:tabs>
        <w:tab w:val="right" w:pos="-2120"/>
      </w:tabs>
      <w:snapToGrid w:val="0"/>
    </w:pPr>
    <w:rPr>
      <w:rFonts w:ascii="Tahoma" w:hAnsi="Tahoma"/>
      <w:spacing w:val="6"/>
      <w:sz w:val="24"/>
    </w:rPr>
  </w:style>
  <w:style w:type="paragraph" w:customStyle="1" w:styleId="96">
    <w:name w:val="抬头"/>
    <w:basedOn w:val="1"/>
    <w:qFormat/>
    <w:uiPriority w:val="0"/>
    <w:pPr>
      <w:spacing w:before="156" w:beforeLines="50" w:beforeAutospacing="0" w:line="360" w:lineRule="auto"/>
    </w:pPr>
    <w:rPr>
      <w:rFonts w:ascii="宋体"/>
      <w:sz w:val="24"/>
    </w:rPr>
  </w:style>
  <w:style w:type="paragraph" w:customStyle="1" w:styleId="97">
    <w:name w:val="WPSOffice手动目录 1"/>
    <w:qFormat/>
    <w:uiPriority w:val="0"/>
    <w:rPr>
      <w:rFonts w:ascii="Calibri" w:hAnsi="Calibri" w:eastAsia="宋体" w:cs="Times New Roman"/>
      <w:lang w:val="en-US" w:eastAsia="zh-CN" w:bidi="ar-SA"/>
    </w:rPr>
  </w:style>
  <w:style w:type="paragraph" w:customStyle="1" w:styleId="98">
    <w:name w:val=" Char"/>
    <w:basedOn w:val="1"/>
    <w:qFormat/>
    <w:uiPriority w:val="0"/>
    <w:pPr>
      <w:ind w:firstLine="200" w:firstLineChars="200"/>
    </w:pPr>
    <w:rPr>
      <w:kern w:val="2"/>
      <w:sz w:val="21"/>
    </w:rPr>
  </w:style>
  <w:style w:type="paragraph" w:customStyle="1" w:styleId="99">
    <w:name w:val="Default"/>
    <w:basedOn w:val="30"/>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00">
    <w:name w:val="标题样式"/>
    <w:basedOn w:val="1"/>
    <w:qFormat/>
    <w:uiPriority w:val="0"/>
    <w:pPr>
      <w:tabs>
        <w:tab w:val="left" w:pos="420"/>
      </w:tabs>
      <w:spacing w:line="360" w:lineRule="auto"/>
    </w:pPr>
    <w:rPr>
      <w:rFonts w:ascii="宋体" w:hAnsi="宋体"/>
      <w:sz w:val="24"/>
      <w:szCs w:val="24"/>
    </w:rPr>
  </w:style>
  <w:style w:type="paragraph" w:customStyle="1" w:styleId="101">
    <w:name w:val="Char"/>
    <w:basedOn w:val="1"/>
    <w:qFormat/>
    <w:uiPriority w:val="0"/>
  </w:style>
  <w:style w:type="paragraph" w:customStyle="1" w:styleId="102">
    <w:name w:val=" Char13"/>
    <w:basedOn w:val="1"/>
    <w:qFormat/>
    <w:uiPriority w:val="0"/>
  </w:style>
  <w:style w:type="paragraph" w:customStyle="1" w:styleId="103">
    <w:name w:val="样式 标题 2正文二级标题H2sect 1.2PIM2Heading 2 Hidden2nd levelh22..."/>
    <w:basedOn w:val="2"/>
    <w:qFormat/>
    <w:uiPriority w:val="0"/>
    <w:pPr>
      <w:keepLines/>
      <w:numPr>
        <w:ilvl w:val="0"/>
        <w:numId w:val="0"/>
      </w:numPr>
      <w:tabs>
        <w:tab w:val="left" w:pos="425"/>
        <w:tab w:val="left" w:pos="480"/>
        <w:tab w:val="left" w:pos="525"/>
        <w:tab w:val="left" w:pos="720"/>
        <w:tab w:val="left" w:pos="1440"/>
        <w:tab w:val="left" w:pos="1476"/>
        <w:tab w:val="clear" w:pos="1021"/>
      </w:tabs>
      <w:adjustRightInd/>
      <w:spacing w:before="0" w:line="240" w:lineRule="auto"/>
      <w:ind w:left="1440" w:hanging="720"/>
      <w:jc w:val="left"/>
      <w:textAlignment w:val="auto"/>
    </w:pPr>
    <w:rPr>
      <w:rFonts w:ascii="仿宋_GB2312" w:hAnsi="仿宋_GB2312" w:eastAsia="仿宋_GB2312"/>
      <w:bCs/>
      <w:kern w:val="0"/>
      <w:sz w:val="30"/>
      <w:szCs w:val="30"/>
    </w:rPr>
  </w:style>
  <w:style w:type="paragraph" w:customStyle="1" w:styleId="104">
    <w:name w:val="正文五号"/>
    <w:basedOn w:val="1"/>
    <w:qFormat/>
    <w:uiPriority w:val="0"/>
    <w:rPr>
      <w:rFonts w:hint="eastAsia" w:ascii="宋体" w:eastAsia="仿宋_GB2312"/>
    </w:rPr>
  </w:style>
  <w:style w:type="paragraph" w:customStyle="1" w:styleId="105">
    <w:name w:val="列出段落1"/>
    <w:basedOn w:val="1"/>
    <w:qFormat/>
    <w:uiPriority w:val="0"/>
    <w:pPr>
      <w:ind w:firstLine="420" w:firstLineChars="200"/>
    </w:pPr>
    <w:rPr>
      <w:rFonts w:ascii="宋体" w:hAnsi="宋体"/>
      <w:sz w:val="24"/>
      <w:szCs w:val="24"/>
    </w:rPr>
  </w:style>
  <w:style w:type="paragraph" w:customStyle="1" w:styleId="106">
    <w:name w:val="缺省文本"/>
    <w:basedOn w:val="1"/>
    <w:qFormat/>
    <w:uiPriority w:val="0"/>
    <w:pPr>
      <w:autoSpaceDE w:val="0"/>
      <w:autoSpaceDN w:val="0"/>
      <w:adjustRightInd w:val="0"/>
      <w:jc w:val="left"/>
    </w:pPr>
    <w:rPr>
      <w:kern w:val="0"/>
      <w:sz w:val="24"/>
    </w:rPr>
  </w:style>
  <w:style w:type="paragraph" w:customStyle="1" w:styleId="107">
    <w:name w:val="表格正文1"/>
    <w:basedOn w:val="1"/>
    <w:qFormat/>
    <w:uiPriority w:val="0"/>
  </w:style>
  <w:style w:type="paragraph" w:customStyle="1" w:styleId="108">
    <w:name w:val="*正文"/>
    <w:basedOn w:val="1"/>
    <w:qFormat/>
    <w:uiPriority w:val="0"/>
    <w:pPr>
      <w:widowControl/>
      <w:spacing w:line="360" w:lineRule="auto"/>
      <w:ind w:firstLine="480" w:firstLineChars="200"/>
    </w:pPr>
    <w:rPr>
      <w:rFonts w:ascii="仿宋_GB2312" w:eastAsia="仿宋_GB2312"/>
      <w:sz w:val="24"/>
      <w:szCs w:val="28"/>
    </w:rPr>
  </w:style>
  <w:style w:type="paragraph" w:customStyle="1" w:styleId="109">
    <w:name w:val="正文段 Char Char"/>
    <w:basedOn w:val="1"/>
    <w:qFormat/>
    <w:uiPriority w:val="0"/>
    <w:pPr>
      <w:spacing w:line="312" w:lineRule="auto"/>
      <w:ind w:firstLine="560"/>
    </w:pPr>
    <w:rPr>
      <w:rFonts w:ascii="宋体" w:hAnsi="宋体"/>
      <w:kern w:val="0"/>
      <w:sz w:val="28"/>
    </w:rPr>
  </w:style>
  <w:style w:type="paragraph" w:customStyle="1" w:styleId="110">
    <w:name w:val="p0"/>
    <w:basedOn w:val="1"/>
    <w:qFormat/>
    <w:uiPriority w:val="0"/>
    <w:pPr>
      <w:widowControl/>
    </w:pPr>
    <w:rPr>
      <w:rFonts w:ascii="Times New Roman" w:hAnsi="Times New Roman" w:eastAsia="宋体" w:cs="Times New Roman"/>
      <w:kern w:val="0"/>
      <w:szCs w:val="21"/>
    </w:rPr>
  </w:style>
  <w:style w:type="table" w:customStyle="1" w:styleId="111">
    <w:name w:val="Table Normal"/>
    <w:semiHidden/>
    <w:unhideWhenUsed/>
    <w:qFormat/>
    <w:uiPriority w:val="0"/>
    <w:tblPr>
      <w:tblCellMar>
        <w:top w:w="0" w:type="dxa"/>
        <w:left w:w="0" w:type="dxa"/>
        <w:bottom w:w="0" w:type="dxa"/>
        <w:right w:w="0" w:type="dxa"/>
      </w:tblCellMar>
    </w:tblPr>
  </w:style>
  <w:style w:type="paragraph" w:customStyle="1" w:styleId="112">
    <w:name w:val="Table Text"/>
    <w:qFormat/>
    <w:uiPriority w:val="0"/>
    <w:pPr>
      <w:snapToGrid w:val="0"/>
      <w:spacing w:before="80" w:after="80"/>
    </w:pPr>
    <w:rPr>
      <w:rFonts w:ascii="Arial" w:hAnsi="Arial" w:eastAsia="宋体" w:cs="Times New Roman"/>
      <w:sz w:val="18"/>
      <w:lang w:val="en-US" w:eastAsia="zh-CN" w:bidi="ar-SA"/>
    </w:rPr>
  </w:style>
  <w:style w:type="paragraph" w:customStyle="1" w:styleId="113">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101</Pages>
  <Words>25235</Words>
  <Characters>26901</Characters>
  <Lines>228</Lines>
  <Paragraphs>64</Paragraphs>
  <TotalTime>29</TotalTime>
  <ScaleCrop>false</ScaleCrop>
  <LinksUpToDate>false</LinksUpToDate>
  <CharactersWithSpaces>27822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2019-10-09T00:18:00Z</dcterms:created>
  <dc:creator>User</dc:creator>
  <cp:lastModifiedBy>星雨星辰</cp:lastModifiedBy>
  <cp:lastPrinted>2026-07-22T03:13:00Z</cp:lastPrinted>
  <dcterms:modified xsi:type="dcterms:W3CDTF">2026-08-06T01:27:11Z</dcterms:modified>
  <dc:title>云南省肿瘤医院</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eyJoZGlkIjoiYTc2ZGZiNzZiNDVlOGViOWVmM2JhOTY0NGJkNjUyYzgifQ==</vt:lpwstr>
  </property>
  <property fmtid="{D5CDD505-2E9C-101B-9397-08002B2CF9AE}" pid="3" name="ICV">
    <vt:lpwstr>90A50B742CD54DCC920C09BC35952291_13</vt:lpwstr>
  </property>
  <property fmtid="{D5CDD505-2E9C-101B-9397-08002B2CF9AE}" pid="4" name="KSOProductBuildVer">
    <vt:lpwstr>2052-12.1.0.28043</vt:lpwstr>
  </property>
  <property fmtid="{D5CDD505-2E9C-101B-9397-08002B2CF9AE}" pid="5" name="KSOTemplateDocerSaveRecord">
    <vt:lpwstr>eyJoZGlkIjoiMzMyNDIxMTU4YzQ5OWYxMWE3YjNjOTMzMWYzOTFmYjYiLCJ1c2VySWQiOiI1MjkyMTg2NDMifQ==</vt:lpwstr>
  </property>
</Properties>
</file>