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D27BBC">
      <w:pPr>
        <w:spacing w:line="360" w:lineRule="auto"/>
        <w:ind w:firstLine="562" w:firstLineChars="200"/>
        <w:rPr>
          <w:rFonts w:hint="eastAsia" w:ascii="宋体" w:hAnsi="宋体" w:cs="宋体"/>
          <w:b/>
          <w:color w:val="000000" w:themeColor="text1"/>
          <w:sz w:val="28"/>
          <w:szCs w:val="28"/>
          <w:highlight w:val="none"/>
          <w14:textFill>
            <w14:solidFill>
              <w14:schemeClr w14:val="tx1"/>
            </w14:solidFill>
          </w14:textFill>
        </w:rPr>
      </w:pPr>
      <w:bookmarkStart w:id="0" w:name="_Toc183682338"/>
      <w:bookmarkStart w:id="1" w:name="_Toc217446030"/>
      <w:r>
        <w:rPr>
          <w:rFonts w:hint="eastAsia" w:ascii="宋体" w:hAnsi="宋体" w:cs="宋体"/>
          <w:b/>
          <w:color w:val="000000" w:themeColor="text1"/>
          <w:sz w:val="28"/>
          <w:szCs w:val="28"/>
          <w:highlight w:val="none"/>
          <w14:textFill>
            <w14:solidFill>
              <w14:schemeClr w14:val="tx1"/>
            </w14:solidFill>
          </w14:textFill>
        </w:rPr>
        <w:t>专门面向中小企业政府采购项目</w:t>
      </w:r>
    </w:p>
    <w:p w14:paraId="66E1AD31">
      <w:pPr>
        <w:pStyle w:val="13"/>
        <w:spacing w:line="400" w:lineRule="exact"/>
        <w:jc w:val="left"/>
        <w:rPr>
          <w:rFonts w:hint="eastAsia" w:asciiTheme="minorEastAsia" w:hAnsiTheme="minorEastAsia" w:cstheme="minorEastAsia"/>
          <w:bCs/>
          <w:color w:val="000000" w:themeColor="text1"/>
          <w:szCs w:val="32"/>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采购项目编号：</w:t>
      </w:r>
      <w:r>
        <w:rPr>
          <w:rFonts w:hint="eastAsia" w:asciiTheme="minorEastAsia" w:hAnsiTheme="minorEastAsia" w:eastAsiaTheme="minorEastAsia" w:cstheme="minorEastAsia"/>
          <w:bCs/>
          <w:color w:val="000000" w:themeColor="text1"/>
          <w:szCs w:val="32"/>
          <w:highlight w:val="none"/>
          <w14:textFill>
            <w14:solidFill>
              <w14:schemeClr w14:val="tx1"/>
            </w14:solidFill>
          </w14:textFill>
        </w:rPr>
        <w:t>SXLX26-01-043Z(G)</w:t>
      </w:r>
    </w:p>
    <w:p w14:paraId="7ABE1F18">
      <w:pPr>
        <w:spacing w:line="360" w:lineRule="auto"/>
        <w:rPr>
          <w:rFonts w:hint="eastAsia" w:ascii="宋体" w:hAnsi="宋体" w:cs="宋体"/>
          <w:b/>
          <w:color w:val="000000" w:themeColor="text1"/>
          <w:sz w:val="28"/>
          <w:szCs w:val="28"/>
          <w:highlight w:val="none"/>
          <w14:textFill>
            <w14:solidFill>
              <w14:schemeClr w14:val="tx1"/>
            </w14:solidFill>
          </w14:textFill>
        </w:rPr>
      </w:pPr>
    </w:p>
    <w:p w14:paraId="6ABBC3F1">
      <w:pPr>
        <w:spacing w:line="360" w:lineRule="auto"/>
        <w:rPr>
          <w:rFonts w:hint="eastAsia" w:ascii="宋体" w:hAnsi="宋体"/>
          <w:color w:val="000000" w:themeColor="text1"/>
          <w:sz w:val="22"/>
          <w:szCs w:val="22"/>
          <w:highlight w:val="none"/>
          <w14:textFill>
            <w14:solidFill>
              <w14:schemeClr w14:val="tx1"/>
            </w14:solidFill>
          </w14:textFill>
        </w:rPr>
      </w:pPr>
    </w:p>
    <w:p w14:paraId="4058E7DE">
      <w:pPr>
        <w:jc w:val="left"/>
        <w:rPr>
          <w:rFonts w:hint="eastAsia" w:ascii="宋体" w:hAnsi="宋体"/>
          <w:b/>
          <w:color w:val="000000" w:themeColor="text1"/>
          <w:sz w:val="52"/>
          <w:szCs w:val="52"/>
          <w:highlight w:val="none"/>
          <w14:textFill>
            <w14:solidFill>
              <w14:schemeClr w14:val="tx1"/>
            </w14:solidFill>
          </w14:textFill>
        </w:rPr>
      </w:pPr>
    </w:p>
    <w:p w14:paraId="2DC3F808">
      <w:pPr>
        <w:spacing w:line="360" w:lineRule="auto"/>
        <w:jc w:val="center"/>
        <w:rPr>
          <w:rFonts w:hint="eastAsia" w:asciiTheme="minorEastAsia" w:hAnsiTheme="minorEastAsia" w:eastAsiaTheme="minorEastAsia" w:cstheme="minorEastAsia"/>
          <w:b/>
          <w:bCs/>
          <w:color w:val="000000" w:themeColor="text1"/>
          <w:sz w:val="52"/>
          <w:szCs w:val="5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52"/>
          <w:szCs w:val="52"/>
          <w:highlight w:val="none"/>
          <w14:textFill>
            <w14:solidFill>
              <w14:schemeClr w14:val="tx1"/>
            </w14:solidFill>
          </w14:textFill>
        </w:rPr>
        <w:t>陕西测绘地理信息局既有住宅加装电梯项目（三期）首批工程</w:t>
      </w:r>
    </w:p>
    <w:p w14:paraId="520F1037">
      <w:pPr>
        <w:pStyle w:val="29"/>
        <w:rPr>
          <w:rFonts w:hint="eastAsia"/>
          <w:color w:val="000000" w:themeColor="text1"/>
          <w:highlight w:val="none"/>
          <w14:textFill>
            <w14:solidFill>
              <w14:schemeClr w14:val="tx1"/>
            </w14:solidFill>
          </w14:textFill>
        </w:rPr>
      </w:pPr>
    </w:p>
    <w:p w14:paraId="26EDE87F">
      <w:pPr>
        <w:pStyle w:val="29"/>
        <w:jc w:val="center"/>
        <w:rPr>
          <w:rFonts w:hint="eastAsia" w:ascii="宋体"/>
          <w:color w:val="000000" w:themeColor="text1"/>
          <w:kern w:val="0"/>
          <w:sz w:val="28"/>
          <w:szCs w:val="28"/>
          <w:highlight w:val="none"/>
          <w14:textFill>
            <w14:solidFill>
              <w14:schemeClr w14:val="tx1"/>
            </w14:solidFill>
          </w14:textFill>
        </w:rPr>
      </w:pPr>
      <w:r>
        <w:rPr>
          <w:rFonts w:hint="eastAsia" w:ascii="宋体"/>
          <w:color w:val="000000" w:themeColor="text1"/>
          <w:kern w:val="0"/>
          <w:sz w:val="28"/>
          <w:szCs w:val="28"/>
          <w:highlight w:val="none"/>
          <w14:textFill>
            <w14:solidFill>
              <w14:schemeClr w14:val="tx1"/>
            </w14:solidFill>
          </w14:textFill>
        </w:rPr>
        <w:t>（7号楼3单元、30号楼2单元、29号楼5、6单元）</w:t>
      </w:r>
    </w:p>
    <w:p w14:paraId="0FFD13CD">
      <w:pPr>
        <w:rPr>
          <w:rFonts w:ascii="黑体" w:eastAsia="黑体"/>
          <w:color w:val="000000" w:themeColor="text1"/>
          <w:sz w:val="28"/>
          <w:szCs w:val="28"/>
          <w:highlight w:val="none"/>
          <w14:textFill>
            <w14:solidFill>
              <w14:schemeClr w14:val="tx1"/>
            </w14:solidFill>
          </w14:textFill>
        </w:rPr>
      </w:pPr>
    </w:p>
    <w:p w14:paraId="7AED53C5">
      <w:pPr>
        <w:pStyle w:val="16"/>
        <w:adjustRightInd w:val="0"/>
        <w:snapToGrid w:val="0"/>
        <w:spacing w:line="360" w:lineRule="auto"/>
        <w:jc w:val="center"/>
        <w:rPr>
          <w:b/>
          <w:color w:val="000000" w:themeColor="text1"/>
          <w:sz w:val="32"/>
          <w:szCs w:val="32"/>
          <w:highlight w:val="none"/>
          <w14:textFill>
            <w14:solidFill>
              <w14:schemeClr w14:val="tx1"/>
            </w14:solidFill>
          </w14:textFill>
        </w:rPr>
      </w:pPr>
      <w:r>
        <w:rPr>
          <w:rFonts w:hint="eastAsia" w:ascii="方正小标宋简体" w:hAnsi="华文中宋" w:eastAsia="方正小标宋简体"/>
          <w:color w:val="000000" w:themeColor="text1"/>
          <w:sz w:val="84"/>
          <w:szCs w:val="84"/>
          <w:highlight w:val="none"/>
          <w14:textFill>
            <w14:solidFill>
              <w14:schemeClr w14:val="tx1"/>
            </w14:solidFill>
          </w14:textFill>
        </w:rPr>
        <w:t>招标文件</w:t>
      </w:r>
    </w:p>
    <w:p w14:paraId="7DB3A486">
      <w:pPr>
        <w:pStyle w:val="16"/>
        <w:adjustRightInd w:val="0"/>
        <w:snapToGrid w:val="0"/>
        <w:spacing w:line="360" w:lineRule="auto"/>
        <w:ind w:left="846" w:leftChars="403" w:firstLine="156" w:firstLineChars="49"/>
        <w:rPr>
          <w:rFonts w:hint="eastAsia" w:ascii="华文中宋" w:hAnsi="华文中宋" w:eastAsia="华文中宋"/>
          <w:color w:val="000000" w:themeColor="text1"/>
          <w:sz w:val="32"/>
          <w:szCs w:val="32"/>
          <w:highlight w:val="none"/>
          <w14:textFill>
            <w14:solidFill>
              <w14:schemeClr w14:val="tx1"/>
            </w14:solidFill>
          </w14:textFill>
        </w:rPr>
      </w:pPr>
    </w:p>
    <w:p w14:paraId="6FBBA189">
      <w:pPr>
        <w:pStyle w:val="16"/>
        <w:adjustRightInd w:val="0"/>
        <w:snapToGrid w:val="0"/>
        <w:spacing w:line="360" w:lineRule="auto"/>
        <w:ind w:left="846" w:leftChars="403" w:firstLine="156" w:firstLineChars="49"/>
        <w:rPr>
          <w:rFonts w:hint="eastAsia" w:ascii="华文中宋" w:hAnsi="华文中宋" w:eastAsia="华文中宋"/>
          <w:color w:val="000000" w:themeColor="text1"/>
          <w:sz w:val="32"/>
          <w:szCs w:val="32"/>
          <w:highlight w:val="none"/>
          <w14:textFill>
            <w14:solidFill>
              <w14:schemeClr w14:val="tx1"/>
            </w14:solidFill>
          </w14:textFill>
        </w:rPr>
      </w:pPr>
    </w:p>
    <w:p w14:paraId="0C310487">
      <w:pPr>
        <w:pStyle w:val="16"/>
        <w:adjustRightInd w:val="0"/>
        <w:snapToGrid w:val="0"/>
        <w:spacing w:line="360" w:lineRule="auto"/>
        <w:ind w:left="846" w:leftChars="403" w:firstLine="156" w:firstLineChars="49"/>
        <w:rPr>
          <w:rFonts w:hint="eastAsia" w:ascii="华文中宋" w:hAnsi="华文中宋" w:eastAsia="华文中宋"/>
          <w:color w:val="000000" w:themeColor="text1"/>
          <w:sz w:val="32"/>
          <w:szCs w:val="32"/>
          <w:highlight w:val="none"/>
          <w14:textFill>
            <w14:solidFill>
              <w14:schemeClr w14:val="tx1"/>
            </w14:solidFill>
          </w14:textFill>
        </w:rPr>
      </w:pPr>
    </w:p>
    <w:p w14:paraId="4F8756FB">
      <w:pPr>
        <w:pStyle w:val="16"/>
        <w:adjustRightInd w:val="0"/>
        <w:snapToGrid w:val="0"/>
        <w:spacing w:line="360" w:lineRule="auto"/>
        <w:ind w:left="846" w:leftChars="403" w:firstLine="156" w:firstLineChars="49"/>
        <w:rPr>
          <w:rFonts w:hint="eastAsia" w:ascii="华文中宋" w:hAnsi="华文中宋" w:eastAsia="华文中宋"/>
          <w:color w:val="000000" w:themeColor="text1"/>
          <w:sz w:val="32"/>
          <w:szCs w:val="32"/>
          <w:highlight w:val="none"/>
          <w14:textFill>
            <w14:solidFill>
              <w14:schemeClr w14:val="tx1"/>
            </w14:solidFill>
          </w14:textFill>
        </w:rPr>
      </w:pPr>
    </w:p>
    <w:p w14:paraId="1620ADE8">
      <w:pPr>
        <w:spacing w:line="360" w:lineRule="auto"/>
        <w:jc w:val="center"/>
        <w:rPr>
          <w:rFonts w:hint="eastAsia" w:hAnsi="宋体"/>
          <w:b/>
          <w:color w:val="000000" w:themeColor="text1"/>
          <w:sz w:val="28"/>
          <w:szCs w:val="28"/>
          <w:highlight w:val="none"/>
          <w14:textFill>
            <w14:solidFill>
              <w14:schemeClr w14:val="tx1"/>
            </w14:solidFill>
          </w14:textFill>
        </w:rPr>
      </w:pPr>
      <w:r>
        <w:rPr>
          <w:rFonts w:hint="eastAsia" w:hAnsi="宋体"/>
          <w:b/>
          <w:color w:val="000000" w:themeColor="text1"/>
          <w:sz w:val="28"/>
          <w:szCs w:val="28"/>
          <w:highlight w:val="none"/>
          <w14:textFill>
            <w14:solidFill>
              <w14:schemeClr w14:val="tx1"/>
            </w14:solidFill>
          </w14:textFill>
        </w:rPr>
        <w:t>采   购   人：陕西测绘地理信息局后勤服务中心</w:t>
      </w:r>
    </w:p>
    <w:p w14:paraId="7EBC6522">
      <w:pPr>
        <w:spacing w:line="360" w:lineRule="auto"/>
        <w:ind w:firstLine="1405" w:firstLineChars="500"/>
        <w:rPr>
          <w:rFonts w:hint="eastAsia" w:hAnsi="宋体"/>
          <w:b/>
          <w:color w:val="000000" w:themeColor="text1"/>
          <w:sz w:val="28"/>
          <w:szCs w:val="28"/>
          <w:highlight w:val="none"/>
          <w14:textFill>
            <w14:solidFill>
              <w14:schemeClr w14:val="tx1"/>
            </w14:solidFill>
          </w14:textFill>
        </w:rPr>
      </w:pPr>
      <w:r>
        <w:rPr>
          <w:rFonts w:hint="eastAsia" w:hAnsi="宋体"/>
          <w:b/>
          <w:color w:val="000000" w:themeColor="text1"/>
          <w:sz w:val="28"/>
          <w:szCs w:val="28"/>
          <w:highlight w:val="none"/>
          <w14:textFill>
            <w14:solidFill>
              <w14:schemeClr w14:val="tx1"/>
            </w14:solidFill>
          </w14:textFill>
        </w:rPr>
        <w:t>采购代理机构: 陕西隆信项目管理有限公司</w:t>
      </w:r>
    </w:p>
    <w:p w14:paraId="1C80D0F9">
      <w:pPr>
        <w:spacing w:line="360" w:lineRule="auto"/>
        <w:jc w:val="center"/>
        <w:rPr>
          <w:rFonts w:ascii="黑体" w:eastAsia="黑体"/>
          <w:b/>
          <w:bCs/>
          <w:color w:val="000000" w:themeColor="text1"/>
          <w:sz w:val="28"/>
          <w:szCs w:val="28"/>
          <w:highlight w:val="none"/>
          <w:lang w:val="zh-CN"/>
          <w14:textFill>
            <w14:solidFill>
              <w14:schemeClr w14:val="tx1"/>
            </w14:solidFill>
          </w14:textFill>
        </w:rPr>
      </w:pPr>
      <w:r>
        <w:rPr>
          <w:rFonts w:hint="eastAsia" w:ascii="宋体" w:hAnsi="宋体" w:cs="宋体"/>
          <w:b/>
          <w:color w:val="000000" w:themeColor="text1"/>
          <w:sz w:val="28"/>
          <w:szCs w:val="28"/>
          <w:highlight w:val="none"/>
          <w:lang w:val="zh-CN"/>
          <w14:textFill>
            <w14:solidFill>
              <w14:schemeClr w14:val="tx1"/>
            </w14:solidFill>
          </w14:textFill>
        </w:rPr>
        <w:t>二</w:t>
      </w:r>
      <w:r>
        <w:rPr>
          <w:rFonts w:hint="eastAsia" w:ascii="宋体" w:hAnsi="宋体" w:cs="宋体"/>
          <w:b/>
          <w:color w:val="000000" w:themeColor="text1"/>
          <w:sz w:val="28"/>
          <w:szCs w:val="28"/>
          <w:highlight w:val="none"/>
          <w14:textFill>
            <w14:solidFill>
              <w14:schemeClr w14:val="tx1"/>
            </w14:solidFill>
          </w14:textFill>
        </w:rPr>
        <w:t xml:space="preserve"> </w:t>
      </w:r>
      <w:r>
        <w:rPr>
          <w:rFonts w:hint="eastAsia" w:ascii="宋体" w:hAnsi="宋体" w:cs="宋体"/>
          <w:b/>
          <w:color w:val="000000" w:themeColor="text1"/>
          <w:sz w:val="28"/>
          <w:szCs w:val="28"/>
          <w:highlight w:val="none"/>
          <w:lang w:val="zh-CN"/>
          <w14:textFill>
            <w14:solidFill>
              <w14:schemeClr w14:val="tx1"/>
            </w14:solidFill>
          </w14:textFill>
        </w:rPr>
        <w:t>〇</w:t>
      </w:r>
      <w:r>
        <w:rPr>
          <w:rFonts w:hint="eastAsia" w:ascii="宋体" w:hAnsi="宋体" w:cs="宋体"/>
          <w:b/>
          <w:color w:val="000000" w:themeColor="text1"/>
          <w:sz w:val="28"/>
          <w:szCs w:val="28"/>
          <w:highlight w:val="none"/>
          <w14:textFill>
            <w14:solidFill>
              <w14:schemeClr w14:val="tx1"/>
            </w14:solidFill>
          </w14:textFill>
        </w:rPr>
        <w:t xml:space="preserve"> 二 六 </w:t>
      </w:r>
      <w:r>
        <w:rPr>
          <w:rFonts w:hint="eastAsia" w:ascii="宋体" w:hAnsi="宋体" w:cs="宋体"/>
          <w:b/>
          <w:color w:val="000000" w:themeColor="text1"/>
          <w:sz w:val="28"/>
          <w:szCs w:val="28"/>
          <w:highlight w:val="none"/>
          <w:lang w:val="zh-CN"/>
          <w14:textFill>
            <w14:solidFill>
              <w14:schemeClr w14:val="tx1"/>
            </w14:solidFill>
          </w14:textFill>
        </w:rPr>
        <w:t>年</w:t>
      </w:r>
      <w:r>
        <w:rPr>
          <w:rFonts w:hint="eastAsia" w:ascii="宋体" w:hAnsi="宋体" w:cs="宋体"/>
          <w:b/>
          <w:color w:val="000000" w:themeColor="text1"/>
          <w:sz w:val="28"/>
          <w:szCs w:val="28"/>
          <w:highlight w:val="none"/>
          <w14:textFill>
            <w14:solidFill>
              <w14:schemeClr w14:val="tx1"/>
            </w14:solidFill>
          </w14:textFill>
        </w:rPr>
        <w:t xml:space="preserve"> 九 </w:t>
      </w:r>
      <w:r>
        <w:rPr>
          <w:rFonts w:hint="eastAsia" w:ascii="宋体" w:hAnsi="宋体" w:cs="宋体"/>
          <w:b/>
          <w:color w:val="000000" w:themeColor="text1"/>
          <w:sz w:val="28"/>
          <w:szCs w:val="28"/>
          <w:highlight w:val="none"/>
          <w:lang w:val="zh-CN"/>
          <w14:textFill>
            <w14:solidFill>
              <w14:schemeClr w14:val="tx1"/>
            </w14:solidFill>
          </w14:textFill>
        </w:rPr>
        <w:t>月</w:t>
      </w:r>
    </w:p>
    <w:bookmarkEnd w:id="0"/>
    <w:bookmarkEnd w:id="1"/>
    <w:p w14:paraId="14DDB19B">
      <w:pPr>
        <w:spacing w:line="360" w:lineRule="auto"/>
        <w:ind w:firstLine="203" w:firstLineChars="46"/>
        <w:jc w:val="center"/>
        <w:rPr>
          <w:rFonts w:hint="eastAsia" w:ascii="宋体" w:hAnsi="宋体"/>
          <w:b/>
          <w:bCs/>
          <w:color w:val="000000" w:themeColor="text1"/>
          <w:sz w:val="44"/>
          <w:szCs w:val="44"/>
          <w:highlight w:val="none"/>
          <w:lang w:val="zh-CN"/>
          <w14:textFill>
            <w14:solidFill>
              <w14:schemeClr w14:val="tx1"/>
            </w14:solidFill>
          </w14:textFill>
        </w:rPr>
        <w:sectPr>
          <w:headerReference r:id="rId4" w:type="first"/>
          <w:headerReference r:id="rId3" w:type="default"/>
          <w:footerReference r:id="rId5" w:type="default"/>
          <w:pgSz w:w="11907" w:h="16840"/>
          <w:pgMar w:top="1440" w:right="1474" w:bottom="1440" w:left="1474" w:header="851" w:footer="992" w:gutter="0"/>
          <w:cols w:space="720" w:num="1"/>
          <w:titlePg/>
        </w:sectPr>
      </w:pPr>
    </w:p>
    <w:p w14:paraId="17F35649">
      <w:pPr>
        <w:spacing w:before="240" w:beforeLines="100" w:line="360" w:lineRule="auto"/>
        <w:jc w:val="center"/>
        <w:rPr>
          <w:rFonts w:hint="eastAsia" w:ascii="宋体" w:hAnsi="宋体"/>
          <w:b/>
          <w:bCs/>
          <w:color w:val="000000" w:themeColor="text1"/>
          <w:sz w:val="44"/>
          <w:szCs w:val="44"/>
          <w:highlight w:val="none"/>
          <w:lang w:val="zh-CN"/>
          <w14:textFill>
            <w14:solidFill>
              <w14:schemeClr w14:val="tx1"/>
            </w14:solidFill>
          </w14:textFill>
        </w:rPr>
      </w:pPr>
      <w:r>
        <w:rPr>
          <w:rFonts w:hint="eastAsia" w:ascii="宋体" w:hAnsi="宋体"/>
          <w:b/>
          <w:bCs/>
          <w:color w:val="000000" w:themeColor="text1"/>
          <w:sz w:val="44"/>
          <w:szCs w:val="44"/>
          <w:highlight w:val="none"/>
          <w:lang w:val="zh-CN"/>
          <w14:textFill>
            <w14:solidFill>
              <w14:schemeClr w14:val="tx1"/>
            </w14:solidFill>
          </w14:textFill>
        </w:rPr>
        <w:t>温馨提示</w:t>
      </w:r>
    </w:p>
    <w:p w14:paraId="6D41F33A">
      <w:pPr>
        <w:spacing w:line="360" w:lineRule="auto"/>
        <w:ind w:firstLine="960" w:firstLineChars="300"/>
        <w:rPr>
          <w:bCs/>
          <w:color w:val="000000" w:themeColor="text1"/>
          <w:sz w:val="32"/>
          <w:szCs w:val="32"/>
          <w:highlight w:val="none"/>
          <w:lang w:val="zh-CN"/>
          <w14:textFill>
            <w14:solidFill>
              <w14:schemeClr w14:val="tx1"/>
            </w14:solidFill>
          </w14:textFill>
        </w:rPr>
      </w:pPr>
      <w:r>
        <w:rPr>
          <w:rFonts w:hint="eastAsia"/>
          <w:bCs/>
          <w:color w:val="000000" w:themeColor="text1"/>
          <w:sz w:val="32"/>
          <w:szCs w:val="32"/>
          <w:highlight w:val="none"/>
          <w:lang w:val="zh-CN"/>
          <w14:textFill>
            <w14:solidFill>
              <w14:schemeClr w14:val="tx1"/>
            </w14:solidFill>
          </w14:textFill>
        </w:rPr>
        <w:t>潜在投标人在获取招标文件后，请认真仔细阅读所有条款，特别注意实质性投标要求及粗体部分，如需询问，请及时来电咨询。</w:t>
      </w:r>
    </w:p>
    <w:p w14:paraId="161CE791">
      <w:pPr>
        <w:spacing w:line="360" w:lineRule="auto"/>
        <w:ind w:firstLine="960" w:firstLineChars="300"/>
        <w:rPr>
          <w:bCs/>
          <w:color w:val="000000" w:themeColor="text1"/>
          <w:sz w:val="32"/>
          <w:szCs w:val="32"/>
          <w:highlight w:val="none"/>
          <w:lang w:val="zh-CN"/>
          <w14:textFill>
            <w14:solidFill>
              <w14:schemeClr w14:val="tx1"/>
            </w14:solidFill>
          </w14:textFill>
        </w:rPr>
      </w:pPr>
      <w:r>
        <w:rPr>
          <w:bCs/>
          <w:color w:val="000000" w:themeColor="text1"/>
          <w:sz w:val="32"/>
          <w:szCs w:val="32"/>
          <w:highlight w:val="none"/>
          <w:lang w:val="zh-CN"/>
          <w14:textFill>
            <w14:solidFill>
              <w14:schemeClr w14:val="tx1"/>
            </w14:solidFill>
          </w14:textFill>
        </w:rPr>
        <w:t>业务部电话：</w:t>
      </w:r>
      <w:r>
        <w:rPr>
          <w:rFonts w:hint="eastAsia"/>
          <w:bCs/>
          <w:color w:val="000000" w:themeColor="text1"/>
          <w:sz w:val="32"/>
          <w:szCs w:val="32"/>
          <w:highlight w:val="none"/>
          <w:lang w:val="zh-CN"/>
          <w14:textFill>
            <w14:solidFill>
              <w14:schemeClr w14:val="tx1"/>
            </w14:solidFill>
          </w14:textFill>
        </w:rPr>
        <w:t>029-88489979-8106</w:t>
      </w:r>
    </w:p>
    <w:p w14:paraId="6DEC63F0">
      <w:pPr>
        <w:spacing w:line="360" w:lineRule="auto"/>
        <w:ind w:firstLine="960" w:firstLineChars="300"/>
        <w:rPr>
          <w:bCs/>
          <w:color w:val="000000" w:themeColor="text1"/>
          <w:sz w:val="32"/>
          <w:szCs w:val="32"/>
          <w:highlight w:val="none"/>
          <w:lang w:val="zh-CN"/>
          <w14:textFill>
            <w14:solidFill>
              <w14:schemeClr w14:val="tx1"/>
            </w14:solidFill>
          </w14:textFill>
        </w:rPr>
      </w:pPr>
      <w:r>
        <w:rPr>
          <w:rFonts w:hint="eastAsia"/>
          <w:bCs/>
          <w:color w:val="000000" w:themeColor="text1"/>
          <w:sz w:val="32"/>
          <w:szCs w:val="32"/>
          <w:highlight w:val="none"/>
          <w:lang w:val="zh-CN"/>
          <w14:textFill>
            <w14:solidFill>
              <w14:schemeClr w14:val="tx1"/>
            </w14:solidFill>
          </w14:textFill>
        </w:rPr>
        <w:t>财务部电话：029-88489979-8501</w:t>
      </w:r>
    </w:p>
    <w:p w14:paraId="20C2EC38">
      <w:pPr>
        <w:spacing w:before="240" w:beforeLines="100" w:line="360" w:lineRule="auto"/>
        <w:ind w:firstLine="602" w:firstLineChars="200"/>
        <w:rPr>
          <w:rFonts w:hint="eastAsia" w:ascii="宋体" w:hAnsi="宋体"/>
          <w:b/>
          <w:bCs/>
          <w:color w:val="000000" w:themeColor="text1"/>
          <w:sz w:val="30"/>
          <w:szCs w:val="30"/>
          <w:highlight w:val="none"/>
          <w:lang w:val="zh-CN"/>
          <w14:textFill>
            <w14:solidFill>
              <w14:schemeClr w14:val="tx1"/>
            </w14:solidFill>
          </w14:textFill>
        </w:rPr>
      </w:pPr>
      <w:r>
        <w:rPr>
          <w:rFonts w:hint="eastAsia" w:ascii="宋体" w:hAnsi="宋体"/>
          <w:b/>
          <w:bCs/>
          <w:color w:val="000000" w:themeColor="text1"/>
          <w:sz w:val="30"/>
          <w:szCs w:val="30"/>
          <w:highlight w:val="none"/>
          <w:lang w:val="zh-CN"/>
          <w14:textFill>
            <w14:solidFill>
              <w14:schemeClr w14:val="tx1"/>
            </w14:solidFill>
          </w14:textFill>
        </w:rPr>
        <w:t>请将</w:t>
      </w:r>
      <w:r>
        <w:rPr>
          <w:rFonts w:hint="eastAsia" w:ascii="宋体" w:hAnsi="宋体"/>
          <w:b/>
          <w:bCs/>
          <w:color w:val="000000" w:themeColor="text1"/>
          <w:sz w:val="30"/>
          <w:szCs w:val="30"/>
          <w:highlight w:val="none"/>
          <w:em w:val="dot"/>
          <w:lang w:val="zh-CN"/>
          <w14:textFill>
            <w14:solidFill>
              <w14:schemeClr w14:val="tx1"/>
            </w14:solidFill>
          </w14:textFill>
        </w:rPr>
        <w:t>投标保证金</w:t>
      </w:r>
      <w:r>
        <w:rPr>
          <w:rFonts w:hint="eastAsia" w:ascii="宋体" w:hAnsi="宋体"/>
          <w:b/>
          <w:bCs/>
          <w:color w:val="000000" w:themeColor="text1"/>
          <w:sz w:val="30"/>
          <w:szCs w:val="30"/>
          <w:highlight w:val="none"/>
          <w:lang w:val="zh-CN"/>
          <w14:textFill>
            <w14:solidFill>
              <w14:schemeClr w14:val="tx1"/>
            </w14:solidFill>
          </w14:textFill>
        </w:rPr>
        <w:t>汇至下列指定账户：</w:t>
      </w:r>
    </w:p>
    <w:p w14:paraId="70ECE7E6">
      <w:pPr>
        <w:widowControl/>
        <w:spacing w:line="360" w:lineRule="auto"/>
        <w:ind w:right="-197" w:rightChars="-94" w:firstLine="960" w:firstLineChars="30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开户名称：陕西隆信项目管理有限公司</w:t>
      </w:r>
    </w:p>
    <w:p w14:paraId="4B894E4D">
      <w:pPr>
        <w:widowControl/>
        <w:spacing w:line="360" w:lineRule="auto"/>
        <w:ind w:right="-197" w:rightChars="-94" w:firstLine="960" w:firstLineChars="30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开 户 行：招商银行股份有限公司西安大寨路支行</w:t>
      </w:r>
    </w:p>
    <w:p w14:paraId="6D8DC19A">
      <w:pPr>
        <w:widowControl/>
        <w:spacing w:line="360" w:lineRule="auto"/>
        <w:ind w:right="-197" w:rightChars="-94" w:firstLine="960" w:firstLineChars="30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账    号：</w:t>
      </w:r>
      <w:r>
        <w:rPr>
          <w:rFonts w:ascii="宋体" w:hAnsi="宋体"/>
          <w:color w:val="000000" w:themeColor="text1"/>
          <w:sz w:val="32"/>
          <w:szCs w:val="32"/>
          <w:highlight w:val="none"/>
          <w14:textFill>
            <w14:solidFill>
              <w14:schemeClr w14:val="tx1"/>
            </w14:solidFill>
          </w14:textFill>
        </w:rPr>
        <w:t>1299 0406 4810 808</w:t>
      </w:r>
    </w:p>
    <w:p w14:paraId="724924C8">
      <w:pPr>
        <w:spacing w:before="240" w:beforeLines="100" w:line="360" w:lineRule="auto"/>
        <w:ind w:firstLine="602" w:firstLineChars="200"/>
        <w:rPr>
          <w:rFonts w:hint="eastAsia" w:ascii="宋体" w:hAnsi="宋体"/>
          <w:b/>
          <w:bCs/>
          <w:color w:val="000000" w:themeColor="text1"/>
          <w:sz w:val="30"/>
          <w:szCs w:val="30"/>
          <w:highlight w:val="none"/>
          <w:lang w:val="zh-CN"/>
          <w14:textFill>
            <w14:solidFill>
              <w14:schemeClr w14:val="tx1"/>
            </w14:solidFill>
          </w14:textFill>
        </w:rPr>
      </w:pPr>
      <w:r>
        <w:rPr>
          <w:rFonts w:hint="eastAsia" w:ascii="宋体" w:hAnsi="宋体"/>
          <w:b/>
          <w:bCs/>
          <w:color w:val="000000" w:themeColor="text1"/>
          <w:sz w:val="30"/>
          <w:szCs w:val="30"/>
          <w:highlight w:val="none"/>
          <w:lang w:val="zh-CN"/>
          <w14:textFill>
            <w14:solidFill>
              <w14:schemeClr w14:val="tx1"/>
            </w14:solidFill>
          </w14:textFill>
        </w:rPr>
        <w:t>请将中标服务费汇至下列指定账户：</w:t>
      </w:r>
    </w:p>
    <w:p w14:paraId="7B1505F6">
      <w:pPr>
        <w:widowControl/>
        <w:spacing w:line="360" w:lineRule="auto"/>
        <w:ind w:right="-197" w:rightChars="-94" w:firstLine="960" w:firstLineChars="300"/>
        <w:rPr>
          <w:rFonts w:hint="eastAsia" w:ascii="宋体" w:hAnsi="宋体"/>
          <w:color w:val="000000" w:themeColor="text1"/>
          <w:sz w:val="32"/>
          <w:szCs w:val="32"/>
          <w:highlight w:val="none"/>
          <w:lang w:val="zh-CN"/>
          <w14:textFill>
            <w14:solidFill>
              <w14:schemeClr w14:val="tx1"/>
            </w14:solidFill>
          </w14:textFill>
        </w:rPr>
      </w:pPr>
      <w:r>
        <w:rPr>
          <w:rFonts w:hint="eastAsia" w:ascii="宋体" w:hAnsi="宋体"/>
          <w:color w:val="000000" w:themeColor="text1"/>
          <w:sz w:val="32"/>
          <w:szCs w:val="32"/>
          <w:highlight w:val="none"/>
          <w:lang w:val="zh-CN"/>
          <w14:textFill>
            <w14:solidFill>
              <w14:schemeClr w14:val="tx1"/>
            </w14:solidFill>
          </w14:textFill>
        </w:rPr>
        <w:t>开户名称：陕西隆信项目管理有限公司</w:t>
      </w:r>
    </w:p>
    <w:p w14:paraId="7092B190">
      <w:pPr>
        <w:widowControl/>
        <w:spacing w:line="360" w:lineRule="auto"/>
        <w:ind w:right="-197" w:rightChars="-94" w:firstLine="960" w:firstLineChars="300"/>
        <w:rPr>
          <w:rFonts w:hint="eastAsia" w:ascii="宋体" w:hAnsi="宋体"/>
          <w:color w:val="000000" w:themeColor="text1"/>
          <w:sz w:val="32"/>
          <w:szCs w:val="32"/>
          <w:highlight w:val="none"/>
          <w:lang w:val="zh-CN"/>
          <w14:textFill>
            <w14:solidFill>
              <w14:schemeClr w14:val="tx1"/>
            </w14:solidFill>
          </w14:textFill>
        </w:rPr>
      </w:pPr>
      <w:r>
        <w:rPr>
          <w:rFonts w:hint="eastAsia" w:ascii="宋体" w:hAnsi="宋体"/>
          <w:color w:val="000000" w:themeColor="text1"/>
          <w:sz w:val="32"/>
          <w:szCs w:val="32"/>
          <w:highlight w:val="none"/>
          <w:lang w:val="zh-CN"/>
          <w14:textFill>
            <w14:solidFill>
              <w14:schemeClr w14:val="tx1"/>
            </w14:solidFill>
          </w14:textFill>
        </w:rPr>
        <w:t>开 户 行：招商银行股份有限公司西安土门支行</w:t>
      </w:r>
    </w:p>
    <w:p w14:paraId="46B2E39D">
      <w:pPr>
        <w:widowControl/>
        <w:spacing w:line="360" w:lineRule="auto"/>
        <w:ind w:right="-197" w:rightChars="-94" w:firstLine="960" w:firstLineChars="300"/>
        <w:rPr>
          <w:rFonts w:hint="eastAsia" w:ascii="宋体" w:hAnsi="宋体"/>
          <w:color w:val="000000" w:themeColor="text1"/>
          <w:sz w:val="32"/>
          <w:szCs w:val="32"/>
          <w:highlight w:val="none"/>
          <w:lang w:val="zh-CN"/>
          <w14:textFill>
            <w14:solidFill>
              <w14:schemeClr w14:val="tx1"/>
            </w14:solidFill>
          </w14:textFill>
        </w:rPr>
      </w:pPr>
      <w:bookmarkStart w:id="2" w:name="_Toc13265"/>
      <w:r>
        <w:rPr>
          <w:rFonts w:hint="eastAsia" w:ascii="宋体" w:hAnsi="宋体"/>
          <w:color w:val="000000" w:themeColor="text1"/>
          <w:sz w:val="32"/>
          <w:szCs w:val="32"/>
          <w:highlight w:val="none"/>
          <w:lang w:val="zh-CN"/>
          <w14:textFill>
            <w14:solidFill>
              <w14:schemeClr w14:val="tx1"/>
            </w14:solidFill>
          </w14:textFill>
        </w:rPr>
        <w:t>账    号：1299</w:t>
      </w:r>
      <w:r>
        <w:rPr>
          <w:rFonts w:ascii="宋体" w:hAnsi="宋体"/>
          <w:color w:val="000000" w:themeColor="text1"/>
          <w:sz w:val="32"/>
          <w:szCs w:val="32"/>
          <w:highlight w:val="none"/>
          <w:lang w:val="zh-CN"/>
          <w14:textFill>
            <w14:solidFill>
              <w14:schemeClr w14:val="tx1"/>
            </w14:solidFill>
          </w14:textFill>
        </w:rPr>
        <w:t xml:space="preserve"> </w:t>
      </w:r>
      <w:r>
        <w:rPr>
          <w:rFonts w:hint="eastAsia" w:ascii="宋体" w:hAnsi="宋体"/>
          <w:color w:val="000000" w:themeColor="text1"/>
          <w:sz w:val="32"/>
          <w:szCs w:val="32"/>
          <w:highlight w:val="none"/>
          <w:lang w:val="zh-CN"/>
          <w14:textFill>
            <w14:solidFill>
              <w14:schemeClr w14:val="tx1"/>
            </w14:solidFill>
          </w14:textFill>
        </w:rPr>
        <w:t>0406</w:t>
      </w:r>
      <w:r>
        <w:rPr>
          <w:rFonts w:ascii="宋体" w:hAnsi="宋体"/>
          <w:color w:val="000000" w:themeColor="text1"/>
          <w:sz w:val="32"/>
          <w:szCs w:val="32"/>
          <w:highlight w:val="none"/>
          <w:lang w:val="zh-CN"/>
          <w14:textFill>
            <w14:solidFill>
              <w14:schemeClr w14:val="tx1"/>
            </w14:solidFill>
          </w14:textFill>
        </w:rPr>
        <w:t xml:space="preserve"> </w:t>
      </w:r>
      <w:r>
        <w:rPr>
          <w:rFonts w:hint="eastAsia" w:ascii="宋体" w:hAnsi="宋体"/>
          <w:color w:val="000000" w:themeColor="text1"/>
          <w:sz w:val="32"/>
          <w:szCs w:val="32"/>
          <w:highlight w:val="none"/>
          <w:lang w:val="zh-CN"/>
          <w14:textFill>
            <w14:solidFill>
              <w14:schemeClr w14:val="tx1"/>
            </w14:solidFill>
          </w14:textFill>
        </w:rPr>
        <w:t>4810</w:t>
      </w:r>
      <w:r>
        <w:rPr>
          <w:rFonts w:ascii="宋体" w:hAnsi="宋体"/>
          <w:color w:val="000000" w:themeColor="text1"/>
          <w:sz w:val="32"/>
          <w:szCs w:val="32"/>
          <w:highlight w:val="none"/>
          <w:lang w:val="zh-CN"/>
          <w14:textFill>
            <w14:solidFill>
              <w14:schemeClr w14:val="tx1"/>
            </w14:solidFill>
          </w14:textFill>
        </w:rPr>
        <w:t xml:space="preserve"> </w:t>
      </w:r>
      <w:r>
        <w:rPr>
          <w:rFonts w:hint="eastAsia" w:ascii="宋体" w:hAnsi="宋体"/>
          <w:color w:val="000000" w:themeColor="text1"/>
          <w:sz w:val="32"/>
          <w:szCs w:val="32"/>
          <w:highlight w:val="none"/>
          <w:lang w:val="zh-CN"/>
          <w14:textFill>
            <w14:solidFill>
              <w14:schemeClr w14:val="tx1"/>
            </w14:solidFill>
          </w14:textFill>
        </w:rPr>
        <w:t>902</w:t>
      </w:r>
      <w:bookmarkEnd w:id="2"/>
    </w:p>
    <w:p w14:paraId="57D2D314">
      <w:pPr>
        <w:widowControl/>
        <w:spacing w:line="540" w:lineRule="exact"/>
        <w:ind w:right="-197" w:rightChars="-94" w:firstLine="945" w:firstLineChars="45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br w:type="page"/>
      </w:r>
    </w:p>
    <w:sdt>
      <w:sdtPr>
        <w:rPr>
          <w:rFonts w:hint="eastAsia" w:ascii="宋体" w:hAnsi="宋体" w:eastAsiaTheme="minorEastAsia" w:cstheme="minorBidi"/>
          <w:b/>
          <w:bCs/>
          <w:color w:val="000000" w:themeColor="text1"/>
          <w:kern w:val="0"/>
          <w:sz w:val="44"/>
          <w:szCs w:val="44"/>
          <w:highlight w:val="none"/>
          <w:lang w:val="zh-CN"/>
          <w14:textFill>
            <w14:solidFill>
              <w14:schemeClr w14:val="tx1"/>
            </w14:solidFill>
          </w14:textFill>
        </w:rPr>
        <w:id w:val="147467946"/>
      </w:sdtPr>
      <w:sdtEndPr>
        <w:rPr>
          <w:rFonts w:hint="eastAsia" w:asciiTheme="minorEastAsia" w:hAnsiTheme="minorEastAsia" w:eastAsiaTheme="minorEastAsia" w:cstheme="minorEastAsia"/>
          <w:b/>
          <w:bCs/>
          <w:color w:val="000000" w:themeColor="text1"/>
          <w:kern w:val="0"/>
          <w:sz w:val="24"/>
          <w:szCs w:val="24"/>
          <w:highlight w:val="none"/>
          <w:lang w:val="zh-CN"/>
          <w14:textFill>
            <w14:solidFill>
              <w14:schemeClr w14:val="tx1"/>
            </w14:solidFill>
          </w14:textFill>
        </w:rPr>
      </w:sdtEndPr>
      <w:sdtContent>
        <w:p w14:paraId="4DF88653">
          <w:pPr>
            <w:spacing w:before="240" w:beforeLines="100" w:line="360" w:lineRule="auto"/>
            <w:jc w:val="center"/>
            <w:rPr>
              <w:rFonts w:hint="eastAsia" w:ascii="宋体" w:hAnsi="宋体"/>
              <w:b/>
              <w:bCs/>
              <w:color w:val="000000" w:themeColor="text1"/>
              <w:sz w:val="44"/>
              <w:szCs w:val="44"/>
              <w:highlight w:val="none"/>
              <w:lang w:val="zh-CN"/>
              <w14:textFill>
                <w14:solidFill>
                  <w14:schemeClr w14:val="tx1"/>
                </w14:solidFill>
              </w14:textFill>
            </w:rPr>
          </w:pPr>
          <w:r>
            <w:rPr>
              <w:rFonts w:hint="eastAsia" w:ascii="宋体" w:hAnsi="宋体"/>
              <w:b/>
              <w:bCs/>
              <w:color w:val="000000" w:themeColor="text1"/>
              <w:sz w:val="44"/>
              <w:szCs w:val="44"/>
              <w:highlight w:val="none"/>
              <w:lang w:val="zh-CN"/>
              <w14:textFill>
                <w14:solidFill>
                  <w14:schemeClr w14:val="tx1"/>
                </w14:solidFill>
              </w14:textFill>
            </w:rPr>
            <w:t>目 录</w:t>
          </w:r>
        </w:p>
        <w:sdt>
          <w:sdtPr>
            <w:rPr>
              <w:rFonts w:ascii="宋体" w:hAnsi="宋体" w:eastAsiaTheme="minorEastAsia" w:cstheme="minorBidi"/>
              <w:color w:val="000000" w:themeColor="text1"/>
              <w:kern w:val="0"/>
              <w:sz w:val="20"/>
              <w:szCs w:val="20"/>
              <w:highlight w:val="none"/>
              <w14:textFill>
                <w14:solidFill>
                  <w14:schemeClr w14:val="tx1"/>
                </w14:solidFill>
              </w14:textFill>
            </w:rPr>
            <w:id w:val="426560327"/>
            <w:docPartObj>
              <w:docPartGallery w:val="Table of Contents"/>
              <w:docPartUnique/>
            </w:docPartObj>
          </w:sdtPr>
          <w:sdtEndPr>
            <w:rPr>
              <w:rFonts w:ascii="宋体" w:hAnsi="宋体" w:eastAsiaTheme="minorEastAsia" w:cstheme="minorBidi"/>
              <w:b/>
              <w:color w:val="000000" w:themeColor="text1"/>
              <w:kern w:val="0"/>
              <w:sz w:val="20"/>
              <w:szCs w:val="20"/>
              <w:highlight w:val="none"/>
              <w14:textFill>
                <w14:solidFill>
                  <w14:schemeClr w14:val="tx1"/>
                </w14:solidFill>
              </w14:textFill>
            </w:rPr>
          </w:sdtEndPr>
          <w:sdtContent>
            <w:p w14:paraId="5245F2BF">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TOC \o "1-2" \h \u </w:instrText>
              </w:r>
              <w:r>
                <w:rPr>
                  <w:rFonts w:hint="eastAsia" w:ascii="宋体" w:hAnsi="宋体" w:cs="宋体"/>
                  <w:color w:val="000000" w:themeColor="text1"/>
                  <w:sz w:val="24"/>
                  <w:highlight w:val="none"/>
                  <w14:textFill>
                    <w14:solidFill>
                      <w14:schemeClr w14:val="tx1"/>
                    </w14:solidFill>
                  </w14:textFill>
                </w:rPr>
                <w:fldChar w:fldCharType="separate"/>
              </w:r>
            </w:p>
            <w:p w14:paraId="607E65FF">
              <w:pPr>
                <w:pStyle w:val="22"/>
                <w:tabs>
                  <w:tab w:val="right" w:leader="dot" w:pos="8959"/>
                </w:tabs>
                <w:spacing w:line="360" w:lineRule="auto"/>
                <w:rPr>
                  <w:rFonts w:hint="eastAsia" w:ascii="宋体" w:hAnsi="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"_Toc8670"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kern w:val="44"/>
                  <w:sz w:val="24"/>
                  <w:highlight w:val="none"/>
                  <w14:textFill>
                    <w14:solidFill>
                      <w14:schemeClr w14:val="tx1"/>
                    </w14:solidFill>
                  </w14:textFill>
                </w:rPr>
                <w:t>第一</w:t>
              </w:r>
              <w:r>
                <w:rPr>
                  <w:rFonts w:hint="eastAsia" w:ascii="宋体" w:hAnsi="宋体" w:cs="宋体"/>
                  <w:color w:val="000000" w:themeColor="text1"/>
                  <w:sz w:val="24"/>
                  <w:highlight w:val="none"/>
                  <w14:textFill>
                    <w14:solidFill>
                      <w14:schemeClr w14:val="tx1"/>
                    </w14:solidFill>
                  </w14:textFill>
                </w:rPr>
                <w:t>章 招标公告</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PAGEREF _Toc8670 \h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fldChar w:fldCharType="end"/>
              </w:r>
            </w:p>
            <w:p w14:paraId="6C1BD4F4">
              <w:pPr>
                <w:pStyle w:val="22"/>
                <w:tabs>
                  <w:tab w:val="right" w:leader="dot" w:pos="8959"/>
                </w:tabs>
                <w:spacing w:line="360" w:lineRule="auto"/>
                <w:rPr>
                  <w:rFonts w:hint="eastAsia" w:ascii="宋体" w:hAnsi="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"_Toc30376"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kern w:val="44"/>
                  <w:sz w:val="24"/>
                  <w:highlight w:val="none"/>
                  <w14:textFill>
                    <w14:solidFill>
                      <w14:schemeClr w14:val="tx1"/>
                    </w14:solidFill>
                  </w14:textFill>
                </w:rPr>
                <w:t>第二</w:t>
              </w:r>
              <w:r>
                <w:rPr>
                  <w:rFonts w:hint="eastAsia" w:ascii="宋体" w:hAnsi="宋体" w:cs="宋体"/>
                  <w:color w:val="000000" w:themeColor="text1"/>
                  <w:sz w:val="24"/>
                  <w:highlight w:val="none"/>
                  <w14:textFill>
                    <w14:solidFill>
                      <w14:schemeClr w14:val="tx1"/>
                    </w14:solidFill>
                  </w14:textFill>
                </w:rPr>
                <w:t>章 投标人须知</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PAGEREF _Toc30376 \h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fldChar w:fldCharType="end"/>
              </w:r>
            </w:p>
            <w:p w14:paraId="02C5955F">
              <w:pPr>
                <w:pStyle w:val="22"/>
                <w:tabs>
                  <w:tab w:val="right" w:leader="dot" w:pos="8959"/>
                </w:tabs>
                <w:spacing w:line="360" w:lineRule="auto"/>
                <w:rPr>
                  <w:rFonts w:hint="eastAsia" w:ascii="宋体" w:hAnsi="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"_Toc18857"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第三章 评标办法</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PAGEREF _Toc18857 \h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34</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fldChar w:fldCharType="end"/>
              </w:r>
            </w:p>
            <w:p w14:paraId="71001362">
              <w:pPr>
                <w:pStyle w:val="22"/>
                <w:tabs>
                  <w:tab w:val="right" w:leader="dot" w:pos="8959"/>
                </w:tabs>
                <w:spacing w:line="360" w:lineRule="auto"/>
                <w:rPr>
                  <w:rFonts w:hint="eastAsia" w:ascii="宋体" w:hAnsi="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"_Toc21748"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第四章 采购需求</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PAGEREF _Toc21748 \h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43</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fldChar w:fldCharType="end"/>
              </w:r>
            </w:p>
            <w:p w14:paraId="2AF48773">
              <w:pPr>
                <w:pStyle w:val="22"/>
                <w:tabs>
                  <w:tab w:val="right" w:leader="dot" w:pos="8959"/>
                </w:tabs>
                <w:spacing w:line="360" w:lineRule="auto"/>
                <w:rPr>
                  <w:rFonts w:hint="eastAsia" w:ascii="宋体" w:hAnsi="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"_Toc26741"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第五章 政府采购合同格式</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PAGEREF _Toc26741 \h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48</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fldChar w:fldCharType="end"/>
              </w:r>
            </w:p>
            <w:p w14:paraId="01FD001A">
              <w:pPr>
                <w:pStyle w:val="22"/>
                <w:tabs>
                  <w:tab w:val="right" w:leader="dot" w:pos="8959"/>
                </w:tabs>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"_Toc16984"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第六章 投标文件格式</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PAGEREF _Toc16984 \h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48</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fldChar w:fldCharType="end"/>
              </w:r>
            </w:p>
            <w:p w14:paraId="61F99732">
              <w:pPr>
                <w:pStyle w:val="75"/>
                <w:tabs>
                  <w:tab w:val="right" w:leader="dot" w:pos="8959"/>
                </w:tabs>
                <w:spacing w:line="360" w:lineRule="auto"/>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fldChar w:fldCharType="end"/>
              </w:r>
            </w:p>
          </w:sdtContent>
        </w:sdt>
      </w:sdtContent>
    </w:sdt>
    <w:p w14:paraId="3F2A4A62">
      <w:pPr>
        <w:spacing w:line="400" w:lineRule="exact"/>
        <w:ind w:firstLine="420"/>
        <w:rPr>
          <w:rFonts w:hint="eastAsia" w:asciiTheme="minorEastAsia" w:hAnsiTheme="minorEastAsia" w:eastAsiaTheme="minorEastAsia" w:cstheme="minorEastAsia"/>
          <w:b/>
          <w:color w:val="000000" w:themeColor="text1"/>
          <w:kern w:val="44"/>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44"/>
          <w:sz w:val="24"/>
          <w:highlight w:val="none"/>
          <w14:textFill>
            <w14:solidFill>
              <w14:schemeClr w14:val="tx1"/>
            </w14:solidFill>
          </w14:textFill>
        </w:rPr>
        <w:br w:type="page"/>
      </w:r>
    </w:p>
    <w:p w14:paraId="54746DB0">
      <w:pPr>
        <w:pStyle w:val="7"/>
        <w:spacing w:before="240" w:beforeLines="100" w:line="360" w:lineRule="auto"/>
        <w:ind w:firstLine="0"/>
        <w:jc w:val="center"/>
        <w:outlineLvl w:val="0"/>
        <w:rPr>
          <w:rFonts w:hint="eastAsia" w:ascii="黑体" w:hAnsi="宋体" w:eastAsia="黑体"/>
          <w:color w:val="000000" w:themeColor="text1"/>
          <w:highlight w:val="none"/>
          <w14:textFill>
            <w14:solidFill>
              <w14:schemeClr w14:val="tx1"/>
            </w14:solidFill>
          </w14:textFill>
        </w:rPr>
      </w:pPr>
      <w:bookmarkStart w:id="3" w:name="_Toc8670"/>
      <w:bookmarkStart w:id="4" w:name="_Toc1299310768"/>
      <w:bookmarkStart w:id="5" w:name="_Toc12660"/>
      <w:r>
        <w:rPr>
          <w:rFonts w:hint="eastAsia" w:ascii="黑体" w:hAnsi="宋体" w:eastAsia="黑体"/>
          <w:b/>
          <w:color w:val="000000" w:themeColor="text1"/>
          <w:kern w:val="44"/>
          <w:sz w:val="44"/>
          <w:szCs w:val="44"/>
          <w:highlight w:val="none"/>
          <w14:textFill>
            <w14:solidFill>
              <w14:schemeClr w14:val="tx1"/>
            </w14:solidFill>
          </w14:textFill>
        </w:rPr>
        <w:t>第一</w:t>
      </w:r>
      <w:r>
        <w:rPr>
          <w:rFonts w:hint="eastAsia" w:ascii="黑体" w:hAnsi="宋体" w:eastAsia="黑体"/>
          <w:b/>
          <w:color w:val="000000" w:themeColor="text1"/>
          <w:sz w:val="44"/>
          <w:szCs w:val="44"/>
          <w:highlight w:val="none"/>
          <w14:textFill>
            <w14:solidFill>
              <w14:schemeClr w14:val="tx1"/>
            </w14:solidFill>
          </w14:textFill>
        </w:rPr>
        <w:t>章  招标公告</w:t>
      </w:r>
      <w:bookmarkEnd w:id="3"/>
      <w:bookmarkEnd w:id="4"/>
      <w:bookmarkEnd w:id="5"/>
    </w:p>
    <w:p w14:paraId="11A0DBD9">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项目概况</w:t>
      </w:r>
    </w:p>
    <w:p w14:paraId="631EBE51">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陕西测绘地理信息局既有住宅加装电梯项目（三期）首批工程（7号楼3单元、30号楼2单元、29号楼5、6单元）</w:t>
      </w:r>
      <w:r>
        <w:rPr>
          <w:rFonts w:hint="eastAsia" w:ascii="宋体" w:hAnsi="宋体"/>
          <w:color w:val="000000" w:themeColor="text1"/>
          <w:szCs w:val="21"/>
          <w:highlight w:val="none"/>
          <w14:textFill>
            <w14:solidFill>
              <w14:schemeClr w14:val="tx1"/>
            </w14:solidFill>
          </w14:textFill>
        </w:rPr>
        <w:t>采购项目的潜在投标人应在</w:t>
      </w:r>
      <w:r>
        <w:rPr>
          <w:rFonts w:hint="eastAsia" w:ascii="宋体" w:hAnsi="宋体"/>
          <w:color w:val="000000" w:themeColor="text1"/>
          <w:szCs w:val="21"/>
          <w:highlight w:val="none"/>
          <w:u w:val="single"/>
          <w14:textFill>
            <w14:solidFill>
              <w14:schemeClr w14:val="tx1"/>
            </w14:solidFill>
          </w14:textFill>
        </w:rPr>
        <w:t>陕西省西安市雁塔区雁翔路111号赛格·中京坊公寓A1单元2层招标一部</w:t>
      </w:r>
      <w:r>
        <w:rPr>
          <w:rFonts w:hint="eastAsia" w:ascii="宋体" w:hAnsi="宋体"/>
          <w:color w:val="000000" w:themeColor="text1"/>
          <w:szCs w:val="21"/>
          <w:highlight w:val="none"/>
          <w14:textFill>
            <w14:solidFill>
              <w14:schemeClr w14:val="tx1"/>
            </w14:solidFill>
          </w14:textFill>
        </w:rPr>
        <w:t>获取招标文件，并于</w:t>
      </w:r>
      <w:r>
        <w:rPr>
          <w:rFonts w:hint="eastAsia" w:ascii="宋体" w:hAnsi="宋体"/>
          <w:color w:val="000000" w:themeColor="text1"/>
          <w:szCs w:val="21"/>
          <w:highlight w:val="none"/>
          <w:u w:val="single"/>
          <w14:textFill>
            <w14:solidFill>
              <w14:schemeClr w14:val="tx1"/>
            </w14:solidFill>
          </w14:textFill>
        </w:rPr>
        <w:t>2026</w:t>
      </w:r>
      <w:r>
        <w:rPr>
          <w:rFonts w:hint="eastAsia" w:ascii="宋体" w:hAnsi="宋体"/>
          <w:bCs/>
          <w:color w:val="000000" w:themeColor="text1"/>
          <w:szCs w:val="21"/>
          <w:highlight w:val="none"/>
          <w:u w:val="single"/>
          <w14:textFill>
            <w14:solidFill>
              <w14:schemeClr w14:val="tx1"/>
            </w14:solidFill>
          </w14:textFill>
        </w:rPr>
        <w:t>年</w:t>
      </w:r>
      <w:r>
        <w:rPr>
          <w:rFonts w:hint="eastAsia" w:ascii="宋体" w:hAnsi="宋体"/>
          <w:bCs/>
          <w:color w:val="000000" w:themeColor="text1"/>
          <w:szCs w:val="21"/>
          <w:highlight w:val="none"/>
          <w:u w:val="single"/>
          <w:lang w:val="en-US" w:eastAsia="zh-CN"/>
          <w14:textFill>
            <w14:solidFill>
              <w14:schemeClr w14:val="tx1"/>
            </w14:solidFill>
          </w14:textFill>
        </w:rPr>
        <w:t>10</w:t>
      </w:r>
      <w:r>
        <w:rPr>
          <w:rFonts w:hint="eastAsia" w:ascii="宋体" w:hAnsi="宋体"/>
          <w:bCs/>
          <w:color w:val="000000" w:themeColor="text1"/>
          <w:szCs w:val="21"/>
          <w:highlight w:val="none"/>
          <w:u w:val="single"/>
          <w14:textFill>
            <w14:solidFill>
              <w14:schemeClr w14:val="tx1"/>
            </w14:solidFill>
          </w14:textFill>
        </w:rPr>
        <w:t>月</w:t>
      </w:r>
      <w:r>
        <w:rPr>
          <w:rFonts w:hint="eastAsia" w:ascii="宋体" w:hAnsi="宋体"/>
          <w:bCs/>
          <w:color w:val="000000" w:themeColor="text1"/>
          <w:szCs w:val="21"/>
          <w:highlight w:val="none"/>
          <w:u w:val="single"/>
          <w:lang w:val="en-US" w:eastAsia="zh-CN"/>
          <w14:textFill>
            <w14:solidFill>
              <w14:schemeClr w14:val="tx1"/>
            </w14:solidFill>
          </w14:textFill>
        </w:rPr>
        <w:t>09</w:t>
      </w:r>
      <w:r>
        <w:rPr>
          <w:rFonts w:hint="eastAsia" w:ascii="宋体" w:hAnsi="宋体"/>
          <w:bCs/>
          <w:color w:val="000000" w:themeColor="text1"/>
          <w:szCs w:val="21"/>
          <w:highlight w:val="none"/>
          <w:u w:val="single"/>
          <w14:textFill>
            <w14:solidFill>
              <w14:schemeClr w14:val="tx1"/>
            </w14:solidFill>
          </w14:textFill>
        </w:rPr>
        <w:t>日</w:t>
      </w:r>
      <w:r>
        <w:rPr>
          <w:rFonts w:hint="eastAsia" w:ascii="宋体" w:hAnsi="宋体"/>
          <w:bCs/>
          <w:color w:val="000000" w:themeColor="text1"/>
          <w:szCs w:val="21"/>
          <w:highlight w:val="none"/>
          <w:u w:val="single"/>
          <w:lang w:val="en-US" w:eastAsia="zh-CN"/>
          <w14:textFill>
            <w14:solidFill>
              <w14:schemeClr w14:val="tx1"/>
            </w14:solidFill>
          </w14:textFill>
        </w:rPr>
        <w:t>0</w:t>
      </w:r>
      <w:r>
        <w:rPr>
          <w:rFonts w:hint="eastAsia" w:ascii="宋体" w:hAnsi="宋体"/>
          <w:bCs/>
          <w:color w:val="000000" w:themeColor="text1"/>
          <w:szCs w:val="21"/>
          <w:highlight w:val="none"/>
          <w:u w:val="single"/>
          <w14:textFill>
            <w14:solidFill>
              <w14:schemeClr w14:val="tx1"/>
            </w14:solidFill>
          </w14:textFill>
        </w:rPr>
        <w:t>9时</w:t>
      </w:r>
      <w:r>
        <w:rPr>
          <w:rFonts w:hint="eastAsia" w:ascii="宋体" w:hAnsi="宋体"/>
          <w:bCs/>
          <w:color w:val="000000" w:themeColor="text1"/>
          <w:szCs w:val="21"/>
          <w:highlight w:val="none"/>
          <w:u w:val="single"/>
          <w:lang w:val="en-US" w:eastAsia="zh-CN"/>
          <w14:textFill>
            <w14:solidFill>
              <w14:schemeClr w14:val="tx1"/>
            </w14:solidFill>
          </w14:textFill>
        </w:rPr>
        <w:t>3</w:t>
      </w:r>
      <w:r>
        <w:rPr>
          <w:rFonts w:hint="eastAsia" w:ascii="宋体" w:hAnsi="宋体"/>
          <w:bCs/>
          <w:color w:val="000000" w:themeColor="text1"/>
          <w:szCs w:val="21"/>
          <w:highlight w:val="none"/>
          <w:u w:val="single"/>
          <w14:textFill>
            <w14:solidFill>
              <w14:schemeClr w14:val="tx1"/>
            </w14:solidFill>
          </w14:textFill>
        </w:rPr>
        <w:t>0分</w:t>
      </w:r>
      <w:r>
        <w:rPr>
          <w:rFonts w:hint="eastAsia" w:ascii="宋体" w:hAnsi="宋体"/>
          <w:bCs/>
          <w:color w:val="000000" w:themeColor="text1"/>
          <w:szCs w:val="21"/>
          <w:highlight w:val="none"/>
          <w14:textFill>
            <w14:solidFill>
              <w14:schemeClr w14:val="tx1"/>
            </w14:solidFill>
          </w14:textFill>
        </w:rPr>
        <w:t>（北京时间）前提交投标文件</w:t>
      </w:r>
      <w:r>
        <w:rPr>
          <w:rFonts w:hint="eastAsia" w:ascii="宋体" w:hAnsi="宋体"/>
          <w:color w:val="000000" w:themeColor="text1"/>
          <w:szCs w:val="21"/>
          <w:highlight w:val="none"/>
          <w14:textFill>
            <w14:solidFill>
              <w14:schemeClr w14:val="tx1"/>
            </w14:solidFill>
          </w14:textFill>
        </w:rPr>
        <w:t>。</w:t>
      </w:r>
    </w:p>
    <w:p w14:paraId="2D7802E4">
      <w:pPr>
        <w:widowControl/>
        <w:tabs>
          <w:tab w:val="left" w:pos="1620"/>
        </w:tabs>
        <w:spacing w:line="360" w:lineRule="auto"/>
        <w:ind w:right="-197" w:rightChars="-94" w:firstLine="482" w:firstLineChars="200"/>
        <w:jc w:val="left"/>
        <w:outlineLvl w:val="1"/>
        <w:rPr>
          <w:rFonts w:hint="eastAsia" w:ascii="宋体" w:hAnsi="宋体"/>
          <w:b/>
          <w:color w:val="000000" w:themeColor="text1"/>
          <w:kern w:val="0"/>
          <w:sz w:val="24"/>
          <w:highlight w:val="none"/>
          <w14:textFill>
            <w14:solidFill>
              <w14:schemeClr w14:val="tx1"/>
            </w14:solidFill>
          </w14:textFill>
        </w:rPr>
      </w:pPr>
      <w:bookmarkStart w:id="6" w:name="_Toc1902355080"/>
      <w:bookmarkStart w:id="7" w:name="_Toc9183"/>
      <w:r>
        <w:rPr>
          <w:rFonts w:hint="eastAsia" w:ascii="宋体" w:hAnsi="宋体"/>
          <w:b/>
          <w:color w:val="000000" w:themeColor="text1"/>
          <w:kern w:val="0"/>
          <w:sz w:val="24"/>
          <w:highlight w:val="none"/>
          <w14:textFill>
            <w14:solidFill>
              <w14:schemeClr w14:val="tx1"/>
            </w14:solidFill>
          </w14:textFill>
        </w:rPr>
        <w:t>一、项目基本情况：</w:t>
      </w:r>
      <w:bookmarkEnd w:id="6"/>
      <w:bookmarkEnd w:id="7"/>
    </w:p>
    <w:p w14:paraId="7013BA05">
      <w:pPr>
        <w:widowControl/>
        <w:tabs>
          <w:tab w:val="left" w:pos="1620"/>
        </w:tabs>
        <w:spacing w:line="360" w:lineRule="auto"/>
        <w:ind w:right="-197" w:rightChars="-94"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项目编号：SXLX26-01-043Z(G)</w:t>
      </w:r>
    </w:p>
    <w:p w14:paraId="3FD43FD0">
      <w:pPr>
        <w:widowControl/>
        <w:tabs>
          <w:tab w:val="left" w:pos="1620"/>
        </w:tabs>
        <w:spacing w:line="360" w:lineRule="auto"/>
        <w:ind w:right="-197" w:rightChars="-94" w:firstLine="420" w:firstLineChars="200"/>
        <w:jc w:val="left"/>
        <w:rPr>
          <w:rFonts w:asci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项目名称：</w:t>
      </w:r>
      <w:bookmarkStart w:id="1141" w:name="_GoBack"/>
      <w:r>
        <w:rPr>
          <w:rFonts w:hint="eastAsia" w:ascii="宋体" w:hAnsi="宋体"/>
          <w:color w:val="000000" w:themeColor="text1"/>
          <w:kern w:val="0"/>
          <w:szCs w:val="21"/>
          <w:highlight w:val="none"/>
          <w14:textFill>
            <w14:solidFill>
              <w14:schemeClr w14:val="tx1"/>
            </w14:solidFill>
          </w14:textFill>
        </w:rPr>
        <w:t>陕西测绘地理信息局既有住宅加装电梯项目（三期）首批工程</w:t>
      </w:r>
      <w:r>
        <w:rPr>
          <w:rFonts w:hint="eastAsia" w:ascii="宋体"/>
          <w:color w:val="000000" w:themeColor="text1"/>
          <w:kern w:val="0"/>
          <w:szCs w:val="21"/>
          <w:highlight w:val="none"/>
          <w14:textFill>
            <w14:solidFill>
              <w14:schemeClr w14:val="tx1"/>
            </w14:solidFill>
          </w14:textFill>
        </w:rPr>
        <w:t>（7号楼3单元、30号楼2单元、29号楼5、6单元）</w:t>
      </w:r>
    </w:p>
    <w:bookmarkEnd w:id="1141"/>
    <w:p w14:paraId="4CA0DAEA">
      <w:pPr>
        <w:widowControl/>
        <w:tabs>
          <w:tab w:val="left" w:pos="1620"/>
        </w:tabs>
        <w:spacing w:line="360" w:lineRule="auto"/>
        <w:ind w:right="-197" w:rightChars="-94"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采购方式：公开招标</w:t>
      </w:r>
    </w:p>
    <w:p w14:paraId="51FB205E">
      <w:pPr>
        <w:widowControl/>
        <w:tabs>
          <w:tab w:val="left" w:pos="1620"/>
        </w:tabs>
        <w:spacing w:line="360" w:lineRule="auto"/>
        <w:ind w:right="-197" w:rightChars="-94"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预算金额：365</w:t>
      </w:r>
      <w:r>
        <w:rPr>
          <w:rFonts w:hint="eastAsia" w:ascii="宋体" w:hAnsi="宋体"/>
          <w:color w:val="000000" w:themeColor="text1"/>
          <w:kern w:val="0"/>
          <w:szCs w:val="21"/>
          <w:highlight w:val="none"/>
          <w:lang w:val="en-US" w:eastAsia="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609322</w:t>
      </w:r>
      <w:r>
        <w:rPr>
          <w:rFonts w:hint="eastAsia" w:ascii="宋体" w:hAnsi="宋体"/>
          <w:color w:val="000000" w:themeColor="text1"/>
          <w:kern w:val="0"/>
          <w:szCs w:val="21"/>
          <w:highlight w:val="none"/>
          <w:lang w:val="en-US" w:eastAsia="zh-CN"/>
          <w14:textFill>
            <w14:solidFill>
              <w14:schemeClr w14:val="tx1"/>
            </w14:solidFill>
          </w14:textFill>
        </w:rPr>
        <w:t>万</w:t>
      </w:r>
      <w:r>
        <w:rPr>
          <w:rFonts w:hint="eastAsia" w:ascii="宋体" w:hAnsi="宋体"/>
          <w:color w:val="000000" w:themeColor="text1"/>
          <w:kern w:val="0"/>
          <w:szCs w:val="21"/>
          <w:highlight w:val="none"/>
          <w14:textFill>
            <w14:solidFill>
              <w14:schemeClr w14:val="tx1"/>
            </w14:solidFill>
          </w14:textFill>
        </w:rPr>
        <w:t>元</w:t>
      </w:r>
    </w:p>
    <w:p w14:paraId="2A159C6D">
      <w:pPr>
        <w:widowControl/>
        <w:tabs>
          <w:tab w:val="left" w:pos="1620"/>
        </w:tabs>
        <w:spacing w:line="360" w:lineRule="auto"/>
        <w:ind w:right="-197" w:rightChars="-94"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最高限价：345</w:t>
      </w:r>
      <w:r>
        <w:rPr>
          <w:rFonts w:hint="eastAsia" w:ascii="宋体" w:hAnsi="宋体"/>
          <w:color w:val="000000" w:themeColor="text1"/>
          <w:kern w:val="0"/>
          <w:szCs w:val="21"/>
          <w:highlight w:val="none"/>
          <w:lang w:val="en-US" w:eastAsia="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408995</w:t>
      </w:r>
      <w:r>
        <w:rPr>
          <w:rFonts w:hint="eastAsia" w:ascii="宋体" w:hAnsi="宋体"/>
          <w:color w:val="000000" w:themeColor="text1"/>
          <w:kern w:val="0"/>
          <w:szCs w:val="21"/>
          <w:highlight w:val="none"/>
          <w:lang w:val="en-US" w:eastAsia="zh-CN"/>
          <w14:textFill>
            <w14:solidFill>
              <w14:schemeClr w14:val="tx1"/>
            </w14:solidFill>
          </w14:textFill>
        </w:rPr>
        <w:t>万</w:t>
      </w:r>
      <w:r>
        <w:rPr>
          <w:rFonts w:hint="eastAsia" w:ascii="宋体" w:hAnsi="宋体"/>
          <w:color w:val="000000" w:themeColor="text1"/>
          <w:kern w:val="0"/>
          <w:szCs w:val="21"/>
          <w:highlight w:val="none"/>
          <w14:textFill>
            <w14:solidFill>
              <w14:schemeClr w14:val="tx1"/>
            </w14:solidFill>
          </w14:textFill>
        </w:rPr>
        <w:t xml:space="preserve">元 </w:t>
      </w:r>
      <w:r>
        <w:rPr>
          <w:rFonts w:ascii="宋体" w:hAnsi="宋体"/>
          <w:color w:val="000000" w:themeColor="text1"/>
          <w:kern w:val="0"/>
          <w:szCs w:val="21"/>
          <w:highlight w:val="none"/>
          <w14:textFill>
            <w14:solidFill>
              <w14:schemeClr w14:val="tx1"/>
            </w14:solidFill>
          </w14:textFill>
        </w:rPr>
        <w:t xml:space="preserve">    </w:t>
      </w:r>
    </w:p>
    <w:p w14:paraId="1A1ED91E">
      <w:pPr>
        <w:widowControl/>
        <w:tabs>
          <w:tab w:val="left" w:pos="1620"/>
        </w:tabs>
        <w:spacing w:line="360" w:lineRule="auto"/>
        <w:ind w:right="-197" w:rightChars="-94"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采购需求：三栋既有住宅楼4个单元加建电梯项目的建筑安装工程、电梯采购安装工程，电梯特种设备运行许可手续办理等，采用建筑施工和电梯设备采购总承包形式，本工程为交钥匙。其他内容详见招标文件第四章采购需求。</w:t>
      </w:r>
    </w:p>
    <w:p w14:paraId="2C7C0D5F">
      <w:pPr>
        <w:widowControl/>
        <w:tabs>
          <w:tab w:val="left" w:pos="1620"/>
        </w:tabs>
        <w:spacing w:line="360" w:lineRule="auto"/>
        <w:ind w:right="-197" w:rightChars="-94"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合同履行期限：150日历天，具体开工日期以发包人书面通知为准。</w:t>
      </w:r>
    </w:p>
    <w:p w14:paraId="2E19B534">
      <w:pPr>
        <w:widowControl/>
        <w:tabs>
          <w:tab w:val="left" w:pos="1620"/>
        </w:tabs>
        <w:spacing w:line="360" w:lineRule="auto"/>
        <w:ind w:right="-197" w:rightChars="-94" w:firstLine="482" w:firstLineChars="200"/>
        <w:jc w:val="left"/>
        <w:outlineLvl w:val="1"/>
        <w:rPr>
          <w:rFonts w:hint="eastAsia" w:ascii="宋体" w:hAnsi="宋体"/>
          <w:b/>
          <w:color w:val="000000" w:themeColor="text1"/>
          <w:kern w:val="0"/>
          <w:sz w:val="24"/>
          <w:highlight w:val="none"/>
          <w14:textFill>
            <w14:solidFill>
              <w14:schemeClr w14:val="tx1"/>
            </w14:solidFill>
          </w14:textFill>
        </w:rPr>
      </w:pPr>
      <w:bookmarkStart w:id="8" w:name="_Toc1145293024"/>
      <w:bookmarkStart w:id="9" w:name="_Toc22354"/>
      <w:r>
        <w:rPr>
          <w:rFonts w:hint="eastAsia" w:ascii="宋体" w:hAnsi="宋体"/>
          <w:b/>
          <w:color w:val="000000" w:themeColor="text1"/>
          <w:kern w:val="0"/>
          <w:sz w:val="24"/>
          <w:highlight w:val="none"/>
          <w14:textFill>
            <w14:solidFill>
              <w14:schemeClr w14:val="tx1"/>
            </w14:solidFill>
          </w14:textFill>
        </w:rPr>
        <w:t>二、 投标人的资格要求</w:t>
      </w:r>
      <w:bookmarkEnd w:id="8"/>
      <w:bookmarkEnd w:id="9"/>
    </w:p>
    <w:p w14:paraId="2B494E81">
      <w:pPr>
        <w:widowControl/>
        <w:tabs>
          <w:tab w:val="left" w:pos="1620"/>
        </w:tabs>
        <w:spacing w:line="360" w:lineRule="auto"/>
        <w:ind w:right="-197" w:rightChars="-94" w:firstLine="420" w:firstLineChars="200"/>
        <w:jc w:val="left"/>
        <w:rPr>
          <w:rFonts w:hint="eastAsia" w:ascii="宋体" w:hAnsi="宋体"/>
          <w:bCs/>
          <w:color w:val="000000" w:themeColor="text1"/>
          <w:kern w:val="0"/>
          <w:szCs w:val="21"/>
          <w:highlight w:val="none"/>
          <w14:textFill>
            <w14:solidFill>
              <w14:schemeClr w14:val="tx1"/>
            </w14:solidFill>
          </w14:textFill>
        </w:rPr>
      </w:pPr>
      <w:r>
        <w:rPr>
          <w:rFonts w:hint="eastAsia" w:ascii="宋体" w:hAnsi="宋体"/>
          <w:bCs/>
          <w:color w:val="000000" w:themeColor="text1"/>
          <w:kern w:val="0"/>
          <w:szCs w:val="21"/>
          <w:highlight w:val="none"/>
          <w14:textFill>
            <w14:solidFill>
              <w14:schemeClr w14:val="tx1"/>
            </w14:solidFill>
          </w14:textFill>
        </w:rPr>
        <w:t>1.满足《中华人民共和国政府采购法》第二十二条规定；</w:t>
      </w:r>
    </w:p>
    <w:p w14:paraId="365570B3">
      <w:pPr>
        <w:widowControl/>
        <w:tabs>
          <w:tab w:val="left" w:pos="1620"/>
        </w:tabs>
        <w:spacing w:line="360" w:lineRule="auto"/>
        <w:ind w:right="-197" w:rightChars="-94" w:firstLine="420" w:firstLineChars="200"/>
        <w:jc w:val="left"/>
        <w:rPr>
          <w:rFonts w:hint="eastAsia" w:ascii="宋体" w:hAnsi="宋体"/>
          <w:bCs/>
          <w:color w:val="000000" w:themeColor="text1"/>
          <w:kern w:val="0"/>
          <w:szCs w:val="21"/>
          <w:highlight w:val="none"/>
          <w14:textFill>
            <w14:solidFill>
              <w14:schemeClr w14:val="tx1"/>
            </w14:solidFill>
          </w14:textFill>
        </w:rPr>
      </w:pPr>
      <w:r>
        <w:rPr>
          <w:rFonts w:hint="eastAsia" w:ascii="宋体" w:hAnsi="宋体"/>
          <w:bCs/>
          <w:color w:val="000000" w:themeColor="text1"/>
          <w:kern w:val="0"/>
          <w:szCs w:val="21"/>
          <w:highlight w:val="none"/>
          <w14:textFill>
            <w14:solidFill>
              <w14:schemeClr w14:val="tx1"/>
            </w14:solidFill>
          </w14:textFill>
        </w:rPr>
        <w:t>2.落实政府采购政策需满足的资格要求：</w:t>
      </w:r>
      <w:r>
        <w:rPr>
          <w:rFonts w:hint="eastAsia" w:ascii="宋体" w:hAnsi="宋体" w:cs="宋体"/>
          <w:color w:val="000000" w:themeColor="text1"/>
          <w:highlight w:val="none"/>
          <w14:textFill>
            <w14:solidFill>
              <w14:schemeClr w14:val="tx1"/>
            </w14:solidFill>
          </w14:textFill>
        </w:rPr>
        <w:t>本项目专门面向中小企业采购，投标人应为符合政策要求的中小企业或者残疾人福利性单位或监狱企业</w:t>
      </w:r>
      <w:r>
        <w:rPr>
          <w:rFonts w:hint="eastAsia" w:ascii="宋体" w:hAnsi="宋体"/>
          <w:bCs/>
          <w:color w:val="000000" w:themeColor="text1"/>
          <w:kern w:val="0"/>
          <w:szCs w:val="21"/>
          <w:highlight w:val="none"/>
          <w14:textFill>
            <w14:solidFill>
              <w14:schemeClr w14:val="tx1"/>
            </w14:solidFill>
          </w14:textFill>
        </w:rPr>
        <w:t>。</w:t>
      </w:r>
    </w:p>
    <w:p w14:paraId="06D14199">
      <w:pPr>
        <w:pStyle w:val="98"/>
        <w:tabs>
          <w:tab w:val="left" w:leader="underscore" w:pos="3474"/>
        </w:tabs>
        <w:spacing w:line="360" w:lineRule="auto"/>
        <w:ind w:firstLine="420" w:firstLineChars="200"/>
        <w:rPr>
          <w:rFonts w:hint="eastAsia" w:cs="Times New Roman"/>
          <w:bCs/>
          <w:color w:val="000000" w:themeColor="text1"/>
          <w:sz w:val="21"/>
          <w:szCs w:val="22"/>
          <w:highlight w:val="none"/>
          <w:lang w:val="en-US" w:eastAsia="zh-CN"/>
          <w14:textFill>
            <w14:solidFill>
              <w14:schemeClr w14:val="tx1"/>
            </w14:solidFill>
          </w14:textFill>
        </w:rPr>
      </w:pPr>
      <w:r>
        <w:rPr>
          <w:rFonts w:hint="eastAsia" w:cs="Times New Roman"/>
          <w:bCs/>
          <w:color w:val="000000" w:themeColor="text1"/>
          <w:sz w:val="21"/>
          <w:szCs w:val="22"/>
          <w:highlight w:val="none"/>
          <w:lang w:val="en-US" w:eastAsia="zh-CN"/>
          <w14:textFill>
            <w14:solidFill>
              <w14:schemeClr w14:val="tx1"/>
            </w14:solidFill>
          </w14:textFill>
        </w:rPr>
        <w:t>3.本项目的特定资格要求：</w:t>
      </w:r>
    </w:p>
    <w:p w14:paraId="24CE3166">
      <w:pPr>
        <w:pStyle w:val="27"/>
        <w:spacing w:before="0" w:beforeAutospacing="0" w:after="0" w:afterAutospacing="0" w:line="348" w:lineRule="auto"/>
        <w:ind w:firstLine="420" w:firstLineChars="200"/>
        <w:jc w:val="both"/>
        <w:rPr>
          <w:rFonts w:hint="eastAsia" w:eastAsia="宋体"/>
          <w:bCs/>
          <w:color w:val="000000" w:themeColor="text1"/>
          <w:sz w:val="21"/>
          <w:szCs w:val="22"/>
          <w:highlight w:val="none"/>
          <w:lang w:eastAsia="zh-CN"/>
          <w14:textFill>
            <w14:solidFill>
              <w14:schemeClr w14:val="tx1"/>
            </w14:solidFill>
          </w14:textFill>
        </w:rPr>
      </w:pPr>
      <w:bookmarkStart w:id="10" w:name="_Toc1043926307"/>
      <w:r>
        <w:rPr>
          <w:rFonts w:hint="eastAsia"/>
          <w:bCs/>
          <w:color w:val="000000" w:themeColor="text1"/>
          <w:sz w:val="21"/>
          <w:szCs w:val="22"/>
          <w:highlight w:val="none"/>
          <w14:textFill>
            <w14:solidFill>
              <w14:schemeClr w14:val="tx1"/>
            </w14:solidFill>
          </w14:textFill>
        </w:rPr>
        <w:t>（1）投标人需具有建设部门颁发的建筑工程施工总承包三级及以上资质，具备有效的安全生产许可证</w:t>
      </w:r>
      <w:r>
        <w:rPr>
          <w:rFonts w:hint="eastAsia"/>
          <w:bCs/>
          <w:color w:val="000000" w:themeColor="text1"/>
          <w:sz w:val="21"/>
          <w:szCs w:val="22"/>
          <w:highlight w:val="none"/>
          <w:lang w:eastAsia="zh-CN"/>
          <w14:textFill>
            <w14:solidFill>
              <w14:schemeClr w14:val="tx1"/>
            </w14:solidFill>
          </w14:textFill>
        </w:rPr>
        <w:t>。</w:t>
      </w:r>
    </w:p>
    <w:p w14:paraId="1549CCFB">
      <w:pPr>
        <w:pStyle w:val="27"/>
        <w:spacing w:before="0" w:beforeAutospacing="0" w:after="0" w:afterAutospacing="0" w:line="348" w:lineRule="auto"/>
        <w:ind w:firstLine="420" w:firstLineChars="200"/>
        <w:jc w:val="both"/>
        <w:rPr>
          <w:rFonts w:hint="eastAsia" w:eastAsia="宋体"/>
          <w:bCs/>
          <w:color w:val="000000" w:themeColor="text1"/>
          <w:sz w:val="21"/>
          <w:szCs w:val="22"/>
          <w:highlight w:val="none"/>
          <w:lang w:eastAsia="zh-CN"/>
          <w14:textFill>
            <w14:solidFill>
              <w14:schemeClr w14:val="tx1"/>
            </w14:solidFill>
          </w14:textFill>
        </w:rPr>
      </w:pPr>
      <w:r>
        <w:rPr>
          <w:rFonts w:hint="eastAsia"/>
          <w:bCs/>
          <w:color w:val="000000" w:themeColor="text1"/>
          <w:sz w:val="21"/>
          <w:szCs w:val="22"/>
          <w:highlight w:val="none"/>
          <w14:textFill>
            <w14:solidFill>
              <w14:schemeClr w14:val="tx1"/>
            </w14:solidFill>
          </w14:textFill>
        </w:rPr>
        <w:t>（2）投标人拟派项目经理须具备建筑工程专业二级及以上注册建造师执业资格，具备有效的安全生产考核合格证书（建安B证），在本单位注册，且未担任其他在建工程项目的项目经理（提供承诺书）</w:t>
      </w:r>
      <w:r>
        <w:rPr>
          <w:rFonts w:hint="eastAsia"/>
          <w:bCs/>
          <w:color w:val="000000" w:themeColor="text1"/>
          <w:sz w:val="21"/>
          <w:szCs w:val="22"/>
          <w:highlight w:val="none"/>
          <w:lang w:eastAsia="zh-CN"/>
          <w14:textFill>
            <w14:solidFill>
              <w14:schemeClr w14:val="tx1"/>
            </w14:solidFill>
          </w14:textFill>
        </w:rPr>
        <w:t>。</w:t>
      </w:r>
    </w:p>
    <w:p w14:paraId="4B497221">
      <w:pPr>
        <w:pStyle w:val="27"/>
        <w:spacing w:before="0" w:beforeAutospacing="0" w:after="0" w:afterAutospacing="0" w:line="348" w:lineRule="auto"/>
        <w:ind w:firstLine="420" w:firstLineChars="200"/>
        <w:jc w:val="both"/>
        <w:rPr>
          <w:rFonts w:hint="eastAsia"/>
          <w:bCs/>
          <w:color w:val="000000" w:themeColor="text1"/>
          <w:sz w:val="21"/>
          <w:szCs w:val="22"/>
          <w:highlight w:val="none"/>
          <w14:textFill>
            <w14:solidFill>
              <w14:schemeClr w14:val="tx1"/>
            </w14:solidFill>
          </w14:textFill>
        </w:rPr>
      </w:pPr>
      <w:r>
        <w:rPr>
          <w:rFonts w:hint="eastAsia"/>
          <w:bCs/>
          <w:color w:val="000000" w:themeColor="text1"/>
          <w:sz w:val="21"/>
          <w:szCs w:val="22"/>
          <w:highlight w:val="none"/>
          <w14:textFill>
            <w14:solidFill>
              <w14:schemeClr w14:val="tx1"/>
            </w14:solidFill>
          </w14:textFill>
        </w:rPr>
        <w:t>（3）投标人的基本信息及项目经理的基本信息在“陕西省住房和城乡建设厅”（http://js.shaanxi.gov.cn/）或“陕西政务服务网”(https://zwfw.shaanxi.gov.cn/sx/public/index)官网可查询且无不良行为记录。</w:t>
      </w:r>
    </w:p>
    <w:p w14:paraId="477B6DAF">
      <w:pPr>
        <w:widowControl/>
        <w:tabs>
          <w:tab w:val="left" w:pos="1620"/>
        </w:tabs>
        <w:spacing w:line="360" w:lineRule="auto"/>
        <w:ind w:right="-197" w:rightChars="-94" w:firstLine="482" w:firstLineChars="200"/>
        <w:jc w:val="left"/>
        <w:outlineLvl w:val="1"/>
        <w:rPr>
          <w:rFonts w:hint="eastAsia" w:ascii="宋体" w:hAnsi="宋体"/>
          <w:b/>
          <w:color w:val="000000" w:themeColor="text1"/>
          <w:kern w:val="0"/>
          <w:sz w:val="24"/>
          <w:highlight w:val="none"/>
          <w14:textFill>
            <w14:solidFill>
              <w14:schemeClr w14:val="tx1"/>
            </w14:solidFill>
          </w14:textFill>
        </w:rPr>
      </w:pPr>
      <w:bookmarkStart w:id="11" w:name="_Toc14726"/>
      <w:r>
        <w:rPr>
          <w:rFonts w:hint="eastAsia" w:ascii="宋体" w:hAnsi="宋体"/>
          <w:b/>
          <w:color w:val="000000" w:themeColor="text1"/>
          <w:kern w:val="0"/>
          <w:sz w:val="24"/>
          <w:highlight w:val="none"/>
          <w14:textFill>
            <w14:solidFill>
              <w14:schemeClr w14:val="tx1"/>
            </w14:solidFill>
          </w14:textFill>
        </w:rPr>
        <w:t>三、 获取招标文件</w:t>
      </w:r>
      <w:bookmarkEnd w:id="10"/>
      <w:bookmarkEnd w:id="11"/>
    </w:p>
    <w:p w14:paraId="652B9D80">
      <w:pPr>
        <w:spacing w:line="360" w:lineRule="auto"/>
        <w:ind w:firstLine="420" w:firstLineChars="200"/>
        <w:rPr>
          <w:rFonts w:hint="eastAsia" w:hAnsi="宋体"/>
          <w:color w:val="000000" w:themeColor="text1"/>
          <w:kern w:val="0"/>
          <w:szCs w:val="21"/>
          <w:highlight w:val="none"/>
          <w14:textFill>
            <w14:solidFill>
              <w14:schemeClr w14:val="tx1"/>
            </w14:solidFill>
          </w14:textFill>
        </w:rPr>
      </w:pPr>
      <w:r>
        <w:rPr>
          <w:rFonts w:hint="eastAsia" w:hAnsi="宋体"/>
          <w:color w:val="000000" w:themeColor="text1"/>
          <w:kern w:val="0"/>
          <w:szCs w:val="21"/>
          <w:highlight w:val="none"/>
          <w14:textFill>
            <w14:solidFill>
              <w14:schemeClr w14:val="tx1"/>
            </w14:solidFill>
          </w14:textFill>
        </w:rPr>
        <w:t>时间：2026年</w:t>
      </w:r>
      <w:r>
        <w:rPr>
          <w:rFonts w:hint="eastAsia" w:hAnsi="宋体"/>
          <w:color w:val="000000" w:themeColor="text1"/>
          <w:kern w:val="0"/>
          <w:szCs w:val="21"/>
          <w:highlight w:val="none"/>
          <w:lang w:val="en-US" w:eastAsia="zh-CN"/>
          <w14:textFill>
            <w14:solidFill>
              <w14:schemeClr w14:val="tx1"/>
            </w14:solidFill>
          </w14:textFill>
        </w:rPr>
        <w:t>09</w:t>
      </w:r>
      <w:r>
        <w:rPr>
          <w:rFonts w:hint="eastAsia" w:hAnsi="宋体"/>
          <w:color w:val="000000" w:themeColor="text1"/>
          <w:kern w:val="0"/>
          <w:szCs w:val="21"/>
          <w:highlight w:val="none"/>
          <w14:textFill>
            <w14:solidFill>
              <w14:schemeClr w14:val="tx1"/>
            </w14:solidFill>
          </w14:textFill>
        </w:rPr>
        <w:t>月</w:t>
      </w:r>
      <w:r>
        <w:rPr>
          <w:rFonts w:hint="eastAsia" w:hAnsi="宋体"/>
          <w:color w:val="000000" w:themeColor="text1"/>
          <w:kern w:val="0"/>
          <w:szCs w:val="21"/>
          <w:highlight w:val="none"/>
          <w:lang w:val="en-US" w:eastAsia="zh-CN"/>
          <w14:textFill>
            <w14:solidFill>
              <w14:schemeClr w14:val="tx1"/>
            </w14:solidFill>
          </w14:textFill>
        </w:rPr>
        <w:t>15</w:t>
      </w:r>
      <w:r>
        <w:rPr>
          <w:rFonts w:hint="eastAsia" w:hAnsi="宋体"/>
          <w:color w:val="000000" w:themeColor="text1"/>
          <w:kern w:val="0"/>
          <w:szCs w:val="21"/>
          <w:highlight w:val="none"/>
          <w14:textFill>
            <w14:solidFill>
              <w14:schemeClr w14:val="tx1"/>
            </w14:solidFill>
          </w14:textFill>
        </w:rPr>
        <w:t>日至2026年</w:t>
      </w:r>
      <w:r>
        <w:rPr>
          <w:rFonts w:hint="eastAsia" w:hAnsi="宋体"/>
          <w:color w:val="000000" w:themeColor="text1"/>
          <w:kern w:val="0"/>
          <w:szCs w:val="21"/>
          <w:highlight w:val="none"/>
          <w:lang w:val="en-US" w:eastAsia="zh-CN"/>
          <w14:textFill>
            <w14:solidFill>
              <w14:schemeClr w14:val="tx1"/>
            </w14:solidFill>
          </w14:textFill>
        </w:rPr>
        <w:t>09</w:t>
      </w:r>
      <w:r>
        <w:rPr>
          <w:rFonts w:hint="eastAsia" w:hAnsi="宋体"/>
          <w:color w:val="000000" w:themeColor="text1"/>
          <w:kern w:val="0"/>
          <w:szCs w:val="21"/>
          <w:highlight w:val="none"/>
          <w14:textFill>
            <w14:solidFill>
              <w14:schemeClr w14:val="tx1"/>
            </w14:solidFill>
          </w14:textFill>
        </w:rPr>
        <w:t>月</w:t>
      </w:r>
      <w:r>
        <w:rPr>
          <w:rFonts w:hint="eastAsia" w:hAnsi="宋体"/>
          <w:color w:val="000000" w:themeColor="text1"/>
          <w:kern w:val="0"/>
          <w:szCs w:val="21"/>
          <w:highlight w:val="none"/>
          <w:lang w:val="en-US" w:eastAsia="zh-CN"/>
          <w14:textFill>
            <w14:solidFill>
              <w14:schemeClr w14:val="tx1"/>
            </w14:solidFill>
          </w14:textFill>
        </w:rPr>
        <w:t>21</w:t>
      </w:r>
      <w:r>
        <w:rPr>
          <w:rFonts w:hint="eastAsia" w:hAnsi="宋体"/>
          <w:color w:val="000000" w:themeColor="text1"/>
          <w:kern w:val="0"/>
          <w:szCs w:val="21"/>
          <w:highlight w:val="none"/>
          <w14:textFill>
            <w14:solidFill>
              <w14:schemeClr w14:val="tx1"/>
            </w14:solidFill>
          </w14:textFill>
        </w:rPr>
        <w:t>日，每天上午9:00至12:00，14:00至17:00（北京时间，法定节假日除外）</w:t>
      </w:r>
    </w:p>
    <w:p w14:paraId="554629EA">
      <w:pPr>
        <w:spacing w:line="360" w:lineRule="auto"/>
        <w:ind w:firstLine="420" w:firstLineChars="200"/>
        <w:rPr>
          <w:rFonts w:hint="eastAsia" w:hAnsi="宋体"/>
          <w:color w:val="000000" w:themeColor="text1"/>
          <w:kern w:val="0"/>
          <w:szCs w:val="21"/>
          <w:highlight w:val="none"/>
          <w14:textFill>
            <w14:solidFill>
              <w14:schemeClr w14:val="tx1"/>
            </w14:solidFill>
          </w14:textFill>
        </w:rPr>
      </w:pPr>
      <w:r>
        <w:rPr>
          <w:rFonts w:hint="eastAsia" w:hAnsi="宋体"/>
          <w:color w:val="000000" w:themeColor="text1"/>
          <w:kern w:val="0"/>
          <w:szCs w:val="21"/>
          <w:highlight w:val="none"/>
          <w14:textFill>
            <w14:solidFill>
              <w14:schemeClr w14:val="tx1"/>
            </w14:solidFill>
          </w14:textFill>
        </w:rPr>
        <w:t>地点：</w:t>
      </w:r>
      <w:r>
        <w:rPr>
          <w:rFonts w:hint="eastAsia" w:ascii="宋体" w:hAnsi="宋体" w:cs="宋体"/>
          <w:color w:val="000000" w:themeColor="text1"/>
          <w:kern w:val="0"/>
          <w:szCs w:val="21"/>
          <w:highlight w:val="none"/>
          <w14:textFill>
            <w14:solidFill>
              <w14:schemeClr w14:val="tx1"/>
            </w14:solidFill>
          </w14:textFill>
        </w:rPr>
        <w:t>陕西省西安市雁塔区雁翔路111号赛格·中京坊公寓A1单元2层招标一部</w:t>
      </w:r>
    </w:p>
    <w:p w14:paraId="7FC2DDDB">
      <w:pPr>
        <w:spacing w:line="360" w:lineRule="auto"/>
        <w:ind w:firstLine="420" w:firstLineChars="200"/>
        <w:rPr>
          <w:rFonts w:hint="eastAsia" w:hAnsi="宋体" w:eastAsia="宋体"/>
          <w:color w:val="000000" w:themeColor="text1"/>
          <w:kern w:val="0"/>
          <w:szCs w:val="21"/>
          <w:highlight w:val="none"/>
          <w:lang w:eastAsia="zh-CN"/>
          <w14:textFill>
            <w14:solidFill>
              <w14:schemeClr w14:val="tx1"/>
            </w14:solidFill>
          </w14:textFill>
        </w:rPr>
      </w:pPr>
      <w:r>
        <w:rPr>
          <w:rFonts w:hint="eastAsia" w:hAnsi="宋体"/>
          <w:color w:val="000000" w:themeColor="text1"/>
          <w:kern w:val="0"/>
          <w:szCs w:val="21"/>
          <w:highlight w:val="none"/>
          <w14:textFill>
            <w14:solidFill>
              <w14:schemeClr w14:val="tx1"/>
            </w14:solidFill>
          </w14:textFill>
        </w:rPr>
        <w:t>方式：现场获取</w:t>
      </w:r>
      <w:r>
        <w:rPr>
          <w:rFonts w:hint="eastAsia" w:hAnsi="宋体"/>
          <w:color w:val="000000" w:themeColor="text1"/>
          <w:kern w:val="0"/>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潜在投标人应在招标文件获取时间内，携带投标人出具的对获取人的授权委托书或介绍信（写明所购买项目的项目名称、项目编号）以及获取人的身份证复印件（加盖公章）到陕西省西安市雁塔区雁翔路111号赛格·中京坊公寓A1单元2层招标一部现场获取招标文件</w:t>
      </w:r>
      <w:r>
        <w:rPr>
          <w:rFonts w:hint="eastAsia" w:ascii="宋体" w:hAnsi="宋体" w:cs="宋体"/>
          <w:color w:val="000000" w:themeColor="text1"/>
          <w:kern w:val="0"/>
          <w:szCs w:val="21"/>
          <w:highlight w:val="none"/>
          <w:lang w:val="en-US" w:eastAsia="zh-CN"/>
          <w14:textFill>
            <w14:solidFill>
              <w14:schemeClr w14:val="tx1"/>
            </w14:solidFill>
          </w14:textFill>
        </w:rPr>
        <w:t>(招标文件费用采用</w:t>
      </w:r>
      <w:r>
        <w:rPr>
          <w:rFonts w:hint="eastAsia" w:hAnsi="宋体"/>
          <w:color w:val="000000" w:themeColor="text1"/>
          <w:kern w:val="0"/>
          <w:szCs w:val="21"/>
          <w:highlight w:val="none"/>
          <w14:textFill>
            <w14:solidFill>
              <w14:schemeClr w14:val="tx1"/>
            </w14:solidFill>
          </w14:textFill>
        </w:rPr>
        <w:t>现金或公对公转账缴纳</w:t>
      </w:r>
      <w:r>
        <w:rPr>
          <w:rFonts w:hint="eastAsia" w:hAnsi="宋体"/>
          <w:color w:val="000000" w:themeColor="text1"/>
          <w:kern w:val="0"/>
          <w:szCs w:val="21"/>
          <w:highlight w:val="none"/>
          <w:lang w:eastAsia="zh-CN"/>
          <w14:textFill>
            <w14:solidFill>
              <w14:schemeClr w14:val="tx1"/>
            </w14:solidFill>
          </w14:textFill>
        </w:rPr>
        <w:t>，</w:t>
      </w:r>
      <w:r>
        <w:rPr>
          <w:rFonts w:hint="eastAsia" w:hAnsi="宋体"/>
          <w:color w:val="000000" w:themeColor="text1"/>
          <w:kern w:val="0"/>
          <w:szCs w:val="21"/>
          <w:highlight w:val="none"/>
          <w14:textFill>
            <w14:solidFill>
              <w14:schemeClr w14:val="tx1"/>
            </w14:solidFill>
          </w14:textFill>
        </w:rPr>
        <w:t>售后不退</w:t>
      </w:r>
      <w:r>
        <w:rPr>
          <w:rFonts w:hint="eastAsia" w:ascii="宋体" w:hAnsi="宋体" w:cs="宋体"/>
          <w:color w:val="000000" w:themeColor="text1"/>
          <w:kern w:val="0"/>
          <w:szCs w:val="21"/>
          <w:highlight w:val="none"/>
          <w:lang w:val="en-US" w:eastAsia="zh-CN"/>
          <w14:textFill>
            <w14:solidFill>
              <w14:schemeClr w14:val="tx1"/>
            </w14:solidFill>
          </w14:textFill>
        </w:rPr>
        <w:t>)</w:t>
      </w:r>
      <w:r>
        <w:rPr>
          <w:rFonts w:hint="eastAsia" w:ascii="宋体" w:hAnsi="宋体" w:cs="宋体"/>
          <w:color w:val="000000" w:themeColor="text1"/>
          <w:kern w:val="0"/>
          <w:szCs w:val="21"/>
          <w:highlight w:val="none"/>
          <w:lang w:eastAsia="zh-CN"/>
          <w14:textFill>
            <w14:solidFill>
              <w14:schemeClr w14:val="tx1"/>
            </w14:solidFill>
          </w14:textFill>
        </w:rPr>
        <w:t>。</w:t>
      </w:r>
    </w:p>
    <w:p w14:paraId="71C61151">
      <w:pPr>
        <w:spacing w:line="360" w:lineRule="auto"/>
        <w:ind w:firstLine="420" w:firstLineChars="200"/>
        <w:rPr>
          <w:rFonts w:hint="eastAsia" w:hAnsi="宋体"/>
          <w:color w:val="000000" w:themeColor="text1"/>
          <w:kern w:val="0"/>
          <w:szCs w:val="21"/>
          <w:highlight w:val="none"/>
          <w14:textFill>
            <w14:solidFill>
              <w14:schemeClr w14:val="tx1"/>
            </w14:solidFill>
          </w14:textFill>
        </w:rPr>
      </w:pPr>
      <w:r>
        <w:rPr>
          <w:rFonts w:hint="eastAsia" w:hAnsi="宋体"/>
          <w:color w:val="000000" w:themeColor="text1"/>
          <w:kern w:val="0"/>
          <w:szCs w:val="21"/>
          <w:highlight w:val="none"/>
          <w14:textFill>
            <w14:solidFill>
              <w14:schemeClr w14:val="tx1"/>
            </w14:solidFill>
          </w14:textFill>
        </w:rPr>
        <w:t>售价：500元</w:t>
      </w:r>
      <w:r>
        <w:rPr>
          <w:rFonts w:hint="eastAsia" w:hAnsi="宋体"/>
          <w:color w:val="000000" w:themeColor="text1"/>
          <w:kern w:val="0"/>
          <w:szCs w:val="21"/>
          <w:highlight w:val="none"/>
          <w:lang w:val="en-US" w:eastAsia="zh-CN"/>
          <w14:textFill>
            <w14:solidFill>
              <w14:schemeClr w14:val="tx1"/>
            </w14:solidFill>
          </w14:textFill>
        </w:rPr>
        <w:t>/套</w:t>
      </w:r>
      <w:r>
        <w:rPr>
          <w:rFonts w:hint="eastAsia" w:hAnsi="宋体"/>
          <w:color w:val="000000" w:themeColor="text1"/>
          <w:kern w:val="0"/>
          <w:szCs w:val="21"/>
          <w:highlight w:val="none"/>
          <w14:textFill>
            <w14:solidFill>
              <w14:schemeClr w14:val="tx1"/>
            </w14:solidFill>
          </w14:textFill>
        </w:rPr>
        <w:t>。</w:t>
      </w:r>
    </w:p>
    <w:p w14:paraId="56934CE1">
      <w:pPr>
        <w:widowControl/>
        <w:tabs>
          <w:tab w:val="left" w:pos="1620"/>
        </w:tabs>
        <w:spacing w:line="360" w:lineRule="auto"/>
        <w:ind w:right="-197" w:rightChars="-94" w:firstLine="482" w:firstLineChars="200"/>
        <w:jc w:val="left"/>
        <w:outlineLvl w:val="1"/>
        <w:rPr>
          <w:rFonts w:hint="eastAsia" w:ascii="宋体" w:hAnsi="宋体"/>
          <w:b/>
          <w:color w:val="000000" w:themeColor="text1"/>
          <w:kern w:val="0"/>
          <w:sz w:val="24"/>
          <w:highlight w:val="none"/>
          <w14:textFill>
            <w14:solidFill>
              <w14:schemeClr w14:val="tx1"/>
            </w14:solidFill>
          </w14:textFill>
        </w:rPr>
      </w:pPr>
      <w:bookmarkStart w:id="12" w:name="_Toc328045759"/>
      <w:bookmarkStart w:id="13" w:name="_Toc25196"/>
      <w:r>
        <w:rPr>
          <w:rFonts w:hint="eastAsia" w:ascii="宋体" w:hAnsi="宋体"/>
          <w:b/>
          <w:color w:val="000000" w:themeColor="text1"/>
          <w:kern w:val="0"/>
          <w:sz w:val="24"/>
          <w:highlight w:val="none"/>
          <w14:textFill>
            <w14:solidFill>
              <w14:schemeClr w14:val="tx1"/>
            </w14:solidFill>
          </w14:textFill>
        </w:rPr>
        <w:t>四、 提交投标文件截止时间、开标时间和地点</w:t>
      </w:r>
      <w:bookmarkEnd w:id="12"/>
      <w:bookmarkEnd w:id="13"/>
    </w:p>
    <w:p w14:paraId="6BF948B3">
      <w:pPr>
        <w:widowControl/>
        <w:tabs>
          <w:tab w:val="left" w:pos="1620"/>
        </w:tabs>
        <w:spacing w:line="360" w:lineRule="auto"/>
        <w:ind w:right="-197" w:rightChars="-94"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时间：2026年</w:t>
      </w:r>
      <w:r>
        <w:rPr>
          <w:rFonts w:hint="eastAsia" w:ascii="宋体" w:hAnsi="宋体"/>
          <w:color w:val="000000" w:themeColor="text1"/>
          <w:kern w:val="0"/>
          <w:szCs w:val="21"/>
          <w:highlight w:val="none"/>
          <w:lang w:val="en-US" w:eastAsia="zh-CN"/>
          <w14:textFill>
            <w14:solidFill>
              <w14:schemeClr w14:val="tx1"/>
            </w14:solidFill>
          </w14:textFill>
        </w:rPr>
        <w:t>10</w:t>
      </w:r>
      <w:r>
        <w:rPr>
          <w:rFonts w:hint="eastAsia" w:ascii="宋体" w:hAnsi="宋体"/>
          <w:color w:val="000000" w:themeColor="text1"/>
          <w:kern w:val="0"/>
          <w:szCs w:val="21"/>
          <w:highlight w:val="none"/>
          <w14:textFill>
            <w14:solidFill>
              <w14:schemeClr w14:val="tx1"/>
            </w14:solidFill>
          </w14:textFill>
        </w:rPr>
        <w:t>月</w:t>
      </w:r>
      <w:r>
        <w:rPr>
          <w:rFonts w:hint="eastAsia" w:ascii="宋体" w:hAnsi="宋体"/>
          <w:color w:val="000000" w:themeColor="text1"/>
          <w:kern w:val="0"/>
          <w:szCs w:val="21"/>
          <w:highlight w:val="none"/>
          <w:lang w:val="en-US" w:eastAsia="zh-CN"/>
          <w14:textFill>
            <w14:solidFill>
              <w14:schemeClr w14:val="tx1"/>
            </w14:solidFill>
          </w14:textFill>
        </w:rPr>
        <w:t>09</w:t>
      </w:r>
      <w:r>
        <w:rPr>
          <w:rFonts w:hint="eastAsia" w:ascii="宋体" w:hAnsi="宋体"/>
          <w:color w:val="000000" w:themeColor="text1"/>
          <w:kern w:val="0"/>
          <w:szCs w:val="21"/>
          <w:highlight w:val="none"/>
          <w14:textFill>
            <w14:solidFill>
              <w14:schemeClr w14:val="tx1"/>
            </w14:solidFill>
          </w14:textFill>
        </w:rPr>
        <w:t>日</w:t>
      </w:r>
      <w:r>
        <w:rPr>
          <w:rFonts w:hint="eastAsia" w:ascii="宋体" w:hAnsi="宋体"/>
          <w:color w:val="000000" w:themeColor="text1"/>
          <w:kern w:val="0"/>
          <w:szCs w:val="21"/>
          <w:highlight w:val="none"/>
          <w:lang w:val="en-US" w:eastAsia="zh-CN"/>
          <w14:textFill>
            <w14:solidFill>
              <w14:schemeClr w14:val="tx1"/>
            </w14:solidFill>
          </w14:textFill>
        </w:rPr>
        <w:t>0</w:t>
      </w:r>
      <w:r>
        <w:rPr>
          <w:rFonts w:hint="eastAsia" w:ascii="宋体" w:hAnsi="宋体"/>
          <w:color w:val="000000" w:themeColor="text1"/>
          <w:kern w:val="0"/>
          <w:szCs w:val="21"/>
          <w:highlight w:val="none"/>
          <w14:textFill>
            <w14:solidFill>
              <w14:schemeClr w14:val="tx1"/>
            </w14:solidFill>
          </w14:textFill>
        </w:rPr>
        <w:t>9时</w:t>
      </w:r>
      <w:r>
        <w:rPr>
          <w:rFonts w:hint="eastAsia" w:ascii="宋体" w:hAnsi="宋体"/>
          <w:color w:val="000000" w:themeColor="text1"/>
          <w:kern w:val="0"/>
          <w:szCs w:val="21"/>
          <w:highlight w:val="none"/>
          <w:lang w:val="en-US" w:eastAsia="zh-CN"/>
          <w14:textFill>
            <w14:solidFill>
              <w14:schemeClr w14:val="tx1"/>
            </w14:solidFill>
          </w14:textFill>
        </w:rPr>
        <w:t>3</w:t>
      </w:r>
      <w:r>
        <w:rPr>
          <w:rFonts w:hint="eastAsia" w:ascii="宋体" w:hAnsi="宋体"/>
          <w:color w:val="000000" w:themeColor="text1"/>
          <w:kern w:val="0"/>
          <w:szCs w:val="21"/>
          <w:highlight w:val="none"/>
          <w14:textFill>
            <w14:solidFill>
              <w14:schemeClr w14:val="tx1"/>
            </w14:solidFill>
          </w14:textFill>
        </w:rPr>
        <w:t>0分（北京时间）</w:t>
      </w:r>
    </w:p>
    <w:p w14:paraId="5566E99F">
      <w:pPr>
        <w:widowControl/>
        <w:tabs>
          <w:tab w:val="left" w:pos="1620"/>
        </w:tabs>
        <w:spacing w:line="360" w:lineRule="auto"/>
        <w:ind w:right="-197" w:rightChars="-94"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地点：</w:t>
      </w:r>
      <w:r>
        <w:rPr>
          <w:rFonts w:hint="eastAsia" w:ascii="宋体" w:hAnsi="宋体" w:cs="宋体"/>
          <w:color w:val="000000" w:themeColor="text1"/>
          <w:kern w:val="0"/>
          <w:szCs w:val="21"/>
          <w:highlight w:val="none"/>
          <w14:textFill>
            <w14:solidFill>
              <w14:schemeClr w14:val="tx1"/>
            </w14:solidFill>
          </w14:textFill>
        </w:rPr>
        <w:t>陕西省西安市雁塔区雁翔路111号赛格·中京坊公寓A1单元2层第一会议室，纸质文件提交。</w:t>
      </w:r>
    </w:p>
    <w:p w14:paraId="681D567F">
      <w:pPr>
        <w:widowControl/>
        <w:tabs>
          <w:tab w:val="left" w:pos="1620"/>
        </w:tabs>
        <w:spacing w:line="360" w:lineRule="auto"/>
        <w:ind w:right="-197" w:rightChars="-94" w:firstLine="482" w:firstLineChars="200"/>
        <w:jc w:val="left"/>
        <w:outlineLvl w:val="1"/>
        <w:rPr>
          <w:rFonts w:hint="eastAsia" w:ascii="宋体" w:hAnsi="宋体"/>
          <w:b/>
          <w:color w:val="000000" w:themeColor="text1"/>
          <w:kern w:val="0"/>
          <w:sz w:val="24"/>
          <w:highlight w:val="none"/>
          <w14:textFill>
            <w14:solidFill>
              <w14:schemeClr w14:val="tx1"/>
            </w14:solidFill>
          </w14:textFill>
        </w:rPr>
      </w:pPr>
      <w:bookmarkStart w:id="14" w:name="_Toc874549664"/>
      <w:bookmarkStart w:id="15" w:name="_Toc27047"/>
      <w:r>
        <w:rPr>
          <w:rFonts w:hint="eastAsia" w:ascii="宋体" w:hAnsi="宋体"/>
          <w:b/>
          <w:color w:val="000000" w:themeColor="text1"/>
          <w:kern w:val="0"/>
          <w:sz w:val="24"/>
          <w:highlight w:val="none"/>
          <w14:textFill>
            <w14:solidFill>
              <w14:schemeClr w14:val="tx1"/>
            </w14:solidFill>
          </w14:textFill>
        </w:rPr>
        <w:t>五、公告期限</w:t>
      </w:r>
      <w:bookmarkEnd w:id="14"/>
      <w:bookmarkEnd w:id="15"/>
    </w:p>
    <w:p w14:paraId="488C28E4">
      <w:pPr>
        <w:widowControl/>
        <w:tabs>
          <w:tab w:val="left" w:pos="1620"/>
        </w:tabs>
        <w:spacing w:line="360" w:lineRule="auto"/>
        <w:ind w:right="-197" w:rightChars="-94"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自本公告发布之日起5个工作日。</w:t>
      </w:r>
    </w:p>
    <w:p w14:paraId="44099C1A">
      <w:pPr>
        <w:widowControl/>
        <w:tabs>
          <w:tab w:val="left" w:pos="1620"/>
        </w:tabs>
        <w:spacing w:line="360" w:lineRule="auto"/>
        <w:ind w:right="-197" w:rightChars="-94" w:firstLine="482" w:firstLineChars="200"/>
        <w:jc w:val="left"/>
        <w:outlineLvl w:val="1"/>
        <w:rPr>
          <w:rFonts w:hint="eastAsia" w:ascii="宋体" w:hAnsi="宋体"/>
          <w:b/>
          <w:color w:val="000000" w:themeColor="text1"/>
          <w:kern w:val="0"/>
          <w:sz w:val="24"/>
          <w:highlight w:val="none"/>
          <w14:textFill>
            <w14:solidFill>
              <w14:schemeClr w14:val="tx1"/>
            </w14:solidFill>
          </w14:textFill>
        </w:rPr>
      </w:pPr>
      <w:bookmarkStart w:id="16" w:name="_Toc1178122780"/>
      <w:bookmarkStart w:id="17" w:name="_Toc15587"/>
      <w:r>
        <w:rPr>
          <w:rFonts w:hint="eastAsia" w:ascii="宋体" w:hAnsi="宋体"/>
          <w:b/>
          <w:color w:val="000000" w:themeColor="text1"/>
          <w:kern w:val="0"/>
          <w:sz w:val="24"/>
          <w:highlight w:val="none"/>
          <w14:textFill>
            <w14:solidFill>
              <w14:schemeClr w14:val="tx1"/>
            </w14:solidFill>
          </w14:textFill>
        </w:rPr>
        <w:t>六、其他补充事宜</w:t>
      </w:r>
      <w:bookmarkEnd w:id="16"/>
      <w:bookmarkEnd w:id="17"/>
    </w:p>
    <w:p w14:paraId="19C62ADF">
      <w:pPr>
        <w:widowControl/>
        <w:tabs>
          <w:tab w:val="left" w:pos="1620"/>
        </w:tabs>
        <w:spacing w:line="360" w:lineRule="auto"/>
        <w:ind w:right="-197" w:rightChars="-94" w:firstLine="420" w:firstLineChars="200"/>
        <w:jc w:val="left"/>
        <w:rPr>
          <w:rFonts w:hint="eastAsia" w:ascii="宋体" w:hAnsi="宋体"/>
          <w:bCs/>
          <w:color w:val="000000" w:themeColor="text1"/>
          <w:kern w:val="0"/>
          <w:szCs w:val="21"/>
          <w:highlight w:val="none"/>
          <w14:textFill>
            <w14:solidFill>
              <w14:schemeClr w14:val="tx1"/>
            </w14:solidFill>
          </w14:textFill>
        </w:rPr>
      </w:pPr>
      <w:r>
        <w:rPr>
          <w:rFonts w:hint="eastAsia" w:ascii="宋体" w:hAnsi="宋体"/>
          <w:bCs/>
          <w:color w:val="000000" w:themeColor="text1"/>
          <w:kern w:val="0"/>
          <w:szCs w:val="21"/>
          <w:highlight w:val="none"/>
          <w:lang w:val="en-US" w:eastAsia="zh-CN"/>
          <w14:textFill>
            <w14:solidFill>
              <w14:schemeClr w14:val="tx1"/>
            </w14:solidFill>
          </w14:textFill>
        </w:rPr>
        <w:t>1</w:t>
      </w:r>
      <w:r>
        <w:rPr>
          <w:rFonts w:hint="eastAsia" w:ascii="宋体" w:hAnsi="宋体"/>
          <w:bCs/>
          <w:color w:val="000000" w:themeColor="text1"/>
          <w:kern w:val="0"/>
          <w:szCs w:val="21"/>
          <w:highlight w:val="none"/>
          <w:lang w:eastAsia="zh-TW"/>
          <w14:textFill>
            <w14:solidFill>
              <w14:schemeClr w14:val="tx1"/>
            </w14:solidFill>
          </w14:textFill>
        </w:rPr>
        <w:t>.</w:t>
      </w:r>
      <w:r>
        <w:rPr>
          <w:rFonts w:hint="eastAsia" w:ascii="宋体" w:hAnsi="宋体"/>
          <w:bCs/>
          <w:color w:val="000000" w:themeColor="text1"/>
          <w:kern w:val="0"/>
          <w:szCs w:val="21"/>
          <w:highlight w:val="none"/>
          <w:lang w:val="zh-CN" w:eastAsia="zh-TW"/>
          <w14:textFill>
            <w14:solidFill>
              <w14:schemeClr w14:val="tx1"/>
            </w14:solidFill>
          </w14:textFill>
        </w:rPr>
        <w:t>限定资格条件</w:t>
      </w:r>
      <w:r>
        <w:rPr>
          <w:rFonts w:hint="eastAsia" w:ascii="宋体" w:hAnsi="宋体"/>
          <w:bCs/>
          <w:color w:val="000000" w:themeColor="text1"/>
          <w:kern w:val="0"/>
          <w:szCs w:val="21"/>
          <w:highlight w:val="none"/>
          <w:lang w:val="en-US" w:eastAsia="zh-CN"/>
          <w14:textFill>
            <w14:solidFill>
              <w14:schemeClr w14:val="tx1"/>
            </w14:solidFill>
          </w14:textFill>
        </w:rPr>
        <w:t>说明</w:t>
      </w:r>
      <w:r>
        <w:rPr>
          <w:rFonts w:hint="eastAsia" w:ascii="宋体" w:hAnsi="宋体"/>
          <w:bCs/>
          <w:color w:val="000000" w:themeColor="text1"/>
          <w:kern w:val="0"/>
          <w:szCs w:val="21"/>
          <w:highlight w:val="none"/>
          <w:lang w:eastAsia="zh-TW"/>
          <w14:textFill>
            <w14:solidFill>
              <w14:schemeClr w14:val="tx1"/>
            </w14:solidFill>
          </w14:textFill>
        </w:rPr>
        <w:t>：（1）</w:t>
      </w:r>
      <w:r>
        <w:rPr>
          <w:rFonts w:hint="eastAsia" w:ascii="宋体" w:hAnsi="宋体"/>
          <w:bCs/>
          <w:color w:val="000000" w:themeColor="text1"/>
          <w:kern w:val="0"/>
          <w:szCs w:val="21"/>
          <w:highlight w:val="none"/>
          <w:lang w:val="zh-CN" w:eastAsia="zh-TW"/>
          <w14:textFill>
            <w14:solidFill>
              <w14:schemeClr w14:val="tx1"/>
            </w14:solidFill>
          </w14:textFill>
        </w:rPr>
        <w:t>投标人不得被</w:t>
      </w:r>
      <w:r>
        <w:rPr>
          <w:rFonts w:hint="eastAsia" w:ascii="宋体" w:hAnsi="宋体"/>
          <w:bCs/>
          <w:color w:val="000000" w:themeColor="text1"/>
          <w:kern w:val="0"/>
          <w:szCs w:val="21"/>
          <w:highlight w:val="none"/>
          <w:lang w:eastAsia="zh-TW"/>
          <w14:textFill>
            <w14:solidFill>
              <w14:schemeClr w14:val="tx1"/>
            </w14:solidFill>
          </w14:textFill>
        </w:rPr>
        <w:t>“</w:t>
      </w:r>
      <w:r>
        <w:rPr>
          <w:rFonts w:hint="eastAsia" w:ascii="宋体" w:hAnsi="宋体"/>
          <w:bCs/>
          <w:color w:val="000000" w:themeColor="text1"/>
          <w:kern w:val="0"/>
          <w:szCs w:val="21"/>
          <w:highlight w:val="none"/>
          <w:lang w:val="zh-CN" w:eastAsia="zh-TW"/>
          <w14:textFill>
            <w14:solidFill>
              <w14:schemeClr w14:val="tx1"/>
            </w14:solidFill>
          </w14:textFill>
        </w:rPr>
        <w:t>信用中国</w:t>
      </w:r>
      <w:r>
        <w:rPr>
          <w:rFonts w:hint="eastAsia" w:ascii="宋体" w:hAnsi="宋体"/>
          <w:bCs/>
          <w:color w:val="000000" w:themeColor="text1"/>
          <w:kern w:val="0"/>
          <w:szCs w:val="21"/>
          <w:highlight w:val="none"/>
          <w:lang w:eastAsia="zh-TW"/>
          <w14:textFill>
            <w14:solidFill>
              <w14:schemeClr w14:val="tx1"/>
            </w14:solidFill>
          </w14:textFill>
        </w:rPr>
        <w:t>”</w:t>
      </w:r>
      <w:r>
        <w:rPr>
          <w:rFonts w:hint="eastAsia" w:ascii="宋体" w:hAnsi="宋体"/>
          <w:bCs/>
          <w:color w:val="000000" w:themeColor="text1"/>
          <w:kern w:val="0"/>
          <w:szCs w:val="21"/>
          <w:highlight w:val="none"/>
          <w:lang w:val="zh-CN" w:eastAsia="zh-TW"/>
          <w14:textFill>
            <w14:solidFill>
              <w14:schemeClr w14:val="tx1"/>
            </w14:solidFill>
          </w14:textFill>
        </w:rPr>
        <w:t>网站</w:t>
      </w:r>
      <w:r>
        <w:rPr>
          <w:rFonts w:hint="eastAsia" w:ascii="宋体" w:hAnsi="宋体"/>
          <w:bCs/>
          <w:color w:val="000000" w:themeColor="text1"/>
          <w:kern w:val="0"/>
          <w:szCs w:val="21"/>
          <w:highlight w:val="none"/>
          <w:lang w:eastAsia="zh-TW"/>
          <w14:textFill>
            <w14:solidFill>
              <w14:schemeClr w14:val="tx1"/>
            </w14:solidFill>
          </w14:textFill>
        </w:rPr>
        <w:t>（https://www.creditchina.gov.cn/ ）</w:t>
      </w:r>
      <w:r>
        <w:rPr>
          <w:rFonts w:hint="eastAsia" w:ascii="宋体" w:hAnsi="宋体"/>
          <w:bCs/>
          <w:color w:val="000000" w:themeColor="text1"/>
          <w:kern w:val="0"/>
          <w:szCs w:val="21"/>
          <w:highlight w:val="none"/>
          <w:lang w:val="zh-CN" w:eastAsia="zh-TW"/>
          <w14:textFill>
            <w14:solidFill>
              <w14:schemeClr w14:val="tx1"/>
            </w14:solidFill>
          </w14:textFill>
        </w:rPr>
        <w:t>列入重大税收违法失信主体及严重失信主体名单、</w:t>
      </w:r>
      <w:r>
        <w:rPr>
          <w:rFonts w:hint="eastAsia" w:ascii="宋体" w:hAnsi="宋体"/>
          <w:bCs/>
          <w:color w:val="000000" w:themeColor="text1"/>
          <w:kern w:val="0"/>
          <w:szCs w:val="21"/>
          <w:highlight w:val="none"/>
          <w:lang w:eastAsia="zh-TW"/>
          <w14:textFill>
            <w14:solidFill>
              <w14:schemeClr w14:val="tx1"/>
            </w14:solidFill>
          </w14:textFill>
        </w:rPr>
        <w:t>“</w:t>
      </w:r>
      <w:r>
        <w:rPr>
          <w:rFonts w:hint="eastAsia" w:ascii="宋体" w:hAnsi="宋体"/>
          <w:bCs/>
          <w:color w:val="000000" w:themeColor="text1"/>
          <w:kern w:val="0"/>
          <w:szCs w:val="21"/>
          <w:highlight w:val="none"/>
          <w:lang w:val="zh-CN" w:eastAsia="zh-TW"/>
          <w14:textFill>
            <w14:solidFill>
              <w14:schemeClr w14:val="tx1"/>
            </w14:solidFill>
          </w14:textFill>
        </w:rPr>
        <w:t>中国执行信息公开网</w:t>
      </w:r>
      <w:r>
        <w:rPr>
          <w:rFonts w:hint="eastAsia" w:ascii="宋体" w:hAnsi="宋体"/>
          <w:bCs/>
          <w:color w:val="000000" w:themeColor="text1"/>
          <w:kern w:val="0"/>
          <w:szCs w:val="21"/>
          <w:highlight w:val="none"/>
          <w:lang w:eastAsia="zh-TW"/>
          <w14:textFill>
            <w14:solidFill>
              <w14:schemeClr w14:val="tx1"/>
            </w14:solidFill>
          </w14:textFill>
        </w:rPr>
        <w:t>”(http://zxgk.court.gov.cn/shixin/)</w:t>
      </w:r>
      <w:r>
        <w:rPr>
          <w:rFonts w:hint="eastAsia" w:ascii="宋体" w:hAnsi="宋体"/>
          <w:bCs/>
          <w:color w:val="000000" w:themeColor="text1"/>
          <w:kern w:val="0"/>
          <w:szCs w:val="21"/>
          <w:highlight w:val="none"/>
          <w:lang w:val="zh-CN" w:eastAsia="zh-TW"/>
          <w14:textFill>
            <w14:solidFill>
              <w14:schemeClr w14:val="tx1"/>
            </w14:solidFill>
          </w14:textFill>
        </w:rPr>
        <w:t>列入失信被执行人、不得处于</w:t>
      </w:r>
      <w:r>
        <w:rPr>
          <w:rFonts w:hint="eastAsia" w:ascii="宋体" w:hAnsi="宋体"/>
          <w:bCs/>
          <w:color w:val="000000" w:themeColor="text1"/>
          <w:kern w:val="0"/>
          <w:szCs w:val="21"/>
          <w:highlight w:val="none"/>
          <w:lang w:eastAsia="zh-TW"/>
          <w14:textFill>
            <w14:solidFill>
              <w14:schemeClr w14:val="tx1"/>
            </w14:solidFill>
          </w14:textFill>
        </w:rPr>
        <w:t>“</w:t>
      </w:r>
      <w:r>
        <w:rPr>
          <w:rFonts w:hint="eastAsia" w:ascii="宋体" w:hAnsi="宋体"/>
          <w:bCs/>
          <w:color w:val="000000" w:themeColor="text1"/>
          <w:kern w:val="0"/>
          <w:szCs w:val="21"/>
          <w:highlight w:val="none"/>
          <w:lang w:val="zh-CN" w:eastAsia="zh-TW"/>
          <w14:textFill>
            <w14:solidFill>
              <w14:schemeClr w14:val="tx1"/>
            </w14:solidFill>
          </w14:textFill>
        </w:rPr>
        <w:t>中国政府采购网</w:t>
      </w:r>
      <w:r>
        <w:rPr>
          <w:rFonts w:hint="eastAsia" w:ascii="宋体" w:hAnsi="宋体"/>
          <w:bCs/>
          <w:color w:val="000000" w:themeColor="text1"/>
          <w:kern w:val="0"/>
          <w:szCs w:val="21"/>
          <w:highlight w:val="none"/>
          <w:lang w:eastAsia="zh-TW"/>
          <w14:textFill>
            <w14:solidFill>
              <w14:schemeClr w14:val="tx1"/>
            </w14:solidFill>
          </w14:textFill>
        </w:rPr>
        <w:t>”(http://www.ccgp.gov.cn/)</w:t>
      </w:r>
      <w:r>
        <w:rPr>
          <w:rFonts w:hint="eastAsia" w:ascii="宋体" w:hAnsi="宋体"/>
          <w:bCs/>
          <w:color w:val="000000" w:themeColor="text1"/>
          <w:kern w:val="0"/>
          <w:szCs w:val="21"/>
          <w:highlight w:val="none"/>
          <w:lang w:val="zh-CN" w:eastAsia="zh-TW"/>
          <w14:textFill>
            <w14:solidFill>
              <w14:schemeClr w14:val="tx1"/>
            </w14:solidFill>
          </w14:textFill>
        </w:rPr>
        <w:t>政府采购严重违法失信行为信息记录中的禁止参加政府采购活动期间</w:t>
      </w:r>
      <w:r>
        <w:rPr>
          <w:rFonts w:hint="eastAsia" w:ascii="宋体" w:hAnsi="宋体"/>
          <w:bCs/>
          <w:color w:val="000000" w:themeColor="text1"/>
          <w:kern w:val="0"/>
          <w:szCs w:val="21"/>
          <w:highlight w:val="none"/>
          <w14:textFill>
            <w14:solidFill>
              <w14:schemeClr w14:val="tx1"/>
            </w14:solidFill>
          </w14:textFill>
        </w:rPr>
        <w:t>。</w:t>
      </w:r>
    </w:p>
    <w:p w14:paraId="4645D4B0">
      <w:pPr>
        <w:widowControl/>
        <w:tabs>
          <w:tab w:val="left" w:pos="1620"/>
        </w:tabs>
        <w:spacing w:line="360" w:lineRule="auto"/>
        <w:ind w:right="-197" w:rightChars="-94" w:firstLine="420" w:firstLineChars="20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Cs/>
          <w:color w:val="000000" w:themeColor="text1"/>
          <w:kern w:val="0"/>
          <w:szCs w:val="21"/>
          <w:highlight w:val="none"/>
          <w:lang w:val="zh-CN"/>
          <w14:textFill>
            <w14:solidFill>
              <w14:schemeClr w14:val="tx1"/>
            </w14:solidFill>
          </w14:textFill>
        </w:rPr>
        <w:t>（2）单位负责人为同一人或者存在直接控股、管理关系的不同投标人，不得参加同一合同项下的采购活动。</w:t>
      </w:r>
      <w:r>
        <w:rPr>
          <w:rFonts w:hint="eastAsia" w:ascii="宋体" w:hAnsi="宋体"/>
          <w:bCs/>
          <w:color w:val="000000" w:themeColor="text1"/>
          <w:kern w:val="0"/>
          <w:szCs w:val="21"/>
          <w:highlight w:val="none"/>
          <w14:textFill>
            <w14:solidFill>
              <w14:schemeClr w14:val="tx1"/>
            </w14:solidFill>
          </w14:textFill>
        </w:rPr>
        <w:t>投标人</w:t>
      </w:r>
      <w:r>
        <w:rPr>
          <w:rFonts w:hint="eastAsia" w:ascii="宋体" w:hAnsi="宋体"/>
          <w:bCs/>
          <w:color w:val="000000" w:themeColor="text1"/>
          <w:kern w:val="0"/>
          <w:szCs w:val="21"/>
          <w:highlight w:val="none"/>
          <w:lang w:val="zh-CN"/>
          <w14:textFill>
            <w14:solidFill>
              <w14:schemeClr w14:val="tx1"/>
            </w14:solidFill>
          </w14:textFill>
        </w:rPr>
        <w:t>未向本项目提供整体设计、规范编制或者项目管理、监理、检测、咨询服务。</w:t>
      </w:r>
    </w:p>
    <w:p w14:paraId="34CE6DF4">
      <w:pPr>
        <w:widowControl/>
        <w:spacing w:line="360" w:lineRule="auto"/>
        <w:ind w:right="-197" w:rightChars="-94" w:firstLine="420" w:firstLineChars="200"/>
        <w:jc w:val="left"/>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2.投标文件提交纸质投标文件（由投标人法定代表人或授权代表现场提交纸质投标文件，不接受邮寄等其他方式）</w:t>
      </w:r>
      <w:r>
        <w:rPr>
          <w:rFonts w:hint="eastAsia" w:ascii="宋体" w:hAnsi="宋体" w:cs="宋体"/>
          <w:color w:val="000000" w:themeColor="text1"/>
          <w:kern w:val="0"/>
          <w:szCs w:val="21"/>
          <w:highlight w:val="none"/>
          <w:lang w:eastAsia="zh-CN"/>
          <w14:textFill>
            <w14:solidFill>
              <w14:schemeClr w14:val="tx1"/>
            </w14:solidFill>
          </w14:textFill>
        </w:rPr>
        <w:t>。</w:t>
      </w:r>
    </w:p>
    <w:p w14:paraId="24DED534">
      <w:pPr>
        <w:widowControl/>
        <w:spacing w:line="360" w:lineRule="auto"/>
        <w:ind w:right="-197" w:rightChars="-94" w:firstLine="420" w:firstLineChars="20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3.本项目需要落实的政府采购政策：</w:t>
      </w:r>
    </w:p>
    <w:p w14:paraId="29868A05">
      <w:pPr>
        <w:spacing w:line="360" w:lineRule="auto"/>
        <w:ind w:firstLine="422"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（1）中小企业发展政策：</w:t>
      </w:r>
      <w:r>
        <w:rPr>
          <w:rFonts w:hint="eastAsia" w:ascii="宋体" w:hAnsi="宋体" w:cs="宋体"/>
          <w:color w:val="000000" w:themeColor="text1"/>
          <w:kern w:val="0"/>
          <w:szCs w:val="21"/>
          <w:highlight w:val="none"/>
          <w14:textFill>
            <w14:solidFill>
              <w14:schemeClr w14:val="tx1"/>
            </w14:solidFill>
          </w14:textFill>
        </w:rPr>
        <w:t>《关于进一步加大政府采购支持中小企业力度的通知》（财库〔2022〕19号）、《政府采购促进中小企业发展管理办法》（财库〔2020〕46号）；《财政部、司法部关于政府采购支持监狱企业发展有关问题的通知》（财库〔2014〕68号）；《关于促进残疾人就业政府采购政策的通知》（财库〔2017〕141号）；《陕西省中小企业政府采购信用融资办法》（陕财办采〔2018〕23号）。</w:t>
      </w:r>
    </w:p>
    <w:p w14:paraId="7DB87F63">
      <w:pPr>
        <w:spacing w:line="360" w:lineRule="auto"/>
        <w:ind w:firstLine="422"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（2）绿色发展政策：</w:t>
      </w:r>
      <w:r>
        <w:rPr>
          <w:rFonts w:hint="eastAsia" w:ascii="宋体" w:hAnsi="宋体" w:cs="宋体"/>
          <w:color w:val="000000" w:themeColor="text1"/>
          <w:kern w:val="0"/>
          <w:szCs w:val="21"/>
          <w:highlight w:val="none"/>
          <w14:textFill>
            <w14:solidFill>
              <w14:schemeClr w14:val="tx1"/>
            </w14:solidFill>
          </w14:textFill>
        </w:rPr>
        <w:t>《国务院办公厅关于建立政府强制采购节能产品制度的通知》（国办发〔2007〕51号）；《关于印发节能产品政府采购品目清单的通知》（财库〔2019〕19号）；《关于印发环境标志产品政府采购品目清单的通知》（财库〔2019〕18号）；《财政部、国家发展改革委、生态环境部、市场监管总局关于调整优化节能产品、环境标志产品政府采购执行机制的通知》（财库〔2019〕9号）；《商品包装政府采购需求标准（试行）》和《快递包装政府采购需求标准（试行）》（财办库〔2020〕123号）。</w:t>
      </w:r>
    </w:p>
    <w:p w14:paraId="58257DC1">
      <w:pPr>
        <w:spacing w:line="360" w:lineRule="auto"/>
        <w:ind w:firstLine="422"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（3）支持本国产业政策：</w:t>
      </w:r>
      <w:r>
        <w:rPr>
          <w:rFonts w:hint="eastAsia" w:ascii="宋体" w:hAnsi="宋体" w:cs="宋体"/>
          <w:color w:val="000000" w:themeColor="text1"/>
          <w:kern w:val="0"/>
          <w:szCs w:val="21"/>
          <w:highlight w:val="none"/>
          <w14:textFill>
            <w14:solidFill>
              <w14:schemeClr w14:val="tx1"/>
            </w14:solidFill>
          </w14:textFill>
        </w:rPr>
        <w:t xml:space="preserve">《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   </w:t>
      </w:r>
    </w:p>
    <w:p w14:paraId="769654C3">
      <w:pPr>
        <w:spacing w:line="360" w:lineRule="auto"/>
        <w:ind w:firstLine="422"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（4）支持创新等政府采购政策</w:t>
      </w:r>
      <w:r>
        <w:rPr>
          <w:rFonts w:hint="eastAsia" w:ascii="宋体" w:hAnsi="宋体" w:cs="宋体"/>
          <w:color w:val="000000" w:themeColor="text1"/>
          <w:kern w:val="0"/>
          <w:szCs w:val="21"/>
          <w:highlight w:val="none"/>
          <w14:textFill>
            <w14:solidFill>
              <w14:schemeClr w14:val="tx1"/>
            </w14:solidFill>
          </w14:textFill>
        </w:rPr>
        <w:t>。</w:t>
      </w:r>
    </w:p>
    <w:p w14:paraId="7DF06E77">
      <w:pPr>
        <w:widowControl/>
        <w:tabs>
          <w:tab w:val="left" w:pos="1620"/>
        </w:tabs>
        <w:spacing w:line="360" w:lineRule="auto"/>
        <w:ind w:right="-197" w:rightChars="-94" w:firstLine="482" w:firstLineChars="200"/>
        <w:jc w:val="left"/>
        <w:outlineLvl w:val="1"/>
        <w:rPr>
          <w:rFonts w:hint="eastAsia" w:ascii="宋体" w:hAnsi="宋体"/>
          <w:b/>
          <w:color w:val="000000" w:themeColor="text1"/>
          <w:kern w:val="0"/>
          <w:sz w:val="24"/>
          <w:highlight w:val="none"/>
          <w14:textFill>
            <w14:solidFill>
              <w14:schemeClr w14:val="tx1"/>
            </w14:solidFill>
          </w14:textFill>
        </w:rPr>
      </w:pPr>
      <w:bookmarkStart w:id="18" w:name="_Toc910338120"/>
      <w:bookmarkStart w:id="19" w:name="_Toc31832"/>
      <w:r>
        <w:rPr>
          <w:rFonts w:hint="eastAsia" w:ascii="宋体" w:hAnsi="宋体"/>
          <w:b/>
          <w:color w:val="000000" w:themeColor="text1"/>
          <w:kern w:val="0"/>
          <w:sz w:val="24"/>
          <w:highlight w:val="none"/>
          <w14:textFill>
            <w14:solidFill>
              <w14:schemeClr w14:val="tx1"/>
            </w14:solidFill>
          </w14:textFill>
        </w:rPr>
        <w:t>七、对本次招标提出询问，请按以下方式联系。</w:t>
      </w:r>
      <w:bookmarkEnd w:id="18"/>
      <w:bookmarkEnd w:id="19"/>
    </w:p>
    <w:p w14:paraId="0BCAD5DA">
      <w:pPr>
        <w:spacing w:line="348" w:lineRule="auto"/>
        <w:ind w:left="420" w:leftChars="200"/>
        <w:rPr>
          <w:rFonts w:hint="eastAsia"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1、采购人信息：</w:t>
      </w:r>
    </w:p>
    <w:p w14:paraId="7F7ACF67">
      <w:pPr>
        <w:spacing w:line="360" w:lineRule="auto"/>
        <w:ind w:left="420" w:left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名称：</w:t>
      </w:r>
      <w:r>
        <w:rPr>
          <w:rFonts w:hint="eastAsia" w:ascii="宋体" w:hAnsi="宋体" w:cs="宋体"/>
          <w:color w:val="000000" w:themeColor="text1"/>
          <w:kern w:val="0"/>
          <w:szCs w:val="21"/>
          <w:highlight w:val="none"/>
          <w14:textFill>
            <w14:solidFill>
              <w14:schemeClr w14:val="tx1"/>
            </w14:solidFill>
          </w14:textFill>
        </w:rPr>
        <w:t>陕西测绘地理信息局后勤服务中心</w:t>
      </w:r>
    </w:p>
    <w:p w14:paraId="2573A000">
      <w:pPr>
        <w:spacing w:line="360" w:lineRule="auto"/>
        <w:ind w:left="420" w:left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地址：</w:t>
      </w:r>
      <w:r>
        <w:rPr>
          <w:rFonts w:hint="eastAsia" w:ascii="宋体" w:hAnsi="宋体" w:cs="宋体"/>
          <w:color w:val="000000" w:themeColor="text1"/>
          <w:kern w:val="0"/>
          <w:szCs w:val="21"/>
          <w:highlight w:val="none"/>
          <w14:textFill>
            <w14:solidFill>
              <w14:schemeClr w14:val="tx1"/>
            </w14:solidFill>
          </w14:textFill>
        </w:rPr>
        <w:t>西安市友谊东路334号</w:t>
      </w:r>
    </w:p>
    <w:p w14:paraId="5FCDE3F5">
      <w:pPr>
        <w:spacing w:line="360" w:lineRule="auto"/>
        <w:ind w:left="420" w:left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联系方式：</w:t>
      </w:r>
      <w:r>
        <w:rPr>
          <w:rFonts w:hint="eastAsia" w:ascii="宋体" w:hAnsi="宋体" w:cs="宋体"/>
          <w:color w:val="000000" w:themeColor="text1"/>
          <w:kern w:val="0"/>
          <w:szCs w:val="21"/>
          <w:highlight w:val="none"/>
          <w14:textFill>
            <w14:solidFill>
              <w14:schemeClr w14:val="tx1"/>
            </w14:solidFill>
          </w14:textFill>
        </w:rPr>
        <w:t>陈叙言 029-87604345</w:t>
      </w:r>
    </w:p>
    <w:p w14:paraId="78AF248A">
      <w:pPr>
        <w:spacing w:line="348" w:lineRule="auto"/>
        <w:ind w:left="420" w:leftChars="200"/>
        <w:rPr>
          <w:rFonts w:hint="eastAsia" w:ascii="宋体" w:hAnsi="宋体" w:cs="宋体"/>
          <w:b/>
          <w:color w:val="000000" w:themeColor="text1"/>
          <w:kern w:val="0"/>
          <w:szCs w:val="21"/>
          <w:highlight w:val="none"/>
          <w14:textFill>
            <w14:solidFill>
              <w14:schemeClr w14:val="tx1"/>
            </w14:solidFill>
          </w14:textFill>
        </w:rPr>
      </w:pPr>
      <w:bookmarkStart w:id="20" w:name="_Toc1379281612"/>
      <w:r>
        <w:rPr>
          <w:rFonts w:hint="eastAsia" w:ascii="宋体" w:hAnsi="宋体" w:cs="宋体"/>
          <w:b/>
          <w:color w:val="000000" w:themeColor="text1"/>
          <w:kern w:val="0"/>
          <w:szCs w:val="21"/>
          <w:highlight w:val="none"/>
          <w14:textFill>
            <w14:solidFill>
              <w14:schemeClr w14:val="tx1"/>
            </w14:solidFill>
          </w14:textFill>
        </w:rPr>
        <w:t>2、采购代理机构信息</w:t>
      </w:r>
    </w:p>
    <w:p w14:paraId="7219A99B">
      <w:pPr>
        <w:widowControl/>
        <w:shd w:val="clear" w:color="auto" w:fill="FFFFFF"/>
        <w:spacing w:line="348" w:lineRule="auto"/>
        <w:ind w:firstLine="48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名称：</w:t>
      </w:r>
      <w:r>
        <w:rPr>
          <w:rFonts w:hint="eastAsia" w:ascii="宋体" w:hAnsi="宋体" w:cs="宋体"/>
          <w:color w:val="000000" w:themeColor="text1"/>
          <w:kern w:val="0"/>
          <w:szCs w:val="21"/>
          <w:highlight w:val="none"/>
          <w14:textFill>
            <w14:solidFill>
              <w14:schemeClr w14:val="tx1"/>
            </w14:solidFill>
          </w14:textFill>
        </w:rPr>
        <w:t>陕西隆信项目管理有限公司</w:t>
      </w:r>
    </w:p>
    <w:p w14:paraId="5D8C99AA">
      <w:pPr>
        <w:widowControl/>
        <w:shd w:val="clear" w:color="auto" w:fill="FFFFFF"/>
        <w:spacing w:line="348" w:lineRule="auto"/>
        <w:ind w:firstLine="48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地址：</w:t>
      </w:r>
      <w:r>
        <w:rPr>
          <w:rFonts w:hint="eastAsia" w:ascii="宋体" w:hAnsi="宋体" w:cs="宋体"/>
          <w:color w:val="000000" w:themeColor="text1"/>
          <w:kern w:val="0"/>
          <w:szCs w:val="21"/>
          <w:highlight w:val="none"/>
          <w14:textFill>
            <w14:solidFill>
              <w14:schemeClr w14:val="tx1"/>
            </w14:solidFill>
          </w14:textFill>
        </w:rPr>
        <w:t>陕西省西安市雁塔区雁翔路111号赛格·中京坊公寓A1单元2层</w:t>
      </w:r>
    </w:p>
    <w:p w14:paraId="75F0006C">
      <w:pPr>
        <w:widowControl/>
        <w:shd w:val="clear" w:color="auto" w:fill="FFFFFF"/>
        <w:spacing w:line="348" w:lineRule="auto"/>
        <w:ind w:firstLine="480"/>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联系方式：</w:t>
      </w:r>
      <w:r>
        <w:rPr>
          <w:rFonts w:hint="eastAsia" w:ascii="宋体" w:hAnsi="宋体" w:cs="宋体"/>
          <w:color w:val="000000" w:themeColor="text1"/>
          <w:kern w:val="0"/>
          <w:szCs w:val="21"/>
          <w:highlight w:val="none"/>
          <w:lang w:eastAsia="zh-CN"/>
          <w14:textFill>
            <w14:solidFill>
              <w14:schemeClr w14:val="tx1"/>
            </w14:solidFill>
          </w14:textFill>
        </w:rPr>
        <w:t>029-88489979-8106</w:t>
      </w:r>
    </w:p>
    <w:p w14:paraId="134D1E22">
      <w:pPr>
        <w:widowControl/>
        <w:shd w:val="clear" w:color="auto" w:fill="FFFFFF"/>
        <w:spacing w:line="348" w:lineRule="auto"/>
        <w:ind w:firstLine="422" w:firstLineChars="200"/>
        <w:jc w:val="left"/>
        <w:outlineLvl w:val="5"/>
        <w:rPr>
          <w:rFonts w:hint="eastAsia"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3.项目联系方式</w:t>
      </w:r>
    </w:p>
    <w:p w14:paraId="1089AB3D">
      <w:pPr>
        <w:widowControl/>
        <w:shd w:val="clear" w:color="auto" w:fill="FFFFFF"/>
        <w:spacing w:line="360" w:lineRule="auto"/>
        <w:ind w:firstLine="422"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项目联系人：</w:t>
      </w:r>
      <w:r>
        <w:rPr>
          <w:rFonts w:hint="eastAsia" w:ascii="宋体" w:hAnsi="宋体" w:cs="宋体"/>
          <w:color w:val="000000" w:themeColor="text1"/>
          <w:kern w:val="0"/>
          <w:szCs w:val="21"/>
          <w:highlight w:val="none"/>
          <w14:textFill>
            <w14:solidFill>
              <w14:schemeClr w14:val="tx1"/>
            </w14:solidFill>
          </w14:textFill>
        </w:rPr>
        <w:t>郑婧婧、袁歆雨、李亚男、刘晶</w:t>
      </w:r>
    </w:p>
    <w:p w14:paraId="0C7AEF12">
      <w:pPr>
        <w:widowControl/>
        <w:shd w:val="clear" w:color="auto" w:fill="FFFFFF"/>
        <w:spacing w:line="348" w:lineRule="auto"/>
        <w:ind w:firstLine="480"/>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电话：</w:t>
      </w:r>
      <w:r>
        <w:rPr>
          <w:rFonts w:hint="eastAsia" w:ascii="宋体" w:hAnsi="宋体" w:cs="宋体"/>
          <w:color w:val="000000" w:themeColor="text1"/>
          <w:kern w:val="0"/>
          <w:szCs w:val="21"/>
          <w:highlight w:val="none"/>
          <w:lang w:eastAsia="zh-CN"/>
          <w14:textFill>
            <w14:solidFill>
              <w14:schemeClr w14:val="tx1"/>
            </w14:solidFill>
          </w14:textFill>
        </w:rPr>
        <w:t>029-88489979-8106</w:t>
      </w:r>
    </w:p>
    <w:bookmarkEnd w:id="20"/>
    <w:p w14:paraId="633249F2">
      <w:pPr>
        <w:jc w:val="center"/>
        <w:outlineLvl w:val="0"/>
        <w:rPr>
          <w:rFonts w:hint="eastAsia" w:ascii="黑体" w:hAnsi="宋体" w:eastAsia="黑体"/>
          <w:b/>
          <w:color w:val="000000" w:themeColor="text1"/>
          <w:kern w:val="44"/>
          <w:sz w:val="48"/>
          <w:szCs w:val="44"/>
          <w:highlight w:val="none"/>
          <w14:textFill>
            <w14:solidFill>
              <w14:schemeClr w14:val="tx1"/>
            </w14:solidFill>
          </w14:textFill>
        </w:rPr>
      </w:pPr>
      <w:bookmarkStart w:id="21" w:name="_Toc217446031"/>
      <w:bookmarkStart w:id="22" w:name="_Toc213496267"/>
      <w:bookmarkStart w:id="23" w:name="_Toc213396945"/>
      <w:bookmarkStart w:id="24" w:name="_Toc20235"/>
      <w:bookmarkStart w:id="25" w:name="_Toc1007214544"/>
      <w:bookmarkStart w:id="26" w:name="_Toc213397009"/>
      <w:bookmarkStart w:id="27" w:name="_Toc213396759"/>
      <w:bookmarkStart w:id="28" w:name="_Toc89075871"/>
      <w:bookmarkStart w:id="29" w:name="_Toc183682339"/>
      <w:bookmarkStart w:id="30" w:name="_Toc183582202"/>
      <w:bookmarkStart w:id="31" w:name="_Toc77400776"/>
    </w:p>
    <w:p w14:paraId="1B4BC2E6">
      <w:pPr>
        <w:rPr>
          <w:color w:val="000000" w:themeColor="text1"/>
          <w:highlight w:val="none"/>
          <w14:textFill>
            <w14:solidFill>
              <w14:schemeClr w14:val="tx1"/>
            </w14:solidFill>
          </w14:textFill>
        </w:rPr>
      </w:pPr>
    </w:p>
    <w:p w14:paraId="4480C04E">
      <w:pPr>
        <w:jc w:val="right"/>
        <w:rPr>
          <w:rFonts w:hint="eastAsia" w:ascii="黑体" w:hAnsi="宋体" w:eastAsia="黑体"/>
          <w:b/>
          <w:color w:val="000000" w:themeColor="text1"/>
          <w:kern w:val="44"/>
          <w:sz w:val="48"/>
          <w:szCs w:val="44"/>
          <w:highlight w:val="none"/>
          <w14:textFill>
            <w14:solidFill>
              <w14:schemeClr w14:val="tx1"/>
            </w14:solidFill>
          </w14:textFill>
        </w:rPr>
      </w:pPr>
      <w:r>
        <w:rPr>
          <w:rFonts w:hint="eastAsia"/>
          <w:color w:val="000000" w:themeColor="text1"/>
          <w:highlight w:val="none"/>
          <w14:textFill>
            <w14:solidFill>
              <w14:schemeClr w14:val="tx1"/>
            </w14:solidFill>
          </w14:textFill>
        </w:rPr>
        <w:t>陕西隆信项目管理有限公司</w:t>
      </w:r>
    </w:p>
    <w:p w14:paraId="1A5E4682">
      <w:pPr>
        <w:outlineLvl w:val="0"/>
        <w:rPr>
          <w:rFonts w:hint="eastAsia" w:ascii="黑体" w:hAnsi="宋体" w:eastAsia="黑体"/>
          <w:b/>
          <w:color w:val="000000" w:themeColor="text1"/>
          <w:kern w:val="44"/>
          <w:sz w:val="48"/>
          <w:szCs w:val="44"/>
          <w:highlight w:val="none"/>
          <w14:textFill>
            <w14:solidFill>
              <w14:schemeClr w14:val="tx1"/>
            </w14:solidFill>
          </w14:textFill>
        </w:rPr>
      </w:pPr>
    </w:p>
    <w:p w14:paraId="2DC3985C">
      <w:pPr>
        <w:pStyle w:val="29"/>
        <w:rPr>
          <w:rFonts w:hint="eastAsia" w:ascii="黑体" w:eastAsia="黑体"/>
          <w:color w:val="000000" w:themeColor="text1"/>
          <w:kern w:val="44"/>
          <w:sz w:val="48"/>
          <w:szCs w:val="44"/>
          <w:highlight w:val="none"/>
          <w14:textFill>
            <w14:solidFill>
              <w14:schemeClr w14:val="tx1"/>
            </w14:solidFill>
          </w14:textFill>
        </w:rPr>
      </w:pPr>
    </w:p>
    <w:p w14:paraId="43B8BE90">
      <w:pPr>
        <w:pStyle w:val="29"/>
        <w:rPr>
          <w:rFonts w:hint="eastAsia" w:ascii="黑体" w:eastAsia="黑体"/>
          <w:color w:val="000000" w:themeColor="text1"/>
          <w:kern w:val="44"/>
          <w:sz w:val="48"/>
          <w:szCs w:val="44"/>
          <w:highlight w:val="none"/>
          <w14:textFill>
            <w14:solidFill>
              <w14:schemeClr w14:val="tx1"/>
            </w14:solidFill>
          </w14:textFill>
        </w:rPr>
      </w:pPr>
    </w:p>
    <w:p w14:paraId="21737C8C">
      <w:pPr>
        <w:pStyle w:val="29"/>
        <w:rPr>
          <w:rFonts w:hint="eastAsia" w:ascii="黑体" w:eastAsia="黑体"/>
          <w:color w:val="000000" w:themeColor="text1"/>
          <w:kern w:val="44"/>
          <w:sz w:val="48"/>
          <w:szCs w:val="44"/>
          <w:highlight w:val="none"/>
          <w14:textFill>
            <w14:solidFill>
              <w14:schemeClr w14:val="tx1"/>
            </w14:solidFill>
          </w14:textFill>
        </w:rPr>
      </w:pPr>
    </w:p>
    <w:p w14:paraId="667DBF5A">
      <w:pPr>
        <w:pStyle w:val="29"/>
        <w:rPr>
          <w:rFonts w:hint="eastAsia" w:ascii="黑体" w:eastAsia="黑体"/>
          <w:color w:val="000000" w:themeColor="text1"/>
          <w:kern w:val="44"/>
          <w:sz w:val="48"/>
          <w:szCs w:val="44"/>
          <w:highlight w:val="none"/>
          <w14:textFill>
            <w14:solidFill>
              <w14:schemeClr w14:val="tx1"/>
            </w14:solidFill>
          </w14:textFill>
        </w:rPr>
      </w:pPr>
    </w:p>
    <w:p w14:paraId="0122DE41">
      <w:pPr>
        <w:pStyle w:val="29"/>
        <w:rPr>
          <w:rFonts w:hint="eastAsia" w:ascii="黑体" w:eastAsia="黑体"/>
          <w:color w:val="000000" w:themeColor="text1"/>
          <w:kern w:val="44"/>
          <w:sz w:val="48"/>
          <w:szCs w:val="44"/>
          <w:highlight w:val="none"/>
          <w14:textFill>
            <w14:solidFill>
              <w14:schemeClr w14:val="tx1"/>
            </w14:solidFill>
          </w14:textFill>
        </w:rPr>
      </w:pPr>
    </w:p>
    <w:p w14:paraId="31B50F13">
      <w:pPr>
        <w:pStyle w:val="29"/>
        <w:rPr>
          <w:rFonts w:hint="eastAsia" w:ascii="黑体" w:eastAsia="黑体"/>
          <w:color w:val="000000" w:themeColor="text1"/>
          <w:kern w:val="44"/>
          <w:sz w:val="48"/>
          <w:szCs w:val="44"/>
          <w:highlight w:val="none"/>
          <w14:textFill>
            <w14:solidFill>
              <w14:schemeClr w14:val="tx1"/>
            </w14:solidFill>
          </w14:textFill>
        </w:rPr>
      </w:pPr>
    </w:p>
    <w:p w14:paraId="0A100CDF">
      <w:pPr>
        <w:pStyle w:val="29"/>
        <w:rPr>
          <w:rFonts w:hint="eastAsia" w:ascii="黑体" w:eastAsia="黑体"/>
          <w:color w:val="000000" w:themeColor="text1"/>
          <w:kern w:val="44"/>
          <w:sz w:val="48"/>
          <w:szCs w:val="44"/>
          <w:highlight w:val="none"/>
          <w14:textFill>
            <w14:solidFill>
              <w14:schemeClr w14:val="tx1"/>
            </w14:solidFill>
          </w14:textFill>
        </w:rPr>
      </w:pPr>
    </w:p>
    <w:p w14:paraId="24CA7223">
      <w:pPr>
        <w:pStyle w:val="29"/>
        <w:rPr>
          <w:rFonts w:hint="eastAsia" w:ascii="黑体" w:eastAsia="黑体"/>
          <w:color w:val="000000" w:themeColor="text1"/>
          <w:kern w:val="44"/>
          <w:sz w:val="48"/>
          <w:szCs w:val="44"/>
          <w:highlight w:val="none"/>
          <w14:textFill>
            <w14:solidFill>
              <w14:schemeClr w14:val="tx1"/>
            </w14:solidFill>
          </w14:textFill>
        </w:rPr>
      </w:pPr>
    </w:p>
    <w:p w14:paraId="05895D81">
      <w:pPr>
        <w:spacing w:before="240" w:beforeLines="100" w:line="360" w:lineRule="auto"/>
        <w:jc w:val="center"/>
        <w:outlineLvl w:val="0"/>
        <w:rPr>
          <w:rFonts w:hint="eastAsia" w:ascii="黑体" w:hAnsi="宋体" w:eastAsia="黑体"/>
          <w:b/>
          <w:color w:val="000000" w:themeColor="text1"/>
          <w:sz w:val="44"/>
          <w:szCs w:val="44"/>
          <w:highlight w:val="none"/>
          <w14:textFill>
            <w14:solidFill>
              <w14:schemeClr w14:val="tx1"/>
            </w14:solidFill>
          </w14:textFill>
        </w:rPr>
      </w:pPr>
      <w:bookmarkStart w:id="32" w:name="_Toc30376"/>
      <w:r>
        <w:rPr>
          <w:rFonts w:hint="eastAsia" w:ascii="黑体" w:hAnsi="宋体" w:eastAsia="黑体"/>
          <w:b/>
          <w:color w:val="000000" w:themeColor="text1"/>
          <w:sz w:val="44"/>
          <w:szCs w:val="44"/>
          <w:highlight w:val="none"/>
          <w14:textFill>
            <w14:solidFill>
              <w14:schemeClr w14:val="tx1"/>
            </w14:solidFill>
          </w14:textFill>
        </w:rPr>
        <w:t>第二章  投标人须知</w:t>
      </w:r>
    </w:p>
    <w:p w14:paraId="01D4E337">
      <w:pPr>
        <w:spacing w:line="360" w:lineRule="auto"/>
        <w:jc w:val="center"/>
        <w:outlineLvl w:val="1"/>
        <w:rPr>
          <w:rFonts w:hint="eastAsia" w:ascii="黑体" w:hAnsi="宋体" w:eastAsia="黑体"/>
          <w:color w:val="000000" w:themeColor="text1"/>
          <w:sz w:val="36"/>
          <w:szCs w:val="36"/>
          <w:highlight w:val="none"/>
          <w14:textFill>
            <w14:solidFill>
              <w14:schemeClr w14:val="tx1"/>
            </w14:solidFill>
          </w14:textFill>
        </w:rPr>
      </w:pPr>
      <w:r>
        <w:rPr>
          <w:rFonts w:hint="eastAsia" w:ascii="黑体" w:hAnsi="宋体" w:eastAsia="黑体"/>
          <w:color w:val="000000" w:themeColor="text1"/>
          <w:sz w:val="36"/>
          <w:szCs w:val="36"/>
          <w:highlight w:val="none"/>
          <w14:textFill>
            <w14:solidFill>
              <w14:schemeClr w14:val="tx1"/>
            </w14:solidFill>
          </w14:textFill>
        </w:rPr>
        <w:t>投标人须知前附表</w:t>
      </w:r>
    </w:p>
    <w:bookmarkEnd w:id="21"/>
    <w:bookmarkEnd w:id="22"/>
    <w:bookmarkEnd w:id="23"/>
    <w:bookmarkEnd w:id="24"/>
    <w:bookmarkEnd w:id="25"/>
    <w:bookmarkEnd w:id="26"/>
    <w:bookmarkEnd w:id="27"/>
    <w:bookmarkEnd w:id="32"/>
    <w:tbl>
      <w:tblPr>
        <w:tblStyle w:val="31"/>
        <w:tblW w:w="9748"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811"/>
        <w:gridCol w:w="2160"/>
        <w:gridCol w:w="6777"/>
      </w:tblGrid>
      <w:tr w14:paraId="6DF6E59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1" w:hRule="exact"/>
          <w:tblHeader/>
          <w:jc w:val="center"/>
        </w:trPr>
        <w:tc>
          <w:tcPr>
            <w:tcW w:w="811" w:type="dxa"/>
            <w:tcBorders>
              <w:top w:val="single" w:color="auto" w:sz="18" w:space="0"/>
              <w:left w:val="single" w:color="auto" w:sz="18" w:space="0"/>
              <w:bottom w:val="single" w:color="auto" w:sz="8" w:space="0"/>
              <w:right w:val="single" w:color="auto" w:sz="8" w:space="0"/>
            </w:tcBorders>
            <w:vAlign w:val="center"/>
          </w:tcPr>
          <w:p w14:paraId="5F1D596E">
            <w:pPr>
              <w:pStyle w:val="60"/>
              <w:ind w:left="9"/>
              <w:jc w:val="center"/>
              <w:rPr>
                <w:rFonts w:hint="eastAsia"/>
                <w:b/>
                <w:bCs/>
                <w:color w:val="000000" w:themeColor="text1"/>
                <w:sz w:val="21"/>
                <w:szCs w:val="21"/>
                <w:highlight w:val="none"/>
                <w:lang w:val="zh-CN"/>
                <w14:textFill>
                  <w14:solidFill>
                    <w14:schemeClr w14:val="tx1"/>
                  </w14:solidFill>
                </w14:textFill>
              </w:rPr>
            </w:pPr>
            <w:bookmarkStart w:id="33" w:name="_Toc189727030"/>
            <w:bookmarkStart w:id="34" w:name="_Toc213496268"/>
            <w:bookmarkStart w:id="35" w:name="_Toc213396760"/>
            <w:bookmarkStart w:id="36" w:name="_Toc213397010"/>
            <w:bookmarkStart w:id="37" w:name="_Toc184274915"/>
            <w:bookmarkStart w:id="38" w:name="_Toc217446032"/>
            <w:bookmarkStart w:id="39" w:name="_Toc184283909"/>
            <w:bookmarkStart w:id="40" w:name="_Toc213396946"/>
            <w:r>
              <w:rPr>
                <w:rFonts w:hint="eastAsia"/>
                <w:b/>
                <w:bCs/>
                <w:color w:val="000000" w:themeColor="text1"/>
                <w:sz w:val="21"/>
                <w:szCs w:val="21"/>
                <w:highlight w:val="none"/>
                <w:lang w:val="zh-CN"/>
                <w14:textFill>
                  <w14:solidFill>
                    <w14:schemeClr w14:val="tx1"/>
                  </w14:solidFill>
                </w14:textFill>
              </w:rPr>
              <w:t>序号</w:t>
            </w:r>
          </w:p>
        </w:tc>
        <w:tc>
          <w:tcPr>
            <w:tcW w:w="2160" w:type="dxa"/>
            <w:tcBorders>
              <w:top w:val="single" w:color="auto" w:sz="18" w:space="0"/>
              <w:left w:val="single" w:color="auto" w:sz="8" w:space="0"/>
              <w:bottom w:val="single" w:color="auto" w:sz="8" w:space="0"/>
              <w:right w:val="single" w:color="auto" w:sz="8" w:space="0"/>
            </w:tcBorders>
            <w:vAlign w:val="center"/>
          </w:tcPr>
          <w:p w14:paraId="03FCCC1D">
            <w:pPr>
              <w:pStyle w:val="60"/>
              <w:ind w:left="38"/>
              <w:jc w:val="center"/>
              <w:rPr>
                <w:rFonts w:hint="eastAsia"/>
                <w:b/>
                <w:bCs/>
                <w:color w:val="000000" w:themeColor="text1"/>
                <w:sz w:val="21"/>
                <w:szCs w:val="21"/>
                <w:highlight w:val="none"/>
                <w:lang w:val="zh-CN"/>
                <w14:textFill>
                  <w14:solidFill>
                    <w14:schemeClr w14:val="tx1"/>
                  </w14:solidFill>
                </w14:textFill>
              </w:rPr>
            </w:pPr>
            <w:r>
              <w:rPr>
                <w:rFonts w:hint="eastAsia"/>
                <w:b/>
                <w:bCs/>
                <w:color w:val="000000" w:themeColor="text1"/>
                <w:sz w:val="21"/>
                <w:szCs w:val="21"/>
                <w:highlight w:val="none"/>
                <w:lang w:val="zh-CN"/>
                <w14:textFill>
                  <w14:solidFill>
                    <w14:schemeClr w14:val="tx1"/>
                  </w14:solidFill>
                </w14:textFill>
              </w:rPr>
              <w:t>内容</w:t>
            </w:r>
          </w:p>
        </w:tc>
        <w:tc>
          <w:tcPr>
            <w:tcW w:w="6777" w:type="dxa"/>
            <w:tcBorders>
              <w:top w:val="single" w:color="auto" w:sz="18" w:space="0"/>
              <w:left w:val="single" w:color="auto" w:sz="8" w:space="0"/>
              <w:bottom w:val="single" w:color="auto" w:sz="8" w:space="0"/>
              <w:right w:val="single" w:color="auto" w:sz="18" w:space="0"/>
            </w:tcBorders>
            <w:vAlign w:val="center"/>
          </w:tcPr>
          <w:p w14:paraId="142F19A1">
            <w:pPr>
              <w:pStyle w:val="60"/>
              <w:jc w:val="center"/>
              <w:rPr>
                <w:rFonts w:hint="eastAsia"/>
                <w:b/>
                <w:bCs/>
                <w:color w:val="000000" w:themeColor="text1"/>
                <w:sz w:val="21"/>
                <w:szCs w:val="21"/>
                <w:highlight w:val="none"/>
                <w:lang w:val="zh-CN"/>
                <w14:textFill>
                  <w14:solidFill>
                    <w14:schemeClr w14:val="tx1"/>
                  </w14:solidFill>
                </w14:textFill>
              </w:rPr>
            </w:pPr>
            <w:r>
              <w:rPr>
                <w:rFonts w:hint="eastAsia"/>
                <w:b/>
                <w:bCs/>
                <w:color w:val="000000" w:themeColor="text1"/>
                <w:sz w:val="21"/>
                <w:szCs w:val="21"/>
                <w:highlight w:val="none"/>
                <w:lang w:val="zh-CN"/>
                <w14:textFill>
                  <w14:solidFill>
                    <w14:schemeClr w14:val="tx1"/>
                  </w14:solidFill>
                </w14:textFill>
              </w:rPr>
              <w:t>说明和要求</w:t>
            </w:r>
          </w:p>
        </w:tc>
      </w:tr>
      <w:tr w14:paraId="323A600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6"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3D2C339">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1</w:t>
            </w:r>
          </w:p>
        </w:tc>
        <w:tc>
          <w:tcPr>
            <w:tcW w:w="2160" w:type="dxa"/>
            <w:tcBorders>
              <w:top w:val="single" w:color="auto" w:sz="8" w:space="0"/>
              <w:left w:val="single" w:color="auto" w:sz="8" w:space="0"/>
              <w:bottom w:val="single" w:color="auto" w:sz="8" w:space="0"/>
              <w:right w:val="single" w:color="auto" w:sz="8" w:space="0"/>
            </w:tcBorders>
            <w:vAlign w:val="center"/>
          </w:tcPr>
          <w:p w14:paraId="379834CE">
            <w:pPr>
              <w:pStyle w:val="60"/>
              <w:jc w:val="cente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采购人</w:t>
            </w:r>
          </w:p>
        </w:tc>
        <w:tc>
          <w:tcPr>
            <w:tcW w:w="6777" w:type="dxa"/>
            <w:tcBorders>
              <w:top w:val="single" w:color="auto" w:sz="8" w:space="0"/>
              <w:left w:val="single" w:color="auto" w:sz="8" w:space="0"/>
              <w:bottom w:val="single" w:color="auto" w:sz="8" w:space="0"/>
              <w:right w:val="single" w:color="auto" w:sz="18" w:space="0"/>
            </w:tcBorders>
            <w:vAlign w:val="center"/>
          </w:tcPr>
          <w:p w14:paraId="652E872B">
            <w:pPr>
              <w:pStyle w:val="60"/>
              <w:ind w:firstLine="210" w:firstLineChars="100"/>
              <w:rPr>
                <w:rFonts w:hint="eastAsia"/>
                <w:color w:val="000000" w:themeColor="text1"/>
                <w:kern w:val="2"/>
                <w:sz w:val="21"/>
                <w:szCs w:val="21"/>
                <w:highlight w:val="none"/>
                <w:lang w:val="zh-CN"/>
                <w14:textFill>
                  <w14:solidFill>
                    <w14:schemeClr w14:val="tx1"/>
                  </w14:solidFill>
                </w14:textFill>
              </w:rPr>
            </w:pPr>
            <w:r>
              <w:rPr>
                <w:rFonts w:hint="eastAsia"/>
                <w:color w:val="000000" w:themeColor="text1"/>
                <w:kern w:val="2"/>
                <w:sz w:val="21"/>
                <w:szCs w:val="21"/>
                <w:highlight w:val="none"/>
                <w:lang w:val="zh-CN"/>
                <w14:textFill>
                  <w14:solidFill>
                    <w14:schemeClr w14:val="tx1"/>
                  </w14:solidFill>
                </w14:textFill>
              </w:rPr>
              <w:t>名  称: 陕西测绘地理信息局后勤服务中心</w:t>
            </w:r>
          </w:p>
          <w:p w14:paraId="45046FA3">
            <w:pPr>
              <w:pStyle w:val="60"/>
              <w:ind w:firstLine="210" w:firstLineChars="100"/>
              <w:rPr>
                <w:rFonts w:hint="eastAsia"/>
                <w:color w:val="000000" w:themeColor="text1"/>
                <w:kern w:val="2"/>
                <w:sz w:val="21"/>
                <w:szCs w:val="21"/>
                <w:highlight w:val="none"/>
                <w:lang w:val="zh-CN"/>
                <w14:textFill>
                  <w14:solidFill>
                    <w14:schemeClr w14:val="tx1"/>
                  </w14:solidFill>
                </w14:textFill>
              </w:rPr>
            </w:pPr>
            <w:r>
              <w:rPr>
                <w:rFonts w:hint="eastAsia"/>
                <w:color w:val="000000" w:themeColor="text1"/>
                <w:kern w:val="2"/>
                <w:sz w:val="21"/>
                <w:szCs w:val="21"/>
                <w:highlight w:val="none"/>
                <w:lang w:val="zh-CN"/>
                <w14:textFill>
                  <w14:solidFill>
                    <w14:schemeClr w14:val="tx1"/>
                  </w14:solidFill>
                </w14:textFill>
              </w:rPr>
              <w:t>地  址: 西安市友谊东路334号</w:t>
            </w:r>
          </w:p>
          <w:p w14:paraId="563B9316">
            <w:pPr>
              <w:pStyle w:val="60"/>
              <w:ind w:firstLine="210" w:firstLineChars="100"/>
              <w:rPr>
                <w:rFonts w:hint="eastAsia"/>
                <w:color w:val="000000" w:themeColor="text1"/>
                <w:kern w:val="2"/>
                <w:sz w:val="21"/>
                <w:szCs w:val="21"/>
                <w:highlight w:val="none"/>
                <w:lang w:val="zh-CN"/>
                <w14:textFill>
                  <w14:solidFill>
                    <w14:schemeClr w14:val="tx1"/>
                  </w14:solidFill>
                </w14:textFill>
              </w:rPr>
            </w:pPr>
            <w:r>
              <w:rPr>
                <w:rFonts w:hint="eastAsia"/>
                <w:color w:val="000000" w:themeColor="text1"/>
                <w:kern w:val="2"/>
                <w:sz w:val="21"/>
                <w:szCs w:val="21"/>
                <w:highlight w:val="none"/>
                <w:lang w:val="zh-CN"/>
                <w14:textFill>
                  <w14:solidFill>
                    <w14:schemeClr w14:val="tx1"/>
                  </w14:solidFill>
                </w14:textFill>
              </w:rPr>
              <w:t>联系</w:t>
            </w:r>
            <w:r>
              <w:rPr>
                <w:rFonts w:hint="eastAsia"/>
                <w:color w:val="000000" w:themeColor="text1"/>
                <w:kern w:val="2"/>
                <w:sz w:val="21"/>
                <w:szCs w:val="21"/>
                <w:highlight w:val="none"/>
                <w14:textFill>
                  <w14:solidFill>
                    <w14:schemeClr w14:val="tx1"/>
                  </w14:solidFill>
                </w14:textFill>
              </w:rPr>
              <w:t>人</w:t>
            </w:r>
            <w:r>
              <w:rPr>
                <w:rFonts w:hint="eastAsia"/>
                <w:color w:val="000000" w:themeColor="text1"/>
                <w:kern w:val="2"/>
                <w:sz w:val="21"/>
                <w:szCs w:val="21"/>
                <w:highlight w:val="none"/>
                <w:lang w:val="zh-CN"/>
                <w14:textFill>
                  <w14:solidFill>
                    <w14:schemeClr w14:val="tx1"/>
                  </w14:solidFill>
                </w14:textFill>
              </w:rPr>
              <w:t xml:space="preserve">: </w:t>
            </w:r>
            <w:r>
              <w:rPr>
                <w:rFonts w:hint="eastAsia"/>
                <w:color w:val="000000" w:themeColor="text1"/>
                <w:kern w:val="2"/>
                <w:sz w:val="21"/>
                <w:szCs w:val="21"/>
                <w:highlight w:val="none"/>
                <w14:textFill>
                  <w14:solidFill>
                    <w14:schemeClr w14:val="tx1"/>
                  </w14:solidFill>
                </w14:textFill>
              </w:rPr>
              <w:t>陈叙言</w:t>
            </w:r>
            <w:r>
              <w:rPr>
                <w:rFonts w:hint="eastAsia"/>
                <w:color w:val="000000" w:themeColor="text1"/>
                <w:kern w:val="2"/>
                <w:sz w:val="21"/>
                <w:szCs w:val="21"/>
                <w:highlight w:val="none"/>
                <w:lang w:val="zh-CN"/>
                <w14:textFill>
                  <w14:solidFill>
                    <w14:schemeClr w14:val="tx1"/>
                  </w14:solidFill>
                </w14:textFill>
              </w:rPr>
              <w:t xml:space="preserve">   </w:t>
            </w:r>
          </w:p>
          <w:p w14:paraId="468688C9">
            <w:pPr>
              <w:pStyle w:val="60"/>
              <w:ind w:firstLine="210" w:firstLineChars="100"/>
              <w:rPr>
                <w:rFonts w:hint="eastAsia"/>
                <w:color w:val="000000" w:themeColor="text1"/>
                <w:sz w:val="21"/>
                <w:szCs w:val="21"/>
                <w:highlight w:val="none"/>
                <w14:textFill>
                  <w14:solidFill>
                    <w14:schemeClr w14:val="tx1"/>
                  </w14:solidFill>
                </w14:textFill>
              </w:rPr>
            </w:pPr>
            <w:r>
              <w:rPr>
                <w:rFonts w:hint="eastAsia"/>
                <w:color w:val="000000" w:themeColor="text1"/>
                <w:kern w:val="2"/>
                <w:sz w:val="21"/>
                <w:szCs w:val="21"/>
                <w:highlight w:val="none"/>
                <w14:textFill>
                  <w14:solidFill>
                    <w14:schemeClr w14:val="tx1"/>
                  </w14:solidFill>
                </w14:textFill>
              </w:rPr>
              <w:t>电  话：</w:t>
            </w:r>
            <w:r>
              <w:rPr>
                <w:rFonts w:hint="eastAsia"/>
                <w:color w:val="000000" w:themeColor="text1"/>
                <w:kern w:val="2"/>
                <w:sz w:val="21"/>
                <w:szCs w:val="21"/>
                <w:highlight w:val="none"/>
                <w:lang w:val="zh-CN"/>
                <w14:textFill>
                  <w14:solidFill>
                    <w14:schemeClr w14:val="tx1"/>
                  </w14:solidFill>
                </w14:textFill>
              </w:rPr>
              <w:t>029-87604345</w:t>
            </w:r>
          </w:p>
        </w:tc>
      </w:tr>
      <w:tr w14:paraId="6CF4752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57"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04830B05">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w:t>
            </w:r>
          </w:p>
        </w:tc>
        <w:tc>
          <w:tcPr>
            <w:tcW w:w="2160" w:type="dxa"/>
            <w:tcBorders>
              <w:top w:val="single" w:color="auto" w:sz="8" w:space="0"/>
              <w:left w:val="single" w:color="auto" w:sz="8" w:space="0"/>
              <w:bottom w:val="single" w:color="auto" w:sz="8" w:space="0"/>
              <w:right w:val="single" w:color="auto" w:sz="8" w:space="0"/>
            </w:tcBorders>
            <w:vAlign w:val="center"/>
          </w:tcPr>
          <w:p w14:paraId="324A78D0">
            <w:pPr>
              <w:pStyle w:val="60"/>
              <w:ind w:left="38"/>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采购代理机构</w:t>
            </w:r>
          </w:p>
        </w:tc>
        <w:tc>
          <w:tcPr>
            <w:tcW w:w="6777" w:type="dxa"/>
            <w:tcBorders>
              <w:top w:val="single" w:color="auto" w:sz="8" w:space="0"/>
              <w:left w:val="single" w:color="auto" w:sz="8" w:space="0"/>
              <w:bottom w:val="single" w:color="auto" w:sz="8" w:space="0"/>
              <w:right w:val="single" w:color="auto" w:sz="18" w:space="0"/>
            </w:tcBorders>
            <w:vAlign w:val="center"/>
          </w:tcPr>
          <w:p w14:paraId="6E098DAA">
            <w:pPr>
              <w:pStyle w:val="60"/>
              <w:ind w:firstLine="210" w:firstLineChars="100"/>
              <w:rPr>
                <w:rFonts w:hint="eastAsia"/>
                <w:color w:val="000000" w:themeColor="text1"/>
                <w:kern w:val="2"/>
                <w:sz w:val="21"/>
                <w:szCs w:val="21"/>
                <w:highlight w:val="none"/>
                <w:lang w:val="zh-CN"/>
                <w14:textFill>
                  <w14:solidFill>
                    <w14:schemeClr w14:val="tx1"/>
                  </w14:solidFill>
                </w14:textFill>
              </w:rPr>
            </w:pPr>
            <w:r>
              <w:rPr>
                <w:rFonts w:hint="eastAsia"/>
                <w:color w:val="000000" w:themeColor="text1"/>
                <w:kern w:val="2"/>
                <w:sz w:val="21"/>
                <w:szCs w:val="21"/>
                <w:highlight w:val="none"/>
                <w:lang w:val="zh-CN"/>
                <w14:textFill>
                  <w14:solidFill>
                    <w14:schemeClr w14:val="tx1"/>
                  </w14:solidFill>
                </w14:textFill>
              </w:rPr>
              <w:t>名  称: 陕西隆信项目管理有限公司</w:t>
            </w:r>
          </w:p>
          <w:p w14:paraId="7F8CA53F">
            <w:pPr>
              <w:pStyle w:val="60"/>
              <w:ind w:firstLine="210" w:firstLineChars="100"/>
              <w:rPr>
                <w:rFonts w:hint="eastAsia"/>
                <w:color w:val="000000" w:themeColor="text1"/>
                <w:kern w:val="2"/>
                <w:sz w:val="21"/>
                <w:szCs w:val="21"/>
                <w:highlight w:val="none"/>
                <w:lang w:val="zh-CN"/>
                <w14:textFill>
                  <w14:solidFill>
                    <w14:schemeClr w14:val="tx1"/>
                  </w14:solidFill>
                </w14:textFill>
              </w:rPr>
            </w:pPr>
            <w:r>
              <w:rPr>
                <w:rFonts w:hint="eastAsia"/>
                <w:color w:val="000000" w:themeColor="text1"/>
                <w:kern w:val="2"/>
                <w:sz w:val="21"/>
                <w:szCs w:val="21"/>
                <w:highlight w:val="none"/>
                <w:lang w:val="zh-CN"/>
                <w14:textFill>
                  <w14:solidFill>
                    <w14:schemeClr w14:val="tx1"/>
                  </w14:solidFill>
                </w14:textFill>
              </w:rPr>
              <w:t>地  址: 陕西省西安市雁塔区雁翔路111号赛格·中京坊公寓A1单元2层</w:t>
            </w:r>
          </w:p>
          <w:p w14:paraId="51AC50B4">
            <w:pPr>
              <w:pStyle w:val="60"/>
              <w:ind w:firstLine="210" w:firstLineChars="100"/>
              <w:rPr>
                <w:rFonts w:hint="eastAsia"/>
                <w:color w:val="000000" w:themeColor="text1"/>
                <w:kern w:val="2"/>
                <w:sz w:val="21"/>
                <w:szCs w:val="21"/>
                <w:highlight w:val="none"/>
                <w:lang w:val="zh-CN"/>
                <w14:textFill>
                  <w14:solidFill>
                    <w14:schemeClr w14:val="tx1"/>
                  </w14:solidFill>
                </w14:textFill>
              </w:rPr>
            </w:pPr>
            <w:r>
              <w:rPr>
                <w:rFonts w:hint="eastAsia"/>
                <w:color w:val="000000" w:themeColor="text1"/>
                <w:kern w:val="2"/>
                <w:sz w:val="21"/>
                <w:szCs w:val="21"/>
                <w:highlight w:val="none"/>
                <w:lang w:val="zh-CN"/>
                <w14:textFill>
                  <w14:solidFill>
                    <w14:schemeClr w14:val="tx1"/>
                  </w14:solidFill>
                </w14:textFill>
              </w:rPr>
              <w:t xml:space="preserve">联系人: 郑婧婧、袁歆雨、李亚男、刘晶 </w:t>
            </w:r>
          </w:p>
          <w:p w14:paraId="5AA0FC1B">
            <w:pPr>
              <w:pStyle w:val="60"/>
              <w:ind w:firstLine="210" w:firstLineChars="100"/>
              <w:rPr>
                <w:rFonts w:hint="eastAsia"/>
                <w:color w:val="000000" w:themeColor="text1"/>
                <w:sz w:val="21"/>
                <w:szCs w:val="21"/>
                <w:highlight w:val="none"/>
                <w:lang w:val="zh-CN"/>
                <w14:textFill>
                  <w14:solidFill>
                    <w14:schemeClr w14:val="tx1"/>
                  </w14:solidFill>
                </w14:textFill>
              </w:rPr>
            </w:pPr>
            <w:r>
              <w:rPr>
                <w:rFonts w:hint="eastAsia"/>
                <w:color w:val="000000" w:themeColor="text1"/>
                <w:kern w:val="2"/>
                <w:sz w:val="21"/>
                <w:szCs w:val="21"/>
                <w:highlight w:val="none"/>
                <w:lang w:val="zh-CN"/>
                <w14:textFill>
                  <w14:solidFill>
                    <w14:schemeClr w14:val="tx1"/>
                  </w14:solidFill>
                </w14:textFill>
              </w:rPr>
              <w:t>电  话: 029-88489979-8106</w:t>
            </w:r>
          </w:p>
        </w:tc>
      </w:tr>
      <w:tr w14:paraId="2B2FB5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40"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93FD8E5">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3</w:t>
            </w:r>
          </w:p>
        </w:tc>
        <w:tc>
          <w:tcPr>
            <w:tcW w:w="2160" w:type="dxa"/>
            <w:tcBorders>
              <w:top w:val="single" w:color="auto" w:sz="8" w:space="0"/>
              <w:left w:val="single" w:color="auto" w:sz="8" w:space="0"/>
              <w:bottom w:val="single" w:color="auto" w:sz="8" w:space="0"/>
              <w:right w:val="single" w:color="auto" w:sz="8" w:space="0"/>
            </w:tcBorders>
            <w:vAlign w:val="center"/>
          </w:tcPr>
          <w:p w14:paraId="2170C726">
            <w:pPr>
              <w:pStyle w:val="60"/>
              <w:ind w:left="38"/>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采购项目名称</w:t>
            </w:r>
          </w:p>
        </w:tc>
        <w:tc>
          <w:tcPr>
            <w:tcW w:w="6777" w:type="dxa"/>
            <w:tcBorders>
              <w:top w:val="single" w:color="auto" w:sz="8" w:space="0"/>
              <w:left w:val="single" w:color="auto" w:sz="8" w:space="0"/>
              <w:bottom w:val="single" w:color="auto" w:sz="8" w:space="0"/>
              <w:right w:val="single" w:color="auto" w:sz="18" w:space="0"/>
            </w:tcBorders>
            <w:vAlign w:val="center"/>
          </w:tcPr>
          <w:p w14:paraId="7E94BD51">
            <w:pPr>
              <w:ind w:firstLine="210" w:firstLineChars="100"/>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陕西测绘地理信息局既有住宅加装电梯项目（三期）首批工程</w:t>
            </w:r>
            <w:r>
              <w:rPr>
                <w:rFonts w:hint="eastAsia"/>
                <w:color w:val="000000" w:themeColor="text1"/>
                <w:szCs w:val="21"/>
                <w:highlight w:val="none"/>
                <w14:textFill>
                  <w14:solidFill>
                    <w14:schemeClr w14:val="tx1"/>
                  </w14:solidFill>
                </w14:textFill>
              </w:rPr>
              <w:t>（7号楼3单元、30号楼2单元、29号楼5、6单元）</w:t>
            </w:r>
          </w:p>
        </w:tc>
      </w:tr>
      <w:tr w14:paraId="0CE981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1"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04C1661">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4</w:t>
            </w:r>
          </w:p>
        </w:tc>
        <w:tc>
          <w:tcPr>
            <w:tcW w:w="2160" w:type="dxa"/>
            <w:tcBorders>
              <w:top w:val="single" w:color="auto" w:sz="8" w:space="0"/>
              <w:left w:val="single" w:color="auto" w:sz="8" w:space="0"/>
              <w:bottom w:val="single" w:color="auto" w:sz="8" w:space="0"/>
              <w:right w:val="single" w:color="auto" w:sz="8" w:space="0"/>
            </w:tcBorders>
            <w:vAlign w:val="center"/>
          </w:tcPr>
          <w:p w14:paraId="62037049">
            <w:pPr>
              <w:pStyle w:val="60"/>
              <w:ind w:left="38"/>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采购项目编号</w:t>
            </w:r>
          </w:p>
        </w:tc>
        <w:tc>
          <w:tcPr>
            <w:tcW w:w="6777" w:type="dxa"/>
            <w:tcBorders>
              <w:top w:val="single" w:color="auto" w:sz="8" w:space="0"/>
              <w:left w:val="single" w:color="auto" w:sz="8" w:space="0"/>
              <w:bottom w:val="single" w:color="auto" w:sz="8" w:space="0"/>
              <w:right w:val="single" w:color="auto" w:sz="18" w:space="0"/>
            </w:tcBorders>
            <w:vAlign w:val="center"/>
          </w:tcPr>
          <w:p w14:paraId="38F793AF">
            <w:pPr>
              <w:ind w:firstLine="105" w:firstLineChars="50"/>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 SXLX26-01-043Z(G)</w:t>
            </w:r>
          </w:p>
        </w:tc>
      </w:tr>
      <w:tr w14:paraId="492B233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13" w:hRule="exact"/>
          <w:jc w:val="center"/>
        </w:trPr>
        <w:tc>
          <w:tcPr>
            <w:tcW w:w="811" w:type="dxa"/>
            <w:tcBorders>
              <w:top w:val="single" w:color="auto" w:sz="8" w:space="0"/>
              <w:left w:val="single" w:color="auto" w:sz="18" w:space="0"/>
              <w:right w:val="single" w:color="auto" w:sz="8" w:space="0"/>
            </w:tcBorders>
            <w:vAlign w:val="center"/>
          </w:tcPr>
          <w:p w14:paraId="75155A26">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5</w:t>
            </w:r>
          </w:p>
        </w:tc>
        <w:tc>
          <w:tcPr>
            <w:tcW w:w="2160" w:type="dxa"/>
            <w:tcBorders>
              <w:top w:val="single" w:color="auto" w:sz="8" w:space="0"/>
              <w:left w:val="single" w:color="auto" w:sz="8" w:space="0"/>
              <w:bottom w:val="single" w:color="auto" w:sz="8" w:space="0"/>
              <w:right w:val="single" w:color="auto" w:sz="8" w:space="0"/>
            </w:tcBorders>
            <w:vAlign w:val="center"/>
          </w:tcPr>
          <w:p w14:paraId="4F3063EE">
            <w:pPr>
              <w:pStyle w:val="60"/>
              <w:ind w:left="38"/>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最高限价</w:t>
            </w:r>
          </w:p>
        </w:tc>
        <w:tc>
          <w:tcPr>
            <w:tcW w:w="6777" w:type="dxa"/>
            <w:tcBorders>
              <w:top w:val="single" w:color="auto" w:sz="8" w:space="0"/>
              <w:left w:val="single" w:color="auto" w:sz="8" w:space="0"/>
              <w:bottom w:val="single" w:color="auto" w:sz="8" w:space="0"/>
              <w:right w:val="single" w:color="auto" w:sz="18" w:space="0"/>
            </w:tcBorders>
            <w:vAlign w:val="center"/>
          </w:tcPr>
          <w:p w14:paraId="0E7692AE">
            <w:pPr>
              <w:pStyle w:val="60"/>
              <w:ind w:left="210" w:leftChars="10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☑有，本项目最高限价</w:t>
            </w:r>
            <w:r>
              <w:rPr>
                <w:rFonts w:hint="eastAsia"/>
                <w:color w:val="000000" w:themeColor="text1"/>
                <w:sz w:val="21"/>
                <w:szCs w:val="21"/>
                <w:highlight w:val="none"/>
                <w:u w:val="single"/>
                <w14:textFill>
                  <w14:solidFill>
                    <w14:schemeClr w14:val="tx1"/>
                  </w14:solidFill>
                </w14:textFill>
              </w:rPr>
              <w:t>345.408995</w:t>
            </w:r>
            <w:r>
              <w:rPr>
                <w:rFonts w:hint="eastAsia"/>
                <w:color w:val="000000" w:themeColor="text1"/>
                <w:sz w:val="21"/>
                <w:szCs w:val="21"/>
                <w:highlight w:val="none"/>
                <w14:textFill>
                  <w14:solidFill>
                    <w14:schemeClr w14:val="tx1"/>
                  </w14:solidFill>
                </w14:textFill>
              </w:rPr>
              <w:t>万元，</w:t>
            </w:r>
          </w:p>
          <w:p w14:paraId="75E5E24B">
            <w:pPr>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其中：</w:t>
            </w:r>
          </w:p>
          <w:p w14:paraId="0F274339">
            <w:pPr>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1、暂列金额：共计241000.00元（不含增值税）。</w:t>
            </w:r>
          </w:p>
          <w:p w14:paraId="704A8B71">
            <w:pPr>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2、专业工程暂估价：共计 694441.00元（含增值税）。</w:t>
            </w:r>
          </w:p>
          <w:p w14:paraId="76D44E8E">
            <w:pPr>
              <w:pStyle w:val="29"/>
              <w:ind w:firstLine="422" w:firstLineChars="200"/>
              <w:rPr>
                <w:rFonts w:hint="eastAsia" w:ascii="宋体"/>
                <w:bCs/>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投标人投标报价不得超出工程最高限价，投标人未按以上规定报价的，按无效投标处理。暂列金和专业工程暂估价为不可竞争费用，</w:t>
            </w:r>
            <w:r>
              <w:rPr>
                <w:rFonts w:hint="eastAsia" w:ascii="宋体"/>
                <w:bCs/>
                <w:color w:val="000000" w:themeColor="text1"/>
                <w:sz w:val="21"/>
                <w:szCs w:val="21"/>
                <w:highlight w:val="none"/>
                <w14:textFill>
                  <w14:solidFill>
                    <w14:schemeClr w14:val="tx1"/>
                  </w14:solidFill>
                </w14:textFill>
              </w:rPr>
              <w:t>投标人组价时必须按此费用计入，否则按无效投标处理。</w:t>
            </w:r>
          </w:p>
          <w:p w14:paraId="49D69BFD">
            <w:pPr>
              <w:pStyle w:val="60"/>
              <w:ind w:firstLine="210" w:firstLineChars="10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□无</w:t>
            </w:r>
          </w:p>
        </w:tc>
      </w:tr>
      <w:tr w14:paraId="7262D02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44"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16F384F9">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6</w:t>
            </w:r>
          </w:p>
        </w:tc>
        <w:tc>
          <w:tcPr>
            <w:tcW w:w="2160" w:type="dxa"/>
            <w:tcBorders>
              <w:top w:val="single" w:color="auto" w:sz="8" w:space="0"/>
              <w:left w:val="single" w:color="auto" w:sz="8" w:space="0"/>
              <w:bottom w:val="single" w:color="auto" w:sz="8" w:space="0"/>
              <w:right w:val="single" w:color="auto" w:sz="8" w:space="0"/>
            </w:tcBorders>
            <w:vAlign w:val="center"/>
          </w:tcPr>
          <w:p w14:paraId="17410593">
            <w:pPr>
              <w:pStyle w:val="60"/>
              <w:ind w:left="38"/>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是否预留份额专门</w:t>
            </w:r>
          </w:p>
          <w:p w14:paraId="347F85F6">
            <w:pPr>
              <w:pStyle w:val="60"/>
              <w:ind w:left="38"/>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面向中小企业采购</w:t>
            </w:r>
          </w:p>
        </w:tc>
        <w:tc>
          <w:tcPr>
            <w:tcW w:w="6777" w:type="dxa"/>
            <w:tcBorders>
              <w:top w:val="single" w:color="auto" w:sz="8" w:space="0"/>
              <w:left w:val="single" w:color="auto" w:sz="8" w:space="0"/>
              <w:bottom w:val="single" w:color="auto" w:sz="8" w:space="0"/>
              <w:right w:val="single" w:color="auto" w:sz="18" w:space="0"/>
            </w:tcBorders>
            <w:vAlign w:val="center"/>
          </w:tcPr>
          <w:p w14:paraId="1B42F2A1">
            <w:pPr>
              <w:pStyle w:val="60"/>
              <w:ind w:firstLine="210" w:firstLineChars="100"/>
              <w:jc w:val="both"/>
              <w:rPr>
                <w:rFonts w:hint="eastAsia"/>
                <w:color w:val="000000" w:themeColor="text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是，投标人应为符合政策要求的中小企业或者残疾人福利性单位或监狱企业，否则按无效投标处理。</w:t>
            </w:r>
          </w:p>
        </w:tc>
      </w:tr>
      <w:tr w14:paraId="5787093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44"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53D8FEFA">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7</w:t>
            </w:r>
          </w:p>
        </w:tc>
        <w:tc>
          <w:tcPr>
            <w:tcW w:w="2160" w:type="dxa"/>
            <w:tcBorders>
              <w:top w:val="single" w:color="auto" w:sz="8" w:space="0"/>
              <w:left w:val="single" w:color="auto" w:sz="8" w:space="0"/>
              <w:bottom w:val="single" w:color="auto" w:sz="8" w:space="0"/>
              <w:right w:val="single" w:color="auto" w:sz="8" w:space="0"/>
            </w:tcBorders>
            <w:vAlign w:val="center"/>
          </w:tcPr>
          <w:p w14:paraId="46BA9250">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是否接受联合体</w:t>
            </w:r>
          </w:p>
        </w:tc>
        <w:tc>
          <w:tcPr>
            <w:tcW w:w="6777" w:type="dxa"/>
            <w:tcBorders>
              <w:top w:val="single" w:color="auto" w:sz="8" w:space="0"/>
              <w:left w:val="single" w:color="auto" w:sz="8" w:space="0"/>
              <w:bottom w:val="single" w:color="auto" w:sz="8" w:space="0"/>
              <w:right w:val="single" w:color="auto" w:sz="18" w:space="0"/>
            </w:tcBorders>
            <w:vAlign w:val="center"/>
          </w:tcPr>
          <w:p w14:paraId="7E8BEA90">
            <w:pPr>
              <w:ind w:left="105" w:leftChars="50" w:right="105" w:rightChars="50" w:firstLine="105" w:firstLineChars="5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不接受</w:t>
            </w:r>
          </w:p>
          <w:p w14:paraId="58B29EE8">
            <w:pPr>
              <w:ind w:left="105" w:leftChars="50" w:right="105" w:rightChars="50" w:firstLine="105" w:firstLineChars="50"/>
              <w:rPr>
                <w:rFonts w:hint="eastAsia"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接受，详见投标人须知第</w:t>
            </w:r>
            <w:r>
              <w:rPr>
                <w:rFonts w:hint="eastAsia" w:ascii="宋体" w:hAnsi="宋体"/>
                <w:color w:val="000000" w:themeColor="text1"/>
                <w:szCs w:val="21"/>
                <w:highlight w:val="none"/>
                <w14:textFill>
                  <w14:solidFill>
                    <w14:schemeClr w14:val="tx1"/>
                  </w14:solidFill>
                </w14:textFill>
              </w:rPr>
              <w:t>3.3</w:t>
            </w:r>
            <w:r>
              <w:rPr>
                <w:rFonts w:hint="eastAsia"/>
                <w:color w:val="000000" w:themeColor="text1"/>
                <w:szCs w:val="21"/>
                <w:highlight w:val="none"/>
                <w14:textFill>
                  <w14:solidFill>
                    <w14:schemeClr w14:val="tx1"/>
                  </w14:solidFill>
                </w14:textFill>
              </w:rPr>
              <w:t>条款</w:t>
            </w:r>
          </w:p>
        </w:tc>
      </w:tr>
      <w:tr w14:paraId="265339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1"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2796223">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8</w:t>
            </w:r>
          </w:p>
        </w:tc>
        <w:tc>
          <w:tcPr>
            <w:tcW w:w="2160" w:type="dxa"/>
            <w:tcBorders>
              <w:top w:val="single" w:color="auto" w:sz="8" w:space="0"/>
              <w:left w:val="single" w:color="auto" w:sz="8" w:space="0"/>
              <w:bottom w:val="single" w:color="auto" w:sz="8" w:space="0"/>
              <w:right w:val="single" w:color="auto" w:sz="8" w:space="0"/>
            </w:tcBorders>
            <w:vAlign w:val="center"/>
          </w:tcPr>
          <w:p w14:paraId="35B6CCC8">
            <w:pPr>
              <w:pStyle w:val="60"/>
              <w:ind w:left="38"/>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总承包范围</w:t>
            </w:r>
          </w:p>
        </w:tc>
        <w:tc>
          <w:tcPr>
            <w:tcW w:w="6777" w:type="dxa"/>
            <w:tcBorders>
              <w:top w:val="single" w:color="auto" w:sz="8" w:space="0"/>
              <w:left w:val="single" w:color="auto" w:sz="8" w:space="0"/>
              <w:bottom w:val="single" w:color="auto" w:sz="8" w:space="0"/>
              <w:right w:val="single" w:color="auto" w:sz="18" w:space="0"/>
            </w:tcBorders>
            <w:vAlign w:val="center"/>
          </w:tcPr>
          <w:p w14:paraId="40DAD612">
            <w:pPr>
              <w:pStyle w:val="6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  详见招标文件采购需求。</w:t>
            </w:r>
          </w:p>
        </w:tc>
      </w:tr>
      <w:tr w14:paraId="5648D12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1E3B93B">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9</w:t>
            </w:r>
          </w:p>
        </w:tc>
        <w:tc>
          <w:tcPr>
            <w:tcW w:w="2160" w:type="dxa"/>
            <w:tcBorders>
              <w:top w:val="single" w:color="auto" w:sz="8" w:space="0"/>
              <w:left w:val="single" w:color="auto" w:sz="8" w:space="0"/>
              <w:bottom w:val="single" w:color="auto" w:sz="8" w:space="0"/>
              <w:right w:val="single" w:color="auto" w:sz="8" w:space="0"/>
            </w:tcBorders>
            <w:vAlign w:val="center"/>
          </w:tcPr>
          <w:p w14:paraId="7845F9FA">
            <w:pPr>
              <w:pStyle w:val="60"/>
              <w:ind w:left="96"/>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计划工期</w:t>
            </w:r>
          </w:p>
        </w:tc>
        <w:tc>
          <w:tcPr>
            <w:tcW w:w="6777" w:type="dxa"/>
            <w:tcBorders>
              <w:top w:val="single" w:color="auto" w:sz="8" w:space="0"/>
              <w:left w:val="single" w:color="auto" w:sz="8" w:space="0"/>
              <w:bottom w:val="single" w:color="auto" w:sz="8" w:space="0"/>
              <w:right w:val="single" w:color="auto" w:sz="18" w:space="0"/>
            </w:tcBorders>
            <w:vAlign w:val="center"/>
          </w:tcPr>
          <w:p w14:paraId="2F93DB17">
            <w:pPr>
              <w:pStyle w:val="60"/>
              <w:spacing w:line="320" w:lineRule="exact"/>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150</w:t>
            </w:r>
            <w:r>
              <w:rPr>
                <w:rFonts w:hint="eastAsia"/>
                <w:color w:val="000000" w:themeColor="text1"/>
                <w:sz w:val="21"/>
                <w:szCs w:val="21"/>
                <w:highlight w:val="none"/>
                <w:lang w:val="zh-CN"/>
                <w14:textFill>
                  <w14:solidFill>
                    <w14:schemeClr w14:val="tx1"/>
                  </w14:solidFill>
                </w14:textFill>
              </w:rPr>
              <w:t>日历天，具体开工日期以发包人书面通知为准</w:t>
            </w:r>
          </w:p>
        </w:tc>
      </w:tr>
      <w:tr w14:paraId="190FA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2"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28CB02A">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10</w:t>
            </w:r>
          </w:p>
        </w:tc>
        <w:tc>
          <w:tcPr>
            <w:tcW w:w="2160" w:type="dxa"/>
            <w:tcBorders>
              <w:top w:val="single" w:color="auto" w:sz="8" w:space="0"/>
              <w:left w:val="single" w:color="auto" w:sz="8" w:space="0"/>
              <w:bottom w:val="single" w:color="auto" w:sz="8" w:space="0"/>
              <w:right w:val="single" w:color="auto" w:sz="8" w:space="0"/>
            </w:tcBorders>
            <w:vAlign w:val="center"/>
          </w:tcPr>
          <w:p w14:paraId="2A4F23C9">
            <w:pPr>
              <w:pStyle w:val="60"/>
              <w:ind w:left="38"/>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建设地点</w:t>
            </w:r>
          </w:p>
        </w:tc>
        <w:tc>
          <w:tcPr>
            <w:tcW w:w="6777" w:type="dxa"/>
            <w:tcBorders>
              <w:top w:val="single" w:color="auto" w:sz="8" w:space="0"/>
              <w:left w:val="single" w:color="auto" w:sz="8" w:space="0"/>
              <w:bottom w:val="single" w:color="auto" w:sz="8" w:space="0"/>
              <w:right w:val="single" w:color="auto" w:sz="18" w:space="0"/>
            </w:tcBorders>
            <w:vAlign w:val="center"/>
          </w:tcPr>
          <w:p w14:paraId="391C9868">
            <w:pPr>
              <w:pStyle w:val="60"/>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西安市碑林区友谊东路334号</w:t>
            </w:r>
          </w:p>
        </w:tc>
      </w:tr>
      <w:tr w14:paraId="2C9085F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9"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083C94D6">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11</w:t>
            </w:r>
          </w:p>
        </w:tc>
        <w:tc>
          <w:tcPr>
            <w:tcW w:w="2160" w:type="dxa"/>
            <w:tcBorders>
              <w:top w:val="single" w:color="auto" w:sz="8" w:space="0"/>
              <w:left w:val="single" w:color="auto" w:sz="8" w:space="0"/>
              <w:bottom w:val="single" w:color="auto" w:sz="8" w:space="0"/>
              <w:right w:val="single" w:color="auto" w:sz="8" w:space="0"/>
            </w:tcBorders>
            <w:vAlign w:val="center"/>
          </w:tcPr>
          <w:p w14:paraId="17267B6F">
            <w:pPr>
              <w:pStyle w:val="60"/>
              <w:ind w:left="96"/>
              <w:jc w:val="center"/>
              <w:rPr>
                <w:rFonts w:hint="eastAsia"/>
                <w:color w:val="000000" w:themeColor="text1"/>
                <w:sz w:val="21"/>
                <w:szCs w:val="21"/>
                <w:highlight w:val="none"/>
                <w:lang w:val="zh-CN"/>
                <w14:textFill>
                  <w14:solidFill>
                    <w14:schemeClr w14:val="tx1"/>
                  </w14:solidFill>
                </w14:textFill>
              </w:rPr>
            </w:pPr>
            <w:r>
              <w:rPr>
                <w:rFonts w:ascii="Times New Roman" w:hAnsi="Times New Roman" w:cs="Times New Roman"/>
                <w:color w:val="000000" w:themeColor="text1"/>
                <w:sz w:val="21"/>
                <w:szCs w:val="21"/>
                <w:highlight w:val="none"/>
                <w:lang w:val="zh-CN"/>
                <w14:textFill>
                  <w14:solidFill>
                    <w14:schemeClr w14:val="tx1"/>
                  </w14:solidFill>
                </w14:textFill>
              </w:rPr>
              <w:t>质量要求</w:t>
            </w:r>
          </w:p>
        </w:tc>
        <w:tc>
          <w:tcPr>
            <w:tcW w:w="6777" w:type="dxa"/>
            <w:tcBorders>
              <w:top w:val="single" w:color="auto" w:sz="8" w:space="0"/>
              <w:left w:val="single" w:color="auto" w:sz="8" w:space="0"/>
              <w:bottom w:val="single" w:color="auto" w:sz="8" w:space="0"/>
              <w:right w:val="single" w:color="auto" w:sz="18" w:space="0"/>
            </w:tcBorders>
            <w:vAlign w:val="center"/>
          </w:tcPr>
          <w:p w14:paraId="3A5A12D0">
            <w:pPr>
              <w:pStyle w:val="60"/>
              <w:ind w:firstLine="210" w:firstLineChars="100"/>
              <w:jc w:val="both"/>
              <w:rPr>
                <w:rFonts w:hint="eastAsia"/>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合格</w:t>
            </w:r>
          </w:p>
        </w:tc>
      </w:tr>
      <w:tr w14:paraId="452D6D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6"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F700463">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12</w:t>
            </w:r>
          </w:p>
        </w:tc>
        <w:tc>
          <w:tcPr>
            <w:tcW w:w="2160" w:type="dxa"/>
            <w:tcBorders>
              <w:top w:val="single" w:color="auto" w:sz="8" w:space="0"/>
              <w:left w:val="single" w:color="auto" w:sz="8" w:space="0"/>
              <w:bottom w:val="single" w:color="auto" w:sz="8" w:space="0"/>
              <w:right w:val="single" w:color="auto" w:sz="8" w:space="0"/>
            </w:tcBorders>
            <w:vAlign w:val="center"/>
          </w:tcPr>
          <w:p w14:paraId="47651185">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工程款支付方式</w:t>
            </w:r>
          </w:p>
          <w:p w14:paraId="0B5E0711">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时间和条件</w:t>
            </w:r>
          </w:p>
        </w:tc>
        <w:tc>
          <w:tcPr>
            <w:tcW w:w="6777" w:type="dxa"/>
            <w:tcBorders>
              <w:top w:val="single" w:color="auto" w:sz="8" w:space="0"/>
              <w:left w:val="single" w:color="auto" w:sz="8" w:space="0"/>
              <w:bottom w:val="single" w:color="auto" w:sz="8" w:space="0"/>
              <w:right w:val="single" w:color="auto" w:sz="18" w:space="0"/>
            </w:tcBorders>
            <w:vAlign w:val="center"/>
          </w:tcPr>
          <w:p w14:paraId="3141D24C">
            <w:pPr>
              <w:ind w:left="105" w:leftChars="50" w:right="105" w:rightChars="50" w:firstLine="105" w:firstLineChars="50"/>
              <w:rPr>
                <w:rFonts w:hint="eastAsia" w:ascii="宋体" w:hAnsi="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详见</w:t>
            </w:r>
            <w:r>
              <w:rPr>
                <w:rFonts w:hint="eastAsia"/>
                <w:color w:val="000000" w:themeColor="text1"/>
                <w:szCs w:val="21"/>
                <w:highlight w:val="none"/>
                <w14:textFill>
                  <w14:solidFill>
                    <w14:schemeClr w14:val="tx1"/>
                  </w14:solidFill>
                </w14:textFill>
              </w:rPr>
              <w:t>招标文件</w:t>
            </w:r>
            <w:r>
              <w:rPr>
                <w:color w:val="000000" w:themeColor="text1"/>
                <w:szCs w:val="21"/>
                <w:highlight w:val="none"/>
                <w14:textFill>
                  <w14:solidFill>
                    <w14:schemeClr w14:val="tx1"/>
                  </w14:solidFill>
                </w14:textFill>
              </w:rPr>
              <w:t>第</w:t>
            </w:r>
            <w:r>
              <w:rPr>
                <w:rFonts w:hint="eastAsia"/>
                <w:color w:val="000000" w:themeColor="text1"/>
                <w:szCs w:val="21"/>
                <w:highlight w:val="none"/>
                <w14:textFill>
                  <w14:solidFill>
                    <w14:schemeClr w14:val="tx1"/>
                  </w14:solidFill>
                </w14:textFill>
              </w:rPr>
              <w:t>五</w:t>
            </w:r>
            <w:r>
              <w:rPr>
                <w:color w:val="000000" w:themeColor="text1"/>
                <w:szCs w:val="21"/>
                <w:highlight w:val="none"/>
                <w14:textFill>
                  <w14:solidFill>
                    <w14:schemeClr w14:val="tx1"/>
                  </w14:solidFill>
                </w14:textFill>
              </w:rPr>
              <w:t>章</w:t>
            </w:r>
            <w:r>
              <w:rPr>
                <w:rFonts w:hint="eastAsia"/>
                <w:color w:val="000000" w:themeColor="text1"/>
                <w:highlight w:val="none"/>
                <w14:textFill>
                  <w14:solidFill>
                    <w14:schemeClr w14:val="tx1"/>
                  </w14:solidFill>
                </w14:textFill>
              </w:rPr>
              <w:t>政府采购合同格式。</w:t>
            </w:r>
          </w:p>
        </w:tc>
      </w:tr>
      <w:tr w14:paraId="075E6E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AC125D7">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13</w:t>
            </w:r>
          </w:p>
        </w:tc>
        <w:tc>
          <w:tcPr>
            <w:tcW w:w="2160" w:type="dxa"/>
            <w:tcBorders>
              <w:top w:val="single" w:color="auto" w:sz="8" w:space="0"/>
              <w:left w:val="single" w:color="auto" w:sz="8" w:space="0"/>
              <w:bottom w:val="single" w:color="auto" w:sz="8" w:space="0"/>
              <w:right w:val="single" w:color="auto" w:sz="8" w:space="0"/>
            </w:tcBorders>
            <w:vAlign w:val="center"/>
          </w:tcPr>
          <w:p w14:paraId="5ED59D8B">
            <w:pPr>
              <w:pStyle w:val="6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考察现场、标前答疑会</w:t>
            </w:r>
          </w:p>
        </w:tc>
        <w:tc>
          <w:tcPr>
            <w:tcW w:w="6777" w:type="dxa"/>
            <w:tcBorders>
              <w:top w:val="single" w:color="auto" w:sz="8" w:space="0"/>
              <w:left w:val="single" w:color="auto" w:sz="8" w:space="0"/>
              <w:bottom w:val="single" w:color="auto" w:sz="8" w:space="0"/>
              <w:right w:val="single" w:color="auto" w:sz="18" w:space="0"/>
            </w:tcBorders>
            <w:vAlign w:val="center"/>
          </w:tcPr>
          <w:p w14:paraId="4409C1D3">
            <w:pPr>
              <w:pStyle w:val="60"/>
              <w:spacing w:line="320" w:lineRule="exact"/>
              <w:ind w:left="210" w:leftChars="10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w:t>
            </w:r>
            <w:r>
              <w:rPr>
                <w:rFonts w:hint="eastAsia"/>
                <w:color w:val="000000" w:themeColor="text1"/>
                <w:sz w:val="21"/>
                <w:szCs w:val="21"/>
                <w:highlight w:val="none"/>
                <w:lang w:val="zh-CN"/>
                <w14:textFill>
                  <w14:solidFill>
                    <w14:schemeClr w14:val="tx1"/>
                  </w14:solidFill>
                </w14:textFill>
              </w:rPr>
              <w:t>不组织</w:t>
            </w:r>
          </w:p>
          <w:p w14:paraId="455D9DCF">
            <w:pPr>
              <w:pStyle w:val="60"/>
              <w:ind w:firstLine="210" w:firstLineChars="100"/>
              <w:rPr>
                <w:rFonts w:hint="eastAsia"/>
                <w:b/>
                <w:bCs/>
                <w:color w:val="000000" w:themeColor="text1"/>
                <w:kern w:val="2"/>
                <w:sz w:val="21"/>
                <w:szCs w:val="21"/>
                <w:highlight w:val="none"/>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☑组织，</w:t>
            </w:r>
            <w:r>
              <w:rPr>
                <w:rFonts w:hint="eastAsia"/>
                <w:b/>
                <w:bCs/>
                <w:color w:val="000000" w:themeColor="text1"/>
                <w:kern w:val="2"/>
                <w:sz w:val="21"/>
                <w:szCs w:val="21"/>
                <w:highlight w:val="none"/>
                <w14:textFill>
                  <w14:solidFill>
                    <w14:schemeClr w14:val="tx1"/>
                  </w14:solidFill>
                </w14:textFill>
              </w:rPr>
              <w:t>时间：2026年</w:t>
            </w:r>
            <w:r>
              <w:rPr>
                <w:rFonts w:hint="eastAsia"/>
                <w:b/>
                <w:bCs/>
                <w:color w:val="000000" w:themeColor="text1"/>
                <w:kern w:val="2"/>
                <w:sz w:val="21"/>
                <w:szCs w:val="21"/>
                <w:highlight w:val="none"/>
                <w:lang w:val="en-US" w:eastAsia="zh-CN"/>
                <w14:textFill>
                  <w14:solidFill>
                    <w14:schemeClr w14:val="tx1"/>
                  </w14:solidFill>
                </w14:textFill>
              </w:rPr>
              <w:t>09</w:t>
            </w:r>
            <w:r>
              <w:rPr>
                <w:rFonts w:hint="eastAsia"/>
                <w:b/>
                <w:bCs/>
                <w:color w:val="000000" w:themeColor="text1"/>
                <w:kern w:val="2"/>
                <w:sz w:val="21"/>
                <w:szCs w:val="21"/>
                <w:highlight w:val="none"/>
                <w14:textFill>
                  <w14:solidFill>
                    <w14:schemeClr w14:val="tx1"/>
                  </w14:solidFill>
                </w14:textFill>
              </w:rPr>
              <w:t>月</w:t>
            </w:r>
            <w:r>
              <w:rPr>
                <w:rFonts w:hint="eastAsia"/>
                <w:b/>
                <w:bCs/>
                <w:color w:val="000000" w:themeColor="text1"/>
                <w:kern w:val="2"/>
                <w:sz w:val="21"/>
                <w:szCs w:val="21"/>
                <w:highlight w:val="none"/>
                <w:lang w:val="en-US" w:eastAsia="zh-CN"/>
                <w14:textFill>
                  <w14:solidFill>
                    <w14:schemeClr w14:val="tx1"/>
                  </w14:solidFill>
                </w14:textFill>
              </w:rPr>
              <w:t>22</w:t>
            </w:r>
            <w:r>
              <w:rPr>
                <w:rFonts w:hint="eastAsia"/>
                <w:b/>
                <w:bCs/>
                <w:color w:val="000000" w:themeColor="text1"/>
                <w:kern w:val="2"/>
                <w:sz w:val="21"/>
                <w:szCs w:val="21"/>
                <w:highlight w:val="none"/>
                <w14:textFill>
                  <w14:solidFill>
                    <w14:schemeClr w14:val="tx1"/>
                  </w14:solidFill>
                </w14:textFill>
              </w:rPr>
              <w:t>日09时00分</w:t>
            </w:r>
          </w:p>
          <w:p w14:paraId="337BE617">
            <w:pPr>
              <w:pStyle w:val="60"/>
              <w:ind w:firstLine="1054" w:firstLineChars="500"/>
              <w:rPr>
                <w:rFonts w:hint="eastAsia"/>
                <w:b/>
                <w:bCs/>
                <w:color w:val="000000" w:themeColor="text1"/>
                <w:kern w:val="2"/>
                <w:sz w:val="21"/>
                <w:szCs w:val="21"/>
                <w:highlight w:val="none"/>
                <w14:textFill>
                  <w14:solidFill>
                    <w14:schemeClr w14:val="tx1"/>
                  </w14:solidFill>
                </w14:textFill>
              </w:rPr>
            </w:pPr>
            <w:r>
              <w:rPr>
                <w:rFonts w:hint="eastAsia"/>
                <w:b/>
                <w:bCs/>
                <w:color w:val="000000" w:themeColor="text1"/>
                <w:kern w:val="2"/>
                <w:sz w:val="21"/>
                <w:szCs w:val="21"/>
                <w:highlight w:val="none"/>
                <w14:textFill>
                  <w14:solidFill>
                    <w14:schemeClr w14:val="tx1"/>
                  </w14:solidFill>
                </w14:textFill>
              </w:rPr>
              <w:t>地点：西安市建设西路陕西测绘地理信息局家属院南门集合</w:t>
            </w:r>
          </w:p>
          <w:p w14:paraId="3336DCAB">
            <w:pPr>
              <w:pStyle w:val="60"/>
              <w:ind w:firstLine="211" w:firstLineChars="100"/>
              <w:rPr>
                <w:rFonts w:hint="eastAsia"/>
                <w:b/>
                <w:bCs/>
                <w:color w:val="000000" w:themeColor="text1"/>
                <w:kern w:val="2"/>
                <w:sz w:val="21"/>
                <w:szCs w:val="21"/>
                <w:highlight w:val="none"/>
                <w:lang w:val="zh-CN"/>
                <w14:textFill>
                  <w14:solidFill>
                    <w14:schemeClr w14:val="tx1"/>
                  </w14:solidFill>
                </w14:textFill>
              </w:rPr>
            </w:pPr>
            <w:r>
              <w:rPr>
                <w:rFonts w:hint="eastAsia"/>
                <w:b/>
                <w:bCs/>
                <w:color w:val="000000" w:themeColor="text1"/>
                <w:kern w:val="2"/>
                <w:sz w:val="21"/>
                <w:szCs w:val="21"/>
                <w:highlight w:val="none"/>
                <w:lang w:val="zh-CN"/>
                <w14:textFill>
                  <w14:solidFill>
                    <w14:schemeClr w14:val="tx1"/>
                  </w14:solidFill>
                </w14:textFill>
              </w:rPr>
              <w:t>请各</w:t>
            </w:r>
            <w:r>
              <w:rPr>
                <w:rFonts w:hint="eastAsia"/>
                <w:b/>
                <w:bCs/>
                <w:color w:val="000000" w:themeColor="text1"/>
                <w:kern w:val="2"/>
                <w:sz w:val="21"/>
                <w:szCs w:val="21"/>
                <w:highlight w:val="none"/>
                <w14:textFill>
                  <w14:solidFill>
                    <w14:schemeClr w14:val="tx1"/>
                  </w14:solidFill>
                </w14:textFill>
              </w:rPr>
              <w:t>投标人</w:t>
            </w:r>
            <w:r>
              <w:rPr>
                <w:rFonts w:hint="eastAsia"/>
                <w:b/>
                <w:bCs/>
                <w:color w:val="000000" w:themeColor="text1"/>
                <w:kern w:val="2"/>
                <w:sz w:val="21"/>
                <w:szCs w:val="21"/>
                <w:highlight w:val="none"/>
                <w:lang w:val="zh-CN"/>
                <w14:textFill>
                  <w14:solidFill>
                    <w14:schemeClr w14:val="tx1"/>
                  </w14:solidFill>
                </w14:textFill>
              </w:rPr>
              <w:t>安排人员携带单位出具的介绍信，按时参加考察。</w:t>
            </w:r>
          </w:p>
          <w:p w14:paraId="5ABC5D91">
            <w:pPr>
              <w:pStyle w:val="60"/>
              <w:ind w:firstLine="210" w:firstLineChars="100"/>
              <w:rPr>
                <w:rFonts w:hint="eastAsia"/>
                <w:b/>
                <w:bCs/>
                <w:color w:val="000000" w:themeColor="text1"/>
                <w:kern w:val="2"/>
                <w:sz w:val="21"/>
                <w:szCs w:val="21"/>
                <w:highlight w:val="none"/>
                <w:lang w:val="zh-CN"/>
                <w14:textFill>
                  <w14:solidFill>
                    <w14:schemeClr w14:val="tx1"/>
                  </w14:solidFill>
                </w14:textFill>
              </w:rPr>
            </w:pPr>
            <w:r>
              <w:rPr>
                <w:rFonts w:hint="eastAsia"/>
                <w:b w:val="0"/>
                <w:bCs w:val="0"/>
                <w:color w:val="000000" w:themeColor="text1"/>
                <w:kern w:val="2"/>
                <w:sz w:val="21"/>
                <w:szCs w:val="21"/>
                <w:highlight w:val="none"/>
                <w:lang w:val="zh-CN"/>
                <w14:textFill>
                  <w14:solidFill>
                    <w14:schemeClr w14:val="tx1"/>
                  </w14:solidFill>
                </w14:textFill>
              </w:rPr>
              <w:t>现场踏勘结束后，</w:t>
            </w:r>
            <w:r>
              <w:rPr>
                <w:rFonts w:hint="eastAsia"/>
                <w:b w:val="0"/>
                <w:bCs w:val="0"/>
                <w:color w:val="000000" w:themeColor="text1"/>
                <w:kern w:val="2"/>
                <w:sz w:val="21"/>
                <w:szCs w:val="21"/>
                <w:highlight w:val="none"/>
                <w14:textFill>
                  <w14:solidFill>
                    <w14:schemeClr w14:val="tx1"/>
                  </w14:solidFill>
                </w14:textFill>
              </w:rPr>
              <w:t>投标人</w:t>
            </w:r>
            <w:r>
              <w:rPr>
                <w:rFonts w:hint="eastAsia"/>
                <w:b w:val="0"/>
                <w:bCs w:val="0"/>
                <w:color w:val="000000" w:themeColor="text1"/>
                <w:kern w:val="2"/>
                <w:sz w:val="21"/>
                <w:szCs w:val="21"/>
                <w:highlight w:val="none"/>
                <w:lang w:val="zh-CN"/>
                <w14:textFill>
                  <w14:solidFill>
                    <w14:schemeClr w14:val="tx1"/>
                  </w14:solidFill>
                </w14:textFill>
              </w:rPr>
              <w:t>结合现场实际情况，在</w:t>
            </w:r>
            <w:r>
              <w:rPr>
                <w:rFonts w:hint="eastAsia"/>
                <w:b w:val="0"/>
                <w:bCs w:val="0"/>
                <w:color w:val="000000" w:themeColor="text1"/>
                <w:kern w:val="2"/>
                <w:sz w:val="21"/>
                <w:szCs w:val="21"/>
                <w:highlight w:val="none"/>
                <w:lang w:val="en-US" w:eastAsia="zh-CN"/>
                <w14:textFill>
                  <w14:solidFill>
                    <w14:schemeClr w14:val="tx1"/>
                  </w14:solidFill>
                </w14:textFill>
              </w:rPr>
              <w:t>招标文件</w:t>
            </w:r>
            <w:r>
              <w:rPr>
                <w:rFonts w:hint="eastAsia"/>
                <w:color w:val="000000" w:themeColor="text1"/>
                <w:sz w:val="21"/>
                <w:szCs w:val="21"/>
                <w:highlight w:val="none"/>
                <w:lang w:val="zh-CN"/>
                <w14:textFill>
                  <w14:solidFill>
                    <w14:schemeClr w14:val="tx1"/>
                  </w14:solidFill>
                </w14:textFill>
              </w:rPr>
              <w:t>答复时间</w:t>
            </w:r>
            <w:r>
              <w:rPr>
                <w:rFonts w:hint="eastAsia"/>
                <w:b w:val="0"/>
                <w:bCs w:val="0"/>
                <w:color w:val="000000" w:themeColor="text1"/>
                <w:kern w:val="2"/>
                <w:sz w:val="21"/>
                <w:szCs w:val="21"/>
                <w:highlight w:val="none"/>
                <w:lang w:val="zh-CN"/>
                <w14:textFill>
                  <w14:solidFill>
                    <w14:schemeClr w14:val="tx1"/>
                  </w14:solidFill>
                </w14:textFill>
              </w:rPr>
              <w:t>前，将需要澄清的全部问题一次性以书面形式发送至采购代理机构邮箱</w:t>
            </w:r>
            <w:r>
              <w:rPr>
                <w:rFonts w:hint="eastAsia"/>
                <w:b w:val="0"/>
                <w:bCs w:val="0"/>
                <w:color w:val="000000" w:themeColor="text1"/>
                <w:kern w:val="2"/>
                <w:sz w:val="21"/>
                <w:szCs w:val="21"/>
                <w:highlight w:val="none"/>
                <w14:textFill>
                  <w14:solidFill>
                    <w14:schemeClr w14:val="tx1"/>
                  </w14:solidFill>
                </w14:textFill>
              </w:rPr>
              <w:t>121648048</w:t>
            </w:r>
            <w:r>
              <w:rPr>
                <w:rFonts w:hint="eastAsia"/>
                <w:b w:val="0"/>
                <w:bCs w:val="0"/>
                <w:color w:val="000000" w:themeColor="text1"/>
                <w:kern w:val="2"/>
                <w:sz w:val="21"/>
                <w:szCs w:val="21"/>
                <w:highlight w:val="none"/>
                <w:lang w:val="zh-CN"/>
                <w14:textFill>
                  <w14:solidFill>
                    <w14:schemeClr w14:val="tx1"/>
                  </w14:solidFill>
                </w14:textFill>
              </w:rPr>
              <w:t>@qq.com。</w:t>
            </w:r>
          </w:p>
        </w:tc>
      </w:tr>
      <w:tr w14:paraId="0BBC3AF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65"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CC2E544">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14</w:t>
            </w:r>
          </w:p>
        </w:tc>
        <w:tc>
          <w:tcPr>
            <w:tcW w:w="2160" w:type="dxa"/>
            <w:tcBorders>
              <w:top w:val="single" w:color="auto" w:sz="8" w:space="0"/>
              <w:left w:val="single" w:color="auto" w:sz="8" w:space="0"/>
              <w:bottom w:val="single" w:color="auto" w:sz="8" w:space="0"/>
              <w:right w:val="single" w:color="auto" w:sz="8" w:space="0"/>
            </w:tcBorders>
            <w:vAlign w:val="center"/>
          </w:tcPr>
          <w:p w14:paraId="6BE252B1">
            <w:pPr>
              <w:pStyle w:val="7"/>
              <w:ind w:firstLine="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招标文件澄清</w:t>
            </w:r>
          </w:p>
          <w:p w14:paraId="648B4D34">
            <w:pPr>
              <w:pStyle w:val="7"/>
              <w:ind w:firstLine="0"/>
              <w:jc w:val="center"/>
              <w:rPr>
                <w:color w:val="000000" w:themeColor="text1"/>
                <w:szCs w:val="21"/>
                <w:highlight w:val="none"/>
                <w:lang w:val="zh-CN"/>
                <w14:textFill>
                  <w14:solidFill>
                    <w14:schemeClr w14:val="tx1"/>
                  </w14:solidFill>
                </w14:textFill>
              </w:rPr>
            </w:pPr>
            <w:r>
              <w:rPr>
                <w:rFonts w:hint="eastAsia"/>
                <w:color w:val="000000" w:themeColor="text1"/>
                <w:szCs w:val="21"/>
                <w:highlight w:val="none"/>
                <w14:textFill>
                  <w14:solidFill>
                    <w14:schemeClr w14:val="tx1"/>
                  </w14:solidFill>
                </w14:textFill>
              </w:rPr>
              <w:t>或修改时间、形式</w:t>
            </w:r>
          </w:p>
        </w:tc>
        <w:tc>
          <w:tcPr>
            <w:tcW w:w="6777" w:type="dxa"/>
            <w:tcBorders>
              <w:top w:val="single" w:color="auto" w:sz="8" w:space="0"/>
              <w:left w:val="single" w:color="auto" w:sz="8" w:space="0"/>
              <w:bottom w:val="single" w:color="auto" w:sz="8" w:space="0"/>
              <w:right w:val="single" w:color="auto" w:sz="18" w:space="0"/>
            </w:tcBorders>
            <w:vAlign w:val="center"/>
          </w:tcPr>
          <w:p w14:paraId="4F1DBC4D">
            <w:pPr>
              <w:pStyle w:val="7"/>
              <w:ind w:firstLine="210" w:firstLineChars="100"/>
              <w:rPr>
                <w:rFonts w:hint="eastAsia" w:ascii="宋体" w:hAnsi="宋体"/>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时间：</w:t>
            </w:r>
            <w:r>
              <w:rPr>
                <w:rFonts w:hint="eastAsia" w:ascii="宋体" w:hAnsi="宋体"/>
                <w:color w:val="000000" w:themeColor="text1"/>
                <w:szCs w:val="21"/>
                <w:highlight w:val="none"/>
                <w14:textFill>
                  <w14:solidFill>
                    <w14:schemeClr w14:val="tx1"/>
                  </w14:solidFill>
                </w14:textFill>
              </w:rPr>
              <w:t>递交投标文件截止时间15日前</w:t>
            </w:r>
          </w:p>
          <w:p w14:paraId="42CDABD7">
            <w:pPr>
              <w:pStyle w:val="7"/>
              <w:ind w:firstLine="210" w:firstLineChars="1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形式：</w:t>
            </w:r>
            <w:r>
              <w:rPr>
                <w:rFonts w:hint="eastAsia"/>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书面文件和公告</w:t>
            </w:r>
          </w:p>
          <w:p w14:paraId="67463716">
            <w:pPr>
              <w:pStyle w:val="7"/>
              <w:ind w:firstLine="840" w:firstLineChars="400"/>
              <w:rPr>
                <w:color w:val="000000" w:themeColor="text1"/>
                <w:szCs w:val="21"/>
                <w:highlight w:val="none"/>
                <w:lang w:val="zh-CN"/>
                <w14:textFill>
                  <w14:solidFill>
                    <w14:schemeClr w14:val="tx1"/>
                  </w14:solidFill>
                </w14:textFill>
              </w:rPr>
            </w:pPr>
            <w:r>
              <w:rPr>
                <w:rFonts w:hint="eastAsia"/>
                <w:color w:val="000000" w:themeColor="text1"/>
                <w:szCs w:val="21"/>
                <w:highlight w:val="none"/>
                <w14:textFill>
                  <w14:solidFill>
                    <w14:schemeClr w14:val="tx1"/>
                  </w14:solidFill>
                </w14:textFill>
              </w:rPr>
              <w:t>□电子文件和公告</w:t>
            </w:r>
          </w:p>
        </w:tc>
      </w:tr>
      <w:tr w14:paraId="6C866B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11"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F2F8FEA">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15</w:t>
            </w:r>
          </w:p>
        </w:tc>
        <w:tc>
          <w:tcPr>
            <w:tcW w:w="2160" w:type="dxa"/>
            <w:tcBorders>
              <w:top w:val="single" w:color="auto" w:sz="8" w:space="0"/>
              <w:left w:val="single" w:color="auto" w:sz="8" w:space="0"/>
              <w:bottom w:val="single" w:color="auto" w:sz="8" w:space="0"/>
              <w:right w:val="single" w:color="auto" w:sz="8" w:space="0"/>
            </w:tcBorders>
            <w:vAlign w:val="center"/>
          </w:tcPr>
          <w:p w14:paraId="6EB0F0F3">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转包</w:t>
            </w:r>
          </w:p>
        </w:tc>
        <w:tc>
          <w:tcPr>
            <w:tcW w:w="6777" w:type="dxa"/>
            <w:tcBorders>
              <w:top w:val="single" w:color="auto" w:sz="8" w:space="0"/>
              <w:left w:val="single" w:color="auto" w:sz="8" w:space="0"/>
              <w:bottom w:val="single" w:color="auto" w:sz="8" w:space="0"/>
              <w:right w:val="single" w:color="auto" w:sz="18" w:space="0"/>
            </w:tcBorders>
            <w:vAlign w:val="center"/>
          </w:tcPr>
          <w:p w14:paraId="15189E87">
            <w:pPr>
              <w:pStyle w:val="60"/>
              <w:spacing w:line="320" w:lineRule="exact"/>
              <w:ind w:firstLine="210" w:firstLineChars="10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本采购项目（包）不得转包</w:t>
            </w:r>
          </w:p>
        </w:tc>
      </w:tr>
      <w:tr w14:paraId="2BB2436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6"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BD4DC69">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16</w:t>
            </w:r>
          </w:p>
        </w:tc>
        <w:tc>
          <w:tcPr>
            <w:tcW w:w="2160" w:type="dxa"/>
            <w:tcBorders>
              <w:top w:val="single" w:color="auto" w:sz="8" w:space="0"/>
              <w:left w:val="single" w:color="auto" w:sz="8" w:space="0"/>
              <w:bottom w:val="single" w:color="auto" w:sz="8" w:space="0"/>
              <w:right w:val="single" w:color="auto" w:sz="8" w:space="0"/>
            </w:tcBorders>
            <w:vAlign w:val="center"/>
          </w:tcPr>
          <w:p w14:paraId="3018ACD8">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偏离</w:t>
            </w:r>
          </w:p>
        </w:tc>
        <w:tc>
          <w:tcPr>
            <w:tcW w:w="6777" w:type="dxa"/>
            <w:tcBorders>
              <w:top w:val="single" w:color="auto" w:sz="8" w:space="0"/>
              <w:left w:val="single" w:color="auto" w:sz="8" w:space="0"/>
              <w:bottom w:val="single" w:color="auto" w:sz="8" w:space="0"/>
              <w:right w:val="single" w:color="auto" w:sz="18" w:space="0"/>
            </w:tcBorders>
            <w:vAlign w:val="center"/>
          </w:tcPr>
          <w:p w14:paraId="3DABA852">
            <w:pPr>
              <w:pStyle w:val="60"/>
              <w:spacing w:line="320" w:lineRule="exact"/>
              <w:ind w:firstLine="210" w:firstLineChars="10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□不允许</w:t>
            </w:r>
          </w:p>
          <w:p w14:paraId="7D65210F">
            <w:pPr>
              <w:pStyle w:val="60"/>
              <w:spacing w:line="320" w:lineRule="exact"/>
              <w:ind w:firstLine="210" w:firstLineChars="1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w:t>
            </w:r>
            <w:r>
              <w:rPr>
                <w:rFonts w:hint="eastAsia"/>
                <w:color w:val="000000" w:themeColor="text1"/>
                <w:sz w:val="21"/>
                <w:szCs w:val="21"/>
                <w:highlight w:val="none"/>
                <w:lang w:val="zh-CN"/>
                <w14:textFill>
                  <w14:solidFill>
                    <w14:schemeClr w14:val="tx1"/>
                  </w14:solidFill>
                </w14:textFill>
              </w:rPr>
              <w:t>允许，详见</w:t>
            </w:r>
            <w:r>
              <w:rPr>
                <w:rFonts w:hint="eastAsia"/>
                <w:color w:val="000000" w:themeColor="text1"/>
                <w:sz w:val="21"/>
                <w:szCs w:val="21"/>
                <w:highlight w:val="none"/>
                <w14:textFill>
                  <w14:solidFill>
                    <w14:schemeClr w14:val="tx1"/>
                  </w14:solidFill>
                </w14:textFill>
              </w:rPr>
              <w:t>投标人须知第</w:t>
            </w:r>
            <w:r>
              <w:rPr>
                <w:rFonts w:hint="eastAsia"/>
                <w:color w:val="000000" w:themeColor="text1"/>
                <w:sz w:val="21"/>
                <w:szCs w:val="21"/>
                <w:highlight w:val="none"/>
                <w:lang w:val="zh-CN"/>
                <w14:textFill>
                  <w14:solidFill>
                    <w14:schemeClr w14:val="tx1"/>
                  </w14:solidFill>
                </w14:textFill>
              </w:rPr>
              <w:t>1.10</w:t>
            </w:r>
            <w:r>
              <w:rPr>
                <w:rFonts w:hint="eastAsia"/>
                <w:color w:val="000000" w:themeColor="text1"/>
                <w:sz w:val="21"/>
                <w:szCs w:val="21"/>
                <w:highlight w:val="none"/>
                <w14:textFill>
                  <w14:solidFill>
                    <w14:schemeClr w14:val="tx1"/>
                  </w14:solidFill>
                </w14:textFill>
              </w:rPr>
              <w:t>条款</w:t>
            </w:r>
          </w:p>
        </w:tc>
      </w:tr>
      <w:tr w14:paraId="50FF1C8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0D058C6">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17</w:t>
            </w:r>
          </w:p>
        </w:tc>
        <w:tc>
          <w:tcPr>
            <w:tcW w:w="2160" w:type="dxa"/>
            <w:tcBorders>
              <w:top w:val="single" w:color="auto" w:sz="8" w:space="0"/>
              <w:left w:val="single" w:color="auto" w:sz="8" w:space="0"/>
              <w:bottom w:val="single" w:color="auto" w:sz="8" w:space="0"/>
              <w:right w:val="single" w:color="auto" w:sz="8" w:space="0"/>
            </w:tcBorders>
            <w:vAlign w:val="center"/>
          </w:tcPr>
          <w:p w14:paraId="03EA9107">
            <w:pPr>
              <w:pStyle w:val="60"/>
              <w:ind w:left="52"/>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构成招标文件的</w:t>
            </w:r>
          </w:p>
          <w:p w14:paraId="58CA7F00">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其他文件</w:t>
            </w:r>
          </w:p>
        </w:tc>
        <w:tc>
          <w:tcPr>
            <w:tcW w:w="6777" w:type="dxa"/>
            <w:tcBorders>
              <w:top w:val="single" w:color="auto" w:sz="8" w:space="0"/>
              <w:left w:val="single" w:color="auto" w:sz="8" w:space="0"/>
              <w:bottom w:val="single" w:color="auto" w:sz="8" w:space="0"/>
              <w:right w:val="single" w:color="auto" w:sz="18" w:space="0"/>
            </w:tcBorders>
            <w:vAlign w:val="center"/>
          </w:tcPr>
          <w:p w14:paraId="6B770B73">
            <w:pPr>
              <w:pStyle w:val="60"/>
              <w:ind w:firstLine="210" w:firstLineChars="10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招标文件的澄清</w:t>
            </w:r>
            <w:r>
              <w:rPr>
                <w:rFonts w:hint="eastAsia"/>
                <w:color w:val="000000" w:themeColor="text1"/>
                <w:sz w:val="21"/>
                <w:szCs w:val="21"/>
                <w:highlight w:val="none"/>
                <w14:textFill>
                  <w14:solidFill>
                    <w14:schemeClr w14:val="tx1"/>
                  </w14:solidFill>
                </w14:textFill>
              </w:rPr>
              <w:t>、修改书及有关补充通知为招标文件的有效组成部分</w:t>
            </w:r>
          </w:p>
        </w:tc>
      </w:tr>
      <w:tr w14:paraId="32903EF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26"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5F7756F">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18</w:t>
            </w:r>
          </w:p>
        </w:tc>
        <w:tc>
          <w:tcPr>
            <w:tcW w:w="2160" w:type="dxa"/>
            <w:tcBorders>
              <w:top w:val="single" w:color="auto" w:sz="8" w:space="0"/>
              <w:left w:val="single" w:color="auto" w:sz="8" w:space="0"/>
              <w:bottom w:val="single" w:color="auto" w:sz="8" w:space="0"/>
              <w:right w:val="single" w:color="auto" w:sz="8" w:space="0"/>
            </w:tcBorders>
            <w:vAlign w:val="center"/>
          </w:tcPr>
          <w:p w14:paraId="61611B35">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投标人对招标文件</w:t>
            </w:r>
          </w:p>
          <w:p w14:paraId="655DB211">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提出质疑的时间、形式</w:t>
            </w:r>
          </w:p>
        </w:tc>
        <w:tc>
          <w:tcPr>
            <w:tcW w:w="6777" w:type="dxa"/>
            <w:tcBorders>
              <w:top w:val="single" w:color="auto" w:sz="8" w:space="0"/>
              <w:left w:val="single" w:color="auto" w:sz="8" w:space="0"/>
              <w:bottom w:val="single" w:color="auto" w:sz="8" w:space="0"/>
              <w:right w:val="single" w:color="auto" w:sz="18" w:space="0"/>
            </w:tcBorders>
            <w:vAlign w:val="center"/>
          </w:tcPr>
          <w:p w14:paraId="56853301">
            <w:pPr>
              <w:pStyle w:val="60"/>
              <w:spacing w:line="320" w:lineRule="exact"/>
              <w:ind w:left="840" w:leftChars="100" w:hanging="630" w:hangingChars="30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时间：自投标人收到招标文件之日起7个工作日内，超过期限的</w:t>
            </w:r>
            <w:r>
              <w:rPr>
                <w:rFonts w:hint="eastAsia"/>
                <w:color w:val="000000" w:themeColor="text1"/>
                <w:sz w:val="21"/>
                <w:szCs w:val="21"/>
                <w:highlight w:val="none"/>
                <w14:textFill>
                  <w14:solidFill>
                    <w14:schemeClr w14:val="tx1"/>
                  </w14:solidFill>
                </w14:textFill>
              </w:rPr>
              <w:t>采购人</w:t>
            </w:r>
            <w:r>
              <w:rPr>
                <w:rFonts w:hint="eastAsia"/>
                <w:color w:val="000000" w:themeColor="text1"/>
                <w:sz w:val="21"/>
                <w:szCs w:val="21"/>
                <w:highlight w:val="none"/>
                <w:lang w:val="zh-CN"/>
                <w14:textFill>
                  <w14:solidFill>
                    <w14:schemeClr w14:val="tx1"/>
                  </w14:solidFill>
                </w14:textFill>
              </w:rPr>
              <w:t>或</w:t>
            </w:r>
            <w:r>
              <w:rPr>
                <w:rFonts w:hint="eastAsia"/>
                <w:color w:val="000000" w:themeColor="text1"/>
                <w:sz w:val="21"/>
                <w:szCs w:val="21"/>
                <w:highlight w:val="none"/>
                <w14:textFill>
                  <w14:solidFill>
                    <w14:schemeClr w14:val="tx1"/>
                  </w14:solidFill>
                </w14:textFill>
              </w:rPr>
              <w:t>采购代理机构</w:t>
            </w:r>
            <w:r>
              <w:rPr>
                <w:rFonts w:hint="eastAsia"/>
                <w:color w:val="000000" w:themeColor="text1"/>
                <w:sz w:val="21"/>
                <w:szCs w:val="21"/>
                <w:highlight w:val="none"/>
                <w:lang w:val="zh-CN"/>
                <w14:textFill>
                  <w14:solidFill>
                    <w14:schemeClr w14:val="tx1"/>
                  </w14:solidFill>
                </w14:textFill>
              </w:rPr>
              <w:t>不再受理</w:t>
            </w:r>
          </w:p>
          <w:p w14:paraId="4F029EBB">
            <w:pPr>
              <w:pStyle w:val="60"/>
              <w:spacing w:line="320" w:lineRule="exact"/>
              <w:ind w:firstLine="210" w:firstLineChars="10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形式：书面形式（详见</w:t>
            </w:r>
            <w:r>
              <w:rPr>
                <w:rFonts w:hint="eastAsia"/>
                <w:color w:val="000000" w:themeColor="text1"/>
                <w:sz w:val="21"/>
                <w:szCs w:val="21"/>
                <w:highlight w:val="none"/>
                <w14:textFill>
                  <w14:solidFill>
                    <w14:schemeClr w14:val="tx1"/>
                  </w14:solidFill>
                </w14:textFill>
              </w:rPr>
              <w:t>投标人须知第11.1.3条款</w:t>
            </w:r>
            <w:r>
              <w:rPr>
                <w:rFonts w:hint="eastAsia"/>
                <w:color w:val="000000" w:themeColor="text1"/>
                <w:sz w:val="21"/>
                <w:szCs w:val="21"/>
                <w:highlight w:val="none"/>
                <w:lang w:val="zh-CN"/>
                <w14:textFill>
                  <w14:solidFill>
                    <w14:schemeClr w14:val="tx1"/>
                  </w14:solidFill>
                </w14:textFill>
              </w:rPr>
              <w:t>）</w:t>
            </w:r>
          </w:p>
        </w:tc>
      </w:tr>
      <w:tr w14:paraId="1C186A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16"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2CBFA5E">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19</w:t>
            </w:r>
          </w:p>
        </w:tc>
        <w:tc>
          <w:tcPr>
            <w:tcW w:w="2160" w:type="dxa"/>
            <w:tcBorders>
              <w:top w:val="single" w:color="auto" w:sz="8" w:space="0"/>
              <w:left w:val="single" w:color="auto" w:sz="8" w:space="0"/>
              <w:bottom w:val="single" w:color="auto" w:sz="8" w:space="0"/>
              <w:right w:val="single" w:color="auto" w:sz="8" w:space="0"/>
            </w:tcBorders>
            <w:vAlign w:val="center"/>
          </w:tcPr>
          <w:p w14:paraId="4650DF49">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对投标人提出质疑</w:t>
            </w:r>
          </w:p>
          <w:p w14:paraId="2792C604">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答复时间、形式</w:t>
            </w:r>
          </w:p>
        </w:tc>
        <w:tc>
          <w:tcPr>
            <w:tcW w:w="6777" w:type="dxa"/>
            <w:tcBorders>
              <w:top w:val="single" w:color="auto" w:sz="8" w:space="0"/>
              <w:left w:val="single" w:color="auto" w:sz="8" w:space="0"/>
              <w:bottom w:val="single" w:color="auto" w:sz="8" w:space="0"/>
              <w:right w:val="single" w:color="auto" w:sz="18" w:space="0"/>
            </w:tcBorders>
            <w:vAlign w:val="center"/>
          </w:tcPr>
          <w:p w14:paraId="44C360C5">
            <w:pPr>
              <w:pStyle w:val="60"/>
              <w:ind w:firstLine="210" w:firstLineChars="10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时间：自收到投标人质疑函之日起7个工作日内</w:t>
            </w:r>
          </w:p>
          <w:p w14:paraId="16642CD3">
            <w:pPr>
              <w:pStyle w:val="60"/>
              <w:ind w:firstLine="210" w:firstLineChars="1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形式：书面形式</w:t>
            </w:r>
          </w:p>
        </w:tc>
      </w:tr>
      <w:tr w14:paraId="145A377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65"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FBB88A5">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20</w:t>
            </w:r>
          </w:p>
        </w:tc>
        <w:tc>
          <w:tcPr>
            <w:tcW w:w="2160" w:type="dxa"/>
            <w:tcBorders>
              <w:top w:val="single" w:color="auto" w:sz="8" w:space="0"/>
              <w:left w:val="single" w:color="auto" w:sz="8" w:space="0"/>
              <w:bottom w:val="single" w:color="auto" w:sz="8" w:space="0"/>
              <w:right w:val="single" w:color="auto" w:sz="8" w:space="0"/>
            </w:tcBorders>
            <w:vAlign w:val="center"/>
          </w:tcPr>
          <w:p w14:paraId="08760659">
            <w:pPr>
              <w:pStyle w:val="60"/>
              <w:ind w:left="33"/>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投标有效期</w:t>
            </w:r>
          </w:p>
        </w:tc>
        <w:tc>
          <w:tcPr>
            <w:tcW w:w="6777" w:type="dxa"/>
            <w:tcBorders>
              <w:top w:val="single" w:color="auto" w:sz="8" w:space="0"/>
              <w:left w:val="single" w:color="auto" w:sz="8" w:space="0"/>
              <w:bottom w:val="single" w:color="auto" w:sz="8" w:space="0"/>
              <w:right w:val="single" w:color="auto" w:sz="18" w:space="0"/>
            </w:tcBorders>
            <w:vAlign w:val="center"/>
          </w:tcPr>
          <w:p w14:paraId="32DE4718">
            <w:pPr>
              <w:pStyle w:val="60"/>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从投标截止日起</w:t>
            </w:r>
            <w:r>
              <w:rPr>
                <w:rFonts w:hint="eastAsia"/>
                <w:color w:val="000000" w:themeColor="text1"/>
                <w:sz w:val="21"/>
                <w:szCs w:val="21"/>
                <w:highlight w:val="none"/>
                <w14:textFill>
                  <w14:solidFill>
                    <w14:schemeClr w14:val="tx1"/>
                  </w14:solidFill>
                </w14:textFill>
              </w:rPr>
              <w:t>90</w:t>
            </w:r>
            <w:r>
              <w:rPr>
                <w:rFonts w:hint="eastAsia"/>
                <w:color w:val="000000" w:themeColor="text1"/>
                <w:sz w:val="21"/>
                <w:szCs w:val="21"/>
                <w:highlight w:val="none"/>
                <w:lang w:val="zh-CN"/>
                <w14:textFill>
                  <w14:solidFill>
                    <w14:schemeClr w14:val="tx1"/>
                  </w14:solidFill>
                </w14:textFill>
              </w:rPr>
              <w:t>日历</w:t>
            </w:r>
            <w:r>
              <w:rPr>
                <w:rFonts w:hint="eastAsia"/>
                <w:color w:val="000000" w:themeColor="text1"/>
                <w:sz w:val="21"/>
                <w:szCs w:val="21"/>
                <w:highlight w:val="none"/>
                <w14:textFill>
                  <w14:solidFill>
                    <w14:schemeClr w14:val="tx1"/>
                  </w14:solidFill>
                </w14:textFill>
              </w:rPr>
              <w:t>天</w:t>
            </w:r>
          </w:p>
        </w:tc>
      </w:tr>
      <w:tr w14:paraId="78616EB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02"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40F9318">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21</w:t>
            </w:r>
          </w:p>
        </w:tc>
        <w:tc>
          <w:tcPr>
            <w:tcW w:w="2160" w:type="dxa"/>
            <w:tcBorders>
              <w:top w:val="single" w:color="auto" w:sz="8" w:space="0"/>
              <w:left w:val="single" w:color="auto" w:sz="8" w:space="0"/>
              <w:bottom w:val="single" w:color="auto" w:sz="8" w:space="0"/>
              <w:right w:val="single" w:color="auto" w:sz="8" w:space="0"/>
            </w:tcBorders>
            <w:vAlign w:val="center"/>
          </w:tcPr>
          <w:p w14:paraId="448AF402">
            <w:pPr>
              <w:pStyle w:val="60"/>
              <w:ind w:left="33"/>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是否允许递交多个</w:t>
            </w:r>
          </w:p>
          <w:p w14:paraId="21BFC6F9">
            <w:pPr>
              <w:pStyle w:val="60"/>
              <w:ind w:left="33"/>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备选投标方案</w:t>
            </w:r>
          </w:p>
        </w:tc>
        <w:tc>
          <w:tcPr>
            <w:tcW w:w="6777" w:type="dxa"/>
            <w:tcBorders>
              <w:top w:val="single" w:color="auto" w:sz="8" w:space="0"/>
              <w:left w:val="single" w:color="auto" w:sz="8" w:space="0"/>
              <w:bottom w:val="single" w:color="auto" w:sz="8" w:space="0"/>
              <w:right w:val="single" w:color="auto" w:sz="18" w:space="0"/>
            </w:tcBorders>
            <w:vAlign w:val="center"/>
          </w:tcPr>
          <w:p w14:paraId="5540F48E">
            <w:pPr>
              <w:pStyle w:val="60"/>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w:t>
            </w:r>
            <w:r>
              <w:rPr>
                <w:rFonts w:hint="eastAsia"/>
                <w:color w:val="000000" w:themeColor="text1"/>
                <w:sz w:val="21"/>
                <w:szCs w:val="21"/>
                <w:highlight w:val="none"/>
                <w:lang w:val="zh-CN"/>
                <w14:textFill>
                  <w14:solidFill>
                    <w14:schemeClr w14:val="tx1"/>
                  </w14:solidFill>
                </w14:textFill>
              </w:rPr>
              <w:t>不允许</w:t>
            </w:r>
          </w:p>
          <w:p w14:paraId="37F2CAF8">
            <w:pPr>
              <w:pStyle w:val="60"/>
              <w:ind w:firstLine="24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color w:val="000000" w:themeColor="text1"/>
                <w:sz w:val="21"/>
                <w:szCs w:val="21"/>
                <w:highlight w:val="none"/>
                <w:lang w:val="zh-CN"/>
                <w14:textFill>
                  <w14:solidFill>
                    <w14:schemeClr w14:val="tx1"/>
                  </w14:solidFill>
                </w14:textFill>
              </w:rPr>
              <w:t>允许</w:t>
            </w:r>
          </w:p>
        </w:tc>
      </w:tr>
      <w:tr w14:paraId="49E0E3D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2"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CE0A45D">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22</w:t>
            </w:r>
          </w:p>
        </w:tc>
        <w:tc>
          <w:tcPr>
            <w:tcW w:w="2160" w:type="dxa"/>
            <w:tcBorders>
              <w:top w:val="single" w:color="auto" w:sz="8" w:space="0"/>
              <w:left w:val="single" w:color="auto" w:sz="8" w:space="0"/>
              <w:bottom w:val="single" w:color="auto" w:sz="8" w:space="0"/>
              <w:right w:val="single" w:color="auto" w:sz="8" w:space="0"/>
            </w:tcBorders>
            <w:vAlign w:val="center"/>
          </w:tcPr>
          <w:p w14:paraId="610E6DCF">
            <w:pPr>
              <w:pStyle w:val="60"/>
              <w:ind w:left="33"/>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投标保证金</w:t>
            </w:r>
          </w:p>
        </w:tc>
        <w:tc>
          <w:tcPr>
            <w:tcW w:w="6777" w:type="dxa"/>
            <w:tcBorders>
              <w:top w:val="single" w:color="auto" w:sz="8" w:space="0"/>
              <w:left w:val="single" w:color="auto" w:sz="8" w:space="0"/>
              <w:bottom w:val="single" w:color="auto" w:sz="8" w:space="0"/>
              <w:right w:val="single" w:color="auto" w:sz="18" w:space="0"/>
            </w:tcBorders>
            <w:vAlign w:val="center"/>
          </w:tcPr>
          <w:p w14:paraId="019778DE">
            <w:pPr>
              <w:pStyle w:val="60"/>
              <w:ind w:firstLine="210" w:firstLineChars="100"/>
              <w:rPr>
                <w:rFonts w:hint="eastAsia"/>
                <w:color w:val="000000" w:themeColor="text1"/>
                <w:kern w:val="2"/>
                <w:sz w:val="21"/>
                <w:szCs w:val="21"/>
                <w:highlight w:val="none"/>
                <w14:textFill>
                  <w14:solidFill>
                    <w14:schemeClr w14:val="tx1"/>
                  </w14:solidFill>
                </w14:textFill>
              </w:rPr>
            </w:pPr>
            <w:r>
              <w:rPr>
                <w:rFonts w:hint="eastAsia" w:ascii="Segoe UI Symbol" w:hAnsi="Segoe UI Symbol" w:cs="Segoe UI Symbol"/>
                <w:color w:val="000000" w:themeColor="text1"/>
                <w:kern w:val="2"/>
                <w:sz w:val="21"/>
                <w:szCs w:val="21"/>
                <w:highlight w:val="none"/>
                <w14:textFill>
                  <w14:solidFill>
                    <w14:schemeClr w14:val="tx1"/>
                  </w14:solidFill>
                </w14:textFill>
              </w:rPr>
              <w:t>☑</w:t>
            </w:r>
            <w:r>
              <w:rPr>
                <w:rFonts w:hint="eastAsia"/>
                <w:color w:val="000000" w:themeColor="text1"/>
                <w:kern w:val="2"/>
                <w:sz w:val="21"/>
                <w:szCs w:val="21"/>
                <w:highlight w:val="none"/>
                <w14:textFill>
                  <w14:solidFill>
                    <w14:schemeClr w14:val="tx1"/>
                  </w14:solidFill>
                </w14:textFill>
              </w:rPr>
              <w:t>要求</w:t>
            </w:r>
          </w:p>
          <w:p w14:paraId="2B0487E2">
            <w:pPr>
              <w:ind w:firstLine="211" w:firstLineChars="100"/>
              <w:jc w:val="left"/>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投标保证金的金额：</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20000.00</w:t>
            </w:r>
            <w:r>
              <w:rPr>
                <w:rFonts w:hint="eastAsia" w:ascii="宋体" w:hAnsi="宋体"/>
                <w:color w:val="000000" w:themeColor="text1"/>
                <w:szCs w:val="21"/>
                <w:highlight w:val="none"/>
                <w14:textFill>
                  <w14:solidFill>
                    <w14:schemeClr w14:val="tx1"/>
                  </w14:solidFill>
                </w14:textFill>
              </w:rPr>
              <w:t>元</w:t>
            </w:r>
          </w:p>
          <w:p w14:paraId="67DDBB86">
            <w:pPr>
              <w:ind w:firstLine="211" w:firstLineChars="100"/>
              <w:jc w:val="left"/>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投标保证金的形式：</w:t>
            </w:r>
            <w:r>
              <w:rPr>
                <w:rFonts w:hint="eastAsia" w:ascii="宋体" w:hAnsi="宋体"/>
                <w:color w:val="000000" w:themeColor="text1"/>
                <w:szCs w:val="21"/>
                <w:highlight w:val="none"/>
                <w14:textFill>
                  <w14:solidFill>
                    <w14:schemeClr w14:val="tx1"/>
                  </w14:solidFill>
                </w14:textFill>
              </w:rPr>
              <w:t>以银行转账或者金融机构、担保机构出具的保函等非现金形式提交；银行转账可以采取支票、电汇、网银、汇票、本票等方式，均应从投标人</w:t>
            </w:r>
            <w:r>
              <w:rPr>
                <w:rFonts w:hint="eastAsia" w:ascii="宋体" w:hAnsi="宋体"/>
                <w:b/>
                <w:color w:val="000000" w:themeColor="text1"/>
                <w:szCs w:val="21"/>
                <w:highlight w:val="none"/>
                <w14:textFill>
                  <w14:solidFill>
                    <w14:schemeClr w14:val="tx1"/>
                  </w14:solidFill>
                </w14:textFill>
              </w:rPr>
              <w:t>基本账户</w:t>
            </w:r>
            <w:r>
              <w:rPr>
                <w:rFonts w:hint="eastAsia" w:ascii="宋体" w:hAnsi="宋体"/>
                <w:color w:val="000000" w:themeColor="text1"/>
                <w:szCs w:val="21"/>
                <w:highlight w:val="none"/>
                <w14:textFill>
                  <w14:solidFill>
                    <w14:schemeClr w14:val="tx1"/>
                  </w14:solidFill>
                </w14:textFill>
              </w:rPr>
              <w:t>转出</w:t>
            </w:r>
          </w:p>
          <w:p w14:paraId="406FE187">
            <w:pPr>
              <w:ind w:firstLine="211" w:firstLineChars="100"/>
              <w:jc w:val="lef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投标保证金的收款单位：</w:t>
            </w:r>
          </w:p>
          <w:p w14:paraId="1F2BD21C">
            <w:pPr>
              <w:ind w:firstLine="211" w:firstLineChars="100"/>
              <w:jc w:val="left"/>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户    名：</w:t>
            </w:r>
            <w:r>
              <w:rPr>
                <w:rFonts w:hint="eastAsia" w:ascii="宋体" w:hAnsi="宋体"/>
                <w:color w:val="000000" w:themeColor="text1"/>
                <w:szCs w:val="21"/>
                <w:highlight w:val="none"/>
                <w:lang w:val="zh-CN"/>
                <w14:textFill>
                  <w14:solidFill>
                    <w14:schemeClr w14:val="tx1"/>
                  </w14:solidFill>
                </w14:textFill>
              </w:rPr>
              <w:t>陕西隆信项目管理有限公司</w:t>
            </w:r>
          </w:p>
          <w:p w14:paraId="6F283C62">
            <w:pPr>
              <w:ind w:firstLine="211" w:firstLineChars="100"/>
              <w:jc w:val="left"/>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开 户 行：</w:t>
            </w:r>
            <w:r>
              <w:rPr>
                <w:rFonts w:hint="eastAsia" w:ascii="宋体" w:hAnsi="宋体"/>
                <w:color w:val="000000" w:themeColor="text1"/>
                <w:szCs w:val="21"/>
                <w:highlight w:val="none"/>
                <w14:textFill>
                  <w14:solidFill>
                    <w14:schemeClr w14:val="tx1"/>
                  </w14:solidFill>
                </w14:textFill>
              </w:rPr>
              <w:t>招商银行股份有限公司西安大寨路支行</w:t>
            </w:r>
          </w:p>
          <w:p w14:paraId="75A16EFD">
            <w:pPr>
              <w:ind w:firstLine="211" w:firstLineChars="100"/>
              <w:jc w:val="left"/>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银行账号：</w:t>
            </w:r>
            <w:r>
              <w:rPr>
                <w:rFonts w:ascii="宋体" w:hAnsi="宋体"/>
                <w:color w:val="000000" w:themeColor="text1"/>
                <w:szCs w:val="21"/>
                <w:highlight w:val="none"/>
                <w14:textFill>
                  <w14:solidFill>
                    <w14:schemeClr w14:val="tx1"/>
                  </w14:solidFill>
                </w14:textFill>
              </w:rPr>
              <w:t>1299 0406 4810 808</w:t>
            </w:r>
          </w:p>
          <w:p w14:paraId="4D2BD59F">
            <w:pPr>
              <w:ind w:firstLine="211" w:firstLineChars="100"/>
              <w:jc w:val="lef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投标保证金提交截止时间同提交投标文件截止时间（以银行到账时间为准），逾期未交或逾期到账视为放弃投标。</w:t>
            </w:r>
          </w:p>
          <w:p w14:paraId="25AF1C64">
            <w:pPr>
              <w:ind w:firstLine="210" w:firstLineChars="100"/>
              <w:jc w:val="left"/>
              <w:rPr>
                <w:rFonts w:hint="eastAsia" w:ascii="宋体" w:hAnsi="宋体"/>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不要求</w:t>
            </w:r>
          </w:p>
        </w:tc>
      </w:tr>
      <w:tr w14:paraId="5AB7919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2"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5390D1AB">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23</w:t>
            </w:r>
          </w:p>
        </w:tc>
        <w:tc>
          <w:tcPr>
            <w:tcW w:w="2160" w:type="dxa"/>
            <w:tcBorders>
              <w:top w:val="single" w:color="auto" w:sz="8" w:space="0"/>
              <w:left w:val="single" w:color="auto" w:sz="8" w:space="0"/>
              <w:bottom w:val="single" w:color="auto" w:sz="8" w:space="0"/>
              <w:right w:val="single" w:color="auto" w:sz="8" w:space="0"/>
            </w:tcBorders>
            <w:vAlign w:val="center"/>
          </w:tcPr>
          <w:p w14:paraId="75C879EA">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不予退还投标</w:t>
            </w:r>
          </w:p>
          <w:p w14:paraId="26F9FC52">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保证金的情形</w:t>
            </w:r>
          </w:p>
        </w:tc>
        <w:tc>
          <w:tcPr>
            <w:tcW w:w="6777" w:type="dxa"/>
            <w:tcBorders>
              <w:top w:val="single" w:color="auto" w:sz="8" w:space="0"/>
              <w:left w:val="single" w:color="auto" w:sz="8" w:space="0"/>
              <w:bottom w:val="single" w:color="auto" w:sz="8" w:space="0"/>
              <w:right w:val="single" w:color="auto" w:sz="18" w:space="0"/>
            </w:tcBorders>
            <w:vAlign w:val="center"/>
          </w:tcPr>
          <w:p w14:paraId="5F51A86F">
            <w:pPr>
              <w:pStyle w:val="60"/>
              <w:ind w:firstLine="210" w:firstLineChars="100"/>
              <w:rPr>
                <w:rFonts w:hint="eastAsia"/>
                <w:color w:val="000000" w:themeColor="text1"/>
                <w:kern w:val="2"/>
                <w:sz w:val="21"/>
                <w:szCs w:val="21"/>
                <w:highlight w:val="none"/>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详见</w:t>
            </w:r>
            <w:r>
              <w:rPr>
                <w:rFonts w:hint="eastAsia"/>
                <w:color w:val="000000" w:themeColor="text1"/>
                <w:sz w:val="21"/>
                <w:szCs w:val="21"/>
                <w:highlight w:val="none"/>
                <w14:textFill>
                  <w14:solidFill>
                    <w14:schemeClr w14:val="tx1"/>
                  </w14:solidFill>
                </w14:textFill>
              </w:rPr>
              <w:t>投标人须知第4.5.3.2条款</w:t>
            </w:r>
          </w:p>
        </w:tc>
      </w:tr>
      <w:tr w14:paraId="330AB2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95"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F5899C8">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24</w:t>
            </w:r>
          </w:p>
        </w:tc>
        <w:tc>
          <w:tcPr>
            <w:tcW w:w="2160" w:type="dxa"/>
            <w:tcBorders>
              <w:top w:val="single" w:color="auto" w:sz="8" w:space="0"/>
              <w:left w:val="single" w:color="auto" w:sz="8" w:space="0"/>
              <w:bottom w:val="single" w:color="auto" w:sz="8" w:space="0"/>
              <w:right w:val="single" w:color="auto" w:sz="8" w:space="0"/>
            </w:tcBorders>
            <w:vAlign w:val="center"/>
          </w:tcPr>
          <w:p w14:paraId="15105E48">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投标文件份数</w:t>
            </w:r>
          </w:p>
        </w:tc>
        <w:tc>
          <w:tcPr>
            <w:tcW w:w="6777" w:type="dxa"/>
            <w:tcBorders>
              <w:top w:val="single" w:color="auto" w:sz="8" w:space="0"/>
              <w:left w:val="single" w:color="auto" w:sz="8" w:space="0"/>
              <w:bottom w:val="single" w:color="auto" w:sz="8" w:space="0"/>
              <w:right w:val="single" w:color="auto" w:sz="18" w:space="0"/>
            </w:tcBorders>
            <w:vAlign w:val="center"/>
          </w:tcPr>
          <w:p w14:paraId="2FFDB4B8">
            <w:pPr>
              <w:pStyle w:val="60"/>
              <w:ind w:firstLine="210" w:firstLineChars="100"/>
              <w:rPr>
                <w:rFonts w:hint="eastAsia"/>
                <w:color w:val="000000" w:themeColor="text1"/>
                <w:sz w:val="21"/>
                <w:szCs w:val="21"/>
                <w:highlight w:val="none"/>
                <w:lang w:val="zh-CN"/>
                <w14:textFill>
                  <w14:solidFill>
                    <w14:schemeClr w14:val="tx1"/>
                  </w14:solidFill>
                </w14:textFill>
              </w:rPr>
            </w:pPr>
            <w:r>
              <w:rPr>
                <w:rFonts w:hint="eastAsia" w:cs="仿宋_GB2312"/>
                <w:color w:val="000000" w:themeColor="text1"/>
                <w:sz w:val="21"/>
                <w:szCs w:val="21"/>
                <w:highlight w:val="none"/>
                <w14:textFill>
                  <w14:solidFill>
                    <w14:schemeClr w14:val="tx1"/>
                  </w14:solidFill>
                </w14:textFill>
              </w:rPr>
              <w:t>一套正本、两套副本和一份电子文件（U盘）</w:t>
            </w:r>
          </w:p>
        </w:tc>
      </w:tr>
      <w:tr w14:paraId="6C165FA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95"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1F35FB37">
            <w:pPr>
              <w:widowControl/>
              <w:jc w:val="center"/>
              <w:textAlignment w:val="center"/>
              <w:rPr>
                <w:rFonts w:hint="eastAsia" w:ascii="宋体" w:hAnsi="宋体" w:cs="宋体"/>
                <w:b/>
                <w:bCs/>
                <w:color w:val="000000" w:themeColor="text1"/>
                <w:kern w:val="0"/>
                <w:sz w:val="22"/>
                <w:szCs w:val="22"/>
                <w:highlight w:val="none"/>
                <w:lang w:bidi="ar"/>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25</w:t>
            </w:r>
          </w:p>
        </w:tc>
        <w:tc>
          <w:tcPr>
            <w:tcW w:w="2160" w:type="dxa"/>
            <w:tcBorders>
              <w:top w:val="single" w:color="auto" w:sz="8" w:space="0"/>
              <w:left w:val="single" w:color="auto" w:sz="8" w:space="0"/>
              <w:bottom w:val="single" w:color="auto" w:sz="8" w:space="0"/>
              <w:right w:val="single" w:color="auto" w:sz="8" w:space="0"/>
            </w:tcBorders>
            <w:vAlign w:val="center"/>
          </w:tcPr>
          <w:p w14:paraId="3FF31817">
            <w:pPr>
              <w:pStyle w:val="60"/>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电子文件</w:t>
            </w:r>
          </w:p>
        </w:tc>
        <w:tc>
          <w:tcPr>
            <w:tcW w:w="6777" w:type="dxa"/>
            <w:tcBorders>
              <w:top w:val="single" w:color="auto" w:sz="8" w:space="0"/>
              <w:left w:val="single" w:color="auto" w:sz="8" w:space="0"/>
              <w:bottom w:val="single" w:color="auto" w:sz="8" w:space="0"/>
              <w:right w:val="single" w:color="auto" w:sz="18" w:space="0"/>
            </w:tcBorders>
            <w:vAlign w:val="center"/>
          </w:tcPr>
          <w:p w14:paraId="76A6D06C">
            <w:pPr>
              <w:pStyle w:val="60"/>
              <w:ind w:firstLine="210" w:firstLineChars="100"/>
              <w:rPr>
                <w:rFonts w:hint="eastAsia" w:cs="仿宋_GB2312"/>
                <w:color w:val="000000" w:themeColor="text1"/>
                <w:sz w:val="21"/>
                <w:szCs w:val="21"/>
                <w:highlight w:val="none"/>
                <w14:textFill>
                  <w14:solidFill>
                    <w14:schemeClr w14:val="tx1"/>
                  </w14:solidFill>
                </w14:textFill>
              </w:rPr>
            </w:pPr>
            <w:r>
              <w:rPr>
                <w:rFonts w:hint="eastAsia"/>
                <w:color w:val="FF0000"/>
                <w:sz w:val="21"/>
                <w:szCs w:val="21"/>
                <w:highlight w:val="none"/>
                <w:lang w:val="zh-CN"/>
              </w:rPr>
              <w:t>详见</w:t>
            </w:r>
            <w:r>
              <w:rPr>
                <w:rFonts w:hint="eastAsia"/>
                <w:color w:val="FF0000"/>
                <w:sz w:val="21"/>
                <w:szCs w:val="21"/>
                <w:highlight w:val="none"/>
              </w:rPr>
              <w:t>投标人须知第</w:t>
            </w:r>
            <w:r>
              <w:rPr>
                <w:rFonts w:hint="eastAsia" w:cs="仿宋_GB2312"/>
                <w:color w:val="FF0000"/>
                <w:sz w:val="21"/>
                <w:szCs w:val="21"/>
                <w:highlight w:val="none"/>
              </w:rPr>
              <w:t>4.6.7</w:t>
            </w:r>
            <w:r>
              <w:rPr>
                <w:rFonts w:hint="eastAsia"/>
                <w:color w:val="FF0000"/>
                <w:sz w:val="21"/>
                <w:szCs w:val="21"/>
                <w:highlight w:val="none"/>
              </w:rPr>
              <w:t>条款</w:t>
            </w:r>
            <w:r>
              <w:rPr>
                <w:rFonts w:hint="eastAsia" w:cs="仿宋_GB2312"/>
                <w:color w:val="000000" w:themeColor="text1"/>
                <w:sz w:val="21"/>
                <w:szCs w:val="21"/>
                <w:highlight w:val="none"/>
                <w14:textFill>
                  <w14:solidFill>
                    <w14:schemeClr w14:val="tx1"/>
                  </w14:solidFill>
                </w14:textFill>
              </w:rPr>
              <w:t xml:space="preserve"> </w:t>
            </w:r>
          </w:p>
        </w:tc>
      </w:tr>
      <w:tr w14:paraId="2A30C6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02"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C5CF024">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26</w:t>
            </w:r>
          </w:p>
        </w:tc>
        <w:tc>
          <w:tcPr>
            <w:tcW w:w="2160" w:type="dxa"/>
            <w:tcBorders>
              <w:top w:val="single" w:color="auto" w:sz="8" w:space="0"/>
              <w:left w:val="single" w:color="auto" w:sz="8" w:space="0"/>
              <w:bottom w:val="single" w:color="auto" w:sz="8" w:space="0"/>
              <w:right w:val="single" w:color="auto" w:sz="8" w:space="0"/>
            </w:tcBorders>
            <w:vAlign w:val="center"/>
          </w:tcPr>
          <w:p w14:paraId="54756BFE">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投标文件签署</w:t>
            </w:r>
          </w:p>
          <w:p w14:paraId="37BCE416">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盖章要求</w:t>
            </w:r>
          </w:p>
        </w:tc>
        <w:tc>
          <w:tcPr>
            <w:tcW w:w="6777" w:type="dxa"/>
            <w:tcBorders>
              <w:top w:val="single" w:color="auto" w:sz="8" w:space="0"/>
              <w:left w:val="single" w:color="auto" w:sz="8" w:space="0"/>
              <w:bottom w:val="single" w:color="auto" w:sz="8" w:space="0"/>
              <w:right w:val="single" w:color="auto" w:sz="18" w:space="0"/>
            </w:tcBorders>
            <w:vAlign w:val="center"/>
          </w:tcPr>
          <w:p w14:paraId="648700A6">
            <w:pPr>
              <w:pStyle w:val="60"/>
              <w:ind w:firstLine="210" w:firstLineChars="100"/>
              <w:rPr>
                <w:rFonts w:hint="eastAsia" w:cs="仿宋_GB2312"/>
                <w:color w:val="000000" w:themeColor="text1"/>
                <w:sz w:val="21"/>
                <w:szCs w:val="21"/>
                <w:highlight w:val="none"/>
                <w:lang w:val="zh-CN"/>
                <w14:textFill>
                  <w14:solidFill>
                    <w14:schemeClr w14:val="tx1"/>
                  </w14:solidFill>
                </w14:textFill>
              </w:rPr>
            </w:pPr>
            <w:r>
              <w:rPr>
                <w:rFonts w:hint="eastAsia" w:cs="仿宋_GB2312"/>
                <w:color w:val="000000" w:themeColor="text1"/>
                <w:sz w:val="21"/>
                <w:szCs w:val="21"/>
                <w:highlight w:val="none"/>
                <w:lang w:val="zh-CN"/>
                <w14:textFill>
                  <w14:solidFill>
                    <w14:schemeClr w14:val="tx1"/>
                  </w14:solidFill>
                </w14:textFill>
              </w:rPr>
              <w:t>投标人应当按照招标文件的规定和要求签署、盖章。</w:t>
            </w:r>
          </w:p>
        </w:tc>
      </w:tr>
      <w:tr w14:paraId="19052F7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894"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2C339A2A">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27</w:t>
            </w:r>
          </w:p>
        </w:tc>
        <w:tc>
          <w:tcPr>
            <w:tcW w:w="2160" w:type="dxa"/>
            <w:tcBorders>
              <w:top w:val="single" w:color="auto" w:sz="8" w:space="0"/>
              <w:left w:val="single" w:color="auto" w:sz="8" w:space="0"/>
              <w:bottom w:val="single" w:color="auto" w:sz="8" w:space="0"/>
              <w:right w:val="single" w:color="auto" w:sz="8" w:space="0"/>
            </w:tcBorders>
            <w:vAlign w:val="center"/>
          </w:tcPr>
          <w:p w14:paraId="52AE0736">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投标文件是否分册装订</w:t>
            </w:r>
          </w:p>
        </w:tc>
        <w:tc>
          <w:tcPr>
            <w:tcW w:w="6777" w:type="dxa"/>
            <w:tcBorders>
              <w:top w:val="single" w:color="auto" w:sz="8" w:space="0"/>
              <w:left w:val="single" w:color="auto" w:sz="8" w:space="0"/>
              <w:bottom w:val="single" w:color="auto" w:sz="8" w:space="0"/>
              <w:right w:val="single" w:color="auto" w:sz="18" w:space="0"/>
            </w:tcBorders>
            <w:vAlign w:val="center"/>
          </w:tcPr>
          <w:p w14:paraId="7957872B">
            <w:pPr>
              <w:pStyle w:val="60"/>
              <w:ind w:firstLine="210" w:firstLineChars="1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☑需要，分册装订要求：</w:t>
            </w:r>
          </w:p>
          <w:p w14:paraId="2DE973AF">
            <w:pPr>
              <w:ind w:left="134" w:leftChars="64" w:right="158" w:rightChars="75" w:firstLine="210" w:firstLineChars="1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投标文件装订要求</w:t>
            </w:r>
            <w:r>
              <w:rPr>
                <w:rFonts w:hint="eastAsia" w:ascii="宋体" w:hAnsi="宋体" w:cs="宋体"/>
                <w:color w:val="000000" w:themeColor="text1"/>
                <w:szCs w:val="21"/>
                <w:highlight w:val="none"/>
                <w14:textFill>
                  <w14:solidFill>
                    <w14:schemeClr w14:val="tx1"/>
                  </w14:solidFill>
                </w14:textFill>
              </w:rPr>
              <w:t>：</w:t>
            </w:r>
          </w:p>
          <w:p w14:paraId="7007CC2D">
            <w:pPr>
              <w:ind w:left="134" w:leftChars="64" w:right="158" w:rightChars="75" w:firstLine="210" w:firstLineChars="1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投标文件分开装订</w:t>
            </w:r>
            <w:r>
              <w:rPr>
                <w:rFonts w:hint="eastAsia" w:ascii="宋体" w:hAnsi="宋体" w:cs="宋体"/>
                <w:color w:val="000000" w:themeColor="text1"/>
                <w:szCs w:val="21"/>
                <w:highlight w:val="none"/>
                <w14:textFill>
                  <w14:solidFill>
                    <w14:schemeClr w14:val="tx1"/>
                  </w14:solidFill>
                </w14:textFill>
              </w:rPr>
              <w:t>，即资格审查文件部分一册（一正两副），技术文件部分为一册（一正两副），商务文件部分为一册（一正两副）；每册采用A4页幅、双面打印、左侧胶装方式装订，装订应牢固、不易拆散和换页，活页装订的投标文件按无效投标文件处理。</w:t>
            </w:r>
          </w:p>
          <w:p w14:paraId="7630BEC0">
            <w:pPr>
              <w:pStyle w:val="60"/>
              <w:ind w:left="525" w:leftChars="25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装袋要求：</w:t>
            </w:r>
          </w:p>
          <w:p w14:paraId="4712B4E0">
            <w:pPr>
              <w:ind w:left="134" w:leftChars="64" w:right="158" w:rightChars="75" w:firstLine="210" w:firstLineChars="1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所有正本（</w:t>
            </w:r>
            <w:r>
              <w:rPr>
                <w:rFonts w:hint="eastAsia" w:hAnsi="宋体"/>
                <w:color w:val="000000" w:themeColor="text1"/>
                <w:highlight w:val="none"/>
                <w14:textFill>
                  <w14:solidFill>
                    <w14:schemeClr w14:val="tx1"/>
                  </w14:solidFill>
                </w14:textFill>
              </w:rPr>
              <w:t>资格审查文件、商务文件、技术文件</w:t>
            </w:r>
            <w:r>
              <w:rPr>
                <w:rFonts w:hint="eastAsia" w:ascii="宋体" w:hAnsi="宋体" w:cs="宋体"/>
                <w:color w:val="000000" w:themeColor="text1"/>
                <w:szCs w:val="21"/>
                <w:highlight w:val="none"/>
                <w14:textFill>
                  <w14:solidFill>
                    <w14:schemeClr w14:val="tx1"/>
                  </w14:solidFill>
                </w14:textFill>
              </w:rPr>
              <w:t>）单独装袋，也可分册装袋；</w:t>
            </w:r>
          </w:p>
          <w:p w14:paraId="33B1C939">
            <w:pPr>
              <w:ind w:left="134" w:leftChars="64" w:right="158" w:rightChars="75" w:firstLine="210" w:firstLineChars="1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所有副本（</w:t>
            </w:r>
            <w:r>
              <w:rPr>
                <w:rFonts w:hint="eastAsia" w:hAnsi="宋体"/>
                <w:color w:val="000000" w:themeColor="text1"/>
                <w:highlight w:val="none"/>
                <w14:textFill>
                  <w14:solidFill>
                    <w14:schemeClr w14:val="tx1"/>
                  </w14:solidFill>
                </w14:textFill>
              </w:rPr>
              <w:t>资格审查文件、商务文件、技术文件</w:t>
            </w:r>
            <w:r>
              <w:rPr>
                <w:rFonts w:hint="eastAsia" w:ascii="宋体" w:hAnsi="宋体" w:cs="宋体"/>
                <w:color w:val="000000" w:themeColor="text1"/>
                <w:szCs w:val="21"/>
                <w:highlight w:val="none"/>
                <w14:textFill>
                  <w14:solidFill>
                    <w14:schemeClr w14:val="tx1"/>
                  </w14:solidFill>
                </w14:textFill>
              </w:rPr>
              <w:t>）单独装袋，也可分册装袋；</w:t>
            </w:r>
          </w:p>
          <w:p w14:paraId="46814D00">
            <w:pPr>
              <w:pStyle w:val="60"/>
              <w:ind w:firstLine="210" w:firstLineChars="100"/>
              <w:rPr>
                <w:rFonts w:hint="eastAsia"/>
                <w:color w:val="000000" w:themeColor="text1"/>
                <w:szCs w:val="21"/>
                <w:highlight w:val="none"/>
                <w14:textFill>
                  <w14:solidFill>
                    <w14:schemeClr w14:val="tx1"/>
                  </w14:solidFill>
                </w14:textFill>
              </w:rPr>
            </w:pPr>
            <w:r>
              <w:rPr>
                <w:rFonts w:hint="eastAsia" w:cs="仿宋_GB2312"/>
                <w:color w:val="000000" w:themeColor="text1"/>
                <w:sz w:val="21"/>
                <w:szCs w:val="21"/>
                <w:highlight w:val="none"/>
                <w14:textFill>
                  <w14:solidFill>
                    <w14:schemeClr w14:val="tx1"/>
                  </w14:solidFill>
                </w14:textFill>
              </w:rPr>
              <w:t>U</w:t>
            </w:r>
            <w:r>
              <w:rPr>
                <w:rFonts w:hint="eastAsia"/>
                <w:color w:val="000000" w:themeColor="text1"/>
                <w:kern w:val="2"/>
                <w:sz w:val="21"/>
                <w:szCs w:val="21"/>
                <w:highlight w:val="none"/>
                <w:lang w:val="zh-CN"/>
                <w14:textFill>
                  <w14:solidFill>
                    <w14:schemeClr w14:val="tx1"/>
                  </w14:solidFill>
                </w14:textFill>
              </w:rPr>
              <w:t>盘置于资格审查文件正本密封袋中</w:t>
            </w:r>
            <w:r>
              <w:rPr>
                <w:rFonts w:hint="eastAsia"/>
                <w:color w:val="000000" w:themeColor="text1"/>
                <w:szCs w:val="21"/>
                <w:highlight w:val="none"/>
                <w14:textFill>
                  <w14:solidFill>
                    <w14:schemeClr w14:val="tx1"/>
                  </w14:solidFill>
                </w14:textFill>
              </w:rPr>
              <w:t>。</w:t>
            </w:r>
          </w:p>
          <w:p w14:paraId="6973C2CD">
            <w:pPr>
              <w:pStyle w:val="60"/>
              <w:ind w:firstLine="210" w:firstLineChars="100"/>
              <w:rPr>
                <w:rFonts w:hint="eastAsia"/>
                <w:color w:val="000000" w:themeColor="text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□不</w:t>
            </w:r>
            <w:r>
              <w:rPr>
                <w:rFonts w:hint="eastAsia"/>
                <w:color w:val="000000" w:themeColor="text1"/>
                <w:sz w:val="21"/>
                <w:szCs w:val="21"/>
                <w:highlight w:val="none"/>
                <w14:textFill>
                  <w14:solidFill>
                    <w14:schemeClr w14:val="tx1"/>
                  </w14:solidFill>
                </w14:textFill>
              </w:rPr>
              <w:t>需要</w:t>
            </w:r>
          </w:p>
        </w:tc>
      </w:tr>
      <w:tr w14:paraId="6A5B61D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07"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6FA4E14">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28</w:t>
            </w:r>
          </w:p>
        </w:tc>
        <w:tc>
          <w:tcPr>
            <w:tcW w:w="2160" w:type="dxa"/>
            <w:tcBorders>
              <w:top w:val="single" w:color="auto" w:sz="8" w:space="0"/>
              <w:left w:val="single" w:color="auto" w:sz="8" w:space="0"/>
              <w:bottom w:val="single" w:color="auto" w:sz="8" w:space="0"/>
              <w:right w:val="single" w:color="auto" w:sz="8" w:space="0"/>
            </w:tcBorders>
            <w:vAlign w:val="center"/>
          </w:tcPr>
          <w:p w14:paraId="7B924667">
            <w:pPr>
              <w:pStyle w:val="60"/>
              <w:ind w:left="351" w:leftChars="167"/>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投标文件封面</w:t>
            </w:r>
          </w:p>
          <w:p w14:paraId="35A3E869">
            <w:pPr>
              <w:pStyle w:val="60"/>
              <w:ind w:left="351" w:leftChars="167" w:firstLine="420" w:firstLineChars="200"/>
              <w:rPr>
                <w:rFonts w:hint="eastAsia" w:cs="Arial"/>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标注</w:t>
            </w:r>
          </w:p>
        </w:tc>
        <w:tc>
          <w:tcPr>
            <w:tcW w:w="6777" w:type="dxa"/>
            <w:tcBorders>
              <w:top w:val="single" w:color="auto" w:sz="8" w:space="0"/>
              <w:left w:val="single" w:color="auto" w:sz="8" w:space="0"/>
              <w:bottom w:val="single" w:color="auto" w:sz="8" w:space="0"/>
              <w:right w:val="single" w:color="auto" w:sz="18" w:space="0"/>
            </w:tcBorders>
            <w:vAlign w:val="center"/>
          </w:tcPr>
          <w:p w14:paraId="6C17DBE2">
            <w:pPr>
              <w:pStyle w:val="60"/>
              <w:spacing w:line="320" w:lineRule="exact"/>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投标文件正本和副本的封面上均应标明：采购项目名称、采购项目编号、投标人名称、资格证明文件或商务</w:t>
            </w:r>
            <w:r>
              <w:rPr>
                <w:rFonts w:hint="eastAsia"/>
                <w:color w:val="000000" w:themeColor="text1"/>
                <w:sz w:val="21"/>
                <w:szCs w:val="21"/>
                <w:highlight w:val="none"/>
                <w14:textFill>
                  <w14:solidFill>
                    <w14:schemeClr w14:val="tx1"/>
                  </w14:solidFill>
                </w14:textFill>
              </w:rPr>
              <w:t>或</w:t>
            </w:r>
            <w:r>
              <w:rPr>
                <w:rFonts w:hint="eastAsia"/>
                <w:color w:val="000000" w:themeColor="text1"/>
                <w:sz w:val="21"/>
                <w:szCs w:val="21"/>
                <w:highlight w:val="none"/>
                <w:lang w:val="zh-CN"/>
                <w14:textFill>
                  <w14:solidFill>
                    <w14:schemeClr w14:val="tx1"/>
                  </w14:solidFill>
                </w14:textFill>
              </w:rPr>
              <w:t>技术文件、 年 月 日；并分别在右上角标明“正本”和“副本”字样</w:t>
            </w:r>
          </w:p>
        </w:tc>
      </w:tr>
      <w:tr w14:paraId="68E4E76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0"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EC54EF2">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29</w:t>
            </w:r>
          </w:p>
        </w:tc>
        <w:tc>
          <w:tcPr>
            <w:tcW w:w="2160" w:type="dxa"/>
            <w:tcBorders>
              <w:top w:val="single" w:color="auto" w:sz="8" w:space="0"/>
              <w:left w:val="single" w:color="auto" w:sz="8" w:space="0"/>
              <w:bottom w:val="single" w:color="auto" w:sz="8" w:space="0"/>
              <w:right w:val="single" w:color="auto" w:sz="8" w:space="0"/>
            </w:tcBorders>
            <w:vAlign w:val="center"/>
          </w:tcPr>
          <w:p w14:paraId="02726B97">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封套上应载明的信息</w:t>
            </w:r>
          </w:p>
        </w:tc>
        <w:tc>
          <w:tcPr>
            <w:tcW w:w="6777" w:type="dxa"/>
            <w:tcBorders>
              <w:top w:val="single" w:color="auto" w:sz="8" w:space="0"/>
              <w:left w:val="single" w:color="auto" w:sz="8" w:space="0"/>
              <w:bottom w:val="single" w:color="auto" w:sz="8" w:space="0"/>
              <w:right w:val="single" w:color="auto" w:sz="18" w:space="0"/>
            </w:tcBorders>
            <w:vAlign w:val="center"/>
          </w:tcPr>
          <w:p w14:paraId="7A9632E1">
            <w:pPr>
              <w:pStyle w:val="60"/>
              <w:spacing w:line="320" w:lineRule="exact"/>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采购人</w:t>
            </w:r>
            <w:r>
              <w:rPr>
                <w:rFonts w:hint="eastAsia"/>
                <w:color w:val="000000" w:themeColor="text1"/>
                <w:sz w:val="21"/>
                <w:szCs w:val="21"/>
                <w:highlight w:val="none"/>
                <w:lang w:val="zh-CN"/>
                <w14:textFill>
                  <w14:solidFill>
                    <w14:schemeClr w14:val="tx1"/>
                  </w14:solidFill>
                </w14:textFill>
              </w:rPr>
              <w:t>名称：</w:t>
            </w:r>
          </w:p>
          <w:p w14:paraId="6F2AD654">
            <w:pPr>
              <w:pStyle w:val="60"/>
              <w:spacing w:line="320" w:lineRule="exact"/>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采购项目名称</w:t>
            </w:r>
            <w:r>
              <w:rPr>
                <w:rFonts w:hint="eastAsia"/>
                <w:color w:val="000000" w:themeColor="text1"/>
                <w:sz w:val="21"/>
                <w:szCs w:val="21"/>
                <w:highlight w:val="none"/>
                <w:lang w:val="zh-CN"/>
                <w14:textFill>
                  <w14:solidFill>
                    <w14:schemeClr w14:val="tx1"/>
                  </w14:solidFill>
                </w14:textFill>
              </w:rPr>
              <w:t>：</w:t>
            </w:r>
          </w:p>
          <w:p w14:paraId="596D3758">
            <w:pPr>
              <w:pStyle w:val="60"/>
              <w:spacing w:line="320" w:lineRule="exact"/>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投标文件（资格审查文件部分，技术文件部分，商务文件部分）</w:t>
            </w:r>
          </w:p>
          <w:p w14:paraId="4DF11B49">
            <w:pPr>
              <w:pStyle w:val="60"/>
              <w:spacing w:line="320" w:lineRule="exact"/>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采购项目编号</w:t>
            </w:r>
            <w:r>
              <w:rPr>
                <w:rFonts w:hint="eastAsia"/>
                <w:color w:val="000000" w:themeColor="text1"/>
                <w:sz w:val="21"/>
                <w:szCs w:val="21"/>
                <w:highlight w:val="none"/>
                <w:lang w:val="zh-CN"/>
                <w14:textFill>
                  <w14:solidFill>
                    <w14:schemeClr w14:val="tx1"/>
                  </w14:solidFill>
                </w14:textFill>
              </w:rPr>
              <w:t>、包号（如有分包）：</w:t>
            </w:r>
          </w:p>
          <w:p w14:paraId="35B0A413">
            <w:pPr>
              <w:pStyle w:val="60"/>
              <w:spacing w:line="320" w:lineRule="exact"/>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投标人名称：</w:t>
            </w:r>
          </w:p>
          <w:p w14:paraId="54933D99">
            <w:pPr>
              <w:pStyle w:val="60"/>
              <w:spacing w:line="320" w:lineRule="exact"/>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在  年 月 日  时  分前不得开启</w:t>
            </w:r>
          </w:p>
          <w:p w14:paraId="2FAF0879">
            <w:pPr>
              <w:pStyle w:val="60"/>
              <w:spacing w:line="320" w:lineRule="exact"/>
              <w:ind w:firstLine="210" w:firstLineChars="100"/>
              <w:jc w:val="both"/>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“正本”或“副本”字样</w:t>
            </w:r>
          </w:p>
        </w:tc>
      </w:tr>
      <w:tr w14:paraId="1881BDF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92"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08DD493">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30</w:t>
            </w:r>
          </w:p>
        </w:tc>
        <w:tc>
          <w:tcPr>
            <w:tcW w:w="2160" w:type="dxa"/>
            <w:tcBorders>
              <w:top w:val="single" w:color="auto" w:sz="8" w:space="0"/>
              <w:left w:val="single" w:color="auto" w:sz="8" w:space="0"/>
              <w:bottom w:val="single" w:color="auto" w:sz="8" w:space="0"/>
              <w:right w:val="single" w:color="auto" w:sz="8" w:space="0"/>
            </w:tcBorders>
            <w:vAlign w:val="center"/>
          </w:tcPr>
          <w:p w14:paraId="4C20DECC">
            <w:pPr>
              <w:pStyle w:val="60"/>
              <w:ind w:left="352"/>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投标截止时间</w:t>
            </w:r>
          </w:p>
        </w:tc>
        <w:tc>
          <w:tcPr>
            <w:tcW w:w="6777" w:type="dxa"/>
            <w:tcBorders>
              <w:top w:val="single" w:color="auto" w:sz="8" w:space="0"/>
              <w:left w:val="single" w:color="auto" w:sz="8" w:space="0"/>
              <w:bottom w:val="single" w:color="auto" w:sz="8" w:space="0"/>
              <w:right w:val="single" w:color="auto" w:sz="18" w:space="0"/>
            </w:tcBorders>
            <w:vAlign w:val="center"/>
          </w:tcPr>
          <w:p w14:paraId="24101852">
            <w:pPr>
              <w:pStyle w:val="60"/>
              <w:ind w:firstLine="210" w:firstLineChars="100"/>
              <w:rPr>
                <w:rFonts w:hint="eastAsia"/>
                <w:color w:val="000000" w:themeColor="text1"/>
                <w:highlight w:val="none"/>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20</w:t>
            </w:r>
            <w:r>
              <w:rPr>
                <w:rFonts w:hint="eastAsia"/>
                <w:color w:val="000000" w:themeColor="text1"/>
                <w:sz w:val="21"/>
                <w:szCs w:val="21"/>
                <w:highlight w:val="none"/>
                <w14:textFill>
                  <w14:solidFill>
                    <w14:schemeClr w14:val="tx1"/>
                  </w14:solidFill>
                </w14:textFill>
              </w:rPr>
              <w:t>26</w:t>
            </w:r>
            <w:r>
              <w:rPr>
                <w:rFonts w:hint="eastAsia"/>
                <w:color w:val="000000" w:themeColor="text1"/>
                <w:sz w:val="21"/>
                <w:szCs w:val="21"/>
                <w:highlight w:val="none"/>
                <w:lang w:val="zh-CN"/>
                <w14:textFill>
                  <w14:solidFill>
                    <w14:schemeClr w14:val="tx1"/>
                  </w14:solidFill>
                </w14:textFill>
              </w:rPr>
              <w:t>年</w:t>
            </w:r>
            <w:r>
              <w:rPr>
                <w:rFonts w:hint="eastAsia"/>
                <w:color w:val="000000" w:themeColor="text1"/>
                <w:sz w:val="21"/>
                <w:szCs w:val="21"/>
                <w:highlight w:val="none"/>
                <w:lang w:val="en-US" w:eastAsia="zh-CN"/>
                <w14:textFill>
                  <w14:solidFill>
                    <w14:schemeClr w14:val="tx1"/>
                  </w14:solidFill>
                </w14:textFill>
              </w:rPr>
              <w:t>10</w:t>
            </w:r>
            <w:r>
              <w:rPr>
                <w:rFonts w:hint="eastAsia"/>
                <w:color w:val="000000" w:themeColor="text1"/>
                <w:sz w:val="21"/>
                <w:szCs w:val="21"/>
                <w:highlight w:val="none"/>
                <w:lang w:val="zh-CN"/>
                <w14:textFill>
                  <w14:solidFill>
                    <w14:schemeClr w14:val="tx1"/>
                  </w14:solidFill>
                </w14:textFill>
              </w:rPr>
              <w:t>月</w:t>
            </w:r>
            <w:r>
              <w:rPr>
                <w:rFonts w:hint="eastAsia"/>
                <w:color w:val="000000" w:themeColor="text1"/>
                <w:sz w:val="21"/>
                <w:szCs w:val="21"/>
                <w:highlight w:val="none"/>
                <w:lang w:val="en-US" w:eastAsia="zh-CN"/>
                <w14:textFill>
                  <w14:solidFill>
                    <w14:schemeClr w14:val="tx1"/>
                  </w14:solidFill>
                </w14:textFill>
              </w:rPr>
              <w:t>09</w:t>
            </w:r>
            <w:r>
              <w:rPr>
                <w:rFonts w:hint="eastAsia"/>
                <w:color w:val="000000" w:themeColor="text1"/>
                <w:sz w:val="21"/>
                <w:szCs w:val="21"/>
                <w:highlight w:val="none"/>
                <w:lang w:val="zh-CN"/>
                <w14:textFill>
                  <w14:solidFill>
                    <w14:schemeClr w14:val="tx1"/>
                  </w14:solidFill>
                </w14:textFill>
              </w:rPr>
              <w:t>日</w:t>
            </w:r>
            <w:r>
              <w:rPr>
                <w:rFonts w:hint="eastAsia"/>
                <w:color w:val="000000" w:themeColor="text1"/>
                <w:sz w:val="21"/>
                <w:szCs w:val="21"/>
                <w:highlight w:val="none"/>
                <w:lang w:val="en-US" w:eastAsia="zh-CN"/>
                <w14:textFill>
                  <w14:solidFill>
                    <w14:schemeClr w14:val="tx1"/>
                  </w14:solidFill>
                </w14:textFill>
              </w:rPr>
              <w:t>0</w:t>
            </w:r>
            <w:r>
              <w:rPr>
                <w:rFonts w:hint="eastAsia"/>
                <w:color w:val="000000" w:themeColor="text1"/>
                <w:sz w:val="21"/>
                <w:szCs w:val="21"/>
                <w:highlight w:val="none"/>
                <w14:textFill>
                  <w14:solidFill>
                    <w14:schemeClr w14:val="tx1"/>
                  </w14:solidFill>
                </w14:textFill>
              </w:rPr>
              <w:t>9</w:t>
            </w:r>
            <w:r>
              <w:rPr>
                <w:rFonts w:hint="eastAsia"/>
                <w:color w:val="000000" w:themeColor="text1"/>
                <w:sz w:val="21"/>
                <w:szCs w:val="21"/>
                <w:highlight w:val="none"/>
                <w:lang w:val="zh-CN"/>
                <w14:textFill>
                  <w14:solidFill>
                    <w14:schemeClr w14:val="tx1"/>
                  </w14:solidFill>
                </w14:textFill>
              </w:rPr>
              <w:t>时</w:t>
            </w:r>
            <w:r>
              <w:rPr>
                <w:rFonts w:hint="eastAsia"/>
                <w:color w:val="000000" w:themeColor="text1"/>
                <w:sz w:val="21"/>
                <w:szCs w:val="21"/>
                <w:highlight w:val="none"/>
                <w:lang w:val="en-US" w:eastAsia="zh-CN"/>
                <w14:textFill>
                  <w14:solidFill>
                    <w14:schemeClr w14:val="tx1"/>
                  </w14:solidFill>
                </w14:textFill>
              </w:rPr>
              <w:t>3</w:t>
            </w:r>
            <w:r>
              <w:rPr>
                <w:rFonts w:hint="eastAsia"/>
                <w:color w:val="000000" w:themeColor="text1"/>
                <w:sz w:val="21"/>
                <w:szCs w:val="21"/>
                <w:highlight w:val="none"/>
                <w14:textFill>
                  <w14:solidFill>
                    <w14:schemeClr w14:val="tx1"/>
                  </w14:solidFill>
                </w14:textFill>
              </w:rPr>
              <w:t>0</w:t>
            </w:r>
            <w:r>
              <w:rPr>
                <w:rFonts w:hint="eastAsia"/>
                <w:color w:val="000000" w:themeColor="text1"/>
                <w:sz w:val="21"/>
                <w:szCs w:val="21"/>
                <w:highlight w:val="none"/>
                <w:lang w:val="zh-CN"/>
                <w14:textFill>
                  <w14:solidFill>
                    <w14:schemeClr w14:val="tx1"/>
                  </w14:solidFill>
                </w14:textFill>
              </w:rPr>
              <w:t>分</w:t>
            </w:r>
          </w:p>
        </w:tc>
      </w:tr>
      <w:tr w14:paraId="7D893E0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0"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4613460">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31</w:t>
            </w:r>
          </w:p>
        </w:tc>
        <w:tc>
          <w:tcPr>
            <w:tcW w:w="2160" w:type="dxa"/>
            <w:tcBorders>
              <w:top w:val="single" w:color="auto" w:sz="8" w:space="0"/>
              <w:left w:val="single" w:color="auto" w:sz="8" w:space="0"/>
              <w:bottom w:val="single" w:color="auto" w:sz="8" w:space="0"/>
              <w:right w:val="single" w:color="auto" w:sz="8" w:space="0"/>
            </w:tcBorders>
            <w:vAlign w:val="center"/>
          </w:tcPr>
          <w:p w14:paraId="60230E94">
            <w:pPr>
              <w:pStyle w:val="60"/>
              <w:ind w:left="352"/>
              <w:rPr>
                <w:rFonts w:hint="eastAsia" w:cs="Arial"/>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递交投标文件地点</w:t>
            </w:r>
          </w:p>
        </w:tc>
        <w:tc>
          <w:tcPr>
            <w:tcW w:w="6777" w:type="dxa"/>
            <w:tcBorders>
              <w:top w:val="single" w:color="auto" w:sz="8" w:space="0"/>
              <w:left w:val="single" w:color="auto" w:sz="8" w:space="0"/>
              <w:bottom w:val="single" w:color="auto" w:sz="8" w:space="0"/>
              <w:right w:val="single" w:color="auto" w:sz="18" w:space="0"/>
            </w:tcBorders>
            <w:vAlign w:val="center"/>
          </w:tcPr>
          <w:p w14:paraId="3BF33D73">
            <w:pPr>
              <w:pStyle w:val="60"/>
              <w:ind w:firstLine="210" w:firstLineChars="100"/>
              <w:rPr>
                <w:rFonts w:hint="eastAsia"/>
                <w:color w:val="000000" w:themeColor="text1"/>
                <w:sz w:val="21"/>
                <w:szCs w:val="21"/>
                <w:highlight w:val="none"/>
                <w:lang w:val="zh-CN"/>
                <w14:textFill>
                  <w14:solidFill>
                    <w14:schemeClr w14:val="tx1"/>
                  </w14:solidFill>
                </w14:textFill>
              </w:rPr>
            </w:pPr>
            <w:r>
              <w:rPr>
                <w:rFonts w:hint="eastAsia" w:cs="Times New Roman"/>
                <w:color w:val="000000" w:themeColor="text1"/>
                <w:kern w:val="2"/>
                <w:sz w:val="21"/>
                <w:highlight w:val="none"/>
                <w14:textFill>
                  <w14:solidFill>
                    <w14:schemeClr w14:val="tx1"/>
                  </w14:solidFill>
                </w14:textFill>
              </w:rPr>
              <w:t>陕西省西安市雁塔区雁翔路111号赛格·中京坊公寓A1单元2层第一会议室</w:t>
            </w:r>
          </w:p>
        </w:tc>
      </w:tr>
      <w:tr w14:paraId="6FD8188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74"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151D061C">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32</w:t>
            </w:r>
          </w:p>
        </w:tc>
        <w:tc>
          <w:tcPr>
            <w:tcW w:w="2160" w:type="dxa"/>
            <w:tcBorders>
              <w:top w:val="single" w:color="auto" w:sz="8" w:space="0"/>
              <w:left w:val="single" w:color="auto" w:sz="8" w:space="0"/>
              <w:bottom w:val="single" w:color="auto" w:sz="8" w:space="0"/>
              <w:right w:val="single" w:color="auto" w:sz="8" w:space="0"/>
            </w:tcBorders>
            <w:vAlign w:val="center"/>
          </w:tcPr>
          <w:p w14:paraId="15800DF5">
            <w:pPr>
              <w:pStyle w:val="60"/>
              <w:ind w:left="35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投标文件是否退还</w:t>
            </w:r>
          </w:p>
        </w:tc>
        <w:tc>
          <w:tcPr>
            <w:tcW w:w="6777" w:type="dxa"/>
            <w:tcBorders>
              <w:top w:val="single" w:color="auto" w:sz="8" w:space="0"/>
              <w:left w:val="single" w:color="auto" w:sz="8" w:space="0"/>
              <w:bottom w:val="single" w:color="auto" w:sz="8" w:space="0"/>
              <w:right w:val="single" w:color="auto" w:sz="18" w:space="0"/>
            </w:tcBorders>
            <w:vAlign w:val="center"/>
          </w:tcPr>
          <w:p w14:paraId="6CA422CE">
            <w:pPr>
              <w:autoSpaceDE w:val="0"/>
              <w:autoSpaceDN w:val="0"/>
              <w:adjustRightInd w:val="0"/>
              <w:ind w:firstLine="210" w:firstLineChars="100"/>
              <w:jc w:val="left"/>
              <w:rPr>
                <w:color w:val="000000" w:themeColor="text1"/>
                <w:szCs w:val="21"/>
                <w:highlight w:val="none"/>
                <w:lang w:val="zh-CN"/>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投标人不足3家未开标的，当场予以退还投标文件；投标人满足3家以上开标的，不予退还投标文件</w:t>
            </w:r>
          </w:p>
        </w:tc>
      </w:tr>
      <w:tr w14:paraId="39F381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4"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50317E82">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33</w:t>
            </w:r>
          </w:p>
        </w:tc>
        <w:tc>
          <w:tcPr>
            <w:tcW w:w="2160" w:type="dxa"/>
            <w:tcBorders>
              <w:top w:val="single" w:color="auto" w:sz="8" w:space="0"/>
              <w:left w:val="single" w:color="auto" w:sz="8" w:space="0"/>
              <w:bottom w:val="single" w:color="auto" w:sz="8" w:space="0"/>
              <w:right w:val="single" w:color="auto" w:sz="8" w:space="0"/>
            </w:tcBorders>
            <w:vAlign w:val="center"/>
          </w:tcPr>
          <w:p w14:paraId="15CF1320">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开标程序</w:t>
            </w:r>
          </w:p>
        </w:tc>
        <w:tc>
          <w:tcPr>
            <w:tcW w:w="6777" w:type="dxa"/>
            <w:tcBorders>
              <w:top w:val="single" w:color="auto" w:sz="8" w:space="0"/>
              <w:left w:val="single" w:color="auto" w:sz="8" w:space="0"/>
              <w:bottom w:val="single" w:color="auto" w:sz="8" w:space="0"/>
              <w:right w:val="single" w:color="auto" w:sz="18" w:space="0"/>
            </w:tcBorders>
            <w:vAlign w:val="center"/>
          </w:tcPr>
          <w:p w14:paraId="441D7A8E">
            <w:pPr>
              <w:pStyle w:val="60"/>
              <w:ind w:firstLine="210" w:firstLineChars="1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开标顺序：投标文件资格审查文件部分，技术文件部分，商务文件部分</w:t>
            </w:r>
            <w:r>
              <w:rPr>
                <w:rFonts w:hint="eastAsia"/>
                <w:color w:val="000000" w:themeColor="text1"/>
                <w:sz w:val="21"/>
                <w:szCs w:val="21"/>
                <w:highlight w:val="none"/>
                <w14:textFill>
                  <w14:solidFill>
                    <w14:schemeClr w14:val="tx1"/>
                  </w14:solidFill>
                </w14:textFill>
              </w:rPr>
              <w:t>同时开启(随机)</w:t>
            </w:r>
          </w:p>
        </w:tc>
      </w:tr>
      <w:tr w14:paraId="3A4A0AF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2"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DC7D570">
            <w:pPr>
              <w:widowControl/>
              <w:jc w:val="center"/>
              <w:textAlignment w:val="center"/>
              <w:rPr>
                <w:rFonts w:cs="Courier New"/>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34</w:t>
            </w:r>
          </w:p>
        </w:tc>
        <w:tc>
          <w:tcPr>
            <w:tcW w:w="2160" w:type="dxa"/>
            <w:tcBorders>
              <w:top w:val="single" w:color="auto" w:sz="8" w:space="0"/>
              <w:left w:val="single" w:color="auto" w:sz="8" w:space="0"/>
              <w:bottom w:val="single" w:color="auto" w:sz="8" w:space="0"/>
              <w:right w:val="single" w:color="auto" w:sz="8" w:space="0"/>
            </w:tcBorders>
            <w:vAlign w:val="center"/>
          </w:tcPr>
          <w:p w14:paraId="06541178">
            <w:pPr>
              <w:pStyle w:val="60"/>
              <w:ind w:left="96"/>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评标委员会的组成</w:t>
            </w:r>
          </w:p>
        </w:tc>
        <w:tc>
          <w:tcPr>
            <w:tcW w:w="6777" w:type="dxa"/>
            <w:tcBorders>
              <w:top w:val="single" w:color="auto" w:sz="8" w:space="0"/>
              <w:left w:val="single" w:color="auto" w:sz="8" w:space="0"/>
              <w:bottom w:val="single" w:color="auto" w:sz="8" w:space="0"/>
              <w:right w:val="single" w:color="auto" w:sz="18" w:space="0"/>
            </w:tcBorders>
            <w:vAlign w:val="center"/>
          </w:tcPr>
          <w:p w14:paraId="622ECBA9">
            <w:pPr>
              <w:pStyle w:val="60"/>
              <w:spacing w:line="320" w:lineRule="exact"/>
              <w:ind w:left="634" w:leftChars="102" w:hanging="420" w:hangingChars="20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评标委员会构成形式、人数，评标专家确定方式：</w:t>
            </w:r>
          </w:p>
          <w:p w14:paraId="3847EC89">
            <w:pPr>
              <w:pStyle w:val="60"/>
              <w:ind w:left="634" w:leftChars="102" w:hanging="420" w:hangingChars="20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详见投标人须知第</w:t>
            </w:r>
            <w:r>
              <w:rPr>
                <w:rFonts w:hint="eastAsia"/>
                <w:color w:val="000000" w:themeColor="text1"/>
                <w:sz w:val="21"/>
                <w:szCs w:val="21"/>
                <w:highlight w:val="none"/>
                <w14:textFill>
                  <w14:solidFill>
                    <w14:schemeClr w14:val="tx1"/>
                  </w14:solidFill>
                </w14:textFill>
              </w:rPr>
              <w:t>7</w:t>
            </w:r>
            <w:r>
              <w:rPr>
                <w:rFonts w:hint="eastAsia"/>
                <w:color w:val="000000" w:themeColor="text1"/>
                <w:sz w:val="21"/>
                <w:szCs w:val="21"/>
                <w:highlight w:val="none"/>
                <w:lang w:val="zh-CN"/>
                <w14:textFill>
                  <w14:solidFill>
                    <w14:schemeClr w14:val="tx1"/>
                  </w14:solidFill>
                </w14:textFill>
              </w:rPr>
              <w:t>.1.1条款</w:t>
            </w:r>
          </w:p>
        </w:tc>
      </w:tr>
      <w:tr w14:paraId="1248DA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2"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592FB8C">
            <w:pPr>
              <w:widowControl/>
              <w:jc w:val="center"/>
              <w:textAlignment w:val="center"/>
              <w:rPr>
                <w:rFonts w:cs="Courier New"/>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35</w:t>
            </w:r>
          </w:p>
        </w:tc>
        <w:tc>
          <w:tcPr>
            <w:tcW w:w="2160" w:type="dxa"/>
            <w:tcBorders>
              <w:top w:val="single" w:color="auto" w:sz="8" w:space="0"/>
              <w:left w:val="single" w:color="auto" w:sz="8" w:space="0"/>
              <w:bottom w:val="single" w:color="auto" w:sz="8" w:space="0"/>
              <w:right w:val="single" w:color="auto" w:sz="8" w:space="0"/>
            </w:tcBorders>
            <w:vAlign w:val="center"/>
          </w:tcPr>
          <w:p w14:paraId="32C8F996">
            <w:pPr>
              <w:pStyle w:val="60"/>
              <w:ind w:left="96"/>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评标方法</w:t>
            </w:r>
          </w:p>
        </w:tc>
        <w:tc>
          <w:tcPr>
            <w:tcW w:w="6777" w:type="dxa"/>
            <w:tcBorders>
              <w:top w:val="single" w:color="auto" w:sz="8" w:space="0"/>
              <w:left w:val="single" w:color="auto" w:sz="8" w:space="0"/>
              <w:bottom w:val="single" w:color="auto" w:sz="8" w:space="0"/>
              <w:right w:val="single" w:color="auto" w:sz="18" w:space="0"/>
            </w:tcBorders>
            <w:vAlign w:val="center"/>
          </w:tcPr>
          <w:p w14:paraId="631BAD28">
            <w:pPr>
              <w:pStyle w:val="60"/>
              <w:ind w:left="634" w:leftChars="102" w:hanging="420" w:hangingChars="2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☑综合评分法</w:t>
            </w:r>
          </w:p>
          <w:p w14:paraId="37CEC42E">
            <w:pPr>
              <w:pStyle w:val="60"/>
              <w:ind w:firstLine="210" w:firstLineChars="10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□最低评标价法</w:t>
            </w:r>
          </w:p>
        </w:tc>
      </w:tr>
      <w:tr w14:paraId="16D2F14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11"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0FFBC606">
            <w:pPr>
              <w:widowControl/>
              <w:jc w:val="center"/>
              <w:textAlignment w:val="center"/>
              <w:rPr>
                <w:rFonts w:cs="Courier New"/>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36</w:t>
            </w:r>
          </w:p>
        </w:tc>
        <w:tc>
          <w:tcPr>
            <w:tcW w:w="2160" w:type="dxa"/>
            <w:tcBorders>
              <w:top w:val="single" w:color="auto" w:sz="8" w:space="0"/>
              <w:left w:val="single" w:color="auto" w:sz="8" w:space="0"/>
              <w:bottom w:val="single" w:color="auto" w:sz="8" w:space="0"/>
              <w:right w:val="single" w:color="auto" w:sz="8" w:space="0"/>
            </w:tcBorders>
            <w:vAlign w:val="center"/>
          </w:tcPr>
          <w:p w14:paraId="48E88D5A">
            <w:pPr>
              <w:pStyle w:val="60"/>
              <w:ind w:left="96"/>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评标委员会推荐中标</w:t>
            </w:r>
          </w:p>
          <w:p w14:paraId="1C837FE0">
            <w:pPr>
              <w:pStyle w:val="60"/>
              <w:ind w:left="96"/>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候选人的人数</w:t>
            </w:r>
          </w:p>
        </w:tc>
        <w:tc>
          <w:tcPr>
            <w:tcW w:w="6777" w:type="dxa"/>
            <w:tcBorders>
              <w:top w:val="single" w:color="auto" w:sz="8" w:space="0"/>
              <w:left w:val="single" w:color="auto" w:sz="8" w:space="0"/>
              <w:bottom w:val="single" w:color="auto" w:sz="8" w:space="0"/>
              <w:right w:val="single" w:color="auto" w:sz="18" w:space="0"/>
            </w:tcBorders>
            <w:vAlign w:val="center"/>
          </w:tcPr>
          <w:p w14:paraId="7BCD8778">
            <w:pPr>
              <w:pStyle w:val="6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  3</w:t>
            </w:r>
          </w:p>
        </w:tc>
      </w:tr>
      <w:tr w14:paraId="1B877C6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57F96E6">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37</w:t>
            </w:r>
          </w:p>
        </w:tc>
        <w:tc>
          <w:tcPr>
            <w:tcW w:w="2160" w:type="dxa"/>
            <w:tcBorders>
              <w:top w:val="single" w:color="auto" w:sz="8" w:space="0"/>
              <w:left w:val="single" w:color="auto" w:sz="8" w:space="0"/>
              <w:bottom w:val="single" w:color="auto" w:sz="8" w:space="0"/>
              <w:right w:val="single" w:color="auto" w:sz="8" w:space="0"/>
            </w:tcBorders>
            <w:vAlign w:val="center"/>
          </w:tcPr>
          <w:p w14:paraId="7ACCC86C">
            <w:pPr>
              <w:pStyle w:val="60"/>
              <w:ind w:left="96"/>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是否授权评标委员会确定中标人</w:t>
            </w:r>
          </w:p>
        </w:tc>
        <w:tc>
          <w:tcPr>
            <w:tcW w:w="6777" w:type="dxa"/>
            <w:tcBorders>
              <w:top w:val="single" w:color="auto" w:sz="8" w:space="0"/>
              <w:left w:val="single" w:color="auto" w:sz="8" w:space="0"/>
              <w:bottom w:val="single" w:color="auto" w:sz="8" w:space="0"/>
              <w:right w:val="single" w:color="auto" w:sz="18" w:space="0"/>
            </w:tcBorders>
            <w:vAlign w:val="center"/>
          </w:tcPr>
          <w:p w14:paraId="1D31D365">
            <w:pPr>
              <w:pStyle w:val="60"/>
              <w:ind w:firstLine="210" w:firstLineChars="10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否</w:t>
            </w:r>
          </w:p>
        </w:tc>
      </w:tr>
      <w:tr w14:paraId="7590F5B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37"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7BCED96">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38</w:t>
            </w:r>
          </w:p>
        </w:tc>
        <w:tc>
          <w:tcPr>
            <w:tcW w:w="2160" w:type="dxa"/>
            <w:tcBorders>
              <w:top w:val="single" w:color="auto" w:sz="8" w:space="0"/>
              <w:left w:val="single" w:color="auto" w:sz="8" w:space="0"/>
              <w:bottom w:val="single" w:color="auto" w:sz="8" w:space="0"/>
              <w:right w:val="single" w:color="auto" w:sz="8" w:space="0"/>
            </w:tcBorders>
            <w:vAlign w:val="center"/>
          </w:tcPr>
          <w:p w14:paraId="65F36FBA">
            <w:pPr>
              <w:pStyle w:val="60"/>
              <w:ind w:left="96"/>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中标公告的时间、</w:t>
            </w:r>
          </w:p>
          <w:p w14:paraId="4712236A">
            <w:pPr>
              <w:pStyle w:val="60"/>
              <w:ind w:left="96"/>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媒介和期限</w:t>
            </w:r>
          </w:p>
        </w:tc>
        <w:tc>
          <w:tcPr>
            <w:tcW w:w="6777" w:type="dxa"/>
            <w:tcBorders>
              <w:top w:val="single" w:color="auto" w:sz="8" w:space="0"/>
              <w:left w:val="single" w:color="auto" w:sz="8" w:space="0"/>
              <w:bottom w:val="single" w:color="auto" w:sz="8" w:space="0"/>
              <w:right w:val="single" w:color="auto" w:sz="18" w:space="0"/>
            </w:tcBorders>
            <w:vAlign w:val="center"/>
          </w:tcPr>
          <w:p w14:paraId="1DE5621E">
            <w:pPr>
              <w:pStyle w:val="7"/>
              <w:spacing w:before="120" w:beforeLines="50"/>
              <w:ind w:firstLine="210" w:firstLineChars="100"/>
              <w:rPr>
                <w:color w:val="000000" w:themeColor="text1"/>
                <w:szCs w:val="21"/>
                <w:highlight w:val="none"/>
                <w:lang w:val="zh-CN"/>
                <w14:textFill>
                  <w14:solidFill>
                    <w14:schemeClr w14:val="tx1"/>
                  </w14:solidFill>
                </w14:textFill>
              </w:rPr>
            </w:pPr>
            <w:r>
              <w:rPr>
                <w:rFonts w:hint="eastAsia"/>
                <w:color w:val="000000" w:themeColor="text1"/>
                <w:szCs w:val="21"/>
                <w:highlight w:val="none"/>
                <w:lang w:val="zh-CN"/>
                <w14:textFill>
                  <w14:solidFill>
                    <w14:schemeClr w14:val="tx1"/>
                  </w14:solidFill>
                </w14:textFill>
              </w:rPr>
              <w:t>公告时间：</w:t>
            </w:r>
            <w:r>
              <w:rPr>
                <w:rFonts w:hint="eastAsia" w:ascii="宋体" w:hAnsi="宋体"/>
                <w:color w:val="000000" w:themeColor="text1"/>
                <w:szCs w:val="21"/>
                <w:highlight w:val="none"/>
                <w14:textFill>
                  <w14:solidFill>
                    <w14:schemeClr w14:val="tx1"/>
                  </w14:solidFill>
                </w14:textFill>
              </w:rPr>
              <w:t>在确定中标人之日起</w:t>
            </w:r>
            <w:r>
              <w:rPr>
                <w:rFonts w:hint="eastAsia" w:ascii="宋体" w:hAnsi="宋体"/>
                <w:b/>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个工作日内</w:t>
            </w:r>
          </w:p>
          <w:p w14:paraId="03F1CCC1">
            <w:pPr>
              <w:pStyle w:val="60"/>
              <w:ind w:left="21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公告媒介：中国政府采购网</w:t>
            </w:r>
          </w:p>
          <w:p w14:paraId="6E48AFE6">
            <w:pPr>
              <w:pStyle w:val="60"/>
              <w:ind w:left="21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公告期限：1个工作日</w:t>
            </w:r>
          </w:p>
        </w:tc>
      </w:tr>
      <w:tr w14:paraId="10A2FD9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790"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552ECAA3">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39</w:t>
            </w:r>
          </w:p>
        </w:tc>
        <w:tc>
          <w:tcPr>
            <w:tcW w:w="2160" w:type="dxa"/>
            <w:tcBorders>
              <w:top w:val="single" w:color="auto" w:sz="8" w:space="0"/>
              <w:left w:val="single" w:color="auto" w:sz="8" w:space="0"/>
              <w:bottom w:val="single" w:color="auto" w:sz="8" w:space="0"/>
              <w:right w:val="single" w:color="auto" w:sz="8" w:space="0"/>
            </w:tcBorders>
            <w:vAlign w:val="center"/>
          </w:tcPr>
          <w:p w14:paraId="7F20BDBB">
            <w:pPr>
              <w:pStyle w:val="60"/>
              <w:ind w:left="96"/>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履约保证金</w:t>
            </w:r>
          </w:p>
        </w:tc>
        <w:tc>
          <w:tcPr>
            <w:tcW w:w="6777" w:type="dxa"/>
            <w:tcBorders>
              <w:top w:val="single" w:color="auto" w:sz="8" w:space="0"/>
              <w:left w:val="single" w:color="auto" w:sz="8" w:space="0"/>
              <w:bottom w:val="single" w:color="auto" w:sz="8" w:space="0"/>
              <w:right w:val="single" w:color="auto" w:sz="18" w:space="0"/>
            </w:tcBorders>
            <w:vAlign w:val="center"/>
          </w:tcPr>
          <w:p w14:paraId="261BAC11">
            <w:pPr>
              <w:pStyle w:val="60"/>
              <w:spacing w:line="320" w:lineRule="exact"/>
              <w:ind w:firstLine="105" w:firstLineChars="5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是否要求中标人提交履约保证金：</w:t>
            </w:r>
          </w:p>
          <w:p w14:paraId="0EA4C8D8">
            <w:pPr>
              <w:pStyle w:val="60"/>
              <w:spacing w:line="320" w:lineRule="exact"/>
              <w:ind w:left="210"/>
              <w:rPr>
                <w:rFonts w:hint="eastAsia"/>
                <w:color w:val="000000" w:themeColor="text1"/>
                <w:sz w:val="21"/>
                <w:szCs w:val="21"/>
                <w:highlight w:val="none"/>
                <w:lang w:val="zh-CN"/>
                <w14:textFill>
                  <w14:solidFill>
                    <w14:schemeClr w14:val="tx1"/>
                  </w14:solidFill>
                </w14:textFill>
              </w:rPr>
            </w:pPr>
            <w:r>
              <w:rPr>
                <w:rFonts w:hint="eastAsia"/>
                <w:color w:val="000000" w:themeColor="text1"/>
                <w:kern w:val="2"/>
                <w:sz w:val="21"/>
                <w:szCs w:val="21"/>
                <w:highlight w:val="none"/>
                <w14:textFill>
                  <w14:solidFill>
                    <w14:schemeClr w14:val="tx1"/>
                  </w14:solidFill>
                </w14:textFill>
              </w:rPr>
              <w:t xml:space="preserve">☑ </w:t>
            </w:r>
            <w:r>
              <w:rPr>
                <w:rFonts w:hint="eastAsia"/>
                <w:color w:val="000000" w:themeColor="text1"/>
                <w:sz w:val="21"/>
                <w:szCs w:val="21"/>
                <w:highlight w:val="none"/>
                <w:lang w:val="zh-CN"/>
                <w14:textFill>
                  <w14:solidFill>
                    <w14:schemeClr w14:val="tx1"/>
                  </w14:solidFill>
                </w14:textFill>
              </w:rPr>
              <w:t>要求:</w:t>
            </w:r>
          </w:p>
          <w:p w14:paraId="62B9B094">
            <w:pPr>
              <w:pStyle w:val="60"/>
              <w:spacing w:line="320" w:lineRule="exact"/>
              <w:ind w:left="21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履约保证金的金额：￥</w:t>
            </w:r>
            <w:r>
              <w:rPr>
                <w:rFonts w:hint="eastAsia"/>
                <w:color w:val="000000" w:themeColor="text1"/>
                <w:sz w:val="21"/>
                <w:szCs w:val="21"/>
                <w:highlight w:val="none"/>
                <w:u w:val="single"/>
                <w14:textFill>
                  <w14:solidFill>
                    <w14:schemeClr w14:val="tx1"/>
                  </w14:solidFill>
                </w14:textFill>
              </w:rPr>
              <w:t>10</w:t>
            </w:r>
            <w:r>
              <w:rPr>
                <w:rFonts w:hint="eastAsia"/>
                <w:color w:val="000000" w:themeColor="text1"/>
                <w:sz w:val="21"/>
                <w:szCs w:val="21"/>
                <w:highlight w:val="none"/>
                <w:u w:val="single"/>
                <w:lang w:val="zh-CN"/>
                <w14:textFill>
                  <w14:solidFill>
                    <w14:schemeClr w14:val="tx1"/>
                  </w14:solidFill>
                </w14:textFill>
              </w:rPr>
              <w:t>0000.00</w:t>
            </w:r>
            <w:r>
              <w:rPr>
                <w:rFonts w:hint="eastAsia"/>
                <w:color w:val="000000" w:themeColor="text1"/>
                <w:sz w:val="21"/>
                <w:szCs w:val="21"/>
                <w:highlight w:val="none"/>
                <w:lang w:val="zh-CN"/>
                <w14:textFill>
                  <w14:solidFill>
                    <w14:schemeClr w14:val="tx1"/>
                  </w14:solidFill>
                </w14:textFill>
              </w:rPr>
              <w:t>元。</w:t>
            </w:r>
          </w:p>
          <w:p w14:paraId="08B7FAC1">
            <w:pPr>
              <w:pStyle w:val="60"/>
              <w:spacing w:line="320" w:lineRule="exact"/>
              <w:ind w:left="21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履约保证金</w:t>
            </w:r>
            <w:r>
              <w:rPr>
                <w:rFonts w:hint="eastAsia"/>
                <w:color w:val="000000" w:themeColor="text1"/>
                <w:sz w:val="21"/>
                <w:szCs w:val="21"/>
                <w:highlight w:val="none"/>
                <w14:textFill>
                  <w14:solidFill>
                    <w14:schemeClr w14:val="tx1"/>
                  </w14:solidFill>
                </w14:textFill>
              </w:rPr>
              <w:t>缴纳期限</w:t>
            </w:r>
            <w:r>
              <w:rPr>
                <w:rFonts w:hint="eastAsia"/>
                <w:color w:val="000000" w:themeColor="text1"/>
                <w:sz w:val="21"/>
                <w:szCs w:val="21"/>
                <w:highlight w:val="none"/>
                <w:lang w:val="zh-CN"/>
                <w14:textFill>
                  <w14:solidFill>
                    <w14:schemeClr w14:val="tx1"/>
                  </w14:solidFill>
                </w14:textFill>
              </w:rPr>
              <w:t>：正式合同签订前5日。</w:t>
            </w:r>
          </w:p>
          <w:p w14:paraId="151B818D">
            <w:pPr>
              <w:pStyle w:val="60"/>
              <w:spacing w:line="320" w:lineRule="exact"/>
              <w:ind w:left="210"/>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履约保证金的形式：</w:t>
            </w:r>
            <w:r>
              <w:rPr>
                <w:rFonts w:hint="eastAsia"/>
                <w:color w:val="FF0000"/>
                <w:sz w:val="21"/>
                <w:szCs w:val="21"/>
                <w:highlight w:val="none"/>
                <w:lang w:val="zh-CN"/>
              </w:rPr>
              <w:t>支票、汇票、本票或者金融机构、担保机构出具的保函等形式提交</w:t>
            </w:r>
            <w:r>
              <w:rPr>
                <w:rFonts w:hint="eastAsia"/>
                <w:color w:val="000000" w:themeColor="text1"/>
                <w:sz w:val="21"/>
                <w:szCs w:val="21"/>
                <w:highlight w:val="none"/>
                <w:lang w:val="zh-CN"/>
                <w14:textFill>
                  <w14:solidFill>
                    <w14:schemeClr w14:val="tx1"/>
                  </w14:solidFill>
                </w14:textFill>
              </w:rPr>
              <w:t>。</w:t>
            </w:r>
          </w:p>
          <w:p w14:paraId="5B45C3FB">
            <w:pPr>
              <w:pStyle w:val="60"/>
              <w:spacing w:line="320" w:lineRule="exact"/>
              <w:ind w:firstLine="210" w:firstLineChars="100"/>
              <w:rPr>
                <w:rFonts w:hint="eastAsia"/>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履约担保有效期：自签订合同之日起至工程竣工验收合格，且按发包人要求整改工作全部完成并验收合格。</w:t>
            </w:r>
          </w:p>
          <w:p w14:paraId="1E7C5225">
            <w:pPr>
              <w:pStyle w:val="60"/>
              <w:spacing w:line="320" w:lineRule="exact"/>
              <w:ind w:firstLine="210" w:firstLineChars="100"/>
              <w:rPr>
                <w:rFonts w:hint="eastAsia"/>
                <w:color w:val="000000" w:themeColor="text1"/>
                <w:sz w:val="21"/>
                <w:szCs w:val="21"/>
                <w:highlight w:val="none"/>
                <w:lang w:val="zh-CN"/>
                <w14:textFill>
                  <w14:solidFill>
                    <w14:schemeClr w14:val="tx1"/>
                  </w14:solidFill>
                </w14:textFill>
              </w:rPr>
            </w:pPr>
            <w:r>
              <w:rPr>
                <w:color w:val="000000" w:themeColor="text1"/>
                <w:sz w:val="21"/>
                <w:szCs w:val="21"/>
                <w:highlight w:val="none"/>
                <w14:textFill>
                  <w14:solidFill>
                    <w14:schemeClr w14:val="tx1"/>
                  </w14:solidFill>
                </w14:textFill>
              </w:rPr>
              <w:t>履约担保的返还：工程竣工验收合格，且整改项目完成并验收合格，同时按发包人要求整改工作全部完成，并验收合格后30日内，一次性无息退还承包人履约保证金。</w:t>
            </w:r>
          </w:p>
          <w:p w14:paraId="226826BE">
            <w:pPr>
              <w:pStyle w:val="60"/>
              <w:spacing w:line="320" w:lineRule="exact"/>
              <w:ind w:right="105" w:rightChars="50" w:firstLine="210" w:firstLineChars="100"/>
              <w:rPr>
                <w:rFonts w:hint="eastAsia"/>
                <w:color w:val="000000" w:themeColor="text1"/>
                <w:szCs w:val="21"/>
                <w:highlight w:val="none"/>
                <w14:textFill>
                  <w14:solidFill>
                    <w14:schemeClr w14:val="tx1"/>
                  </w14:solidFill>
                </w14:textFill>
              </w:rPr>
            </w:pPr>
            <w:r>
              <w:rPr>
                <w:rFonts w:hint="eastAsia"/>
                <w:color w:val="000000" w:themeColor="text1"/>
                <w:kern w:val="2"/>
                <w:sz w:val="21"/>
                <w:szCs w:val="21"/>
                <w:highlight w:val="none"/>
                <w14:textFill>
                  <w14:solidFill>
                    <w14:schemeClr w14:val="tx1"/>
                  </w14:solidFill>
                </w14:textFill>
              </w:rPr>
              <w:t>□ 不需要</w:t>
            </w:r>
          </w:p>
        </w:tc>
      </w:tr>
      <w:tr w14:paraId="4F9494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43"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57E6ACDE">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40</w:t>
            </w:r>
          </w:p>
        </w:tc>
        <w:tc>
          <w:tcPr>
            <w:tcW w:w="2160" w:type="dxa"/>
            <w:tcBorders>
              <w:top w:val="single" w:color="auto" w:sz="8" w:space="0"/>
              <w:left w:val="single" w:color="auto" w:sz="8" w:space="0"/>
              <w:bottom w:val="single" w:color="auto" w:sz="8" w:space="0"/>
              <w:right w:val="single" w:color="auto" w:sz="8" w:space="0"/>
            </w:tcBorders>
            <w:vAlign w:val="center"/>
          </w:tcPr>
          <w:p w14:paraId="4782B0E4">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投标人信用信息</w:t>
            </w:r>
          </w:p>
          <w:p w14:paraId="7BC8F869">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查询截止时点</w:t>
            </w:r>
          </w:p>
        </w:tc>
        <w:tc>
          <w:tcPr>
            <w:tcW w:w="6777" w:type="dxa"/>
            <w:tcBorders>
              <w:top w:val="single" w:color="auto" w:sz="8" w:space="0"/>
              <w:left w:val="single" w:color="auto" w:sz="8" w:space="0"/>
              <w:bottom w:val="single" w:color="auto" w:sz="8" w:space="0"/>
              <w:right w:val="single" w:color="auto" w:sz="18" w:space="0"/>
            </w:tcBorders>
            <w:vAlign w:val="center"/>
          </w:tcPr>
          <w:p w14:paraId="67EECF53">
            <w:pPr>
              <w:pStyle w:val="12"/>
              <w:ind w:firstLine="210" w:firstLineChars="100"/>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采购代理机构将于本项目</w:t>
            </w:r>
            <w:r>
              <w:rPr>
                <w:rFonts w:hint="eastAsia" w:ascii="宋体" w:hAnsi="宋体" w:cs="宋体"/>
                <w:b/>
                <w:bCs/>
                <w:color w:val="000000" w:themeColor="text1"/>
                <w:szCs w:val="21"/>
                <w:highlight w:val="none"/>
                <w14:textFill>
                  <w14:solidFill>
                    <w14:schemeClr w14:val="tx1"/>
                  </w14:solidFill>
                </w14:textFill>
              </w:rPr>
              <w:t>投标文件递交截止日</w:t>
            </w:r>
            <w:r>
              <w:rPr>
                <w:rFonts w:hint="eastAsia" w:ascii="宋体" w:hAnsi="宋体" w:cs="宋体"/>
                <w:color w:val="000000" w:themeColor="text1"/>
                <w:szCs w:val="21"/>
                <w:highlight w:val="none"/>
                <w14:textFill>
                  <w14:solidFill>
                    <w14:schemeClr w14:val="tx1"/>
                  </w14:solidFill>
                </w14:textFill>
              </w:rPr>
              <w:t>在“信用中国”网站、“中国政府采购网”对投标人进行信用记录查询，对列入失信被执行人、列入重大税收违法失信主体及严重失信主体名单、政府采购严重违法失信行为记录名单的投标人，将</w:t>
            </w:r>
            <w:r>
              <w:rPr>
                <w:rFonts w:hint="eastAsia" w:ascii="宋体" w:hAnsi="宋体" w:cs="宋体"/>
                <w:b/>
                <w:bCs/>
                <w:color w:val="000000" w:themeColor="text1"/>
                <w:szCs w:val="21"/>
                <w:highlight w:val="none"/>
                <w14:textFill>
                  <w14:solidFill>
                    <w14:schemeClr w14:val="tx1"/>
                  </w14:solidFill>
                </w14:textFill>
              </w:rPr>
              <w:t>拒绝</w:t>
            </w:r>
            <w:r>
              <w:rPr>
                <w:rFonts w:hint="eastAsia" w:ascii="宋体" w:hAnsi="宋体" w:cs="宋体"/>
                <w:color w:val="000000" w:themeColor="text1"/>
                <w:szCs w:val="21"/>
                <w:highlight w:val="none"/>
                <w14:textFill>
                  <w14:solidFill>
                    <w14:schemeClr w14:val="tx1"/>
                  </w14:solidFill>
                </w14:textFill>
              </w:rPr>
              <w:t>其参与政府采购活动。</w:t>
            </w:r>
          </w:p>
        </w:tc>
      </w:tr>
      <w:tr w14:paraId="5C74CE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43"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12184515">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41</w:t>
            </w:r>
          </w:p>
        </w:tc>
        <w:tc>
          <w:tcPr>
            <w:tcW w:w="2160" w:type="dxa"/>
            <w:tcBorders>
              <w:top w:val="single" w:color="auto" w:sz="8" w:space="0"/>
              <w:left w:val="single" w:color="auto" w:sz="8" w:space="0"/>
              <w:bottom w:val="single" w:color="auto" w:sz="8" w:space="0"/>
              <w:right w:val="single" w:color="auto" w:sz="8" w:space="0"/>
            </w:tcBorders>
            <w:vAlign w:val="center"/>
          </w:tcPr>
          <w:p w14:paraId="481EEBC1">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资格审查时是否</w:t>
            </w:r>
          </w:p>
          <w:p w14:paraId="65471CA2">
            <w:pPr>
              <w:pStyle w:val="60"/>
              <w:jc w:val="center"/>
              <w:rPr>
                <w:rFonts w:hint="eastAsia" w:cs="Arial"/>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核验证件</w:t>
            </w:r>
          </w:p>
        </w:tc>
        <w:tc>
          <w:tcPr>
            <w:tcW w:w="6777" w:type="dxa"/>
            <w:tcBorders>
              <w:top w:val="single" w:color="auto" w:sz="8" w:space="0"/>
              <w:left w:val="single" w:color="auto" w:sz="8" w:space="0"/>
              <w:bottom w:val="single" w:color="auto" w:sz="8" w:space="0"/>
              <w:right w:val="single" w:color="auto" w:sz="18" w:space="0"/>
            </w:tcBorders>
            <w:vAlign w:val="center"/>
          </w:tcPr>
          <w:p w14:paraId="742264AA">
            <w:pPr>
              <w:pStyle w:val="60"/>
              <w:spacing w:line="320" w:lineRule="exact"/>
              <w:ind w:right="105" w:rightChars="50" w:firstLine="210" w:firstLineChars="100"/>
              <w:rPr>
                <w:rFonts w:hint="eastAsia"/>
                <w:color w:val="000000" w:themeColor="text1"/>
                <w:kern w:val="2"/>
                <w:sz w:val="21"/>
                <w:szCs w:val="21"/>
                <w:highlight w:val="none"/>
                <w14:textFill>
                  <w14:solidFill>
                    <w14:schemeClr w14:val="tx1"/>
                  </w14:solidFill>
                </w14:textFill>
              </w:rPr>
            </w:pPr>
            <w:r>
              <w:rPr>
                <w:rFonts w:hint="eastAsia"/>
                <w:color w:val="000000" w:themeColor="text1"/>
                <w:kern w:val="2"/>
                <w:sz w:val="21"/>
                <w:szCs w:val="21"/>
                <w:highlight w:val="none"/>
                <w14:textFill>
                  <w14:solidFill>
                    <w14:schemeClr w14:val="tx1"/>
                  </w14:solidFill>
                </w14:textFill>
              </w:rPr>
              <w:t>☑ 不需要</w:t>
            </w:r>
          </w:p>
          <w:p w14:paraId="667CCA96">
            <w:pPr>
              <w:pStyle w:val="60"/>
              <w:spacing w:line="320" w:lineRule="exact"/>
              <w:ind w:right="105" w:rightChars="50" w:firstLine="210" w:firstLineChars="100"/>
              <w:rPr>
                <w:rFonts w:hint="eastAsia"/>
                <w:color w:val="000000" w:themeColor="text1"/>
                <w:kern w:val="2"/>
                <w:sz w:val="21"/>
                <w:szCs w:val="21"/>
                <w:highlight w:val="none"/>
                <w14:textFill>
                  <w14:solidFill>
                    <w14:schemeClr w14:val="tx1"/>
                  </w14:solidFill>
                </w14:textFill>
              </w:rPr>
            </w:pPr>
            <w:r>
              <w:rPr>
                <w:rFonts w:hint="eastAsia"/>
                <w:color w:val="000000" w:themeColor="text1"/>
                <w:kern w:val="2"/>
                <w:sz w:val="21"/>
                <w:szCs w:val="21"/>
                <w:highlight w:val="none"/>
                <w14:textFill>
                  <w14:solidFill>
                    <w14:schemeClr w14:val="tx1"/>
                  </w14:solidFill>
                </w14:textFill>
              </w:rPr>
              <w:t>□ 需要</w:t>
            </w:r>
          </w:p>
        </w:tc>
      </w:tr>
      <w:tr w14:paraId="6B24175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43"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081003B0">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42</w:t>
            </w:r>
          </w:p>
        </w:tc>
        <w:tc>
          <w:tcPr>
            <w:tcW w:w="2160" w:type="dxa"/>
            <w:tcBorders>
              <w:top w:val="single" w:color="auto" w:sz="8" w:space="0"/>
              <w:left w:val="single" w:color="auto" w:sz="8" w:space="0"/>
              <w:bottom w:val="single" w:color="auto" w:sz="8" w:space="0"/>
              <w:right w:val="single" w:color="auto" w:sz="8" w:space="0"/>
            </w:tcBorders>
            <w:vAlign w:val="center"/>
          </w:tcPr>
          <w:p w14:paraId="696A2C0F">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开标现场是否</w:t>
            </w:r>
          </w:p>
          <w:p w14:paraId="29293356">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演示与述标</w:t>
            </w:r>
          </w:p>
        </w:tc>
        <w:tc>
          <w:tcPr>
            <w:tcW w:w="6777" w:type="dxa"/>
            <w:tcBorders>
              <w:top w:val="single" w:color="auto" w:sz="8" w:space="0"/>
              <w:left w:val="single" w:color="auto" w:sz="8" w:space="0"/>
              <w:bottom w:val="single" w:color="auto" w:sz="8" w:space="0"/>
              <w:right w:val="single" w:color="auto" w:sz="18" w:space="0"/>
            </w:tcBorders>
            <w:vAlign w:val="center"/>
          </w:tcPr>
          <w:p w14:paraId="2CA335B2">
            <w:pPr>
              <w:spacing w:line="320" w:lineRule="exact"/>
              <w:ind w:right="105" w:rightChars="50" w:firstLine="210" w:firstLineChars="100"/>
              <w:rPr>
                <w:rFonts w:hint="eastAsia"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不需要</w:t>
            </w:r>
          </w:p>
          <w:p w14:paraId="0C4FC423">
            <w:pPr>
              <w:pStyle w:val="58"/>
              <w:numPr>
                <w:ilvl w:val="0"/>
                <w:numId w:val="6"/>
              </w:numPr>
              <w:spacing w:line="320" w:lineRule="exact"/>
              <w:ind w:right="105" w:rightChars="50" w:firstLineChars="0"/>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需要</w:t>
            </w:r>
          </w:p>
        </w:tc>
      </w:tr>
      <w:tr w14:paraId="32CAF47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6"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2A0D114">
            <w:pPr>
              <w:widowControl/>
              <w:jc w:val="center"/>
              <w:textAlignment w:val="center"/>
              <w:rPr>
                <w:rFonts w:cs="Arial"/>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lang w:bidi="ar"/>
                <w14:textFill>
                  <w14:solidFill>
                    <w14:schemeClr w14:val="tx1"/>
                  </w14:solidFill>
                </w14:textFill>
              </w:rPr>
              <w:t>43</w:t>
            </w:r>
          </w:p>
        </w:tc>
        <w:tc>
          <w:tcPr>
            <w:tcW w:w="2160" w:type="dxa"/>
            <w:tcBorders>
              <w:top w:val="single" w:color="auto" w:sz="8" w:space="0"/>
              <w:left w:val="single" w:color="auto" w:sz="8" w:space="0"/>
              <w:bottom w:val="single" w:color="auto" w:sz="8" w:space="0"/>
              <w:right w:val="single" w:color="auto" w:sz="8" w:space="0"/>
            </w:tcBorders>
            <w:vAlign w:val="center"/>
          </w:tcPr>
          <w:p w14:paraId="4E81CFFF">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开标现场是否</w:t>
            </w:r>
          </w:p>
          <w:p w14:paraId="65153A68">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提供样品</w:t>
            </w:r>
          </w:p>
        </w:tc>
        <w:tc>
          <w:tcPr>
            <w:tcW w:w="6777" w:type="dxa"/>
            <w:tcBorders>
              <w:top w:val="single" w:color="auto" w:sz="8" w:space="0"/>
              <w:left w:val="single" w:color="auto" w:sz="8" w:space="0"/>
              <w:bottom w:val="single" w:color="auto" w:sz="8" w:space="0"/>
              <w:right w:val="single" w:color="auto" w:sz="18" w:space="0"/>
            </w:tcBorders>
            <w:vAlign w:val="center"/>
          </w:tcPr>
          <w:p w14:paraId="7A6EA0A3">
            <w:pPr>
              <w:spacing w:line="320" w:lineRule="exact"/>
              <w:ind w:right="105" w:rightChars="50" w:firstLine="210" w:firstLineChars="100"/>
              <w:rPr>
                <w:rFonts w:hint="eastAsia"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不需要</w:t>
            </w:r>
          </w:p>
          <w:p w14:paraId="01158CE6">
            <w:pPr>
              <w:spacing w:line="340" w:lineRule="exact"/>
              <w:ind w:right="105" w:rightChars="50" w:firstLine="210" w:firstLineChars="1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需要</w:t>
            </w:r>
          </w:p>
        </w:tc>
      </w:tr>
      <w:tr w14:paraId="5BE084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6"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2F10AFA7">
            <w:pPr>
              <w:widowControl/>
              <w:jc w:val="center"/>
              <w:textAlignment w:val="center"/>
              <w:rPr>
                <w:rFonts w:hint="eastAsia" w:ascii="宋体" w:hAnsi="宋体" w:cs="宋体"/>
                <w:b/>
                <w:bCs/>
                <w:color w:val="000000" w:themeColor="text1"/>
                <w:kern w:val="0"/>
                <w:szCs w:val="21"/>
                <w:highlight w:val="none"/>
                <w:lang w:bidi="ar"/>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44</w:t>
            </w:r>
          </w:p>
        </w:tc>
        <w:tc>
          <w:tcPr>
            <w:tcW w:w="2160" w:type="dxa"/>
            <w:tcBorders>
              <w:top w:val="single" w:color="auto" w:sz="8" w:space="0"/>
              <w:left w:val="single" w:color="auto" w:sz="8" w:space="0"/>
              <w:bottom w:val="single" w:color="auto" w:sz="8" w:space="0"/>
              <w:right w:val="single" w:color="auto" w:sz="8" w:space="0"/>
            </w:tcBorders>
            <w:vAlign w:val="center"/>
          </w:tcPr>
          <w:p w14:paraId="2E2F70C6">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落实节能、环保产品政策</w:t>
            </w:r>
          </w:p>
        </w:tc>
        <w:tc>
          <w:tcPr>
            <w:tcW w:w="6777" w:type="dxa"/>
            <w:tcBorders>
              <w:top w:val="single" w:color="auto" w:sz="8" w:space="0"/>
              <w:left w:val="single" w:color="auto" w:sz="8" w:space="0"/>
              <w:bottom w:val="single" w:color="auto" w:sz="8" w:space="0"/>
              <w:right w:val="single" w:color="auto" w:sz="18" w:space="0"/>
            </w:tcBorders>
            <w:vAlign w:val="center"/>
          </w:tcPr>
          <w:p w14:paraId="6D06289E">
            <w:pPr>
              <w:pStyle w:val="113"/>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1.根据《财政部发展改革委生态环境部市场监管总局关于调整优化节能产品、环境标志产品政府采购执行机制的通知》</w:t>
            </w:r>
            <w:r>
              <w:rPr>
                <w:rFonts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财库〔2019〕9号</w:t>
            </w:r>
            <w:r>
              <w:rPr>
                <w:rFonts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14:textFill>
                  <w14:solidFill>
                    <w14:schemeClr w14:val="tx1"/>
                  </w14:solidFill>
                </w14:textFill>
              </w:rPr>
              <w:t>相关要求，政府采购节能产品、环境标志产品实施品目清单管理。财政部、发展改革委、生态环境部等部门确定实施政府优先采购和强制采购的产品类别，以品目清单的形式发布并适时调整。</w:t>
            </w:r>
            <w:r>
              <w:rPr>
                <w:color w:val="000000" w:themeColor="text1"/>
                <w:sz w:val="21"/>
                <w:szCs w:val="21"/>
                <w:highlight w:val="none"/>
                <w:lang w:val="zh-CN"/>
                <w14:textFill>
                  <w14:solidFill>
                    <w14:schemeClr w14:val="tx1"/>
                  </w14:solidFill>
                </w14:textFill>
              </w:rPr>
              <w:t>详见投标人须知第3.4.1条款。</w:t>
            </w:r>
          </w:p>
          <w:p w14:paraId="20511EF0">
            <w:pPr>
              <w:pStyle w:val="113"/>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2.本项目采购</w:t>
            </w:r>
            <w:r>
              <w:rPr>
                <w:rFonts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w:t>
            </w:r>
            <w:r>
              <w:rPr>
                <w:rFonts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产品属于节能产品政府采购品目清单中应强制采购的产品范围，</w:t>
            </w:r>
            <w:r>
              <w:rPr>
                <w:rFonts w:ascii="宋体" w:hAnsi="宋体" w:eastAsia="宋体" w:cs="宋体"/>
                <w:color w:val="000000" w:themeColor="text1"/>
                <w:sz w:val="21"/>
                <w:szCs w:val="21"/>
                <w:highlight w:val="none"/>
                <w:lang w:eastAsia="zh-CN"/>
                <w14:textFill>
                  <w14:solidFill>
                    <w14:schemeClr w14:val="tx1"/>
                  </w14:solidFill>
                </w14:textFill>
              </w:rPr>
              <w:t>投标人</w:t>
            </w:r>
            <w:r>
              <w:rPr>
                <w:rFonts w:ascii="宋体" w:hAnsi="宋体" w:eastAsia="宋体" w:cs="宋体"/>
                <w:color w:val="000000" w:themeColor="text1"/>
                <w:sz w:val="21"/>
                <w:szCs w:val="21"/>
                <w:highlight w:val="none"/>
                <w14:textFill>
                  <w14:solidFill>
                    <w14:schemeClr w14:val="tx1"/>
                  </w14:solidFill>
                </w14:textFill>
              </w:rPr>
              <w:t>应当</w:t>
            </w:r>
            <w:r>
              <w:rPr>
                <w:rFonts w:ascii="宋体" w:hAnsi="宋体" w:eastAsia="宋体" w:cs="宋体"/>
                <w:color w:val="000000" w:themeColor="text1"/>
                <w:sz w:val="21"/>
                <w:szCs w:val="21"/>
                <w:highlight w:val="none"/>
                <w:lang w:eastAsia="zh-CN"/>
                <w14:textFill>
                  <w14:solidFill>
                    <w14:schemeClr w14:val="tx1"/>
                  </w14:solidFill>
                </w14:textFill>
              </w:rPr>
              <w:t>按照第六章强制、优先采购产品承诺函进行响应</w:t>
            </w:r>
            <w:r>
              <w:rPr>
                <w:rFonts w:ascii="宋体" w:hAnsi="宋体" w:eastAsia="宋体" w:cs="宋体"/>
                <w:color w:val="000000" w:themeColor="text1"/>
                <w:sz w:val="21"/>
                <w:szCs w:val="21"/>
                <w:highlight w:val="none"/>
                <w14:textFill>
                  <w14:solidFill>
                    <w14:schemeClr w14:val="tx1"/>
                  </w14:solidFill>
                </w14:textFill>
              </w:rPr>
              <w:t>。</w:t>
            </w:r>
          </w:p>
          <w:p w14:paraId="631C9DD9">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3.本项目采购</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产品属于节能产品政府采购品目清单中应优先采购的产品范围，本项目采购</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产品属于环境标志产品政府采购品目清单中应优先采购的产品范围，投标人应当按照第六章强制、优先采购产品承诺函进行响应。</w:t>
            </w:r>
          </w:p>
        </w:tc>
      </w:tr>
      <w:tr w14:paraId="4DBD642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8"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F4E711B">
            <w:pPr>
              <w:widowControl/>
              <w:jc w:val="center"/>
              <w:textAlignment w:val="center"/>
              <w:rPr>
                <w:rFonts w:cs="Courier New"/>
                <w:color w:val="000000" w:themeColor="text1"/>
                <w:szCs w:val="21"/>
                <w:highlight w:val="none"/>
                <w:lang w:val="zh-CN"/>
                <w14:textFill>
                  <w14:solidFill>
                    <w14:schemeClr w14:val="tx1"/>
                  </w14:solidFill>
                </w14:textFill>
              </w:rPr>
            </w:pPr>
            <w:r>
              <w:rPr>
                <w:rFonts w:hint="eastAsia" w:ascii="宋体" w:hAnsi="宋体" w:cs="宋体"/>
                <w:b/>
                <w:bCs/>
                <w:color w:val="000000" w:themeColor="text1"/>
                <w:kern w:val="0"/>
                <w:sz w:val="22"/>
                <w:szCs w:val="22"/>
                <w:highlight w:val="none"/>
                <w:lang w:bidi="ar"/>
                <w14:textFill>
                  <w14:solidFill>
                    <w14:schemeClr w14:val="tx1"/>
                  </w14:solidFill>
                </w14:textFill>
              </w:rPr>
              <w:t>25</w:t>
            </w:r>
          </w:p>
        </w:tc>
        <w:tc>
          <w:tcPr>
            <w:tcW w:w="2160" w:type="dxa"/>
            <w:tcBorders>
              <w:top w:val="single" w:color="auto" w:sz="8" w:space="0"/>
              <w:left w:val="single" w:color="auto" w:sz="8" w:space="0"/>
              <w:bottom w:val="single" w:color="auto" w:sz="8" w:space="0"/>
              <w:right w:val="single" w:color="auto" w:sz="8" w:space="0"/>
            </w:tcBorders>
            <w:vAlign w:val="center"/>
          </w:tcPr>
          <w:p w14:paraId="0F56029C">
            <w:pPr>
              <w:pStyle w:val="60"/>
              <w:jc w:val="center"/>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其他</w:t>
            </w:r>
          </w:p>
        </w:tc>
        <w:tc>
          <w:tcPr>
            <w:tcW w:w="6777" w:type="dxa"/>
            <w:tcBorders>
              <w:top w:val="single" w:color="auto" w:sz="8" w:space="0"/>
              <w:left w:val="single" w:color="auto" w:sz="8" w:space="0"/>
              <w:bottom w:val="single" w:color="auto" w:sz="8" w:space="0"/>
              <w:right w:val="single" w:color="auto" w:sz="18" w:space="0"/>
            </w:tcBorders>
            <w:vAlign w:val="center"/>
          </w:tcPr>
          <w:p w14:paraId="71AEE06D">
            <w:pPr>
              <w:pStyle w:val="113"/>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1.以现金、银行转账、银行电汇提交投标保证金的，开标现场须单独携带保证金转账凭证和开户许可证(或基本存款账户信息)复印件加盖公章各1份，用于办理保证金退还相关事宜。</w:t>
            </w:r>
          </w:p>
          <w:p w14:paraId="5CE4B9EB">
            <w:pPr>
              <w:pStyle w:val="113"/>
              <w:rPr>
                <w:rFonts w:ascii="宋体" w:hAnsi="宋体"/>
                <w:color w:val="000000" w:themeColor="text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2.其他未尽内容详见投标人须知正文。</w:t>
            </w:r>
          </w:p>
        </w:tc>
      </w:tr>
      <w:bookmarkEnd w:id="33"/>
      <w:bookmarkEnd w:id="34"/>
      <w:bookmarkEnd w:id="35"/>
      <w:bookmarkEnd w:id="36"/>
      <w:bookmarkEnd w:id="37"/>
      <w:bookmarkEnd w:id="38"/>
      <w:bookmarkEnd w:id="39"/>
      <w:bookmarkEnd w:id="40"/>
    </w:tbl>
    <w:p w14:paraId="75B9238E">
      <w:pPr>
        <w:pStyle w:val="3"/>
        <w:spacing w:before="0" w:after="0" w:line="356" w:lineRule="auto"/>
        <w:rPr>
          <w:bCs/>
          <w:color w:val="000000" w:themeColor="text1"/>
          <w:sz w:val="36"/>
          <w:szCs w:val="36"/>
          <w:highlight w:val="none"/>
          <w14:textFill>
            <w14:solidFill>
              <w14:schemeClr w14:val="tx1"/>
            </w14:solidFill>
          </w14:textFill>
        </w:rPr>
      </w:pPr>
      <w:r>
        <w:rPr>
          <w:color w:val="000000" w:themeColor="text1"/>
          <w:highlight w:val="none"/>
          <w14:textFill>
            <w14:solidFill>
              <w14:schemeClr w14:val="tx1"/>
            </w14:solidFill>
          </w14:textFill>
        </w:rPr>
        <w:br w:type="page"/>
      </w:r>
      <w:bookmarkEnd w:id="28"/>
      <w:bookmarkEnd w:id="29"/>
      <w:bookmarkEnd w:id="30"/>
      <w:bookmarkEnd w:id="31"/>
      <w:bookmarkStart w:id="41" w:name="_Toc651520325"/>
      <w:bookmarkStart w:id="42" w:name="_Toc19259"/>
      <w:bookmarkStart w:id="43" w:name="_Toc2847"/>
      <w:bookmarkStart w:id="44" w:name="_Toc183682344"/>
      <w:bookmarkStart w:id="45" w:name="_Toc217390843"/>
      <w:bookmarkStart w:id="46" w:name="_Toc217446036"/>
      <w:bookmarkStart w:id="47" w:name="_Toc183582207"/>
      <w:r>
        <w:rPr>
          <w:rFonts w:hint="eastAsia"/>
          <w:bCs/>
          <w:color w:val="000000" w:themeColor="text1"/>
          <w:sz w:val="36"/>
          <w:szCs w:val="36"/>
          <w:highlight w:val="none"/>
          <w14:textFill>
            <w14:solidFill>
              <w14:schemeClr w14:val="tx1"/>
            </w14:solidFill>
          </w14:textFill>
        </w:rPr>
        <w:t>1.总则</w:t>
      </w:r>
      <w:bookmarkEnd w:id="41"/>
      <w:bookmarkEnd w:id="42"/>
      <w:bookmarkEnd w:id="43"/>
    </w:p>
    <w:p w14:paraId="5A95FF89">
      <w:pPr>
        <w:spacing w:line="356" w:lineRule="auto"/>
        <w:rPr>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1.1适用范围</w:t>
      </w:r>
    </w:p>
    <w:p w14:paraId="47791BD6">
      <w:pPr>
        <w:tabs>
          <w:tab w:val="left" w:pos="7665"/>
        </w:tabs>
        <w:spacing w:line="356" w:lineRule="auto"/>
        <w:ind w:firstLine="420" w:firstLineChars="200"/>
        <w:rPr>
          <w:color w:val="000000" w:themeColor="text1"/>
          <w:szCs w:val="21"/>
          <w:highlight w:val="none"/>
          <w14:textFill>
            <w14:solidFill>
              <w14:schemeClr w14:val="tx1"/>
            </w14:solidFill>
          </w14:textFill>
        </w:rPr>
      </w:pPr>
      <w:bookmarkStart w:id="48" w:name="_Toc183582206"/>
      <w:bookmarkStart w:id="49" w:name="_Toc217446035"/>
      <w:bookmarkStart w:id="50" w:name="_Toc183682343"/>
      <w:r>
        <w:rPr>
          <w:rFonts w:hint="eastAsia" w:ascii="宋体" w:hAnsi="宋体"/>
          <w:color w:val="000000" w:themeColor="text1"/>
          <w:szCs w:val="21"/>
          <w:highlight w:val="none"/>
          <w14:textFill>
            <w14:solidFill>
              <w14:schemeClr w14:val="tx1"/>
            </w14:solidFill>
          </w14:textFill>
        </w:rPr>
        <w:t>1.1.1</w:t>
      </w:r>
      <w:r>
        <w:rPr>
          <w:rFonts w:hint="eastAsia"/>
          <w:color w:val="000000" w:themeColor="text1"/>
          <w:szCs w:val="21"/>
          <w:highlight w:val="none"/>
          <w14:textFill>
            <w14:solidFill>
              <w14:schemeClr w14:val="tx1"/>
            </w14:solidFill>
          </w14:textFill>
        </w:rPr>
        <w:t>本招标文件仅适用于本次公开招标所叙述工程项目的采购活动。</w:t>
      </w:r>
    </w:p>
    <w:p w14:paraId="0C2DBE42">
      <w:pPr>
        <w:tabs>
          <w:tab w:val="left" w:pos="7665"/>
        </w:tabs>
        <w:spacing w:line="356" w:lineRule="auto"/>
        <w:ind w:firstLine="1"/>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1.2</w:t>
      </w:r>
      <w:bookmarkEnd w:id="48"/>
      <w:bookmarkEnd w:id="49"/>
      <w:bookmarkEnd w:id="50"/>
      <w:r>
        <w:rPr>
          <w:rFonts w:hint="eastAsia"/>
          <w:b/>
          <w:color w:val="000000" w:themeColor="text1"/>
          <w:sz w:val="30"/>
          <w:szCs w:val="30"/>
          <w:highlight w:val="none"/>
          <w14:textFill>
            <w14:solidFill>
              <w14:schemeClr w14:val="tx1"/>
            </w14:solidFill>
          </w14:textFill>
        </w:rPr>
        <w:t>名词解释</w:t>
      </w:r>
    </w:p>
    <w:p w14:paraId="51E89177">
      <w:pPr>
        <w:adjustRightInd w:val="0"/>
        <w:snapToGrid w:val="0"/>
        <w:spacing w:line="356" w:lineRule="auto"/>
        <w:ind w:firstLine="420"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w:t>
      </w:r>
      <w:r>
        <w:rPr>
          <w:rFonts w:hint="eastAsia" w:ascii="宋体" w:hAnsi="宋体"/>
          <w:b/>
          <w:color w:val="000000" w:themeColor="text1"/>
          <w:szCs w:val="21"/>
          <w:highlight w:val="none"/>
          <w14:textFill>
            <w14:solidFill>
              <w14:schemeClr w14:val="tx1"/>
            </w14:solidFill>
          </w14:textFill>
        </w:rPr>
        <w:t>采购人</w:t>
      </w:r>
      <w:r>
        <w:rPr>
          <w:rFonts w:hint="eastAsia" w:ascii="宋体" w:hAnsi="宋体"/>
          <w:color w:val="000000" w:themeColor="text1"/>
          <w:szCs w:val="21"/>
          <w:highlight w:val="none"/>
          <w14:textFill>
            <w14:solidFill>
              <w14:schemeClr w14:val="tx1"/>
            </w14:solidFill>
          </w14:textFill>
        </w:rPr>
        <w:t>系指依法进行政府采购的国家机关、事业单位、团体组织。本次采购的采购人名称、地址、电话、联系人见</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须知前附表。</w:t>
      </w:r>
    </w:p>
    <w:p w14:paraId="62215181">
      <w:pPr>
        <w:adjustRightInd w:val="0"/>
        <w:snapToGrid w:val="0"/>
        <w:spacing w:line="356"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1.2.2</w:t>
      </w:r>
      <w:r>
        <w:rPr>
          <w:rFonts w:hint="eastAsia" w:ascii="宋体" w:hAnsi="宋体"/>
          <w:b/>
          <w:color w:val="000000" w:themeColor="text1"/>
          <w:szCs w:val="21"/>
          <w:highlight w:val="none"/>
          <w14:textFill>
            <w14:solidFill>
              <w14:schemeClr w14:val="tx1"/>
            </w14:solidFill>
          </w14:textFill>
        </w:rPr>
        <w:t>监督机构</w:t>
      </w:r>
      <w:r>
        <w:rPr>
          <w:rFonts w:hint="eastAsia" w:ascii="宋体" w:hAnsi="宋体"/>
          <w:color w:val="000000" w:themeColor="text1"/>
          <w:szCs w:val="21"/>
          <w:highlight w:val="none"/>
          <w14:textFill>
            <w14:solidFill>
              <w14:schemeClr w14:val="tx1"/>
            </w14:solidFill>
          </w14:textFill>
        </w:rPr>
        <w:t>系指政府采购行政监督管理部门。本次采购的监督机构：</w:t>
      </w:r>
      <w:r>
        <w:rPr>
          <w:rFonts w:hint="eastAsia" w:ascii="宋体" w:hAnsi="宋体"/>
          <w:color w:val="000000" w:themeColor="text1"/>
          <w:szCs w:val="21"/>
          <w:highlight w:val="none"/>
          <w:u w:val="single"/>
          <w14:textFill>
            <w14:solidFill>
              <w14:schemeClr w14:val="tx1"/>
            </w14:solidFill>
          </w14:textFill>
        </w:rPr>
        <w:t xml:space="preserve"> 采购人监督部门 </w:t>
      </w:r>
      <w:r>
        <w:rPr>
          <w:rFonts w:hint="eastAsia" w:ascii="宋体" w:hAnsi="宋体"/>
          <w:color w:val="000000" w:themeColor="text1"/>
          <w:szCs w:val="21"/>
          <w:highlight w:val="none"/>
          <w14:textFill>
            <w14:solidFill>
              <w14:schemeClr w14:val="tx1"/>
            </w14:solidFill>
          </w14:textFill>
        </w:rPr>
        <w:t>。</w:t>
      </w:r>
    </w:p>
    <w:p w14:paraId="3340A272">
      <w:pPr>
        <w:adjustRightInd w:val="0"/>
        <w:snapToGrid w:val="0"/>
        <w:spacing w:line="356" w:lineRule="auto"/>
        <w:ind w:firstLine="420"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1.2.3</w:t>
      </w:r>
      <w:r>
        <w:rPr>
          <w:rFonts w:hint="eastAsia" w:ascii="宋体" w:hAnsi="宋体"/>
          <w:b/>
          <w:color w:val="000000" w:themeColor="text1"/>
          <w:szCs w:val="21"/>
          <w:highlight w:val="none"/>
          <w14:textFill>
            <w14:solidFill>
              <w14:schemeClr w14:val="tx1"/>
            </w14:solidFill>
          </w14:textFill>
        </w:rPr>
        <w:t>采购代理机构</w:t>
      </w:r>
      <w:r>
        <w:rPr>
          <w:rFonts w:hint="eastAsia" w:ascii="宋体" w:hAnsi="宋体"/>
          <w:color w:val="000000" w:themeColor="text1"/>
          <w:szCs w:val="21"/>
          <w:highlight w:val="none"/>
          <w14:textFill>
            <w14:solidFill>
              <w14:schemeClr w14:val="tx1"/>
            </w14:solidFill>
          </w14:textFill>
        </w:rPr>
        <w:t>系指接受采购人委托，代理采购项目的依法经财政部门认定资格的采购代理机构。本次采购的采购代理机构名称、地址、电话、联系人见</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须知前附表。</w:t>
      </w:r>
    </w:p>
    <w:p w14:paraId="51A4CE6C">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1.2.4 </w:t>
      </w:r>
      <w:r>
        <w:rPr>
          <w:rFonts w:hint="eastAsia" w:ascii="宋体" w:hAnsi="宋体"/>
          <w:b/>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是指响应招标，参加投标竞争的法人或其他组织或个人。</w:t>
      </w:r>
    </w:p>
    <w:p w14:paraId="3A8FEB5D">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1.2.5 </w:t>
      </w:r>
      <w:r>
        <w:rPr>
          <w:rFonts w:hint="eastAsia" w:ascii="宋体" w:hAnsi="宋体"/>
          <w:b/>
          <w:color w:val="000000" w:themeColor="text1"/>
          <w:szCs w:val="21"/>
          <w:highlight w:val="none"/>
          <w14:textFill>
            <w14:solidFill>
              <w14:schemeClr w14:val="tx1"/>
            </w14:solidFill>
          </w14:textFill>
        </w:rPr>
        <w:t>工程</w:t>
      </w:r>
      <w:r>
        <w:rPr>
          <w:rFonts w:hint="eastAsia" w:ascii="宋体" w:hAnsi="宋体"/>
          <w:color w:val="000000" w:themeColor="text1"/>
          <w:szCs w:val="21"/>
          <w:highlight w:val="none"/>
          <w14:textFill>
            <w14:solidFill>
              <w14:schemeClr w14:val="tx1"/>
            </w14:solidFill>
          </w14:textFill>
        </w:rPr>
        <w:t>是指</w:t>
      </w:r>
      <w:r>
        <w:rPr>
          <w:rFonts w:hint="eastAsia"/>
          <w:color w:val="000000" w:themeColor="text1"/>
          <w:szCs w:val="21"/>
          <w:highlight w:val="none"/>
          <w14:textFill>
            <w14:solidFill>
              <w14:schemeClr w14:val="tx1"/>
            </w14:solidFill>
          </w14:textFill>
        </w:rPr>
        <w:t>本招标文件中第五章所述所有工程。</w:t>
      </w:r>
    </w:p>
    <w:p w14:paraId="3E45185D">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1.2.6 </w:t>
      </w:r>
      <w:r>
        <w:rPr>
          <w:rFonts w:hint="eastAsia" w:ascii="宋体" w:hAnsi="宋体"/>
          <w:b/>
          <w:color w:val="000000" w:themeColor="text1"/>
          <w:szCs w:val="21"/>
          <w:highlight w:val="none"/>
          <w14:textFill>
            <w14:solidFill>
              <w14:schemeClr w14:val="tx1"/>
            </w14:solidFill>
          </w14:textFill>
        </w:rPr>
        <w:t>服务</w:t>
      </w:r>
      <w:r>
        <w:rPr>
          <w:rFonts w:hint="eastAsia" w:ascii="宋体" w:hAnsi="宋体"/>
          <w:color w:val="000000" w:themeColor="text1"/>
          <w:szCs w:val="21"/>
          <w:highlight w:val="none"/>
          <w14:textFill>
            <w14:solidFill>
              <w14:schemeClr w14:val="tx1"/>
            </w14:solidFill>
          </w14:textFill>
        </w:rPr>
        <w:t>是指为满足招标文件要求而提供的服务。</w:t>
      </w:r>
    </w:p>
    <w:p w14:paraId="7BC48FDB">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1.2.7 </w:t>
      </w:r>
      <w:r>
        <w:rPr>
          <w:rFonts w:hint="eastAsia" w:ascii="宋体" w:hAnsi="宋体"/>
          <w:b/>
          <w:color w:val="000000" w:themeColor="text1"/>
          <w:szCs w:val="21"/>
          <w:highlight w:val="none"/>
          <w14:textFill>
            <w14:solidFill>
              <w14:schemeClr w14:val="tx1"/>
            </w14:solidFill>
          </w14:textFill>
        </w:rPr>
        <w:t>节能产品</w:t>
      </w:r>
      <w:r>
        <w:rPr>
          <w:rFonts w:hint="eastAsia" w:ascii="宋体" w:hAnsi="宋体"/>
          <w:color w:val="000000" w:themeColor="text1"/>
          <w:szCs w:val="21"/>
          <w:highlight w:val="none"/>
          <w14:textFill>
            <w14:solidFill>
              <w14:schemeClr w14:val="tx1"/>
            </w14:solidFill>
          </w14:textFill>
        </w:rPr>
        <w:t>指财政部、发展改革委、生态环境部等部门发布的《节能产品品目清单》中的产品。</w:t>
      </w:r>
    </w:p>
    <w:p w14:paraId="3ECFD03A">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1.2.8 </w:t>
      </w:r>
      <w:r>
        <w:rPr>
          <w:rFonts w:hint="eastAsia" w:ascii="宋体" w:hAnsi="宋体"/>
          <w:b/>
          <w:color w:val="000000" w:themeColor="text1"/>
          <w:szCs w:val="21"/>
          <w:highlight w:val="none"/>
          <w14:textFill>
            <w14:solidFill>
              <w14:schemeClr w14:val="tx1"/>
            </w14:solidFill>
          </w14:textFill>
        </w:rPr>
        <w:t>环境标志产品</w:t>
      </w:r>
      <w:r>
        <w:rPr>
          <w:rFonts w:hint="eastAsia" w:ascii="宋体" w:hAnsi="宋体"/>
          <w:color w:val="000000" w:themeColor="text1"/>
          <w:szCs w:val="21"/>
          <w:highlight w:val="none"/>
          <w14:textFill>
            <w14:solidFill>
              <w14:schemeClr w14:val="tx1"/>
            </w14:solidFill>
          </w14:textFill>
        </w:rPr>
        <w:t>是指财政部、发展改革委、生态环境部等部门发布的《环境标志产品品目清单》中的产品。</w:t>
      </w:r>
    </w:p>
    <w:p w14:paraId="45740ABA">
      <w:pPr>
        <w:adjustRightInd w:val="0"/>
        <w:snapToGrid w:val="0"/>
        <w:spacing w:line="356" w:lineRule="auto"/>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1.2.9</w:t>
      </w:r>
      <w:r>
        <w:rPr>
          <w:rFonts w:hint="eastAsia" w:ascii="宋体" w:hAnsi="宋体"/>
          <w:b/>
          <w:color w:val="000000" w:themeColor="text1"/>
          <w:szCs w:val="21"/>
          <w:highlight w:val="none"/>
          <w14:textFill>
            <w14:solidFill>
              <w14:schemeClr w14:val="tx1"/>
            </w14:solidFill>
          </w14:textFill>
        </w:rPr>
        <w:t>本国产品</w:t>
      </w:r>
      <w:r>
        <w:rPr>
          <w:rFonts w:hint="eastAsia"/>
          <w:color w:val="000000" w:themeColor="text1"/>
          <w:highlight w:val="none"/>
          <w14:textFill>
            <w14:solidFill>
              <w14:schemeClr w14:val="tx1"/>
            </w14:solidFill>
          </w14:textFill>
        </w:rPr>
        <w:t>是指在中国境内生产的产品，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0FCC4A41">
      <w:pPr>
        <w:adjustRightInd w:val="0"/>
        <w:snapToGrid w:val="0"/>
        <w:spacing w:line="356"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（1）为确保产品在运输或者储存期间保持某种状态而进行的操作；</w:t>
      </w:r>
    </w:p>
    <w:p w14:paraId="2B495A6F">
      <w:pPr>
        <w:adjustRightInd w:val="0"/>
        <w:snapToGrid w:val="0"/>
        <w:spacing w:line="356"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（2）为产品运输或者销售进行的包装或者展示；</w:t>
      </w:r>
    </w:p>
    <w:p w14:paraId="381F1E5B">
      <w:pPr>
        <w:adjustRightInd w:val="0"/>
        <w:snapToGrid w:val="0"/>
        <w:spacing w:line="356"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（3）在产品或者其包装上粘贴或者印刷品牌、标志、标识以及其他用于区别的标记；</w:t>
      </w:r>
    </w:p>
    <w:p w14:paraId="1CDC4E38">
      <w:pPr>
        <w:adjustRightInd w:val="0"/>
        <w:snapToGrid w:val="0"/>
        <w:spacing w:line="356"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（4）简单的上漆、磨光和分装；</w:t>
      </w:r>
    </w:p>
    <w:p w14:paraId="4AB186EC">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（5）其他不属于属性改变的情形。</w:t>
      </w:r>
    </w:p>
    <w:p w14:paraId="1791D7A4">
      <w:pPr>
        <w:adjustRightInd w:val="0"/>
        <w:snapToGrid w:val="0"/>
        <w:spacing w:line="356" w:lineRule="auto"/>
        <w:ind w:firstLine="420"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1.2.10 </w:t>
      </w:r>
      <w:r>
        <w:rPr>
          <w:rFonts w:hint="eastAsia" w:ascii="宋体" w:hAnsi="宋体" w:cs="宋体"/>
          <w:b/>
          <w:color w:val="000000" w:themeColor="text1"/>
          <w:kern w:val="0"/>
          <w:szCs w:val="21"/>
          <w:highlight w:val="none"/>
          <w14:textFill>
            <w14:solidFill>
              <w14:schemeClr w14:val="tx1"/>
            </w14:solidFill>
          </w14:textFill>
        </w:rPr>
        <w:t>进口产品</w:t>
      </w:r>
      <w:r>
        <w:rPr>
          <w:rFonts w:hint="eastAsia" w:ascii="宋体" w:hAnsi="宋体" w:cs="宋体"/>
          <w:color w:val="000000" w:themeColor="text1"/>
          <w:kern w:val="0"/>
          <w:szCs w:val="21"/>
          <w:highlight w:val="none"/>
          <w14:textFill>
            <w14:solidFill>
              <w14:schemeClr w14:val="tx1"/>
            </w14:solidFill>
          </w14:textFill>
        </w:rPr>
        <w:t>是指通过中国海关报关验放进入中国境内且产自关境外的产品，详见《</w:t>
      </w:r>
      <w:r>
        <w:rPr>
          <w:rFonts w:ascii="宋体" w:hAnsi="宋体" w:cs="宋体"/>
          <w:color w:val="000000" w:themeColor="text1"/>
          <w:kern w:val="0"/>
          <w:szCs w:val="21"/>
          <w:highlight w:val="none"/>
          <w14:textFill>
            <w14:solidFill>
              <w14:schemeClr w14:val="tx1"/>
            </w14:solidFill>
          </w14:textFill>
        </w:rPr>
        <w:t>关于政府采购进口产品管理有关问题的通知</w:t>
      </w:r>
      <w:r>
        <w:rPr>
          <w:rFonts w:hint="eastAsia" w:ascii="宋体" w:hAnsi="宋体" w:cs="宋体"/>
          <w:color w:val="000000" w:themeColor="text1"/>
          <w:kern w:val="0"/>
          <w:szCs w:val="21"/>
          <w:highlight w:val="none"/>
          <w14:textFill>
            <w14:solidFill>
              <w14:schemeClr w14:val="tx1"/>
            </w14:solidFill>
          </w14:textFill>
        </w:rPr>
        <w:t>》(财库〔2007〕119号)。</w:t>
      </w:r>
    </w:p>
    <w:p w14:paraId="510A6221">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1.2.11</w:t>
      </w:r>
      <w:r>
        <w:rPr>
          <w:rFonts w:hint="eastAsia" w:ascii="宋体" w:hAnsi="宋体"/>
          <w:b/>
          <w:color w:val="000000" w:themeColor="text1"/>
          <w:szCs w:val="21"/>
          <w:highlight w:val="none"/>
          <w14:textFill>
            <w14:solidFill>
              <w14:schemeClr w14:val="tx1"/>
            </w14:solidFill>
          </w14:textFill>
        </w:rPr>
        <w:t>中小企业</w:t>
      </w:r>
      <w:r>
        <w:rPr>
          <w:rFonts w:hint="eastAsia" w:ascii="宋体" w:hAnsi="宋体"/>
          <w:color w:val="000000" w:themeColor="text1"/>
          <w:szCs w:val="21"/>
          <w:highlight w:val="none"/>
          <w14:textFill>
            <w14:solidFill>
              <w14:schemeClr w14:val="tx1"/>
            </w14:solidFill>
          </w14:textFill>
        </w:rPr>
        <w:t>是指符合《工业和信息化部、国家统计局、国家发展和改革委员会、财政部关于印发中小企业划型标准规定的通知》（工信部联企业〔2011〕300号）规定的对中小企业的划分标准的企业。</w:t>
      </w:r>
    </w:p>
    <w:p w14:paraId="166364A2">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1.2.12 </w:t>
      </w:r>
      <w:r>
        <w:rPr>
          <w:rFonts w:hint="eastAsia" w:ascii="宋体" w:hAnsi="宋体"/>
          <w:b/>
          <w:color w:val="000000" w:themeColor="text1"/>
          <w:szCs w:val="21"/>
          <w:highlight w:val="none"/>
          <w14:textFill>
            <w14:solidFill>
              <w14:schemeClr w14:val="tx1"/>
            </w14:solidFill>
          </w14:textFill>
        </w:rPr>
        <w:t>监狱企业</w:t>
      </w:r>
      <w:r>
        <w:rPr>
          <w:rFonts w:hint="eastAsia" w:ascii="宋体" w:hAnsi="宋体"/>
          <w:color w:val="000000" w:themeColor="text1"/>
          <w:szCs w:val="21"/>
          <w:highlight w:val="none"/>
          <w14:textFill>
            <w14:solidFill>
              <w14:schemeClr w14:val="tx1"/>
            </w14:solidFill>
          </w14:textFill>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E1849C1">
      <w:pPr>
        <w:adjustRightInd w:val="0"/>
        <w:snapToGrid w:val="0"/>
        <w:spacing w:line="356" w:lineRule="auto"/>
        <w:ind w:firstLine="420" w:firstLineChars="200"/>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w:t>
      </w: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s="宋体"/>
          <w:b/>
          <w:color w:val="000000" w:themeColor="text1"/>
          <w:kern w:val="0"/>
          <w:szCs w:val="21"/>
          <w:highlight w:val="none"/>
          <w14:textFill>
            <w14:solidFill>
              <w14:schemeClr w14:val="tx1"/>
            </w14:solidFill>
          </w14:textFill>
        </w:rPr>
        <w:t>残疾人福利性单位</w:t>
      </w:r>
      <w:r>
        <w:rPr>
          <w:rFonts w:hint="eastAsia" w:ascii="宋体" w:hAnsi="宋体" w:cs="宋体"/>
          <w:color w:val="000000" w:themeColor="text1"/>
          <w:kern w:val="0"/>
          <w:szCs w:val="21"/>
          <w:highlight w:val="none"/>
          <w14:textFill>
            <w14:solidFill>
              <w14:schemeClr w14:val="tx1"/>
            </w14:solidFill>
          </w14:textFill>
        </w:rPr>
        <w:t>是指符合</w:t>
      </w:r>
      <w:r>
        <w:rPr>
          <w:rFonts w:hint="eastAsia" w:ascii="宋体" w:hAnsi="宋体"/>
          <w:color w:val="000000" w:themeColor="text1"/>
          <w:spacing w:val="6"/>
          <w:szCs w:val="21"/>
          <w:highlight w:val="none"/>
          <w14:textFill>
            <w14:solidFill>
              <w14:schemeClr w14:val="tx1"/>
            </w14:solidFill>
          </w14:textFill>
        </w:rPr>
        <w:t>《财政部、民政部、中国残疾人联合会关于促进残疾人就业政府采购政策的通知》（财库</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2017</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141</w:t>
      </w:r>
      <w:r>
        <w:rPr>
          <w:rFonts w:hint="eastAsia" w:ascii="宋体" w:hAnsi="宋体"/>
          <w:color w:val="000000" w:themeColor="text1"/>
          <w:spacing w:val="6"/>
          <w:szCs w:val="21"/>
          <w:highlight w:val="none"/>
          <w14:textFill>
            <w14:solidFill>
              <w14:schemeClr w14:val="tx1"/>
            </w14:solidFill>
          </w14:textFill>
        </w:rPr>
        <w:t>号）规定条件的单位。</w:t>
      </w:r>
    </w:p>
    <w:p w14:paraId="04D26615">
      <w:pPr>
        <w:adjustRightInd w:val="0"/>
        <w:snapToGrid w:val="0"/>
        <w:spacing w:line="356" w:lineRule="auto"/>
        <w:ind w:firstLine="444" w:firstLineChars="200"/>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1.2.14</w:t>
      </w:r>
      <w:r>
        <w:rPr>
          <w:rFonts w:hint="eastAsia" w:ascii="宋体" w:hAnsi="宋体"/>
          <w:b/>
          <w:bCs/>
          <w:color w:val="000000" w:themeColor="text1"/>
          <w:spacing w:val="6"/>
          <w:szCs w:val="21"/>
          <w:highlight w:val="none"/>
          <w14:textFill>
            <w14:solidFill>
              <w14:schemeClr w14:val="tx1"/>
            </w14:solidFill>
          </w14:textFill>
        </w:rPr>
        <w:t>签名</w:t>
      </w:r>
      <w:r>
        <w:rPr>
          <w:rFonts w:hint="eastAsia" w:ascii="宋体" w:hAnsi="宋体"/>
          <w:color w:val="000000" w:themeColor="text1"/>
          <w:spacing w:val="6"/>
          <w:szCs w:val="21"/>
          <w:highlight w:val="none"/>
          <w14:textFill>
            <w14:solidFill>
              <w14:schemeClr w14:val="tx1"/>
            </w14:solidFill>
          </w14:textFill>
        </w:rPr>
        <w:t>是指：手写签名或加盖签名章（含电子章、签名章、手签等），</w:t>
      </w:r>
      <w:r>
        <w:rPr>
          <w:rFonts w:hint="eastAsia" w:ascii="宋体" w:hAnsi="宋体"/>
          <w:b/>
          <w:bCs/>
          <w:color w:val="000000" w:themeColor="text1"/>
          <w:spacing w:val="6"/>
          <w:szCs w:val="21"/>
          <w:highlight w:val="none"/>
          <w14:textFill>
            <w14:solidFill>
              <w14:schemeClr w14:val="tx1"/>
            </w14:solidFill>
          </w14:textFill>
        </w:rPr>
        <w:t>盖章</w:t>
      </w:r>
      <w:r>
        <w:rPr>
          <w:rFonts w:hint="eastAsia" w:ascii="宋体" w:hAnsi="宋体"/>
          <w:color w:val="000000" w:themeColor="text1"/>
          <w:spacing w:val="6"/>
          <w:szCs w:val="21"/>
          <w:highlight w:val="none"/>
          <w14:textFill>
            <w14:solidFill>
              <w14:schemeClr w14:val="tx1"/>
            </w14:solidFill>
          </w14:textFill>
        </w:rPr>
        <w:t>是指加盖单位公章（含电子）。</w:t>
      </w:r>
    </w:p>
    <w:p w14:paraId="16A2D593">
      <w:pPr>
        <w:adjustRightInd w:val="0"/>
        <w:snapToGrid w:val="0"/>
        <w:spacing w:line="356" w:lineRule="auto"/>
        <w:ind w:firstLine="444"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1.2.15</w:t>
      </w:r>
      <w:r>
        <w:rPr>
          <w:rFonts w:hint="eastAsia" w:ascii="宋体" w:hAnsi="宋体"/>
          <w:b/>
          <w:color w:val="000000" w:themeColor="text1"/>
          <w:szCs w:val="21"/>
          <w:highlight w:val="none"/>
          <w14:textFill>
            <w14:solidFill>
              <w14:schemeClr w14:val="tx1"/>
            </w14:solidFill>
          </w14:textFill>
        </w:rPr>
        <w:t>较大数额罚款</w:t>
      </w:r>
      <w:r>
        <w:rPr>
          <w:rFonts w:hint="eastAsia" w:ascii="宋体" w:hAnsi="宋体"/>
          <w:color w:val="000000" w:themeColor="text1"/>
          <w:szCs w:val="21"/>
          <w:highlight w:val="none"/>
          <w14:textFill>
            <w14:solidFill>
              <w14:schemeClr w14:val="tx1"/>
            </w14:solidFill>
          </w14:textFill>
        </w:rPr>
        <w:t>是指200万元以上罚款，法律、行政法规以及国务院有关部门明确规定相关领域“较大数额罚款”标准高于200万元的，从其规定。</w:t>
      </w:r>
    </w:p>
    <w:p w14:paraId="7FE826BD">
      <w:pPr>
        <w:adjustRightInd w:val="0"/>
        <w:snapToGrid w:val="0"/>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1.2.16 </w:t>
      </w:r>
      <w:r>
        <w:rPr>
          <w:rFonts w:hint="eastAsia" w:ascii="宋体" w:hAnsi="宋体"/>
          <w:b/>
          <w:color w:val="000000" w:themeColor="text1"/>
          <w:szCs w:val="21"/>
          <w:highlight w:val="none"/>
          <w14:textFill>
            <w14:solidFill>
              <w14:schemeClr w14:val="tx1"/>
            </w14:solidFill>
          </w14:textFill>
        </w:rPr>
        <w:t>重大违法记录</w:t>
      </w:r>
      <w:r>
        <w:rPr>
          <w:rFonts w:hint="eastAsia" w:ascii="宋体" w:hAnsi="宋体"/>
          <w:bCs/>
          <w:color w:val="000000" w:themeColor="text1"/>
          <w:szCs w:val="21"/>
          <w:highlight w:val="none"/>
          <w14:textFill>
            <w14:solidFill>
              <w14:schemeClr w14:val="tx1"/>
            </w14:solidFill>
          </w14:textFill>
        </w:rPr>
        <w:t>是指供应商因违法经营受到刑事处罚，或者责令停产停业，或者暂扣或者吊销许可证或者执照，或者较大数额罚款等行政处罚。</w:t>
      </w:r>
    </w:p>
    <w:bookmarkEnd w:id="44"/>
    <w:bookmarkEnd w:id="45"/>
    <w:bookmarkEnd w:id="46"/>
    <w:bookmarkEnd w:id="47"/>
    <w:p w14:paraId="082325A9">
      <w:pPr>
        <w:adjustRightInd w:val="0"/>
        <w:snapToGrid w:val="0"/>
        <w:spacing w:line="356" w:lineRule="auto"/>
        <w:rPr>
          <w:rFonts w:hint="eastAsia" w:ascii="宋体" w:hAnsi="宋体" w:cs="宋体"/>
          <w:b/>
          <w:color w:val="000000" w:themeColor="text1"/>
          <w:kern w:val="0"/>
          <w:sz w:val="30"/>
          <w:szCs w:val="30"/>
          <w:highlight w:val="none"/>
          <w14:textFill>
            <w14:solidFill>
              <w14:schemeClr w14:val="tx1"/>
            </w14:solidFill>
          </w14:textFill>
        </w:rPr>
      </w:pPr>
      <w:bookmarkStart w:id="51" w:name="_Toc183682345"/>
      <w:bookmarkStart w:id="52" w:name="_Toc217446037"/>
      <w:bookmarkStart w:id="53" w:name="_Toc183582208"/>
      <w:r>
        <w:rPr>
          <w:rFonts w:hint="eastAsia" w:ascii="宋体" w:hAnsi="宋体"/>
          <w:b/>
          <w:color w:val="000000" w:themeColor="text1"/>
          <w:sz w:val="30"/>
          <w:szCs w:val="30"/>
          <w:highlight w:val="none"/>
          <w14:textFill>
            <w14:solidFill>
              <w14:schemeClr w14:val="tx1"/>
            </w14:solidFill>
          </w14:textFill>
        </w:rPr>
        <w:t>1.3合格的投标人</w:t>
      </w:r>
    </w:p>
    <w:p w14:paraId="476887C1">
      <w:pPr>
        <w:tabs>
          <w:tab w:val="left" w:pos="7665"/>
        </w:tabs>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1.3.1 合格的投标人应具备以下条件：</w:t>
      </w:r>
    </w:p>
    <w:p w14:paraId="102CDC45">
      <w:pPr>
        <w:tabs>
          <w:tab w:val="left" w:pos="7665"/>
        </w:tabs>
        <w:spacing w:line="356" w:lineRule="auto"/>
        <w:ind w:firstLine="420" w:firstLineChars="200"/>
        <w:rPr>
          <w:rFonts w:hint="eastAsia" w:ascii="宋体" w:hAnsi="宋体"/>
          <w:color w:val="000000" w:themeColor="text1"/>
          <w:spacing w:val="-4"/>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（1）具备且满足</w:t>
      </w:r>
      <w:r>
        <w:rPr>
          <w:rFonts w:ascii="宋体" w:hAnsi="宋体"/>
          <w:color w:val="000000" w:themeColor="text1"/>
          <w:szCs w:val="21"/>
          <w:highlight w:val="none"/>
          <w14:textFill>
            <w14:solidFill>
              <w14:schemeClr w14:val="tx1"/>
            </w14:solidFill>
          </w14:textFill>
        </w:rPr>
        <w:t>招标文件</w:t>
      </w:r>
      <w:r>
        <w:rPr>
          <w:rFonts w:hint="eastAsia" w:ascii="宋体" w:hAnsi="宋体"/>
          <w:color w:val="000000" w:themeColor="text1"/>
          <w:szCs w:val="21"/>
          <w:highlight w:val="none"/>
          <w14:textFill>
            <w14:solidFill>
              <w14:schemeClr w14:val="tx1"/>
            </w14:solidFill>
          </w14:textFill>
        </w:rPr>
        <w:t>规定的投标人资格条件</w:t>
      </w:r>
      <w:r>
        <w:rPr>
          <w:rFonts w:hint="eastAsia" w:ascii="宋体" w:hAnsi="宋体"/>
          <w:color w:val="000000" w:themeColor="text1"/>
          <w:spacing w:val="-4"/>
          <w:szCs w:val="21"/>
          <w:highlight w:val="none"/>
          <w14:textFill>
            <w14:solidFill>
              <w14:schemeClr w14:val="tx1"/>
            </w14:solidFill>
          </w14:textFill>
        </w:rPr>
        <w:t>；</w:t>
      </w:r>
    </w:p>
    <w:p w14:paraId="240AFEC9">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（2）从采购代理机构获取了投标文件；</w:t>
      </w:r>
    </w:p>
    <w:p w14:paraId="54DD35F1">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（3）向采购代理机构交纳了投标保证金（仅限投标人须知前附表要求投标人提交保证金的）；</w:t>
      </w:r>
    </w:p>
    <w:p w14:paraId="456B3EFC">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（4）遵守国家和地方有关的法律法规、规章和规范性文件要求。</w:t>
      </w:r>
    </w:p>
    <w:p w14:paraId="3E5C1A9F">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1.3.2 投标人不得存在下列情形之一：</w:t>
      </w:r>
    </w:p>
    <w:p w14:paraId="6E760DC4">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（1）为招标人不具有独立法人资格的附属机构（单位）；</w:t>
      </w:r>
    </w:p>
    <w:p w14:paraId="41FB0766">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（2）与招标人存在利害关系，且可能影响招标公正性；</w:t>
      </w:r>
    </w:p>
    <w:p w14:paraId="56579CCF">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（3）与本项目的其他投标人的法定代表人或单位负责人为同一人；</w:t>
      </w:r>
    </w:p>
    <w:p w14:paraId="7A279959">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（4）与本项目的其他投标人存在控股、管理关系；</w:t>
      </w:r>
    </w:p>
    <w:p w14:paraId="5C32D79A">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（5）为本项目的代建人；</w:t>
      </w:r>
    </w:p>
    <w:p w14:paraId="25861AEB">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（6）为本项目的监理人；</w:t>
      </w:r>
    </w:p>
    <w:p w14:paraId="24C37966">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（7）为本项目的招标代理机构；</w:t>
      </w:r>
    </w:p>
    <w:p w14:paraId="7A14F13A">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（8）为本项目提供整体设计、规范编制或者项目管理、监理、检测、咨询服务；</w:t>
      </w:r>
    </w:p>
    <w:p w14:paraId="10774099">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（9）与本项目的监理人或代建人或招标代理机构同为一个法定代表人的；</w:t>
      </w:r>
    </w:p>
    <w:p w14:paraId="49F5F13E">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（10）与本项目的监理人或代建人或招标代理机构相互控股或参股的；</w:t>
      </w:r>
    </w:p>
    <w:p w14:paraId="7B34B22F">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（11）与本项目的监理人或代建人或招标代理机构相互任职或工作的；</w:t>
      </w:r>
    </w:p>
    <w:p w14:paraId="2FA4AD09">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（12）被责令停产停业、暂扣或者吊销许可证、暂扣或者吊销执照；</w:t>
      </w:r>
    </w:p>
    <w:p w14:paraId="5B8F04C4">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（13）被依法暂停或者取消投标资格的；</w:t>
      </w:r>
    </w:p>
    <w:p w14:paraId="18B6AC85">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（14）进入清算程序，或被宣告破产，或其他丧失履约能力的情形；</w:t>
      </w:r>
    </w:p>
    <w:p w14:paraId="33053193">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（15）在最近三年内有骗取中标或严重违约或重大工程质量问题的（以相关行业主管部门的行政处罚决定或司法机关出具的有关法律文书为准）；</w:t>
      </w:r>
    </w:p>
    <w:p w14:paraId="694BA446">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（16）受到 “较大数额罚款”的行政处罚（较大数额罚款是指200万元以上罚款，法律、行政法规以及国务院有关部门明确规定相关领域“较大数额罚款”标准高于200万元的，从其规定）；</w:t>
      </w:r>
    </w:p>
    <w:p w14:paraId="15EA0366">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（17）投标人被列入失信被执行人、重大税收违法案件当事人名单、政府采购严重违法失信行为记录名单；</w:t>
      </w:r>
    </w:p>
    <w:p w14:paraId="4D911E18">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（18）被禁止在一至三年内参加政府采购活动或存在财政部门认定的其他重大违法记录；</w:t>
      </w:r>
    </w:p>
    <w:p w14:paraId="533C67D8">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（19）法律法规规定的其他情形。</w:t>
      </w:r>
    </w:p>
    <w:p w14:paraId="4F689D3D">
      <w:pPr>
        <w:adjustRightInd w:val="0"/>
        <w:snapToGrid w:val="0"/>
        <w:spacing w:line="356" w:lineRule="auto"/>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1.4 合格的工程</w:t>
      </w:r>
    </w:p>
    <w:p w14:paraId="7B6509D8">
      <w:pPr>
        <w:tabs>
          <w:tab w:val="left" w:pos="747"/>
        </w:tabs>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bookmarkStart w:id="54" w:name="_Toc217446047"/>
      <w:r>
        <w:rPr>
          <w:rFonts w:hint="eastAsia" w:ascii="宋体" w:hAnsi="宋体"/>
          <w:color w:val="000000" w:themeColor="text1"/>
          <w:szCs w:val="21"/>
          <w:highlight w:val="none"/>
          <w14:textFill>
            <w14:solidFill>
              <w14:schemeClr w14:val="tx1"/>
            </w14:solidFill>
          </w14:textFill>
        </w:rPr>
        <w:t>1.4.1 投标人为本采购项目所承担的建设工程，必须是符合国家相关标准和规范要求，满足</w:t>
      </w:r>
      <w:r>
        <w:rPr>
          <w:rFonts w:ascii="宋体" w:hAnsi="宋体"/>
          <w:color w:val="000000" w:themeColor="text1"/>
          <w:szCs w:val="21"/>
          <w:highlight w:val="none"/>
          <w14:textFill>
            <w14:solidFill>
              <w14:schemeClr w14:val="tx1"/>
            </w14:solidFill>
          </w14:textFill>
        </w:rPr>
        <w:t>招标文件</w:t>
      </w:r>
      <w:r>
        <w:rPr>
          <w:rFonts w:hint="eastAsia" w:ascii="宋体" w:hAnsi="宋体"/>
          <w:color w:val="000000" w:themeColor="text1"/>
          <w:szCs w:val="21"/>
          <w:highlight w:val="none"/>
          <w14:textFill>
            <w14:solidFill>
              <w14:schemeClr w14:val="tx1"/>
            </w14:solidFill>
          </w14:textFill>
        </w:rPr>
        <w:t>规定的质量、工期、质保期等要求，达到合格工程质量标准。</w:t>
      </w:r>
    </w:p>
    <w:p w14:paraId="6E3797C1">
      <w:pPr>
        <w:tabs>
          <w:tab w:val="left" w:pos="747"/>
        </w:tabs>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1.4.2采购人有权拒绝接受任何质量不合格工程，由此产生的费用及相关后果均由投标人自行承担。</w:t>
      </w:r>
    </w:p>
    <w:bookmarkEnd w:id="51"/>
    <w:bookmarkEnd w:id="52"/>
    <w:bookmarkEnd w:id="53"/>
    <w:bookmarkEnd w:id="54"/>
    <w:p w14:paraId="65C5C3B8">
      <w:pPr>
        <w:spacing w:line="356" w:lineRule="auto"/>
        <w:rPr>
          <w:rFonts w:hint="eastAsia" w:ascii="宋体" w:hAnsi="宋体"/>
          <w:b/>
          <w:color w:val="000000" w:themeColor="text1"/>
          <w:sz w:val="30"/>
          <w:szCs w:val="30"/>
          <w:highlight w:val="none"/>
          <w14:textFill>
            <w14:solidFill>
              <w14:schemeClr w14:val="tx1"/>
            </w14:solidFill>
          </w14:textFill>
        </w:rPr>
      </w:pPr>
      <w:bookmarkStart w:id="55" w:name="_Toc89075875"/>
      <w:bookmarkStart w:id="56" w:name="_Toc183582209"/>
      <w:bookmarkStart w:id="57" w:name="_Toc217446038"/>
      <w:bookmarkStart w:id="58" w:name="_Toc77400779"/>
      <w:bookmarkStart w:id="59" w:name="_Toc183682346"/>
      <w:bookmarkStart w:id="60" w:name="_Toc686"/>
      <w:bookmarkStart w:id="61" w:name="_Toc183582211"/>
      <w:bookmarkStart w:id="62" w:name="_Toc183682348"/>
      <w:bookmarkStart w:id="63" w:name="_Toc217446040"/>
      <w:r>
        <w:rPr>
          <w:rFonts w:hint="eastAsia" w:ascii="宋体" w:hAnsi="宋体"/>
          <w:b/>
          <w:color w:val="000000" w:themeColor="text1"/>
          <w:sz w:val="30"/>
          <w:szCs w:val="30"/>
          <w:highlight w:val="none"/>
          <w14:textFill>
            <w14:solidFill>
              <w14:schemeClr w14:val="tx1"/>
            </w14:solidFill>
          </w14:textFill>
        </w:rPr>
        <w:t>1.5投标费用</w:t>
      </w:r>
    </w:p>
    <w:p w14:paraId="6EF24661">
      <w:pPr>
        <w:tabs>
          <w:tab w:val="left" w:pos="7665"/>
        </w:tabs>
        <w:spacing w:line="356" w:lineRule="auto"/>
        <w:ind w:firstLine="430" w:firstLineChars="20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不论投标结果如何，投标人准备和参加投标活动发生的费用自理。</w:t>
      </w:r>
    </w:p>
    <w:p w14:paraId="5F82DD97">
      <w:pPr>
        <w:autoSpaceDE w:val="0"/>
        <w:autoSpaceDN w:val="0"/>
        <w:spacing w:line="356" w:lineRule="auto"/>
        <w:rPr>
          <w:rFonts w:hint="eastAsia" w:ascii="宋体" w:hAnsi="宋体"/>
          <w:b/>
          <w:color w:val="000000" w:themeColor="text1"/>
          <w:sz w:val="30"/>
          <w:szCs w:val="30"/>
          <w:highlight w:val="none"/>
          <w:lang w:val="zh-CN"/>
          <w14:textFill>
            <w14:solidFill>
              <w14:schemeClr w14:val="tx1"/>
            </w14:solidFill>
          </w14:textFill>
        </w:rPr>
      </w:pPr>
      <w:r>
        <w:rPr>
          <w:rFonts w:hint="eastAsia" w:ascii="宋体" w:hAnsi="宋体"/>
          <w:b/>
          <w:color w:val="000000" w:themeColor="text1"/>
          <w:sz w:val="30"/>
          <w:szCs w:val="30"/>
          <w:highlight w:val="none"/>
          <w:lang w:val="zh-CN"/>
          <w14:textFill>
            <w14:solidFill>
              <w14:schemeClr w14:val="tx1"/>
            </w14:solidFill>
          </w14:textFill>
        </w:rPr>
        <w:t>1.</w:t>
      </w:r>
      <w:r>
        <w:rPr>
          <w:rFonts w:hint="eastAsia" w:ascii="宋体" w:hAnsi="宋体"/>
          <w:b/>
          <w:color w:val="000000" w:themeColor="text1"/>
          <w:sz w:val="30"/>
          <w:szCs w:val="30"/>
          <w:highlight w:val="none"/>
          <w14:textFill>
            <w14:solidFill>
              <w14:schemeClr w14:val="tx1"/>
            </w14:solidFill>
          </w14:textFill>
        </w:rPr>
        <w:t>6</w:t>
      </w:r>
      <w:r>
        <w:rPr>
          <w:rFonts w:hint="eastAsia" w:ascii="宋体" w:hAnsi="宋体"/>
          <w:b/>
          <w:color w:val="000000" w:themeColor="text1"/>
          <w:sz w:val="30"/>
          <w:szCs w:val="30"/>
          <w:highlight w:val="none"/>
          <w:lang w:val="zh-CN"/>
          <w14:textFill>
            <w14:solidFill>
              <w14:schemeClr w14:val="tx1"/>
            </w14:solidFill>
          </w14:textFill>
        </w:rPr>
        <w:t xml:space="preserve"> </w:t>
      </w:r>
      <w:r>
        <w:rPr>
          <w:rFonts w:ascii="宋体" w:hAnsi="宋体"/>
          <w:b/>
          <w:color w:val="000000" w:themeColor="text1"/>
          <w:sz w:val="30"/>
          <w:szCs w:val="30"/>
          <w:highlight w:val="none"/>
          <w:lang w:val="zh-CN"/>
          <w14:textFill>
            <w14:solidFill>
              <w14:schemeClr w14:val="tx1"/>
            </w14:solidFill>
          </w14:textFill>
        </w:rPr>
        <w:t>保密</w:t>
      </w:r>
    </w:p>
    <w:p w14:paraId="3A7BC87E">
      <w:pPr>
        <w:autoSpaceDE w:val="0"/>
        <w:autoSpaceDN w:val="0"/>
        <w:spacing w:line="356" w:lineRule="auto"/>
        <w:ind w:firstLine="420" w:firstLineChars="200"/>
        <w:rPr>
          <w:rFonts w:hint="eastAsia" w:ascii="宋体" w:hAnsi="宋体"/>
          <w:b/>
          <w:color w:val="000000" w:themeColor="text1"/>
          <w:sz w:val="30"/>
          <w:szCs w:val="30"/>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参与采购活动的当事人应对</w:t>
      </w:r>
      <w:r>
        <w:rPr>
          <w:rFonts w:hint="eastAsia" w:ascii="宋体" w:hAnsi="宋体"/>
          <w:color w:val="000000" w:themeColor="text1"/>
          <w:szCs w:val="21"/>
          <w:highlight w:val="none"/>
          <w:lang w:val="zh-CN"/>
          <w14:textFill>
            <w14:solidFill>
              <w14:schemeClr w14:val="tx1"/>
            </w14:solidFill>
          </w14:textFill>
        </w:rPr>
        <w:t>招标文件</w:t>
      </w:r>
      <w:r>
        <w:rPr>
          <w:rFonts w:ascii="宋体" w:hAnsi="宋体"/>
          <w:color w:val="000000" w:themeColor="text1"/>
          <w:szCs w:val="21"/>
          <w:highlight w:val="none"/>
          <w:lang w:val="zh-CN"/>
          <w14:textFill>
            <w14:solidFill>
              <w14:schemeClr w14:val="tx1"/>
            </w14:solidFill>
          </w14:textFill>
        </w:rPr>
        <w:t>和</w:t>
      </w:r>
      <w:r>
        <w:rPr>
          <w:rFonts w:hint="eastAsia" w:ascii="宋体" w:hAnsi="宋体"/>
          <w:color w:val="000000" w:themeColor="text1"/>
          <w:szCs w:val="21"/>
          <w:highlight w:val="none"/>
          <w14:textFill>
            <w14:solidFill>
              <w14:schemeClr w14:val="tx1"/>
            </w14:solidFill>
          </w14:textFill>
        </w:rPr>
        <w:t>投标</w:t>
      </w:r>
      <w:r>
        <w:rPr>
          <w:rFonts w:ascii="宋体" w:hAnsi="宋体"/>
          <w:color w:val="000000" w:themeColor="text1"/>
          <w:szCs w:val="21"/>
          <w:highlight w:val="none"/>
          <w:lang w:val="zh-CN"/>
          <w14:textFill>
            <w14:solidFill>
              <w14:schemeClr w14:val="tx1"/>
            </w14:solidFill>
          </w14:textFill>
        </w:rPr>
        <w:t xml:space="preserve">文件中的商业秘密、技术秘密和个人隐私等保密，违者应对由此造成的后果承担法律责任。 </w:t>
      </w:r>
    </w:p>
    <w:p w14:paraId="39C74D0F">
      <w:pPr>
        <w:tabs>
          <w:tab w:val="left" w:pos="7665"/>
        </w:tabs>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1.7语言文字</w:t>
      </w:r>
    </w:p>
    <w:p w14:paraId="2DE416A3">
      <w:pPr>
        <w:tabs>
          <w:tab w:val="left" w:pos="7665"/>
        </w:tabs>
        <w:spacing w:line="356" w:lineRule="auto"/>
        <w:ind w:firstLine="40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1.7.1 招标投标文件使用的语言为中文。专用术语使用外文的，应附有中文注释。</w:t>
      </w:r>
    </w:p>
    <w:p w14:paraId="22452B0E">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1.7.2 投标文件中如附有外文资料，必须逐一对应翻译成中文并加盖投标人单位章后附在相关外文资料后面，否则，投标人的投标文件将作为无效投标处理。</w:t>
      </w:r>
    </w:p>
    <w:p w14:paraId="529188A2">
      <w:pPr>
        <w:pStyle w:val="16"/>
        <w:adjustRightInd w:val="0"/>
        <w:snapToGrid w:val="0"/>
        <w:spacing w:line="356"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1.7.3 投标文件中翻译的中文资料与外文资料如果出现差异和矛盾时，以中文为准。但不能故意错误翻译，否则，投标人的投标文件将作为无效投标处理。</w:t>
      </w:r>
      <w:r>
        <w:rPr>
          <w:rFonts w:hint="eastAsia"/>
          <w:color w:val="000000" w:themeColor="text1"/>
          <w:kern w:val="0"/>
          <w:highlight w:val="none"/>
          <w14:textFill>
            <w14:solidFill>
              <w14:schemeClr w14:val="tx1"/>
            </w14:solidFill>
          </w14:textFill>
        </w:rPr>
        <w:t>必要时采购人可以要求投标人提供附有公证书的中文翻译文件或者与原版文件签章相一致的中文翻译文件。</w:t>
      </w:r>
    </w:p>
    <w:p w14:paraId="343392CF">
      <w:pPr>
        <w:tabs>
          <w:tab w:val="left" w:pos="7665"/>
        </w:tabs>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1.8计量单位</w:t>
      </w:r>
    </w:p>
    <w:p w14:paraId="3993CE84">
      <w:pPr>
        <w:tabs>
          <w:tab w:val="left" w:pos="7665"/>
        </w:tabs>
        <w:spacing w:line="356" w:lineRule="auto"/>
        <w:ind w:firstLine="40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所有计量单位均采用中华人民共和国法定计量单位。</w:t>
      </w:r>
    </w:p>
    <w:p w14:paraId="76666415">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1.9标前答疑会或现场考察</w:t>
      </w:r>
    </w:p>
    <w:p w14:paraId="511A7A6E">
      <w:pPr>
        <w:tabs>
          <w:tab w:val="left" w:pos="7665"/>
        </w:tabs>
        <w:spacing w:line="356" w:lineRule="auto"/>
        <w:ind w:firstLine="40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1.9.1 根据投标人须知前附表规定召开标前答疑会或组织投标人对项目现场进行考察的，采购人或采购代理机构按投标人须知前附表规定的时间和地点召开标前答疑会或组织现场考察，澄清投标人的问题，投标人可按要求在规定的时间和地点参加。</w:t>
      </w:r>
    </w:p>
    <w:p w14:paraId="7FD7B116">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1.9.2 答疑会或现场考察后，采购人或采购代理机构对投标人所提问题的澄清，以书面形式通知所有获取了招标文件的投标人。该澄清内容为招标文件的组成部分。</w:t>
      </w:r>
    </w:p>
    <w:p w14:paraId="10B1A51C">
      <w:pPr>
        <w:adjustRightInd w:val="0"/>
        <w:snapToGrid w:val="0"/>
        <w:spacing w:line="356" w:lineRule="auto"/>
        <w:ind w:firstLine="367" w:firstLineChars="17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1.9.3 采购人不对投标人现场考察而做出的推论、理解和结论负责。一旦成交，中标人不得以任何借口，提出额外补偿，或延长合同期限的要求。</w:t>
      </w:r>
    </w:p>
    <w:p w14:paraId="0A17F06D">
      <w:pPr>
        <w:adjustRightInd w:val="0"/>
        <w:snapToGrid w:val="0"/>
        <w:spacing w:line="356" w:lineRule="auto"/>
        <w:ind w:firstLine="367" w:firstLineChars="17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1.9.4 由于未参加现场考察或标前答疑会而导致对项目实际情况不了解，影响投标文件编制、投标报价准确性、综合因素响应不全面等问题的，由投标人自行承担不利评审后果。</w:t>
      </w:r>
    </w:p>
    <w:bookmarkEnd w:id="55"/>
    <w:bookmarkEnd w:id="56"/>
    <w:bookmarkEnd w:id="57"/>
    <w:bookmarkEnd w:id="58"/>
    <w:bookmarkEnd w:id="59"/>
    <w:p w14:paraId="536F437D">
      <w:pPr>
        <w:adjustRightInd w:val="0"/>
        <w:snapToGrid w:val="0"/>
        <w:spacing w:line="356" w:lineRule="auto"/>
        <w:jc w:val="lef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1.10响应与偏离</w:t>
      </w:r>
    </w:p>
    <w:p w14:paraId="6E7CED98">
      <w:pPr>
        <w:adjustRightInd w:val="0"/>
        <w:snapToGrid w:val="0"/>
        <w:spacing w:line="356" w:lineRule="auto"/>
        <w:ind w:firstLine="367" w:firstLineChars="175"/>
        <w:rPr>
          <w:rFonts w:hint="eastAsia" w:ascii="宋体" w:hAnsi="宋体"/>
          <w:color w:val="000000" w:themeColor="text1"/>
          <w:szCs w:val="21"/>
          <w:highlight w:val="none"/>
          <w14:textFill>
            <w14:solidFill>
              <w14:schemeClr w14:val="tx1"/>
            </w14:solidFill>
          </w14:textFill>
        </w:rPr>
      </w:pPr>
      <w:bookmarkStart w:id="64" w:name="_Toc82986222"/>
      <w:bookmarkStart w:id="65" w:name="_Toc3927"/>
      <w:r>
        <w:rPr>
          <w:rFonts w:hint="eastAsia" w:ascii="宋体" w:hAnsi="宋体"/>
          <w:color w:val="000000" w:themeColor="text1"/>
          <w:szCs w:val="21"/>
          <w:highlight w:val="none"/>
          <w14:textFill>
            <w14:solidFill>
              <w14:schemeClr w14:val="tx1"/>
            </w14:solidFill>
          </w14:textFill>
        </w:rPr>
        <w:t>1.10.1投标文件应当对招标文件的实质性要求和条件作出满足或有利于采购人的响应，否则，投标人的投标无效。</w:t>
      </w:r>
    </w:p>
    <w:p w14:paraId="49B3E298">
      <w:pPr>
        <w:adjustRightInd w:val="0"/>
        <w:snapToGrid w:val="0"/>
        <w:spacing w:line="356" w:lineRule="auto"/>
        <w:ind w:firstLine="367" w:firstLineChars="17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1.10.2偏离分为正偏离和负偏离。若投标文件满足且高于招标文件提出的要求和条件则为正偏离，不响应或者低于招标文件提出的要求和条件则为负偏离。</w:t>
      </w:r>
    </w:p>
    <w:p w14:paraId="1508BD29">
      <w:pPr>
        <w:tabs>
          <w:tab w:val="left" w:pos="7665"/>
        </w:tabs>
        <w:spacing w:line="356" w:lineRule="auto"/>
        <w:outlineLvl w:val="1"/>
        <w:rPr>
          <w:rFonts w:hint="eastAsia" w:ascii="黑体" w:hAnsi="宋体" w:eastAsia="黑体"/>
          <w:b/>
          <w:bCs/>
          <w:color w:val="000000" w:themeColor="text1"/>
          <w:sz w:val="36"/>
          <w:szCs w:val="36"/>
          <w:highlight w:val="none"/>
          <w14:textFill>
            <w14:solidFill>
              <w14:schemeClr w14:val="tx1"/>
            </w14:solidFill>
          </w14:textFill>
        </w:rPr>
      </w:pPr>
      <w:r>
        <w:rPr>
          <w:rFonts w:hint="eastAsia" w:ascii="黑体" w:hAnsi="宋体" w:eastAsia="黑体"/>
          <w:b/>
          <w:bCs/>
          <w:color w:val="000000" w:themeColor="text1"/>
          <w:sz w:val="36"/>
          <w:szCs w:val="36"/>
          <w:highlight w:val="none"/>
          <w14:textFill>
            <w14:solidFill>
              <w14:schemeClr w14:val="tx1"/>
            </w14:solidFill>
          </w14:textFill>
        </w:rPr>
        <w:t>2.招标文件</w:t>
      </w:r>
      <w:bookmarkEnd w:id="60"/>
      <w:bookmarkEnd w:id="64"/>
      <w:bookmarkEnd w:id="65"/>
      <w:bookmarkStart w:id="66" w:name="_Toc217446039"/>
      <w:bookmarkStart w:id="67" w:name="_Toc183682347"/>
      <w:bookmarkStart w:id="68" w:name="_Toc183582210"/>
    </w:p>
    <w:p w14:paraId="0B4D7C81">
      <w:pPr>
        <w:tabs>
          <w:tab w:val="left" w:pos="7665"/>
        </w:tabs>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2.1招标文件的</w:t>
      </w:r>
      <w:bookmarkEnd w:id="66"/>
      <w:bookmarkEnd w:id="67"/>
      <w:bookmarkEnd w:id="68"/>
      <w:r>
        <w:rPr>
          <w:rFonts w:hint="eastAsia" w:ascii="宋体" w:hAnsi="宋体"/>
          <w:b/>
          <w:color w:val="000000" w:themeColor="text1"/>
          <w:sz w:val="30"/>
          <w:szCs w:val="30"/>
          <w:highlight w:val="none"/>
          <w14:textFill>
            <w14:solidFill>
              <w14:schemeClr w14:val="tx1"/>
            </w14:solidFill>
          </w14:textFill>
        </w:rPr>
        <w:t>组成</w:t>
      </w:r>
    </w:p>
    <w:p w14:paraId="36AE1397">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本招标文件包括以下内容：</w:t>
      </w:r>
    </w:p>
    <w:p w14:paraId="4F326092">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（1）招标公告；</w:t>
      </w:r>
    </w:p>
    <w:p w14:paraId="5AAF9D46">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（2）投标人须知；</w:t>
      </w:r>
    </w:p>
    <w:p w14:paraId="1E317746">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（3）评标办法；</w:t>
      </w:r>
    </w:p>
    <w:p w14:paraId="6AB98108">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（4）采购需求；</w:t>
      </w:r>
    </w:p>
    <w:p w14:paraId="6998107B">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（5）政府采购合同格式；</w:t>
      </w:r>
    </w:p>
    <w:p w14:paraId="09BD3333">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（6）投标文件格式；</w:t>
      </w:r>
    </w:p>
    <w:p w14:paraId="3A61F050">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（7）投标人须知前附表规定的其他材料。</w:t>
      </w:r>
    </w:p>
    <w:p w14:paraId="5A4CFD29">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根据本章第1.9款、第2.2款对招标文件所作的澄清、修改，构成招标文件组成部分。</w:t>
      </w:r>
    </w:p>
    <w:p w14:paraId="5698EE67">
      <w:pPr>
        <w:tabs>
          <w:tab w:val="left" w:pos="7665"/>
        </w:tabs>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2.2 </w:t>
      </w:r>
      <w:r>
        <w:rPr>
          <w:rFonts w:hint="eastAsia"/>
          <w:b/>
          <w:color w:val="000000" w:themeColor="text1"/>
          <w:sz w:val="30"/>
          <w:szCs w:val="30"/>
          <w:highlight w:val="none"/>
          <w14:textFill>
            <w14:solidFill>
              <w14:schemeClr w14:val="tx1"/>
            </w14:solidFill>
          </w14:textFill>
        </w:rPr>
        <w:t>招标文件的澄清</w:t>
      </w:r>
      <w:bookmarkEnd w:id="61"/>
      <w:bookmarkEnd w:id="62"/>
      <w:r>
        <w:rPr>
          <w:rFonts w:hint="eastAsia"/>
          <w:b/>
          <w:color w:val="000000" w:themeColor="text1"/>
          <w:sz w:val="30"/>
          <w:szCs w:val="30"/>
          <w:highlight w:val="none"/>
          <w14:textFill>
            <w14:solidFill>
              <w14:schemeClr w14:val="tx1"/>
            </w14:solidFill>
          </w14:textFill>
        </w:rPr>
        <w:t>和修改</w:t>
      </w:r>
      <w:bookmarkEnd w:id="63"/>
    </w:p>
    <w:p w14:paraId="43FEBD75">
      <w:pPr>
        <w:tabs>
          <w:tab w:val="left" w:pos="720"/>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bookmarkStart w:id="69" w:name="_Toc217446041"/>
      <w:bookmarkStart w:id="70" w:name="_Toc208848971"/>
      <w:r>
        <w:rPr>
          <w:rFonts w:hint="eastAsia" w:ascii="宋体" w:hAnsi="宋体"/>
          <w:color w:val="000000" w:themeColor="text1"/>
          <w:szCs w:val="21"/>
          <w:highlight w:val="none"/>
          <w14:textFill>
            <w14:solidFill>
              <w14:schemeClr w14:val="tx1"/>
            </w14:solidFill>
          </w14:textFill>
        </w:rPr>
        <w:t>2.2.1 在投标截止时间前，采购代理机构无论出于何种原因，可以对已发出的招标文件进行必要的澄清或者修改，但不得修改采购标的和资格条件。</w:t>
      </w:r>
    </w:p>
    <w:p w14:paraId="1EB71BC1">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2.2.2 采购人或采购代理机构对已发出的招标文件进行必要的澄清或者修改，澄清或修改的内容可能影响投标文件编制的，应当在投标文件截止时间</w:t>
      </w:r>
      <w:r>
        <w:rPr>
          <w:rFonts w:hint="eastAsia" w:ascii="宋体" w:hAnsi="宋体"/>
          <w:b/>
          <w:color w:val="000000" w:themeColor="text1"/>
          <w:szCs w:val="21"/>
          <w:highlight w:val="none"/>
          <w14:textFill>
            <w14:solidFill>
              <w14:schemeClr w14:val="tx1"/>
            </w14:solidFill>
          </w14:textFill>
        </w:rPr>
        <w:t>15</w:t>
      </w:r>
      <w:r>
        <w:rPr>
          <w:rFonts w:hint="eastAsia" w:ascii="宋体" w:hAnsi="宋体"/>
          <w:color w:val="000000" w:themeColor="text1"/>
          <w:szCs w:val="21"/>
          <w:highlight w:val="none"/>
          <w14:textFill>
            <w14:solidFill>
              <w14:schemeClr w14:val="tx1"/>
            </w14:solidFill>
          </w14:textFill>
        </w:rPr>
        <w:t>日前，以书面形式将澄清或者修改的内容通知所有获取招标文件的投标人，同时在原信息发布媒体上发布更正（澄清）公告。投标人在收到上述通知后，应立即以书面形式向采购代理机构确认。如果澄清或者修改发出的时间距规定的投标截止时间不足</w:t>
      </w:r>
      <w:r>
        <w:rPr>
          <w:rFonts w:hint="eastAsia" w:ascii="宋体" w:hAnsi="宋体" w:cs="TimesNewRomanPSMT"/>
          <w:b/>
          <w:color w:val="000000" w:themeColor="text1"/>
          <w:szCs w:val="21"/>
          <w:highlight w:val="none"/>
          <w14:textFill>
            <w14:solidFill>
              <w14:schemeClr w14:val="tx1"/>
            </w14:solidFill>
          </w14:textFill>
        </w:rPr>
        <w:t>15</w:t>
      </w:r>
      <w:r>
        <w:rPr>
          <w:rFonts w:hint="eastAsia" w:ascii="宋体" w:hAnsi="宋体"/>
          <w:color w:val="000000" w:themeColor="text1"/>
          <w:szCs w:val="21"/>
          <w:highlight w:val="none"/>
          <w14:textFill>
            <w14:solidFill>
              <w14:schemeClr w14:val="tx1"/>
            </w14:solidFill>
          </w14:textFill>
        </w:rPr>
        <w:t>日，将相应顺延投标截止时间。</w:t>
      </w:r>
    </w:p>
    <w:p w14:paraId="71B08451">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w:t>
      </w:r>
      <w:r>
        <w:rPr>
          <w:rFonts w:hint="eastAsia" w:ascii="宋体" w:hAnsi="宋体"/>
          <w:b/>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3 投标人应仔细阅读和检查招标文件的全部内容。如发现缺页或附件不全，应及时向采购代理机构提出，以便补齐。如需要询问或澄清的（除质疑外），或认为有必要与采购代理机构进行技术交流的，均应在投标截止时间</w:t>
      </w:r>
      <w:r>
        <w:rPr>
          <w:rFonts w:hint="eastAsia" w:ascii="宋体" w:hAnsi="宋体"/>
          <w:b/>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日前按招标文件中的联系方式，以书面形式向采购代理机构提出，采购代理机构应当在</w:t>
      </w:r>
      <w:r>
        <w:rPr>
          <w:rFonts w:hint="eastAsia" w:ascii="宋体" w:hAnsi="宋体"/>
          <w:b/>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个工作日内，以书面形式予以答复，或认为有必要召开答疑会。超过该时间收到的需要询问或澄清的内容，采购代理机构有权不予答复。</w:t>
      </w:r>
    </w:p>
    <w:p w14:paraId="1BD10306">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2.2.4 在投标截止时间前，采购代理机构可以视采购具体情况，延长投标截止时间和开标时间，并在招标文件要求提交投标文件的截止时间前，将变更时间以书面形式通知所有获取招标文件的投标人，同时在原信息发布媒体上发布更正公告。</w:t>
      </w:r>
      <w:bookmarkStart w:id="71" w:name="_Toc183582213"/>
      <w:bookmarkStart w:id="72" w:name="_Toc183682350"/>
    </w:p>
    <w:p w14:paraId="3C6DD0BA">
      <w:pPr>
        <w:spacing w:line="356" w:lineRule="auto"/>
        <w:ind w:firstLine="420"/>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2.2.5 </w:t>
      </w:r>
      <w:r>
        <w:rPr>
          <w:rFonts w:hint="eastAsia" w:ascii="宋体"/>
          <w:color w:val="000000" w:themeColor="text1"/>
          <w:szCs w:val="21"/>
          <w:highlight w:val="none"/>
          <w14:textFill>
            <w14:solidFill>
              <w14:schemeClr w14:val="tx1"/>
            </w14:solidFill>
          </w14:textFill>
        </w:rPr>
        <w:t>当招标文件</w:t>
      </w:r>
      <w:r>
        <w:rPr>
          <w:rFonts w:hint="eastAsia" w:ascii="宋体" w:hAnsi="宋体"/>
          <w:color w:val="000000" w:themeColor="text1"/>
          <w:szCs w:val="21"/>
          <w:highlight w:val="none"/>
          <w14:textFill>
            <w14:solidFill>
              <w14:schemeClr w14:val="tx1"/>
            </w14:solidFill>
          </w14:textFill>
        </w:rPr>
        <w:t>澄清、答复、修改或补充通知与招标文件</w:t>
      </w:r>
      <w:r>
        <w:rPr>
          <w:rFonts w:hint="eastAsia" w:ascii="宋体"/>
          <w:color w:val="000000" w:themeColor="text1"/>
          <w:szCs w:val="21"/>
          <w:highlight w:val="none"/>
          <w14:textFill>
            <w14:solidFill>
              <w14:schemeClr w14:val="tx1"/>
            </w14:solidFill>
          </w14:textFill>
        </w:rPr>
        <w:t>就同一内容表述不一致时，以最后发出的书面文件内容为准。</w:t>
      </w:r>
    </w:p>
    <w:p w14:paraId="5BED375A">
      <w:pPr>
        <w:spacing w:line="356"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2.2.6上述书面通知，按照获取招标文件的潜在投标人提供的联系方式发出，因提供的信息有误导致通知延迟或无法通知的，采购人或采购代理机构不承担责任。</w:t>
      </w:r>
    </w:p>
    <w:bookmarkEnd w:id="69"/>
    <w:bookmarkEnd w:id="70"/>
    <w:bookmarkEnd w:id="71"/>
    <w:bookmarkEnd w:id="72"/>
    <w:p w14:paraId="367151FC">
      <w:pPr>
        <w:adjustRightInd w:val="0"/>
        <w:snapToGrid w:val="0"/>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2.3 招标文件的解释权</w:t>
      </w:r>
    </w:p>
    <w:p w14:paraId="346305AB">
      <w:pPr>
        <w:pStyle w:val="7"/>
        <w:spacing w:line="356" w:lineRule="auto"/>
        <w:ind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招标文件的解释权归采购人，如发现招标文件内容与现行法律法规不相符的情况，以现行法律法规为准。</w:t>
      </w:r>
      <w:bookmarkStart w:id="73" w:name="_Toc183682351"/>
      <w:bookmarkStart w:id="74" w:name="_Toc89075876"/>
      <w:bookmarkStart w:id="75" w:name="_Toc217446042"/>
      <w:bookmarkStart w:id="76" w:name="_Toc77400780"/>
      <w:bookmarkStart w:id="77" w:name="_Toc183582214"/>
    </w:p>
    <w:bookmarkEnd w:id="73"/>
    <w:bookmarkEnd w:id="74"/>
    <w:bookmarkEnd w:id="75"/>
    <w:bookmarkEnd w:id="76"/>
    <w:bookmarkEnd w:id="77"/>
    <w:p w14:paraId="55DD31C9">
      <w:pPr>
        <w:pStyle w:val="7"/>
        <w:spacing w:line="356" w:lineRule="auto"/>
        <w:ind w:firstLine="0"/>
        <w:outlineLvl w:val="1"/>
        <w:rPr>
          <w:rFonts w:hint="eastAsia" w:ascii="黑体" w:hAnsi="宋体" w:eastAsia="黑体"/>
          <w:b/>
          <w:color w:val="000000" w:themeColor="text1"/>
          <w:sz w:val="36"/>
          <w:szCs w:val="36"/>
          <w:highlight w:val="none"/>
          <w14:textFill>
            <w14:solidFill>
              <w14:schemeClr w14:val="tx1"/>
            </w14:solidFill>
          </w14:textFill>
        </w:rPr>
      </w:pPr>
      <w:bookmarkStart w:id="78" w:name="_Toc14459"/>
      <w:bookmarkStart w:id="79" w:name="_Toc32474"/>
      <w:bookmarkStart w:id="80" w:name="_Toc1032546251"/>
      <w:bookmarkStart w:id="81" w:name="_Toc217446043"/>
      <w:bookmarkStart w:id="82" w:name="_Toc183682352"/>
      <w:bookmarkStart w:id="83" w:name="_Toc183582215"/>
      <w:r>
        <w:rPr>
          <w:rFonts w:hint="eastAsia" w:ascii="黑体" w:eastAsia="黑体"/>
          <w:b/>
          <w:bCs/>
          <w:color w:val="000000" w:themeColor="text1"/>
          <w:sz w:val="36"/>
          <w:szCs w:val="36"/>
          <w:highlight w:val="none"/>
          <w14:textFill>
            <w14:solidFill>
              <w14:schemeClr w14:val="tx1"/>
            </w14:solidFill>
          </w14:textFill>
        </w:rPr>
        <w:t>3.投标人</w:t>
      </w:r>
      <w:bookmarkEnd w:id="78"/>
      <w:bookmarkEnd w:id="79"/>
      <w:bookmarkEnd w:id="80"/>
    </w:p>
    <w:p w14:paraId="21CBBC7F">
      <w:pPr>
        <w:pStyle w:val="7"/>
        <w:spacing w:line="356" w:lineRule="auto"/>
        <w:ind w:firstLine="0"/>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3.1投标人资格要求</w:t>
      </w:r>
    </w:p>
    <w:p w14:paraId="200B0AC3">
      <w:pPr>
        <w:pStyle w:val="7"/>
        <w:spacing w:line="356" w:lineRule="auto"/>
        <w:ind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3.1.1评标委员会按下表所列的审查标准，依据投标人的资格证明文件，对投标人的资格条件进行审查。资格审查资料应当进行签署盖章。缺项或某项达不到资格审查要求，或资料模糊不清、无法辨认的，即判定其资格条件审查结果为不合格，其投标无效。</w:t>
      </w:r>
    </w:p>
    <w:p w14:paraId="62A89E46">
      <w:pPr>
        <w:pStyle w:val="7"/>
        <w:spacing w:line="356" w:lineRule="auto"/>
        <w:ind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3.1.2未通过资格审查的投标人，不得进入后续评标环节。</w:t>
      </w:r>
    </w:p>
    <w:p w14:paraId="79CCCF8C">
      <w:pPr>
        <w:pStyle w:val="7"/>
        <w:spacing w:line="356" w:lineRule="auto"/>
        <w:ind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3.1.3专门面向中小企业采购的项目，</w:t>
      </w:r>
      <w:r>
        <w:rPr>
          <w:rFonts w:ascii="宋体" w:hAnsi="宋体"/>
          <w:color w:val="000000" w:themeColor="text1"/>
          <w:szCs w:val="21"/>
          <w:highlight w:val="none"/>
          <w14:textFill>
            <w14:solidFill>
              <w14:schemeClr w14:val="tx1"/>
            </w14:solidFill>
          </w14:textFill>
        </w:rPr>
        <w:t>投标人提供的《中小企业声明函》或者《残疾人福利性单位声明函》存在明显错误的，</w:t>
      </w:r>
      <w:r>
        <w:rPr>
          <w:rFonts w:hint="eastAsia" w:ascii="宋体" w:hAnsi="宋体"/>
          <w:color w:val="000000" w:themeColor="text1"/>
          <w:szCs w:val="21"/>
          <w:highlight w:val="none"/>
          <w14:textFill>
            <w14:solidFill>
              <w14:schemeClr w14:val="tx1"/>
            </w14:solidFill>
          </w14:textFill>
        </w:rPr>
        <w:t>评标委员会</w:t>
      </w:r>
      <w:r>
        <w:rPr>
          <w:rFonts w:ascii="宋体" w:hAnsi="宋体"/>
          <w:color w:val="000000" w:themeColor="text1"/>
          <w:szCs w:val="21"/>
          <w:highlight w:val="none"/>
          <w14:textFill>
            <w14:solidFill>
              <w14:schemeClr w14:val="tx1"/>
            </w14:solidFill>
          </w14:textFill>
        </w:rPr>
        <w:t>可以按照第</w:t>
      </w:r>
      <w:r>
        <w:rPr>
          <w:rFonts w:hint="eastAsia" w:ascii="宋体" w:hAnsi="宋体"/>
          <w:color w:val="000000" w:themeColor="text1"/>
          <w:szCs w:val="21"/>
          <w:highlight w:val="none"/>
          <w14:textFill>
            <w14:solidFill>
              <w14:schemeClr w14:val="tx1"/>
            </w14:solidFill>
          </w14:textFill>
        </w:rPr>
        <w:t>三</w:t>
      </w:r>
      <w:r>
        <w:rPr>
          <w:rFonts w:ascii="宋体" w:hAnsi="宋体"/>
          <w:color w:val="000000" w:themeColor="text1"/>
          <w:szCs w:val="21"/>
          <w:highlight w:val="none"/>
          <w14:textFill>
            <w14:solidFill>
              <w14:schemeClr w14:val="tx1"/>
            </w14:solidFill>
          </w14:textFill>
        </w:rPr>
        <w:t>章第1.</w:t>
      </w:r>
      <w:r>
        <w:rPr>
          <w:rFonts w:hint="eastAsia" w:ascii="宋体" w:hAnsi="宋体"/>
          <w:color w:val="000000" w:themeColor="text1"/>
          <w:szCs w:val="21"/>
          <w:highlight w:val="none"/>
          <w14:textFill>
            <w14:solidFill>
              <w14:schemeClr w14:val="tx1"/>
            </w14:solidFill>
          </w14:textFill>
        </w:rPr>
        <w:t>5</w:t>
      </w:r>
      <w:r>
        <w:rPr>
          <w:rFonts w:ascii="宋体" w:hAnsi="宋体"/>
          <w:color w:val="000000" w:themeColor="text1"/>
          <w:szCs w:val="21"/>
          <w:highlight w:val="none"/>
          <w14:textFill>
            <w14:solidFill>
              <w14:schemeClr w14:val="tx1"/>
            </w14:solidFill>
          </w14:textFill>
        </w:rPr>
        <w:t>条款的规定，要求投标人作出澄清；澄清后，符合中小企业条件的，予以通过资格审查；否则，资格不予审查通过，其投标无效。</w:t>
      </w:r>
    </w:p>
    <w:tbl>
      <w:tblPr>
        <w:tblStyle w:val="31"/>
        <w:tblW w:w="9873" w:type="dxa"/>
        <w:tblInd w:w="-404"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96"/>
        <w:gridCol w:w="5541"/>
        <w:gridCol w:w="2115"/>
        <w:gridCol w:w="1221"/>
      </w:tblGrid>
      <w:tr w14:paraId="2CDC3F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996" w:type="dxa"/>
            <w:vAlign w:val="center"/>
          </w:tcPr>
          <w:p w14:paraId="4143322F">
            <w:pPr>
              <w:tabs>
                <w:tab w:val="left" w:pos="0"/>
              </w:tabs>
              <w:adjustRightInd w:val="0"/>
              <w:snapToGrid w:val="0"/>
              <w:jc w:val="center"/>
              <w:rPr>
                <w:rFonts w:hint="eastAsia"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序号</w:t>
            </w:r>
          </w:p>
        </w:tc>
        <w:tc>
          <w:tcPr>
            <w:tcW w:w="5541" w:type="dxa"/>
            <w:vAlign w:val="center"/>
          </w:tcPr>
          <w:p w14:paraId="49E90685">
            <w:pPr>
              <w:tabs>
                <w:tab w:val="left" w:pos="0"/>
              </w:tabs>
              <w:adjustRightInd w:val="0"/>
              <w:snapToGrid w:val="0"/>
              <w:jc w:val="center"/>
              <w:rPr>
                <w:rFonts w:hint="eastAsia"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审查因素</w:t>
            </w:r>
          </w:p>
        </w:tc>
        <w:tc>
          <w:tcPr>
            <w:tcW w:w="2115" w:type="dxa"/>
            <w:vAlign w:val="center"/>
          </w:tcPr>
          <w:p w14:paraId="0BAC072B">
            <w:pPr>
              <w:tabs>
                <w:tab w:val="left" w:pos="0"/>
              </w:tabs>
              <w:adjustRightInd w:val="0"/>
              <w:snapToGrid w:val="0"/>
              <w:jc w:val="center"/>
              <w:rPr>
                <w:rFonts w:hint="eastAsia"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审查标准</w:t>
            </w:r>
          </w:p>
        </w:tc>
        <w:tc>
          <w:tcPr>
            <w:tcW w:w="1221" w:type="dxa"/>
            <w:vAlign w:val="center"/>
          </w:tcPr>
          <w:p w14:paraId="619BB0D8">
            <w:pPr>
              <w:tabs>
                <w:tab w:val="left" w:pos="0"/>
              </w:tabs>
              <w:adjustRightInd w:val="0"/>
              <w:snapToGrid w:val="0"/>
              <w:jc w:val="center"/>
              <w:rPr>
                <w:rFonts w:hint="eastAsia"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备注</w:t>
            </w:r>
          </w:p>
        </w:tc>
      </w:tr>
      <w:tr w14:paraId="3BF3F6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996" w:type="dxa"/>
            <w:vAlign w:val="center"/>
          </w:tcPr>
          <w:p w14:paraId="77578C46">
            <w:pPr>
              <w:tabs>
                <w:tab w:val="left" w:pos="0"/>
              </w:tabs>
              <w:adjustRightInd w:val="0"/>
              <w:snapToGrid w:val="0"/>
              <w:jc w:val="center"/>
              <w:rPr>
                <w:rFonts w:hint="eastAsia" w:ascii="宋体" w:hAnsi="宋体" w:eastAsia="宋体" w:cs="宋体"/>
                <w:b/>
                <w:color w:val="000000" w:themeColor="text1"/>
                <w:kern w:val="0"/>
                <w:szCs w:val="21"/>
                <w:highlight w:val="none"/>
                <w:lang w:val="en-US" w:eastAsia="zh-CN"/>
                <w14:textFill>
                  <w14:solidFill>
                    <w14:schemeClr w14:val="tx1"/>
                  </w14:solidFill>
                </w14:textFill>
              </w:rPr>
            </w:pPr>
            <w:r>
              <w:rPr>
                <w:rFonts w:hint="eastAsia" w:ascii="宋体" w:hAnsi="宋体" w:cs="宋体"/>
                <w:b/>
                <w:color w:val="000000" w:themeColor="text1"/>
                <w:kern w:val="0"/>
                <w:szCs w:val="21"/>
                <w:highlight w:val="none"/>
                <w:lang w:val="en-US" w:eastAsia="zh-CN"/>
                <w14:textFill>
                  <w14:solidFill>
                    <w14:schemeClr w14:val="tx1"/>
                  </w14:solidFill>
                </w14:textFill>
              </w:rPr>
              <w:t>一</w:t>
            </w:r>
          </w:p>
        </w:tc>
        <w:tc>
          <w:tcPr>
            <w:tcW w:w="5541" w:type="dxa"/>
            <w:vAlign w:val="center"/>
          </w:tcPr>
          <w:p w14:paraId="2793FB72">
            <w:pPr>
              <w:tabs>
                <w:tab w:val="left" w:pos="0"/>
              </w:tabs>
              <w:adjustRightInd w:val="0"/>
              <w:snapToGrid w:val="0"/>
              <w:jc w:val="center"/>
              <w:rPr>
                <w:rFonts w:hint="default" w:ascii="宋体" w:hAnsi="宋体" w:eastAsia="宋体" w:cs="宋体"/>
                <w:b/>
                <w:color w:val="000000" w:themeColor="text1"/>
                <w:kern w:val="0"/>
                <w:szCs w:val="21"/>
                <w:highlight w:val="none"/>
                <w:lang w:val="en-US" w:eastAsia="zh-CN"/>
                <w14:textFill>
                  <w14:solidFill>
                    <w14:schemeClr w14:val="tx1"/>
                  </w14:solidFill>
                </w14:textFill>
              </w:rPr>
            </w:pPr>
            <w:r>
              <w:rPr>
                <w:rFonts w:hint="eastAsia" w:ascii="宋体" w:hAnsi="宋体" w:cs="宋体"/>
                <w:b/>
                <w:color w:val="000000" w:themeColor="text1"/>
                <w:kern w:val="0"/>
                <w:szCs w:val="21"/>
                <w:highlight w:val="none"/>
                <w:lang w:val="en-US" w:eastAsia="zh-CN"/>
                <w14:textFill>
                  <w14:solidFill>
                    <w14:schemeClr w14:val="tx1"/>
                  </w14:solidFill>
                </w14:textFill>
              </w:rPr>
              <w:t>基本资格审查</w:t>
            </w:r>
          </w:p>
        </w:tc>
        <w:tc>
          <w:tcPr>
            <w:tcW w:w="2115" w:type="dxa"/>
            <w:vAlign w:val="center"/>
          </w:tcPr>
          <w:p w14:paraId="3F987402">
            <w:pPr>
              <w:tabs>
                <w:tab w:val="left" w:pos="0"/>
              </w:tabs>
              <w:adjustRightInd w:val="0"/>
              <w:snapToGrid w:val="0"/>
              <w:jc w:val="center"/>
              <w:rPr>
                <w:rFonts w:hint="eastAsia" w:ascii="宋体" w:hAnsi="宋体" w:cs="宋体"/>
                <w:b/>
                <w:color w:val="000000" w:themeColor="text1"/>
                <w:kern w:val="0"/>
                <w:szCs w:val="21"/>
                <w:highlight w:val="none"/>
                <w14:textFill>
                  <w14:solidFill>
                    <w14:schemeClr w14:val="tx1"/>
                  </w14:solidFill>
                </w14:textFill>
              </w:rPr>
            </w:pPr>
          </w:p>
        </w:tc>
        <w:tc>
          <w:tcPr>
            <w:tcW w:w="1221" w:type="dxa"/>
            <w:vAlign w:val="center"/>
          </w:tcPr>
          <w:p w14:paraId="09EB9A8D">
            <w:pPr>
              <w:tabs>
                <w:tab w:val="left" w:pos="0"/>
              </w:tabs>
              <w:adjustRightInd w:val="0"/>
              <w:snapToGrid w:val="0"/>
              <w:jc w:val="center"/>
              <w:rPr>
                <w:rFonts w:hint="eastAsia" w:ascii="宋体" w:hAnsi="宋体" w:cs="宋体"/>
                <w:b/>
                <w:color w:val="000000" w:themeColor="text1"/>
                <w:kern w:val="0"/>
                <w:szCs w:val="21"/>
                <w:highlight w:val="none"/>
                <w14:textFill>
                  <w14:solidFill>
                    <w14:schemeClr w14:val="tx1"/>
                  </w14:solidFill>
                </w14:textFill>
              </w:rPr>
            </w:pPr>
          </w:p>
        </w:tc>
      </w:tr>
      <w:tr w14:paraId="000266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996" w:type="dxa"/>
            <w:vAlign w:val="center"/>
          </w:tcPr>
          <w:p w14:paraId="187B6869">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p>
        </w:tc>
        <w:tc>
          <w:tcPr>
            <w:tcW w:w="5541" w:type="dxa"/>
            <w:vAlign w:val="center"/>
          </w:tcPr>
          <w:p w14:paraId="5161561E">
            <w:pPr>
              <w:tabs>
                <w:tab w:val="left" w:pos="0"/>
              </w:tabs>
              <w:adjustRightInd w:val="0"/>
              <w:snapToGrid w:val="0"/>
              <w:ind w:left="521" w:leftChars="-3" w:hanging="527" w:hangingChars="25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根据投标人类别进行审查</w:t>
            </w:r>
            <w:r>
              <w:rPr>
                <w:rFonts w:hint="eastAsia" w:ascii="宋体" w:hAnsi="宋体" w:cs="宋体"/>
                <w:color w:val="000000" w:themeColor="text1"/>
                <w:kern w:val="0"/>
                <w:szCs w:val="21"/>
                <w:highlight w:val="none"/>
                <w14:textFill>
                  <w14:solidFill>
                    <w14:schemeClr w14:val="tx1"/>
                  </w14:solidFill>
                </w14:textFill>
              </w:rPr>
              <w:t>：</w:t>
            </w:r>
          </w:p>
          <w:p w14:paraId="1E318BCD">
            <w:pPr>
              <w:tabs>
                <w:tab w:val="left" w:pos="0"/>
              </w:tabs>
              <w:adjustRightInd w:val="0"/>
              <w:snapToGrid w:val="0"/>
              <w:ind w:left="519" w:leftChars="-3" w:hanging="525" w:hangingChars="25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(1)企业投标的：营业执照复印件；</w:t>
            </w:r>
          </w:p>
          <w:p w14:paraId="6DCCF536">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(2)事业单位投标的：事业单位法人证书复印件；</w:t>
            </w:r>
          </w:p>
          <w:p w14:paraId="6AE80C3B">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(3)其他组织投标的：登记证书复印件；</w:t>
            </w:r>
          </w:p>
          <w:p w14:paraId="632A17C3">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(4)个体工商户投标的：个体工商户营业执照复印件；</w:t>
            </w:r>
          </w:p>
          <w:p w14:paraId="60DE7612">
            <w:pPr>
              <w:tabs>
                <w:tab w:val="left" w:pos="0"/>
              </w:tabs>
              <w:adjustRightInd w:val="0"/>
              <w:snapToGrid w:val="0"/>
              <w:ind w:left="519" w:leftChars="-3" w:hanging="525" w:hangingChars="25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(5)自然人投标的：身份证复印件。</w:t>
            </w:r>
          </w:p>
        </w:tc>
        <w:tc>
          <w:tcPr>
            <w:tcW w:w="2115" w:type="dxa"/>
            <w:vAlign w:val="center"/>
          </w:tcPr>
          <w:p w14:paraId="51646F66">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合法有效</w:t>
            </w:r>
          </w:p>
        </w:tc>
        <w:tc>
          <w:tcPr>
            <w:tcW w:w="1221" w:type="dxa"/>
            <w:vAlign w:val="center"/>
          </w:tcPr>
          <w:p w14:paraId="15127440">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提供复印件</w:t>
            </w:r>
          </w:p>
        </w:tc>
      </w:tr>
      <w:tr w14:paraId="32A0BC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996" w:type="dxa"/>
            <w:vAlign w:val="center"/>
          </w:tcPr>
          <w:p w14:paraId="772B1514">
            <w:pPr>
              <w:tabs>
                <w:tab w:val="left" w:pos="0"/>
              </w:tabs>
              <w:adjustRightInd w:val="0"/>
              <w:snapToGrid w:val="0"/>
              <w:spacing w:line="36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w:t>
            </w:r>
          </w:p>
        </w:tc>
        <w:tc>
          <w:tcPr>
            <w:tcW w:w="5541" w:type="dxa"/>
            <w:vAlign w:val="center"/>
          </w:tcPr>
          <w:p w14:paraId="4AD48C9D">
            <w:pPr>
              <w:tabs>
                <w:tab w:val="left" w:pos="0"/>
              </w:tabs>
              <w:adjustRightInd w:val="0"/>
              <w:snapToGrid w:val="0"/>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w:t>
            </w:r>
            <w:r>
              <w:rPr>
                <w:rFonts w:hint="eastAsia"/>
                <w:color w:val="000000" w:themeColor="text1"/>
                <w:kern w:val="0"/>
                <w:szCs w:val="21"/>
                <w:highlight w:val="none"/>
                <w14:textFill>
                  <w14:solidFill>
                    <w14:schemeClr w14:val="tx1"/>
                  </w14:solidFill>
                </w14:textFill>
              </w:rPr>
              <w:t>法定代表人</w:t>
            </w:r>
            <w:r>
              <w:rPr>
                <w:color w:val="000000" w:themeColor="text1"/>
                <w:kern w:val="0"/>
                <w:szCs w:val="21"/>
                <w:highlight w:val="none"/>
                <w14:textFill>
                  <w14:solidFill>
                    <w14:schemeClr w14:val="tx1"/>
                  </w14:solidFill>
                </w14:textFill>
              </w:rPr>
              <w:t>投标的：</w:t>
            </w:r>
            <w:r>
              <w:rPr>
                <w:rFonts w:hint="eastAsia"/>
                <w:color w:val="000000" w:themeColor="text1"/>
                <w:kern w:val="0"/>
                <w:szCs w:val="21"/>
                <w:highlight w:val="none"/>
                <w14:textFill>
                  <w14:solidFill>
                    <w14:schemeClr w14:val="tx1"/>
                  </w14:solidFill>
                </w14:textFill>
              </w:rPr>
              <w:t>法定代表人</w:t>
            </w:r>
            <w:r>
              <w:rPr>
                <w:color w:val="000000" w:themeColor="text1"/>
                <w:kern w:val="0"/>
                <w:szCs w:val="21"/>
                <w:highlight w:val="none"/>
                <w14:textFill>
                  <w14:solidFill>
                    <w14:schemeClr w14:val="tx1"/>
                  </w14:solidFill>
                </w14:textFill>
              </w:rPr>
              <w:t>身份证明及身份证复印件。</w:t>
            </w:r>
          </w:p>
          <w:p w14:paraId="57233D79">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（2）</w:t>
            </w:r>
            <w:r>
              <w:rPr>
                <w:rFonts w:hint="eastAsia"/>
                <w:color w:val="000000" w:themeColor="text1"/>
                <w:kern w:val="0"/>
                <w:szCs w:val="21"/>
                <w:highlight w:val="none"/>
                <w14:textFill>
                  <w14:solidFill>
                    <w14:schemeClr w14:val="tx1"/>
                  </w14:solidFill>
                </w14:textFill>
              </w:rPr>
              <w:t>法定代表人</w:t>
            </w:r>
            <w:r>
              <w:rPr>
                <w:color w:val="000000" w:themeColor="text1"/>
                <w:kern w:val="0"/>
                <w:szCs w:val="21"/>
                <w:highlight w:val="none"/>
                <w14:textFill>
                  <w14:solidFill>
                    <w14:schemeClr w14:val="tx1"/>
                  </w14:solidFill>
                </w14:textFill>
              </w:rPr>
              <w:t>授权他人参加投标的：提供</w:t>
            </w:r>
            <w:r>
              <w:rPr>
                <w:rFonts w:hint="eastAsia"/>
                <w:color w:val="000000" w:themeColor="text1"/>
                <w:kern w:val="0"/>
                <w:szCs w:val="21"/>
                <w:highlight w:val="none"/>
                <w14:textFill>
                  <w14:solidFill>
                    <w14:schemeClr w14:val="tx1"/>
                  </w14:solidFill>
                </w14:textFill>
              </w:rPr>
              <w:t>法定代表人</w:t>
            </w:r>
            <w:r>
              <w:rPr>
                <w:color w:val="000000" w:themeColor="text1"/>
                <w:kern w:val="0"/>
                <w:szCs w:val="21"/>
                <w:highlight w:val="none"/>
                <w14:textFill>
                  <w14:solidFill>
                    <w14:schemeClr w14:val="tx1"/>
                  </w14:solidFill>
                </w14:textFill>
              </w:rPr>
              <w:t>授权委托书并出示被授权代表的身份证复印件。</w:t>
            </w:r>
          </w:p>
        </w:tc>
        <w:tc>
          <w:tcPr>
            <w:tcW w:w="2115" w:type="dxa"/>
            <w:vAlign w:val="center"/>
          </w:tcPr>
          <w:p w14:paraId="7DFA2E02">
            <w:pPr>
              <w:adjustRightInd w:val="0"/>
              <w:snapToGrid w:val="0"/>
              <w:jc w:val="center"/>
              <w:rPr>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1.</w:t>
            </w:r>
            <w:r>
              <w:rPr>
                <w:color w:val="000000" w:themeColor="text1"/>
                <w:kern w:val="0"/>
                <w:szCs w:val="21"/>
                <w:highlight w:val="none"/>
                <w14:textFill>
                  <w14:solidFill>
                    <w14:schemeClr w14:val="tx1"/>
                  </w14:solidFill>
                </w14:textFill>
              </w:rPr>
              <w:t>按招标文件格式提供，合法有效</w:t>
            </w:r>
          </w:p>
          <w:p w14:paraId="01C407E1">
            <w:pPr>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2.</w:t>
            </w:r>
            <w:r>
              <w:rPr>
                <w:color w:val="000000" w:themeColor="text1"/>
                <w:kern w:val="0"/>
                <w:szCs w:val="21"/>
                <w:highlight w:val="none"/>
                <w14:textFill>
                  <w14:solidFill>
                    <w14:schemeClr w14:val="tx1"/>
                  </w14:solidFill>
                </w14:textFill>
              </w:rPr>
              <w:t>授权委托书</w:t>
            </w:r>
            <w:r>
              <w:rPr>
                <w:rFonts w:hint="eastAsia"/>
                <w:color w:val="000000" w:themeColor="text1"/>
                <w:kern w:val="0"/>
                <w:szCs w:val="21"/>
                <w:highlight w:val="none"/>
                <w14:textFill>
                  <w14:solidFill>
                    <w14:schemeClr w14:val="tx1"/>
                  </w14:solidFill>
                </w14:textFill>
              </w:rPr>
              <w:t>由法定代表人签名、并加盖单位公章。</w:t>
            </w:r>
          </w:p>
        </w:tc>
        <w:tc>
          <w:tcPr>
            <w:tcW w:w="1221" w:type="dxa"/>
            <w:vAlign w:val="center"/>
          </w:tcPr>
          <w:p w14:paraId="586EEDAC">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招标文件提供的格式</w:t>
            </w:r>
          </w:p>
        </w:tc>
      </w:tr>
      <w:tr w14:paraId="1CBDFD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83" w:hRule="atLeast"/>
        </w:trPr>
        <w:tc>
          <w:tcPr>
            <w:tcW w:w="996" w:type="dxa"/>
            <w:vAlign w:val="center"/>
          </w:tcPr>
          <w:p w14:paraId="5B686886">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p>
        </w:tc>
        <w:tc>
          <w:tcPr>
            <w:tcW w:w="5541" w:type="dxa"/>
            <w:vAlign w:val="center"/>
          </w:tcPr>
          <w:p w14:paraId="4F7EC3DB">
            <w:pPr>
              <w:tabs>
                <w:tab w:val="left" w:pos="0"/>
              </w:tabs>
              <w:adjustRightInd w:val="0"/>
              <w:snapToGrid w:val="0"/>
              <w:rPr>
                <w:color w:val="000000" w:themeColor="text1"/>
                <w:szCs w:val="21"/>
                <w:highlight w:val="none"/>
                <w14:textFill>
                  <w14:solidFill>
                    <w14:schemeClr w14:val="tx1"/>
                  </w14:solidFill>
                </w14:textFill>
              </w:rPr>
            </w:pPr>
            <w:r>
              <w:rPr>
                <w:b/>
                <w:color w:val="000000" w:themeColor="text1"/>
                <w:kern w:val="0"/>
                <w:szCs w:val="21"/>
                <w:highlight w:val="none"/>
                <w14:textFill>
                  <w14:solidFill>
                    <w14:schemeClr w14:val="tx1"/>
                  </w14:solidFill>
                </w14:textFill>
              </w:rPr>
              <w:t>财务状况报告：</w:t>
            </w:r>
          </w:p>
          <w:p w14:paraId="4D2C86F8">
            <w:pPr>
              <w:tabs>
                <w:tab w:val="left" w:pos="0"/>
              </w:tabs>
              <w:adjustRightInd w:val="0"/>
              <w:snapToGrid w:val="0"/>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提供</w:t>
            </w:r>
            <w:r>
              <w:rPr>
                <w:color w:val="000000" w:themeColor="text1"/>
                <w:szCs w:val="21"/>
                <w:highlight w:val="none"/>
                <w:lang w:val="zh-CN"/>
                <w14:textFill>
                  <w14:solidFill>
                    <w14:schemeClr w14:val="tx1"/>
                  </w14:solidFill>
                </w14:textFill>
              </w:rPr>
              <w:t>202</w:t>
            </w:r>
            <w:r>
              <w:rPr>
                <w:rFonts w:hint="eastAsia"/>
                <w:color w:val="000000" w:themeColor="text1"/>
                <w:szCs w:val="21"/>
                <w:highlight w:val="none"/>
                <w14:textFill>
                  <w14:solidFill>
                    <w14:schemeClr w14:val="tx1"/>
                  </w14:solidFill>
                </w14:textFill>
              </w:rPr>
              <w:t>5</w:t>
            </w:r>
            <w:r>
              <w:rPr>
                <w:color w:val="000000" w:themeColor="text1"/>
                <w:szCs w:val="21"/>
                <w:highlight w:val="none"/>
                <w:lang w:val="zh-CN"/>
                <w14:textFill>
                  <w14:solidFill>
                    <w14:schemeClr w14:val="tx1"/>
                  </w14:solidFill>
                </w14:textFill>
              </w:rPr>
              <w:t>年</w:t>
            </w:r>
            <w:r>
              <w:rPr>
                <w:color w:val="000000" w:themeColor="text1"/>
                <w:szCs w:val="21"/>
                <w:highlight w:val="none"/>
                <w14:textFill>
                  <w14:solidFill>
                    <w14:schemeClr w14:val="tx1"/>
                  </w14:solidFill>
                </w14:textFill>
              </w:rPr>
              <w:t>度经审计的财务会计报告或其</w:t>
            </w:r>
            <w:r>
              <w:rPr>
                <w:color w:val="000000" w:themeColor="text1"/>
                <w:szCs w:val="21"/>
                <w:highlight w:val="none"/>
                <w:lang w:val="zh-CN" w:eastAsia="zh-Hans"/>
                <w14:textFill>
                  <w14:solidFill>
                    <w14:schemeClr w14:val="tx1"/>
                  </w14:solidFill>
                </w14:textFill>
              </w:rPr>
              <w:t>提交</w:t>
            </w:r>
            <w:r>
              <w:rPr>
                <w:rFonts w:hint="eastAsia"/>
                <w:color w:val="000000" w:themeColor="text1"/>
                <w:szCs w:val="21"/>
                <w:highlight w:val="none"/>
                <w:lang w:val="zh-CN" w:eastAsia="zh-Hans"/>
                <w14:textFill>
                  <w14:solidFill>
                    <w14:schemeClr w14:val="tx1"/>
                  </w14:solidFill>
                </w14:textFill>
              </w:rPr>
              <w:t>投标文件</w:t>
            </w:r>
            <w:r>
              <w:rPr>
                <w:color w:val="000000" w:themeColor="text1"/>
                <w:szCs w:val="21"/>
                <w:highlight w:val="none"/>
                <w:lang w:val="zh-CN" w:eastAsia="zh-Hans"/>
                <w14:textFill>
                  <w14:solidFill>
                    <w14:schemeClr w14:val="tx1"/>
                  </w14:solidFill>
                </w14:textFill>
              </w:rPr>
              <w:t>截止时间前3个月内</w:t>
            </w:r>
            <w:r>
              <w:rPr>
                <w:color w:val="000000" w:themeColor="text1"/>
                <w:highlight w:val="none"/>
                <w14:textFill>
                  <w14:solidFill>
                    <w14:schemeClr w14:val="tx1"/>
                  </w14:solidFill>
                </w14:textFill>
              </w:rPr>
              <w:t>银行出具的资信证明</w:t>
            </w:r>
            <w:r>
              <w:rPr>
                <w:color w:val="000000" w:themeColor="text1"/>
                <w:szCs w:val="21"/>
                <w:highlight w:val="none"/>
                <w:lang w:eastAsia="zh-Hans"/>
                <w14:textFill>
                  <w14:solidFill>
                    <w14:schemeClr w14:val="tx1"/>
                  </w14:solidFill>
                </w14:textFill>
              </w:rPr>
              <w:t>。</w:t>
            </w:r>
            <w:r>
              <w:rPr>
                <w:color w:val="000000" w:themeColor="text1"/>
                <w:szCs w:val="21"/>
                <w:highlight w:val="none"/>
                <w14:textFill>
                  <w14:solidFill>
                    <w14:schemeClr w14:val="tx1"/>
                  </w14:solidFill>
                </w14:textFill>
              </w:rPr>
              <w:t>（以上形式的资料提供任何一种即可）</w:t>
            </w:r>
          </w:p>
          <w:p w14:paraId="4042ACD7">
            <w:pPr>
              <w:tabs>
                <w:tab w:val="left" w:pos="0"/>
              </w:tabs>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w:t>
            </w:r>
          </w:p>
          <w:p w14:paraId="58ED784A">
            <w:pPr>
              <w:tabs>
                <w:tab w:val="left" w:pos="0"/>
              </w:tabs>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提供审计报告的，根据《财政部关于注册会计师行业统一监管平台上线运行的通知》财办〔2022〕32号文件要求，审计报告须具有注册会计师行业统一监管平台赋予的验证码，注册会计师行业统一监管平台网址：acc.mof.gov.cn，若审计报告未赋码视为无效；</w:t>
            </w:r>
          </w:p>
          <w:p w14:paraId="292C93F6">
            <w:pPr>
              <w:tabs>
                <w:tab w:val="left" w:pos="0"/>
              </w:tabs>
              <w:adjustRightInd w:val="0"/>
              <w:snapToGrid w:val="0"/>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②提供资信证明的，原则上由投标人基本账户开户银行出具。若银行基层营业网点不具备出具资信证明的业务权限，允许由该银行具备出具资信证明业务权限的其他分行或支行出具。</w:t>
            </w:r>
          </w:p>
          <w:p w14:paraId="2E351F7B">
            <w:pPr>
              <w:tabs>
                <w:tab w:val="left" w:pos="0"/>
              </w:tabs>
              <w:adjustRightInd w:val="0"/>
              <w:snapToGrid w:val="0"/>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要求：</w:t>
            </w:r>
          </w:p>
          <w:p w14:paraId="470586BA">
            <w:pPr>
              <w:numPr>
                <w:ilvl w:val="0"/>
                <w:numId w:val="7"/>
              </w:numPr>
              <w:tabs>
                <w:tab w:val="left" w:pos="0"/>
              </w:tabs>
              <w:adjustRightInd w:val="0"/>
              <w:snapToGrid w:val="0"/>
              <w:rPr>
                <w:color w:val="000000" w:themeColor="text1"/>
                <w:kern w:val="0"/>
                <w:szCs w:val="21"/>
                <w:highlight w:val="none"/>
                <w:lang w:eastAsia="zh-Hans"/>
                <w14:textFill>
                  <w14:solidFill>
                    <w14:schemeClr w14:val="tx1"/>
                  </w14:solidFill>
                </w14:textFill>
              </w:rPr>
            </w:pPr>
            <w:r>
              <w:rPr>
                <w:rFonts w:hint="eastAsia"/>
                <w:color w:val="000000" w:themeColor="text1"/>
                <w:kern w:val="0"/>
                <w:szCs w:val="21"/>
                <w:highlight w:val="none"/>
                <w14:textFill>
                  <w14:solidFill>
                    <w14:schemeClr w14:val="tx1"/>
                  </w14:solidFill>
                </w14:textFill>
              </w:rPr>
              <w:t>投标人</w:t>
            </w:r>
            <w:r>
              <w:rPr>
                <w:color w:val="000000" w:themeColor="text1"/>
                <w:kern w:val="0"/>
                <w:szCs w:val="21"/>
                <w:highlight w:val="none"/>
                <w14:textFill>
                  <w14:solidFill>
                    <w14:schemeClr w14:val="tx1"/>
                  </w14:solidFill>
                </w14:textFill>
              </w:rPr>
              <w:t>是企业法人的，应提供</w:t>
            </w:r>
            <w:r>
              <w:rPr>
                <w:color w:val="000000" w:themeColor="text1"/>
                <w:szCs w:val="21"/>
                <w:highlight w:val="none"/>
                <w:lang w:val="zh-CN"/>
                <w14:textFill>
                  <w14:solidFill>
                    <w14:schemeClr w14:val="tx1"/>
                  </w14:solidFill>
                </w14:textFill>
              </w:rPr>
              <w:t>202</w:t>
            </w:r>
            <w:r>
              <w:rPr>
                <w:rFonts w:hint="eastAsia"/>
                <w:color w:val="000000" w:themeColor="text1"/>
                <w:szCs w:val="21"/>
                <w:highlight w:val="none"/>
                <w14:textFill>
                  <w14:solidFill>
                    <w14:schemeClr w14:val="tx1"/>
                  </w14:solidFill>
                </w14:textFill>
              </w:rPr>
              <w:t>5</w:t>
            </w:r>
            <w:r>
              <w:rPr>
                <w:color w:val="000000" w:themeColor="text1"/>
                <w:szCs w:val="21"/>
                <w:highlight w:val="none"/>
                <w:lang w:val="zh-CN"/>
                <w14:textFill>
                  <w14:solidFill>
                    <w14:schemeClr w14:val="tx1"/>
                  </w14:solidFill>
                </w14:textFill>
              </w:rPr>
              <w:t>年</w:t>
            </w:r>
            <w:r>
              <w:rPr>
                <w:color w:val="000000" w:themeColor="text1"/>
                <w:kern w:val="0"/>
                <w:szCs w:val="21"/>
                <w:highlight w:val="none"/>
                <w14:textFill>
                  <w14:solidFill>
                    <w14:schemeClr w14:val="tx1"/>
                  </w14:solidFill>
                </w14:textFill>
              </w:rPr>
              <w:t>全年度经审计的财务报告，包括 “四表一注”即《资产负债表》《利润表》《现金流量表》《所有者权益变动表》及其附注，或者</w:t>
            </w:r>
            <w:r>
              <w:rPr>
                <w:color w:val="000000" w:themeColor="text1"/>
                <w:szCs w:val="21"/>
                <w:highlight w:val="none"/>
                <w:lang w:val="zh-CN" w:eastAsia="zh-Hans"/>
                <w14:textFill>
                  <w14:solidFill>
                    <w14:schemeClr w14:val="tx1"/>
                  </w14:solidFill>
                </w14:textFill>
              </w:rPr>
              <w:t>提交</w:t>
            </w:r>
            <w:r>
              <w:rPr>
                <w:rFonts w:hint="eastAsia"/>
                <w:color w:val="000000" w:themeColor="text1"/>
                <w:szCs w:val="21"/>
                <w:highlight w:val="none"/>
                <w:lang w:val="zh-CN" w:eastAsia="zh-Hans"/>
                <w14:textFill>
                  <w14:solidFill>
                    <w14:schemeClr w14:val="tx1"/>
                  </w14:solidFill>
                </w14:textFill>
              </w:rPr>
              <w:t>投标文件</w:t>
            </w:r>
            <w:r>
              <w:rPr>
                <w:color w:val="000000" w:themeColor="text1"/>
                <w:szCs w:val="21"/>
                <w:highlight w:val="none"/>
                <w:lang w:val="zh-CN" w:eastAsia="zh-Hans"/>
                <w14:textFill>
                  <w14:solidFill>
                    <w14:schemeClr w14:val="tx1"/>
                  </w14:solidFill>
                </w14:textFill>
              </w:rPr>
              <w:t>截止时间前3个月内</w:t>
            </w:r>
            <w:r>
              <w:rPr>
                <w:color w:val="000000" w:themeColor="text1"/>
                <w:highlight w:val="none"/>
                <w14:textFill>
                  <w14:solidFill>
                    <w14:schemeClr w14:val="tx1"/>
                  </w14:solidFill>
                </w14:textFill>
              </w:rPr>
              <w:t>其基本账户开户银行出具的资信证明（附基本存款账户信息）</w:t>
            </w:r>
            <w:r>
              <w:rPr>
                <w:color w:val="000000" w:themeColor="text1"/>
                <w:kern w:val="0"/>
                <w:szCs w:val="21"/>
                <w:highlight w:val="none"/>
                <w:lang w:eastAsia="zh-Hans"/>
                <w14:textFill>
                  <w14:solidFill>
                    <w14:schemeClr w14:val="tx1"/>
                  </w14:solidFill>
                </w14:textFill>
              </w:rPr>
              <w:t>；</w:t>
            </w:r>
          </w:p>
          <w:p w14:paraId="3A0E6DA1">
            <w:pPr>
              <w:numPr>
                <w:ilvl w:val="0"/>
                <w:numId w:val="7"/>
              </w:numPr>
              <w:tabs>
                <w:tab w:val="left" w:pos="0"/>
              </w:tabs>
              <w:adjustRightInd w:val="0"/>
              <w:snapToGrid w:val="0"/>
              <w:rPr>
                <w:color w:val="000000" w:themeColor="text1"/>
                <w:kern w:val="0"/>
                <w:szCs w:val="21"/>
                <w:highlight w:val="none"/>
                <w:lang w:eastAsia="zh-Hans"/>
                <w14:textFill>
                  <w14:solidFill>
                    <w14:schemeClr w14:val="tx1"/>
                  </w14:solidFill>
                </w14:textFill>
              </w:rPr>
            </w:pPr>
            <w:r>
              <w:rPr>
                <w:rFonts w:hint="eastAsia"/>
                <w:color w:val="000000" w:themeColor="text1"/>
                <w:kern w:val="0"/>
                <w:szCs w:val="21"/>
                <w:highlight w:val="none"/>
                <w14:textFill>
                  <w14:solidFill>
                    <w14:schemeClr w14:val="tx1"/>
                  </w14:solidFill>
                </w14:textFill>
              </w:rPr>
              <w:t>投标人</w:t>
            </w:r>
            <w:r>
              <w:rPr>
                <w:color w:val="000000" w:themeColor="text1"/>
                <w:kern w:val="0"/>
                <w:szCs w:val="21"/>
                <w:highlight w:val="none"/>
                <w14:textFill>
                  <w14:solidFill>
                    <w14:schemeClr w14:val="tx1"/>
                  </w14:solidFill>
                </w14:textFill>
              </w:rPr>
              <w:t>是执行《</w:t>
            </w:r>
            <w:r>
              <w:rPr>
                <w:rFonts w:hint="eastAsia"/>
                <w:color w:val="000000" w:themeColor="text1"/>
                <w:kern w:val="0"/>
                <w:szCs w:val="21"/>
                <w:highlight w:val="none"/>
                <w14:textFill>
                  <w14:solidFill>
                    <w14:schemeClr w14:val="tx1"/>
                  </w14:solidFill>
                </w14:textFill>
              </w:rPr>
              <w:t>小</w:t>
            </w:r>
            <w:r>
              <w:rPr>
                <w:color w:val="000000" w:themeColor="text1"/>
                <w:kern w:val="0"/>
                <w:szCs w:val="21"/>
                <w:highlight w:val="none"/>
                <w14:textFill>
                  <w14:solidFill>
                    <w14:schemeClr w14:val="tx1"/>
                  </w14:solidFill>
                </w14:textFill>
              </w:rPr>
              <w:t>企业会计准则》</w:t>
            </w:r>
            <w:r>
              <w:rPr>
                <w:rFonts w:hint="eastAsia"/>
                <w:color w:val="000000" w:themeColor="text1"/>
                <w:kern w:val="0"/>
                <w:szCs w:val="21"/>
                <w:highlight w:val="none"/>
                <w14:textFill>
                  <w14:solidFill>
                    <w14:schemeClr w14:val="tx1"/>
                  </w14:solidFill>
                </w14:textFill>
              </w:rPr>
              <w:t>的</w:t>
            </w:r>
            <w:r>
              <w:rPr>
                <w:color w:val="000000" w:themeColor="text1"/>
                <w:kern w:val="0"/>
                <w:szCs w:val="21"/>
                <w:highlight w:val="none"/>
                <w14:textFill>
                  <w14:solidFill>
                    <w14:schemeClr w14:val="tx1"/>
                  </w14:solidFill>
                </w14:textFill>
              </w:rPr>
              <w:t>小</w:t>
            </w:r>
            <w:r>
              <w:rPr>
                <w:rFonts w:hint="eastAsia"/>
                <w:color w:val="000000" w:themeColor="text1"/>
                <w:kern w:val="0"/>
                <w:szCs w:val="21"/>
                <w:highlight w:val="none"/>
                <w14:textFill>
                  <w14:solidFill>
                    <w14:schemeClr w14:val="tx1"/>
                  </w14:solidFill>
                </w14:textFill>
              </w:rPr>
              <w:t>微</w:t>
            </w:r>
            <w:r>
              <w:rPr>
                <w:color w:val="000000" w:themeColor="text1"/>
                <w:kern w:val="0"/>
                <w:szCs w:val="21"/>
                <w:highlight w:val="none"/>
                <w14:textFill>
                  <w14:solidFill>
                    <w14:schemeClr w14:val="tx1"/>
                  </w14:solidFill>
                </w14:textFill>
              </w:rPr>
              <w:t>企业的，应提供</w:t>
            </w:r>
            <w:r>
              <w:rPr>
                <w:color w:val="000000" w:themeColor="text1"/>
                <w:szCs w:val="21"/>
                <w:highlight w:val="none"/>
                <w:lang w:val="zh-CN"/>
                <w14:textFill>
                  <w14:solidFill>
                    <w14:schemeClr w14:val="tx1"/>
                  </w14:solidFill>
                </w14:textFill>
              </w:rPr>
              <w:t>202</w:t>
            </w:r>
            <w:r>
              <w:rPr>
                <w:rFonts w:hint="eastAsia"/>
                <w:color w:val="000000" w:themeColor="text1"/>
                <w:szCs w:val="21"/>
                <w:highlight w:val="none"/>
                <w14:textFill>
                  <w14:solidFill>
                    <w14:schemeClr w14:val="tx1"/>
                  </w14:solidFill>
                </w14:textFill>
              </w:rPr>
              <w:t>5</w:t>
            </w:r>
            <w:r>
              <w:rPr>
                <w:color w:val="000000" w:themeColor="text1"/>
                <w:kern w:val="0"/>
                <w:szCs w:val="21"/>
                <w:highlight w:val="none"/>
                <w14:textFill>
                  <w14:solidFill>
                    <w14:schemeClr w14:val="tx1"/>
                  </w14:solidFill>
                </w14:textFill>
              </w:rPr>
              <w:t>全年度经审计的财务报告，至少包括 《资产负债表》《利润表》《现金流量表》及其附注，或者</w:t>
            </w:r>
            <w:r>
              <w:rPr>
                <w:color w:val="000000" w:themeColor="text1"/>
                <w:szCs w:val="21"/>
                <w:highlight w:val="none"/>
                <w:lang w:val="zh-CN" w:eastAsia="zh-Hans"/>
                <w14:textFill>
                  <w14:solidFill>
                    <w14:schemeClr w14:val="tx1"/>
                  </w14:solidFill>
                </w14:textFill>
              </w:rPr>
              <w:t>提交</w:t>
            </w:r>
            <w:r>
              <w:rPr>
                <w:rFonts w:hint="eastAsia"/>
                <w:color w:val="000000" w:themeColor="text1"/>
                <w:szCs w:val="21"/>
                <w:highlight w:val="none"/>
                <w:lang w:val="zh-CN" w:eastAsia="zh-Hans"/>
                <w14:textFill>
                  <w14:solidFill>
                    <w14:schemeClr w14:val="tx1"/>
                  </w14:solidFill>
                </w14:textFill>
              </w:rPr>
              <w:t>投标文件</w:t>
            </w:r>
            <w:r>
              <w:rPr>
                <w:color w:val="000000" w:themeColor="text1"/>
                <w:szCs w:val="21"/>
                <w:highlight w:val="none"/>
                <w:lang w:val="zh-CN" w:eastAsia="zh-Hans"/>
                <w14:textFill>
                  <w14:solidFill>
                    <w14:schemeClr w14:val="tx1"/>
                  </w14:solidFill>
                </w14:textFill>
              </w:rPr>
              <w:t>截止时间前3个月内</w:t>
            </w:r>
            <w:r>
              <w:rPr>
                <w:color w:val="000000" w:themeColor="text1"/>
                <w:highlight w:val="none"/>
                <w14:textFill>
                  <w14:solidFill>
                    <w14:schemeClr w14:val="tx1"/>
                  </w14:solidFill>
                </w14:textFill>
              </w:rPr>
              <w:t>其基本账户开户银行出具的资信证明（附基本存款账户信息）</w:t>
            </w:r>
            <w:r>
              <w:rPr>
                <w:color w:val="000000" w:themeColor="text1"/>
                <w:kern w:val="0"/>
                <w:szCs w:val="21"/>
                <w:highlight w:val="none"/>
                <w:lang w:eastAsia="zh-Hans"/>
                <w14:textFill>
                  <w14:solidFill>
                    <w14:schemeClr w14:val="tx1"/>
                  </w14:solidFill>
                </w14:textFill>
              </w:rPr>
              <w:t>；</w:t>
            </w:r>
          </w:p>
          <w:p w14:paraId="56908E15">
            <w:pPr>
              <w:numPr>
                <w:ilvl w:val="0"/>
                <w:numId w:val="7"/>
              </w:numPr>
              <w:tabs>
                <w:tab w:val="left" w:pos="0"/>
              </w:tabs>
              <w:adjustRightInd w:val="0"/>
              <w:snapToGrid w:val="0"/>
              <w:rPr>
                <w:color w:val="000000" w:themeColor="text1"/>
                <w:kern w:val="0"/>
                <w:szCs w:val="21"/>
                <w:highlight w:val="none"/>
                <w:lang w:eastAsia="zh-Hans"/>
                <w14:textFill>
                  <w14:solidFill>
                    <w14:schemeClr w14:val="tx1"/>
                  </w14:solidFill>
                </w14:textFill>
              </w:rPr>
            </w:pPr>
            <w:r>
              <w:rPr>
                <w:rFonts w:hint="eastAsia"/>
                <w:color w:val="000000" w:themeColor="text1"/>
                <w:kern w:val="0"/>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是事业单位法人的，</w:t>
            </w:r>
            <w:r>
              <w:rPr>
                <w:color w:val="000000" w:themeColor="text1"/>
                <w:kern w:val="0"/>
                <w:szCs w:val="21"/>
                <w:highlight w:val="none"/>
                <w14:textFill>
                  <w14:solidFill>
                    <w14:schemeClr w14:val="tx1"/>
                  </w14:solidFill>
                </w14:textFill>
              </w:rPr>
              <w:t>应提供</w:t>
            </w:r>
            <w:r>
              <w:rPr>
                <w:color w:val="000000" w:themeColor="text1"/>
                <w:szCs w:val="21"/>
                <w:highlight w:val="none"/>
                <w:lang w:val="zh-CN"/>
                <w14:textFill>
                  <w14:solidFill>
                    <w14:schemeClr w14:val="tx1"/>
                  </w14:solidFill>
                </w14:textFill>
              </w:rPr>
              <w:t>202</w:t>
            </w:r>
            <w:r>
              <w:rPr>
                <w:rFonts w:hint="eastAsia"/>
                <w:color w:val="000000" w:themeColor="text1"/>
                <w:szCs w:val="21"/>
                <w:highlight w:val="none"/>
                <w14:textFill>
                  <w14:solidFill>
                    <w14:schemeClr w14:val="tx1"/>
                  </w14:solidFill>
                </w14:textFill>
              </w:rPr>
              <w:t>5</w:t>
            </w:r>
            <w:r>
              <w:rPr>
                <w:color w:val="000000" w:themeColor="text1"/>
                <w:szCs w:val="21"/>
                <w:highlight w:val="none"/>
                <w:lang w:val="zh-CN"/>
                <w14:textFill>
                  <w14:solidFill>
                    <w14:schemeClr w14:val="tx1"/>
                  </w14:solidFill>
                </w14:textFill>
              </w:rPr>
              <w:t>年</w:t>
            </w:r>
            <w:r>
              <w:rPr>
                <w:color w:val="000000" w:themeColor="text1"/>
                <w:kern w:val="0"/>
                <w:szCs w:val="21"/>
                <w:highlight w:val="none"/>
                <w14:textFill>
                  <w14:solidFill>
                    <w14:schemeClr w14:val="tx1"/>
                  </w14:solidFill>
                </w14:textFill>
              </w:rPr>
              <w:t>全年度经审计的财务报告，至少包括《</w:t>
            </w:r>
            <w:r>
              <w:rPr>
                <w:color w:val="000000" w:themeColor="text1"/>
                <w:szCs w:val="21"/>
                <w:highlight w:val="none"/>
                <w14:textFill>
                  <w14:solidFill>
                    <w14:schemeClr w14:val="tx1"/>
                  </w14:solidFill>
                </w14:textFill>
              </w:rPr>
              <w:t>资产负债表</w:t>
            </w:r>
            <w:r>
              <w:rPr>
                <w:color w:val="000000" w:themeColor="text1"/>
                <w:kern w:val="0"/>
                <w:szCs w:val="21"/>
                <w:highlight w:val="none"/>
                <w14:textFill>
                  <w14:solidFill>
                    <w14:schemeClr w14:val="tx1"/>
                  </w14:solidFill>
                </w14:textFill>
              </w:rPr>
              <w:t>》</w:t>
            </w:r>
            <w:r>
              <w:rPr>
                <w:color w:val="000000" w:themeColor="text1"/>
                <w:szCs w:val="21"/>
                <w:highlight w:val="none"/>
                <w14:textFill>
                  <w14:solidFill>
                    <w14:schemeClr w14:val="tx1"/>
                  </w14:solidFill>
                </w14:textFill>
              </w:rPr>
              <w:t>《收入支出表或者收入费用表》《财政补助收入支出表》及其附注，</w:t>
            </w:r>
            <w:r>
              <w:rPr>
                <w:color w:val="000000" w:themeColor="text1"/>
                <w:kern w:val="0"/>
                <w:szCs w:val="21"/>
                <w:highlight w:val="none"/>
                <w14:textFill>
                  <w14:solidFill>
                    <w14:schemeClr w14:val="tx1"/>
                  </w14:solidFill>
                </w14:textFill>
              </w:rPr>
              <w:t>或者</w:t>
            </w:r>
            <w:r>
              <w:rPr>
                <w:color w:val="000000" w:themeColor="text1"/>
                <w:szCs w:val="21"/>
                <w:highlight w:val="none"/>
                <w:lang w:val="zh-CN" w:eastAsia="zh-Hans"/>
                <w14:textFill>
                  <w14:solidFill>
                    <w14:schemeClr w14:val="tx1"/>
                  </w14:solidFill>
                </w14:textFill>
              </w:rPr>
              <w:t>提交</w:t>
            </w:r>
            <w:r>
              <w:rPr>
                <w:rFonts w:hint="eastAsia"/>
                <w:color w:val="000000" w:themeColor="text1"/>
                <w:szCs w:val="21"/>
                <w:highlight w:val="none"/>
                <w:lang w:val="zh-CN" w:eastAsia="zh-Hans"/>
                <w14:textFill>
                  <w14:solidFill>
                    <w14:schemeClr w14:val="tx1"/>
                  </w14:solidFill>
                </w14:textFill>
              </w:rPr>
              <w:t>投标文件</w:t>
            </w:r>
            <w:r>
              <w:rPr>
                <w:color w:val="000000" w:themeColor="text1"/>
                <w:szCs w:val="21"/>
                <w:highlight w:val="none"/>
                <w:lang w:val="zh-CN" w:eastAsia="zh-Hans"/>
                <w14:textFill>
                  <w14:solidFill>
                    <w14:schemeClr w14:val="tx1"/>
                  </w14:solidFill>
                </w14:textFill>
              </w:rPr>
              <w:t>截止时间前3个月</w:t>
            </w:r>
            <w:r>
              <w:rPr>
                <w:color w:val="000000" w:themeColor="text1"/>
                <w:szCs w:val="21"/>
                <w:highlight w:val="none"/>
                <w14:textFill>
                  <w14:solidFill>
                    <w14:schemeClr w14:val="tx1"/>
                  </w14:solidFill>
                </w14:textFill>
              </w:rPr>
              <w:t>内</w:t>
            </w:r>
            <w:r>
              <w:rPr>
                <w:color w:val="000000" w:themeColor="text1"/>
                <w:highlight w:val="none"/>
                <w14:textFill>
                  <w14:solidFill>
                    <w14:schemeClr w14:val="tx1"/>
                  </w14:solidFill>
                </w14:textFill>
              </w:rPr>
              <w:t>其基本账户开户银行出具的资信证明（附基本存款账户信息）</w:t>
            </w:r>
            <w:r>
              <w:rPr>
                <w:color w:val="000000" w:themeColor="text1"/>
                <w:kern w:val="0"/>
                <w:szCs w:val="21"/>
                <w:highlight w:val="none"/>
                <w:lang w:eastAsia="zh-Hans"/>
                <w14:textFill>
                  <w14:solidFill>
                    <w14:schemeClr w14:val="tx1"/>
                  </w14:solidFill>
                </w14:textFill>
              </w:rPr>
              <w:t>；</w:t>
            </w:r>
          </w:p>
          <w:p w14:paraId="02A7983F">
            <w:pPr>
              <w:tabs>
                <w:tab w:val="left" w:pos="0"/>
              </w:tabs>
              <w:adjustRightInd w:val="0"/>
              <w:snapToGrid w:val="0"/>
              <w:rPr>
                <w:color w:val="000000" w:themeColor="text1"/>
                <w:szCs w:val="21"/>
                <w:highlight w:val="none"/>
                <w:lang w:eastAsia="zh-Hans"/>
                <w14:textFill>
                  <w14:solidFill>
                    <w14:schemeClr w14:val="tx1"/>
                  </w14:solidFill>
                </w14:textFill>
              </w:rPr>
            </w:pPr>
            <w:r>
              <w:rPr>
                <w:color w:val="000000" w:themeColor="text1"/>
                <w:szCs w:val="21"/>
                <w:highlight w:val="none"/>
                <w14:textFill>
                  <w14:solidFill>
                    <w14:schemeClr w14:val="tx1"/>
                  </w14:solidFill>
                </w14:textFill>
              </w:rPr>
              <w:t>（4）其他组织和自然人，提供提交</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文件截止时间前3个月内银行出具的资信证明（附账户信息）</w:t>
            </w:r>
            <w:r>
              <w:rPr>
                <w:color w:val="000000" w:themeColor="text1"/>
                <w:szCs w:val="21"/>
                <w:highlight w:val="none"/>
                <w:lang w:eastAsia="zh-Hans"/>
                <w14:textFill>
                  <w14:solidFill>
                    <w14:schemeClr w14:val="tx1"/>
                  </w14:solidFill>
                </w14:textFill>
              </w:rPr>
              <w:t>；</w:t>
            </w:r>
          </w:p>
          <w:p w14:paraId="7288497A">
            <w:pPr>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5</w:t>
            </w:r>
            <w:r>
              <w:rPr>
                <w:color w:val="000000" w:themeColor="text1"/>
                <w:szCs w:val="21"/>
                <w:highlight w:val="none"/>
                <w14:textFill>
                  <w14:solidFill>
                    <w14:schemeClr w14:val="tx1"/>
                  </w14:solidFill>
                </w14:textFill>
              </w:rPr>
              <w:t>）</w:t>
            </w:r>
            <w:r>
              <w:rPr>
                <w:rFonts w:hint="eastAsia"/>
                <w:color w:val="000000" w:themeColor="text1"/>
                <w:kern w:val="0"/>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成立不到1年（至提交</w:t>
            </w:r>
            <w:r>
              <w:rPr>
                <w:rFonts w:hint="eastAsia"/>
                <w:color w:val="000000" w:themeColor="text1"/>
                <w:szCs w:val="21"/>
                <w:highlight w:val="none"/>
                <w14:textFill>
                  <w14:solidFill>
                    <w14:schemeClr w14:val="tx1"/>
                  </w14:solidFill>
                </w14:textFill>
              </w:rPr>
              <w:t>投标文件</w:t>
            </w:r>
            <w:r>
              <w:rPr>
                <w:color w:val="000000" w:themeColor="text1"/>
                <w:szCs w:val="21"/>
                <w:highlight w:val="none"/>
                <w14:textFill>
                  <w14:solidFill>
                    <w14:schemeClr w14:val="tx1"/>
                  </w14:solidFill>
                </w14:textFill>
              </w:rPr>
              <w:t>截止时间）的，提供成立后任意时段的资产负债表，或提交</w:t>
            </w:r>
            <w:r>
              <w:rPr>
                <w:rFonts w:hint="eastAsia"/>
                <w:color w:val="000000" w:themeColor="text1"/>
                <w:szCs w:val="21"/>
                <w:highlight w:val="none"/>
                <w14:textFill>
                  <w14:solidFill>
                    <w14:schemeClr w14:val="tx1"/>
                  </w14:solidFill>
                </w14:textFill>
              </w:rPr>
              <w:t>投标文件</w:t>
            </w:r>
            <w:r>
              <w:rPr>
                <w:color w:val="000000" w:themeColor="text1"/>
                <w:szCs w:val="21"/>
                <w:highlight w:val="none"/>
                <w14:textFill>
                  <w14:solidFill>
                    <w14:schemeClr w14:val="tx1"/>
                  </w14:solidFill>
                </w14:textFill>
              </w:rPr>
              <w:t>截止时间前3个月内其基本账户开户银行出具的资信证明（附基本存款账户信息）</w:t>
            </w:r>
            <w:r>
              <w:rPr>
                <w:rFonts w:hint="eastAsia"/>
                <w:color w:val="000000" w:themeColor="text1"/>
                <w:szCs w:val="21"/>
                <w:highlight w:val="none"/>
                <w14:textFill>
                  <w14:solidFill>
                    <w14:schemeClr w14:val="tx1"/>
                  </w14:solidFill>
                </w14:textFill>
              </w:rPr>
              <w:t>。</w:t>
            </w:r>
          </w:p>
        </w:tc>
        <w:tc>
          <w:tcPr>
            <w:tcW w:w="2115" w:type="dxa"/>
            <w:vAlign w:val="center"/>
          </w:tcPr>
          <w:p w14:paraId="7177CE0C">
            <w:pPr>
              <w:tabs>
                <w:tab w:val="left" w:pos="0"/>
              </w:tabs>
              <w:adjustRightInd w:val="0"/>
              <w:snapToGrid w:val="0"/>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1.财务报告不齐全的，为不合格</w:t>
            </w:r>
          </w:p>
          <w:p w14:paraId="1C289587">
            <w:pPr>
              <w:adjustRightInd w:val="0"/>
              <w:snapToGrid w:val="0"/>
              <w:jc w:val="left"/>
              <w:rPr>
                <w:color w:val="000000" w:themeColor="text1"/>
                <w:highlight w:val="none"/>
                <w14:textFill>
                  <w14:solidFill>
                    <w14:schemeClr w14:val="tx1"/>
                  </w14:solidFill>
                </w14:textFill>
              </w:rPr>
            </w:pPr>
            <w:r>
              <w:rPr>
                <w:color w:val="000000" w:themeColor="text1"/>
                <w:kern w:val="0"/>
                <w:szCs w:val="21"/>
                <w:highlight w:val="none"/>
                <w14:textFill>
                  <w14:solidFill>
                    <w14:schemeClr w14:val="tx1"/>
                  </w14:solidFill>
                </w14:textFill>
              </w:rPr>
              <w:t>2.</w:t>
            </w:r>
            <w:r>
              <w:rPr>
                <w:rFonts w:hint="eastAsia"/>
                <w:color w:val="000000" w:themeColor="text1"/>
                <w:highlight w:val="none"/>
                <w14:textFill>
                  <w14:solidFill>
                    <w14:schemeClr w14:val="tx1"/>
                  </w14:solidFill>
                </w14:textFill>
              </w:rPr>
              <w:t>法人的资信证明未由基本账户银行或其所属银行出具，或未在规定时间内开具的，视为不合格。</w:t>
            </w:r>
          </w:p>
          <w:p w14:paraId="5BFD1690">
            <w:pPr>
              <w:adjustRightInd w:val="0"/>
              <w:snapToGrid w:val="0"/>
              <w:jc w:val="left"/>
              <w:rPr>
                <w:color w:val="000000" w:themeColor="text1"/>
                <w:kern w:val="0"/>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本项目要求的银行资信证明，原则上由投标人基本账户开户银行出具。若银行基层营业网点不具备出具资信证明的业务权限，允许由该银行具备出具资信证明业务权限的其他分行或支行出具。</w:t>
            </w:r>
          </w:p>
          <w:p w14:paraId="175766D6">
            <w:pPr>
              <w:tabs>
                <w:tab w:val="left" w:pos="0"/>
              </w:tabs>
              <w:adjustRightInd w:val="0"/>
              <w:snapToGrid w:val="0"/>
              <w:rPr>
                <w:color w:val="000000" w:themeColor="text1"/>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【说明】</w:t>
            </w:r>
            <w:r>
              <w:rPr>
                <w:rFonts w:hint="eastAsia"/>
                <w:color w:val="000000" w:themeColor="text1"/>
                <w:szCs w:val="21"/>
                <w:highlight w:val="none"/>
                <w14:textFill>
                  <w14:solidFill>
                    <w14:schemeClr w14:val="tx1"/>
                  </w14:solidFill>
                </w14:textFill>
              </w:rPr>
              <w:t>第（2）条适用于在中华人民共和国境内依法设立的、符合《中小企业划型标准规定》所规定的小型企业标准的企业。</w:t>
            </w:r>
          </w:p>
          <w:p w14:paraId="0F10CF06">
            <w:pPr>
              <w:tabs>
                <w:tab w:val="left" w:pos="0"/>
              </w:tabs>
              <w:adjustRightInd w:val="0"/>
              <w:snapToGrid w:val="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下列三类小企业除外：</w:t>
            </w:r>
          </w:p>
          <w:p w14:paraId="12E2E443">
            <w:pPr>
              <w:tabs>
                <w:tab w:val="left" w:pos="0"/>
              </w:tabs>
              <w:adjustRightInd w:val="0"/>
              <w:snapToGrid w:val="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（一）股票或债券在市场上公开交易的小企业。</w:t>
            </w:r>
          </w:p>
          <w:p w14:paraId="255B91F8">
            <w:pPr>
              <w:tabs>
                <w:tab w:val="left" w:pos="0"/>
              </w:tabs>
              <w:adjustRightInd w:val="0"/>
              <w:snapToGrid w:val="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（二）金融机构或其他具有金融性质的小企业。</w:t>
            </w:r>
          </w:p>
          <w:p w14:paraId="44FB9057">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（三）企业集团内的母公司和子公司。</w:t>
            </w:r>
          </w:p>
        </w:tc>
        <w:tc>
          <w:tcPr>
            <w:tcW w:w="1221" w:type="dxa"/>
            <w:vAlign w:val="center"/>
          </w:tcPr>
          <w:p w14:paraId="01DD2AC2">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p>
        </w:tc>
      </w:tr>
      <w:tr w14:paraId="36C5FB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79" w:hRule="atLeast"/>
        </w:trPr>
        <w:tc>
          <w:tcPr>
            <w:tcW w:w="996" w:type="dxa"/>
            <w:vAlign w:val="center"/>
          </w:tcPr>
          <w:p w14:paraId="3FA32011">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w:t>
            </w:r>
          </w:p>
        </w:tc>
        <w:tc>
          <w:tcPr>
            <w:tcW w:w="5541" w:type="dxa"/>
            <w:vAlign w:val="center"/>
          </w:tcPr>
          <w:p w14:paraId="70120C4E">
            <w:pP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税收缴纳证明：</w:t>
            </w:r>
          </w:p>
          <w:p w14:paraId="7F6F0E42">
            <w:pPr>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提供</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自提交</w:t>
            </w:r>
            <w:r>
              <w:rPr>
                <w:rFonts w:hint="eastAsia"/>
                <w:color w:val="000000" w:themeColor="text1"/>
                <w:szCs w:val="21"/>
                <w:highlight w:val="none"/>
                <w14:textFill>
                  <w14:solidFill>
                    <w14:schemeClr w14:val="tx1"/>
                  </w14:solidFill>
                </w14:textFill>
              </w:rPr>
              <w:t>投标文件</w:t>
            </w:r>
            <w:r>
              <w:rPr>
                <w:color w:val="000000" w:themeColor="text1"/>
                <w:szCs w:val="21"/>
                <w:highlight w:val="none"/>
                <w14:textFill>
                  <w14:solidFill>
                    <w14:schemeClr w14:val="tx1"/>
                  </w14:solidFill>
                </w14:textFill>
              </w:rPr>
              <w:t>截止时间前1年内已缴纳任意时段任意税种</w:t>
            </w:r>
            <w:r>
              <w:rPr>
                <w:color w:val="000000" w:themeColor="text1"/>
                <w:kern w:val="0"/>
                <w:szCs w:val="21"/>
                <w:highlight w:val="none"/>
                <w14:textFill>
                  <w14:solidFill>
                    <w14:schemeClr w14:val="tx1"/>
                  </w14:solidFill>
                </w14:textFill>
              </w:rPr>
              <w:t>纳</w:t>
            </w:r>
            <w:r>
              <w:rPr>
                <w:color w:val="000000" w:themeColor="text1"/>
                <w:szCs w:val="21"/>
                <w:highlight w:val="none"/>
                <w14:textFill>
                  <w14:solidFill>
                    <w14:schemeClr w14:val="tx1"/>
                  </w14:solidFill>
                </w14:textFill>
              </w:rPr>
              <w:t>税凭证或税务机关开具的完税证明（</w:t>
            </w:r>
            <w:r>
              <w:rPr>
                <w:rFonts w:hint="eastAsia"/>
                <w:color w:val="000000" w:themeColor="text1"/>
                <w:szCs w:val="21"/>
                <w:highlight w:val="none"/>
                <w14:textFill>
                  <w14:solidFill>
                    <w14:schemeClr w14:val="tx1"/>
                  </w14:solidFill>
                </w14:textFill>
              </w:rPr>
              <w:t>税法规定的任意税种，</w:t>
            </w:r>
            <w:r>
              <w:rPr>
                <w:color w:val="000000" w:themeColor="text1"/>
                <w:szCs w:val="21"/>
                <w:highlight w:val="none"/>
                <w14:textFill>
                  <w14:solidFill>
                    <w14:schemeClr w14:val="tx1"/>
                  </w14:solidFill>
                </w14:textFill>
              </w:rPr>
              <w:t>个人所得税除外）</w:t>
            </w:r>
          </w:p>
          <w:p w14:paraId="6282F8FA">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要求：</w:t>
            </w:r>
          </w:p>
          <w:p w14:paraId="55968A87">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（1）投标人成立不到 1 年，未发生缴纳税收事项的，应提供纳税书面承诺；</w:t>
            </w:r>
          </w:p>
          <w:p w14:paraId="0B4D329D">
            <w:pPr>
              <w:jc w:val="lef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（2）其他组织和自然人需提供缴纳税收的凭据；</w:t>
            </w:r>
          </w:p>
          <w:p w14:paraId="2B9B7526">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（3）若当期应纳税额为0，可提供电子税务局打印的申报成功的纳税申报表，或提供无欠税证明</w:t>
            </w:r>
          </w:p>
          <w:p w14:paraId="05E9EA8E">
            <w:pPr>
              <w:jc w:val="left"/>
              <w:rPr>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（4）复印件需加盖投标人单</w:t>
            </w:r>
            <w:r>
              <w:rPr>
                <w:rFonts w:hint="eastAsia" w:ascii="宋体" w:hAnsi="宋体" w:cs="宋体"/>
                <w:b/>
                <w:bCs/>
                <w:color w:val="000000" w:themeColor="text1"/>
                <w:highlight w:val="none"/>
                <w:lang w:eastAsia="zh-CN"/>
                <w14:textFill>
                  <w14:solidFill>
                    <w14:schemeClr w14:val="tx1"/>
                  </w14:solidFill>
                </w14:textFill>
              </w:rPr>
              <w:t>位公</w:t>
            </w:r>
            <w:r>
              <w:rPr>
                <w:rFonts w:hint="eastAsia" w:ascii="宋体" w:hAnsi="宋体" w:cs="宋体"/>
                <w:b/>
                <w:bCs/>
                <w:color w:val="000000" w:themeColor="text1"/>
                <w:highlight w:val="none"/>
                <w14:textFill>
                  <w14:solidFill>
                    <w14:schemeClr w14:val="tx1"/>
                  </w14:solidFill>
                </w14:textFill>
              </w:rPr>
              <w:t>章。</w:t>
            </w:r>
          </w:p>
        </w:tc>
        <w:tc>
          <w:tcPr>
            <w:tcW w:w="2115" w:type="dxa"/>
            <w:vAlign w:val="center"/>
          </w:tcPr>
          <w:p w14:paraId="79D80274">
            <w:pPr>
              <w:adjustRightInd w:val="0"/>
              <w:snapToGrid w:val="0"/>
              <w:jc w:val="left"/>
              <w:rPr>
                <w:color w:val="000000" w:themeColor="text1"/>
                <w:highlight w:val="none"/>
                <w14:textFill>
                  <w14:solidFill>
                    <w14:schemeClr w14:val="tx1"/>
                  </w14:solidFill>
                </w14:textFill>
              </w:rPr>
            </w:pPr>
            <w:r>
              <w:rPr>
                <w:color w:val="000000" w:themeColor="text1"/>
                <w:kern w:val="0"/>
                <w:szCs w:val="21"/>
                <w:highlight w:val="none"/>
                <w14:textFill>
                  <w14:solidFill>
                    <w14:schemeClr w14:val="tx1"/>
                  </w14:solidFill>
                </w14:textFill>
              </w:rPr>
              <w:t>纳税凭证或完税证明上应有代收机构或税务机关的公章或业务专用章</w:t>
            </w:r>
            <w:r>
              <w:rPr>
                <w:rFonts w:hint="eastAsia"/>
                <w:color w:val="000000" w:themeColor="text1"/>
                <w:highlight w:val="none"/>
                <w14:textFill>
                  <w14:solidFill>
                    <w14:schemeClr w14:val="tx1"/>
                  </w14:solidFill>
                </w14:textFill>
              </w:rPr>
              <w:t>。</w:t>
            </w:r>
          </w:p>
          <w:p w14:paraId="6EE3172C">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税款所属时期、税种（例：**税，个人所得税除外）不符合要求的，为不合格。</w:t>
            </w:r>
          </w:p>
        </w:tc>
        <w:tc>
          <w:tcPr>
            <w:tcW w:w="1221" w:type="dxa"/>
            <w:vAlign w:val="center"/>
          </w:tcPr>
          <w:p w14:paraId="18FCD6B7">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凭证提供复印件</w:t>
            </w:r>
          </w:p>
        </w:tc>
      </w:tr>
      <w:tr w14:paraId="5C65EB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6" w:type="dxa"/>
            <w:vAlign w:val="center"/>
          </w:tcPr>
          <w:p w14:paraId="64479EFA">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w:t>
            </w:r>
          </w:p>
        </w:tc>
        <w:tc>
          <w:tcPr>
            <w:tcW w:w="5541" w:type="dxa"/>
            <w:vAlign w:val="center"/>
          </w:tcPr>
          <w:p w14:paraId="2AAAD861">
            <w:pP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社保资金缴纳证明：</w:t>
            </w:r>
          </w:p>
          <w:p w14:paraId="773BC8DE">
            <w:pPr>
              <w:tabs>
                <w:tab w:val="left" w:pos="0"/>
              </w:tabs>
              <w:adjustRightInd w:val="0"/>
              <w:snapToGrid w:val="0"/>
              <w:jc w:val="left"/>
              <w:rPr>
                <w:rFonts w:hint="eastAsia" w:ascii="宋体" w:hAnsi="宋体" w:cs="宋体"/>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提供</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自提交</w:t>
            </w:r>
            <w:r>
              <w:rPr>
                <w:rFonts w:hint="eastAsia"/>
                <w:color w:val="000000" w:themeColor="text1"/>
                <w:szCs w:val="21"/>
                <w:highlight w:val="none"/>
                <w14:textFill>
                  <w14:solidFill>
                    <w14:schemeClr w14:val="tx1"/>
                  </w14:solidFill>
                </w14:textFill>
              </w:rPr>
              <w:t>投标文件</w:t>
            </w:r>
            <w:r>
              <w:rPr>
                <w:color w:val="000000" w:themeColor="text1"/>
                <w:szCs w:val="21"/>
                <w:highlight w:val="none"/>
                <w14:textFill>
                  <w14:solidFill>
                    <w14:schemeClr w14:val="tx1"/>
                  </w14:solidFill>
                </w14:textFill>
              </w:rPr>
              <w:t>截止时间前1年内已缴纳的社会保障资金缴存单据或社保机构开具的社会保险参保缴费情况证明；</w:t>
            </w:r>
          </w:p>
          <w:p w14:paraId="4B95DF5D">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要求：</w:t>
            </w:r>
          </w:p>
          <w:p w14:paraId="4FA6D038">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（1）投标人成立不到 1 年，未发生缴纳社保资金事项的，应提供缴纳社保资金的书面承诺；</w:t>
            </w:r>
          </w:p>
          <w:p w14:paraId="4D8EE197">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（2）其他组织和自然人需提供缴纳社会保险的凭据；</w:t>
            </w:r>
          </w:p>
          <w:p w14:paraId="7D71313F">
            <w:pPr>
              <w:jc w:val="left"/>
              <w:rPr>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（3）复印件需加盖投标人单</w:t>
            </w:r>
            <w:r>
              <w:rPr>
                <w:rFonts w:hint="eastAsia" w:ascii="宋体" w:hAnsi="宋体" w:cs="宋体"/>
                <w:b/>
                <w:bCs/>
                <w:color w:val="000000" w:themeColor="text1"/>
                <w:highlight w:val="none"/>
                <w:lang w:eastAsia="zh-CN"/>
                <w14:textFill>
                  <w14:solidFill>
                    <w14:schemeClr w14:val="tx1"/>
                  </w14:solidFill>
                </w14:textFill>
              </w:rPr>
              <w:t>位公</w:t>
            </w:r>
            <w:r>
              <w:rPr>
                <w:rFonts w:hint="eastAsia" w:ascii="宋体" w:hAnsi="宋体" w:cs="宋体"/>
                <w:b/>
                <w:bCs/>
                <w:color w:val="000000" w:themeColor="text1"/>
                <w:highlight w:val="none"/>
                <w14:textFill>
                  <w14:solidFill>
                    <w14:schemeClr w14:val="tx1"/>
                  </w14:solidFill>
                </w14:textFill>
              </w:rPr>
              <w:t>章。</w:t>
            </w:r>
          </w:p>
        </w:tc>
        <w:tc>
          <w:tcPr>
            <w:tcW w:w="2115" w:type="dxa"/>
            <w:vAlign w:val="center"/>
          </w:tcPr>
          <w:p w14:paraId="7A7B4474">
            <w:pPr>
              <w:adjustRightInd w:val="0"/>
              <w:snapToGrid w:val="0"/>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缴纳单据或证明上应有社保机构或代收机构的公章或业务专用章</w:t>
            </w:r>
            <w:r>
              <w:rPr>
                <w:rFonts w:hint="eastAsia"/>
                <w:color w:val="000000" w:themeColor="text1"/>
                <w:kern w:val="0"/>
                <w:szCs w:val="21"/>
                <w:highlight w:val="none"/>
                <w14:textFill>
                  <w14:solidFill>
                    <w14:schemeClr w14:val="tx1"/>
                  </w14:solidFill>
                </w14:textFill>
              </w:rPr>
              <w:t>。</w:t>
            </w:r>
          </w:p>
          <w:p w14:paraId="65FE1F08">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社保缴纳时间不符合要求的，为不合格</w:t>
            </w:r>
            <w:r>
              <w:rPr>
                <w:rFonts w:hint="eastAsia"/>
                <w:color w:val="000000" w:themeColor="text1"/>
                <w:highlight w:val="none"/>
                <w14:textFill>
                  <w14:solidFill>
                    <w14:schemeClr w14:val="tx1"/>
                  </w14:solidFill>
                </w14:textFill>
              </w:rPr>
              <w:t>。</w:t>
            </w:r>
          </w:p>
        </w:tc>
        <w:tc>
          <w:tcPr>
            <w:tcW w:w="1221" w:type="dxa"/>
            <w:vAlign w:val="center"/>
          </w:tcPr>
          <w:p w14:paraId="60F970B6">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凭证提供复印件</w:t>
            </w:r>
          </w:p>
        </w:tc>
      </w:tr>
      <w:tr w14:paraId="62DC45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996" w:type="dxa"/>
            <w:vAlign w:val="center"/>
          </w:tcPr>
          <w:p w14:paraId="4CFB2CBB">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6</w:t>
            </w:r>
          </w:p>
        </w:tc>
        <w:tc>
          <w:tcPr>
            <w:tcW w:w="5541" w:type="dxa"/>
            <w:vAlign w:val="center"/>
          </w:tcPr>
          <w:p w14:paraId="5AEFDB8C">
            <w:pPr>
              <w:pStyle w:val="29"/>
              <w:rPr>
                <w:rFonts w:hint="eastAsia"/>
                <w:color w:val="000000" w:themeColor="text1"/>
                <w:highlight w:val="none"/>
                <w14:textFill>
                  <w14:solidFill>
                    <w14:schemeClr w14:val="tx1"/>
                  </w14:solidFill>
                </w14:textFill>
              </w:rPr>
            </w:pPr>
            <w:r>
              <w:rPr>
                <w:rFonts w:hint="eastAsia" w:ascii="宋体"/>
                <w:color w:val="000000" w:themeColor="text1"/>
                <w:sz w:val="21"/>
                <w:szCs w:val="21"/>
                <w:highlight w:val="none"/>
                <w14:textFill>
                  <w14:solidFill>
                    <w14:schemeClr w14:val="tx1"/>
                  </w14:solidFill>
                </w14:textFill>
              </w:rPr>
              <w:t>投标人</w:t>
            </w:r>
            <w:r>
              <w:rPr>
                <w:rFonts w:hint="eastAsia" w:ascii="宋体"/>
                <w:color w:val="000000" w:themeColor="text1"/>
                <w:sz w:val="21"/>
                <w:szCs w:val="21"/>
                <w:highlight w:val="none"/>
                <w:lang w:val="zh-CN"/>
                <w14:textFill>
                  <w14:solidFill>
                    <w14:schemeClr w14:val="tx1"/>
                  </w14:solidFill>
                </w14:textFill>
              </w:rPr>
              <w:t>具备履行合同所必需的设备和专业技术能力的书面声明。</w:t>
            </w:r>
          </w:p>
        </w:tc>
        <w:tc>
          <w:tcPr>
            <w:tcW w:w="2115" w:type="dxa"/>
            <w:vAlign w:val="center"/>
          </w:tcPr>
          <w:p w14:paraId="3EC66CFD">
            <w:pPr>
              <w:pStyle w:val="12"/>
              <w:jc w:val="center"/>
              <w:rPr>
                <w:rFonts w:hint="eastAsia" w:ascii="宋体" w:hAnsi="宋体" w:cs="宋体"/>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按</w:t>
            </w:r>
            <w:r>
              <w:rPr>
                <w:rFonts w:hint="eastAsia"/>
                <w:color w:val="000000" w:themeColor="text1"/>
                <w:kern w:val="0"/>
                <w:szCs w:val="21"/>
                <w:highlight w:val="none"/>
                <w14:textFill>
                  <w14:solidFill>
                    <w14:schemeClr w14:val="tx1"/>
                  </w14:solidFill>
                </w14:textFill>
              </w:rPr>
              <w:t>招标文</w:t>
            </w:r>
            <w:r>
              <w:rPr>
                <w:color w:val="000000" w:themeColor="text1"/>
                <w:kern w:val="0"/>
                <w:szCs w:val="21"/>
                <w:highlight w:val="none"/>
                <w14:textFill>
                  <w14:solidFill>
                    <w14:schemeClr w14:val="tx1"/>
                  </w14:solidFill>
                </w14:textFill>
              </w:rPr>
              <w:t>件格式提供</w:t>
            </w:r>
            <w:r>
              <w:rPr>
                <w:rFonts w:hint="eastAsia"/>
                <w:color w:val="000000" w:themeColor="text1"/>
                <w:kern w:val="0"/>
                <w:szCs w:val="21"/>
                <w:highlight w:val="none"/>
                <w14:textFill>
                  <w14:solidFill>
                    <w14:schemeClr w14:val="tx1"/>
                  </w14:solidFill>
                </w14:textFill>
              </w:rPr>
              <w:t>响应</w:t>
            </w:r>
            <w:r>
              <w:rPr>
                <w:color w:val="000000" w:themeColor="text1"/>
                <w:kern w:val="0"/>
                <w:szCs w:val="21"/>
                <w:highlight w:val="none"/>
                <w14:textFill>
                  <w14:solidFill>
                    <w14:schemeClr w14:val="tx1"/>
                  </w14:solidFill>
                </w14:textFill>
              </w:rPr>
              <w:t>声明书</w:t>
            </w:r>
            <w:r>
              <w:rPr>
                <w:rFonts w:hint="eastAsia" w:ascii="宋体" w:hAnsi="宋体" w:cs="宋体"/>
                <w:color w:val="000000" w:themeColor="text1"/>
                <w:kern w:val="0"/>
                <w:szCs w:val="21"/>
                <w:highlight w:val="none"/>
                <w14:textFill>
                  <w14:solidFill>
                    <w14:schemeClr w14:val="tx1"/>
                  </w14:solidFill>
                </w14:textFill>
              </w:rPr>
              <w:t>。</w:t>
            </w:r>
          </w:p>
        </w:tc>
        <w:tc>
          <w:tcPr>
            <w:tcW w:w="1221" w:type="dxa"/>
            <w:vAlign w:val="center"/>
          </w:tcPr>
          <w:p w14:paraId="5D500BA9">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p>
        </w:tc>
      </w:tr>
      <w:tr w14:paraId="191269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996" w:type="dxa"/>
            <w:vAlign w:val="center"/>
          </w:tcPr>
          <w:p w14:paraId="3770DF3D">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7</w:t>
            </w:r>
          </w:p>
        </w:tc>
        <w:tc>
          <w:tcPr>
            <w:tcW w:w="5541" w:type="dxa"/>
            <w:vAlign w:val="center"/>
          </w:tcPr>
          <w:p w14:paraId="00310A98">
            <w:pPr>
              <w:pStyle w:val="29"/>
              <w:rPr>
                <w:rFonts w:hint="eastAsia"/>
                <w:color w:val="000000" w:themeColor="text1"/>
                <w:highlight w:val="none"/>
                <w14:textFill>
                  <w14:solidFill>
                    <w14:schemeClr w14:val="tx1"/>
                  </w14:solidFill>
                </w14:textFill>
              </w:rPr>
            </w:pPr>
            <w:r>
              <w:rPr>
                <w:rFonts w:hint="eastAsia" w:ascii="宋体"/>
                <w:color w:val="000000" w:themeColor="text1"/>
                <w:sz w:val="21"/>
                <w:szCs w:val="21"/>
                <w:highlight w:val="none"/>
                <w:lang w:val="zh-CN"/>
                <w14:textFill>
                  <w14:solidFill>
                    <w14:schemeClr w14:val="tx1"/>
                  </w14:solidFill>
                </w14:textFill>
              </w:rPr>
              <w:t>投标人参加本次采购活动前3年内，在经营活动中没有重大违法记录的书面声明。</w:t>
            </w:r>
          </w:p>
        </w:tc>
        <w:tc>
          <w:tcPr>
            <w:tcW w:w="2115" w:type="dxa"/>
            <w:vAlign w:val="center"/>
          </w:tcPr>
          <w:p w14:paraId="74701E1E">
            <w:pPr>
              <w:jc w:val="center"/>
              <w:rPr>
                <w:rFonts w:hint="eastAsia" w:ascii="宋体" w:hAnsi="宋体" w:cs="宋体"/>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按</w:t>
            </w:r>
            <w:r>
              <w:rPr>
                <w:rFonts w:hint="eastAsia"/>
                <w:color w:val="000000" w:themeColor="text1"/>
                <w:kern w:val="0"/>
                <w:szCs w:val="21"/>
                <w:highlight w:val="none"/>
                <w14:textFill>
                  <w14:solidFill>
                    <w14:schemeClr w14:val="tx1"/>
                  </w14:solidFill>
                </w14:textFill>
              </w:rPr>
              <w:t>招标文</w:t>
            </w:r>
            <w:r>
              <w:rPr>
                <w:color w:val="000000" w:themeColor="text1"/>
                <w:kern w:val="0"/>
                <w:szCs w:val="21"/>
                <w:highlight w:val="none"/>
                <w14:textFill>
                  <w14:solidFill>
                    <w14:schemeClr w14:val="tx1"/>
                  </w14:solidFill>
                </w14:textFill>
              </w:rPr>
              <w:t>件格式提供</w:t>
            </w:r>
            <w:r>
              <w:rPr>
                <w:rFonts w:hint="eastAsia"/>
                <w:color w:val="000000" w:themeColor="text1"/>
                <w:kern w:val="0"/>
                <w:szCs w:val="21"/>
                <w:highlight w:val="none"/>
                <w14:textFill>
                  <w14:solidFill>
                    <w14:schemeClr w14:val="tx1"/>
                  </w14:solidFill>
                </w14:textFill>
              </w:rPr>
              <w:t>响应</w:t>
            </w:r>
            <w:r>
              <w:rPr>
                <w:color w:val="000000" w:themeColor="text1"/>
                <w:kern w:val="0"/>
                <w:szCs w:val="21"/>
                <w:highlight w:val="none"/>
                <w14:textFill>
                  <w14:solidFill>
                    <w14:schemeClr w14:val="tx1"/>
                  </w14:solidFill>
                </w14:textFill>
              </w:rPr>
              <w:t>声明书</w:t>
            </w:r>
          </w:p>
        </w:tc>
        <w:tc>
          <w:tcPr>
            <w:tcW w:w="1221" w:type="dxa"/>
            <w:vAlign w:val="center"/>
          </w:tcPr>
          <w:p w14:paraId="0C4047E2">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p>
        </w:tc>
      </w:tr>
      <w:tr w14:paraId="708626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996" w:type="dxa"/>
            <w:vAlign w:val="center"/>
          </w:tcPr>
          <w:p w14:paraId="725395F7">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二</w:t>
            </w:r>
          </w:p>
        </w:tc>
        <w:tc>
          <w:tcPr>
            <w:tcW w:w="5541" w:type="dxa"/>
            <w:vAlign w:val="center"/>
          </w:tcPr>
          <w:p w14:paraId="0BAD2AEE">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r>
              <w:rPr>
                <w:b/>
                <w:bCs/>
                <w:color w:val="000000" w:themeColor="text1"/>
                <w:kern w:val="0"/>
                <w:szCs w:val="21"/>
                <w:highlight w:val="none"/>
                <w14:textFill>
                  <w14:solidFill>
                    <w14:schemeClr w14:val="tx1"/>
                  </w14:solidFill>
                </w14:textFill>
              </w:rPr>
              <w:t>落实政府采购政策资格条件审查</w:t>
            </w:r>
          </w:p>
        </w:tc>
        <w:tc>
          <w:tcPr>
            <w:tcW w:w="2115" w:type="dxa"/>
            <w:vAlign w:val="center"/>
          </w:tcPr>
          <w:p w14:paraId="0D54AC3A">
            <w:pPr>
              <w:jc w:val="center"/>
              <w:rPr>
                <w:rFonts w:hint="eastAsia" w:ascii="宋体" w:hAnsi="宋体" w:cs="宋体"/>
                <w:color w:val="000000" w:themeColor="text1"/>
                <w:kern w:val="0"/>
                <w:szCs w:val="21"/>
                <w:highlight w:val="none"/>
                <w14:textFill>
                  <w14:solidFill>
                    <w14:schemeClr w14:val="tx1"/>
                  </w14:solidFill>
                </w14:textFill>
              </w:rPr>
            </w:pPr>
          </w:p>
        </w:tc>
        <w:tc>
          <w:tcPr>
            <w:tcW w:w="1221" w:type="dxa"/>
            <w:vAlign w:val="center"/>
          </w:tcPr>
          <w:p w14:paraId="045FF6A7">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p>
        </w:tc>
      </w:tr>
      <w:tr w14:paraId="7D2911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996" w:type="dxa"/>
            <w:vAlign w:val="center"/>
          </w:tcPr>
          <w:p w14:paraId="657B3C8A">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8</w:t>
            </w:r>
          </w:p>
        </w:tc>
        <w:tc>
          <w:tcPr>
            <w:tcW w:w="5541" w:type="dxa"/>
            <w:vAlign w:val="center"/>
          </w:tcPr>
          <w:p w14:paraId="43CE6A27">
            <w:pPr>
              <w:tabs>
                <w:tab w:val="left" w:pos="0"/>
              </w:tabs>
              <w:adjustRightInd w:val="0"/>
              <w:snapToGrid w:val="0"/>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审查</w:t>
            </w:r>
            <w:r>
              <w:rPr>
                <w:rFonts w:hint="eastAsia"/>
                <w:color w:val="000000" w:themeColor="text1"/>
                <w:kern w:val="0"/>
                <w:szCs w:val="21"/>
                <w:highlight w:val="none"/>
                <w14:textFill>
                  <w14:solidFill>
                    <w14:schemeClr w14:val="tx1"/>
                  </w14:solidFill>
                </w14:textFill>
              </w:rPr>
              <w:t>投标人</w:t>
            </w:r>
            <w:r>
              <w:rPr>
                <w:color w:val="000000" w:themeColor="text1"/>
                <w:kern w:val="0"/>
                <w:szCs w:val="21"/>
                <w:highlight w:val="none"/>
                <w14:textFill>
                  <w14:solidFill>
                    <w14:schemeClr w14:val="tx1"/>
                  </w14:solidFill>
                </w14:textFill>
              </w:rPr>
              <w:t>提供的《中小企业声明函》</w:t>
            </w:r>
            <w:r>
              <w:rPr>
                <w:rFonts w:hint="eastAsia"/>
                <w:color w:val="000000" w:themeColor="text1"/>
                <w:kern w:val="0"/>
                <w:szCs w:val="21"/>
                <w:highlight w:val="none"/>
                <w14:textFill>
                  <w14:solidFill>
                    <w14:schemeClr w14:val="tx1"/>
                  </w14:solidFill>
                </w14:textFill>
              </w:rPr>
              <w:t>或</w:t>
            </w:r>
            <w:r>
              <w:rPr>
                <w:color w:val="000000" w:themeColor="text1"/>
                <w:kern w:val="0"/>
                <w:szCs w:val="21"/>
                <w:highlight w:val="none"/>
                <w14:textFill>
                  <w14:solidFill>
                    <w14:schemeClr w14:val="tx1"/>
                  </w14:solidFill>
                </w14:textFill>
              </w:rPr>
              <w:t>《残疾人福利性单位声明函》</w:t>
            </w:r>
            <w:r>
              <w:rPr>
                <w:rFonts w:hint="eastAsia"/>
                <w:color w:val="000000" w:themeColor="text1"/>
                <w:kern w:val="0"/>
                <w:szCs w:val="21"/>
                <w:highlight w:val="none"/>
                <w14:textFill>
                  <w14:solidFill>
                    <w14:schemeClr w14:val="tx1"/>
                  </w14:solidFill>
                </w14:textFill>
              </w:rPr>
              <w:t>，或监狱企业证明材料</w:t>
            </w:r>
            <w:r>
              <w:rPr>
                <w:color w:val="000000" w:themeColor="text1"/>
                <w:kern w:val="0"/>
                <w:szCs w:val="21"/>
                <w:highlight w:val="none"/>
                <w14:textFill>
                  <w14:solidFill>
                    <w14:schemeClr w14:val="tx1"/>
                  </w14:solidFill>
                </w14:textFill>
              </w:rPr>
              <w:t>。</w:t>
            </w:r>
          </w:p>
        </w:tc>
        <w:tc>
          <w:tcPr>
            <w:tcW w:w="2115" w:type="dxa"/>
            <w:vAlign w:val="center"/>
          </w:tcPr>
          <w:p w14:paraId="60CB22D9">
            <w:pPr>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按</w:t>
            </w:r>
            <w:r>
              <w:rPr>
                <w:rFonts w:hint="eastAsia"/>
                <w:color w:val="000000" w:themeColor="text1"/>
                <w:kern w:val="0"/>
                <w:szCs w:val="21"/>
                <w:highlight w:val="none"/>
                <w14:textFill>
                  <w14:solidFill>
                    <w14:schemeClr w14:val="tx1"/>
                  </w14:solidFill>
                </w14:textFill>
              </w:rPr>
              <w:t>招标文件</w:t>
            </w:r>
            <w:r>
              <w:rPr>
                <w:color w:val="000000" w:themeColor="text1"/>
                <w:kern w:val="0"/>
                <w:szCs w:val="21"/>
                <w:highlight w:val="none"/>
                <w14:textFill>
                  <w14:solidFill>
                    <w14:schemeClr w14:val="tx1"/>
                  </w14:solidFill>
                </w14:textFill>
              </w:rPr>
              <w:t>格式提供</w:t>
            </w:r>
          </w:p>
          <w:p w14:paraId="6C04C003">
            <w:pPr>
              <w:jc w:val="center"/>
              <w:rPr>
                <w:rFonts w:hint="eastAsia" w:ascii="宋体" w:hAnsi="宋体" w:cs="宋体"/>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未提供的，投标无效。</w:t>
            </w:r>
          </w:p>
        </w:tc>
        <w:tc>
          <w:tcPr>
            <w:tcW w:w="1221" w:type="dxa"/>
            <w:vAlign w:val="center"/>
          </w:tcPr>
          <w:p w14:paraId="0D47237C">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p>
        </w:tc>
      </w:tr>
      <w:tr w14:paraId="4FE93A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996" w:type="dxa"/>
            <w:vAlign w:val="center"/>
          </w:tcPr>
          <w:p w14:paraId="2B85EAD5">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三</w:t>
            </w:r>
          </w:p>
        </w:tc>
        <w:tc>
          <w:tcPr>
            <w:tcW w:w="5541" w:type="dxa"/>
            <w:vAlign w:val="center"/>
          </w:tcPr>
          <w:p w14:paraId="4B8EB96E">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r>
              <w:rPr>
                <w:b/>
                <w:bCs/>
                <w:color w:val="000000" w:themeColor="text1"/>
                <w:kern w:val="0"/>
                <w:szCs w:val="21"/>
                <w:highlight w:val="none"/>
                <w14:textFill>
                  <w14:solidFill>
                    <w14:schemeClr w14:val="tx1"/>
                  </w14:solidFill>
                </w14:textFill>
              </w:rPr>
              <w:t>特定资格条件审查</w:t>
            </w:r>
          </w:p>
        </w:tc>
        <w:tc>
          <w:tcPr>
            <w:tcW w:w="2115" w:type="dxa"/>
            <w:vAlign w:val="center"/>
          </w:tcPr>
          <w:p w14:paraId="3D6C98D0">
            <w:pPr>
              <w:jc w:val="center"/>
              <w:rPr>
                <w:rFonts w:hint="eastAsia" w:ascii="宋体" w:hAnsi="宋体" w:cs="宋体"/>
                <w:color w:val="000000" w:themeColor="text1"/>
                <w:kern w:val="0"/>
                <w:szCs w:val="21"/>
                <w:highlight w:val="none"/>
                <w14:textFill>
                  <w14:solidFill>
                    <w14:schemeClr w14:val="tx1"/>
                  </w14:solidFill>
                </w14:textFill>
              </w:rPr>
            </w:pPr>
          </w:p>
        </w:tc>
        <w:tc>
          <w:tcPr>
            <w:tcW w:w="1221" w:type="dxa"/>
            <w:vAlign w:val="center"/>
          </w:tcPr>
          <w:p w14:paraId="0A2F33F7">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p>
        </w:tc>
      </w:tr>
      <w:tr w14:paraId="048BE3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2" w:hRule="atLeast"/>
        </w:trPr>
        <w:tc>
          <w:tcPr>
            <w:tcW w:w="996" w:type="dxa"/>
            <w:vAlign w:val="center"/>
          </w:tcPr>
          <w:p w14:paraId="4171AF86">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9</w:t>
            </w:r>
          </w:p>
        </w:tc>
        <w:tc>
          <w:tcPr>
            <w:tcW w:w="5541" w:type="dxa"/>
            <w:vAlign w:val="center"/>
          </w:tcPr>
          <w:p w14:paraId="41676D10">
            <w:pPr>
              <w:tabs>
                <w:tab w:val="left" w:pos="0"/>
              </w:tabs>
              <w:adjustRightInd w:val="0"/>
              <w:snapToGrid w:val="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①投标人需具有建设部门颁发的建筑工程施工总承包三级及以上资质，具备有效的安全生产许可证；</w:t>
            </w:r>
          </w:p>
          <w:p w14:paraId="37CFE04C">
            <w:pPr>
              <w:tabs>
                <w:tab w:val="left" w:pos="0"/>
              </w:tabs>
              <w:adjustRightInd w:val="0"/>
              <w:snapToGrid w:val="0"/>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②投标人拟派项目经理须具备建筑工程专业二级及以上注册建造师执业资格，具备有效的安全生产考核合格证书（建安B证），在本单位注册，且未担任其他在建工程项目的项目经理（提供承诺书）；</w:t>
            </w:r>
            <w:r>
              <w:rPr>
                <w:rFonts w:hint="eastAsia"/>
                <w:bCs/>
                <w:color w:val="000000" w:themeColor="text1"/>
                <w:szCs w:val="22"/>
                <w:highlight w:val="none"/>
                <w14:textFill>
                  <w14:solidFill>
                    <w14:schemeClr w14:val="tx1"/>
                  </w14:solidFill>
                </w14:textFill>
              </w:rPr>
              <w:t>③投标人的基本信息及项目经理的基本信息在“陕西省住房和城乡建设厅”（http://js.shaanxi.gov.cn/）或“陕西政务服务网”(https://zwfw.shaanxi.gov.cn/sx/public/index)官网可查询且无不良行为记录</w:t>
            </w:r>
            <w:r>
              <w:rPr>
                <w:rFonts w:hint="eastAsia"/>
                <w:color w:val="000000" w:themeColor="text1"/>
                <w:highlight w:val="none"/>
                <w14:textFill>
                  <w14:solidFill>
                    <w14:schemeClr w14:val="tx1"/>
                  </w14:solidFill>
                </w14:textFill>
              </w:rPr>
              <w:t>。</w:t>
            </w:r>
          </w:p>
        </w:tc>
        <w:tc>
          <w:tcPr>
            <w:tcW w:w="2115" w:type="dxa"/>
            <w:vAlign w:val="center"/>
          </w:tcPr>
          <w:p w14:paraId="3CDC8326">
            <w:pPr>
              <w:tabs>
                <w:tab w:val="left" w:pos="0"/>
              </w:tabs>
              <w:adjustRightInd w:val="0"/>
              <w:snapToGrid w:val="0"/>
              <w:jc w:val="center"/>
              <w:rPr>
                <w:rFonts w:hint="eastAsia" w:ascii="宋体" w:hAnsi="宋体" w:eastAsia="宋体" w:cs="宋体"/>
                <w:color w:val="000000" w:themeColor="text1"/>
                <w:kern w:val="0"/>
                <w:szCs w:val="21"/>
                <w:highlight w:val="none"/>
                <w:lang w:eastAsia="zh-CN"/>
                <w14:textFill>
                  <w14:solidFill>
                    <w14:schemeClr w14:val="tx1"/>
                  </w14:solidFill>
                </w14:textFill>
              </w:rPr>
            </w:pPr>
            <w:r>
              <w:rPr>
                <w:bCs/>
                <w:color w:val="000000" w:themeColor="text1"/>
                <w:kern w:val="0"/>
                <w:szCs w:val="21"/>
                <w:highlight w:val="none"/>
                <w14:textFill>
                  <w14:solidFill>
                    <w14:schemeClr w14:val="tx1"/>
                  </w14:solidFill>
                </w14:textFill>
              </w:rPr>
              <w:t>投标人未提供行政许可证复印件或者电子证书打印件，</w:t>
            </w:r>
            <w:r>
              <w:rPr>
                <w:rFonts w:hint="eastAsia"/>
                <w:bCs/>
                <w:color w:val="000000" w:themeColor="text1"/>
                <w:kern w:val="0"/>
                <w:szCs w:val="21"/>
                <w:highlight w:val="none"/>
                <w14:textFill>
                  <w14:solidFill>
                    <w14:schemeClr w14:val="tx1"/>
                  </w14:solidFill>
                </w14:textFill>
              </w:rPr>
              <w:t>或</w:t>
            </w:r>
            <w:r>
              <w:rPr>
                <w:bCs/>
                <w:color w:val="000000" w:themeColor="text1"/>
                <w:kern w:val="0"/>
                <w:szCs w:val="21"/>
                <w:highlight w:val="none"/>
                <w14:textFill>
                  <w14:solidFill>
                    <w14:schemeClr w14:val="tx1"/>
                  </w14:solidFill>
                </w14:textFill>
              </w:rPr>
              <w:t>经核实信息有误的，投标无效</w:t>
            </w:r>
            <w:r>
              <w:rPr>
                <w:rFonts w:hint="eastAsia"/>
                <w:bCs/>
                <w:color w:val="000000" w:themeColor="text1"/>
                <w:kern w:val="0"/>
                <w:szCs w:val="21"/>
                <w:highlight w:val="none"/>
                <w:lang w:eastAsia="zh-CN"/>
                <w14:textFill>
                  <w14:solidFill>
                    <w14:schemeClr w14:val="tx1"/>
                  </w14:solidFill>
                </w14:textFill>
              </w:rPr>
              <w:t>。</w:t>
            </w:r>
            <w:r>
              <w:rPr>
                <w:rFonts w:hint="eastAsia"/>
                <w:bCs/>
                <w:color w:val="000000" w:themeColor="text1"/>
                <w:szCs w:val="22"/>
                <w:highlight w:val="none"/>
                <w14:textFill>
                  <w14:solidFill>
                    <w14:schemeClr w14:val="tx1"/>
                  </w14:solidFill>
                </w14:textFill>
              </w:rPr>
              <w:t>查询</w:t>
            </w:r>
            <w:r>
              <w:rPr>
                <w:color w:val="000000" w:themeColor="text1"/>
                <w:kern w:val="0"/>
                <w:szCs w:val="21"/>
                <w:highlight w:val="none"/>
                <w14:textFill>
                  <w14:solidFill>
                    <w14:schemeClr w14:val="tx1"/>
                  </w14:solidFill>
                </w14:textFill>
              </w:rPr>
              <w:t>以评审现场查询结果为准</w:t>
            </w:r>
          </w:p>
        </w:tc>
        <w:tc>
          <w:tcPr>
            <w:tcW w:w="1221" w:type="dxa"/>
            <w:vAlign w:val="center"/>
          </w:tcPr>
          <w:p w14:paraId="72A023D7">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p>
        </w:tc>
      </w:tr>
      <w:tr w14:paraId="5B5272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996" w:type="dxa"/>
            <w:vAlign w:val="center"/>
          </w:tcPr>
          <w:p w14:paraId="2D0B4486">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四</w:t>
            </w:r>
          </w:p>
        </w:tc>
        <w:tc>
          <w:tcPr>
            <w:tcW w:w="5541" w:type="dxa"/>
            <w:vAlign w:val="center"/>
          </w:tcPr>
          <w:p w14:paraId="2450A345">
            <w:pPr>
              <w:tabs>
                <w:tab w:val="left" w:pos="0"/>
              </w:tabs>
              <w:adjustRightInd w:val="0"/>
              <w:snapToGrid w:val="0"/>
              <w:rPr>
                <w:rFonts w:hint="eastAsia" w:ascii="宋体" w:hAnsi="宋体" w:cs="宋体"/>
                <w:color w:val="000000" w:themeColor="text1"/>
                <w:kern w:val="0"/>
                <w:szCs w:val="21"/>
                <w:highlight w:val="none"/>
                <w14:textFill>
                  <w14:solidFill>
                    <w14:schemeClr w14:val="tx1"/>
                  </w14:solidFill>
                </w14:textFill>
              </w:rPr>
            </w:pPr>
            <w:r>
              <w:rPr>
                <w:b/>
                <w:color w:val="000000" w:themeColor="text1"/>
                <w:kern w:val="0"/>
                <w:szCs w:val="21"/>
                <w:highlight w:val="none"/>
                <w14:textFill>
                  <w14:solidFill>
                    <w14:schemeClr w14:val="tx1"/>
                  </w14:solidFill>
                </w14:textFill>
              </w:rPr>
              <w:t>限定资格条件审查</w:t>
            </w:r>
          </w:p>
        </w:tc>
        <w:tc>
          <w:tcPr>
            <w:tcW w:w="2115" w:type="dxa"/>
            <w:vAlign w:val="center"/>
          </w:tcPr>
          <w:p w14:paraId="449458B2">
            <w:pPr>
              <w:jc w:val="center"/>
              <w:rPr>
                <w:rFonts w:hint="eastAsia" w:ascii="宋体" w:hAnsi="宋体" w:cs="宋体"/>
                <w:color w:val="000000" w:themeColor="text1"/>
                <w:kern w:val="0"/>
                <w:szCs w:val="21"/>
                <w:highlight w:val="none"/>
                <w14:textFill>
                  <w14:solidFill>
                    <w14:schemeClr w14:val="tx1"/>
                  </w14:solidFill>
                </w14:textFill>
              </w:rPr>
            </w:pPr>
          </w:p>
        </w:tc>
        <w:tc>
          <w:tcPr>
            <w:tcW w:w="1221" w:type="dxa"/>
            <w:vAlign w:val="center"/>
          </w:tcPr>
          <w:p w14:paraId="0A1B7B36">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p>
        </w:tc>
      </w:tr>
      <w:tr w14:paraId="5CBF2C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996" w:type="dxa"/>
            <w:vAlign w:val="center"/>
          </w:tcPr>
          <w:p w14:paraId="04F4E9F9">
            <w:pPr>
              <w:tabs>
                <w:tab w:val="left" w:pos="0"/>
              </w:tabs>
              <w:adjustRightInd w:val="0"/>
              <w:snapToGrid w:val="0"/>
              <w:jc w:val="center"/>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w:t>
            </w:r>
            <w:r>
              <w:rPr>
                <w:rFonts w:hint="eastAsia"/>
                <w:color w:val="000000" w:themeColor="text1"/>
                <w:kern w:val="0"/>
                <w:sz w:val="18"/>
                <w:szCs w:val="18"/>
                <w:highlight w:val="none"/>
                <w:lang w:val="en-US" w:eastAsia="zh-CN"/>
                <w14:textFill>
                  <w14:solidFill>
                    <w14:schemeClr w14:val="tx1"/>
                  </w14:solidFill>
                </w14:textFill>
              </w:rPr>
              <w:t>0</w:t>
            </w:r>
          </w:p>
        </w:tc>
        <w:tc>
          <w:tcPr>
            <w:tcW w:w="5541" w:type="dxa"/>
            <w:vAlign w:val="center"/>
          </w:tcPr>
          <w:p w14:paraId="42C0B333">
            <w:pPr>
              <w:tabs>
                <w:tab w:val="left" w:pos="0"/>
              </w:tabs>
              <w:adjustRightInd w:val="0"/>
              <w:snapToGrid w:val="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Cs/>
                <w:color w:val="000000" w:themeColor="text1"/>
                <w:kern w:val="0"/>
                <w:szCs w:val="21"/>
                <w:highlight w:val="none"/>
                <w:lang w:val="zh-CN" w:eastAsia="zh-TW"/>
                <w14:textFill>
                  <w14:solidFill>
                    <w14:schemeClr w14:val="tx1"/>
                  </w14:solidFill>
                </w14:textFill>
              </w:rPr>
              <w:t>投标人不得被</w:t>
            </w:r>
            <w:r>
              <w:rPr>
                <w:rFonts w:hint="eastAsia" w:ascii="宋体" w:hAnsi="宋体"/>
                <w:bCs/>
                <w:color w:val="000000" w:themeColor="text1"/>
                <w:kern w:val="0"/>
                <w:szCs w:val="21"/>
                <w:highlight w:val="none"/>
                <w:lang w:eastAsia="zh-TW"/>
                <w14:textFill>
                  <w14:solidFill>
                    <w14:schemeClr w14:val="tx1"/>
                  </w14:solidFill>
                </w14:textFill>
              </w:rPr>
              <w:t>“</w:t>
            </w:r>
            <w:r>
              <w:rPr>
                <w:rFonts w:hint="eastAsia" w:ascii="宋体" w:hAnsi="宋体"/>
                <w:bCs/>
                <w:color w:val="000000" w:themeColor="text1"/>
                <w:kern w:val="0"/>
                <w:szCs w:val="21"/>
                <w:highlight w:val="none"/>
                <w:lang w:val="zh-CN" w:eastAsia="zh-TW"/>
                <w14:textFill>
                  <w14:solidFill>
                    <w14:schemeClr w14:val="tx1"/>
                  </w14:solidFill>
                </w14:textFill>
              </w:rPr>
              <w:t>信用中国</w:t>
            </w:r>
            <w:r>
              <w:rPr>
                <w:rFonts w:hint="eastAsia" w:ascii="宋体" w:hAnsi="宋体"/>
                <w:bCs/>
                <w:color w:val="000000" w:themeColor="text1"/>
                <w:kern w:val="0"/>
                <w:szCs w:val="21"/>
                <w:highlight w:val="none"/>
                <w:lang w:eastAsia="zh-TW"/>
                <w14:textFill>
                  <w14:solidFill>
                    <w14:schemeClr w14:val="tx1"/>
                  </w14:solidFill>
                </w14:textFill>
              </w:rPr>
              <w:t>”</w:t>
            </w:r>
            <w:r>
              <w:rPr>
                <w:rFonts w:hint="eastAsia" w:ascii="宋体" w:hAnsi="宋体"/>
                <w:bCs/>
                <w:color w:val="000000" w:themeColor="text1"/>
                <w:kern w:val="0"/>
                <w:szCs w:val="21"/>
                <w:highlight w:val="none"/>
                <w:lang w:val="zh-CN" w:eastAsia="zh-TW"/>
                <w14:textFill>
                  <w14:solidFill>
                    <w14:schemeClr w14:val="tx1"/>
                  </w14:solidFill>
                </w14:textFill>
              </w:rPr>
              <w:t>网站</w:t>
            </w:r>
            <w:r>
              <w:rPr>
                <w:rFonts w:hint="eastAsia" w:ascii="宋体" w:hAnsi="宋体"/>
                <w:bCs/>
                <w:color w:val="000000" w:themeColor="text1"/>
                <w:kern w:val="0"/>
                <w:szCs w:val="21"/>
                <w:highlight w:val="none"/>
                <w:lang w:eastAsia="zh-TW"/>
                <w14:textFill>
                  <w14:solidFill>
                    <w14:schemeClr w14:val="tx1"/>
                  </w14:solidFill>
                </w14:textFill>
              </w:rPr>
              <w:t>（https://www.creditchina.gov.cn/ ）</w:t>
            </w:r>
            <w:r>
              <w:rPr>
                <w:rFonts w:hint="eastAsia" w:ascii="宋体" w:hAnsi="宋体"/>
                <w:bCs/>
                <w:color w:val="000000" w:themeColor="text1"/>
                <w:kern w:val="0"/>
                <w:szCs w:val="21"/>
                <w:highlight w:val="none"/>
                <w:lang w:val="zh-CN" w:eastAsia="zh-TW"/>
                <w14:textFill>
                  <w14:solidFill>
                    <w14:schemeClr w14:val="tx1"/>
                  </w14:solidFill>
                </w14:textFill>
              </w:rPr>
              <w:t>列入重大税收违法失信主体及严重失信主体名单、</w:t>
            </w:r>
            <w:r>
              <w:rPr>
                <w:rFonts w:hint="eastAsia" w:ascii="宋体" w:hAnsi="宋体"/>
                <w:bCs/>
                <w:color w:val="000000" w:themeColor="text1"/>
                <w:kern w:val="0"/>
                <w:szCs w:val="21"/>
                <w:highlight w:val="none"/>
                <w:lang w:eastAsia="zh-TW"/>
                <w14:textFill>
                  <w14:solidFill>
                    <w14:schemeClr w14:val="tx1"/>
                  </w14:solidFill>
                </w14:textFill>
              </w:rPr>
              <w:t>“</w:t>
            </w:r>
            <w:r>
              <w:rPr>
                <w:rFonts w:hint="eastAsia" w:ascii="宋体" w:hAnsi="宋体"/>
                <w:bCs/>
                <w:color w:val="000000" w:themeColor="text1"/>
                <w:kern w:val="0"/>
                <w:szCs w:val="21"/>
                <w:highlight w:val="none"/>
                <w:lang w:val="zh-CN" w:eastAsia="zh-TW"/>
                <w14:textFill>
                  <w14:solidFill>
                    <w14:schemeClr w14:val="tx1"/>
                  </w14:solidFill>
                </w14:textFill>
              </w:rPr>
              <w:t>中国执行信息公开网</w:t>
            </w:r>
            <w:r>
              <w:rPr>
                <w:rFonts w:hint="eastAsia" w:ascii="宋体" w:hAnsi="宋体"/>
                <w:bCs/>
                <w:color w:val="000000" w:themeColor="text1"/>
                <w:kern w:val="0"/>
                <w:szCs w:val="21"/>
                <w:highlight w:val="none"/>
                <w:lang w:eastAsia="zh-TW"/>
                <w14:textFill>
                  <w14:solidFill>
                    <w14:schemeClr w14:val="tx1"/>
                  </w14:solidFill>
                </w14:textFill>
              </w:rPr>
              <w:t>”(http://zxgk.court.gov.cn/shixin/)</w:t>
            </w:r>
            <w:r>
              <w:rPr>
                <w:rFonts w:hint="eastAsia" w:ascii="宋体" w:hAnsi="宋体"/>
                <w:bCs/>
                <w:color w:val="000000" w:themeColor="text1"/>
                <w:kern w:val="0"/>
                <w:szCs w:val="21"/>
                <w:highlight w:val="none"/>
                <w:lang w:val="zh-CN" w:eastAsia="zh-TW"/>
                <w14:textFill>
                  <w14:solidFill>
                    <w14:schemeClr w14:val="tx1"/>
                  </w14:solidFill>
                </w14:textFill>
              </w:rPr>
              <w:t>列入失信被执行人、不得处于</w:t>
            </w:r>
            <w:r>
              <w:rPr>
                <w:rFonts w:hint="eastAsia" w:ascii="宋体" w:hAnsi="宋体"/>
                <w:bCs/>
                <w:color w:val="000000" w:themeColor="text1"/>
                <w:kern w:val="0"/>
                <w:szCs w:val="21"/>
                <w:highlight w:val="none"/>
                <w:lang w:eastAsia="zh-TW"/>
                <w14:textFill>
                  <w14:solidFill>
                    <w14:schemeClr w14:val="tx1"/>
                  </w14:solidFill>
                </w14:textFill>
              </w:rPr>
              <w:t>“</w:t>
            </w:r>
            <w:r>
              <w:rPr>
                <w:rFonts w:hint="eastAsia" w:ascii="宋体" w:hAnsi="宋体"/>
                <w:bCs/>
                <w:color w:val="000000" w:themeColor="text1"/>
                <w:kern w:val="0"/>
                <w:szCs w:val="21"/>
                <w:highlight w:val="none"/>
                <w:lang w:val="zh-CN" w:eastAsia="zh-TW"/>
                <w14:textFill>
                  <w14:solidFill>
                    <w14:schemeClr w14:val="tx1"/>
                  </w14:solidFill>
                </w14:textFill>
              </w:rPr>
              <w:t>中国政府采购网</w:t>
            </w:r>
            <w:r>
              <w:rPr>
                <w:rFonts w:hint="eastAsia" w:ascii="宋体" w:hAnsi="宋体"/>
                <w:bCs/>
                <w:color w:val="000000" w:themeColor="text1"/>
                <w:kern w:val="0"/>
                <w:szCs w:val="21"/>
                <w:highlight w:val="none"/>
                <w:lang w:eastAsia="zh-TW"/>
                <w14:textFill>
                  <w14:solidFill>
                    <w14:schemeClr w14:val="tx1"/>
                  </w14:solidFill>
                </w14:textFill>
              </w:rPr>
              <w:t>”(http://www.ccgp.gov.cn/)</w:t>
            </w:r>
            <w:r>
              <w:rPr>
                <w:rFonts w:hint="eastAsia" w:ascii="宋体" w:hAnsi="宋体"/>
                <w:bCs/>
                <w:color w:val="000000" w:themeColor="text1"/>
                <w:kern w:val="0"/>
                <w:szCs w:val="21"/>
                <w:highlight w:val="none"/>
                <w:lang w:val="zh-CN" w:eastAsia="zh-TW"/>
                <w14:textFill>
                  <w14:solidFill>
                    <w14:schemeClr w14:val="tx1"/>
                  </w14:solidFill>
                </w14:textFill>
              </w:rPr>
              <w:t>政府采购严重违法失信行为信息记录中的禁止参加政府采购活动期间。</w:t>
            </w:r>
          </w:p>
        </w:tc>
        <w:tc>
          <w:tcPr>
            <w:tcW w:w="2115" w:type="dxa"/>
            <w:vAlign w:val="center"/>
          </w:tcPr>
          <w:p w14:paraId="75A778C7">
            <w:pPr>
              <w:jc w:val="center"/>
              <w:rPr>
                <w:rFonts w:hint="eastAsia" w:ascii="宋体" w:hAnsi="宋体" w:cs="宋体"/>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以评审现场查询结果为准</w:t>
            </w:r>
          </w:p>
        </w:tc>
        <w:tc>
          <w:tcPr>
            <w:tcW w:w="1221" w:type="dxa"/>
            <w:vAlign w:val="center"/>
          </w:tcPr>
          <w:p w14:paraId="34D14E8C">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p>
        </w:tc>
      </w:tr>
      <w:tr w14:paraId="3E592A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996" w:type="dxa"/>
            <w:vAlign w:val="center"/>
          </w:tcPr>
          <w:p w14:paraId="2D0F641D">
            <w:pPr>
              <w:tabs>
                <w:tab w:val="left" w:pos="0"/>
              </w:tabs>
              <w:adjustRightInd w:val="0"/>
              <w:snapToGrid w:val="0"/>
              <w:jc w:val="center"/>
              <w:rPr>
                <w:rFonts w:hint="default" w:eastAsia="宋体"/>
                <w:color w:val="000000" w:themeColor="text1"/>
                <w:kern w:val="0"/>
                <w:sz w:val="18"/>
                <w:szCs w:val="18"/>
                <w:highlight w:val="none"/>
                <w:lang w:val="en-US" w:eastAsia="zh-CN"/>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11</w:t>
            </w:r>
          </w:p>
        </w:tc>
        <w:tc>
          <w:tcPr>
            <w:tcW w:w="5541" w:type="dxa"/>
            <w:vAlign w:val="center"/>
          </w:tcPr>
          <w:p w14:paraId="4280803B">
            <w:pPr>
              <w:tabs>
                <w:tab w:val="left" w:pos="0"/>
              </w:tabs>
              <w:adjustRightInd w:val="0"/>
              <w:snapToGrid w:val="0"/>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单位负责人为同一人或者存在直接控股、管理关系的不同</w:t>
            </w:r>
            <w:r>
              <w:rPr>
                <w:rFonts w:hint="eastAsia"/>
                <w:color w:val="000000" w:themeColor="text1"/>
                <w:kern w:val="0"/>
                <w:szCs w:val="21"/>
                <w:highlight w:val="none"/>
                <w14:textFill>
                  <w14:solidFill>
                    <w14:schemeClr w14:val="tx1"/>
                  </w14:solidFill>
                </w14:textFill>
              </w:rPr>
              <w:t>投标人</w:t>
            </w:r>
            <w:r>
              <w:rPr>
                <w:color w:val="000000" w:themeColor="text1"/>
                <w:kern w:val="0"/>
                <w:szCs w:val="21"/>
                <w:highlight w:val="none"/>
                <w14:textFill>
                  <w14:solidFill>
                    <w14:schemeClr w14:val="tx1"/>
                  </w14:solidFill>
                </w14:textFill>
              </w:rPr>
              <w:t>，不得参加同一合同项下的采购活动；</w:t>
            </w:r>
            <w:r>
              <w:rPr>
                <w:rFonts w:hint="eastAsia"/>
                <w:color w:val="000000" w:themeColor="text1"/>
                <w:kern w:val="0"/>
                <w:szCs w:val="21"/>
                <w:highlight w:val="none"/>
                <w14:textFill>
                  <w14:solidFill>
                    <w14:schemeClr w14:val="tx1"/>
                  </w14:solidFill>
                </w14:textFill>
              </w:rPr>
              <w:t>投标人</w:t>
            </w:r>
            <w:r>
              <w:rPr>
                <w:color w:val="000000" w:themeColor="text1"/>
                <w:kern w:val="0"/>
                <w:szCs w:val="21"/>
                <w:highlight w:val="none"/>
                <w14:textFill>
                  <w14:solidFill>
                    <w14:schemeClr w14:val="tx1"/>
                  </w14:solidFill>
                </w14:textFill>
              </w:rPr>
              <w:t>未向本项目提供整体设计、规范编制或者项目管理、监理、检测、咨询服务</w:t>
            </w:r>
            <w:r>
              <w:rPr>
                <w:rFonts w:hint="eastAsia"/>
                <w:color w:val="000000" w:themeColor="text1"/>
                <w:kern w:val="0"/>
                <w:szCs w:val="21"/>
                <w:highlight w:val="none"/>
                <w14:textFill>
                  <w14:solidFill>
                    <w14:schemeClr w14:val="tx1"/>
                  </w14:solidFill>
                </w14:textFill>
              </w:rPr>
              <w:t>。</w:t>
            </w:r>
          </w:p>
        </w:tc>
        <w:tc>
          <w:tcPr>
            <w:tcW w:w="2115" w:type="dxa"/>
            <w:vAlign w:val="center"/>
          </w:tcPr>
          <w:p w14:paraId="56C42D27">
            <w:pPr>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按</w:t>
            </w:r>
            <w:r>
              <w:rPr>
                <w:rFonts w:hint="eastAsia"/>
                <w:color w:val="000000" w:themeColor="text1"/>
                <w:kern w:val="0"/>
                <w:szCs w:val="21"/>
                <w:highlight w:val="none"/>
                <w14:textFill>
                  <w14:solidFill>
                    <w14:schemeClr w14:val="tx1"/>
                  </w14:solidFill>
                </w14:textFill>
              </w:rPr>
              <w:t>招标</w:t>
            </w:r>
            <w:r>
              <w:rPr>
                <w:color w:val="000000" w:themeColor="text1"/>
                <w:kern w:val="0"/>
                <w:szCs w:val="21"/>
                <w:highlight w:val="none"/>
                <w14:textFill>
                  <w14:solidFill>
                    <w14:schemeClr w14:val="tx1"/>
                  </w14:solidFill>
                </w14:textFill>
              </w:rPr>
              <w:t>文件格式提供</w:t>
            </w:r>
            <w:r>
              <w:rPr>
                <w:rFonts w:hint="eastAsia"/>
                <w:color w:val="000000" w:themeColor="text1"/>
                <w:kern w:val="0"/>
                <w:szCs w:val="21"/>
                <w:highlight w:val="none"/>
                <w14:textFill>
                  <w14:solidFill>
                    <w14:schemeClr w14:val="tx1"/>
                  </w14:solidFill>
                </w14:textFill>
              </w:rPr>
              <w:t>响应</w:t>
            </w:r>
            <w:r>
              <w:rPr>
                <w:color w:val="000000" w:themeColor="text1"/>
                <w:kern w:val="0"/>
                <w:szCs w:val="21"/>
                <w:highlight w:val="none"/>
                <w14:textFill>
                  <w14:solidFill>
                    <w14:schemeClr w14:val="tx1"/>
                  </w14:solidFill>
                </w14:textFill>
              </w:rPr>
              <w:t>声明书</w:t>
            </w:r>
          </w:p>
        </w:tc>
        <w:tc>
          <w:tcPr>
            <w:tcW w:w="1221" w:type="dxa"/>
            <w:vAlign w:val="center"/>
          </w:tcPr>
          <w:p w14:paraId="3F050337">
            <w:pPr>
              <w:tabs>
                <w:tab w:val="left" w:pos="0"/>
              </w:tabs>
              <w:adjustRightInd w:val="0"/>
              <w:snapToGrid w:val="0"/>
              <w:jc w:val="center"/>
              <w:rPr>
                <w:rFonts w:hint="eastAsia" w:ascii="宋体" w:hAnsi="宋体" w:cs="宋体"/>
                <w:color w:val="000000" w:themeColor="text1"/>
                <w:kern w:val="0"/>
                <w:szCs w:val="21"/>
                <w:highlight w:val="none"/>
                <w14:textFill>
                  <w14:solidFill>
                    <w14:schemeClr w14:val="tx1"/>
                  </w14:solidFill>
                </w14:textFill>
              </w:rPr>
            </w:pPr>
          </w:p>
        </w:tc>
      </w:tr>
    </w:tbl>
    <w:p w14:paraId="55856D8D">
      <w:pPr>
        <w:spacing w:line="356" w:lineRule="auto"/>
        <w:ind w:firstLine="420" w:firstLineChars="200"/>
        <w:rPr>
          <w:rFonts w:hint="eastAsia" w:ascii="宋体" w:hAnsi="宋体" w:cs="宋体"/>
          <w:b/>
          <w:color w:val="000000" w:themeColor="text1"/>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3.1.4 投标人应对承诺内容的真实性、合法性、有效性负责。经调查核实为虚假承诺的，视为“提供虚假材料谋取中标、成交”的违法行为，依照《中华人民共和国政府采购法》等法律法规追究相应责任。投标人信用查询结果的截屏资料或者下载的信用报告，保存电子文件和纸质文件，随采购文件一起存档。</w:t>
      </w:r>
    </w:p>
    <w:p w14:paraId="7AC89AF4">
      <w:pPr>
        <w:autoSpaceDE w:val="0"/>
        <w:autoSpaceDN w:val="0"/>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3.1.5 分公司独立参与投标时，不能使用总公司的资质或业绩；总公司授权分公司或分支机构参与投标，可以使用总公司的资质或业绩。总公司单独参与投标时，可以使用分公司的业绩，在相关资质证书的管理要求和适用范围内可以使用分公司资质。</w:t>
      </w:r>
    </w:p>
    <w:p w14:paraId="7CED6F95">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3.1.6 </w:t>
      </w:r>
      <w:r>
        <w:rPr>
          <w:rFonts w:hint="eastAsia" w:ascii="宋体" w:hAnsi="宋体" w:cs="宋体"/>
          <w:color w:val="000000" w:themeColor="text1"/>
          <w:kern w:val="0"/>
          <w:szCs w:val="21"/>
          <w:highlight w:val="none"/>
          <w14:textFill>
            <w14:solidFill>
              <w14:schemeClr w14:val="tx1"/>
            </w14:solidFill>
          </w14:textFill>
        </w:rPr>
        <w:t>除银行、保险、石油石化、电力、电信行业外，其他行业分支机构在参与投标时，应当同时提供分支机构主体资格证明文件和总公司出具的授权书，总公司只能授权一家分支机构。经总公司（总所）授权后，总公司取得的相关资质证书对分支机构有效（法律法规或行业另有规定的除外）。</w:t>
      </w:r>
    </w:p>
    <w:p w14:paraId="3BDEAB87">
      <w:pPr>
        <w:autoSpaceDE w:val="0"/>
        <w:autoSpaceDN w:val="0"/>
        <w:spacing w:line="356" w:lineRule="auto"/>
        <w:ind w:firstLine="420"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3.1.7 投标人应保证所提供的全部证明材料的真实性，并保证愿意接受由采购人对其所提供材料的真实性的调查和考证。</w:t>
      </w:r>
    </w:p>
    <w:p w14:paraId="68673262">
      <w:pPr>
        <w:pStyle w:val="7"/>
        <w:spacing w:line="356" w:lineRule="auto"/>
        <w:ind w:firstLine="0"/>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3.2授权委托</w:t>
      </w:r>
    </w:p>
    <w:p w14:paraId="5A04B95C">
      <w:pPr>
        <w:pStyle w:val="16"/>
        <w:adjustRightInd w:val="0"/>
        <w:snapToGrid w:val="0"/>
        <w:spacing w:line="356" w:lineRule="auto"/>
        <w:ind w:firstLine="525" w:firstLineChars="25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3.2.1投标人代表为法定代表人的，应持有法定代表人身份证明。投标人代表不是法定代表人的，应持有法定代表人授权委托书。</w:t>
      </w:r>
    </w:p>
    <w:p w14:paraId="0247DD83">
      <w:pPr>
        <w:pStyle w:val="16"/>
        <w:adjustRightInd w:val="0"/>
        <w:snapToGrid w:val="0"/>
        <w:spacing w:line="356" w:lineRule="auto"/>
        <w:ind w:firstLine="525" w:firstLineChars="250"/>
        <w:rPr>
          <w:color w:val="000000" w:themeColor="text1"/>
          <w:kern w:val="0"/>
          <w:highlight w:val="none"/>
          <w14:textFill>
            <w14:solidFill>
              <w14:schemeClr w14:val="tx1"/>
            </w14:solidFill>
          </w14:textFill>
        </w:rPr>
      </w:pPr>
      <w:r>
        <w:rPr>
          <w:rFonts w:hint="eastAsia"/>
          <w:color w:val="000000" w:themeColor="text1"/>
          <w:highlight w:val="none"/>
          <w14:textFill>
            <w14:solidFill>
              <w14:schemeClr w14:val="tx1"/>
            </w14:solidFill>
          </w14:textFill>
        </w:rPr>
        <w:t>3.2</w:t>
      </w:r>
      <w:r>
        <w:rPr>
          <w:color w:val="000000" w:themeColor="text1"/>
          <w:kern w:val="0"/>
          <w:highlight w:val="none"/>
          <w14:textFill>
            <w14:solidFill>
              <w14:schemeClr w14:val="tx1"/>
            </w14:solidFill>
          </w14:textFill>
        </w:rPr>
        <w:t>.2</w:t>
      </w:r>
      <w:r>
        <w:rPr>
          <w:rFonts w:hint="eastAsia"/>
          <w:color w:val="000000" w:themeColor="text1"/>
          <w:kern w:val="0"/>
          <w:highlight w:val="none"/>
          <w14:textFill>
            <w14:solidFill>
              <w14:schemeClr w14:val="tx1"/>
            </w14:solidFill>
          </w14:textFill>
        </w:rPr>
        <w:t>投标</w:t>
      </w:r>
      <w:r>
        <w:rPr>
          <w:color w:val="000000" w:themeColor="text1"/>
          <w:kern w:val="0"/>
          <w:highlight w:val="none"/>
          <w14:textFill>
            <w14:solidFill>
              <w14:schemeClr w14:val="tx1"/>
            </w14:solidFill>
          </w14:textFill>
        </w:rPr>
        <w:t>人应</w:t>
      </w:r>
      <w:r>
        <w:rPr>
          <w:rFonts w:hint="eastAsia"/>
          <w:color w:val="000000" w:themeColor="text1"/>
          <w:kern w:val="0"/>
          <w:highlight w:val="none"/>
          <w14:textFill>
            <w14:solidFill>
              <w14:schemeClr w14:val="tx1"/>
            </w14:solidFill>
          </w14:textFill>
        </w:rPr>
        <w:t>当</w:t>
      </w:r>
      <w:r>
        <w:rPr>
          <w:color w:val="000000" w:themeColor="text1"/>
          <w:kern w:val="0"/>
          <w:highlight w:val="none"/>
          <w14:textFill>
            <w14:solidFill>
              <w14:schemeClr w14:val="tx1"/>
            </w14:solidFill>
          </w14:textFill>
        </w:rPr>
        <w:t>委托本单位员工</w:t>
      </w:r>
      <w:r>
        <w:rPr>
          <w:rFonts w:hint="eastAsia"/>
          <w:color w:val="000000" w:themeColor="text1"/>
          <w:kern w:val="0"/>
          <w:highlight w:val="none"/>
          <w14:textFill>
            <w14:solidFill>
              <w14:schemeClr w14:val="tx1"/>
            </w14:solidFill>
          </w14:textFill>
        </w:rPr>
        <w:t>作为投标人代表，且投标</w:t>
      </w:r>
      <w:r>
        <w:rPr>
          <w:color w:val="000000" w:themeColor="text1"/>
          <w:kern w:val="0"/>
          <w:highlight w:val="none"/>
          <w14:textFill>
            <w14:solidFill>
              <w14:schemeClr w14:val="tx1"/>
            </w14:solidFill>
          </w14:textFill>
        </w:rPr>
        <w:t>人代表只能接受一个</w:t>
      </w:r>
      <w:r>
        <w:rPr>
          <w:rFonts w:hint="eastAsia"/>
          <w:color w:val="000000" w:themeColor="text1"/>
          <w:kern w:val="0"/>
          <w:highlight w:val="none"/>
          <w14:textFill>
            <w14:solidFill>
              <w14:schemeClr w14:val="tx1"/>
            </w14:solidFill>
          </w14:textFill>
        </w:rPr>
        <w:t>投标</w:t>
      </w:r>
      <w:r>
        <w:rPr>
          <w:color w:val="000000" w:themeColor="text1"/>
          <w:kern w:val="0"/>
          <w:highlight w:val="none"/>
          <w14:textFill>
            <w14:solidFill>
              <w14:schemeClr w14:val="tx1"/>
            </w14:solidFill>
          </w14:textFill>
        </w:rPr>
        <w:t>人的委托参加</w:t>
      </w:r>
      <w:r>
        <w:rPr>
          <w:rFonts w:hint="eastAsia"/>
          <w:color w:val="000000" w:themeColor="text1"/>
          <w:kern w:val="0"/>
          <w:highlight w:val="none"/>
          <w14:textFill>
            <w14:solidFill>
              <w14:schemeClr w14:val="tx1"/>
            </w14:solidFill>
          </w14:textFill>
        </w:rPr>
        <w:t>投标</w:t>
      </w:r>
      <w:r>
        <w:rPr>
          <w:color w:val="000000" w:themeColor="text1"/>
          <w:kern w:val="0"/>
          <w:highlight w:val="none"/>
          <w14:textFill>
            <w14:solidFill>
              <w14:schemeClr w14:val="tx1"/>
            </w14:solidFill>
          </w14:textFill>
        </w:rPr>
        <w:t>。</w:t>
      </w:r>
    </w:p>
    <w:p w14:paraId="1A098AF6">
      <w:pPr>
        <w:pStyle w:val="16"/>
        <w:adjustRightInd w:val="0"/>
        <w:snapToGrid w:val="0"/>
        <w:spacing w:line="356" w:lineRule="auto"/>
        <w:ind w:left="-178" w:leftChars="-85" w:firstLine="220" w:firstLineChars="73"/>
        <w:rPr>
          <w:color w:val="000000" w:themeColor="text1"/>
          <w:kern w:val="0"/>
          <w:sz w:val="30"/>
          <w:szCs w:val="30"/>
          <w:highlight w:val="none"/>
          <w14:textFill>
            <w14:solidFill>
              <w14:schemeClr w14:val="tx1"/>
            </w14:solidFill>
          </w14:textFill>
        </w:rPr>
      </w:pPr>
      <w:r>
        <w:rPr>
          <w:rFonts w:hint="eastAsia" w:hAnsi="宋体"/>
          <w:b/>
          <w:color w:val="000000" w:themeColor="text1"/>
          <w:sz w:val="30"/>
          <w:szCs w:val="30"/>
          <w:highlight w:val="none"/>
          <w14:textFill>
            <w14:solidFill>
              <w14:schemeClr w14:val="tx1"/>
            </w14:solidFill>
          </w14:textFill>
        </w:rPr>
        <w:t>3.3联合体投标</w:t>
      </w:r>
    </w:p>
    <w:p w14:paraId="7B24C4D3">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3.3.1本项目不接受联合体投标。</w:t>
      </w:r>
    </w:p>
    <w:p w14:paraId="4C9FD21B">
      <w:pPr>
        <w:adjustRightInd w:val="0"/>
        <w:snapToGrid w:val="0"/>
        <w:spacing w:line="356" w:lineRule="auto"/>
        <w:jc w:val="left"/>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3.4享受的政府采购政策</w:t>
      </w:r>
    </w:p>
    <w:p w14:paraId="2A4C2E9A">
      <w:pPr>
        <w:spacing w:line="356" w:lineRule="auto"/>
        <w:ind w:firstLine="411" w:firstLineChars="195"/>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3.4.1 绿色发展政策</w:t>
      </w:r>
    </w:p>
    <w:p w14:paraId="47A486C9">
      <w:pPr>
        <w:pStyle w:val="16"/>
        <w:adjustRightInd w:val="0"/>
        <w:snapToGrid w:val="0"/>
        <w:spacing w:line="360" w:lineRule="auto"/>
        <w:ind w:firstLine="630" w:firstLineChars="300"/>
        <w:rPr>
          <w:rFonts w:hint="eastAsia"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3.4.1.1 本工程项目所需的主要材料与设备，将</w:t>
      </w:r>
      <w:r>
        <w:rPr>
          <w:rFonts w:hint="eastAsia" w:hAnsi="宋体"/>
          <w:color w:val="000000" w:themeColor="text1"/>
          <w:highlight w:val="none"/>
          <w14:textFill>
            <w14:solidFill>
              <w14:schemeClr w14:val="tx1"/>
            </w14:solidFill>
          </w14:textFill>
        </w:rPr>
        <w:t>依据《节能产品、环境标志产品品目清单》和认证证书实施政府优先采购和强制采购。</w:t>
      </w:r>
    </w:p>
    <w:p w14:paraId="0DD3B9BE">
      <w:pPr>
        <w:pStyle w:val="16"/>
        <w:adjustRightInd w:val="0"/>
        <w:snapToGrid w:val="0"/>
        <w:spacing w:line="360" w:lineRule="auto"/>
        <w:ind w:firstLine="630" w:firstLineChars="3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3.4.1.2 施工过程中，中标人需按投标文件中承诺提供主要原材料与设备经</w:t>
      </w:r>
      <w:r>
        <w:rPr>
          <w:rFonts w:hint="eastAsia" w:hAnsi="宋体"/>
          <w:color w:val="000000" w:themeColor="text1"/>
          <w:highlight w:val="none"/>
          <w14:textFill>
            <w14:solidFill>
              <w14:schemeClr w14:val="tx1"/>
            </w14:solidFill>
          </w14:textFill>
        </w:rPr>
        <w:t>国家确定的认证机构出具的、处于有效期之内的节能产品、环境标志产品认证证书复印件。亦可通过中国政府采购网（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Style w:val="39"/>
          <w:rFonts w:hint="eastAsia" w:hAnsi="宋体"/>
          <w:color w:val="000000" w:themeColor="text1"/>
          <w:highlight w:val="none"/>
          <w14:textFill>
            <w14:solidFill>
              <w14:schemeClr w14:val="tx1"/>
            </w14:solidFill>
          </w14:textFill>
        </w:rPr>
        <w:t>http://www.ccgp.gov.cn/</w:t>
      </w:r>
      <w:r>
        <w:rPr>
          <w:rStyle w:val="39"/>
          <w:rFonts w:hint="eastAsia" w:hAnsi="宋体"/>
          <w:color w:val="000000" w:themeColor="text1"/>
          <w:highlight w:val="none"/>
          <w14:textFill>
            <w14:solidFill>
              <w14:schemeClr w14:val="tx1"/>
            </w14:solidFill>
          </w14:textFill>
        </w:rPr>
        <w:fldChar w:fldCharType="end"/>
      </w:r>
      <w:r>
        <w:rPr>
          <w:rFonts w:hint="eastAsia" w:hAnsi="宋体"/>
          <w:color w:val="000000" w:themeColor="text1"/>
          <w:highlight w:val="none"/>
          <w14:textFill>
            <w14:solidFill>
              <w14:schemeClr w14:val="tx1"/>
            </w14:solidFill>
          </w14:textFill>
        </w:rPr>
        <w:t>）对获证产品信息进行核对。</w:t>
      </w:r>
    </w:p>
    <w:p w14:paraId="0E897702">
      <w:pPr>
        <w:pStyle w:val="16"/>
        <w:adjustRightInd w:val="0"/>
        <w:snapToGrid w:val="0"/>
        <w:spacing w:line="360" w:lineRule="auto"/>
        <w:ind w:firstLine="630" w:firstLineChars="300"/>
        <w:rPr>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3.4.1.3中标人提供的主要材料与设备属于下列情形之一的，按虚假应标文件处理：</w:t>
      </w:r>
    </w:p>
    <w:p w14:paraId="4AA7380E">
      <w:pPr>
        <w:spacing w:line="356" w:lineRule="auto"/>
        <w:ind w:firstLine="409" w:firstLineChars="19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（1）不属于《节能产品、环境标志产品品目清单》中的产品；</w:t>
      </w:r>
    </w:p>
    <w:p w14:paraId="0C1E50FF">
      <w:pPr>
        <w:spacing w:line="356" w:lineRule="auto"/>
        <w:ind w:firstLine="409" w:firstLineChars="19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（2）未提供认证证书复印件；</w:t>
      </w:r>
    </w:p>
    <w:p w14:paraId="02160D4C">
      <w:pPr>
        <w:spacing w:line="356" w:lineRule="auto"/>
        <w:ind w:firstLine="409" w:firstLineChars="19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（3）认证证书已过期的；</w:t>
      </w:r>
    </w:p>
    <w:p w14:paraId="2308DB1A">
      <w:pPr>
        <w:spacing w:line="356" w:lineRule="auto"/>
        <w:ind w:firstLine="409" w:firstLineChars="19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经核对，认证证书存在信息有误；或认证证书所载产品品牌、型号、关键规格参数、产品品类，与投标文件响应内容不一致；或认证证书所载产品关键规格参数、产品品类等与工程量清单不一致；或认证证书未包含本项目所投产品的。</w:t>
      </w:r>
    </w:p>
    <w:p w14:paraId="25CA3AA8">
      <w:pPr>
        <w:spacing w:line="356" w:lineRule="auto"/>
        <w:ind w:firstLine="409" w:firstLineChars="19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特别提示：中标人提交的节能、环境标志产品认证证书，应当对应工程量清单列明的，拟实际投入本工程使用的设备及材料。仅提供同品牌其他型号或其他尺寸或其他品类产品证书的，视为未提供有效认证证明。</w:t>
      </w:r>
    </w:p>
    <w:p w14:paraId="5A391114">
      <w:pPr>
        <w:spacing w:line="356" w:lineRule="auto"/>
        <w:ind w:firstLine="409" w:firstLineChars="19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3.4.1.4国家确定的认证机构以《市场监管总局关于发布参与实施政府采购节能产品、环境标志产品认证机构名录的公告》（市场监管总局公告2019年第16号）为准。</w:t>
      </w:r>
    </w:p>
    <w:p w14:paraId="5A510222">
      <w:pPr>
        <w:adjustRightInd w:val="0"/>
        <w:snapToGrid w:val="0"/>
        <w:spacing w:line="356" w:lineRule="auto"/>
        <w:ind w:firstLine="422" w:firstLineChars="20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3.4.2中小企业发展政策</w:t>
      </w:r>
    </w:p>
    <w:p w14:paraId="70CBB255">
      <w:pPr>
        <w:adjustRightInd w:val="0"/>
        <w:snapToGrid w:val="0"/>
        <w:spacing w:line="356" w:lineRule="auto"/>
        <w:ind w:firstLine="422" w:firstLineChars="200"/>
        <w:jc w:val="left"/>
        <w:rPr>
          <w:rFonts w:hint="eastAsia" w:ascii="宋体" w:hAnsi="宋体" w:cs="宋体"/>
          <w:b/>
          <w:bCs/>
          <w:snapToGrid w:val="0"/>
          <w:color w:val="000000" w:themeColor="text1"/>
          <w:kern w:val="0"/>
          <w:szCs w:val="21"/>
          <w:highlight w:val="none"/>
          <w14:textFill>
            <w14:solidFill>
              <w14:schemeClr w14:val="tx1"/>
            </w14:solidFill>
          </w14:textFill>
        </w:rPr>
      </w:pPr>
      <w:r>
        <w:rPr>
          <w:rFonts w:hint="eastAsia" w:ascii="宋体" w:hAnsi="宋体" w:cs="宋体"/>
          <w:b/>
          <w:bCs/>
          <w:snapToGrid w:val="0"/>
          <w:color w:val="000000" w:themeColor="text1"/>
          <w:kern w:val="0"/>
          <w:szCs w:val="21"/>
          <w:highlight w:val="none"/>
          <w14:textFill>
            <w14:solidFill>
              <w14:schemeClr w14:val="tx1"/>
            </w14:solidFill>
          </w14:textFill>
        </w:rPr>
        <w:t>3.4.2.1中小企业</w:t>
      </w:r>
    </w:p>
    <w:p w14:paraId="51855ADE">
      <w:pPr>
        <w:adjustRightInd w:val="0"/>
        <w:snapToGrid w:val="0"/>
        <w:spacing w:line="356" w:lineRule="auto"/>
        <w:ind w:firstLine="420" w:firstLineChars="200"/>
        <w:jc w:val="left"/>
        <w:rPr>
          <w:snapToGrid w:val="0"/>
          <w:color w:val="000000" w:themeColor="text1"/>
          <w:kern w:val="0"/>
          <w:szCs w:val="21"/>
          <w:highlight w:val="none"/>
          <w14:textFill>
            <w14:solidFill>
              <w14:schemeClr w14:val="tx1"/>
            </w14:solidFill>
          </w14:textFill>
        </w:rPr>
      </w:pPr>
      <w:r>
        <w:rPr>
          <w:rFonts w:hint="eastAsia" w:ascii="宋体" w:hAnsi="宋体"/>
          <w:snapToGrid w:val="0"/>
          <w:color w:val="000000" w:themeColor="text1"/>
          <w:kern w:val="0"/>
          <w:szCs w:val="21"/>
          <w:highlight w:val="none"/>
          <w14:textFill>
            <w14:solidFill>
              <w14:schemeClr w14:val="tx1"/>
            </w14:solidFill>
          </w14:textFill>
        </w:rPr>
        <w:t>依据《中小企业划型标准规定》（工信部联企业〔2011〕300号）的划分标准，所投全部货物的制造商都属于中小企业的，即可</w:t>
      </w:r>
      <w:r>
        <w:rPr>
          <w:rFonts w:hint="eastAsia"/>
          <w:snapToGrid w:val="0"/>
          <w:color w:val="000000" w:themeColor="text1"/>
          <w:kern w:val="0"/>
          <w:szCs w:val="21"/>
          <w:highlight w:val="none"/>
          <w14:textFill>
            <w14:solidFill>
              <w14:schemeClr w14:val="tx1"/>
            </w14:solidFill>
          </w14:textFill>
        </w:rPr>
        <w:t>享受中小型企业发展扶持政策。</w:t>
      </w:r>
    </w:p>
    <w:p w14:paraId="03FBD763">
      <w:pPr>
        <w:adjustRightInd w:val="0"/>
        <w:snapToGrid w:val="0"/>
        <w:spacing w:line="356" w:lineRule="auto"/>
        <w:ind w:firstLine="420" w:firstLineChars="200"/>
        <w:jc w:val="left"/>
        <w:rPr>
          <w:snapToGrid w:val="0"/>
          <w:color w:val="000000" w:themeColor="text1"/>
          <w:kern w:val="0"/>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若本项目包括采购货物或服务的，无论货物制造商还是服务承接商是否属于中小企业，均不影响投标人享受中小型企业发展扶持政策</w:t>
      </w:r>
      <w:r>
        <w:rPr>
          <w:rFonts w:hint="eastAsia" w:ascii="宋体" w:hAnsi="宋体" w:cs="宋体"/>
          <w:snapToGrid w:val="0"/>
          <w:color w:val="000000" w:themeColor="text1"/>
          <w:kern w:val="0"/>
          <w:szCs w:val="21"/>
          <w:highlight w:val="none"/>
          <w14:textFill>
            <w14:solidFill>
              <w14:schemeClr w14:val="tx1"/>
            </w14:solidFill>
          </w14:textFill>
        </w:rPr>
        <w:t>。</w:t>
      </w:r>
    </w:p>
    <w:p w14:paraId="6F82912E">
      <w:pPr>
        <w:adjustRightInd w:val="0"/>
        <w:snapToGrid w:val="0"/>
        <w:spacing w:line="356" w:lineRule="auto"/>
        <w:ind w:firstLine="420" w:firstLineChars="200"/>
        <w:jc w:val="left"/>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highlight w:val="none"/>
          <w14:textFill>
            <w14:solidFill>
              <w14:schemeClr w14:val="tx1"/>
            </w14:solidFill>
          </w14:textFill>
        </w:rPr>
        <w:t>符合中小企业政策条件的投标人参加政府采购活动时，应当提供《中小企业声明函》，</w:t>
      </w:r>
      <w:r>
        <w:rPr>
          <w:rFonts w:hint="eastAsia" w:hAnsi="宋体"/>
          <w:snapToGrid w:val="0"/>
          <w:color w:val="000000" w:themeColor="text1"/>
          <w:kern w:val="0"/>
          <w:highlight w:val="none"/>
          <w14:textFill>
            <w14:solidFill>
              <w14:schemeClr w14:val="tx1"/>
            </w14:solidFill>
          </w14:textFill>
        </w:rPr>
        <w:t>未提供</w:t>
      </w:r>
      <w:r>
        <w:rPr>
          <w:rFonts w:hint="eastAsia" w:ascii="宋体" w:hAnsi="宋体" w:cs="宋体"/>
          <w:snapToGrid w:val="0"/>
          <w:color w:val="000000" w:themeColor="text1"/>
          <w:kern w:val="0"/>
          <w:highlight w:val="none"/>
          <w14:textFill>
            <w14:solidFill>
              <w14:schemeClr w14:val="tx1"/>
            </w14:solidFill>
          </w14:textFill>
        </w:rPr>
        <w:t>或提供的《中小企业声明函》不符合相关要求</w:t>
      </w:r>
      <w:r>
        <w:rPr>
          <w:rFonts w:hint="eastAsia" w:hAnsi="宋体"/>
          <w:snapToGrid w:val="0"/>
          <w:color w:val="000000" w:themeColor="text1"/>
          <w:kern w:val="0"/>
          <w:highlight w:val="none"/>
          <w14:textFill>
            <w14:solidFill>
              <w14:schemeClr w14:val="tx1"/>
            </w14:solidFill>
          </w14:textFill>
        </w:rPr>
        <w:t>的，</w:t>
      </w:r>
      <w:r>
        <w:rPr>
          <w:rFonts w:hint="eastAsia" w:hAnsi="宋体"/>
          <w:b/>
          <w:bCs/>
          <w:snapToGrid w:val="0"/>
          <w:color w:val="000000" w:themeColor="text1"/>
          <w:kern w:val="0"/>
          <w:highlight w:val="none"/>
          <w14:textFill>
            <w14:solidFill>
              <w14:schemeClr w14:val="tx1"/>
            </w14:solidFill>
          </w14:textFill>
        </w:rPr>
        <w:t>不视为中小企业</w:t>
      </w:r>
      <w:r>
        <w:rPr>
          <w:rFonts w:hint="eastAsia" w:hAnsi="宋体"/>
          <w:snapToGrid w:val="0"/>
          <w:color w:val="000000" w:themeColor="text1"/>
          <w:kern w:val="0"/>
          <w:highlight w:val="none"/>
          <w14:textFill>
            <w14:solidFill>
              <w14:schemeClr w14:val="tx1"/>
            </w14:solidFill>
          </w14:textFill>
        </w:rPr>
        <w:t>。</w:t>
      </w:r>
    </w:p>
    <w:p w14:paraId="7F0895F5">
      <w:pPr>
        <w:adjustRightInd w:val="0"/>
        <w:snapToGrid w:val="0"/>
        <w:spacing w:line="356" w:lineRule="auto"/>
        <w:ind w:firstLine="422" w:firstLineChars="200"/>
        <w:jc w:val="left"/>
        <w:rPr>
          <w:rFonts w:hint="eastAsia" w:ascii="宋体" w:hAnsi="宋体" w:cs="宋体"/>
          <w:b/>
          <w:bCs/>
          <w:snapToGrid w:val="0"/>
          <w:color w:val="000000" w:themeColor="text1"/>
          <w:kern w:val="0"/>
          <w:szCs w:val="21"/>
          <w:highlight w:val="none"/>
          <w14:textFill>
            <w14:solidFill>
              <w14:schemeClr w14:val="tx1"/>
            </w14:solidFill>
          </w14:textFill>
        </w:rPr>
      </w:pPr>
      <w:r>
        <w:rPr>
          <w:rFonts w:hint="eastAsia" w:ascii="宋体" w:hAnsi="宋体" w:cs="宋体"/>
          <w:b/>
          <w:bCs/>
          <w:snapToGrid w:val="0"/>
          <w:color w:val="000000" w:themeColor="text1"/>
          <w:kern w:val="0"/>
          <w:highlight w:val="none"/>
          <w14:textFill>
            <w14:solidFill>
              <w14:schemeClr w14:val="tx1"/>
            </w14:solidFill>
          </w14:textFill>
        </w:rPr>
        <w:t>3.4.2.</w:t>
      </w:r>
      <w:r>
        <w:rPr>
          <w:rFonts w:hint="eastAsia" w:ascii="宋体" w:hAnsi="宋体" w:cs="宋体"/>
          <w:b/>
          <w:bCs/>
          <w:snapToGrid w:val="0"/>
          <w:color w:val="000000" w:themeColor="text1"/>
          <w:kern w:val="0"/>
          <w:szCs w:val="21"/>
          <w:highlight w:val="none"/>
          <w14:textFill>
            <w14:solidFill>
              <w14:schemeClr w14:val="tx1"/>
            </w14:solidFill>
          </w14:textFill>
        </w:rPr>
        <w:t>2</w:t>
      </w:r>
      <w:r>
        <w:rPr>
          <w:rFonts w:hint="eastAsia" w:hAnsi="宋体"/>
          <w:b/>
          <w:bCs/>
          <w:snapToGrid w:val="0"/>
          <w:color w:val="000000" w:themeColor="text1"/>
          <w:kern w:val="0"/>
          <w:highlight w:val="none"/>
          <w14:textFill>
            <w14:solidFill>
              <w14:schemeClr w14:val="tx1"/>
            </w14:solidFill>
          </w14:textFill>
        </w:rPr>
        <w:t>监狱企业</w:t>
      </w:r>
    </w:p>
    <w:p w14:paraId="076DC8C6">
      <w:pPr>
        <w:adjustRightInd w:val="0"/>
        <w:snapToGrid w:val="0"/>
        <w:spacing w:line="356" w:lineRule="auto"/>
        <w:ind w:firstLine="420" w:firstLineChars="200"/>
        <w:jc w:val="left"/>
        <w:rPr>
          <w:rFonts w:hint="eastAsia" w:ascii="宋体" w:hAnsi="宋体" w:cs="宋体"/>
          <w:snapToGrid w:val="0"/>
          <w:color w:val="000000" w:themeColor="text1"/>
          <w:kern w:val="0"/>
          <w:highlight w:val="none"/>
          <w14:textFill>
            <w14:solidFill>
              <w14:schemeClr w14:val="tx1"/>
            </w14:solidFill>
          </w14:textFill>
        </w:rPr>
      </w:pPr>
      <w:r>
        <w:rPr>
          <w:rFonts w:hint="eastAsia" w:ascii="宋体" w:hAnsi="宋体" w:cs="宋体"/>
          <w:snapToGrid w:val="0"/>
          <w:color w:val="000000" w:themeColor="text1"/>
          <w:kern w:val="0"/>
          <w:highlight w:val="none"/>
          <w14:textFill>
            <w14:solidFill>
              <w14:schemeClr w14:val="tx1"/>
            </w14:solidFill>
          </w14:textFill>
        </w:rPr>
        <w:t>依据《财政部、司法部关于政府采购支持监狱企业发展有关问题的通知》（财库〔2014〕68号）之规定，监狱企业参加政府采购活动，视同</w:t>
      </w:r>
      <w:r>
        <w:rPr>
          <w:rFonts w:hint="eastAsia" w:ascii="宋体" w:hAnsi="宋体" w:cs="宋体"/>
          <w:b/>
          <w:bCs/>
          <w:snapToGrid w:val="0"/>
          <w:color w:val="000000" w:themeColor="text1"/>
          <w:kern w:val="0"/>
          <w:highlight w:val="none"/>
          <w14:textFill>
            <w14:solidFill>
              <w14:schemeClr w14:val="tx1"/>
            </w14:solidFill>
          </w14:textFill>
        </w:rPr>
        <w:t>小微企业</w:t>
      </w:r>
      <w:r>
        <w:rPr>
          <w:rFonts w:hint="eastAsia" w:ascii="宋体" w:hAnsi="宋体" w:cs="宋体"/>
          <w:snapToGrid w:val="0"/>
          <w:color w:val="000000" w:themeColor="text1"/>
          <w:kern w:val="0"/>
          <w:highlight w:val="none"/>
          <w14:textFill>
            <w14:solidFill>
              <w14:schemeClr w14:val="tx1"/>
            </w14:solidFill>
          </w14:textFill>
        </w:rPr>
        <w:t>。</w:t>
      </w:r>
    </w:p>
    <w:p w14:paraId="19BC15A5">
      <w:pPr>
        <w:adjustRightInd w:val="0"/>
        <w:snapToGrid w:val="0"/>
        <w:spacing w:line="356" w:lineRule="auto"/>
        <w:ind w:firstLine="420" w:firstLineChars="200"/>
        <w:jc w:val="left"/>
        <w:rPr>
          <w:rFonts w:hint="eastAsia" w:hAnsi="宋体"/>
          <w:snapToGrid w:val="0"/>
          <w:color w:val="000000" w:themeColor="text1"/>
          <w:kern w:val="0"/>
          <w:highlight w:val="none"/>
          <w14:textFill>
            <w14:solidFill>
              <w14:schemeClr w14:val="tx1"/>
            </w14:solidFill>
          </w14:textFill>
        </w:rPr>
      </w:pPr>
      <w:r>
        <w:rPr>
          <w:rFonts w:hint="eastAsia" w:hAnsi="宋体"/>
          <w:snapToGrid w:val="0"/>
          <w:color w:val="000000" w:themeColor="text1"/>
          <w:kern w:val="0"/>
          <w:highlight w:val="none"/>
          <w14:textFill>
            <w14:solidFill>
              <w14:schemeClr w14:val="tx1"/>
            </w14:solidFill>
          </w14:textFill>
        </w:rPr>
        <w:t>投标人为监狱企业，应当提供由省级以上监狱管理局、戒毒管理局出具的属于监狱企业的证明文件，未提供或</w:t>
      </w:r>
      <w:r>
        <w:rPr>
          <w:rFonts w:hint="eastAsia" w:hAnsi="宋体" w:cs="宋体"/>
          <w:snapToGrid w:val="0"/>
          <w:color w:val="000000" w:themeColor="text1"/>
          <w:kern w:val="0"/>
          <w:highlight w:val="none"/>
          <w14:textFill>
            <w14:solidFill>
              <w14:schemeClr w14:val="tx1"/>
            </w14:solidFill>
          </w14:textFill>
        </w:rPr>
        <w:t>出具证明文件的单位不符合要求</w:t>
      </w:r>
      <w:r>
        <w:rPr>
          <w:rFonts w:hint="eastAsia" w:hAnsi="宋体"/>
          <w:snapToGrid w:val="0"/>
          <w:color w:val="000000" w:themeColor="text1"/>
          <w:kern w:val="0"/>
          <w:highlight w:val="none"/>
          <w14:textFill>
            <w14:solidFill>
              <w14:schemeClr w14:val="tx1"/>
            </w14:solidFill>
          </w14:textFill>
        </w:rPr>
        <w:t>的，不视为</w:t>
      </w:r>
      <w:r>
        <w:rPr>
          <w:rFonts w:hint="eastAsia" w:hAnsi="宋体"/>
          <w:b/>
          <w:bCs/>
          <w:snapToGrid w:val="0"/>
          <w:color w:val="000000" w:themeColor="text1"/>
          <w:kern w:val="0"/>
          <w:highlight w:val="none"/>
          <w14:textFill>
            <w14:solidFill>
              <w14:schemeClr w14:val="tx1"/>
            </w14:solidFill>
          </w14:textFill>
        </w:rPr>
        <w:t>小微企业</w:t>
      </w:r>
      <w:r>
        <w:rPr>
          <w:rFonts w:hint="eastAsia" w:hAnsi="宋体"/>
          <w:snapToGrid w:val="0"/>
          <w:color w:val="000000" w:themeColor="text1"/>
          <w:kern w:val="0"/>
          <w:highlight w:val="none"/>
          <w14:textFill>
            <w14:solidFill>
              <w14:schemeClr w14:val="tx1"/>
            </w14:solidFill>
          </w14:textFill>
        </w:rPr>
        <w:t>。</w:t>
      </w:r>
    </w:p>
    <w:p w14:paraId="5F9719E1">
      <w:pPr>
        <w:adjustRightInd w:val="0"/>
        <w:snapToGrid w:val="0"/>
        <w:spacing w:line="356" w:lineRule="auto"/>
        <w:ind w:firstLine="422" w:firstLineChars="200"/>
        <w:jc w:val="left"/>
        <w:rPr>
          <w:rFonts w:hint="eastAsia" w:ascii="宋体" w:hAnsi="宋体" w:cs="宋体"/>
          <w:b/>
          <w:bCs/>
          <w:snapToGrid w:val="0"/>
          <w:color w:val="000000" w:themeColor="text1"/>
          <w:kern w:val="0"/>
          <w:szCs w:val="21"/>
          <w:highlight w:val="none"/>
          <w14:textFill>
            <w14:solidFill>
              <w14:schemeClr w14:val="tx1"/>
            </w14:solidFill>
          </w14:textFill>
        </w:rPr>
      </w:pPr>
      <w:r>
        <w:rPr>
          <w:rFonts w:hint="eastAsia" w:ascii="宋体" w:hAnsi="宋体" w:cs="宋体"/>
          <w:b/>
          <w:bCs/>
          <w:snapToGrid w:val="0"/>
          <w:color w:val="000000" w:themeColor="text1"/>
          <w:kern w:val="0"/>
          <w:szCs w:val="21"/>
          <w:highlight w:val="none"/>
          <w14:textFill>
            <w14:solidFill>
              <w14:schemeClr w14:val="tx1"/>
            </w14:solidFill>
          </w14:textFill>
        </w:rPr>
        <w:t>监狱企业属于小微企业的，不重复享受优惠政策。</w:t>
      </w:r>
    </w:p>
    <w:p w14:paraId="42C8BCC2">
      <w:pPr>
        <w:adjustRightInd w:val="0"/>
        <w:snapToGrid w:val="0"/>
        <w:spacing w:line="356" w:lineRule="auto"/>
        <w:ind w:firstLine="422" w:firstLineChars="200"/>
        <w:jc w:val="left"/>
        <w:rPr>
          <w:rFonts w:hint="eastAsia" w:ascii="宋体" w:hAnsi="宋体" w:cs="宋体"/>
          <w:b/>
          <w:bCs/>
          <w:snapToGrid w:val="0"/>
          <w:color w:val="000000" w:themeColor="text1"/>
          <w:kern w:val="0"/>
          <w:highlight w:val="none"/>
          <w14:textFill>
            <w14:solidFill>
              <w14:schemeClr w14:val="tx1"/>
            </w14:solidFill>
          </w14:textFill>
        </w:rPr>
      </w:pPr>
      <w:r>
        <w:rPr>
          <w:rFonts w:hint="eastAsia" w:ascii="宋体" w:hAnsi="宋体" w:cs="宋体"/>
          <w:b/>
          <w:bCs/>
          <w:snapToGrid w:val="0"/>
          <w:color w:val="000000" w:themeColor="text1"/>
          <w:kern w:val="0"/>
          <w:highlight w:val="none"/>
          <w14:textFill>
            <w14:solidFill>
              <w14:schemeClr w14:val="tx1"/>
            </w14:solidFill>
          </w14:textFill>
        </w:rPr>
        <w:t>3.4.2.3</w:t>
      </w:r>
      <w:r>
        <w:rPr>
          <w:rFonts w:hint="eastAsia" w:hAnsi="宋体"/>
          <w:b/>
          <w:bCs/>
          <w:snapToGrid w:val="0"/>
          <w:color w:val="000000" w:themeColor="text1"/>
          <w:kern w:val="0"/>
          <w:highlight w:val="none"/>
          <w14:textFill>
            <w14:solidFill>
              <w14:schemeClr w14:val="tx1"/>
            </w14:solidFill>
          </w14:textFill>
        </w:rPr>
        <w:t>残疾人福利性单位</w:t>
      </w:r>
    </w:p>
    <w:p w14:paraId="29FE2729">
      <w:pPr>
        <w:adjustRightInd w:val="0"/>
        <w:snapToGrid w:val="0"/>
        <w:spacing w:line="356" w:lineRule="auto"/>
        <w:ind w:firstLine="420" w:firstLineChars="200"/>
        <w:jc w:val="left"/>
        <w:rPr>
          <w:rFonts w:hint="eastAsia" w:ascii="宋体" w:hAnsi="宋体" w:cs="宋体"/>
          <w:snapToGrid w:val="0"/>
          <w:color w:val="000000" w:themeColor="text1"/>
          <w:kern w:val="0"/>
          <w:highlight w:val="none"/>
          <w14:textFill>
            <w14:solidFill>
              <w14:schemeClr w14:val="tx1"/>
            </w14:solidFill>
          </w14:textFill>
        </w:rPr>
      </w:pPr>
      <w:r>
        <w:rPr>
          <w:rFonts w:hint="eastAsia" w:ascii="宋体" w:hAnsi="宋体" w:cs="宋体"/>
          <w:snapToGrid w:val="0"/>
          <w:color w:val="000000" w:themeColor="text1"/>
          <w:kern w:val="0"/>
          <w:highlight w:val="none"/>
          <w14:textFill>
            <w14:solidFill>
              <w14:schemeClr w14:val="tx1"/>
            </w14:solidFill>
          </w14:textFill>
        </w:rPr>
        <w:t>依据《财政部、民政部、中国残疾人联合会关于促进残疾人就业政府采购政策的通知》（财库〔2017〕141号）之规定，残疾人福利性单位参加政府采购活动，视同</w:t>
      </w:r>
      <w:r>
        <w:rPr>
          <w:rFonts w:hint="eastAsia" w:ascii="宋体" w:hAnsi="宋体" w:cs="宋体"/>
          <w:b/>
          <w:bCs/>
          <w:snapToGrid w:val="0"/>
          <w:color w:val="000000" w:themeColor="text1"/>
          <w:kern w:val="0"/>
          <w:highlight w:val="none"/>
          <w14:textFill>
            <w14:solidFill>
              <w14:schemeClr w14:val="tx1"/>
            </w14:solidFill>
          </w14:textFill>
        </w:rPr>
        <w:t>小微企业</w:t>
      </w:r>
      <w:r>
        <w:rPr>
          <w:rFonts w:hint="eastAsia" w:ascii="宋体" w:hAnsi="宋体" w:cs="宋体"/>
          <w:snapToGrid w:val="0"/>
          <w:color w:val="000000" w:themeColor="text1"/>
          <w:kern w:val="0"/>
          <w:highlight w:val="none"/>
          <w14:textFill>
            <w14:solidFill>
              <w14:schemeClr w14:val="tx1"/>
            </w14:solidFill>
          </w14:textFill>
        </w:rPr>
        <w:t>。</w:t>
      </w:r>
    </w:p>
    <w:p w14:paraId="16310AB7">
      <w:pPr>
        <w:adjustRightInd w:val="0"/>
        <w:snapToGrid w:val="0"/>
        <w:spacing w:line="356" w:lineRule="auto"/>
        <w:ind w:firstLine="420" w:firstLineChars="200"/>
        <w:jc w:val="left"/>
        <w:rPr>
          <w:rFonts w:hint="eastAsia" w:ascii="宋体" w:hAnsi="宋体" w:cs="宋体"/>
          <w:snapToGrid w:val="0"/>
          <w:color w:val="000000" w:themeColor="text1"/>
          <w:kern w:val="0"/>
          <w:highlight w:val="none"/>
          <w14:textFill>
            <w14:solidFill>
              <w14:schemeClr w14:val="tx1"/>
            </w14:solidFill>
          </w14:textFill>
        </w:rPr>
      </w:pPr>
      <w:r>
        <w:rPr>
          <w:rFonts w:hint="eastAsia" w:ascii="宋体" w:hAnsi="宋体" w:cs="宋体"/>
          <w:snapToGrid w:val="0"/>
          <w:color w:val="000000" w:themeColor="text1"/>
          <w:kern w:val="0"/>
          <w:highlight w:val="none"/>
          <w14:textFill>
            <w14:solidFill>
              <w14:schemeClr w14:val="tx1"/>
            </w14:solidFill>
          </w14:textFill>
        </w:rPr>
        <w:t>享受政府采购支持政策的残疾人福利性单位应当同时满足以下条件：</w:t>
      </w:r>
    </w:p>
    <w:p w14:paraId="7274D882">
      <w:pPr>
        <w:adjustRightInd w:val="0"/>
        <w:snapToGrid w:val="0"/>
        <w:spacing w:line="356" w:lineRule="auto"/>
        <w:ind w:firstLine="420" w:firstLineChars="200"/>
        <w:jc w:val="left"/>
        <w:rPr>
          <w:rFonts w:hint="eastAsia" w:ascii="宋体" w:hAnsi="宋体" w:cs="宋体"/>
          <w:snapToGrid w:val="0"/>
          <w:color w:val="000000" w:themeColor="text1"/>
          <w:kern w:val="0"/>
          <w:highlight w:val="none"/>
          <w14:textFill>
            <w14:solidFill>
              <w14:schemeClr w14:val="tx1"/>
            </w14:solidFill>
          </w14:textFill>
        </w:rPr>
      </w:pPr>
      <w:r>
        <w:rPr>
          <w:rFonts w:hint="eastAsia" w:ascii="宋体" w:hAnsi="宋体" w:cs="宋体"/>
          <w:snapToGrid w:val="0"/>
          <w:color w:val="000000" w:themeColor="text1"/>
          <w:kern w:val="0"/>
          <w:highlight w:val="none"/>
          <w14:textFill>
            <w14:solidFill>
              <w14:schemeClr w14:val="tx1"/>
            </w14:solidFill>
          </w14:textFill>
        </w:rPr>
        <w:t>（1）安置的残疾人占本单位在职职工人数的比例不低于 25%（含 25%），并且安置的残疾人</w:t>
      </w:r>
      <w:r>
        <w:rPr>
          <w:rFonts w:hint="eastAsia" w:hAnsi="宋体"/>
          <w:snapToGrid w:val="0"/>
          <w:color w:val="000000" w:themeColor="text1"/>
          <w:kern w:val="0"/>
          <w:highlight w:val="none"/>
          <w14:textFill>
            <w14:solidFill>
              <w14:schemeClr w14:val="tx1"/>
            </w14:solidFill>
          </w14:textFill>
        </w:rPr>
        <w:t>人数</w:t>
      </w:r>
      <w:r>
        <w:rPr>
          <w:rFonts w:hint="eastAsia" w:ascii="宋体" w:hAnsi="宋体" w:cs="宋体"/>
          <w:snapToGrid w:val="0"/>
          <w:color w:val="000000" w:themeColor="text1"/>
          <w:kern w:val="0"/>
          <w:highlight w:val="none"/>
          <w14:textFill>
            <w14:solidFill>
              <w14:schemeClr w14:val="tx1"/>
            </w14:solidFill>
          </w14:textFill>
        </w:rPr>
        <w:t>不少于 10 人（含 10 人）；</w:t>
      </w:r>
    </w:p>
    <w:p w14:paraId="07A2DEC1">
      <w:pPr>
        <w:adjustRightInd w:val="0"/>
        <w:snapToGrid w:val="0"/>
        <w:spacing w:line="356" w:lineRule="auto"/>
        <w:ind w:firstLine="420" w:firstLineChars="200"/>
        <w:jc w:val="left"/>
        <w:rPr>
          <w:rFonts w:hint="eastAsia" w:ascii="宋体" w:hAnsi="宋体" w:cs="宋体"/>
          <w:snapToGrid w:val="0"/>
          <w:color w:val="000000" w:themeColor="text1"/>
          <w:kern w:val="0"/>
          <w:highlight w:val="none"/>
          <w14:textFill>
            <w14:solidFill>
              <w14:schemeClr w14:val="tx1"/>
            </w14:solidFill>
          </w14:textFill>
        </w:rPr>
      </w:pPr>
      <w:r>
        <w:rPr>
          <w:rFonts w:hint="eastAsia" w:ascii="宋体" w:hAnsi="宋体" w:cs="宋体"/>
          <w:snapToGrid w:val="0"/>
          <w:color w:val="000000" w:themeColor="text1"/>
          <w:kern w:val="0"/>
          <w:highlight w:val="none"/>
          <w14:textFill>
            <w14:solidFill>
              <w14:schemeClr w14:val="tx1"/>
            </w14:solidFill>
          </w14:textFill>
        </w:rPr>
        <w:t>（2）依法与安置的每位残疾人签订了一年以上（含一年）的劳动合同或服务协议；</w:t>
      </w:r>
    </w:p>
    <w:p w14:paraId="0E483868">
      <w:pPr>
        <w:adjustRightInd w:val="0"/>
        <w:snapToGrid w:val="0"/>
        <w:spacing w:line="356" w:lineRule="auto"/>
        <w:ind w:firstLine="420" w:firstLineChars="200"/>
        <w:jc w:val="left"/>
        <w:rPr>
          <w:rFonts w:hint="eastAsia" w:ascii="宋体" w:hAnsi="宋体" w:cs="宋体"/>
          <w:snapToGrid w:val="0"/>
          <w:color w:val="000000" w:themeColor="text1"/>
          <w:kern w:val="0"/>
          <w:highlight w:val="none"/>
          <w14:textFill>
            <w14:solidFill>
              <w14:schemeClr w14:val="tx1"/>
            </w14:solidFill>
          </w14:textFill>
        </w:rPr>
      </w:pPr>
      <w:r>
        <w:rPr>
          <w:rFonts w:hint="eastAsia" w:ascii="宋体" w:hAnsi="宋体" w:cs="宋体"/>
          <w:snapToGrid w:val="0"/>
          <w:color w:val="000000" w:themeColor="text1"/>
          <w:kern w:val="0"/>
          <w:highlight w:val="none"/>
          <w14:textFill>
            <w14:solidFill>
              <w14:schemeClr w14:val="tx1"/>
            </w14:solidFill>
          </w14:textFill>
        </w:rPr>
        <w:t>（3）为安置的每位残疾人按月足额缴纳了基本养老保险、基本医疗保险、失业保险、工伤保险和生育保险等社会保险费；</w:t>
      </w:r>
    </w:p>
    <w:p w14:paraId="03A89A4B">
      <w:pPr>
        <w:adjustRightInd w:val="0"/>
        <w:snapToGrid w:val="0"/>
        <w:spacing w:line="356" w:lineRule="auto"/>
        <w:ind w:firstLine="420" w:firstLineChars="200"/>
        <w:jc w:val="left"/>
        <w:rPr>
          <w:rFonts w:hint="eastAsia" w:ascii="宋体" w:hAnsi="宋体" w:cs="宋体"/>
          <w:snapToGrid w:val="0"/>
          <w:color w:val="000000" w:themeColor="text1"/>
          <w:kern w:val="0"/>
          <w:highlight w:val="none"/>
          <w14:textFill>
            <w14:solidFill>
              <w14:schemeClr w14:val="tx1"/>
            </w14:solidFill>
          </w14:textFill>
        </w:rPr>
      </w:pPr>
      <w:r>
        <w:rPr>
          <w:rFonts w:hint="eastAsia" w:ascii="宋体" w:hAnsi="宋体" w:cs="宋体"/>
          <w:snapToGrid w:val="0"/>
          <w:color w:val="000000" w:themeColor="text1"/>
          <w:kern w:val="0"/>
          <w:highlight w:val="none"/>
          <w14:textFill>
            <w14:solidFill>
              <w14:schemeClr w14:val="tx1"/>
            </w14:solidFill>
          </w14:textFill>
        </w:rPr>
        <w:t>（4）通过银行等金融机构向安置的每位残疾人，按月支付了不低于单位所在区县适用的经省级人民政府批准的月最低工资标准的工资；</w:t>
      </w:r>
    </w:p>
    <w:p w14:paraId="7633DEAC">
      <w:pPr>
        <w:adjustRightInd w:val="0"/>
        <w:snapToGrid w:val="0"/>
        <w:spacing w:line="356" w:lineRule="auto"/>
        <w:ind w:firstLine="420" w:firstLineChars="200"/>
        <w:jc w:val="left"/>
        <w:rPr>
          <w:rFonts w:hint="eastAsia" w:ascii="宋体" w:hAnsi="宋体" w:cs="宋体"/>
          <w:snapToGrid w:val="0"/>
          <w:color w:val="000000" w:themeColor="text1"/>
          <w:kern w:val="0"/>
          <w:highlight w:val="none"/>
          <w14:textFill>
            <w14:solidFill>
              <w14:schemeClr w14:val="tx1"/>
            </w14:solidFill>
          </w14:textFill>
        </w:rPr>
      </w:pPr>
      <w:r>
        <w:rPr>
          <w:rFonts w:hint="eastAsia" w:ascii="宋体" w:hAnsi="宋体" w:cs="宋体"/>
          <w:snapToGrid w:val="0"/>
          <w:color w:val="000000" w:themeColor="text1"/>
          <w:kern w:val="0"/>
          <w:highlight w:val="none"/>
          <w14:textFill>
            <w14:solidFill>
              <w14:schemeClr w14:val="tx1"/>
            </w14:solidFill>
          </w14:textFill>
        </w:rPr>
        <w:t>（5）提供本单位承担的工程或者制造的货物或者服务。</w:t>
      </w:r>
    </w:p>
    <w:p w14:paraId="3EF26BDD">
      <w:pPr>
        <w:adjustRightInd w:val="0"/>
        <w:snapToGrid w:val="0"/>
        <w:spacing w:line="356" w:lineRule="auto"/>
        <w:ind w:firstLine="420" w:firstLineChars="200"/>
        <w:jc w:val="left"/>
        <w:rPr>
          <w:rFonts w:hint="eastAsia" w:hAnsi="宋体"/>
          <w:snapToGrid w:val="0"/>
          <w:color w:val="000000" w:themeColor="text1"/>
          <w:kern w:val="0"/>
          <w:highlight w:val="none"/>
          <w14:textFill>
            <w14:solidFill>
              <w14:schemeClr w14:val="tx1"/>
            </w14:solidFill>
          </w14:textFill>
        </w:rPr>
      </w:pPr>
      <w:r>
        <w:rPr>
          <w:rFonts w:hint="eastAsia" w:ascii="宋体" w:hAnsi="宋体" w:cs="宋体"/>
          <w:snapToGrid w:val="0"/>
          <w:color w:val="000000" w:themeColor="text1"/>
          <w:kern w:val="0"/>
          <w:highlight w:val="none"/>
          <w14:textFill>
            <w14:solidFill>
              <w14:schemeClr w14:val="tx1"/>
            </w14:solidFill>
          </w14:textFill>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7520CF07">
      <w:pPr>
        <w:adjustRightInd w:val="0"/>
        <w:snapToGrid w:val="0"/>
        <w:spacing w:line="356" w:lineRule="auto"/>
        <w:ind w:firstLine="420" w:firstLineChars="200"/>
        <w:jc w:val="left"/>
        <w:rPr>
          <w:rFonts w:hint="eastAsia" w:hAnsi="宋体"/>
          <w:snapToGrid w:val="0"/>
          <w:color w:val="000000" w:themeColor="text1"/>
          <w:kern w:val="0"/>
          <w:highlight w:val="none"/>
          <w14:textFill>
            <w14:solidFill>
              <w14:schemeClr w14:val="tx1"/>
            </w14:solidFill>
          </w14:textFill>
        </w:rPr>
      </w:pPr>
      <w:r>
        <w:rPr>
          <w:rFonts w:hint="eastAsia" w:hAnsi="宋体"/>
          <w:snapToGrid w:val="0"/>
          <w:color w:val="000000" w:themeColor="text1"/>
          <w:kern w:val="0"/>
          <w:highlight w:val="none"/>
          <w14:textFill>
            <w14:solidFill>
              <w14:schemeClr w14:val="tx1"/>
            </w14:solidFill>
          </w14:textFill>
        </w:rPr>
        <w:t>投标人为残疾人福利性单位，应当提供《残疾人福利性单位声明函》，未提供或提供的《残疾人福利性单位声明函》不符合相关要求的，不视为</w:t>
      </w:r>
      <w:r>
        <w:rPr>
          <w:rFonts w:hint="eastAsia" w:hAnsi="宋体"/>
          <w:b/>
          <w:bCs/>
          <w:snapToGrid w:val="0"/>
          <w:color w:val="000000" w:themeColor="text1"/>
          <w:kern w:val="0"/>
          <w:highlight w:val="none"/>
          <w14:textFill>
            <w14:solidFill>
              <w14:schemeClr w14:val="tx1"/>
            </w14:solidFill>
          </w14:textFill>
        </w:rPr>
        <w:t>小微企业</w:t>
      </w:r>
      <w:r>
        <w:rPr>
          <w:rFonts w:hint="eastAsia" w:hAnsi="宋体"/>
          <w:snapToGrid w:val="0"/>
          <w:color w:val="000000" w:themeColor="text1"/>
          <w:kern w:val="0"/>
          <w:highlight w:val="none"/>
          <w14:textFill>
            <w14:solidFill>
              <w14:schemeClr w14:val="tx1"/>
            </w14:solidFill>
          </w14:textFill>
        </w:rPr>
        <w:t>。</w:t>
      </w:r>
    </w:p>
    <w:p w14:paraId="06B34645">
      <w:pPr>
        <w:adjustRightInd w:val="0"/>
        <w:snapToGrid w:val="0"/>
        <w:spacing w:line="356" w:lineRule="auto"/>
        <w:ind w:firstLine="422" w:firstLineChars="200"/>
        <w:jc w:val="left"/>
        <w:rPr>
          <w:rFonts w:hint="eastAsia" w:hAnsi="宋体"/>
          <w:snapToGrid w:val="0"/>
          <w:color w:val="000000" w:themeColor="text1"/>
          <w:kern w:val="0"/>
          <w:highlight w:val="none"/>
          <w14:textFill>
            <w14:solidFill>
              <w14:schemeClr w14:val="tx1"/>
            </w14:solidFill>
          </w14:textFill>
        </w:rPr>
      </w:pPr>
      <w:r>
        <w:rPr>
          <w:rFonts w:hint="eastAsia" w:hAnsi="宋体"/>
          <w:b/>
          <w:bCs/>
          <w:snapToGrid w:val="0"/>
          <w:color w:val="000000" w:themeColor="text1"/>
          <w:kern w:val="0"/>
          <w:highlight w:val="none"/>
          <w14:textFill>
            <w14:solidFill>
              <w14:schemeClr w14:val="tx1"/>
            </w14:solidFill>
          </w14:textFill>
        </w:rPr>
        <w:t>残疾人福利性单位</w:t>
      </w:r>
      <w:r>
        <w:rPr>
          <w:rFonts w:hint="eastAsia" w:ascii="宋体" w:hAnsi="宋体" w:cs="宋体"/>
          <w:b/>
          <w:bCs/>
          <w:snapToGrid w:val="0"/>
          <w:color w:val="000000" w:themeColor="text1"/>
          <w:kern w:val="0"/>
          <w:szCs w:val="21"/>
          <w:highlight w:val="none"/>
          <w14:textFill>
            <w14:solidFill>
              <w14:schemeClr w14:val="tx1"/>
            </w14:solidFill>
          </w14:textFill>
        </w:rPr>
        <w:t>属于小微企业的，不重复享受优惠政策。</w:t>
      </w:r>
    </w:p>
    <w:p w14:paraId="269B68F5">
      <w:pPr>
        <w:adjustRightInd w:val="0"/>
        <w:snapToGrid w:val="0"/>
        <w:spacing w:line="356" w:lineRule="auto"/>
        <w:ind w:firstLine="420" w:firstLineChars="200"/>
        <w:jc w:val="left"/>
        <w:rPr>
          <w:rFonts w:hint="eastAsia" w:ascii="宋体" w:hAnsi="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highlight w:val="none"/>
          <w14:textFill>
            <w14:solidFill>
              <w14:schemeClr w14:val="tx1"/>
            </w14:solidFill>
          </w14:textFill>
        </w:rPr>
        <w:t>3.4.2.4</w:t>
      </w:r>
      <w:r>
        <w:rPr>
          <w:rFonts w:hint="eastAsia" w:ascii="宋体" w:hAnsi="宋体" w:cs="宋体"/>
          <w:snapToGrid w:val="0"/>
          <w:color w:val="000000" w:themeColor="text1"/>
          <w:kern w:val="0"/>
          <w:szCs w:val="21"/>
          <w:highlight w:val="none"/>
          <w14:textFill>
            <w14:solidFill>
              <w14:schemeClr w14:val="tx1"/>
            </w14:solidFill>
          </w14:textFill>
        </w:rPr>
        <w:t>政府采购监督检查、投诉处理及政府采购行政处罚中对中小企业的认定，由货物制造商注册登记所在地的县级以上人民政府中小企业主管部门负责</w:t>
      </w:r>
      <w:r>
        <w:rPr>
          <w:rFonts w:hint="eastAsia" w:ascii="宋体" w:hAnsi="宋体"/>
          <w:snapToGrid w:val="0"/>
          <w:color w:val="000000" w:themeColor="text1"/>
          <w:kern w:val="0"/>
          <w:szCs w:val="21"/>
          <w:highlight w:val="none"/>
          <w14:textFill>
            <w14:solidFill>
              <w14:schemeClr w14:val="tx1"/>
            </w14:solidFill>
          </w14:textFill>
        </w:rPr>
        <w:t>。</w:t>
      </w:r>
    </w:p>
    <w:p w14:paraId="33165912">
      <w:pPr>
        <w:adjustRightInd w:val="0"/>
        <w:snapToGrid w:val="0"/>
        <w:spacing w:line="356" w:lineRule="auto"/>
        <w:ind w:firstLine="422" w:firstLineChars="200"/>
        <w:jc w:val="lef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3.4.3支持本国产业政策</w:t>
      </w:r>
    </w:p>
    <w:p w14:paraId="7B63C7C0">
      <w:pPr>
        <w:adjustRightInd w:val="0"/>
        <w:snapToGrid w:val="0"/>
        <w:spacing w:line="356" w:lineRule="auto"/>
        <w:ind w:firstLine="420" w:firstLineChars="200"/>
        <w:jc w:val="left"/>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3.4.3.1本项目是否允许进口产品参加投标详见投标人须知前附表。</w:t>
      </w:r>
    </w:p>
    <w:p w14:paraId="3DF30424">
      <w:pPr>
        <w:adjustRightInd w:val="0"/>
        <w:snapToGrid w:val="0"/>
        <w:spacing w:line="356" w:lineRule="auto"/>
        <w:ind w:firstLine="420" w:firstLineChars="200"/>
        <w:jc w:val="left"/>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3.4.3.2对本国产品的支持政策</w:t>
      </w:r>
    </w:p>
    <w:p w14:paraId="2EF2A86E">
      <w:pPr>
        <w:adjustRightInd w:val="0"/>
        <w:snapToGrid w:val="0"/>
        <w:spacing w:line="356" w:lineRule="auto"/>
        <w:ind w:firstLine="420" w:firstLineChars="200"/>
        <w:jc w:val="left"/>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344526">
      <w:pPr>
        <w:adjustRightInd w:val="0"/>
        <w:snapToGrid w:val="0"/>
        <w:spacing w:line="356" w:lineRule="auto"/>
        <w:ind w:firstLine="420" w:firstLineChars="200"/>
        <w:jc w:val="left"/>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64D9DB2">
      <w:pPr>
        <w:adjustRightInd w:val="0"/>
        <w:snapToGrid w:val="0"/>
        <w:spacing w:line="356" w:lineRule="auto"/>
        <w:ind w:firstLine="420" w:firstLineChars="200"/>
        <w:jc w:val="left"/>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对于采购标的适用本国产品标准的采购项目，投标人应当出具《关于符合本国产品标准的声明函》或财政部会同有关部门规定的有关证明文件。出具符合要求的《声明函》或有关证明文件的，该产品视为本国产品。未提供或不符合要求的，由投标人自行承担不利后果。</w:t>
      </w:r>
    </w:p>
    <w:p w14:paraId="0AA775CE">
      <w:pPr>
        <w:adjustRightInd w:val="0"/>
        <w:snapToGrid w:val="0"/>
        <w:spacing w:line="356" w:lineRule="auto"/>
        <w:jc w:val="left"/>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3.5转包与分包</w:t>
      </w:r>
    </w:p>
    <w:p w14:paraId="555F25E5">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3.5.1 本项目严禁采取转包方式履行合同。本项目所称转包，是指中标人将政府采购合同业务转让给第三人，并退出现有政府采购合同当事人双方权利业务关系，受让人（即第三人）成为政府采购合同的另一方当事人的行为。</w:t>
      </w:r>
    </w:p>
    <w:p w14:paraId="3E3D95A9">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中标人转包的，视同拒绝履行政府采购合同业务，将依法追究法律责任。</w:t>
      </w:r>
    </w:p>
    <w:p w14:paraId="5BA35B92">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3.5.2享受中小企业发展政策获得政府采购合同的中小企业，不得将合同分包给大型企业；否则，将依法追究法律责任。</w:t>
      </w:r>
    </w:p>
    <w:p w14:paraId="24FCCE73">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3.5.3投标人须知前附表规定采购人允许大中型企业向小微企业分包的，中标人可以将采购项目分包给小微企业完成，并在投标文件中提供分包意向协议。</w:t>
      </w:r>
    </w:p>
    <w:p w14:paraId="1188E686">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接受分包的投标人不得再次分包。</w:t>
      </w:r>
      <w:r>
        <w:rPr>
          <w:rFonts w:hint="eastAsia" w:ascii="宋体" w:hAnsi="宋体"/>
          <w:color w:val="000000" w:themeColor="text1"/>
          <w:szCs w:val="21"/>
          <w:highlight w:val="none"/>
          <w14:textFill>
            <w14:solidFill>
              <w14:schemeClr w14:val="tx1"/>
            </w14:solidFill>
          </w14:textFill>
        </w:rPr>
        <w:t>采购合同实行分包履行的，中标人就采购项目和分包项目向采购人负责，分包投标人就分包项目承担责任。</w:t>
      </w:r>
    </w:p>
    <w:p w14:paraId="4C0066DD">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3.6投标人的风险</w:t>
      </w:r>
    </w:p>
    <w:p w14:paraId="4677115D">
      <w:pPr>
        <w:tabs>
          <w:tab w:val="left" w:pos="7665"/>
        </w:tabs>
        <w:spacing w:line="356" w:lineRule="auto"/>
        <w:ind w:firstLine="420"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投标人应认真阅读和充分理解招标文件中所有的事项、格式条款和规范要求，任何对</w:t>
      </w:r>
      <w:r>
        <w:rPr>
          <w:rFonts w:hint="eastAsia" w:ascii="宋体" w:hAnsi="宋体"/>
          <w:bCs/>
          <w:color w:val="000000" w:themeColor="text1"/>
          <w:szCs w:val="21"/>
          <w:highlight w:val="none"/>
          <w14:textFill>
            <w14:solidFill>
              <w14:schemeClr w14:val="tx1"/>
            </w14:solidFill>
          </w14:textFill>
        </w:rPr>
        <w:t>招标</w:t>
      </w:r>
      <w:r>
        <w:rPr>
          <w:rFonts w:hint="eastAsia" w:ascii="宋体" w:hAnsi="宋体"/>
          <w:color w:val="000000" w:themeColor="text1"/>
          <w:szCs w:val="21"/>
          <w:highlight w:val="none"/>
          <w14:textFill>
            <w14:solidFill>
              <w14:schemeClr w14:val="tx1"/>
            </w14:solidFill>
          </w14:textFill>
        </w:rPr>
        <w:t>文件的忽略或误解不能作为投标文件存在缺陷或瑕疵的理由；投标人</w:t>
      </w:r>
      <w:r>
        <w:rPr>
          <w:rFonts w:hint="eastAsia" w:ascii="宋体" w:hAnsi="宋体" w:cs="宋体"/>
          <w:color w:val="000000" w:themeColor="text1"/>
          <w:kern w:val="0"/>
          <w:szCs w:val="21"/>
          <w:highlight w:val="none"/>
          <w14:textFill>
            <w14:solidFill>
              <w14:schemeClr w14:val="tx1"/>
            </w14:solidFill>
          </w14:textFill>
        </w:rPr>
        <w:t>没有按照招标文件要求提供全部资料，</w:t>
      </w:r>
      <w:r>
        <w:rPr>
          <w:rFonts w:hint="eastAsia" w:ascii="宋体" w:hAnsi="宋体"/>
          <w:color w:val="000000" w:themeColor="text1"/>
          <w:szCs w:val="21"/>
          <w:highlight w:val="none"/>
          <w14:textFill>
            <w14:solidFill>
              <w14:schemeClr w14:val="tx1"/>
            </w14:solidFill>
          </w14:textFill>
        </w:rPr>
        <w:t>或对招标文件全面做出实质性响应是投标人的风险，</w:t>
      </w:r>
      <w:r>
        <w:rPr>
          <w:rFonts w:hint="eastAsia" w:ascii="宋体" w:hAnsi="宋体" w:cs="宋体"/>
          <w:color w:val="000000" w:themeColor="text1"/>
          <w:kern w:val="0"/>
          <w:szCs w:val="21"/>
          <w:highlight w:val="none"/>
          <w14:textFill>
            <w14:solidFill>
              <w14:schemeClr w14:val="tx1"/>
            </w14:solidFill>
          </w14:textFill>
        </w:rPr>
        <w:t>并可能导致其投标文件被拒绝。</w:t>
      </w:r>
    </w:p>
    <w:p w14:paraId="60E1F7E5">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3.7投标人的纪律要求</w:t>
      </w:r>
    </w:p>
    <w:bookmarkEnd w:id="81"/>
    <w:bookmarkEnd w:id="82"/>
    <w:bookmarkEnd w:id="83"/>
    <w:p w14:paraId="57F00799">
      <w:pPr>
        <w:pStyle w:val="7"/>
        <w:spacing w:line="356" w:lineRule="auto"/>
        <w:ind w:firstLineChars="200"/>
        <w:rPr>
          <w:color w:val="000000" w:themeColor="text1"/>
          <w:szCs w:val="21"/>
          <w:highlight w:val="none"/>
          <w14:textFill>
            <w14:solidFill>
              <w14:schemeClr w14:val="tx1"/>
            </w14:solidFill>
          </w14:textFill>
        </w:rPr>
      </w:pPr>
      <w:bookmarkStart w:id="84" w:name="_Toc217446048"/>
      <w:bookmarkStart w:id="85" w:name="_Toc183582217"/>
      <w:bookmarkStart w:id="86" w:name="_Toc183682354"/>
      <w:r>
        <w:rPr>
          <w:rFonts w:hint="eastAsia" w:ascii="宋体" w:hAnsi="宋体"/>
          <w:color w:val="000000" w:themeColor="text1"/>
          <w:szCs w:val="21"/>
          <w:highlight w:val="none"/>
          <w14:textFill>
            <w14:solidFill>
              <w14:schemeClr w14:val="tx1"/>
            </w14:solidFill>
          </w14:textFill>
        </w:rPr>
        <w:t xml:space="preserve">3.7.1 </w:t>
      </w:r>
      <w:r>
        <w:rPr>
          <w:rFonts w:hint="eastAsia"/>
          <w:color w:val="000000" w:themeColor="text1"/>
          <w:szCs w:val="21"/>
          <w:highlight w:val="none"/>
          <w14:textFill>
            <w14:solidFill>
              <w14:schemeClr w14:val="tx1"/>
            </w14:solidFill>
          </w14:textFill>
        </w:rPr>
        <w:t>有下列情形之一的，属于不合格投标人，其投标或中标资格将被取消：</w:t>
      </w:r>
    </w:p>
    <w:p w14:paraId="2E6058A4">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（1）提供虚假材料谋取中标；</w:t>
      </w:r>
    </w:p>
    <w:p w14:paraId="4135602C">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（2）提供假冒伪劣产品和不合格工程；</w:t>
      </w:r>
    </w:p>
    <w:p w14:paraId="37B75499">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（3）采取不正当手段诋毁、排挤其他投标人；</w:t>
      </w:r>
    </w:p>
    <w:p w14:paraId="0F35388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（4）与采购人、采购代理机构、其他投标人恶意串通；</w:t>
      </w:r>
    </w:p>
    <w:p w14:paraId="07C6E080">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（5）向采购人、采购代理机构、评标委员会成员行贿或者提供其他不正当利益；</w:t>
      </w:r>
    </w:p>
    <w:p w14:paraId="739F4439">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（6）在招标过程中与采购人、采购代理机构进行协商谈判；</w:t>
      </w:r>
    </w:p>
    <w:p w14:paraId="4009219D">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（7）拒绝有关部门的监督检查或者向监督检查部门提供虚假情况；</w:t>
      </w:r>
    </w:p>
    <w:p w14:paraId="395B54E2">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（8）法律法规规定的其他情形。</w:t>
      </w:r>
    </w:p>
    <w:p w14:paraId="7FD43B90">
      <w:pPr>
        <w:tabs>
          <w:tab w:val="left" w:pos="7665"/>
        </w:tabs>
        <w:spacing w:line="356" w:lineRule="auto"/>
        <w:outlineLvl w:val="1"/>
        <w:rPr>
          <w:rFonts w:hint="eastAsia" w:ascii="黑体" w:hAnsi="宋体" w:eastAsia="黑体" w:cs="宋体"/>
          <w:color w:val="000000" w:themeColor="text1"/>
          <w:kern w:val="0"/>
          <w:sz w:val="36"/>
          <w:szCs w:val="36"/>
          <w:highlight w:val="none"/>
          <w14:textFill>
            <w14:solidFill>
              <w14:schemeClr w14:val="tx1"/>
            </w14:solidFill>
          </w14:textFill>
        </w:rPr>
      </w:pPr>
      <w:bookmarkStart w:id="87" w:name="_Toc189489150"/>
      <w:bookmarkStart w:id="88" w:name="_Toc30039"/>
      <w:bookmarkStart w:id="89" w:name="_Toc9020"/>
      <w:r>
        <w:rPr>
          <w:rFonts w:hint="eastAsia" w:ascii="黑体" w:hAnsi="宋体" w:eastAsia="黑体"/>
          <w:bCs/>
          <w:color w:val="000000" w:themeColor="text1"/>
          <w:sz w:val="36"/>
          <w:szCs w:val="36"/>
          <w:highlight w:val="none"/>
          <w14:textFill>
            <w14:solidFill>
              <w14:schemeClr w14:val="tx1"/>
            </w14:solidFill>
          </w14:textFill>
        </w:rPr>
        <w:t>4.投标文件</w:t>
      </w:r>
      <w:bookmarkEnd w:id="87"/>
      <w:bookmarkEnd w:id="88"/>
      <w:bookmarkEnd w:id="89"/>
    </w:p>
    <w:p w14:paraId="0BFDFEDF">
      <w:pPr>
        <w:snapToGrid w:val="0"/>
        <w:spacing w:line="356" w:lineRule="auto"/>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4.1投标文件的编写原则和要求</w:t>
      </w:r>
    </w:p>
    <w:p w14:paraId="2A2778B8">
      <w:pPr>
        <w:tabs>
          <w:tab w:val="left" w:pos="1080"/>
        </w:tabs>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4.1.1 投标人应当仔细阅读招标文件的所有事项、格式、条件和要求，并按照招标文件要求编制投标文件。投标文件应当对招标文件提出的要求和条件作出明确响应，在满足招标文件实质性要求的基础上，可以提出比招标文件要求更有利于采购人的承诺。若本项目分包的，应当以包为单位投标，不得在其中选项投标或将其中内容再行分解，否则</w:t>
      </w:r>
      <w:r>
        <w:rPr>
          <w:rFonts w:hint="eastAsia" w:ascii="宋体" w:hAnsi="宋体"/>
          <w:b/>
          <w:color w:val="000000" w:themeColor="text1"/>
          <w:szCs w:val="21"/>
          <w:highlight w:val="none"/>
          <w14:textFill>
            <w14:solidFill>
              <w14:schemeClr w14:val="tx1"/>
            </w14:solidFill>
          </w14:textFill>
        </w:rPr>
        <w:t>投标无效</w:t>
      </w:r>
      <w:r>
        <w:rPr>
          <w:rFonts w:hint="eastAsia" w:ascii="宋体" w:hAnsi="宋体"/>
          <w:color w:val="000000" w:themeColor="text1"/>
          <w:szCs w:val="21"/>
          <w:highlight w:val="none"/>
          <w14:textFill>
            <w14:solidFill>
              <w14:schemeClr w14:val="tx1"/>
            </w14:solidFill>
          </w14:textFill>
        </w:rPr>
        <w:t>。</w:t>
      </w:r>
    </w:p>
    <w:p w14:paraId="474EFE2A">
      <w:pPr>
        <w:tabs>
          <w:tab w:val="left" w:pos="720"/>
        </w:tabs>
        <w:snapToGrid w:val="0"/>
        <w:spacing w:line="356" w:lineRule="auto"/>
        <w:ind w:firstLine="422"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4.1.2 真实性原则</w:t>
      </w:r>
    </w:p>
    <w:p w14:paraId="3C796A7F">
      <w:pPr>
        <w:tabs>
          <w:tab w:val="left" w:pos="720"/>
        </w:tabs>
        <w:snapToGrid w:val="0"/>
        <w:spacing w:line="356" w:lineRule="auto"/>
        <w:ind w:firstLine="630" w:firstLineChars="3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4.1.2.1 投标人应保证所提供的投标文件和所有资料的真实性、准确性和完整性。</w:t>
      </w:r>
    </w:p>
    <w:p w14:paraId="18F770CB">
      <w:pPr>
        <w:tabs>
          <w:tab w:val="left" w:pos="720"/>
        </w:tabs>
        <w:snapToGrid w:val="0"/>
        <w:spacing w:line="356" w:lineRule="auto"/>
        <w:ind w:firstLine="630" w:firstLineChars="3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4.1.2.2 投标人被认定为在政府采购活动中提供不真实材料的，无论其材料是否重要，采购人均有权拒绝，并取消其投标或中标资格，投标人需承担相应的法律后果。</w:t>
      </w:r>
    </w:p>
    <w:p w14:paraId="67AEC960">
      <w:pPr>
        <w:tabs>
          <w:tab w:val="left" w:pos="720"/>
        </w:tabs>
        <w:snapToGrid w:val="0"/>
        <w:spacing w:line="356" w:lineRule="auto"/>
        <w:ind w:firstLine="630" w:firstLineChars="3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4.1.2.3</w:t>
      </w:r>
      <w:r>
        <w:rPr>
          <w:rFonts w:hint="eastAsia" w:ascii="宋体" w:hAnsi="Courier New" w:cs="Courier New"/>
          <w:color w:val="000000" w:themeColor="text1"/>
          <w:szCs w:val="21"/>
          <w:highlight w:val="none"/>
          <w14:textFill>
            <w14:solidFill>
              <w14:schemeClr w14:val="tx1"/>
            </w14:solidFill>
          </w14:textFill>
        </w:rPr>
        <w:t>投标人提供第三方（如生产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37705978">
      <w:pPr>
        <w:tabs>
          <w:tab w:val="left" w:pos="720"/>
        </w:tabs>
        <w:snapToGrid w:val="0"/>
        <w:spacing w:line="356" w:lineRule="auto"/>
        <w:ind w:firstLine="48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4.1.3 投标货币</w:t>
      </w:r>
    </w:p>
    <w:p w14:paraId="6C251227">
      <w:pPr>
        <w:tabs>
          <w:tab w:val="left" w:pos="720"/>
        </w:tabs>
        <w:snapToGrid w:val="0"/>
        <w:spacing w:line="356" w:lineRule="auto"/>
        <w:ind w:firstLine="630" w:firstLineChars="3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本项目的投标均以人民币报价。</w:t>
      </w:r>
    </w:p>
    <w:p w14:paraId="65365FE5">
      <w:pPr>
        <w:tabs>
          <w:tab w:val="left" w:pos="720"/>
        </w:tabs>
        <w:snapToGrid w:val="0"/>
        <w:spacing w:line="356" w:lineRule="auto"/>
        <w:ind w:firstLine="424" w:firstLineChars="201"/>
        <w:rPr>
          <w:rFonts w:hint="eastAsia"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4.1.4 </w:t>
      </w:r>
      <w:r>
        <w:rPr>
          <w:rFonts w:hint="eastAsia" w:hAnsi="宋体"/>
          <w:b/>
          <w:color w:val="000000" w:themeColor="text1"/>
          <w:highlight w:val="none"/>
          <w14:textFill>
            <w14:solidFill>
              <w14:schemeClr w14:val="tx1"/>
            </w14:solidFill>
          </w14:textFill>
        </w:rPr>
        <w:t>投标</w:t>
      </w:r>
      <w:r>
        <w:rPr>
          <w:rFonts w:hint="eastAsia"/>
          <w:b/>
          <w:color w:val="000000" w:themeColor="text1"/>
          <w:highlight w:val="none"/>
          <w14:textFill>
            <w14:solidFill>
              <w14:schemeClr w14:val="tx1"/>
            </w14:solidFill>
          </w14:textFill>
        </w:rPr>
        <w:t>文件形式</w:t>
      </w:r>
    </w:p>
    <w:p w14:paraId="7209CC99">
      <w:pPr>
        <w:pStyle w:val="16"/>
        <w:adjustRightInd w:val="0"/>
        <w:snapToGrid w:val="0"/>
        <w:spacing w:line="356" w:lineRule="auto"/>
        <w:ind w:firstLine="630" w:firstLineChars="300"/>
        <w:rPr>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本项目投标</w:t>
      </w:r>
      <w:r>
        <w:rPr>
          <w:rFonts w:hint="eastAsia"/>
          <w:color w:val="000000" w:themeColor="text1"/>
          <w:highlight w:val="none"/>
          <w14:textFill>
            <w14:solidFill>
              <w14:schemeClr w14:val="tx1"/>
            </w14:solidFill>
          </w14:textFill>
        </w:rPr>
        <w:t>文件应采用书面文件形式，电报、传真、电子邮件形式的投标文件不予接受。</w:t>
      </w:r>
    </w:p>
    <w:p w14:paraId="7CFB05CF">
      <w:pPr>
        <w:tabs>
          <w:tab w:val="left" w:pos="720"/>
        </w:tabs>
        <w:snapToGrid w:val="0"/>
        <w:spacing w:line="356" w:lineRule="auto"/>
        <w:ind w:firstLine="422"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4.1.5 备选方案</w:t>
      </w:r>
    </w:p>
    <w:p w14:paraId="451ADCB2">
      <w:pPr>
        <w:tabs>
          <w:tab w:val="left" w:pos="720"/>
        </w:tabs>
        <w:snapToGrid w:val="0"/>
        <w:spacing w:line="356" w:lineRule="auto"/>
        <w:ind w:firstLine="630" w:firstLineChars="300"/>
        <w:rPr>
          <w:rFonts w:hint="eastAsia"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4.1.5.1 除投标人须知前附表规定允许外，投标人不得递交备选投标方案，投标文件的报价只允许有一个报价，不接受具有附加条件的报价，否则，视为</w:t>
      </w:r>
      <w:r>
        <w:rPr>
          <w:rFonts w:hint="eastAsia" w:hAnsi="宋体"/>
          <w:b/>
          <w:color w:val="000000" w:themeColor="text1"/>
          <w:szCs w:val="21"/>
          <w:highlight w:val="none"/>
          <w14:textFill>
            <w14:solidFill>
              <w14:schemeClr w14:val="tx1"/>
            </w14:solidFill>
          </w14:textFill>
        </w:rPr>
        <w:t>无效投标</w:t>
      </w:r>
      <w:r>
        <w:rPr>
          <w:rFonts w:hint="eastAsia" w:hAnsi="宋体"/>
          <w:color w:val="000000" w:themeColor="text1"/>
          <w:szCs w:val="21"/>
          <w:highlight w:val="none"/>
          <w14:textFill>
            <w14:solidFill>
              <w14:schemeClr w14:val="tx1"/>
            </w14:solidFill>
          </w14:textFill>
        </w:rPr>
        <w:t>。</w:t>
      </w:r>
    </w:p>
    <w:p w14:paraId="3291744D">
      <w:pPr>
        <w:tabs>
          <w:tab w:val="left" w:pos="720"/>
        </w:tabs>
        <w:snapToGrid w:val="0"/>
        <w:spacing w:line="356" w:lineRule="auto"/>
        <w:ind w:firstLine="630" w:firstLineChars="3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4.1.5.2 允许投标人递交备选投标方案的，只有中标人所递交的备选投标方案方可予以考虑。评标委员会认为中标人的备选投标方案优于其按照招标文件要求编制的投标方案的，采购人可以接受该备选方案。</w:t>
      </w:r>
    </w:p>
    <w:p w14:paraId="11278D6F">
      <w:pPr>
        <w:tabs>
          <w:tab w:val="left" w:pos="720"/>
        </w:tabs>
        <w:snapToGrid w:val="0"/>
        <w:spacing w:line="356" w:lineRule="auto"/>
        <w:ind w:firstLine="630" w:firstLineChars="3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4.1.5.3 投标人在投标文件中明确表示提供两个或两个以上投标报价，或者投标报价前后不一致且无法修正的，或者在投标文件中提供一个报价，但同时提供两个或两个以上</w:t>
      </w:r>
      <w:r>
        <w:rPr>
          <w:rFonts w:hint="eastAsia" w:ascii="宋体" w:hAnsi="宋体"/>
          <w:color w:val="000000" w:themeColor="text1"/>
          <w:szCs w:val="21"/>
          <w:highlight w:val="none"/>
          <w:lang w:val="en-US" w:eastAsia="zh-CN"/>
          <w14:textFill>
            <w14:solidFill>
              <w14:schemeClr w14:val="tx1"/>
            </w14:solidFill>
          </w14:textFill>
        </w:rPr>
        <w:t>施工</w:t>
      </w:r>
      <w:r>
        <w:rPr>
          <w:rFonts w:hint="eastAsia" w:ascii="宋体" w:hAnsi="宋体"/>
          <w:color w:val="000000" w:themeColor="text1"/>
          <w:szCs w:val="21"/>
          <w:highlight w:val="none"/>
          <w14:textFill>
            <w14:solidFill>
              <w14:schemeClr w14:val="tx1"/>
            </w14:solidFill>
          </w14:textFill>
        </w:rPr>
        <w:t>方案的，视为提供备选方案。投标报价前后不一致且可以修正的，按第三章“2.2特殊情况的处理”进行修正。</w:t>
      </w:r>
    </w:p>
    <w:p w14:paraId="35699E89">
      <w:pPr>
        <w:tabs>
          <w:tab w:val="left" w:pos="720"/>
        </w:tabs>
        <w:snapToGrid w:val="0"/>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4.2 投标文件的组成</w:t>
      </w:r>
    </w:p>
    <w:bookmarkEnd w:id="84"/>
    <w:bookmarkEnd w:id="85"/>
    <w:bookmarkEnd w:id="86"/>
    <w:p w14:paraId="2FF3C4FD">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4.2.1投标文件由下列文件组成：</w:t>
      </w:r>
    </w:p>
    <w:p w14:paraId="35D8E1DF">
      <w:pPr>
        <w:spacing w:line="356" w:lineRule="auto"/>
        <w:ind w:left="523" w:leftChars="236" w:hanging="27" w:hangingChars="1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（1）资格审查文件；</w:t>
      </w:r>
      <w:r>
        <w:rPr>
          <w:rFonts w:hint="eastAsia" w:ascii="宋体" w:hAnsi="宋体"/>
          <w:color w:val="000000" w:themeColor="text1"/>
          <w:szCs w:val="21"/>
          <w:highlight w:val="none"/>
          <w14:textFill>
            <w14:solidFill>
              <w14:schemeClr w14:val="tx1"/>
            </w14:solidFill>
          </w14:textFill>
        </w:rPr>
        <w:tab/>
      </w:r>
    </w:p>
    <w:p w14:paraId="5C5DF82F">
      <w:pPr>
        <w:spacing w:line="356" w:lineRule="auto"/>
        <w:ind w:left="523" w:leftChars="236" w:hanging="27" w:hangingChars="1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（2）商务文件；</w:t>
      </w:r>
    </w:p>
    <w:p w14:paraId="1C070A8D">
      <w:pPr>
        <w:spacing w:line="356" w:lineRule="auto"/>
        <w:ind w:left="523" w:leftChars="236" w:hanging="27" w:hangingChars="1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（3）技术文件。</w:t>
      </w:r>
    </w:p>
    <w:p w14:paraId="552C9724">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4.2.2 </w:t>
      </w:r>
      <w:r>
        <w:rPr>
          <w:rFonts w:hint="eastAsia" w:ascii="宋体" w:hAnsi="宋体"/>
          <w:b/>
          <w:color w:val="000000" w:themeColor="text1"/>
          <w:szCs w:val="21"/>
          <w:highlight w:val="none"/>
          <w14:textFill>
            <w14:solidFill>
              <w14:schemeClr w14:val="tx1"/>
            </w14:solidFill>
          </w14:textFill>
        </w:rPr>
        <w:t>资格审查文件</w:t>
      </w:r>
      <w:r>
        <w:rPr>
          <w:rFonts w:hint="eastAsia" w:ascii="宋体" w:hAnsi="宋体"/>
          <w:color w:val="000000" w:themeColor="text1"/>
          <w:szCs w:val="21"/>
          <w:highlight w:val="none"/>
          <w14:textFill>
            <w14:solidFill>
              <w14:schemeClr w14:val="tx1"/>
            </w14:solidFill>
          </w14:textFill>
        </w:rPr>
        <w:t>包括第二章3.1投标人资格要求内容。</w:t>
      </w:r>
    </w:p>
    <w:p w14:paraId="2AAF2AB4">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4.2.3 </w:t>
      </w:r>
      <w:r>
        <w:rPr>
          <w:rFonts w:hint="eastAsia" w:ascii="宋体" w:hAnsi="宋体"/>
          <w:b/>
          <w:color w:val="000000" w:themeColor="text1"/>
          <w:szCs w:val="21"/>
          <w:highlight w:val="none"/>
          <w14:textFill>
            <w14:solidFill>
              <w14:schemeClr w14:val="tx1"/>
            </w14:solidFill>
          </w14:textFill>
        </w:rPr>
        <w:t>商务文件</w:t>
      </w:r>
      <w:r>
        <w:rPr>
          <w:rFonts w:hint="eastAsia" w:ascii="宋体" w:hAnsi="宋体"/>
          <w:color w:val="000000" w:themeColor="text1"/>
          <w:szCs w:val="21"/>
          <w:highlight w:val="none"/>
          <w14:textFill>
            <w14:solidFill>
              <w14:schemeClr w14:val="tx1"/>
            </w14:solidFill>
          </w14:textFill>
        </w:rPr>
        <w:t>主要包括下列内容：</w:t>
      </w:r>
    </w:p>
    <w:p w14:paraId="1D060114">
      <w:pPr>
        <w:spacing w:line="356" w:lineRule="auto"/>
        <w:ind w:left="523" w:leftChars="236" w:hanging="27" w:hangingChars="1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（1）投标函(含投标函附录)；</w:t>
      </w:r>
    </w:p>
    <w:p w14:paraId="0A640CE6">
      <w:pPr>
        <w:spacing w:line="356" w:lineRule="auto"/>
        <w:ind w:left="523" w:leftChars="236" w:hanging="27" w:hangingChars="1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（2）主要材料与设备报价表</w:t>
      </w:r>
      <w:r>
        <w:rPr>
          <w:rFonts w:hint="eastAsia"/>
          <w:color w:val="000000" w:themeColor="text1"/>
          <w:szCs w:val="21"/>
          <w:highlight w:val="none"/>
          <w14:textFill>
            <w14:solidFill>
              <w14:schemeClr w14:val="tx1"/>
            </w14:solidFill>
          </w14:textFill>
        </w:rPr>
        <w:t>；</w:t>
      </w:r>
    </w:p>
    <w:p w14:paraId="3B4F829C">
      <w:pPr>
        <w:spacing w:line="356" w:lineRule="auto"/>
        <w:ind w:left="523" w:leftChars="236" w:hanging="27" w:hangingChars="1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hint="eastAsia"/>
          <w:color w:val="000000" w:themeColor="text1"/>
          <w:szCs w:val="21"/>
          <w:highlight w:val="none"/>
          <w14:textFill>
            <w14:solidFill>
              <w14:schemeClr w14:val="tx1"/>
            </w14:solidFill>
          </w14:textFill>
        </w:rPr>
        <w:t>报价明细表(已标价工程量清单)</w:t>
      </w:r>
      <w:r>
        <w:rPr>
          <w:rFonts w:hint="eastAsia" w:ascii="宋体" w:hAnsi="宋体"/>
          <w:color w:val="000000" w:themeColor="text1"/>
          <w:szCs w:val="21"/>
          <w:highlight w:val="none"/>
          <w14:textFill>
            <w14:solidFill>
              <w14:schemeClr w14:val="tx1"/>
            </w14:solidFill>
          </w14:textFill>
        </w:rPr>
        <w:t>；</w:t>
      </w:r>
    </w:p>
    <w:p w14:paraId="74527735">
      <w:pPr>
        <w:spacing w:line="356" w:lineRule="auto"/>
        <w:ind w:left="523" w:leftChars="236" w:hanging="27" w:hangingChars="1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（4）承诺文件；</w:t>
      </w:r>
    </w:p>
    <w:p w14:paraId="1AB4129C">
      <w:pPr>
        <w:spacing w:line="356" w:lineRule="auto"/>
        <w:ind w:left="523" w:leftChars="236" w:hanging="27" w:hangingChars="1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（5）投标人近年业绩证明材料；</w:t>
      </w:r>
    </w:p>
    <w:p w14:paraId="093AA2F2">
      <w:pPr>
        <w:spacing w:line="356" w:lineRule="auto"/>
        <w:ind w:left="523" w:leftChars="236" w:hanging="27" w:hangingChars="1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color w:val="000000" w:themeColor="text1"/>
          <w:szCs w:val="21"/>
          <w:highlight w:val="none"/>
          <w14:textFill>
            <w14:solidFill>
              <w14:schemeClr w14:val="tx1"/>
            </w14:solidFill>
          </w14:textFill>
        </w:rPr>
        <w:t>投标人</w:t>
      </w:r>
      <w:r>
        <w:rPr>
          <w:rFonts w:hint="eastAsia"/>
          <w:color w:val="000000" w:themeColor="text1"/>
          <w:szCs w:val="21"/>
          <w:highlight w:val="none"/>
          <w14:textFill>
            <w14:solidFill>
              <w14:schemeClr w14:val="tx1"/>
            </w14:solidFill>
          </w14:textFill>
        </w:rPr>
        <w:t>享受政府采购优惠政策的证明材料</w:t>
      </w:r>
      <w:r>
        <w:rPr>
          <w:rFonts w:hint="eastAsia" w:ascii="宋体" w:hAnsi="宋体"/>
          <w:color w:val="000000" w:themeColor="text1"/>
          <w:szCs w:val="21"/>
          <w:highlight w:val="none"/>
          <w14:textFill>
            <w14:solidFill>
              <w14:schemeClr w14:val="tx1"/>
            </w14:solidFill>
          </w14:textFill>
        </w:rPr>
        <w:t>；</w:t>
      </w:r>
    </w:p>
    <w:p w14:paraId="2989E134">
      <w:pPr>
        <w:spacing w:line="356" w:lineRule="auto"/>
        <w:ind w:left="523" w:leftChars="236" w:hanging="27" w:hangingChars="13"/>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w:t>
      </w:r>
      <w:r>
        <w:rPr>
          <w:rFonts w:hint="eastAsia"/>
          <w:color w:val="000000" w:themeColor="text1"/>
          <w:szCs w:val="21"/>
          <w:highlight w:val="none"/>
          <w14:textFill>
            <w14:solidFill>
              <w14:schemeClr w14:val="tx1"/>
            </w14:solidFill>
          </w14:textFill>
        </w:rPr>
        <w:t>投标保证金</w:t>
      </w:r>
      <w:r>
        <w:rPr>
          <w:rFonts w:hint="eastAsia"/>
          <w:color w:val="000000" w:themeColor="text1"/>
          <w:szCs w:val="21"/>
          <w:highlight w:val="none"/>
          <w:lang w:val="en-US" w:eastAsia="zh-CN"/>
          <w14:textFill>
            <w14:solidFill>
              <w14:schemeClr w14:val="tx1"/>
            </w14:solidFill>
          </w14:textFill>
        </w:rPr>
        <w:t>交纳</w:t>
      </w:r>
      <w:r>
        <w:rPr>
          <w:rFonts w:hint="eastAsia"/>
          <w:color w:val="000000" w:themeColor="text1"/>
          <w:szCs w:val="21"/>
          <w:highlight w:val="none"/>
          <w14:textFill>
            <w14:solidFill>
              <w14:schemeClr w14:val="tx1"/>
            </w14:solidFill>
          </w14:textFill>
        </w:rPr>
        <w:t>凭证；</w:t>
      </w:r>
    </w:p>
    <w:p w14:paraId="29913FB7">
      <w:pPr>
        <w:spacing w:line="356" w:lineRule="auto"/>
        <w:ind w:left="504" w:leftChars="226" w:hanging="29" w:hangingChars="14"/>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4.2.4 </w:t>
      </w:r>
      <w:r>
        <w:rPr>
          <w:rFonts w:hint="eastAsia" w:ascii="宋体" w:hAnsi="宋体"/>
          <w:b/>
          <w:color w:val="000000" w:themeColor="text1"/>
          <w:szCs w:val="21"/>
          <w:highlight w:val="none"/>
          <w14:textFill>
            <w14:solidFill>
              <w14:schemeClr w14:val="tx1"/>
            </w14:solidFill>
          </w14:textFill>
        </w:rPr>
        <w:t>技术文件</w:t>
      </w:r>
      <w:r>
        <w:rPr>
          <w:rFonts w:hint="eastAsia" w:ascii="宋体" w:hAnsi="宋体"/>
          <w:color w:val="000000" w:themeColor="text1"/>
          <w:szCs w:val="21"/>
          <w:highlight w:val="none"/>
          <w14:textFill>
            <w14:solidFill>
              <w14:schemeClr w14:val="tx1"/>
            </w14:solidFill>
          </w14:textFill>
        </w:rPr>
        <w:t>主要包括下列内容：</w:t>
      </w:r>
    </w:p>
    <w:p w14:paraId="44460F52">
      <w:pPr>
        <w:spacing w:line="356" w:lineRule="auto"/>
        <w:ind w:left="703" w:leftChars="335" w:firstLine="182" w:firstLineChars="87"/>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施工方案；</w:t>
      </w:r>
    </w:p>
    <w:p w14:paraId="32290033">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4.3 投标报价</w:t>
      </w:r>
    </w:p>
    <w:p w14:paraId="69F963D7">
      <w:pPr>
        <w:spacing w:line="356" w:lineRule="auto"/>
        <w:ind w:firstLine="411" w:firstLineChars="196"/>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4.3.1 投标人应按照招标文件要求填报投标报价，并充分了解该采购项目的总体情况以及影响投标报价的其他要素。</w:t>
      </w:r>
    </w:p>
    <w:p w14:paraId="1F781B9B">
      <w:pPr>
        <w:adjustRightInd w:val="0"/>
        <w:snapToGrid w:val="0"/>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4.3.2 投标人的投标报价不得超过</w:t>
      </w:r>
      <w:r>
        <w:rPr>
          <w:rFonts w:hint="eastAsia" w:ascii="宋体" w:hAnsi="宋体"/>
          <w:b/>
          <w:color w:val="000000" w:themeColor="text1"/>
          <w:szCs w:val="21"/>
          <w:highlight w:val="none"/>
          <w14:textFill>
            <w14:solidFill>
              <w14:schemeClr w14:val="tx1"/>
            </w14:solidFill>
          </w14:textFill>
        </w:rPr>
        <w:t>投标人须知前附表</w:t>
      </w:r>
      <w:r>
        <w:rPr>
          <w:rFonts w:hint="eastAsia" w:ascii="宋体" w:hAnsi="宋体"/>
          <w:bCs/>
          <w:color w:val="000000" w:themeColor="text1"/>
          <w:szCs w:val="21"/>
          <w:highlight w:val="none"/>
          <w14:textFill>
            <w14:solidFill>
              <w14:schemeClr w14:val="tx1"/>
            </w14:solidFill>
          </w14:textFill>
        </w:rPr>
        <w:t>规定的预算金额，否则，作为不实质性响应招标文件，按无效投标处理；</w:t>
      </w:r>
      <w:r>
        <w:rPr>
          <w:rFonts w:hint="eastAsia" w:ascii="宋体" w:hAnsi="宋体"/>
          <w:b/>
          <w:color w:val="000000" w:themeColor="text1"/>
          <w:szCs w:val="21"/>
          <w:highlight w:val="none"/>
          <w14:textFill>
            <w14:solidFill>
              <w14:schemeClr w14:val="tx1"/>
            </w14:solidFill>
          </w14:textFill>
        </w:rPr>
        <w:t>投标人须知前附表</w:t>
      </w:r>
      <w:r>
        <w:rPr>
          <w:rFonts w:hint="eastAsia" w:ascii="宋体" w:hAnsi="宋体"/>
          <w:bCs/>
          <w:color w:val="000000" w:themeColor="text1"/>
          <w:szCs w:val="21"/>
          <w:highlight w:val="none"/>
          <w14:textFill>
            <w14:solidFill>
              <w14:schemeClr w14:val="tx1"/>
            </w14:solidFill>
          </w14:textFill>
        </w:rPr>
        <w:t>设定了最高限价的，投标人的投标报价也不得超过最高限价，否则，作为不实质性响应招标文件，按无效投标处理。</w:t>
      </w:r>
    </w:p>
    <w:p w14:paraId="5DC7BD62">
      <w:pPr>
        <w:adjustRightInd w:val="0"/>
        <w:snapToGrid w:val="0"/>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4.3.3 投标人的报价是投标人响应采购项目要求的全部工作内容的价格体现，包括施工费、设备费、施工机械使用费、人工费、材料与设备费、其他（运杂费、质检费、安装费、缺陷修复费、保险费，以及合同明示或暗示的风险、责任和义务等），以及管理费、税金、利润、采购代理服务费等所有费用，并符合建设工程计价规则。</w:t>
      </w:r>
    </w:p>
    <w:p w14:paraId="52B93BA8">
      <w:pPr>
        <w:adjustRightInd w:val="0"/>
        <w:snapToGrid w:val="0"/>
        <w:spacing w:line="356" w:lineRule="auto"/>
        <w:ind w:firstLine="420" w:firstLineChars="200"/>
        <w:rPr>
          <w:rFonts w:hint="eastAsia" w:ascii="宋体" w:hAnsi="宋体" w:cs="宋体"/>
          <w:bCs/>
          <w:color w:val="000000" w:themeColor="text1"/>
          <w:kern w:val="0"/>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4.3.4 投标</w:t>
      </w:r>
      <w:r>
        <w:rPr>
          <w:rFonts w:hint="eastAsia" w:ascii="宋体" w:hAnsi="宋体" w:cs="宋体"/>
          <w:bCs/>
          <w:color w:val="000000" w:themeColor="text1"/>
          <w:kern w:val="0"/>
          <w:szCs w:val="21"/>
          <w:highlight w:val="none"/>
          <w14:textFill>
            <w14:solidFill>
              <w14:schemeClr w14:val="tx1"/>
            </w14:solidFill>
          </w14:textFill>
        </w:rPr>
        <w:t>人应按</w:t>
      </w:r>
      <w:r>
        <w:rPr>
          <w:rFonts w:hint="eastAsia" w:ascii="宋体" w:hAnsi="宋体"/>
          <w:bCs/>
          <w:color w:val="000000" w:themeColor="text1"/>
          <w:szCs w:val="21"/>
          <w:highlight w:val="none"/>
          <w14:textFill>
            <w14:solidFill>
              <w14:schemeClr w14:val="tx1"/>
            </w14:solidFill>
          </w14:textFill>
        </w:rPr>
        <w:t>“投标函(含投标函附录)”</w:t>
      </w:r>
      <w:r>
        <w:rPr>
          <w:rFonts w:hint="eastAsia" w:ascii="宋体" w:hAnsi="宋体" w:cs="宋体"/>
          <w:bCs/>
          <w:color w:val="000000" w:themeColor="text1"/>
          <w:kern w:val="0"/>
          <w:szCs w:val="21"/>
          <w:highlight w:val="none"/>
          <w14:textFill>
            <w14:solidFill>
              <w14:schemeClr w14:val="tx1"/>
            </w14:solidFill>
          </w14:textFill>
        </w:rPr>
        <w:t>的内容</w:t>
      </w:r>
      <w:r>
        <w:rPr>
          <w:rFonts w:hint="eastAsia" w:ascii="宋体" w:hAnsi="宋体"/>
          <w:bCs/>
          <w:color w:val="000000" w:themeColor="text1"/>
          <w:szCs w:val="21"/>
          <w:highlight w:val="none"/>
          <w14:textFill>
            <w14:solidFill>
              <w14:schemeClr w14:val="tx1"/>
            </w14:solidFill>
          </w14:textFill>
        </w:rPr>
        <w:t>和格式要求填写。其中预备费、暂列金额、暂估价应按招标文件的要求计取。</w:t>
      </w:r>
    </w:p>
    <w:p w14:paraId="27327AD1">
      <w:pPr>
        <w:adjustRightInd w:val="0"/>
        <w:snapToGrid w:val="0"/>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 xml:space="preserve">4.3.5 </w:t>
      </w:r>
      <w:r>
        <w:rPr>
          <w:rFonts w:hint="eastAsia"/>
          <w:bCs/>
          <w:color w:val="000000" w:themeColor="text1"/>
          <w:highlight w:val="none"/>
          <w14:textFill>
            <w14:solidFill>
              <w14:schemeClr w14:val="tx1"/>
            </w14:solidFill>
          </w14:textFill>
        </w:rPr>
        <w:t>任何有选择或可调整的报价将不予接受，并按</w:t>
      </w:r>
      <w:r>
        <w:rPr>
          <w:rFonts w:hint="eastAsia"/>
          <w:b/>
          <w:color w:val="000000" w:themeColor="text1"/>
          <w:highlight w:val="none"/>
          <w14:textFill>
            <w14:solidFill>
              <w14:schemeClr w14:val="tx1"/>
            </w14:solidFill>
          </w14:textFill>
        </w:rPr>
        <w:t>无效投标</w:t>
      </w:r>
      <w:r>
        <w:rPr>
          <w:rFonts w:hint="eastAsia"/>
          <w:bCs/>
          <w:color w:val="000000" w:themeColor="text1"/>
          <w:highlight w:val="none"/>
          <w14:textFill>
            <w14:solidFill>
              <w14:schemeClr w14:val="tx1"/>
            </w14:solidFill>
          </w14:textFill>
        </w:rPr>
        <w:t>处理。中标人</w:t>
      </w:r>
      <w:r>
        <w:rPr>
          <w:rFonts w:hint="eastAsia" w:hAnsi="宋体"/>
          <w:bCs/>
          <w:color w:val="000000" w:themeColor="text1"/>
          <w:highlight w:val="none"/>
          <w14:textFill>
            <w14:solidFill>
              <w14:schemeClr w14:val="tx1"/>
            </w14:solidFill>
          </w14:textFill>
        </w:rPr>
        <w:t>不得擅自改变工程范围内容、质量标准、工期和追加项目预算</w:t>
      </w:r>
      <w:r>
        <w:rPr>
          <w:rFonts w:hint="eastAsia" w:ascii="宋体" w:hAnsi="宋体"/>
          <w:bCs/>
          <w:color w:val="000000" w:themeColor="text1"/>
          <w:szCs w:val="21"/>
          <w:highlight w:val="none"/>
          <w14:textFill>
            <w14:solidFill>
              <w14:schemeClr w14:val="tx1"/>
            </w14:solidFill>
          </w14:textFill>
        </w:rPr>
        <w:t>。</w:t>
      </w:r>
    </w:p>
    <w:p w14:paraId="569E7526">
      <w:pPr>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4.3.6 采购人不接受投标人给予的赠品、回扣或者与采购无关的其他商品、服务。如有赠与行为，其投标无效。</w:t>
      </w:r>
    </w:p>
    <w:p w14:paraId="180108C0">
      <w:pPr>
        <w:spacing w:line="356" w:lineRule="auto"/>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4.4投标有效期</w:t>
      </w:r>
    </w:p>
    <w:p w14:paraId="7AB96E56">
      <w:pPr>
        <w:tabs>
          <w:tab w:val="left" w:pos="7665"/>
        </w:tabs>
        <w:spacing w:line="356" w:lineRule="auto"/>
        <w:ind w:left="13" w:leftChars="6"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4.4.1投标有效期见投标人须知前附表。投标有效期见投标人须知前附表。</w:t>
      </w:r>
      <w:r>
        <w:rPr>
          <w:rFonts w:hint="eastAsia" w:hAnsi="宋体"/>
          <w:color w:val="000000" w:themeColor="text1"/>
          <w:highlight w:val="none"/>
          <w14:textFill>
            <w14:solidFill>
              <w14:schemeClr w14:val="tx1"/>
            </w14:solidFill>
          </w14:textFill>
        </w:rPr>
        <w:t>在此期间投标文件对投标人具有法律约束力，</w:t>
      </w:r>
      <w:r>
        <w:rPr>
          <w:rFonts w:hint="eastAsia" w:hAnsi="宋体" w:cs="Arial"/>
          <w:color w:val="000000" w:themeColor="text1"/>
          <w:highlight w:val="none"/>
          <w14:textFill>
            <w14:solidFill>
              <w14:schemeClr w14:val="tx1"/>
            </w14:solidFill>
          </w14:textFill>
        </w:rPr>
        <w:t>从</w:t>
      </w:r>
      <w:r>
        <w:rPr>
          <w:rFonts w:hint="eastAsia" w:hAnsi="宋体"/>
          <w:color w:val="000000" w:themeColor="text1"/>
          <w:highlight w:val="none"/>
          <w14:textFill>
            <w14:solidFill>
              <w14:schemeClr w14:val="tx1"/>
            </w14:solidFill>
          </w14:textFill>
        </w:rPr>
        <w:t>投标人须知前附表规定的</w:t>
      </w:r>
      <w:r>
        <w:rPr>
          <w:rFonts w:hint="eastAsia" w:hAnsi="宋体" w:cs="宋体"/>
          <w:color w:val="000000" w:themeColor="text1"/>
          <w:kern w:val="0"/>
          <w:highlight w:val="none"/>
          <w14:textFill>
            <w14:solidFill>
              <w14:schemeClr w14:val="tx1"/>
            </w14:solidFill>
          </w14:textFill>
        </w:rPr>
        <w:t>递交投标文件截止时间</w:t>
      </w:r>
      <w:r>
        <w:rPr>
          <w:rFonts w:hint="eastAsia" w:hAnsi="宋体"/>
          <w:color w:val="000000" w:themeColor="text1"/>
          <w:highlight w:val="none"/>
          <w14:textFill>
            <w14:solidFill>
              <w14:schemeClr w14:val="tx1"/>
            </w14:solidFill>
          </w14:textFill>
        </w:rPr>
        <w:t>之日</w:t>
      </w:r>
      <w:r>
        <w:rPr>
          <w:rFonts w:hint="eastAsia" w:hAnsi="宋体" w:cs="Arial"/>
          <w:color w:val="000000" w:themeColor="text1"/>
          <w:highlight w:val="none"/>
          <w14:textFill>
            <w14:solidFill>
              <w14:schemeClr w14:val="tx1"/>
            </w14:solidFill>
          </w14:textFill>
        </w:rPr>
        <w:t>起计算。</w:t>
      </w:r>
      <w:r>
        <w:rPr>
          <w:rFonts w:hint="eastAsia" w:ascii="宋体" w:hAnsi="宋体"/>
          <w:color w:val="000000" w:themeColor="text1"/>
          <w:szCs w:val="21"/>
          <w:highlight w:val="none"/>
          <w14:textFill>
            <w14:solidFill>
              <w14:schemeClr w14:val="tx1"/>
            </w14:solidFill>
          </w14:textFill>
        </w:rPr>
        <w:t>投标文件中必须载明投标有效期，载明的投标有效期可以长于招标文件规定的期限，但不得短于招标文件规定的期限，否则属于非实质性响应，将按</w:t>
      </w:r>
      <w:r>
        <w:rPr>
          <w:rFonts w:hint="eastAsia" w:ascii="宋体" w:hAnsi="宋体"/>
          <w:b/>
          <w:bCs/>
          <w:color w:val="000000" w:themeColor="text1"/>
          <w:szCs w:val="21"/>
          <w:highlight w:val="none"/>
          <w14:textFill>
            <w14:solidFill>
              <w14:schemeClr w14:val="tx1"/>
            </w14:solidFill>
          </w14:textFill>
        </w:rPr>
        <w:t>无效投标</w:t>
      </w:r>
      <w:r>
        <w:rPr>
          <w:rFonts w:hint="eastAsia" w:ascii="宋体" w:hAnsi="宋体"/>
          <w:color w:val="000000" w:themeColor="text1"/>
          <w:szCs w:val="21"/>
          <w:highlight w:val="none"/>
          <w14:textFill>
            <w14:solidFill>
              <w14:schemeClr w14:val="tx1"/>
            </w14:solidFill>
          </w14:textFill>
        </w:rPr>
        <w:t>处理。</w:t>
      </w:r>
    </w:p>
    <w:p w14:paraId="36CAC91C">
      <w:pPr>
        <w:tabs>
          <w:tab w:val="left" w:pos="7665"/>
        </w:tabs>
        <w:spacing w:line="356" w:lineRule="auto"/>
        <w:ind w:left="13" w:leftChars="6"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4.4.2 出现特殊情况需要延长投标有效期的，采购代理机构或采购人可于投标有效期满之前，以书面形式通知所有投标人延长投标有效期。投标人应予书面答复，同意延长的，应相应延长其投标保证金有效期，但不得要求或被允许修改其投标文件；投标人拒绝延长的，其投标失效，但投标人有权收回其投标保证金。</w:t>
      </w:r>
    </w:p>
    <w:p w14:paraId="1C92185B">
      <w:pPr>
        <w:tabs>
          <w:tab w:val="left" w:pos="7665"/>
        </w:tabs>
        <w:spacing w:line="356" w:lineRule="auto"/>
        <w:ind w:left="13" w:leftChars="6"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4.4.3 在投标有效期内，投标人撤销投标文件的，应承担招标文件和法律规定的责任。</w:t>
      </w:r>
    </w:p>
    <w:p w14:paraId="2BBD2517">
      <w:pPr>
        <w:tabs>
          <w:tab w:val="left" w:pos="7665"/>
        </w:tabs>
        <w:spacing w:line="356" w:lineRule="auto"/>
        <w:ind w:left="13" w:leftChars="6"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4.4.4 中标人的投标有效期自动延长至合同终止为止。</w:t>
      </w:r>
    </w:p>
    <w:p w14:paraId="1244A884">
      <w:pPr>
        <w:pStyle w:val="7"/>
        <w:spacing w:line="356" w:lineRule="auto"/>
        <w:ind w:firstLine="0"/>
        <w:rPr>
          <w:rFonts w:hint="eastAsia" w:ascii="宋体" w:hAnsi="宋体"/>
          <w:b/>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4.5 投标保证金</w:t>
      </w:r>
    </w:p>
    <w:p w14:paraId="6F019C87">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4.5.1 </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须知前附表要求</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提交</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的，适用本条款；</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须知前附表未要求</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提交</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的，</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无需提交，也不必遵守本条款。</w:t>
      </w:r>
    </w:p>
    <w:p w14:paraId="2BDED94F">
      <w:pPr>
        <w:spacing w:line="356" w:lineRule="auto"/>
        <w:ind w:firstLine="422"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4.5.2</w:t>
      </w:r>
      <w:r>
        <w:rPr>
          <w:rFonts w:ascii="宋体" w:hAnsi="宋体"/>
          <w:b/>
          <w:color w:val="000000" w:themeColor="text1"/>
          <w:szCs w:val="21"/>
          <w:highlight w:val="none"/>
          <w14:textFill>
            <w14:solidFill>
              <w14:schemeClr w14:val="tx1"/>
            </w14:solidFill>
          </w14:textFill>
        </w:rPr>
        <w:t>投标保证金</w:t>
      </w:r>
      <w:r>
        <w:rPr>
          <w:rFonts w:hint="eastAsia" w:ascii="宋体" w:hAnsi="宋体"/>
          <w:b/>
          <w:color w:val="000000" w:themeColor="text1"/>
          <w:szCs w:val="21"/>
          <w:highlight w:val="none"/>
          <w14:textFill>
            <w14:solidFill>
              <w14:schemeClr w14:val="tx1"/>
            </w14:solidFill>
          </w14:textFill>
        </w:rPr>
        <w:t>的提交</w:t>
      </w:r>
    </w:p>
    <w:p w14:paraId="1F4385B1">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4.5.2.1 开启</w:t>
      </w:r>
      <w:r>
        <w:rPr>
          <w:rFonts w:ascii="宋体" w:hAnsi="宋体"/>
          <w:color w:val="000000" w:themeColor="text1"/>
          <w:szCs w:val="21"/>
          <w:highlight w:val="none"/>
          <w14:textFill>
            <w14:solidFill>
              <w14:schemeClr w14:val="tx1"/>
            </w14:solidFill>
          </w14:textFill>
        </w:rPr>
        <w:t>投标文件</w:t>
      </w:r>
      <w:r>
        <w:rPr>
          <w:rFonts w:hint="eastAsia" w:ascii="宋体" w:hAnsi="宋体"/>
          <w:color w:val="000000" w:themeColor="text1"/>
          <w:szCs w:val="21"/>
          <w:highlight w:val="none"/>
          <w14:textFill>
            <w14:solidFill>
              <w14:schemeClr w14:val="tx1"/>
            </w14:solidFill>
          </w14:textFill>
        </w:rPr>
        <w:t>现场不办理</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事宜。</w:t>
      </w:r>
    </w:p>
    <w:p w14:paraId="7C6C908B">
      <w:pPr>
        <w:spacing w:line="356" w:lineRule="auto"/>
        <w:ind w:firstLine="621" w:firstLineChars="2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4.5.2.2 </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应按</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须知前附表规定的金额、形式和时间提交，作为其</w:t>
      </w:r>
      <w:r>
        <w:rPr>
          <w:rFonts w:ascii="宋体" w:hAnsi="宋体"/>
          <w:color w:val="000000" w:themeColor="text1"/>
          <w:szCs w:val="21"/>
          <w:highlight w:val="none"/>
          <w14:textFill>
            <w14:solidFill>
              <w14:schemeClr w14:val="tx1"/>
            </w14:solidFill>
          </w14:textFill>
        </w:rPr>
        <w:t>投标文件</w:t>
      </w:r>
      <w:r>
        <w:rPr>
          <w:rFonts w:hint="eastAsia" w:ascii="宋体" w:hAnsi="宋体"/>
          <w:color w:val="000000" w:themeColor="text1"/>
          <w:szCs w:val="21"/>
          <w:highlight w:val="none"/>
          <w14:textFill>
            <w14:solidFill>
              <w14:schemeClr w14:val="tx1"/>
            </w14:solidFill>
          </w14:textFill>
        </w:rPr>
        <w:t>的一部分。联合体投标的，应当以联合体各方或者联合体中牵头人的名义提交</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。以联合体牵头单位提交</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的，对联合体各方均具有约束力。</w:t>
      </w:r>
    </w:p>
    <w:p w14:paraId="6BF21C01">
      <w:pPr>
        <w:spacing w:line="356" w:lineRule="auto"/>
        <w:ind w:firstLine="621" w:firstLineChars="2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4.5.2.3 </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可以银行转账或者金融机构、担保机构出具的保函等非现金形式提交：</w:t>
      </w:r>
    </w:p>
    <w:p w14:paraId="422947C7">
      <w:pPr>
        <w:spacing w:line="356" w:lineRule="auto"/>
        <w:ind w:firstLine="516" w:firstLineChars="24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（1）以银行转账提交保证金的，可以采取支票、电汇、网银、汇票、本票等方式，应从其基本账户转出，并在</w:t>
      </w:r>
      <w:r>
        <w:rPr>
          <w:rFonts w:ascii="宋体" w:hAnsi="宋体"/>
          <w:color w:val="000000" w:themeColor="text1"/>
          <w:szCs w:val="21"/>
          <w:highlight w:val="none"/>
          <w14:textFill>
            <w14:solidFill>
              <w14:schemeClr w14:val="tx1"/>
            </w14:solidFill>
          </w14:textFill>
        </w:rPr>
        <w:t>投标文件</w:t>
      </w:r>
      <w:r>
        <w:rPr>
          <w:rFonts w:hint="eastAsia" w:ascii="宋体" w:hAnsi="宋体"/>
          <w:color w:val="000000" w:themeColor="text1"/>
          <w:szCs w:val="21"/>
          <w:highlight w:val="none"/>
          <w14:textFill>
            <w14:solidFill>
              <w14:schemeClr w14:val="tx1"/>
            </w14:solidFill>
          </w14:textFill>
        </w:rPr>
        <w:t>中附上基本账户开户证明。</w:t>
      </w:r>
    </w:p>
    <w:p w14:paraId="44B3690C">
      <w:pPr>
        <w:spacing w:line="356" w:lineRule="auto"/>
        <w:ind w:firstLine="516" w:firstLineChars="24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（2）以信用担保函形式提交保证金的，不限格式，且是行政有关部门认定的具有开具投标保函资格的单位开具的保函。</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违约，开具保函单位承担连带责任。</w:t>
      </w:r>
    </w:p>
    <w:p w14:paraId="31D1BD56">
      <w:pPr>
        <w:spacing w:line="356" w:lineRule="auto"/>
        <w:ind w:firstLine="621" w:firstLineChars="2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4.5.2.4</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未按本章第4.5.2.2条款要求提交</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的，或者由于到账时间晚于投标截止时间的，或者票据错误、印鉴不清等原因导致不能到账的，其投标文件无效。</w:t>
      </w:r>
    </w:p>
    <w:p w14:paraId="56596D20">
      <w:pPr>
        <w:spacing w:line="356" w:lineRule="auto"/>
        <w:ind w:firstLine="624" w:firstLineChars="296"/>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4.5.3 </w:t>
      </w:r>
      <w:r>
        <w:rPr>
          <w:rFonts w:ascii="宋体" w:hAnsi="宋体"/>
          <w:b/>
          <w:color w:val="000000" w:themeColor="text1"/>
          <w:szCs w:val="21"/>
          <w:highlight w:val="none"/>
          <w14:textFill>
            <w14:solidFill>
              <w14:schemeClr w14:val="tx1"/>
            </w14:solidFill>
          </w14:textFill>
        </w:rPr>
        <w:t>投标保证金</w:t>
      </w:r>
      <w:r>
        <w:rPr>
          <w:rFonts w:hint="eastAsia" w:ascii="宋体" w:hAnsi="宋体"/>
          <w:b/>
          <w:color w:val="000000" w:themeColor="text1"/>
          <w:szCs w:val="21"/>
          <w:highlight w:val="none"/>
          <w14:textFill>
            <w14:solidFill>
              <w14:schemeClr w14:val="tx1"/>
            </w14:solidFill>
          </w14:textFill>
        </w:rPr>
        <w:t>的退还</w:t>
      </w:r>
    </w:p>
    <w:p w14:paraId="3FBC3925">
      <w:pPr>
        <w:spacing w:line="356" w:lineRule="auto"/>
        <w:ind w:firstLine="621" w:firstLineChars="2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4.5.3.1未成交</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的</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，将在</w:t>
      </w:r>
      <w:r>
        <w:rPr>
          <w:rFonts w:ascii="宋体" w:hAnsi="宋体"/>
          <w:color w:val="000000" w:themeColor="text1"/>
          <w:szCs w:val="21"/>
          <w:highlight w:val="none"/>
          <w14:textFill>
            <w14:solidFill>
              <w14:schemeClr w14:val="tx1"/>
            </w14:solidFill>
          </w14:textFill>
        </w:rPr>
        <w:t>中标通知书</w:t>
      </w:r>
      <w:r>
        <w:rPr>
          <w:rFonts w:hint="eastAsia" w:ascii="宋体" w:hAnsi="宋体"/>
          <w:color w:val="000000" w:themeColor="text1"/>
          <w:szCs w:val="21"/>
          <w:highlight w:val="none"/>
          <w14:textFill>
            <w14:solidFill>
              <w14:schemeClr w14:val="tx1"/>
            </w14:solidFill>
          </w14:textFill>
        </w:rPr>
        <w:t>发出之日起5个工作日内全额退还；中标人的</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，在采购人与中标人签订合同之日起5个工作日内全额退还；终止采购项目的</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，自终止采购活动后</w:t>
      </w: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个工作日内全额退还。</w:t>
      </w:r>
    </w:p>
    <w:p w14:paraId="32E91616">
      <w:pPr>
        <w:spacing w:line="356" w:lineRule="auto"/>
        <w:ind w:firstLine="621" w:firstLineChars="2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4.5.3.2有下列情形之一的，投标保证金将不予退还：</w:t>
      </w:r>
    </w:p>
    <w:p w14:paraId="33011512">
      <w:pPr>
        <w:spacing w:line="356" w:lineRule="auto"/>
        <w:ind w:firstLine="516" w:firstLineChars="24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（1）投标人在投标有效期内撤销投标文件的；</w:t>
      </w:r>
    </w:p>
    <w:p w14:paraId="4B922D87">
      <w:pPr>
        <w:spacing w:line="356" w:lineRule="auto"/>
        <w:ind w:firstLine="516" w:firstLineChars="24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（2）在采购人确定中标人以前放弃中标候选资格的；</w:t>
      </w:r>
    </w:p>
    <w:p w14:paraId="41E973A7">
      <w:pPr>
        <w:spacing w:line="356" w:lineRule="auto"/>
        <w:ind w:firstLine="516" w:firstLineChars="24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（3）中标后放弃中标、不领取或者不接收中标通知书的；</w:t>
      </w:r>
    </w:p>
    <w:p w14:paraId="34069ED1">
      <w:pPr>
        <w:spacing w:line="356" w:lineRule="auto"/>
        <w:ind w:firstLine="516" w:firstLineChars="24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（4）中标人在收到中标通知书后，无正当理由不与采购人订立合同，或者在签订合同时向采购人提出附加条件的；</w:t>
      </w:r>
    </w:p>
    <w:p w14:paraId="7D0786E6">
      <w:pPr>
        <w:spacing w:line="356" w:lineRule="auto"/>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（5）中标人未向采购代理机构支付采购（招标）代理服务费的；</w:t>
      </w:r>
    </w:p>
    <w:p w14:paraId="24CF10A1">
      <w:pPr>
        <w:spacing w:line="356" w:lineRule="auto"/>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（6）中标人未按招标文件规定向采购人提交履约保证金的；</w:t>
      </w:r>
    </w:p>
    <w:p w14:paraId="36BDB9B2">
      <w:pPr>
        <w:spacing w:line="356" w:lineRule="auto"/>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（7）投标有效期内，投标人在政府采购活动中有违规、违纪和违法行为的。</w:t>
      </w:r>
    </w:p>
    <w:p w14:paraId="2789A6E6">
      <w:pPr>
        <w:spacing w:line="356" w:lineRule="auto"/>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（8）法律法规规定的其他情况。</w:t>
      </w:r>
    </w:p>
    <w:p w14:paraId="66D49919">
      <w:pPr>
        <w:spacing w:line="356" w:lineRule="auto"/>
        <w:ind w:firstLine="630" w:firstLineChars="3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4.5.3.3 </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退还程序：</w:t>
      </w:r>
    </w:p>
    <w:p w14:paraId="0502423B">
      <w:pPr>
        <w:spacing w:line="356" w:lineRule="auto"/>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（1）在开标现场投标人提交投标文件时，同时提交</w:t>
      </w:r>
      <w:r>
        <w:rPr>
          <w:rFonts w:ascii="宋体" w:hAnsi="宋体"/>
          <w:color w:val="000000" w:themeColor="text1"/>
          <w:szCs w:val="21"/>
          <w:highlight w:val="none"/>
          <w14:textFill>
            <w14:solidFill>
              <w14:schemeClr w14:val="tx1"/>
            </w14:solidFill>
          </w14:textFill>
        </w:rPr>
        <w:t>投标保证金</w:t>
      </w:r>
      <w:r>
        <w:rPr>
          <w:rFonts w:hint="eastAsia" w:ascii="宋体" w:hAnsi="宋体"/>
          <w:color w:val="000000" w:themeColor="text1"/>
          <w:szCs w:val="21"/>
          <w:highlight w:val="none"/>
          <w14:textFill>
            <w14:solidFill>
              <w14:schemeClr w14:val="tx1"/>
            </w14:solidFill>
          </w14:textFill>
        </w:rPr>
        <w:t>转账凭证和加盖单位章的</w:t>
      </w:r>
      <w:r>
        <w:rPr>
          <w:rFonts w:ascii="宋体" w:hAnsi="宋体"/>
          <w:color w:val="000000" w:themeColor="text1"/>
          <w:szCs w:val="21"/>
          <w:highlight w:val="none"/>
          <w14:textFill>
            <w14:solidFill>
              <w14:schemeClr w14:val="tx1"/>
            </w14:solidFill>
          </w14:textFill>
        </w:rPr>
        <w:t>基本存款账户开户许可证</w:t>
      </w:r>
      <w:r>
        <w:rPr>
          <w:rFonts w:hint="eastAsia" w:ascii="宋体" w:hAnsi="宋体"/>
          <w:color w:val="000000" w:themeColor="text1"/>
          <w:szCs w:val="21"/>
          <w:highlight w:val="none"/>
          <w14:textFill>
            <w14:solidFill>
              <w14:schemeClr w14:val="tx1"/>
            </w14:solidFill>
          </w14:textFill>
        </w:rPr>
        <w:t>复印件，并填写《退还保证金登记表》（一联财务留存，一联随采购文件存档）。</w:t>
      </w:r>
    </w:p>
    <w:p w14:paraId="42B3855C">
      <w:pPr>
        <w:spacing w:line="356" w:lineRule="auto"/>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（2）未中标人的投标保证金，在《中标通知书》发出之日起5个工作日内，采购代理机构将主动退还至其基本账户。</w:t>
      </w:r>
    </w:p>
    <w:p w14:paraId="7C0FEF89">
      <w:pPr>
        <w:spacing w:line="356" w:lineRule="auto"/>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（3）中标人应当在合同签订生效之日起5个工作日内，持采购合同原件和办理人员身份证复印件到采购代理机构办理，逾期后果自负。采购代理机构应当及时将投标保证金退还至其基本账户。</w:t>
      </w:r>
    </w:p>
    <w:p w14:paraId="0A65682A">
      <w:pPr>
        <w:spacing w:line="356" w:lineRule="auto"/>
        <w:ind w:firstLine="630" w:firstLineChars="3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4.5.3.4 投标保证金退还时间：星期一至星期五，9:00-16:00。</w:t>
      </w:r>
    </w:p>
    <w:p w14:paraId="6F59BD71">
      <w:pPr>
        <w:widowControl/>
        <w:tabs>
          <w:tab w:val="left" w:pos="1620"/>
        </w:tabs>
        <w:spacing w:line="356" w:lineRule="auto"/>
        <w:ind w:right="-197" w:rightChars="-94" w:firstLine="630" w:firstLineChars="3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4.5.3.5 投标保证金退还地点：西安市雁塔区雁翔路111号赛格·中京坊公寓A1单元2层</w:t>
      </w:r>
    </w:p>
    <w:p w14:paraId="60C57C01">
      <w:pPr>
        <w:spacing w:line="356" w:lineRule="auto"/>
        <w:ind w:firstLine="630" w:firstLineChars="3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4.5.3.6 投标保证金退还方式：银行转账。</w:t>
      </w:r>
    </w:p>
    <w:p w14:paraId="13331832">
      <w:pPr>
        <w:tabs>
          <w:tab w:val="left" w:pos="7665"/>
        </w:tabs>
        <w:spacing w:line="356" w:lineRule="auto"/>
        <w:rPr>
          <w:rFonts w:hint="eastAsia" w:ascii="宋体" w:hAnsi="宋体"/>
          <w:b/>
          <w:bCs/>
          <w:color w:val="000000" w:themeColor="text1"/>
          <w:sz w:val="30"/>
          <w:szCs w:val="30"/>
          <w:highlight w:val="none"/>
          <w14:textFill>
            <w14:solidFill>
              <w14:schemeClr w14:val="tx1"/>
            </w14:solidFill>
          </w14:textFill>
        </w:rPr>
      </w:pPr>
      <w:bookmarkStart w:id="90" w:name="_Toc183682362"/>
      <w:bookmarkStart w:id="91" w:name="_Toc183582225"/>
      <w:bookmarkStart w:id="92" w:name="_Toc217446052"/>
      <w:bookmarkStart w:id="93" w:name="_Toc89075877"/>
      <w:bookmarkStart w:id="94" w:name="_Toc183682363"/>
      <w:bookmarkStart w:id="95" w:name="_Toc183582226"/>
      <w:bookmarkStart w:id="96" w:name="_Toc77400781"/>
      <w:bookmarkStart w:id="97" w:name="_Toc217446053"/>
      <w:r>
        <w:rPr>
          <w:rFonts w:hint="eastAsia" w:ascii="宋体" w:hAnsi="宋体"/>
          <w:b/>
          <w:bCs/>
          <w:color w:val="000000" w:themeColor="text1"/>
          <w:sz w:val="30"/>
          <w:szCs w:val="30"/>
          <w:highlight w:val="none"/>
          <w14:textFill>
            <w14:solidFill>
              <w14:schemeClr w14:val="tx1"/>
            </w14:solidFill>
          </w14:textFill>
        </w:rPr>
        <w:t>4.</w:t>
      </w:r>
      <w:r>
        <w:rPr>
          <w:rFonts w:ascii="宋体" w:hAnsi="宋体"/>
          <w:b/>
          <w:bCs/>
          <w:color w:val="000000" w:themeColor="text1"/>
          <w:sz w:val="30"/>
          <w:szCs w:val="30"/>
          <w:highlight w:val="none"/>
          <w14:textFill>
            <w14:solidFill>
              <w14:schemeClr w14:val="tx1"/>
            </w14:solidFill>
          </w14:textFill>
        </w:rPr>
        <w:t>6</w:t>
      </w:r>
      <w:r>
        <w:rPr>
          <w:rFonts w:hint="eastAsia" w:ascii="宋体" w:hAnsi="宋体"/>
          <w:b/>
          <w:bCs/>
          <w:color w:val="000000" w:themeColor="text1"/>
          <w:sz w:val="30"/>
          <w:szCs w:val="30"/>
          <w:highlight w:val="none"/>
          <w14:textFill>
            <w14:solidFill>
              <w14:schemeClr w14:val="tx1"/>
            </w14:solidFill>
          </w14:textFill>
        </w:rPr>
        <w:t xml:space="preserve"> 投标文件的制作和签署</w:t>
      </w:r>
      <w:bookmarkEnd w:id="90"/>
      <w:bookmarkEnd w:id="91"/>
      <w:bookmarkEnd w:id="92"/>
    </w:p>
    <w:bookmarkEnd w:id="93"/>
    <w:bookmarkEnd w:id="94"/>
    <w:bookmarkEnd w:id="95"/>
    <w:bookmarkEnd w:id="96"/>
    <w:bookmarkEnd w:id="97"/>
    <w:p w14:paraId="2A33E3DF">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bookmarkStart w:id="98" w:name="_Toc18661"/>
      <w:bookmarkStart w:id="99" w:name="_Toc183682368"/>
      <w:bookmarkStart w:id="100" w:name="_Toc183582231"/>
      <w:bookmarkStart w:id="101" w:name="_Toc77400782"/>
      <w:bookmarkStart w:id="102" w:name="_Toc217446056"/>
      <w:bookmarkStart w:id="103" w:name="_Toc89075878"/>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.1 投标文件应按照“投标文件格式”进行编写，如有必要，可以增加附页，作为投标文件的组成部分。除明确允许投标人可以自行编写外，投标人不得以“投标文件格式”规定之外的方式编写相关内容；对于没有格式要求的由投标人自行编写。</w:t>
      </w:r>
    </w:p>
    <w:p w14:paraId="23B9B436">
      <w:pPr>
        <w:tabs>
          <w:tab w:val="left" w:pos="7665"/>
        </w:tabs>
        <w:spacing w:line="356" w:lineRule="auto"/>
        <w:ind w:left="13" w:leftChars="6"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.2 投标文件应填写投标人全称，并与投标人的证件证书保持一致，按照要求进行签名盖章。</w:t>
      </w:r>
    </w:p>
    <w:p w14:paraId="2643390F">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.3 投标人应当按照“投标人须知前附表”规定的份数准备投标文件正本、副本和相应的电子文件。正本和副本封面右上角应清楚地标明“正本”或“副本”字样。当副本和正本有不一致的内容，以正本书面投标文件为准。</w:t>
      </w:r>
    </w:p>
    <w:p w14:paraId="7BF0CC30">
      <w:pPr>
        <w:tabs>
          <w:tab w:val="left" w:pos="1080"/>
        </w:tabs>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.4 投标文件应用不褪色的材料书写或打印，副本可采用正本的复印件。投标文件应由投标人的法定代表人或其委托代理人签名和盖单位章。由投标人的法定代表人签名的，应附法定代表人身份证明，由其委托代理人签名的，应附授权委托书。其中：投标函、授权委托书必须由投标人的法定代表人签名并加盖投标人公章，否则，按未实质性响应招标文件处理，其投标无效。</w:t>
      </w:r>
    </w:p>
    <w:p w14:paraId="5FD6422D">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5投标文件的打印或书写应清楚工整，尽量避免行间插字、涂改或增删。如出现上述情况，改动之处应由投标人的法定代表人或其委托代理人签名或盖单位章。字迹潦草、表达不清或可能导致非唯一理解的投标文件可能视为无效投标。</w:t>
      </w:r>
    </w:p>
    <w:p w14:paraId="39B59230">
      <w:pPr>
        <w:tabs>
          <w:tab w:val="left" w:pos="1080"/>
        </w:tabs>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.6 投标文件的正本和副本</w:t>
      </w:r>
      <w:r>
        <w:rPr>
          <w:rFonts w:hint="eastAsia" w:ascii="宋体" w:hAnsi="宋体"/>
          <w:color w:val="000000" w:themeColor="text1"/>
          <w:szCs w:val="21"/>
          <w:highlight w:val="none"/>
          <w:lang w:val="zh-CN"/>
          <w14:textFill>
            <w14:solidFill>
              <w14:schemeClr w14:val="tx1"/>
            </w14:solidFill>
          </w14:textFill>
        </w:rPr>
        <w:t>一律采用A4纸幅面，并</w:t>
      </w:r>
      <w:r>
        <w:rPr>
          <w:rFonts w:hint="eastAsia" w:ascii="宋体" w:hAnsi="宋体"/>
          <w:color w:val="000000" w:themeColor="text1"/>
          <w:szCs w:val="21"/>
          <w:highlight w:val="none"/>
          <w14:textFill>
            <w14:solidFill>
              <w14:schemeClr w14:val="tx1"/>
            </w14:solidFill>
          </w14:textFill>
        </w:rPr>
        <w:t>分别装订和编制目录，投标文件需分册装订的，具体分册装订要求见</w:t>
      </w:r>
      <w:r>
        <w:rPr>
          <w:rFonts w:hint="eastAsia" w:ascii="宋体" w:hAnsi="宋体"/>
          <w:color w:val="000000" w:themeColor="text1"/>
          <w:szCs w:val="21"/>
          <w:highlight w:val="none"/>
          <w:lang w:val="zh-CN"/>
          <w14:textFill>
            <w14:solidFill>
              <w14:schemeClr w14:val="tx1"/>
            </w14:solidFill>
          </w14:textFill>
        </w:rPr>
        <w:t>投标人须知前附表的规定。投标文件</w:t>
      </w:r>
      <w:r>
        <w:rPr>
          <w:rFonts w:hint="eastAsia" w:ascii="宋体" w:hAnsi="宋体"/>
          <w:color w:val="000000" w:themeColor="text1"/>
          <w:szCs w:val="21"/>
          <w:highlight w:val="none"/>
          <w14:textFill>
            <w14:solidFill>
              <w14:schemeClr w14:val="tx1"/>
            </w14:solidFill>
          </w14:textFill>
        </w:rPr>
        <w:t>胶装后，页面不可抽取，不得有活动页，无破损、不可拆分。</w:t>
      </w:r>
    </w:p>
    <w:p w14:paraId="61AF3371">
      <w:pPr>
        <w:spacing w:line="356" w:lineRule="auto"/>
        <w:ind w:firstLine="420" w:firstLineChars="200"/>
        <w:jc w:val="left"/>
        <w:rPr>
          <w:rFonts w:hint="eastAsia" w:ascii="宋体" w:hAnsi="宋体"/>
          <w:color w:val="FF0000"/>
          <w:szCs w:val="21"/>
          <w:highlight w:val="none"/>
          <w:lang w:eastAsia="zh-CN"/>
        </w:rPr>
      </w:pPr>
      <w:r>
        <w:rPr>
          <w:rFonts w:hint="eastAsia" w:ascii="宋体" w:hAnsi="宋体"/>
          <w:color w:val="FF0000"/>
          <w:szCs w:val="21"/>
          <w:highlight w:val="none"/>
        </w:rPr>
        <w:t>4.</w:t>
      </w:r>
      <w:r>
        <w:rPr>
          <w:rFonts w:ascii="宋体" w:hAnsi="宋体"/>
          <w:color w:val="FF0000"/>
          <w:szCs w:val="21"/>
          <w:highlight w:val="none"/>
        </w:rPr>
        <w:t>6</w:t>
      </w:r>
      <w:r>
        <w:rPr>
          <w:rFonts w:hint="eastAsia" w:ascii="宋体" w:hAnsi="宋体"/>
          <w:color w:val="FF0000"/>
          <w:szCs w:val="21"/>
          <w:highlight w:val="none"/>
        </w:rPr>
        <w:t>.7 电子文件制作要求</w:t>
      </w:r>
      <w:r>
        <w:rPr>
          <w:rFonts w:hint="eastAsia" w:ascii="宋体" w:hAnsi="宋体"/>
          <w:color w:val="FF0000"/>
          <w:szCs w:val="21"/>
          <w:highlight w:val="none"/>
          <w:lang w:eastAsia="zh-CN"/>
        </w:rPr>
        <w:t>电子文件包含内容:(1)已标价工程量清单采用电子版使用广联达云计价软件GCCP7.0（版本：7.5000.23.3）</w:t>
      </w:r>
      <w:r>
        <w:rPr>
          <w:rFonts w:hint="eastAsia" w:ascii="宋体" w:hAnsi="宋体"/>
          <w:color w:val="FF0000"/>
          <w:szCs w:val="21"/>
          <w:highlight w:val="none"/>
          <w:lang w:val="en-US" w:eastAsia="zh-CN"/>
        </w:rPr>
        <w:t>制作。</w:t>
      </w:r>
      <w:r>
        <w:rPr>
          <w:rFonts w:hint="eastAsia" w:ascii="宋体" w:hAnsi="宋体"/>
          <w:color w:val="FF0000"/>
          <w:szCs w:val="21"/>
          <w:highlight w:val="none"/>
          <w:lang w:eastAsia="zh-CN"/>
        </w:rPr>
        <w:t>(2)资格审查文件、商务</w:t>
      </w:r>
      <w:r>
        <w:rPr>
          <w:rFonts w:hint="eastAsia" w:ascii="宋体" w:hAnsi="宋体"/>
          <w:color w:val="FF0000"/>
          <w:szCs w:val="21"/>
          <w:highlight w:val="none"/>
          <w:lang w:val="en-US" w:eastAsia="zh-CN"/>
        </w:rPr>
        <w:t>文件、</w:t>
      </w:r>
      <w:r>
        <w:rPr>
          <w:rFonts w:hint="eastAsia" w:ascii="宋体" w:hAnsi="宋体"/>
          <w:color w:val="FF0000"/>
          <w:szCs w:val="21"/>
          <w:highlight w:val="none"/>
          <w:lang w:eastAsia="zh-CN"/>
        </w:rPr>
        <w:t>技术文件。</w:t>
      </w:r>
    </w:p>
    <w:p w14:paraId="05B60D1D">
      <w:pPr>
        <w:spacing w:line="356" w:lineRule="auto"/>
        <w:ind w:firstLine="422" w:firstLineChars="200"/>
        <w:jc w:val="left"/>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电子文件</w:t>
      </w:r>
      <w:r>
        <w:rPr>
          <w:rFonts w:hint="eastAsia" w:ascii="宋体" w:hAnsi="宋体"/>
          <w:b/>
          <w:bCs/>
          <w:color w:val="000000" w:themeColor="text1"/>
          <w:szCs w:val="21"/>
          <w:highlight w:val="none"/>
          <w:lang w:val="en-US" w:eastAsia="zh-CN"/>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资格审查文件、商务文件、技术文件</w:t>
      </w:r>
      <w:r>
        <w:rPr>
          <w:rFonts w:hint="eastAsia" w:ascii="宋体" w:hAnsi="宋体"/>
          <w:b/>
          <w:bCs/>
          <w:color w:val="000000" w:themeColor="text1"/>
          <w:szCs w:val="21"/>
          <w:highlight w:val="none"/>
          <w:lang w:val="en-US" w:eastAsia="zh-CN"/>
          <w14:textFill>
            <w14:solidFill>
              <w14:schemeClr w14:val="tx1"/>
            </w14:solidFill>
          </w14:textFill>
        </w:rPr>
        <w:t>)内容应当</w:t>
      </w:r>
      <w:r>
        <w:rPr>
          <w:rFonts w:hint="eastAsia" w:ascii="宋体" w:hAnsi="宋体"/>
          <w:b/>
          <w:bCs/>
          <w:color w:val="000000" w:themeColor="text1"/>
          <w:szCs w:val="21"/>
          <w:highlight w:val="none"/>
          <w14:textFill>
            <w14:solidFill>
              <w14:schemeClr w14:val="tx1"/>
            </w14:solidFill>
          </w14:textFill>
        </w:rPr>
        <w:t>与纸质正本投标文件的内容保持一致，具有同等法律效力。电子文件</w:t>
      </w:r>
      <w:r>
        <w:rPr>
          <w:rFonts w:hint="eastAsia" w:ascii="宋体" w:hAnsi="宋体"/>
          <w:b/>
          <w:bCs/>
          <w:color w:val="000000" w:themeColor="text1"/>
          <w:szCs w:val="21"/>
          <w:highlight w:val="none"/>
          <w:lang w:val="en-US" w:eastAsia="zh-CN"/>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资格审查文件、商务文件、技术文件</w:t>
      </w:r>
      <w:r>
        <w:rPr>
          <w:rFonts w:hint="eastAsia" w:ascii="宋体" w:hAnsi="宋体"/>
          <w:b/>
          <w:bCs/>
          <w:color w:val="000000" w:themeColor="text1"/>
          <w:szCs w:val="21"/>
          <w:highlight w:val="none"/>
          <w:lang w:val="en-US" w:eastAsia="zh-CN"/>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采用PDF格式，需要签名和盖章的，可采用电子印章，或将有盖章和签名的纸质页面、证件等扫描文件一起编辑到PDF格式文件中，尤其是有盖章和签名的页不能遗漏。电子文件应采用U盘复刻，电子文件封面应具有项目名称和投标人名称标识。</w:t>
      </w:r>
      <w:r>
        <w:rPr>
          <w:rFonts w:hint="eastAsia" w:ascii="宋体" w:hAnsi="宋体"/>
          <w:b/>
          <w:bCs/>
          <w:color w:val="FF0000"/>
          <w:szCs w:val="21"/>
          <w:highlight w:val="none"/>
        </w:rPr>
        <w:t>未按规定制作电子文件或开标现场电子</w:t>
      </w:r>
      <w:r>
        <w:rPr>
          <w:rFonts w:hint="eastAsia" w:ascii="宋体" w:hAnsi="宋体"/>
          <w:b/>
          <w:bCs/>
          <w:color w:val="FF0000"/>
          <w:szCs w:val="21"/>
          <w:highlight w:val="none"/>
          <w:lang w:val="en-US" w:eastAsia="zh-CN"/>
        </w:rPr>
        <w:t>文件</w:t>
      </w:r>
      <w:r>
        <w:rPr>
          <w:rFonts w:hint="eastAsia" w:ascii="宋体" w:hAnsi="宋体"/>
          <w:b/>
          <w:bCs/>
          <w:color w:val="FF0000"/>
          <w:szCs w:val="21"/>
          <w:highlight w:val="none"/>
        </w:rPr>
        <w:t>因自身原因导致无法读取的</w:t>
      </w:r>
      <w:r>
        <w:rPr>
          <w:rFonts w:hint="eastAsia" w:ascii="宋体" w:hAnsi="宋体"/>
          <w:b/>
          <w:bCs/>
          <w:color w:val="FF0000"/>
          <w:szCs w:val="21"/>
          <w:highlight w:val="none"/>
          <w:lang w:eastAsia="zh-CN"/>
        </w:rPr>
        <w:t>，</w:t>
      </w:r>
      <w:r>
        <w:rPr>
          <w:rFonts w:hint="eastAsia" w:ascii="宋体" w:hAnsi="宋体"/>
          <w:b/>
          <w:bCs/>
          <w:color w:val="FF0000"/>
          <w:szCs w:val="21"/>
          <w:highlight w:val="none"/>
          <w:lang w:val="en-US" w:eastAsia="zh-CN"/>
        </w:rPr>
        <w:t>由投标人自行承担与之产生的一切责任和损失。</w:t>
      </w:r>
    </w:p>
    <w:p w14:paraId="3421C490">
      <w:pPr>
        <w:tabs>
          <w:tab w:val="left" w:pos="1080"/>
        </w:tabs>
        <w:spacing w:line="356" w:lineRule="auto"/>
        <w:outlineLvl w:val="1"/>
        <w:rPr>
          <w:rFonts w:hint="eastAsia" w:ascii="黑体" w:hAnsi="宋体" w:eastAsia="黑体"/>
          <w:b/>
          <w:bCs/>
          <w:color w:val="000000" w:themeColor="text1"/>
          <w:sz w:val="36"/>
          <w:szCs w:val="36"/>
          <w:highlight w:val="none"/>
          <w14:textFill>
            <w14:solidFill>
              <w14:schemeClr w14:val="tx1"/>
            </w14:solidFill>
          </w14:textFill>
        </w:rPr>
      </w:pPr>
      <w:bookmarkStart w:id="104" w:name="_Toc25895549"/>
      <w:bookmarkStart w:id="105" w:name="_Toc10755"/>
      <w:r>
        <w:rPr>
          <w:rFonts w:hint="eastAsia" w:ascii="黑体" w:hAnsi="宋体" w:eastAsia="黑体"/>
          <w:b/>
          <w:bCs/>
          <w:color w:val="000000" w:themeColor="text1"/>
          <w:sz w:val="36"/>
          <w:szCs w:val="36"/>
          <w:highlight w:val="none"/>
          <w14:textFill>
            <w14:solidFill>
              <w14:schemeClr w14:val="tx1"/>
            </w14:solidFill>
          </w14:textFill>
        </w:rPr>
        <w:t>5.投标</w:t>
      </w:r>
      <w:bookmarkEnd w:id="98"/>
      <w:bookmarkEnd w:id="104"/>
      <w:bookmarkEnd w:id="105"/>
    </w:p>
    <w:p w14:paraId="0E7E968A">
      <w:pPr>
        <w:tabs>
          <w:tab w:val="left" w:pos="1080"/>
        </w:tabs>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5.1 投标文件的密封和标记</w:t>
      </w:r>
    </w:p>
    <w:p w14:paraId="2961F7E3">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5.1.1 </w:t>
      </w:r>
      <w:r>
        <w:rPr>
          <w:rFonts w:hint="eastAsia" w:ascii="宋体" w:hAnsi="宋体"/>
          <w:color w:val="000000" w:themeColor="text1"/>
          <w:kern w:val="0"/>
          <w:szCs w:val="21"/>
          <w:highlight w:val="none"/>
          <w14:textFill>
            <w14:solidFill>
              <w14:schemeClr w14:val="tx1"/>
            </w14:solidFill>
          </w14:textFill>
        </w:rPr>
        <w:t>开标前，投标人应将投标文件所有正本、副本、电子文件全部密封。</w:t>
      </w:r>
    </w:p>
    <w:p w14:paraId="2E6F8B72">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 xml:space="preserve">5.1.2 </w:t>
      </w:r>
      <w:r>
        <w:rPr>
          <w:rFonts w:hint="eastAsia" w:ascii="宋体" w:hAnsi="宋体"/>
          <w:color w:val="000000" w:themeColor="text1"/>
          <w:szCs w:val="21"/>
          <w:highlight w:val="none"/>
          <w14:textFill>
            <w14:solidFill>
              <w14:schemeClr w14:val="tx1"/>
            </w14:solidFill>
          </w14:textFill>
        </w:rPr>
        <w:t>投标文件装订、密封、装袋要求见投标人须知前附表，密封以不泄露投标人商业秘密、资格、技术及商务内容为标准。</w:t>
      </w:r>
    </w:p>
    <w:p w14:paraId="08454EF0">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5.1.3 投标文件封套上应写明的内容见投标人须知前附表。</w:t>
      </w:r>
    </w:p>
    <w:p w14:paraId="65F1FB57">
      <w:pPr>
        <w:adjustRightInd w:val="0"/>
        <w:snapToGrid w:val="0"/>
        <w:spacing w:line="356" w:lineRule="auto"/>
        <w:ind w:firstLine="420"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5.1.4 未按要求密封的投标文件，采购代理机构将予以拒收。</w:t>
      </w:r>
    </w:p>
    <w:p w14:paraId="0F44349D">
      <w:pPr>
        <w:tabs>
          <w:tab w:val="left" w:pos="1080"/>
        </w:tabs>
        <w:spacing w:line="356" w:lineRule="auto"/>
        <w:rPr>
          <w:rFonts w:hint="eastAsia" w:ascii="宋体" w:hAnsi="宋体"/>
          <w:b/>
          <w:color w:val="000000" w:themeColor="text1"/>
          <w:sz w:val="30"/>
          <w:szCs w:val="30"/>
          <w:highlight w:val="none"/>
          <w14:textFill>
            <w14:solidFill>
              <w14:schemeClr w14:val="tx1"/>
            </w14:solidFill>
          </w14:textFill>
        </w:rPr>
      </w:pPr>
      <w:bookmarkStart w:id="106" w:name="_Toc183582227"/>
      <w:bookmarkStart w:id="107" w:name="_Toc183682364"/>
      <w:bookmarkStart w:id="108" w:name="_Toc217446054"/>
      <w:r>
        <w:rPr>
          <w:rFonts w:hint="eastAsia" w:ascii="宋体" w:hAnsi="宋体"/>
          <w:b/>
          <w:bCs/>
          <w:color w:val="000000" w:themeColor="text1"/>
          <w:sz w:val="30"/>
          <w:szCs w:val="30"/>
          <w:highlight w:val="none"/>
          <w14:textFill>
            <w14:solidFill>
              <w14:schemeClr w14:val="tx1"/>
            </w14:solidFill>
          </w14:textFill>
        </w:rPr>
        <w:t>5.2 投标文件的</w:t>
      </w:r>
      <w:bookmarkEnd w:id="106"/>
      <w:bookmarkEnd w:id="107"/>
      <w:r>
        <w:rPr>
          <w:rFonts w:hint="eastAsia" w:ascii="宋体" w:hAnsi="宋体"/>
          <w:b/>
          <w:bCs/>
          <w:color w:val="000000" w:themeColor="text1"/>
          <w:sz w:val="30"/>
          <w:szCs w:val="30"/>
          <w:highlight w:val="none"/>
          <w14:textFill>
            <w14:solidFill>
              <w14:schemeClr w14:val="tx1"/>
            </w14:solidFill>
          </w14:textFill>
        </w:rPr>
        <w:t>递交</w:t>
      </w:r>
      <w:bookmarkEnd w:id="108"/>
    </w:p>
    <w:p w14:paraId="46A3361D">
      <w:pPr>
        <w:tabs>
          <w:tab w:val="left" w:pos="1095"/>
        </w:tabs>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5.2.1 投标人应在投标人须知前附表规定的投标截止时间前递交投标文件。</w:t>
      </w:r>
    </w:p>
    <w:p w14:paraId="7E5FD085">
      <w:pPr>
        <w:tabs>
          <w:tab w:val="left" w:pos="1095"/>
        </w:tabs>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5.2.2 投标人递交投标文件地点：见投标人须知前附表。</w:t>
      </w:r>
    </w:p>
    <w:p w14:paraId="3CCF844A">
      <w:pPr>
        <w:tabs>
          <w:tab w:val="left" w:pos="1095"/>
        </w:tabs>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5.2.3 除投标人须知前附表另有规定外，投标人递交的投标文件不予退还。</w:t>
      </w:r>
    </w:p>
    <w:p w14:paraId="0012DC09">
      <w:pPr>
        <w:pStyle w:val="7"/>
        <w:spacing w:line="356" w:lineRule="auto"/>
        <w:ind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5.2.4采购代理机构收到投标文件后，应当如实记载投标文件的送达时间和密封情况，签收保存，并向投标人出具签收回执。</w:t>
      </w:r>
    </w:p>
    <w:p w14:paraId="6E8FEDE1">
      <w:pPr>
        <w:tabs>
          <w:tab w:val="left" w:pos="851"/>
          <w:tab w:val="left" w:pos="1095"/>
        </w:tabs>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5.2.5 逾期送达的投标文件，采购代理机构将予以拒收。</w:t>
      </w:r>
    </w:p>
    <w:p w14:paraId="22A5BBD0">
      <w:pPr>
        <w:pStyle w:val="7"/>
        <w:spacing w:line="356" w:lineRule="auto"/>
        <w:ind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5.2.6 本次招标不接受邮寄的投标文件。</w:t>
      </w:r>
    </w:p>
    <w:p w14:paraId="4B22F167">
      <w:pPr>
        <w:tabs>
          <w:tab w:val="left" w:pos="1080"/>
        </w:tabs>
        <w:spacing w:line="356" w:lineRule="auto"/>
        <w:rPr>
          <w:rFonts w:hint="eastAsia" w:ascii="宋体" w:hAnsi="宋体"/>
          <w:b/>
          <w:bCs/>
          <w:color w:val="000000" w:themeColor="text1"/>
          <w:sz w:val="30"/>
          <w:szCs w:val="30"/>
          <w:highlight w:val="none"/>
          <w14:textFill>
            <w14:solidFill>
              <w14:schemeClr w14:val="tx1"/>
            </w14:solidFill>
          </w14:textFill>
        </w:rPr>
      </w:pPr>
      <w:bookmarkStart w:id="109" w:name="_Toc183582228"/>
      <w:bookmarkStart w:id="110" w:name="_Toc183682365"/>
      <w:bookmarkStart w:id="111" w:name="_Toc217446055"/>
      <w:r>
        <w:rPr>
          <w:rFonts w:hint="eastAsia" w:ascii="宋体" w:hAnsi="宋体"/>
          <w:b/>
          <w:bCs/>
          <w:color w:val="000000" w:themeColor="text1"/>
          <w:sz w:val="30"/>
          <w:szCs w:val="30"/>
          <w:highlight w:val="none"/>
          <w14:textFill>
            <w14:solidFill>
              <w14:schemeClr w14:val="tx1"/>
            </w14:solidFill>
          </w14:textFill>
        </w:rPr>
        <w:t>5.3 投标文件的修改和撤</w:t>
      </w:r>
      <w:bookmarkEnd w:id="109"/>
      <w:bookmarkEnd w:id="110"/>
      <w:r>
        <w:rPr>
          <w:rFonts w:hint="eastAsia" w:ascii="宋体" w:hAnsi="宋体"/>
          <w:b/>
          <w:bCs/>
          <w:color w:val="000000" w:themeColor="text1"/>
          <w:sz w:val="30"/>
          <w:szCs w:val="30"/>
          <w:highlight w:val="none"/>
          <w14:textFill>
            <w14:solidFill>
              <w14:schemeClr w14:val="tx1"/>
            </w14:solidFill>
          </w14:textFill>
        </w:rPr>
        <w:t>回</w:t>
      </w:r>
      <w:bookmarkEnd w:id="111"/>
    </w:p>
    <w:p w14:paraId="1693EA44">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5.3.1 在规定的投标截止时间前，投标人可以修改或撤回已递交的投标文件，但应以书面形式通知采购代理机构。</w:t>
      </w:r>
    </w:p>
    <w:p w14:paraId="438EF11E">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5.3.2 投标人的修改或撤回通知书，应由其法定代表人或委托代理人签署并盖单位章。修改或撤回通知书应按招标文件规定进行密封，并在密封袋上标注“投标文件修改”或“投标文件撤回通知”字样，“修改文件”作为投标文件的组成部分。</w:t>
      </w:r>
    </w:p>
    <w:p w14:paraId="5DC4F180">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5.3.3 投标人撤回投标文件的，采购代理机构自收到投标人书面撤回通知之日起5个工作日内退还已收取的投标保证金。</w:t>
      </w:r>
    </w:p>
    <w:p w14:paraId="6771A107">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5.3.4 在投标截止时间之后，投标人不得对其递交的投标文件做任何修改或撤销投标。</w:t>
      </w:r>
    </w:p>
    <w:bookmarkEnd w:id="99"/>
    <w:bookmarkEnd w:id="100"/>
    <w:bookmarkEnd w:id="101"/>
    <w:bookmarkEnd w:id="102"/>
    <w:bookmarkEnd w:id="103"/>
    <w:p w14:paraId="0D3B681B">
      <w:pPr>
        <w:pStyle w:val="7"/>
        <w:spacing w:line="356" w:lineRule="auto"/>
        <w:ind w:firstLine="0"/>
        <w:outlineLvl w:val="1"/>
        <w:rPr>
          <w:rFonts w:hint="eastAsia" w:ascii="黑体" w:hAnsi="宋体" w:eastAsia="黑体"/>
          <w:b/>
          <w:color w:val="000000" w:themeColor="text1"/>
          <w:sz w:val="36"/>
          <w:szCs w:val="36"/>
          <w:highlight w:val="none"/>
          <w14:textFill>
            <w14:solidFill>
              <w14:schemeClr w14:val="tx1"/>
            </w14:solidFill>
          </w14:textFill>
        </w:rPr>
      </w:pPr>
      <w:bookmarkStart w:id="112" w:name="_Toc260"/>
      <w:bookmarkStart w:id="113" w:name="_Toc1434795349"/>
      <w:bookmarkStart w:id="114" w:name="_Toc5077"/>
      <w:r>
        <w:rPr>
          <w:rFonts w:hint="eastAsia" w:ascii="黑体" w:hAnsi="宋体" w:eastAsia="黑体"/>
          <w:b/>
          <w:color w:val="000000" w:themeColor="text1"/>
          <w:sz w:val="36"/>
          <w:szCs w:val="36"/>
          <w:highlight w:val="none"/>
          <w14:textFill>
            <w14:solidFill>
              <w14:schemeClr w14:val="tx1"/>
            </w14:solidFill>
          </w14:textFill>
        </w:rPr>
        <w:t>6.开标</w:t>
      </w:r>
      <w:bookmarkEnd w:id="112"/>
      <w:bookmarkEnd w:id="113"/>
      <w:bookmarkEnd w:id="114"/>
    </w:p>
    <w:p w14:paraId="3B159020">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6.1开标时间和地点</w:t>
      </w:r>
    </w:p>
    <w:p w14:paraId="4546FDEE">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bookmarkStart w:id="115" w:name="_Toc217446058"/>
      <w:bookmarkStart w:id="116" w:name="_Toc217446059"/>
      <w:r>
        <w:rPr>
          <w:rFonts w:hint="eastAsia" w:ascii="宋体" w:hAnsi="宋体"/>
          <w:color w:val="000000" w:themeColor="text1"/>
          <w:szCs w:val="21"/>
          <w:highlight w:val="none"/>
          <w14:textFill>
            <w14:solidFill>
              <w14:schemeClr w14:val="tx1"/>
            </w14:solidFill>
          </w14:textFill>
        </w:rPr>
        <w:t>6.1.1 投标人须知前附表中规定的投标截止时间（开标时间）和地点公开开标，并邀请采购人、所有投标人派代表准时参加并签到以证明其出席。评标委员会成员不得参加开标活动。</w:t>
      </w:r>
    </w:p>
    <w:p w14:paraId="4F88794A">
      <w:pPr>
        <w:spacing w:line="356" w:lineRule="auto"/>
        <w:ind w:firstLine="420" w:firstLineChars="200"/>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6.1.2 投标人未参加开标的，视同认可开标结果。</w:t>
      </w:r>
    </w:p>
    <w:p w14:paraId="41A1DFF4">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6.1.3 开标时，采购代理机构邀请有关监督管理机构对开标进行现场监督。</w:t>
      </w:r>
    </w:p>
    <w:p w14:paraId="7A1965D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6.1.4 投标人不足3家的，不得开标，采购代理机构将按照投标人须知前附表的规定返还投标人的投标文件，投标人应当签收。</w:t>
      </w:r>
    </w:p>
    <w:p w14:paraId="3B64A68C">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6.2 开标程序</w:t>
      </w:r>
      <w:bookmarkEnd w:id="115"/>
    </w:p>
    <w:p w14:paraId="1F56209A">
      <w:pPr>
        <w:pStyle w:val="24"/>
        <w:spacing w:line="356" w:lineRule="auto"/>
        <w:ind w:firstLine="420"/>
        <w:rPr>
          <w:rFonts w:hint="eastAsia" w:ascii="宋体" w:hAnsi="宋体" w:eastAsia="宋体"/>
          <w:color w:val="000000" w:themeColor="text1"/>
          <w:sz w:val="21"/>
          <w:szCs w:val="21"/>
          <w:highlight w:val="none"/>
          <w14:textFill>
            <w14:solidFill>
              <w14:schemeClr w14:val="tx1"/>
            </w14:solidFill>
          </w14:textFill>
        </w:rPr>
      </w:pPr>
      <w:bookmarkStart w:id="117" w:name="_Toc3264"/>
      <w:r>
        <w:rPr>
          <w:rFonts w:hint="eastAsia" w:ascii="宋体" w:hAnsi="宋体" w:eastAsia="宋体"/>
          <w:color w:val="000000" w:themeColor="text1"/>
          <w:sz w:val="21"/>
          <w:szCs w:val="21"/>
          <w:highlight w:val="none"/>
          <w14:textFill>
            <w14:solidFill>
              <w14:schemeClr w14:val="tx1"/>
            </w14:solidFill>
          </w14:textFill>
        </w:rPr>
        <w:t>6.2.1 开标由采购代理机构主持。主持人按照招标文件规定的开标时间宣布开标，并按下列程序进行（但不限于）：</w:t>
      </w:r>
    </w:p>
    <w:p w14:paraId="462D8252">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（1）宣布开标开始和开启录音录像设备并致辞；</w:t>
      </w:r>
    </w:p>
    <w:p w14:paraId="5AED5D7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（2）宣布开标纪律和有关注意事项；</w:t>
      </w:r>
    </w:p>
    <w:p w14:paraId="5F27FB6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（3）公布在投标截止时间前递交投标文件的投标人名称；</w:t>
      </w:r>
    </w:p>
    <w:p w14:paraId="1BE51981">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（4）宣布开标人、唱标人、监标人、记录人等有关工作人员和现场监督人员姓名；</w:t>
      </w:r>
    </w:p>
    <w:p w14:paraId="3F103757">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（5）检查并宣布投标文件的密封情况；</w:t>
      </w:r>
    </w:p>
    <w:p w14:paraId="6C27D766">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开标唱标：主持人宣布开标后，由现场工作人员按投标人须知前附表规定的顺序对投标人的“投标文件（正本）”当众进行拆封，由唱标人对其中投标人名称、投标报价、工期等内容进行宣读并做开标记录；所有投标唱标完毕，如投标人对宣读的内容有异议的，应当举手示意，在获得主持人同意后当场提出；如确实属于唱标人宣读错误的，经现场监督人员核实后，当场予以更正；无异议后，由投标人法定代表人或委托代理人及监督管理机构代表签名确认唱标内容；</w:t>
      </w:r>
    </w:p>
    <w:p w14:paraId="4F7F593E">
      <w:pPr>
        <w:spacing w:line="356" w:lineRule="auto"/>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（7）宣布开标结束：主持人宣布开标结束后，所有投标人应立即退场</w:t>
      </w:r>
      <w:r>
        <w:rPr>
          <w:rFonts w:hint="eastAsia" w:ascii="宋体"/>
          <w:color w:val="000000" w:themeColor="text1"/>
          <w:szCs w:val="21"/>
          <w:highlight w:val="none"/>
          <w14:textFill>
            <w14:solidFill>
              <w14:schemeClr w14:val="tx1"/>
            </w14:solidFill>
          </w14:textFill>
        </w:rPr>
        <w:t>；同时所有投标人应保持通讯设备的畅通，以方便在评标过程中评标委员会要求投标人对投标文件的必要澄清。</w:t>
      </w:r>
    </w:p>
    <w:p w14:paraId="638F7CA8">
      <w:pPr>
        <w:spacing w:line="356" w:lineRule="auto"/>
        <w:ind w:firstLine="420" w:firstLineChars="200"/>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6.2.2 </w:t>
      </w:r>
      <w:r>
        <w:rPr>
          <w:rFonts w:hint="eastAsia" w:ascii="宋体"/>
          <w:color w:val="000000" w:themeColor="text1"/>
          <w:szCs w:val="21"/>
          <w:highlight w:val="none"/>
          <w14:textFill>
            <w14:solidFill>
              <w14:schemeClr w14:val="tx1"/>
            </w14:solidFill>
          </w14:textFill>
        </w:rPr>
        <w:t>检查投标文件密封情况是指，由投标人或者其推选的代表检查其自己递交的投标文件的密封情况，经检查无误后，签名确认。</w:t>
      </w:r>
    </w:p>
    <w:p w14:paraId="12AE30C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投标人或者其推选的代表确认投标文件情况，仅限于确认其自己递交的投标文件的密封情况，不代表对其他投标人的投标文件的密封情况确认。投标人或者其推选的代表对其他投标人的投标文件密封情况有异议的，可以当场反映开标主持人或者现场监督人员，要求开标现场记录人员予以记录，但不得干扰、阻挠开标工作的正常进行。</w:t>
      </w:r>
    </w:p>
    <w:p w14:paraId="3F91B315">
      <w:pPr>
        <w:spacing w:line="356" w:lineRule="auto"/>
        <w:ind w:firstLine="420"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6.2.3 投标人对开标过程和开标记录有疑义，以及认为采购人、采购代理机构相关工作人员有需要回避的情形的，应当场提出询问或者回避申请。采购人、采购代理机构对投标人代表提出的询问或者回避申请应当及时处理，并制作记录。</w:t>
      </w:r>
    </w:p>
    <w:bookmarkEnd w:id="117"/>
    <w:p w14:paraId="53900B56">
      <w:pPr>
        <w:spacing w:line="356" w:lineRule="auto"/>
        <w:outlineLvl w:val="1"/>
        <w:rPr>
          <w:rFonts w:hint="eastAsia" w:ascii="黑体" w:hAnsi="宋体" w:eastAsia="黑体"/>
          <w:b/>
          <w:color w:val="000000" w:themeColor="text1"/>
          <w:sz w:val="36"/>
          <w:szCs w:val="36"/>
          <w:highlight w:val="none"/>
          <w14:textFill>
            <w14:solidFill>
              <w14:schemeClr w14:val="tx1"/>
            </w14:solidFill>
          </w14:textFill>
        </w:rPr>
      </w:pPr>
      <w:bookmarkStart w:id="118" w:name="_Toc8584"/>
      <w:bookmarkStart w:id="119" w:name="_Toc1386334419"/>
      <w:r>
        <w:rPr>
          <w:rFonts w:hint="eastAsia" w:ascii="黑体" w:hAnsi="宋体" w:eastAsia="黑体"/>
          <w:b/>
          <w:color w:val="000000" w:themeColor="text1"/>
          <w:sz w:val="36"/>
          <w:szCs w:val="36"/>
          <w:highlight w:val="none"/>
          <w14:textFill>
            <w14:solidFill>
              <w14:schemeClr w14:val="tx1"/>
            </w14:solidFill>
          </w14:textFill>
        </w:rPr>
        <w:t>7. 评标</w:t>
      </w:r>
      <w:bookmarkEnd w:id="118"/>
      <w:bookmarkEnd w:id="119"/>
    </w:p>
    <w:p w14:paraId="580FD2DC">
      <w:pPr>
        <w:spacing w:line="356" w:lineRule="auto"/>
        <w:ind w:left="120" w:leftChars="50" w:hanging="15" w:hangingChars="5"/>
        <w:rPr>
          <w:rFonts w:hint="eastAsia" w:ascii="宋体" w:hAnsi="宋体"/>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7.1 评标委员会</w:t>
      </w:r>
    </w:p>
    <w:p w14:paraId="72191BFC">
      <w:pPr>
        <w:spacing w:line="356" w:lineRule="auto"/>
        <w:ind w:left="120" w:leftChars="57" w:firstLine="315" w:firstLineChars="1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7.1.1 评标由采购代理机构依法组建的评标委员会负责。评标委员会由采购人代表和评审专家组成。</w:t>
      </w:r>
      <w:r>
        <w:rPr>
          <w:rFonts w:ascii="宋体" w:hAnsi="宋体"/>
          <w:color w:val="000000" w:themeColor="text1"/>
          <w:szCs w:val="21"/>
          <w:highlight w:val="none"/>
          <w14:textFill>
            <w14:solidFill>
              <w14:schemeClr w14:val="tx1"/>
            </w14:solidFill>
          </w14:textFill>
        </w:rPr>
        <w:t>其中评</w:t>
      </w:r>
      <w:r>
        <w:rPr>
          <w:rFonts w:hint="eastAsia" w:ascii="宋体" w:hAnsi="宋体"/>
          <w:color w:val="000000" w:themeColor="text1"/>
          <w:szCs w:val="21"/>
          <w:highlight w:val="none"/>
          <w14:textFill>
            <w14:solidFill>
              <w14:schemeClr w14:val="tx1"/>
            </w14:solidFill>
          </w14:textFill>
        </w:rPr>
        <w:t>审</w:t>
      </w:r>
      <w:r>
        <w:rPr>
          <w:rFonts w:ascii="宋体" w:hAnsi="宋体"/>
          <w:color w:val="000000" w:themeColor="text1"/>
          <w:szCs w:val="21"/>
          <w:highlight w:val="none"/>
          <w14:textFill>
            <w14:solidFill>
              <w14:schemeClr w14:val="tx1"/>
            </w14:solidFill>
          </w14:textFill>
        </w:rPr>
        <w:t>专家不得少于成员总数的三分之二。采购预算金额在</w:t>
      </w:r>
      <w:r>
        <w:rPr>
          <w:rFonts w:hint="eastAsia" w:ascii="宋体" w:hAnsi="宋体"/>
          <w:color w:val="000000" w:themeColor="text1"/>
          <w:szCs w:val="21"/>
          <w:highlight w:val="none"/>
          <w14:textFill>
            <w14:solidFill>
              <w14:schemeClr w14:val="tx1"/>
            </w14:solidFill>
          </w14:textFill>
        </w:rPr>
        <w:t>1000</w:t>
      </w:r>
      <w:r>
        <w:rPr>
          <w:rFonts w:ascii="宋体" w:hAnsi="宋体"/>
          <w:color w:val="000000" w:themeColor="text1"/>
          <w:szCs w:val="21"/>
          <w:highlight w:val="none"/>
          <w14:textFill>
            <w14:solidFill>
              <w14:schemeClr w14:val="tx1"/>
            </w14:solidFill>
          </w14:textFill>
        </w:rPr>
        <w:t>万元以上、技术复杂的项目或者社会影响较大的项目，评标委员会</w:t>
      </w:r>
      <w:r>
        <w:rPr>
          <w:rFonts w:hint="eastAsia" w:ascii="宋体" w:hAnsi="宋体"/>
          <w:color w:val="000000" w:themeColor="text1"/>
          <w:szCs w:val="21"/>
          <w:highlight w:val="none"/>
          <w14:textFill>
            <w14:solidFill>
              <w14:schemeClr w14:val="tx1"/>
            </w14:solidFill>
          </w14:textFill>
        </w:rPr>
        <w:t>成员</w:t>
      </w:r>
      <w:r>
        <w:rPr>
          <w:rFonts w:ascii="宋体" w:hAnsi="宋体"/>
          <w:color w:val="000000" w:themeColor="text1"/>
          <w:szCs w:val="21"/>
          <w:highlight w:val="none"/>
          <w14:textFill>
            <w14:solidFill>
              <w14:schemeClr w14:val="tx1"/>
            </w14:solidFill>
          </w14:textFill>
        </w:rPr>
        <w:t>应当为</w:t>
      </w:r>
      <w:r>
        <w:rPr>
          <w:rFonts w:hint="eastAsia" w:ascii="宋体" w:hAnsi="宋体"/>
          <w:color w:val="000000" w:themeColor="text1"/>
          <w:szCs w:val="21"/>
          <w:highlight w:val="none"/>
          <w14:textFill>
            <w14:solidFill>
              <w14:schemeClr w14:val="tx1"/>
            </w14:solidFill>
          </w14:textFill>
        </w:rPr>
        <w:t>7</w:t>
      </w:r>
      <w:r>
        <w:rPr>
          <w:rFonts w:ascii="宋体" w:hAnsi="宋体"/>
          <w:color w:val="000000" w:themeColor="text1"/>
          <w:szCs w:val="21"/>
          <w:highlight w:val="none"/>
          <w14:textFill>
            <w14:solidFill>
              <w14:schemeClr w14:val="tx1"/>
            </w14:solidFill>
          </w14:textFill>
        </w:rPr>
        <w:t>人以上。</w:t>
      </w:r>
      <w:r>
        <w:rPr>
          <w:rFonts w:hint="eastAsia" w:ascii="宋体" w:hAnsi="宋体"/>
          <w:color w:val="000000" w:themeColor="text1"/>
          <w:szCs w:val="21"/>
          <w:highlight w:val="none"/>
          <w14:textFill>
            <w14:solidFill>
              <w14:schemeClr w14:val="tx1"/>
            </w14:solidFill>
          </w14:textFill>
        </w:rPr>
        <w:t>评审专家人选在省级财政部门设立的政府采购评审专家库中随机抽取。</w:t>
      </w:r>
    </w:p>
    <w:p w14:paraId="48537920">
      <w:pPr>
        <w:spacing w:line="356" w:lineRule="auto"/>
        <w:ind w:left="120" w:leftChars="57" w:firstLine="315" w:firstLineChars="15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对技术复杂、专业性强的采购项目，通过随机方式难以确定合适评</w:t>
      </w:r>
      <w:r>
        <w:rPr>
          <w:rFonts w:hint="eastAsia" w:ascii="宋体" w:hAnsi="宋体"/>
          <w:color w:val="000000" w:themeColor="text1"/>
          <w:szCs w:val="21"/>
          <w:highlight w:val="none"/>
          <w14:textFill>
            <w14:solidFill>
              <w14:schemeClr w14:val="tx1"/>
            </w14:solidFill>
          </w14:textFill>
        </w:rPr>
        <w:t>审</w:t>
      </w:r>
      <w:r>
        <w:rPr>
          <w:rFonts w:ascii="宋体" w:hAnsi="宋体"/>
          <w:color w:val="000000" w:themeColor="text1"/>
          <w:szCs w:val="21"/>
          <w:highlight w:val="none"/>
          <w14:textFill>
            <w14:solidFill>
              <w14:schemeClr w14:val="tx1"/>
            </w14:solidFill>
          </w14:textFill>
        </w:rPr>
        <w:t>专家的，经主管预算单位同意，采购人</w:t>
      </w:r>
      <w:r>
        <w:rPr>
          <w:rFonts w:hint="eastAsia" w:ascii="宋体" w:hAnsi="宋体"/>
          <w:color w:val="000000" w:themeColor="text1"/>
          <w:szCs w:val="21"/>
          <w:highlight w:val="none"/>
          <w14:textFill>
            <w14:solidFill>
              <w14:schemeClr w14:val="tx1"/>
            </w14:solidFill>
          </w14:textFill>
        </w:rPr>
        <w:t>或采购代理机构</w:t>
      </w:r>
      <w:r>
        <w:rPr>
          <w:rFonts w:ascii="宋体" w:hAnsi="宋体"/>
          <w:color w:val="000000" w:themeColor="text1"/>
          <w:szCs w:val="21"/>
          <w:highlight w:val="none"/>
          <w14:textFill>
            <w14:solidFill>
              <w14:schemeClr w14:val="tx1"/>
            </w14:solidFill>
          </w14:textFill>
        </w:rPr>
        <w:t>可以自行选定相应专业领域的评</w:t>
      </w:r>
      <w:r>
        <w:rPr>
          <w:rFonts w:hint="eastAsia" w:ascii="宋体" w:hAnsi="宋体"/>
          <w:color w:val="000000" w:themeColor="text1"/>
          <w:szCs w:val="21"/>
          <w:highlight w:val="none"/>
          <w14:textFill>
            <w14:solidFill>
              <w14:schemeClr w14:val="tx1"/>
            </w14:solidFill>
          </w14:textFill>
        </w:rPr>
        <w:t>审</w:t>
      </w:r>
      <w:r>
        <w:rPr>
          <w:rFonts w:ascii="宋体" w:hAnsi="宋体"/>
          <w:color w:val="000000" w:themeColor="text1"/>
          <w:szCs w:val="21"/>
          <w:highlight w:val="none"/>
          <w14:textFill>
            <w14:solidFill>
              <w14:schemeClr w14:val="tx1"/>
            </w14:solidFill>
          </w14:textFill>
        </w:rPr>
        <w:t>专家。</w:t>
      </w:r>
    </w:p>
    <w:p w14:paraId="455A8DBA">
      <w:pPr>
        <w:spacing w:line="356" w:lineRule="auto"/>
        <w:ind w:left="120" w:leftChars="57" w:firstLine="315" w:firstLineChars="1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7.1.2 评标委员会成员到位后，推荐一名评审专家担任评标组长，并由评标组长牵头组织该项目评标工作，采购人代表，不得担任评标组长。</w:t>
      </w:r>
    </w:p>
    <w:p w14:paraId="3DFBEEE3">
      <w:pPr>
        <w:spacing w:line="356" w:lineRule="auto"/>
        <w:ind w:left="120" w:leftChars="57" w:firstLine="315" w:firstLineChars="1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7.1.3 评委会成员有下列情形之一的，应当回避：</w:t>
      </w:r>
    </w:p>
    <w:p w14:paraId="05085DE6">
      <w:pPr>
        <w:spacing w:line="356" w:lineRule="auto"/>
        <w:ind w:left="120" w:leftChars="57" w:firstLine="315" w:firstLineChars="1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（1）采购人或投标人主要负责人的近亲属；</w:t>
      </w:r>
    </w:p>
    <w:p w14:paraId="2D06F575">
      <w:pPr>
        <w:spacing w:line="356" w:lineRule="auto"/>
        <w:ind w:left="120" w:leftChars="57" w:firstLine="315" w:firstLineChars="1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（2）项目主管部门或者行政监督部门的人员；</w:t>
      </w:r>
    </w:p>
    <w:p w14:paraId="7F03461E">
      <w:pPr>
        <w:spacing w:line="356" w:lineRule="auto"/>
        <w:ind w:left="120" w:leftChars="57" w:firstLine="315" w:firstLineChars="1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（3）与投标人有经济利益关系，可能影响对投标公正评审的；</w:t>
      </w:r>
    </w:p>
    <w:p w14:paraId="3BA5EB14">
      <w:pPr>
        <w:spacing w:line="356" w:lineRule="auto"/>
        <w:ind w:left="120" w:leftChars="57" w:firstLine="315" w:firstLineChars="1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（4）曾因在招标、评标以及其他与招标投标有关活动中从事违法行为而受过行政处罚或刑事处罚的。</w:t>
      </w:r>
    </w:p>
    <w:p w14:paraId="6738339B">
      <w:pPr>
        <w:autoSpaceDE w:val="0"/>
        <w:autoSpaceDN w:val="0"/>
        <w:spacing w:line="356" w:lineRule="auto"/>
        <w:ind w:firstLine="420" w:firstLineChars="200"/>
        <w:rPr>
          <w:rFonts w:hint="eastAsia" w:ascii="宋体" w:hAnsi="宋体" w:cs="宋体"/>
          <w:color w:val="000000" w:themeColor="text1"/>
          <w:kern w:val="0"/>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7.1.4 </w:t>
      </w:r>
      <w:r>
        <w:rPr>
          <w:rFonts w:hint="eastAsia" w:ascii="宋体" w:hAnsi="宋体" w:cs="宋体"/>
          <w:color w:val="000000" w:themeColor="text1"/>
          <w:kern w:val="0"/>
          <w:highlight w:val="none"/>
          <w14:textFill>
            <w14:solidFill>
              <w14:schemeClr w14:val="tx1"/>
            </w14:solidFill>
          </w14:textFill>
        </w:rPr>
        <w:t>评标过程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r>
        <w:rPr>
          <w:rFonts w:hint="eastAsia" w:ascii="宋体" w:hAnsi="宋体" w:cs="宋体"/>
          <w:color w:val="000000" w:themeColor="text1"/>
          <w:kern w:val="0"/>
          <w:highlight w:val="none"/>
          <w:lang w:val="zh-CN"/>
          <w14:textFill>
            <w14:solidFill>
              <w14:schemeClr w14:val="tx1"/>
            </w14:solidFill>
          </w14:textFill>
        </w:rPr>
        <w:t>采购代理机构</w:t>
      </w:r>
      <w:r>
        <w:rPr>
          <w:rFonts w:hint="eastAsia" w:ascii="宋体" w:hAnsi="宋体" w:cs="宋体"/>
          <w:color w:val="000000" w:themeColor="text1"/>
          <w:kern w:val="0"/>
          <w:highlight w:val="none"/>
          <w14:textFill>
            <w14:solidFill>
              <w14:schemeClr w14:val="tx1"/>
            </w14:solidFill>
          </w14:textFill>
        </w:rPr>
        <w:t>应当将变更、重新组建评标委员会的情况予以记录，并随采购文件一并存档。</w:t>
      </w:r>
    </w:p>
    <w:p w14:paraId="7220BD3D">
      <w:pPr>
        <w:autoSpaceDE w:val="0"/>
        <w:autoSpaceDN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7.1.5 评委会成员名单在中标结果公告前，应当保密。</w:t>
      </w:r>
    </w:p>
    <w:p w14:paraId="6D08B7A1">
      <w:pPr>
        <w:widowControl/>
        <w:autoSpaceDE w:val="0"/>
        <w:autoSpaceDN w:val="0"/>
        <w:spacing w:line="356" w:lineRule="auto"/>
        <w:ind w:right="51" w:firstLine="422" w:firstLineChars="200"/>
        <w:textAlignment w:val="bottom"/>
        <w:rPr>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7.1.6  </w:t>
      </w:r>
      <w:r>
        <w:rPr>
          <w:b/>
          <w:color w:val="000000" w:themeColor="text1"/>
          <w:szCs w:val="21"/>
          <w:highlight w:val="none"/>
          <w14:textFill>
            <w14:solidFill>
              <w14:schemeClr w14:val="tx1"/>
            </w14:solidFill>
          </w14:textFill>
        </w:rPr>
        <w:t>评标委员会及其成员不得有下列行为：</w:t>
      </w:r>
    </w:p>
    <w:p w14:paraId="0279A00A">
      <w:pPr>
        <w:widowControl/>
        <w:spacing w:line="356"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仿宋_GB2312" w:hAnsi="宋体" w:eastAsia="仿宋_GB2312" w:cs="宋体"/>
          <w:color w:val="000000" w:themeColor="text1"/>
          <w:kern w:val="0"/>
          <w:sz w:val="28"/>
          <w:szCs w:val="28"/>
          <w:highlight w:val="non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（1）确定参与评标至评标结束前私自接触投标人；</w:t>
      </w:r>
    </w:p>
    <w:p w14:paraId="0EFD5F8D">
      <w:pPr>
        <w:widowControl/>
        <w:spacing w:line="356"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（2）接受投标人提出的与投标文件不一致的澄清或者说明；</w:t>
      </w:r>
    </w:p>
    <w:p w14:paraId="29475561">
      <w:pPr>
        <w:widowControl/>
        <w:spacing w:line="356"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（3）违反评标纪律发表倾向性意见或者征询采购人的倾向性意见；</w:t>
      </w:r>
    </w:p>
    <w:p w14:paraId="30A33AB6">
      <w:pPr>
        <w:widowControl/>
        <w:spacing w:line="356"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（4）对需要专业判断的主观评审因素协商评分；</w:t>
      </w:r>
    </w:p>
    <w:p w14:paraId="0110351B">
      <w:pPr>
        <w:widowControl/>
        <w:spacing w:line="356"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（5）在评标过程中擅离职守，影响评标程序正常进行的；</w:t>
      </w:r>
    </w:p>
    <w:p w14:paraId="65D2103E">
      <w:pPr>
        <w:widowControl/>
        <w:spacing w:line="356"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（6）记录、复制或者带走任何评标资料；</w:t>
      </w:r>
    </w:p>
    <w:p w14:paraId="46C606A5">
      <w:pPr>
        <w:widowControl/>
        <w:spacing w:line="356"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（7）其他不遵守评标纪律的行为。</w:t>
      </w:r>
    </w:p>
    <w:p w14:paraId="35F9D15E">
      <w:pPr>
        <w:widowControl/>
        <w:spacing w:line="356"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评标委员会成员有前款第一至五项行为之一的，其评审意见无效，并不得获取评审劳务报酬和报销异地评审差旅费。</w:t>
      </w:r>
    </w:p>
    <w:p w14:paraId="4BE1CC6E">
      <w:pPr>
        <w:spacing w:line="356" w:lineRule="auto"/>
        <w:rPr>
          <w:rFonts w:hint="eastAsia" w:ascii="宋体" w:hAnsi="宋体"/>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7.2 评标原则</w:t>
      </w:r>
    </w:p>
    <w:p w14:paraId="306C642A">
      <w:pPr>
        <w:tabs>
          <w:tab w:val="left" w:pos="0"/>
        </w:tabs>
        <w:adjustRightInd w:val="0"/>
        <w:snapToGrid w:val="0"/>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7.2.1“公平、公正、科学、择优”为本次评标的基本原则，评标委员会按照这一原则的要求，公正、平等地对待各投标人。同时，在评审中恪守以下原则：</w:t>
      </w:r>
    </w:p>
    <w:p w14:paraId="494B6EAE">
      <w:pPr>
        <w:tabs>
          <w:tab w:val="left" w:pos="0"/>
        </w:tabs>
        <w:adjustRightInd w:val="0"/>
        <w:snapToGrid w:val="0"/>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（1）统一性原则：评标委员会将按照统一的评标原则和评审方法，用统一标准进行评审。</w:t>
      </w:r>
    </w:p>
    <w:p w14:paraId="6DE1F7BA">
      <w:pPr>
        <w:tabs>
          <w:tab w:val="left" w:pos="0"/>
        </w:tabs>
        <w:adjustRightInd w:val="0"/>
        <w:snapToGrid w:val="0"/>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（2）独立性原则：评标工作在评标委员会内部独立进行，不受外界任何因素的干扰和影响。评标委员会成员对其出具的意见承担个人责任。投标</w:t>
      </w:r>
      <w:r>
        <w:rPr>
          <w:rFonts w:hint="eastAsia" w:ascii="宋体" w:hAnsi="宋体" w:cs="宋体"/>
          <w:color w:val="000000" w:themeColor="text1"/>
          <w:kern w:val="0"/>
          <w:szCs w:val="21"/>
          <w:highlight w:val="none"/>
          <w14:textFill>
            <w14:solidFill>
              <w14:schemeClr w14:val="tx1"/>
            </w14:solidFill>
          </w14:textFill>
        </w:rPr>
        <w:t>人试图影响或干预评审的任何行为，将导致其丧失投标的资格，并承担相应的法律责任。</w:t>
      </w:r>
    </w:p>
    <w:p w14:paraId="10E997B4">
      <w:pPr>
        <w:tabs>
          <w:tab w:val="left" w:pos="0"/>
        </w:tabs>
        <w:adjustRightInd w:val="0"/>
        <w:snapToGrid w:val="0"/>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（3）客观性原则：评标委员会将严格按照招标文件要求，对投标人的投标文件进行认真评审；评标委员会对投标文件的评审仅依据投标文件本身，而不依据投标文件以外的任何因素。</w:t>
      </w:r>
    </w:p>
    <w:p w14:paraId="6C6D950D">
      <w:pPr>
        <w:tabs>
          <w:tab w:val="left" w:pos="0"/>
        </w:tabs>
        <w:adjustRightInd w:val="0"/>
        <w:snapToGrid w:val="0"/>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（4）保密性原则：采购代理机构应当采取必要的措施，保证评标在严格保密情况下进行。</w:t>
      </w:r>
    </w:p>
    <w:p w14:paraId="42FC0A8F">
      <w:pPr>
        <w:tabs>
          <w:tab w:val="left" w:pos="0"/>
        </w:tabs>
        <w:adjustRightInd w:val="0"/>
        <w:snapToGrid w:val="0"/>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（5）综合性原则：评标委员会将综合分析、评审投标人的各项指标，而不以单项指标的优劣评定出中标人。</w:t>
      </w:r>
    </w:p>
    <w:p w14:paraId="5A2DED1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7.2.2 评标委员会有权对整个招标过程中出现的一切问题，根据《中华人民共和国政府采购法》及实施条例等相关规定进行处理。</w:t>
      </w:r>
    </w:p>
    <w:p w14:paraId="2EED365E">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7.3 评标</w:t>
      </w:r>
    </w:p>
    <w:p w14:paraId="5D4B71A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7.3.1 评标委员会按照招标文件第三章“评标办法”规定的方法、评审因素、标准和程序对投标文件进行评审。第三章“评标办法”没有规定的方法、评审因素和标准，不作为评标依据。</w:t>
      </w:r>
    </w:p>
    <w:p w14:paraId="32546578">
      <w:pPr>
        <w:pStyle w:val="54"/>
        <w:spacing w:line="356"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7.3.2 评标委员会</w:t>
      </w:r>
      <w:r>
        <w:rPr>
          <w:rFonts w:ascii="宋体" w:hAnsi="宋体"/>
          <w:color w:val="000000" w:themeColor="text1"/>
          <w:highlight w:val="none"/>
          <w14:textFill>
            <w14:solidFill>
              <w14:schemeClr w14:val="tx1"/>
            </w14:solidFill>
          </w14:textFill>
        </w:rPr>
        <w:t>负责具体评标事务，并独立履行下列职责：</w:t>
      </w:r>
    </w:p>
    <w:p w14:paraId="6AC576D8">
      <w:pPr>
        <w:pStyle w:val="54"/>
        <w:spacing w:line="356" w:lineRule="auto"/>
        <w:ind w:firstLine="420" w:firstLineChars="200"/>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1</w:t>
      </w:r>
      <w:r>
        <w:rPr>
          <w:rFonts w:ascii="宋体" w:hAnsi="宋体"/>
          <w:color w:val="000000" w:themeColor="text1"/>
          <w:highlight w:val="none"/>
          <w14:textFill>
            <w14:solidFill>
              <w14:schemeClr w14:val="tx1"/>
            </w14:solidFill>
          </w14:textFill>
        </w:rPr>
        <w:t>）审查、评价投标文件是否符合招标文件的商务、技术、服务等实质性要求；</w:t>
      </w:r>
    </w:p>
    <w:p w14:paraId="346D3CE6">
      <w:pPr>
        <w:pStyle w:val="54"/>
        <w:spacing w:line="356" w:lineRule="auto"/>
        <w:ind w:firstLine="420" w:firstLineChars="200"/>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2</w:t>
      </w:r>
      <w:r>
        <w:rPr>
          <w:rFonts w:ascii="宋体" w:hAnsi="宋体"/>
          <w:color w:val="000000" w:themeColor="text1"/>
          <w:highlight w:val="none"/>
          <w14:textFill>
            <w14:solidFill>
              <w14:schemeClr w14:val="tx1"/>
            </w14:solidFill>
          </w14:textFill>
        </w:rPr>
        <w:t>）要求投标</w:t>
      </w:r>
      <w:r>
        <w:rPr>
          <w:rFonts w:hint="eastAsia" w:ascii="宋体" w:hAnsi="宋体"/>
          <w:color w:val="000000" w:themeColor="text1"/>
          <w:highlight w:val="none"/>
          <w14:textFill>
            <w14:solidFill>
              <w14:schemeClr w14:val="tx1"/>
            </w14:solidFill>
          </w14:textFill>
        </w:rPr>
        <w:t>人</w:t>
      </w:r>
      <w:r>
        <w:rPr>
          <w:rFonts w:ascii="宋体" w:hAnsi="宋体"/>
          <w:color w:val="000000" w:themeColor="text1"/>
          <w:highlight w:val="none"/>
          <w14:textFill>
            <w14:solidFill>
              <w14:schemeClr w14:val="tx1"/>
            </w14:solidFill>
          </w14:textFill>
        </w:rPr>
        <w:t>对投标文件有关事项作出澄清或者说明；</w:t>
      </w:r>
    </w:p>
    <w:p w14:paraId="5DC603EB">
      <w:pPr>
        <w:pStyle w:val="54"/>
        <w:spacing w:line="356" w:lineRule="auto"/>
        <w:ind w:firstLine="420" w:firstLineChars="200"/>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3</w:t>
      </w:r>
      <w:r>
        <w:rPr>
          <w:rFonts w:ascii="宋体" w:hAnsi="宋体"/>
          <w:color w:val="000000" w:themeColor="text1"/>
          <w:highlight w:val="none"/>
          <w14:textFill>
            <w14:solidFill>
              <w14:schemeClr w14:val="tx1"/>
            </w14:solidFill>
          </w14:textFill>
        </w:rPr>
        <w:t>）对投标文件进行比较和评价；</w:t>
      </w:r>
    </w:p>
    <w:p w14:paraId="10912956">
      <w:pPr>
        <w:pStyle w:val="54"/>
        <w:spacing w:line="356" w:lineRule="auto"/>
        <w:ind w:firstLine="420" w:firstLineChars="200"/>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4</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确定</w:t>
      </w:r>
      <w:r>
        <w:rPr>
          <w:rFonts w:ascii="宋体" w:hAnsi="宋体"/>
          <w:color w:val="000000" w:themeColor="text1"/>
          <w:highlight w:val="none"/>
          <w14:textFill>
            <w14:solidFill>
              <w14:schemeClr w14:val="tx1"/>
            </w14:solidFill>
          </w14:textFill>
        </w:rPr>
        <w:t>中标候选人名单，</w:t>
      </w:r>
      <w:r>
        <w:rPr>
          <w:rFonts w:hint="eastAsia" w:ascii="宋体" w:hAnsi="宋体"/>
          <w:color w:val="000000" w:themeColor="text1"/>
          <w:highlight w:val="none"/>
          <w14:textFill>
            <w14:solidFill>
              <w14:schemeClr w14:val="tx1"/>
            </w14:solidFill>
          </w14:textFill>
        </w:rPr>
        <w:t>以及</w:t>
      </w:r>
      <w:r>
        <w:rPr>
          <w:rFonts w:ascii="宋体" w:hAnsi="宋体"/>
          <w:color w:val="000000" w:themeColor="text1"/>
          <w:highlight w:val="none"/>
          <w14:textFill>
            <w14:solidFill>
              <w14:schemeClr w14:val="tx1"/>
            </w14:solidFill>
          </w14:textFill>
        </w:rPr>
        <w:t>根据采购人委托直接确定中标</w:t>
      </w:r>
      <w:r>
        <w:rPr>
          <w:rFonts w:hint="eastAsia" w:ascii="宋体" w:hAnsi="宋体"/>
          <w:color w:val="000000" w:themeColor="text1"/>
          <w:highlight w:val="none"/>
          <w14:textFill>
            <w14:solidFill>
              <w14:schemeClr w14:val="tx1"/>
            </w14:solidFill>
          </w14:textFill>
        </w:rPr>
        <w:t>人</w:t>
      </w:r>
      <w:r>
        <w:rPr>
          <w:rFonts w:ascii="宋体" w:hAnsi="宋体"/>
          <w:color w:val="000000" w:themeColor="text1"/>
          <w:highlight w:val="none"/>
          <w14:textFill>
            <w14:solidFill>
              <w14:schemeClr w14:val="tx1"/>
            </w14:solidFill>
          </w14:textFill>
        </w:rPr>
        <w:t>；</w:t>
      </w:r>
    </w:p>
    <w:p w14:paraId="2BEB8F5A">
      <w:pPr>
        <w:pStyle w:val="54"/>
        <w:spacing w:line="356" w:lineRule="auto"/>
        <w:ind w:firstLine="420" w:firstLineChars="200"/>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5</w:t>
      </w:r>
      <w:r>
        <w:rPr>
          <w:rFonts w:ascii="宋体" w:hAnsi="宋体"/>
          <w:color w:val="000000" w:themeColor="text1"/>
          <w:highlight w:val="none"/>
          <w14:textFill>
            <w14:solidFill>
              <w14:schemeClr w14:val="tx1"/>
            </w14:solidFill>
          </w14:textFill>
        </w:rPr>
        <w:t>）向采购人、采购代理机构或者有关部门报告评标中发现的违法行为。</w:t>
      </w:r>
    </w:p>
    <w:p w14:paraId="06E731A3">
      <w:pPr>
        <w:pStyle w:val="27"/>
        <w:snapToGrid w:val="0"/>
        <w:spacing w:before="0" w:beforeAutospacing="0" w:after="0" w:afterAutospacing="0" w:line="356" w:lineRule="auto"/>
        <w:ind w:firstLine="420" w:firstLineChars="2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7.3.3评标委员会成员应当履行下列义务：</w:t>
      </w:r>
    </w:p>
    <w:p w14:paraId="6E67E7B2">
      <w:pPr>
        <w:pStyle w:val="27"/>
        <w:snapToGrid w:val="0"/>
        <w:spacing w:before="0" w:beforeAutospacing="0" w:after="0" w:afterAutospacing="0" w:line="356" w:lineRule="auto"/>
        <w:ind w:firstLine="420" w:firstLineChars="2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（1）遵纪守法，客观、公正、廉洁地履行职责；</w:t>
      </w:r>
    </w:p>
    <w:p w14:paraId="23307B52">
      <w:pPr>
        <w:pStyle w:val="27"/>
        <w:snapToGrid w:val="0"/>
        <w:spacing w:before="0" w:beforeAutospacing="0" w:after="0" w:afterAutospacing="0" w:line="356" w:lineRule="auto"/>
        <w:ind w:firstLine="420" w:firstLineChars="2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（2）根据采购文件的规定独立进行评审，对个人的评审意见承担法律责任；</w:t>
      </w:r>
    </w:p>
    <w:p w14:paraId="15F7C2BF">
      <w:pPr>
        <w:pStyle w:val="27"/>
        <w:snapToGrid w:val="0"/>
        <w:spacing w:before="0" w:beforeAutospacing="0" w:after="0" w:afterAutospacing="0" w:line="35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（3）参与评标报告的起草；</w:t>
      </w:r>
    </w:p>
    <w:p w14:paraId="5CF6D793">
      <w:pPr>
        <w:pStyle w:val="27"/>
        <w:snapToGrid w:val="0"/>
        <w:spacing w:before="0" w:beforeAutospacing="0" w:after="0" w:afterAutospacing="0" w:line="35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（4）配合采购人、采购代理机构答复</w:t>
      </w:r>
      <w:r>
        <w:rPr>
          <w:color w:val="000000" w:themeColor="text1"/>
          <w:sz w:val="21"/>
          <w:szCs w:val="21"/>
          <w:highlight w:val="none"/>
          <w14:textFill>
            <w14:solidFill>
              <w14:schemeClr w14:val="tx1"/>
            </w14:solidFill>
          </w14:textFill>
        </w:rPr>
        <w:t>投标人</w:t>
      </w:r>
      <w:r>
        <w:rPr>
          <w:rFonts w:hint="eastAsia"/>
          <w:color w:val="000000" w:themeColor="text1"/>
          <w:sz w:val="21"/>
          <w:szCs w:val="21"/>
          <w:highlight w:val="none"/>
          <w14:textFill>
            <w14:solidFill>
              <w14:schemeClr w14:val="tx1"/>
            </w14:solidFill>
          </w14:textFill>
        </w:rPr>
        <w:t>提出的质疑；</w:t>
      </w:r>
    </w:p>
    <w:p w14:paraId="04B91978">
      <w:pPr>
        <w:pStyle w:val="27"/>
        <w:snapToGrid w:val="0"/>
        <w:spacing w:before="0" w:beforeAutospacing="0" w:after="0" w:afterAutospacing="0" w:line="35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（5）配合财政部门的投诉处理和监督检查工作。</w:t>
      </w:r>
    </w:p>
    <w:p w14:paraId="4C12B5C2">
      <w:pPr>
        <w:pStyle w:val="54"/>
        <w:spacing w:line="356"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7.3.4 </w:t>
      </w:r>
      <w:r>
        <w:rPr>
          <w:rFonts w:ascii="宋体" w:hAnsi="宋体"/>
          <w:color w:val="000000" w:themeColor="text1"/>
          <w:highlight w:val="none"/>
          <w14:textFill>
            <w14:solidFill>
              <w14:schemeClr w14:val="tx1"/>
            </w14:solidFill>
          </w14:textFill>
        </w:rPr>
        <w:t>采购代理机构负责组织评标工作并履行下列职责：</w:t>
      </w:r>
    </w:p>
    <w:p w14:paraId="04D3B0EB">
      <w:pPr>
        <w:widowControl/>
        <w:spacing w:line="356" w:lineRule="auto"/>
        <w:ind w:firstLine="420" w:firstLineChars="200"/>
        <w:jc w:val="left"/>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1</w:t>
      </w:r>
      <w:r>
        <w:rPr>
          <w:rFonts w:ascii="宋体" w:hAnsi="宋体"/>
          <w:bCs/>
          <w:color w:val="000000" w:themeColor="text1"/>
          <w:szCs w:val="21"/>
          <w:highlight w:val="non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核对评审专家身份和采购人代表授权函，对评审专家在政府采购活动中的职责履行情况予以记录，并及时将有关违法违规行为向</w:t>
      </w:r>
      <w:r>
        <w:rPr>
          <w:rFonts w:hint="eastAsia" w:ascii="宋体" w:hAnsi="宋体"/>
          <w:color w:val="000000" w:themeColor="text1"/>
          <w:szCs w:val="21"/>
          <w:highlight w:val="none"/>
          <w14:textFill>
            <w14:solidFill>
              <w14:schemeClr w14:val="tx1"/>
            </w14:solidFill>
          </w14:textFill>
        </w:rPr>
        <w:t>采购人监督部门</w:t>
      </w:r>
      <w:r>
        <w:rPr>
          <w:rFonts w:hint="eastAsia" w:ascii="宋体" w:hAnsi="宋体"/>
          <w:color w:val="000000" w:themeColor="text1"/>
          <w:kern w:val="0"/>
          <w:szCs w:val="21"/>
          <w:highlight w:val="none"/>
          <w14:textFill>
            <w14:solidFill>
              <w14:schemeClr w14:val="tx1"/>
            </w14:solidFill>
          </w14:textFill>
        </w:rPr>
        <w:t>报告；</w:t>
      </w:r>
    </w:p>
    <w:p w14:paraId="4836C7E4">
      <w:pPr>
        <w:pStyle w:val="54"/>
        <w:spacing w:line="356" w:lineRule="auto"/>
        <w:ind w:firstLine="420" w:firstLineChars="200"/>
        <w:rPr>
          <w:rFonts w:hint="eastAsia"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2</w:t>
      </w:r>
      <w:r>
        <w:rPr>
          <w:rFonts w:ascii="宋体" w:hAnsi="宋体"/>
          <w:bCs/>
          <w:color w:val="000000" w:themeColor="text1"/>
          <w:highlight w:val="none"/>
          <w14:textFill>
            <w14:solidFill>
              <w14:schemeClr w14:val="tx1"/>
            </w14:solidFill>
          </w14:textFill>
        </w:rPr>
        <w:t>）宣布评标纪律</w:t>
      </w:r>
      <w:r>
        <w:rPr>
          <w:rFonts w:hint="eastAsia" w:ascii="宋体" w:hAnsi="宋体"/>
          <w:bCs/>
          <w:color w:val="000000" w:themeColor="text1"/>
          <w:highlight w:val="none"/>
          <w14:textFill>
            <w14:solidFill>
              <w14:schemeClr w14:val="tx1"/>
            </w14:solidFill>
          </w14:textFill>
        </w:rPr>
        <w:t>和开启录音录像设备</w:t>
      </w:r>
      <w:r>
        <w:rPr>
          <w:rFonts w:ascii="宋体" w:hAnsi="宋体"/>
          <w:bCs/>
          <w:color w:val="000000" w:themeColor="text1"/>
          <w:highlight w:val="none"/>
          <w14:textFill>
            <w14:solidFill>
              <w14:schemeClr w14:val="tx1"/>
            </w14:solidFill>
          </w14:textFill>
        </w:rPr>
        <w:t>；</w:t>
      </w:r>
    </w:p>
    <w:p w14:paraId="789F4938">
      <w:pPr>
        <w:pStyle w:val="54"/>
        <w:spacing w:line="356" w:lineRule="auto"/>
        <w:ind w:firstLine="420" w:firstLineChars="200"/>
        <w:rPr>
          <w:rFonts w:hint="eastAsia"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3</w:t>
      </w:r>
      <w:r>
        <w:rPr>
          <w:rFonts w:ascii="宋体" w:hAnsi="宋体"/>
          <w:bCs/>
          <w:color w:val="000000" w:themeColor="text1"/>
          <w:highlight w:val="none"/>
          <w14:textFill>
            <w14:solidFill>
              <w14:schemeClr w14:val="tx1"/>
            </w14:solidFill>
          </w14:textFill>
        </w:rPr>
        <w:t>）公布投标</w:t>
      </w:r>
      <w:r>
        <w:rPr>
          <w:rFonts w:hint="eastAsia" w:ascii="宋体" w:hAnsi="宋体"/>
          <w:bCs/>
          <w:color w:val="000000" w:themeColor="text1"/>
          <w:highlight w:val="none"/>
          <w14:textFill>
            <w14:solidFill>
              <w14:schemeClr w14:val="tx1"/>
            </w14:solidFill>
          </w14:textFill>
        </w:rPr>
        <w:t>人</w:t>
      </w:r>
      <w:r>
        <w:rPr>
          <w:rFonts w:ascii="宋体" w:hAnsi="宋体"/>
          <w:bCs/>
          <w:color w:val="000000" w:themeColor="text1"/>
          <w:highlight w:val="none"/>
          <w14:textFill>
            <w14:solidFill>
              <w14:schemeClr w14:val="tx1"/>
            </w14:solidFill>
          </w14:textFill>
        </w:rPr>
        <w:t>名单，告知评标专家应当回避的情形；</w:t>
      </w:r>
    </w:p>
    <w:p w14:paraId="11C8EFEB">
      <w:pPr>
        <w:pStyle w:val="54"/>
        <w:spacing w:line="356" w:lineRule="auto"/>
        <w:ind w:firstLine="420" w:firstLineChars="200"/>
        <w:rPr>
          <w:rFonts w:hint="eastAsia"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4</w:t>
      </w:r>
      <w:r>
        <w:rPr>
          <w:rFonts w:ascii="宋体" w:hAnsi="宋体"/>
          <w:bCs/>
          <w:color w:val="000000" w:themeColor="text1"/>
          <w:highlight w:val="none"/>
          <w14:textFill>
            <w14:solidFill>
              <w14:schemeClr w14:val="tx1"/>
            </w14:solidFill>
          </w14:textFill>
        </w:rPr>
        <w:t>）组织评标委员会推选评标组长，采购人代表不得担任组长；</w:t>
      </w:r>
    </w:p>
    <w:p w14:paraId="64A8C689">
      <w:pPr>
        <w:widowControl/>
        <w:spacing w:line="356" w:lineRule="auto"/>
        <w:ind w:firstLine="420" w:firstLineChars="200"/>
        <w:jc w:val="left"/>
        <w:rPr>
          <w:rFonts w:hint="eastAsia" w:ascii="宋体" w:hAnsi="宋体" w:cs="宋体"/>
          <w:color w:val="000000" w:themeColor="text1"/>
          <w:kern w:val="0"/>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5</w:t>
      </w:r>
      <w:r>
        <w:rPr>
          <w:rFonts w:ascii="宋体" w:hAnsi="宋体"/>
          <w:bCs/>
          <w:color w:val="000000" w:themeColor="text1"/>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在评标期间采取必要的通讯管理措施，保证评标活动不受外界干扰；</w:t>
      </w:r>
    </w:p>
    <w:p w14:paraId="39D57081">
      <w:pPr>
        <w:pStyle w:val="54"/>
        <w:spacing w:line="356" w:lineRule="auto"/>
        <w:ind w:firstLine="420" w:firstLineChars="200"/>
        <w:rPr>
          <w:rFonts w:hint="eastAsia"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6</w:t>
      </w:r>
      <w:r>
        <w:rPr>
          <w:rFonts w:ascii="宋体" w:hAnsi="宋体"/>
          <w:bCs/>
          <w:color w:val="000000" w:themeColor="text1"/>
          <w:highlight w:val="none"/>
          <w14:textFill>
            <w14:solidFill>
              <w14:schemeClr w14:val="tx1"/>
            </w14:solidFill>
          </w14:textFill>
        </w:rPr>
        <w:t>）根据评标委员会的要求介绍政府采购相关政策法规、招标文件；</w:t>
      </w:r>
    </w:p>
    <w:p w14:paraId="4C49CC92">
      <w:pPr>
        <w:pStyle w:val="54"/>
        <w:spacing w:line="356" w:lineRule="auto"/>
        <w:ind w:firstLine="420" w:firstLineChars="200"/>
        <w:rPr>
          <w:rFonts w:hint="eastAsia"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7</w:t>
      </w:r>
      <w:r>
        <w:rPr>
          <w:rFonts w:ascii="宋体" w:hAnsi="宋体"/>
          <w:bCs/>
          <w:color w:val="000000" w:themeColor="text1"/>
          <w:highlight w:val="none"/>
          <w14:textFill>
            <w14:solidFill>
              <w14:schemeClr w14:val="tx1"/>
            </w14:solidFill>
          </w14:textFill>
        </w:rPr>
        <w:t>）维护评标秩序，监督评标委员会依照评标文件规定的评审程序、方法和标准进行独立评审，及时制止和纠正采购人代表、评审专家的倾向性言论或违法违规行为</w:t>
      </w:r>
      <w:r>
        <w:rPr>
          <w:rFonts w:hint="eastAsia" w:ascii="宋体" w:hAnsi="宋体"/>
          <w:bCs/>
          <w:color w:val="000000" w:themeColor="text1"/>
          <w:highlight w:val="none"/>
          <w14:textFill>
            <w14:solidFill>
              <w14:schemeClr w14:val="tx1"/>
            </w14:solidFill>
          </w14:textFill>
        </w:rPr>
        <w:t xml:space="preserve">； </w:t>
      </w:r>
    </w:p>
    <w:p w14:paraId="4639D05C">
      <w:pPr>
        <w:widowControl/>
        <w:spacing w:line="356" w:lineRule="auto"/>
        <w:ind w:firstLine="420" w:firstLineChars="200"/>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（8）</w:t>
      </w:r>
      <w:r>
        <w:rPr>
          <w:rFonts w:hint="eastAsia" w:ascii="宋体" w:hAnsi="宋体"/>
          <w:color w:val="000000" w:themeColor="text1"/>
          <w:kern w:val="0"/>
          <w:szCs w:val="21"/>
          <w:highlight w:val="none"/>
          <w14:textFill>
            <w14:solidFill>
              <w14:schemeClr w14:val="tx1"/>
            </w14:solidFill>
          </w14:textFill>
        </w:rPr>
        <w:t>评审工作完成后，按照规定向评审专家支付劳务报酬和异地评审差旅费，不得向评审专家以外的其他人员支付评审劳务报酬；</w:t>
      </w:r>
    </w:p>
    <w:p w14:paraId="32FB32AA">
      <w:pPr>
        <w:spacing w:line="356" w:lineRule="auto"/>
        <w:ind w:firstLine="441" w:firstLineChars="21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9</w:t>
      </w:r>
      <w:r>
        <w:rPr>
          <w:rFonts w:ascii="宋体" w:hAnsi="宋体"/>
          <w:color w:val="000000" w:themeColor="text1"/>
          <w:szCs w:val="21"/>
          <w:highlight w:val="none"/>
          <w14:textFill>
            <w14:solidFill>
              <w14:schemeClr w14:val="tx1"/>
            </w14:solidFill>
          </w14:textFill>
        </w:rPr>
        <w:t>）处理与评标有关的其他事项。</w:t>
      </w:r>
    </w:p>
    <w:p w14:paraId="69D3640B">
      <w:pPr>
        <w:spacing w:line="356" w:lineRule="auto"/>
        <w:ind w:firstLine="441" w:firstLineChars="21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7.3.5 </w:t>
      </w:r>
      <w:r>
        <w:rPr>
          <w:rFonts w:ascii="宋体" w:hAnsi="宋体"/>
          <w:color w:val="000000" w:themeColor="text1"/>
          <w:szCs w:val="21"/>
          <w:highlight w:val="none"/>
          <w14:textFill>
            <w14:solidFill>
              <w14:schemeClr w14:val="tx1"/>
            </w14:solidFill>
          </w14:textFill>
        </w:rPr>
        <w:t>采购人可以在评标前介绍项目背景和采购需求，介绍内容不得含有歧视性、倾向性意见，不得超出招标文件所述范围。介绍应当提交书面介绍材料，并随采购文件一并存档。</w:t>
      </w:r>
    </w:p>
    <w:p w14:paraId="6DB1F45A">
      <w:pPr>
        <w:spacing w:line="356" w:lineRule="auto"/>
        <w:ind w:left="120" w:leftChars="57" w:firstLine="315" w:firstLineChars="1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7.3.6 评标过程严格保密</w:t>
      </w:r>
    </w:p>
    <w:p w14:paraId="5EF81249">
      <w:pPr>
        <w:autoSpaceDE w:val="0"/>
        <w:autoSpaceDN w:val="0"/>
        <w:spacing w:line="356" w:lineRule="auto"/>
        <w:ind w:firstLine="630" w:firstLineChars="300"/>
        <w:rPr>
          <w:rFonts w:hint="eastAsia" w:ascii="宋体" w:hAnsi="宋体" w:cs="宋体"/>
          <w:color w:val="000000" w:themeColor="text1"/>
          <w:kern w:val="0"/>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7.3.6.1 </w:t>
      </w:r>
      <w:r>
        <w:rPr>
          <w:rFonts w:hint="eastAsia" w:ascii="宋体" w:hAnsi="宋体" w:cs="宋体"/>
          <w:color w:val="000000" w:themeColor="text1"/>
          <w:kern w:val="0"/>
          <w:highlight w:val="none"/>
          <w14:textFill>
            <w14:solidFill>
              <w14:schemeClr w14:val="tx1"/>
            </w14:solidFill>
          </w14:textFill>
        </w:rPr>
        <w:t>采购人、采购代理机构应当采取必要措施，保证评标在严格保密的情况下进行。除采购人代表、评标现场组织人员外，采购人的其他工作人员以及与评标工作无关的人员不得进入评标现场。</w:t>
      </w:r>
    </w:p>
    <w:p w14:paraId="6DE26271">
      <w:pPr>
        <w:autoSpaceDE w:val="0"/>
        <w:autoSpaceDN w:val="0"/>
        <w:spacing w:line="356" w:lineRule="auto"/>
        <w:ind w:firstLine="630" w:firstLineChars="300"/>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7.3.6.2 有关人员对评标情况以及在评标过程中获悉的国家秘密、商业秘密负有保密责任。</w:t>
      </w:r>
      <w:r>
        <w:rPr>
          <w:rFonts w:hint="eastAsia" w:ascii="宋体" w:hAnsi="宋体"/>
          <w:color w:val="000000" w:themeColor="text1"/>
          <w:szCs w:val="21"/>
          <w:highlight w:val="none"/>
          <w14:textFill>
            <w14:solidFill>
              <w14:schemeClr w14:val="tx1"/>
            </w14:solidFill>
          </w14:textFill>
        </w:rPr>
        <w:t>开标后，直至授予中标人合同为止，凡属于对投标文件的审查、澄清、评价和比较的有关资料以及中标候选人的推荐情况，与评标有关的其他任何情况均严格保密。</w:t>
      </w:r>
    </w:p>
    <w:p w14:paraId="20E786C8">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7.3.7 投标人对评标委员会的评标过程或合同授予决定施加影响的任何行为都可能导致其投标被拒绝。</w:t>
      </w:r>
    </w:p>
    <w:p w14:paraId="6D2A78B3">
      <w:pPr>
        <w:tabs>
          <w:tab w:val="left" w:pos="426"/>
        </w:tabs>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7.3.8 评标完成后，评标委员会应当向采购人提交书面评标报告，并由采购代理机构转送。</w:t>
      </w:r>
    </w:p>
    <w:p w14:paraId="11656743">
      <w:pPr>
        <w:spacing w:line="356" w:lineRule="auto"/>
        <w:outlineLvl w:val="1"/>
        <w:rPr>
          <w:rFonts w:hint="eastAsia" w:ascii="黑体" w:hAnsi="宋体" w:eastAsia="黑体"/>
          <w:b/>
          <w:color w:val="000000" w:themeColor="text1"/>
          <w:sz w:val="36"/>
          <w:szCs w:val="36"/>
          <w:highlight w:val="none"/>
          <w14:textFill>
            <w14:solidFill>
              <w14:schemeClr w14:val="tx1"/>
            </w14:solidFill>
          </w14:textFill>
        </w:rPr>
      </w:pPr>
      <w:bookmarkStart w:id="120" w:name="_Toc2072493830"/>
      <w:bookmarkStart w:id="121" w:name="_Toc9272"/>
      <w:r>
        <w:rPr>
          <w:rFonts w:hint="eastAsia" w:ascii="黑体" w:hAnsi="宋体" w:eastAsia="黑体"/>
          <w:b/>
          <w:color w:val="000000" w:themeColor="text1"/>
          <w:sz w:val="36"/>
          <w:szCs w:val="36"/>
          <w:highlight w:val="none"/>
          <w14:textFill>
            <w14:solidFill>
              <w14:schemeClr w14:val="tx1"/>
            </w14:solidFill>
          </w14:textFill>
        </w:rPr>
        <w:t>8.定标</w:t>
      </w:r>
      <w:bookmarkEnd w:id="120"/>
      <w:bookmarkEnd w:id="121"/>
    </w:p>
    <w:p w14:paraId="7A372F1B">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8.1 定标原则</w:t>
      </w:r>
    </w:p>
    <w:p w14:paraId="321720BC">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采购人或其授权的评标委员会按照评标报告中推荐的中标候选人名单，按顺序确定中标人。</w:t>
      </w:r>
    </w:p>
    <w:p w14:paraId="3C4FA4F0">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8.2 定标程序</w:t>
      </w:r>
    </w:p>
    <w:p w14:paraId="56776074">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8.2.1投标人须知前附表规定采用综合评分法的，评标委员会将评标情况编写出书面报告，推荐3个中标候选人，并按照综合得分高低标明排列顺序。得分相同的，按投标报价由低到高顺序排列；得分且投标报价相同的并列。投标文件满足全部实质性要求，且得分最高的投标人为排名第一的中标候选人。</w:t>
      </w:r>
    </w:p>
    <w:p w14:paraId="3CBC371B">
      <w:pPr>
        <w:spacing w:line="356" w:lineRule="auto"/>
        <w:ind w:firstLine="367" w:firstLineChars="17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8.2.2 投标人须知前附表规定采用最低评标价法的，评标委员会将评标情况编写出书面报告，推荐3个中标候选人，并按照投标报价由低到高排列，报价相同的并列。投标文件满足全部实质性要求，且报价最低的投标人为排名第一的中标候选人。</w:t>
      </w:r>
    </w:p>
    <w:p w14:paraId="1B9ACF0B">
      <w:pPr>
        <w:spacing w:line="356" w:lineRule="auto"/>
        <w:ind w:firstLine="367" w:firstLineChars="17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8.2.3 采购代理机构在评标结束后2个工作日内将评标报告送采购人。</w:t>
      </w:r>
    </w:p>
    <w:p w14:paraId="1D05905F">
      <w:pPr>
        <w:spacing w:line="356" w:lineRule="auto"/>
        <w:ind w:firstLine="367" w:firstLineChars="17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8.2.4 采购人应当在收到评标报告后5个工作日内，按照评标报告中推荐的中标候选人顺序和有关规定确定中标人，第一名中标候选人并列的，由采购人根据技术方案得分由高到低确定。同时，复函采购代理机构。</w:t>
      </w:r>
    </w:p>
    <w:p w14:paraId="798048E7">
      <w:pPr>
        <w:spacing w:line="356" w:lineRule="auto"/>
        <w:ind w:firstLine="367" w:firstLineChars="17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采购人在收到评标报告5个工作日内未按评标报告推荐的中标候选人顺序确定中标人，又不能说明合法理由的，视同按评标报告推荐的顺序确定排名第一的中标候选人为中标人。</w:t>
      </w:r>
    </w:p>
    <w:p w14:paraId="4979AF31">
      <w:pPr>
        <w:spacing w:line="356" w:lineRule="auto"/>
        <w:ind w:firstLine="367" w:firstLineChars="17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8.2.5 采购代理机构应当在接到采购人“定标”复函之日起2个工作日内，根据采购人确定的中标人，在</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中国政府采购网</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上公告中标结果，招标文件应当随中标结果同时公告；中标人享受了中小企业发展扶持政策的，其《中小企业声明函》或者《残疾人福利性单位声明函》也应随中标结果同时公告。享受本国产品价格折扣的，《关于符合本国产品标准的声明函》或与本国产品标准有关的证明文件也应当随中标公告同时公布。</w:t>
      </w:r>
    </w:p>
    <w:p w14:paraId="5C42CC95">
      <w:pPr>
        <w:spacing w:line="356" w:lineRule="auto"/>
        <w:ind w:firstLine="367" w:firstLineChars="17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在公告中标结果的同时，采购人或采购代理机构应当向中标人发出《中标通知书》。</w:t>
      </w:r>
      <w:r>
        <w:rPr>
          <w:rFonts w:hint="eastAsia" w:ascii="宋体" w:hAnsi="宋体" w:cs="宋体"/>
          <w:color w:val="000000" w:themeColor="text1"/>
          <w:kern w:val="0"/>
          <w:szCs w:val="21"/>
          <w:highlight w:val="none"/>
          <w14:textFill>
            <w14:solidFill>
              <w14:schemeClr w14:val="tx1"/>
            </w14:solidFill>
          </w14:textFill>
        </w:rPr>
        <w:t>对未通过资格审查或未通过符合性审查的投标人，应告知其未通过的原因。</w:t>
      </w:r>
    </w:p>
    <w:p w14:paraId="09AF4B8C">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8.3 中标通知书</w:t>
      </w:r>
    </w:p>
    <w:p w14:paraId="24F1DE0D">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8.3</w:t>
      </w:r>
      <w:r>
        <w:rPr>
          <w:rFonts w:hint="eastAsia" w:ascii="宋体" w:hAnsi="宋体"/>
          <w:b/>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1 中标通知书为签订政府采购合同的依据之一，是合同的有效组成部分。</w:t>
      </w:r>
    </w:p>
    <w:p w14:paraId="6DE0684B">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8.3.2 中标通知书对采购人和中标人均具有法律效力。中标通知书发出后，采购人改变中标结果，或者中标人无正当理由放弃中标的，应当承担相应的法律责任。</w:t>
      </w:r>
    </w:p>
    <w:p w14:paraId="550E01B3">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8.3.3 中标人应当在接到采购代理机构通知之日起2个工作日内领取《中标通知书》。</w:t>
      </w:r>
    </w:p>
    <w:p w14:paraId="156424FE">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8.3.4 在《中标通知书》发出后，发现中标人有政府采购法律法规规章制度规定的中标无效情形的，采购代理机构应当宣布发出的中标通知书无效，并收回发出的中标通知书（中标人也应当交回），依法重新确定中标人或者重新开展采购活动，同时向采购人监督部门报告。</w:t>
      </w:r>
    </w:p>
    <w:p w14:paraId="3DEBEC81">
      <w:pPr>
        <w:tabs>
          <w:tab w:val="left" w:pos="7665"/>
        </w:tabs>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8.3.5 中标通知书发出后，采购人不得违法改变中标结果，中标人无正当理由不得放弃中标。</w:t>
      </w:r>
    </w:p>
    <w:p w14:paraId="1EDCEE9A">
      <w:pPr>
        <w:tabs>
          <w:tab w:val="left" w:pos="7665"/>
        </w:tabs>
        <w:spacing w:line="356" w:lineRule="auto"/>
        <w:outlineLvl w:val="1"/>
        <w:rPr>
          <w:rFonts w:ascii="黑体" w:eastAsia="黑体"/>
          <w:b/>
          <w:color w:val="000000" w:themeColor="text1"/>
          <w:sz w:val="36"/>
          <w:szCs w:val="36"/>
          <w:highlight w:val="none"/>
          <w14:textFill>
            <w14:solidFill>
              <w14:schemeClr w14:val="tx1"/>
            </w14:solidFill>
          </w14:textFill>
        </w:rPr>
      </w:pPr>
      <w:bookmarkStart w:id="122" w:name="_Toc23087"/>
      <w:bookmarkStart w:id="123" w:name="_Toc219046470"/>
      <w:r>
        <w:rPr>
          <w:rFonts w:hint="eastAsia" w:ascii="黑体" w:eastAsia="黑体"/>
          <w:b/>
          <w:color w:val="000000" w:themeColor="text1"/>
          <w:sz w:val="36"/>
          <w:szCs w:val="36"/>
          <w:highlight w:val="none"/>
          <w14:textFill>
            <w14:solidFill>
              <w14:schemeClr w14:val="tx1"/>
            </w14:solidFill>
          </w14:textFill>
        </w:rPr>
        <w:t>9. 合同授予</w:t>
      </w:r>
      <w:bookmarkEnd w:id="122"/>
      <w:bookmarkEnd w:id="123"/>
    </w:p>
    <w:p w14:paraId="1CBA4657">
      <w:pPr>
        <w:tabs>
          <w:tab w:val="left" w:pos="7665"/>
        </w:tabs>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9.1 履约保证金</w:t>
      </w:r>
    </w:p>
    <w:p w14:paraId="31293A85">
      <w:pPr>
        <w:tabs>
          <w:tab w:val="left" w:pos="7665"/>
        </w:tabs>
        <w:spacing w:line="356" w:lineRule="auto"/>
        <w:ind w:firstLine="48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9.1.1投标人须知前附表规定提交履约保证金的，中标人应当按照投标人须知前附表规定的期限、形式、金额等要求，向采购人提交履约保证金。</w:t>
      </w:r>
    </w:p>
    <w:p w14:paraId="15B6BBAA">
      <w:pPr>
        <w:tabs>
          <w:tab w:val="left" w:pos="7665"/>
        </w:tabs>
        <w:spacing w:line="356" w:lineRule="auto"/>
        <w:ind w:firstLine="482"/>
        <w:rPr>
          <w:rFonts w:hint="eastAsia"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9.1.2中标人</w:t>
      </w:r>
      <w:r>
        <w:rPr>
          <w:rFonts w:hint="eastAsia" w:ascii="宋体" w:hAnsi="宋体"/>
          <w:color w:val="000000" w:themeColor="text1"/>
          <w:spacing w:val="4"/>
          <w:szCs w:val="21"/>
          <w:highlight w:val="none"/>
          <w14:textFill>
            <w14:solidFill>
              <w14:schemeClr w14:val="tx1"/>
            </w14:solidFill>
          </w14:textFill>
        </w:rPr>
        <w:t>不能按照本章第10.1.1项规定</w:t>
      </w:r>
      <w:r>
        <w:rPr>
          <w:rFonts w:hint="eastAsia" w:ascii="宋体" w:hAnsi="宋体"/>
          <w:color w:val="000000" w:themeColor="text1"/>
          <w:szCs w:val="21"/>
          <w:highlight w:val="none"/>
          <w14:textFill>
            <w14:solidFill>
              <w14:schemeClr w14:val="tx1"/>
            </w14:solidFill>
          </w14:textFill>
        </w:rPr>
        <w:t>提交履约保证金的</w:t>
      </w:r>
      <w:r>
        <w:rPr>
          <w:rFonts w:hint="eastAsia" w:ascii="宋体" w:hAnsi="宋体"/>
          <w:color w:val="000000" w:themeColor="text1"/>
          <w:spacing w:val="4"/>
          <w:szCs w:val="21"/>
          <w:highlight w:val="none"/>
          <w14:textFill>
            <w14:solidFill>
              <w14:schemeClr w14:val="tx1"/>
            </w14:solidFill>
          </w14:textFill>
        </w:rPr>
        <w:t>，视为放弃</w:t>
      </w:r>
      <w:r>
        <w:rPr>
          <w:rFonts w:hint="eastAsia" w:ascii="宋体" w:hAnsi="宋体"/>
          <w:color w:val="000000" w:themeColor="text1"/>
          <w:szCs w:val="21"/>
          <w:highlight w:val="none"/>
          <w14:textFill>
            <w14:solidFill>
              <w14:schemeClr w14:val="tx1"/>
            </w14:solidFill>
          </w14:textFill>
        </w:rPr>
        <w:t>中标资格</w:t>
      </w:r>
      <w:r>
        <w:rPr>
          <w:rFonts w:hint="eastAsia" w:ascii="宋体" w:hAnsi="宋体"/>
          <w:color w:val="000000" w:themeColor="text1"/>
          <w:spacing w:val="4"/>
          <w:szCs w:val="21"/>
          <w:highlight w:val="none"/>
          <w14:textFill>
            <w14:solidFill>
              <w14:schemeClr w14:val="tx1"/>
            </w14:solidFill>
          </w14:textFill>
        </w:rPr>
        <w:t>，</w:t>
      </w:r>
      <w:r>
        <w:rPr>
          <w:rFonts w:hint="eastAsia" w:ascii="宋体" w:hAnsi="宋体"/>
          <w:color w:val="000000" w:themeColor="text1"/>
          <w:spacing w:val="2"/>
          <w:szCs w:val="21"/>
          <w:highlight w:val="none"/>
          <w14:textFill>
            <w14:solidFill>
              <w14:schemeClr w14:val="tx1"/>
            </w14:solidFill>
          </w14:textFill>
        </w:rPr>
        <w:t>有投标保证金的不予退还，给采购人造成损失的，中标人应当予以赔偿。</w:t>
      </w:r>
    </w:p>
    <w:p w14:paraId="1E4A16D7">
      <w:pPr>
        <w:tabs>
          <w:tab w:val="left" w:pos="7665"/>
        </w:tabs>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9.2 签订合同</w:t>
      </w:r>
    </w:p>
    <w:p w14:paraId="1B5B04C8">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9.2.1采购人应当自《中标通知书》发出之日起30日内，</w:t>
      </w:r>
      <w:r>
        <w:rPr>
          <w:rFonts w:hint="eastAsia"/>
          <w:color w:val="000000" w:themeColor="text1"/>
          <w:szCs w:val="21"/>
          <w:highlight w:val="none"/>
          <w14:textFill>
            <w14:solidFill>
              <w14:schemeClr w14:val="tx1"/>
            </w14:solidFill>
          </w14:textFill>
        </w:rPr>
        <w:t>按照招标文件和中标人投标文件的规定，与中标人签订书面合同。</w:t>
      </w:r>
      <w:r>
        <w:rPr>
          <w:rFonts w:hint="eastAsia" w:ascii="宋体" w:hAnsi="宋体"/>
          <w:color w:val="000000" w:themeColor="text1"/>
          <w:szCs w:val="21"/>
          <w:highlight w:val="none"/>
          <w14:textFill>
            <w14:solidFill>
              <w14:schemeClr w14:val="tx1"/>
            </w14:solidFill>
          </w14:textFill>
        </w:rPr>
        <w:t>中标人拒签合同，或者在签订合同时向采购人提出附加条件，采购人有权取消其中标资格，有投标保证金的不予退还，给采购人造成损失的，</w:t>
      </w:r>
      <w:r>
        <w:rPr>
          <w:rFonts w:hint="eastAsia"/>
          <w:color w:val="000000" w:themeColor="text1"/>
          <w:spacing w:val="2"/>
          <w:szCs w:val="21"/>
          <w:highlight w:val="none"/>
          <w14:textFill>
            <w14:solidFill>
              <w14:schemeClr w14:val="tx1"/>
            </w14:solidFill>
          </w14:textFill>
        </w:rPr>
        <w:t>中标人应当予以赔偿。采购人可以</w:t>
      </w:r>
      <w:r>
        <w:rPr>
          <w:rFonts w:hint="eastAsia" w:ascii="宋体" w:hAnsi="宋体"/>
          <w:color w:val="000000" w:themeColor="text1"/>
          <w:szCs w:val="21"/>
          <w:highlight w:val="none"/>
          <w14:textFill>
            <w14:solidFill>
              <w14:schemeClr w14:val="tx1"/>
            </w14:solidFill>
          </w14:textFill>
        </w:rPr>
        <w:t>按照《</w:t>
      </w:r>
      <w:r>
        <w:rPr>
          <w:rFonts w:hint="eastAsia" w:ascii="宋体" w:hAnsi="宋体"/>
          <w:color w:val="000000" w:themeColor="text1"/>
          <w:szCs w:val="21"/>
          <w:highlight w:val="none"/>
          <w:lang w:eastAsia="zh-CN"/>
          <w14:textFill>
            <w14:solidFill>
              <w14:schemeClr w14:val="tx1"/>
            </w14:solidFill>
          </w14:textFill>
        </w:rPr>
        <w:t>中华人民共和国政府采购法实施条例</w:t>
      </w:r>
      <w:r>
        <w:rPr>
          <w:rFonts w:hint="eastAsia" w:ascii="宋体" w:hAnsi="宋体"/>
          <w:color w:val="000000" w:themeColor="text1"/>
          <w:szCs w:val="21"/>
          <w:highlight w:val="none"/>
          <w14:textFill>
            <w14:solidFill>
              <w14:schemeClr w14:val="tx1"/>
            </w14:solidFill>
          </w14:textFill>
        </w:rPr>
        <w:t>》第四十九条规定，依据评标报告推荐的中标候选人名单排序确定下一候选人为中标人并签订合同，或者重新开展采购活动。拒绝签订政府采购合同的中标人不得参加对该项目重新开展的采购活动。</w:t>
      </w:r>
    </w:p>
    <w:p w14:paraId="0DD33BDC">
      <w:pPr>
        <w:tabs>
          <w:tab w:val="left" w:pos="7665"/>
        </w:tabs>
        <w:spacing w:line="356" w:lineRule="auto"/>
        <w:ind w:firstLine="48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9.2.2 发出中标通知书后，采购人不得向中标人提出任何不合理要求，作为签订合同的条件，不得与中标人私下订立背离合同实质性内容的任何协议，所签订的合同不得对招标文件确定的事项和中标人投标文件做实质性修改。</w:t>
      </w:r>
    </w:p>
    <w:p w14:paraId="7BAC1A2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9.2.3 联合体中标的，联合体各方应当与采购人签订采购合同，就中标项目向采购人承担连带责任。</w:t>
      </w:r>
    </w:p>
    <w:p w14:paraId="1474ED1E">
      <w:pPr>
        <w:tabs>
          <w:tab w:val="left" w:pos="426"/>
        </w:tabs>
        <w:autoSpaceDE w:val="0"/>
        <w:autoSpaceDN w:val="0"/>
        <w:adjustRightInd w:val="0"/>
        <w:snapToGrid w:val="0"/>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9.2.4 投标人须知前附表规定允许大中企业向小微企业分包的，中标人应当与接受分包的小微企业签订分包合同。</w:t>
      </w:r>
    </w:p>
    <w:p w14:paraId="64B9575C">
      <w:pPr>
        <w:snapToGrid w:val="0"/>
        <w:spacing w:line="356" w:lineRule="auto"/>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9.3 合同履行</w:t>
      </w:r>
    </w:p>
    <w:p w14:paraId="35595EDB">
      <w:pPr>
        <w:tabs>
          <w:tab w:val="left" w:pos="426"/>
        </w:tabs>
        <w:autoSpaceDE w:val="0"/>
        <w:autoSpaceDN w:val="0"/>
        <w:adjustRightInd w:val="0"/>
        <w:snapToGrid w:val="0"/>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9.3.1 政府采购合同一经签订，双方应严格履行合同规定的义务。在合同履行过程中，如发生合同纠纷，合同双方应按照《中华人民共和国民法典》及合同条款的有关规定进行处理。</w:t>
      </w:r>
    </w:p>
    <w:p w14:paraId="4098C9C1">
      <w:pPr>
        <w:tabs>
          <w:tab w:val="left" w:pos="426"/>
        </w:tabs>
        <w:autoSpaceDE w:val="0"/>
        <w:autoSpaceDN w:val="0"/>
        <w:adjustRightInd w:val="0"/>
        <w:snapToGrid w:val="0"/>
        <w:spacing w:line="356" w:lineRule="auto"/>
        <w:ind w:firstLine="420" w:firstLineChars="200"/>
        <w:rPr>
          <w:rFonts w:hint="eastAsia" w:ascii="宋体" w:hAnsi="宋体" w:cs="黑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9.3.2 </w:t>
      </w:r>
      <w:r>
        <w:rPr>
          <w:rFonts w:hint="eastAsia" w:ascii="宋体" w:hAnsi="宋体" w:cs="宋体"/>
          <w:color w:val="000000" w:themeColor="text1"/>
          <w:szCs w:val="21"/>
          <w:highlight w:val="none"/>
          <w:lang w:eastAsia="zh-TW"/>
          <w14:textFill>
            <w14:solidFill>
              <w14:schemeClr w14:val="tx1"/>
            </w14:solidFill>
          </w14:textFill>
        </w:rPr>
        <w:t>政府采购合同订立后，合同各方不得擅自变更</w:t>
      </w:r>
      <w:r>
        <w:rPr>
          <w:rFonts w:hint="eastAsia" w:ascii="宋体" w:hAnsi="宋体" w:cs="宋体"/>
          <w:color w:val="000000" w:themeColor="text1"/>
          <w:szCs w:val="21"/>
          <w:highlight w:val="none"/>
          <w14:textFill>
            <w14:solidFill>
              <w14:schemeClr w14:val="tx1"/>
            </w14:solidFill>
          </w14:textFill>
        </w:rPr>
        <w:t>或者</w:t>
      </w:r>
      <w:r>
        <w:rPr>
          <w:rFonts w:hint="eastAsia" w:ascii="宋体" w:hAnsi="宋体" w:cs="宋体"/>
          <w:color w:val="000000" w:themeColor="text1"/>
          <w:szCs w:val="21"/>
          <w:highlight w:val="none"/>
          <w:lang w:eastAsia="zh-TW"/>
          <w14:textFill>
            <w14:solidFill>
              <w14:schemeClr w14:val="tx1"/>
            </w14:solidFill>
          </w14:textFill>
        </w:rPr>
        <w:t>中止或者终止合同。政府采购合同需要变更的，采购人应将有关合同变更内容，以书面形式报政府采购监督管理</w:t>
      </w:r>
      <w:r>
        <w:rPr>
          <w:rFonts w:hint="eastAsia" w:ascii="宋体" w:hAnsi="宋体" w:cs="宋体"/>
          <w:color w:val="000000" w:themeColor="text1"/>
          <w:szCs w:val="21"/>
          <w:highlight w:val="none"/>
          <w14:textFill>
            <w14:solidFill>
              <w14:schemeClr w14:val="tx1"/>
            </w14:solidFill>
          </w14:textFill>
        </w:rPr>
        <w:t>部门</w:t>
      </w:r>
      <w:r>
        <w:rPr>
          <w:rFonts w:hint="eastAsia" w:ascii="宋体" w:hAnsi="宋体" w:cs="宋体"/>
          <w:color w:val="000000" w:themeColor="text1"/>
          <w:szCs w:val="21"/>
          <w:highlight w:val="none"/>
          <w:lang w:eastAsia="zh-TW"/>
          <w14:textFill>
            <w14:solidFill>
              <w14:schemeClr w14:val="tx1"/>
            </w14:solidFill>
          </w14:textFill>
        </w:rPr>
        <w:t>备案；因特殊情况需要中止或终止合同的，采购人应将中止或终止合同的理由以及相应措施，以书面形式报政府采购监督管理</w:t>
      </w:r>
      <w:r>
        <w:rPr>
          <w:rFonts w:hint="eastAsia" w:ascii="宋体" w:hAnsi="宋体" w:cs="宋体"/>
          <w:color w:val="000000" w:themeColor="text1"/>
          <w:szCs w:val="21"/>
          <w:highlight w:val="none"/>
          <w14:textFill>
            <w14:solidFill>
              <w14:schemeClr w14:val="tx1"/>
            </w14:solidFill>
          </w14:textFill>
        </w:rPr>
        <w:t>部门</w:t>
      </w:r>
      <w:r>
        <w:rPr>
          <w:rFonts w:hint="eastAsia" w:ascii="宋体" w:hAnsi="宋体" w:cs="宋体"/>
          <w:color w:val="000000" w:themeColor="text1"/>
          <w:szCs w:val="21"/>
          <w:highlight w:val="none"/>
          <w:lang w:eastAsia="zh-TW"/>
          <w14:textFill>
            <w14:solidFill>
              <w14:schemeClr w14:val="tx1"/>
            </w14:solidFill>
          </w14:textFill>
        </w:rPr>
        <w:t>备案。</w:t>
      </w:r>
    </w:p>
    <w:p w14:paraId="4080D4EB">
      <w:pPr>
        <w:tabs>
          <w:tab w:val="left" w:pos="426"/>
        </w:tabs>
        <w:autoSpaceDE w:val="0"/>
        <w:autoSpaceDN w:val="0"/>
        <w:adjustRightInd w:val="0"/>
        <w:snapToGrid w:val="0"/>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9.3.3 </w:t>
      </w:r>
      <w:r>
        <w:rPr>
          <w:rFonts w:hint="eastAsia" w:ascii="宋体" w:hAnsi="宋体" w:cs="宋体"/>
          <w:color w:val="000000" w:themeColor="text1"/>
          <w:szCs w:val="21"/>
          <w:highlight w:val="none"/>
          <w:lang w:eastAsia="zh-TW"/>
          <w14:textFill>
            <w14:solidFill>
              <w14:schemeClr w14:val="tx1"/>
            </w14:solidFill>
          </w14:textFill>
        </w:rPr>
        <w:t>政府采购合同履行中，采购人需追加与合同标的相同的货物的，在不改变合同其他条款的前提下，可以与</w:t>
      </w:r>
      <w:r>
        <w:rPr>
          <w:rFonts w:hint="eastAsia" w:ascii="宋体" w:hAnsi="宋体" w:cs="宋体"/>
          <w:color w:val="000000" w:themeColor="text1"/>
          <w:szCs w:val="21"/>
          <w:highlight w:val="none"/>
          <w14:textFill>
            <w14:solidFill>
              <w14:schemeClr w14:val="tx1"/>
            </w14:solidFill>
          </w14:textFill>
        </w:rPr>
        <w:t>中标人</w:t>
      </w:r>
      <w:r>
        <w:rPr>
          <w:rFonts w:hint="eastAsia" w:ascii="宋体" w:hAnsi="宋体" w:cs="宋体"/>
          <w:color w:val="000000" w:themeColor="text1"/>
          <w:szCs w:val="21"/>
          <w:highlight w:val="none"/>
          <w:lang w:eastAsia="zh-TW"/>
          <w14:textFill>
            <w14:solidFill>
              <w14:schemeClr w14:val="tx1"/>
            </w14:solidFill>
          </w14:textFill>
        </w:rPr>
        <w:t>签订补充合同，但所补充合同的采购金额不得超过原</w:t>
      </w:r>
      <w:r>
        <w:rPr>
          <w:rFonts w:hint="eastAsia" w:ascii="宋体" w:hAnsi="宋体" w:cs="宋体"/>
          <w:color w:val="000000" w:themeColor="text1"/>
          <w:szCs w:val="21"/>
          <w:highlight w:val="none"/>
          <w14:textFill>
            <w14:solidFill>
              <w14:schemeClr w14:val="tx1"/>
            </w14:solidFill>
          </w14:textFill>
        </w:rPr>
        <w:t>合同</w:t>
      </w:r>
      <w:r>
        <w:rPr>
          <w:rFonts w:hint="eastAsia" w:ascii="宋体" w:hAnsi="宋体" w:cs="宋体"/>
          <w:color w:val="000000" w:themeColor="text1"/>
          <w:szCs w:val="21"/>
          <w:highlight w:val="none"/>
          <w:lang w:eastAsia="zh-TW"/>
          <w14:textFill>
            <w14:solidFill>
              <w14:schemeClr w14:val="tx1"/>
            </w14:solidFill>
          </w14:textFill>
        </w:rPr>
        <w:t>采购金额的百分之十。签订补充合同的</w:t>
      </w:r>
      <w:r>
        <w:rPr>
          <w:rFonts w:hint="eastAsia" w:ascii="宋体" w:hAnsi="宋体" w:cs="宋体"/>
          <w:color w:val="000000" w:themeColor="text1"/>
          <w:szCs w:val="21"/>
          <w:highlight w:val="none"/>
          <w14:textFill>
            <w14:solidFill>
              <w14:schemeClr w14:val="tx1"/>
            </w14:solidFill>
          </w14:textFill>
        </w:rPr>
        <w:t>应</w:t>
      </w:r>
      <w:r>
        <w:rPr>
          <w:rFonts w:hint="eastAsia" w:ascii="宋体" w:hAnsi="宋体" w:cs="宋体"/>
          <w:color w:val="000000" w:themeColor="text1"/>
          <w:szCs w:val="21"/>
          <w:highlight w:val="none"/>
          <w:lang w:eastAsia="zh-TW"/>
          <w14:textFill>
            <w14:solidFill>
              <w14:schemeClr w14:val="tx1"/>
            </w14:solidFill>
          </w14:textFill>
        </w:rPr>
        <w:t>按规定备案。</w:t>
      </w:r>
    </w:p>
    <w:p w14:paraId="2975131D">
      <w:pPr>
        <w:tabs>
          <w:tab w:val="left" w:pos="426"/>
        </w:tabs>
        <w:autoSpaceDE w:val="0"/>
        <w:autoSpaceDN w:val="0"/>
        <w:adjustRightInd w:val="0"/>
        <w:snapToGrid w:val="0"/>
        <w:spacing w:line="356" w:lineRule="auto"/>
        <w:ind w:firstLine="420" w:firstLineChars="200"/>
        <w:rPr>
          <w:rFonts w:hint="eastAsia" w:ascii="宋体" w:hAnsi="宋体" w:cs="黑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9.3.4 投标人须知前附表规定允许合同分包的，中标人享受了中小企业政府采购扶持政策，在履行合同时，未按分包意向协议约定的比例分包给小微企业的，视为提供虚假材料谋取中标情形，采购人将依法追究其法律责任。</w:t>
      </w:r>
    </w:p>
    <w:p w14:paraId="0B6B0DEA">
      <w:pPr>
        <w:spacing w:line="356" w:lineRule="auto"/>
        <w:outlineLvl w:val="1"/>
        <w:rPr>
          <w:rFonts w:ascii="黑体" w:eastAsia="黑体"/>
          <w:b/>
          <w:color w:val="000000" w:themeColor="text1"/>
          <w:sz w:val="36"/>
          <w:szCs w:val="36"/>
          <w:highlight w:val="none"/>
          <w14:textFill>
            <w14:solidFill>
              <w14:schemeClr w14:val="tx1"/>
            </w14:solidFill>
          </w14:textFill>
        </w:rPr>
      </w:pPr>
      <w:bookmarkStart w:id="124" w:name="_Toc24422"/>
      <w:bookmarkStart w:id="125" w:name="_Toc727050332"/>
      <w:r>
        <w:rPr>
          <w:rFonts w:hint="eastAsia" w:ascii="黑体" w:eastAsia="黑体"/>
          <w:b/>
          <w:color w:val="000000" w:themeColor="text1"/>
          <w:sz w:val="36"/>
          <w:szCs w:val="36"/>
          <w:highlight w:val="none"/>
          <w14:textFill>
            <w14:solidFill>
              <w14:schemeClr w14:val="tx1"/>
            </w14:solidFill>
          </w14:textFill>
        </w:rPr>
        <w:t>10. 废标或变更采购方式</w:t>
      </w:r>
      <w:bookmarkEnd w:id="124"/>
      <w:bookmarkEnd w:id="125"/>
    </w:p>
    <w:p w14:paraId="25017D56">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10.1废标的情形</w:t>
      </w:r>
    </w:p>
    <w:p w14:paraId="45320FFA">
      <w:pPr>
        <w:pStyle w:val="7"/>
        <w:spacing w:line="356" w:lineRule="auto"/>
        <w:ind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10.1.1 招标采购中，出现下列情形之一的，应予以废标：</w:t>
      </w:r>
    </w:p>
    <w:p w14:paraId="2C9BCB74">
      <w:pPr>
        <w:pStyle w:val="7"/>
        <w:spacing w:line="356" w:lineRule="auto"/>
        <w:ind w:firstLine="52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（1）符合专业条件的投标人或者对招标文件作实质响应的投标人不足3家的；</w:t>
      </w:r>
    </w:p>
    <w:p w14:paraId="6FD8EE9D">
      <w:pPr>
        <w:pStyle w:val="7"/>
        <w:spacing w:line="356" w:lineRule="auto"/>
        <w:ind w:firstLine="52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（2）出现影响采购公正的违法、违规行为的；</w:t>
      </w:r>
    </w:p>
    <w:p w14:paraId="7046F631">
      <w:pPr>
        <w:pStyle w:val="7"/>
        <w:spacing w:line="356" w:lineRule="auto"/>
        <w:ind w:firstLine="52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（3）投标人的报价均超过了采购预算或最高限价，采购人不能支付的；</w:t>
      </w:r>
    </w:p>
    <w:p w14:paraId="6D5FAB10">
      <w:pPr>
        <w:pStyle w:val="7"/>
        <w:spacing w:line="356" w:lineRule="auto"/>
        <w:ind w:firstLine="52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（4）因重大变故，采购任务取消的。</w:t>
      </w:r>
    </w:p>
    <w:p w14:paraId="0A3268FF">
      <w:pPr>
        <w:pStyle w:val="7"/>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10.1.2 废标后，采购人、采购代理机构应当将废标理由通知所有投标人。</w:t>
      </w:r>
    </w:p>
    <w:p w14:paraId="4AF2AC91">
      <w:pPr>
        <w:pStyle w:val="7"/>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10.1.3 因重大变故，采购任务取消终止招标的，采购人、采购代理机构应当及时在原公告发布媒体上发布终止公告，以书面形式通知已经获取招标文件的</w:t>
      </w:r>
      <w:r>
        <w:rPr>
          <w:rFonts w:hint="eastAsia" w:ascii="宋体" w:hAnsi="宋体"/>
          <w:b/>
          <w:color w:val="000000" w:themeColor="text1"/>
          <w:szCs w:val="21"/>
          <w:highlight w:val="none"/>
          <w14:textFill>
            <w14:solidFill>
              <w14:schemeClr w14:val="tx1"/>
            </w14:solidFill>
          </w14:textFill>
        </w:rPr>
        <w:t>潜在投标人</w:t>
      </w:r>
      <w:r>
        <w:rPr>
          <w:rFonts w:hint="eastAsia" w:ascii="宋体" w:hAnsi="宋体"/>
          <w:color w:val="000000" w:themeColor="text1"/>
          <w:szCs w:val="21"/>
          <w:highlight w:val="none"/>
          <w14:textFill>
            <w14:solidFill>
              <w14:schemeClr w14:val="tx1"/>
            </w14:solidFill>
          </w14:textFill>
        </w:rPr>
        <w:t>，并将项目实施情况和采购任务取消原因报告采购人监督部门。已经收取招标文件费用或者投标保证金的，采购人或者采购代理机构应当在终止采购活动后5个工作日内，退还所收取的招标文件费用和所收取的投标保证金。</w:t>
      </w:r>
    </w:p>
    <w:p w14:paraId="5AD31DC7">
      <w:pPr>
        <w:spacing w:line="356" w:lineRule="auto"/>
        <w:outlineLvl w:val="1"/>
        <w:rPr>
          <w:rFonts w:hint="eastAsia" w:ascii="黑体" w:hAnsi="宋体" w:eastAsia="黑体"/>
          <w:b/>
          <w:color w:val="000000" w:themeColor="text1"/>
          <w:sz w:val="36"/>
          <w:szCs w:val="36"/>
          <w:highlight w:val="none"/>
          <w14:textFill>
            <w14:solidFill>
              <w14:schemeClr w14:val="tx1"/>
            </w14:solidFill>
          </w14:textFill>
        </w:rPr>
      </w:pPr>
      <w:bookmarkStart w:id="126" w:name="_Toc30427"/>
      <w:bookmarkStart w:id="127" w:name="_Toc352978494"/>
      <w:r>
        <w:rPr>
          <w:rFonts w:hint="eastAsia" w:ascii="黑体" w:hAnsi="宋体" w:eastAsia="黑体"/>
          <w:b/>
          <w:color w:val="000000" w:themeColor="text1"/>
          <w:sz w:val="36"/>
          <w:szCs w:val="36"/>
          <w:highlight w:val="none"/>
          <w14:textFill>
            <w14:solidFill>
              <w14:schemeClr w14:val="tx1"/>
            </w14:solidFill>
          </w14:textFill>
        </w:rPr>
        <w:t>11.质疑与投诉</w:t>
      </w:r>
      <w:bookmarkEnd w:id="126"/>
      <w:bookmarkEnd w:id="127"/>
    </w:p>
    <w:p w14:paraId="702A32BB">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11.1质疑</w:t>
      </w:r>
    </w:p>
    <w:p w14:paraId="1DE92F2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11.1.1 如投标人对本次采购活动有疑问，认为需要质疑和投诉的，应当按照《政府采购质疑投诉办法》（财政部94号令）的有关规定办理。</w:t>
      </w:r>
    </w:p>
    <w:p w14:paraId="15C32238">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11.1.2 投标人对采购文件、采购过程或中标结果使自身的合法权益受到损害，应当在法定期限内，按照质疑函范本格式要求以书面形式向采购代理机构或采购人提出质疑，并附必要的证明材料。投标人应在法定质疑期内一次性提出针对同一采购程序环节的质疑。</w:t>
      </w:r>
    </w:p>
    <w:p w14:paraId="7A048E84">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11.1.3 质疑函应当包括下列内容：</w:t>
      </w:r>
    </w:p>
    <w:p w14:paraId="1BDC456E">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（1）投标人的姓名或者名称、地址、邮编、联系人及联系电话；</w:t>
      </w:r>
    </w:p>
    <w:p w14:paraId="6C6060F4">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（2）质疑项目的名称、编号；</w:t>
      </w:r>
    </w:p>
    <w:p w14:paraId="4874623B">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（3）具体、明确的质疑事项和与质疑事项相关的请求；</w:t>
      </w:r>
    </w:p>
    <w:p w14:paraId="33E9595C">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（4）事实依据；</w:t>
      </w:r>
    </w:p>
    <w:p w14:paraId="1A15F5CA">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（5）必要的法律依据；</w:t>
      </w:r>
    </w:p>
    <w:p w14:paraId="57831847">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（6）提出质疑的日期。</w:t>
      </w:r>
    </w:p>
    <w:p w14:paraId="5B474A16">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投标人为自然人的，应当由本人签名；投标人为法人或者其他组织的，应当由法定代表人、主要负责人，或者其授权代表签名或者盖章，并加盖单</w:t>
      </w:r>
      <w:r>
        <w:rPr>
          <w:rFonts w:hint="eastAsia" w:ascii="宋体" w:hAnsi="宋体"/>
          <w:color w:val="000000" w:themeColor="text1"/>
          <w:szCs w:val="21"/>
          <w:highlight w:val="none"/>
          <w:lang w:eastAsia="zh-CN"/>
          <w14:textFill>
            <w14:solidFill>
              <w14:schemeClr w14:val="tx1"/>
            </w14:solidFill>
          </w14:textFill>
        </w:rPr>
        <w:t>位公</w:t>
      </w:r>
      <w:r>
        <w:rPr>
          <w:rFonts w:hint="eastAsia" w:ascii="宋体" w:hAnsi="宋体"/>
          <w:color w:val="000000" w:themeColor="text1"/>
          <w:szCs w:val="21"/>
          <w:highlight w:val="none"/>
          <w14:textFill>
            <w14:solidFill>
              <w14:schemeClr w14:val="tx1"/>
            </w14:solidFill>
          </w14:textFill>
        </w:rPr>
        <w:t>章。</w:t>
      </w:r>
    </w:p>
    <w:p w14:paraId="58F21637">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11.1.4质疑人可以委托代理人办理质疑事项，代理人办理质疑事项时，除提交质疑函外，还应当提交质疑人的授权委托书及代理人的有效身份证明，授权委托书应当载明委托代理的具体权限期限和相关事项。</w:t>
      </w:r>
    </w:p>
    <w:p w14:paraId="5A4B2F38">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11.1.5 质疑函范本格式在中国政府采购网站（</w:t>
      </w:r>
      <w:r>
        <w:rPr>
          <w:rFonts w:ascii="宋体" w:hAnsi="宋体"/>
          <w:color w:val="000000" w:themeColor="text1"/>
          <w:szCs w:val="21"/>
          <w:highlight w:val="none"/>
          <w14:textFill>
            <w14:solidFill>
              <w14:schemeClr w14:val="tx1"/>
            </w14:solidFill>
          </w14:textFill>
        </w:rPr>
        <w:t>http://www.ccgp.gov.cn/</w:t>
      </w:r>
      <w:r>
        <w:rPr>
          <w:rFonts w:hint="eastAsia" w:ascii="宋体" w:hAnsi="宋体"/>
          <w:color w:val="000000" w:themeColor="text1"/>
          <w:szCs w:val="21"/>
          <w:highlight w:val="none"/>
          <w14:textFill>
            <w14:solidFill>
              <w14:schemeClr w14:val="tx1"/>
            </w14:solidFill>
          </w14:textFill>
        </w:rPr>
        <w:t>）自行下载。</w:t>
      </w:r>
    </w:p>
    <w:p w14:paraId="115F5F1F">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11.1.6 接收质疑函的联系部门、联系电话和通讯地址同招标公告。</w:t>
      </w:r>
    </w:p>
    <w:p w14:paraId="12D0F1B2">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11.1.7 有下列情形之一的，属于无效质疑，采购代理机构和采购人不予受理：</w:t>
      </w:r>
    </w:p>
    <w:p w14:paraId="74D4ED70">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（1）对招标文件提出质疑的质疑人不是依法获取招标文件的潜在投标人；对采购过程、中标结果提出质疑的不是参与本次政府采购项目的投标人；</w:t>
      </w:r>
    </w:p>
    <w:p w14:paraId="27A5CF3C">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（2）质疑人与质疑事项不存在利害关系的；</w:t>
      </w:r>
    </w:p>
    <w:p w14:paraId="1F0BF9DB">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（3）未在法定期限内提出质疑的；</w:t>
      </w:r>
    </w:p>
    <w:p w14:paraId="297CFDDB">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（4）质疑未按质疑函范本格式提出的；</w:t>
      </w:r>
    </w:p>
    <w:p w14:paraId="3B239659">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（5）质疑书主要内容构成不完整的；</w:t>
      </w:r>
    </w:p>
    <w:p w14:paraId="5F4B9B5D">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（6）未提交营业执照或法人证书复印件，由授权代表签名的，未提交授权委托书；</w:t>
      </w:r>
    </w:p>
    <w:p w14:paraId="7294201D">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（7）质疑书没有合法有效的签名、盖章或授权的；</w:t>
      </w:r>
    </w:p>
    <w:p w14:paraId="37A0F6DD">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（8）以非法手段取得证据、材料的；</w:t>
      </w:r>
    </w:p>
    <w:p w14:paraId="352B5FB7">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（9）质疑答复后，同一质疑人就同一事项再次提出质疑的；</w:t>
      </w:r>
    </w:p>
    <w:p w14:paraId="5C03CABE">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（10）不符合</w:t>
      </w:r>
      <w:r>
        <w:rPr>
          <w:rFonts w:hint="eastAsia" w:ascii="宋体" w:hAnsi="宋体"/>
          <w:color w:val="000000" w:themeColor="text1"/>
          <w:szCs w:val="21"/>
          <w:highlight w:val="none"/>
          <w:lang w:eastAsia="zh-CN"/>
          <w14:textFill>
            <w14:solidFill>
              <w14:schemeClr w14:val="tx1"/>
            </w14:solidFill>
          </w14:textFill>
        </w:rPr>
        <w:t>法律法规</w:t>
      </w:r>
      <w:r>
        <w:rPr>
          <w:rFonts w:hint="eastAsia" w:ascii="宋体" w:hAnsi="宋体"/>
          <w:color w:val="000000" w:themeColor="text1"/>
          <w:szCs w:val="21"/>
          <w:highlight w:val="none"/>
          <w14:textFill>
            <w14:solidFill>
              <w14:schemeClr w14:val="tx1"/>
            </w14:solidFill>
          </w14:textFill>
        </w:rPr>
        <w:t>、规章和政府采购监管机构规定的其他条件的。</w:t>
      </w:r>
    </w:p>
    <w:p w14:paraId="1885BE02">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11.1.8 采购代理机构或采购人将在收到书面质疑后7个工作日内作出答复，并以书面形式通知质疑人和其他有关投标人。</w:t>
      </w:r>
    </w:p>
    <w:p w14:paraId="5DD7042E">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11.2 投诉</w:t>
      </w:r>
    </w:p>
    <w:p w14:paraId="1CC82E0F">
      <w:pPr>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11.2.1 质疑人对采购代理机构或采购人的答复不满意，或者采购人、采购代理机构未在规定时间内作出答复的，可以在答复期满后15个工作日内向</w:t>
      </w:r>
      <w:r>
        <w:rPr>
          <w:rFonts w:hint="eastAsia" w:ascii="宋体" w:hAnsi="宋体"/>
          <w:color w:val="000000" w:themeColor="text1"/>
          <w:szCs w:val="21"/>
          <w:highlight w:val="none"/>
          <w:u w:val="single"/>
          <w14:textFill>
            <w14:solidFill>
              <w14:schemeClr w14:val="tx1"/>
            </w14:solidFill>
          </w14:textFill>
        </w:rPr>
        <w:t xml:space="preserve"> 采购人监督部门 </w:t>
      </w:r>
      <w:r>
        <w:rPr>
          <w:rFonts w:hint="eastAsia" w:ascii="宋体" w:hAnsi="宋体"/>
          <w:color w:val="000000" w:themeColor="text1"/>
          <w:szCs w:val="21"/>
          <w:highlight w:val="none"/>
          <w14:textFill>
            <w14:solidFill>
              <w14:schemeClr w14:val="tx1"/>
            </w14:solidFill>
          </w14:textFill>
        </w:rPr>
        <w:t>提起投诉，联系电话：</w:t>
      </w:r>
      <w:r>
        <w:rPr>
          <w:rFonts w:hint="eastAsia" w:ascii="宋体" w:hAnsi="宋体"/>
          <w:color w:val="000000" w:themeColor="text1"/>
          <w:szCs w:val="21"/>
          <w:highlight w:val="none"/>
          <w:u w:val="single"/>
          <w14:textFill>
            <w14:solidFill>
              <w14:schemeClr w14:val="tx1"/>
            </w14:solidFill>
          </w14:textFill>
        </w:rPr>
        <w:t xml:space="preserve"> 029-87604345 </w:t>
      </w:r>
      <w:r>
        <w:rPr>
          <w:rFonts w:hint="eastAsia" w:ascii="宋体" w:hAnsi="宋体"/>
          <w:color w:val="000000" w:themeColor="text1"/>
          <w:szCs w:val="21"/>
          <w:highlight w:val="none"/>
          <w14:textFill>
            <w14:solidFill>
              <w14:schemeClr w14:val="tx1"/>
            </w14:solidFill>
          </w14:textFill>
        </w:rPr>
        <w:t>。</w:t>
      </w:r>
      <w:bookmarkStart w:id="128" w:name="_Toc1159715644"/>
    </w:p>
    <w:p w14:paraId="469BA4A7">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11.2.2 投诉人投诉时,应当提交投诉书和必要的证明材料，并按照被投诉采购人、采购代理机构（以下简称被投诉人）和与投诉事项有关的投标人数量提供投诉书的副本。投诉书应当包括下列内容：</w:t>
      </w:r>
    </w:p>
    <w:p w14:paraId="5C088524">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（1）投诉人和被投诉人的姓名或者名称、通讯地址、邮编、联系人及联系电话；</w:t>
      </w:r>
    </w:p>
    <w:p w14:paraId="4DE89430">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（2）质疑和质疑答复情况说明及相关证明材料；</w:t>
      </w:r>
    </w:p>
    <w:p w14:paraId="6E89D4AB">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（3）具体、明确的投诉事项和与投诉事项相关的投诉请求；</w:t>
      </w:r>
    </w:p>
    <w:p w14:paraId="38B09F27">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（4）事实依据；</w:t>
      </w:r>
    </w:p>
    <w:p w14:paraId="6AD67EE5">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（5）法律依据；</w:t>
      </w:r>
    </w:p>
    <w:p w14:paraId="41CF0E54">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（6）提起投诉的日期。</w:t>
      </w:r>
    </w:p>
    <w:p w14:paraId="3F657F29">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投诉人为自然人的，应当由本人签名；投诉人为法人或者其他组织的，应当由法定代表人、主要负责人，或者其授权代表签名或者盖章，并加盖单</w:t>
      </w:r>
      <w:r>
        <w:rPr>
          <w:rFonts w:hint="eastAsia" w:ascii="宋体" w:hAnsi="宋体"/>
          <w:color w:val="000000" w:themeColor="text1"/>
          <w:szCs w:val="21"/>
          <w:highlight w:val="none"/>
          <w:lang w:eastAsia="zh-CN"/>
          <w14:textFill>
            <w14:solidFill>
              <w14:schemeClr w14:val="tx1"/>
            </w14:solidFill>
          </w14:textFill>
        </w:rPr>
        <w:t>位公</w:t>
      </w:r>
      <w:r>
        <w:rPr>
          <w:rFonts w:hint="eastAsia" w:ascii="宋体" w:hAnsi="宋体"/>
          <w:color w:val="000000" w:themeColor="text1"/>
          <w:szCs w:val="21"/>
          <w:highlight w:val="none"/>
          <w14:textFill>
            <w14:solidFill>
              <w14:schemeClr w14:val="tx1"/>
            </w14:solidFill>
          </w14:textFill>
        </w:rPr>
        <w:t>章。</w:t>
      </w:r>
    </w:p>
    <w:p w14:paraId="33CC2F26">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11.2.3 投诉书范本格式在中国政府采购网站（</w:t>
      </w:r>
      <w:r>
        <w:rPr>
          <w:rFonts w:ascii="宋体" w:hAnsi="宋体"/>
          <w:color w:val="000000" w:themeColor="text1"/>
          <w:szCs w:val="21"/>
          <w:highlight w:val="none"/>
          <w14:textFill>
            <w14:solidFill>
              <w14:schemeClr w14:val="tx1"/>
            </w14:solidFill>
          </w14:textFill>
        </w:rPr>
        <w:t>http://www.ccgp.gov.cn/</w:t>
      </w:r>
      <w:r>
        <w:rPr>
          <w:rFonts w:hint="eastAsia" w:ascii="宋体" w:hAnsi="宋体"/>
          <w:color w:val="000000" w:themeColor="text1"/>
          <w:szCs w:val="21"/>
          <w:highlight w:val="none"/>
          <w14:textFill>
            <w14:solidFill>
              <w14:schemeClr w14:val="tx1"/>
            </w14:solidFill>
          </w14:textFill>
        </w:rPr>
        <w:t>）自行下载。</w:t>
      </w:r>
    </w:p>
    <w:p w14:paraId="3B3983D2">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11.2.4 投诉人提起投诉应当符合下列条件：</w:t>
      </w:r>
    </w:p>
    <w:p w14:paraId="2882DFEA">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（1）提起投诉前已依法进行质疑；</w:t>
      </w:r>
    </w:p>
    <w:p w14:paraId="3FD4D891">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（2）投诉书内容符合财政部94号令的规定；</w:t>
      </w:r>
    </w:p>
    <w:p w14:paraId="6385143B">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（3）在投诉有效期限内提起投诉；</w:t>
      </w:r>
    </w:p>
    <w:p w14:paraId="0366084F">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（4）同一投诉事项未经财政部门投诉处理；</w:t>
      </w:r>
    </w:p>
    <w:p w14:paraId="7C596F40">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（5）财政部规定的其他条件。</w:t>
      </w:r>
    </w:p>
    <w:p w14:paraId="0E0DDF11">
      <w:pPr>
        <w:widowControl/>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11.2.5  投诉人投诉的事项不得超出已质疑事项的范围，但基于质疑答复内容提出的投诉事项除外。</w:t>
      </w:r>
    </w:p>
    <w:p w14:paraId="4533498C">
      <w:pPr>
        <w:spacing w:line="356" w:lineRule="auto"/>
        <w:jc w:val="left"/>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11.3恶意质疑、投诉的法律后果</w:t>
      </w:r>
    </w:p>
    <w:p w14:paraId="5B994671">
      <w:pPr>
        <w:spacing w:line="356" w:lineRule="auto"/>
        <w:ind w:firstLine="422" w:firstLineChars="200"/>
        <w:jc w:val="lef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11.3.1对捏造事实、提供虚假材料进行质疑、投诉的行为将予以严肃处理：</w:t>
      </w:r>
    </w:p>
    <w:p w14:paraId="22303AF0">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2F51D385">
      <w:pPr>
        <w:spacing w:line="356" w:lineRule="auto"/>
        <w:ind w:firstLine="422" w:firstLineChars="200"/>
        <w:jc w:val="lef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11.3.2对捏造事实诬告陷害他人、诽谤他人的法律适用：</w:t>
      </w:r>
    </w:p>
    <w:p w14:paraId="712C4FFC">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中华人民共和国刑法》第二百四十三条【诬告陷害罪】捏造事实诬告陷害他人，意图使他人受到刑事追究，情节严重的，处三年以下有期徒刑、拘役或者管制；造成严重后果的，处三年以上十年以下有期徒刑。</w:t>
      </w:r>
    </w:p>
    <w:p w14:paraId="4C055901">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（2）《中华人民共和国刑法》第二百四十六条【侮辱罪、诽谤罪】以暴力或者其他方法公然侮辱他人或者捏造事实诽谤他人，情节严重的，处三年以下有期徒刑、拘役、管制或者剥夺政治权利。</w:t>
      </w:r>
    </w:p>
    <w:p w14:paraId="043448EB">
      <w:pPr>
        <w:spacing w:line="356" w:lineRule="auto"/>
        <w:jc w:val="left"/>
        <w:outlineLvl w:val="1"/>
        <w:rPr>
          <w:rFonts w:hint="eastAsia" w:ascii="黑体" w:hAnsi="宋体" w:eastAsia="黑体"/>
          <w:b/>
          <w:color w:val="000000" w:themeColor="text1"/>
          <w:sz w:val="36"/>
          <w:szCs w:val="36"/>
          <w:highlight w:val="none"/>
          <w14:textFill>
            <w14:solidFill>
              <w14:schemeClr w14:val="tx1"/>
            </w14:solidFill>
          </w14:textFill>
        </w:rPr>
      </w:pPr>
      <w:bookmarkStart w:id="129" w:name="_Toc9692"/>
      <w:r>
        <w:rPr>
          <w:rFonts w:hint="eastAsia" w:ascii="黑体" w:hAnsi="宋体" w:eastAsia="黑体"/>
          <w:b/>
          <w:color w:val="000000" w:themeColor="text1"/>
          <w:sz w:val="36"/>
          <w:szCs w:val="36"/>
          <w:highlight w:val="none"/>
          <w14:textFill>
            <w14:solidFill>
              <w14:schemeClr w14:val="tx1"/>
            </w14:solidFill>
          </w14:textFill>
        </w:rPr>
        <w:t>12.其他</w:t>
      </w:r>
      <w:bookmarkEnd w:id="128"/>
      <w:bookmarkEnd w:id="129"/>
    </w:p>
    <w:p w14:paraId="64DE12C5">
      <w:pPr>
        <w:spacing w:line="356" w:lineRule="auto"/>
        <w:jc w:val="left"/>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12.</w:t>
      </w:r>
      <w:r>
        <w:rPr>
          <w:rFonts w:ascii="宋体" w:hAnsi="宋体"/>
          <w:b/>
          <w:color w:val="000000" w:themeColor="text1"/>
          <w:sz w:val="30"/>
          <w:szCs w:val="30"/>
          <w:highlight w:val="none"/>
          <w14:textFill>
            <w14:solidFill>
              <w14:schemeClr w14:val="tx1"/>
            </w14:solidFill>
          </w14:textFill>
        </w:rPr>
        <w:t>1</w:t>
      </w:r>
      <w:r>
        <w:rPr>
          <w:rFonts w:hint="eastAsia" w:ascii="宋体" w:hAnsi="宋体"/>
          <w:b/>
          <w:color w:val="000000" w:themeColor="text1"/>
          <w:sz w:val="30"/>
          <w:szCs w:val="30"/>
          <w:highlight w:val="none"/>
          <w14:textFill>
            <w14:solidFill>
              <w14:schemeClr w14:val="tx1"/>
            </w14:solidFill>
          </w14:textFill>
        </w:rPr>
        <w:t>招标代理服务费</w:t>
      </w:r>
    </w:p>
    <w:p w14:paraId="368300A2">
      <w:pPr>
        <w:spacing w:line="356" w:lineRule="auto"/>
        <w:ind w:firstLine="57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.1采购人与采购代理机构约定，由中标人支付招标代理服务费的，中标人在领取《中标通知书》之前，应向采购代理机构交纳招标代理服务费。</w:t>
      </w:r>
    </w:p>
    <w:p w14:paraId="5ABC245C">
      <w:pPr>
        <w:spacing w:line="356" w:lineRule="auto"/>
        <w:ind w:firstLine="57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.2 招标代理服务费依据《国家计委关于印发招标代理服务收费管理暂行办法的通知》（计价格〔2002〕1980号）和国家发展改革委办公厅《关于招标代理服务收费有关问题的通知》（发改办价格〔2003〕857号）文件规定标准的</w:t>
      </w:r>
      <w:r>
        <w:rPr>
          <w:rFonts w:ascii="宋体" w:hAnsi="宋体"/>
          <w:color w:val="000000" w:themeColor="text1"/>
          <w:szCs w:val="21"/>
          <w:highlight w:val="none"/>
          <w14:textFill>
            <w14:solidFill>
              <w14:schemeClr w14:val="tx1"/>
            </w14:solidFill>
          </w14:textFill>
        </w:rPr>
        <w:t>80%</w:t>
      </w:r>
      <w:r>
        <w:rPr>
          <w:rFonts w:hint="eastAsia" w:ascii="宋体" w:hAnsi="宋体"/>
          <w:color w:val="000000" w:themeColor="text1"/>
          <w:szCs w:val="21"/>
          <w:highlight w:val="none"/>
          <w14:textFill>
            <w14:solidFill>
              <w14:schemeClr w14:val="tx1"/>
            </w14:solidFill>
          </w14:textFill>
        </w:rPr>
        <w:t>收取。具体收费金额将在中标公告中公布。</w:t>
      </w:r>
    </w:p>
    <w:p w14:paraId="7ECBD1A2">
      <w:pPr>
        <w:spacing w:line="356" w:lineRule="auto"/>
        <w:ind w:firstLine="57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.3 招标代理服务费，中标人可以采取现金或者支票、银行汇票、电汇、网银等金融机构转账方式交纳。</w:t>
      </w:r>
    </w:p>
    <w:p w14:paraId="6C36297D">
      <w:pPr>
        <w:spacing w:line="360" w:lineRule="auto"/>
        <w:ind w:firstLine="573"/>
        <w:rPr>
          <w:rFonts w:hint="eastAsia"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.4 投标人须知前附表要求投标人提交投标保证金的，中标人不得用投标保证金冲抵，未按招标文件规定交纳招标代理服务费的，其投标保证金将被采购代理机构全额没收。</w:t>
      </w:r>
    </w:p>
    <w:p w14:paraId="74E28124">
      <w:pPr>
        <w:spacing w:line="356" w:lineRule="auto"/>
        <w:jc w:val="left"/>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12.</w:t>
      </w:r>
      <w:r>
        <w:rPr>
          <w:rFonts w:ascii="宋体" w:hAnsi="宋体"/>
          <w:b/>
          <w:color w:val="000000" w:themeColor="text1"/>
          <w:sz w:val="30"/>
          <w:szCs w:val="30"/>
          <w:highlight w:val="none"/>
          <w14:textFill>
            <w14:solidFill>
              <w14:schemeClr w14:val="tx1"/>
            </w14:solidFill>
          </w14:textFill>
        </w:rPr>
        <w:t>2</w:t>
      </w:r>
      <w:r>
        <w:rPr>
          <w:rFonts w:hint="eastAsia" w:ascii="宋体" w:hAnsi="宋体"/>
          <w:b/>
          <w:color w:val="000000" w:themeColor="text1"/>
          <w:sz w:val="30"/>
          <w:szCs w:val="30"/>
          <w:highlight w:val="none"/>
          <w14:textFill>
            <w14:solidFill>
              <w14:schemeClr w14:val="tx1"/>
            </w14:solidFill>
          </w14:textFill>
        </w:rPr>
        <w:t>录音录像</w:t>
      </w:r>
    </w:p>
    <w:p w14:paraId="30812F1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采购代理机构对开标、投标人资格审查和评标过程进行全程录音录像、文字记录，并存档备查。</w:t>
      </w:r>
    </w:p>
    <w:p w14:paraId="66F8B702">
      <w:pPr>
        <w:spacing w:line="356" w:lineRule="auto"/>
        <w:jc w:val="left"/>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12.3需要补充的其他内容</w:t>
      </w:r>
    </w:p>
    <w:p w14:paraId="6E91BB43">
      <w:pPr>
        <w:adjustRightInd w:val="0"/>
        <w:snapToGrid w:val="0"/>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招标文件需要补充的其</w:t>
      </w:r>
      <w:r>
        <w:rPr>
          <w:rFonts w:hint="eastAsia" w:ascii="宋体" w:hAnsi="宋体"/>
          <w:color w:val="000000" w:themeColor="text1"/>
          <w:szCs w:val="21"/>
          <w:highlight w:val="none"/>
          <w14:textFill>
            <w14:solidFill>
              <w14:schemeClr w14:val="tx1"/>
            </w14:solidFill>
          </w14:textFill>
        </w:rPr>
        <w:t>他内容见，投标人须知前附表。</w:t>
      </w:r>
    </w:p>
    <w:p w14:paraId="67C9FCFD">
      <w:pP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br w:type="page"/>
      </w:r>
    </w:p>
    <w:bookmarkEnd w:id="116"/>
    <w:p w14:paraId="4AFB554B">
      <w:pPr>
        <w:pStyle w:val="7"/>
        <w:spacing w:before="240" w:beforeLines="100" w:line="360" w:lineRule="auto"/>
        <w:ind w:firstLine="0"/>
        <w:jc w:val="center"/>
        <w:outlineLvl w:val="0"/>
        <w:rPr>
          <w:rFonts w:hint="eastAsia" w:ascii="黑体" w:hAnsi="宋体" w:eastAsia="黑体"/>
          <w:b/>
          <w:color w:val="000000" w:themeColor="text1"/>
          <w:kern w:val="44"/>
          <w:sz w:val="44"/>
          <w:szCs w:val="44"/>
          <w:highlight w:val="none"/>
          <w14:textFill>
            <w14:solidFill>
              <w14:schemeClr w14:val="tx1"/>
            </w14:solidFill>
          </w14:textFill>
        </w:rPr>
      </w:pPr>
      <w:bookmarkStart w:id="130" w:name="_Toc23413"/>
      <w:bookmarkStart w:id="131" w:name="_Toc18857"/>
      <w:bookmarkStart w:id="132" w:name="_Toc217446081"/>
      <w:r>
        <w:rPr>
          <w:rFonts w:hint="eastAsia" w:ascii="黑体" w:hAnsi="宋体" w:eastAsia="黑体"/>
          <w:b/>
          <w:color w:val="000000" w:themeColor="text1"/>
          <w:kern w:val="44"/>
          <w:sz w:val="44"/>
          <w:szCs w:val="44"/>
          <w:highlight w:val="none"/>
          <w14:textFill>
            <w14:solidFill>
              <w14:schemeClr w14:val="tx1"/>
            </w14:solidFill>
          </w14:textFill>
        </w:rPr>
        <w:t>第三章</w:t>
      </w:r>
      <w:bookmarkStart w:id="133" w:name="_Toc217446093"/>
      <w:r>
        <w:rPr>
          <w:rFonts w:hint="eastAsia" w:ascii="黑体" w:hAnsi="宋体" w:eastAsia="黑体"/>
          <w:b/>
          <w:color w:val="000000" w:themeColor="text1"/>
          <w:kern w:val="44"/>
          <w:sz w:val="44"/>
          <w:szCs w:val="44"/>
          <w:highlight w:val="none"/>
          <w14:textFill>
            <w14:solidFill>
              <w14:schemeClr w14:val="tx1"/>
            </w14:solidFill>
          </w14:textFill>
        </w:rPr>
        <w:t xml:space="preserve">  评标办法</w:t>
      </w:r>
      <w:bookmarkEnd w:id="130"/>
      <w:bookmarkEnd w:id="131"/>
    </w:p>
    <w:p w14:paraId="270400D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根据《中华人民共和国政府采购法》及实施条例等法律法规规定，结合采购项目特点制定本评标办法。</w:t>
      </w:r>
    </w:p>
    <w:p w14:paraId="5FA18688">
      <w:pPr>
        <w:spacing w:line="356" w:lineRule="auto"/>
        <w:outlineLvl w:val="1"/>
        <w:rPr>
          <w:rFonts w:hint="eastAsia" w:ascii="黑体" w:hAnsi="宋体" w:eastAsia="黑体"/>
          <w:b/>
          <w:color w:val="000000" w:themeColor="text1"/>
          <w:sz w:val="36"/>
          <w:szCs w:val="36"/>
          <w:highlight w:val="none"/>
          <w14:textFill>
            <w14:solidFill>
              <w14:schemeClr w14:val="tx1"/>
            </w14:solidFill>
          </w14:textFill>
        </w:rPr>
      </w:pPr>
      <w:bookmarkStart w:id="134" w:name="_Toc1679755897"/>
      <w:bookmarkStart w:id="135" w:name="_Toc26291"/>
      <w:bookmarkStart w:id="136" w:name="_Toc2495"/>
      <w:r>
        <w:rPr>
          <w:rFonts w:hint="eastAsia" w:ascii="黑体" w:hAnsi="宋体" w:eastAsia="黑体"/>
          <w:color w:val="000000" w:themeColor="text1"/>
          <w:sz w:val="36"/>
          <w:szCs w:val="36"/>
          <w:highlight w:val="none"/>
          <w14:textFill>
            <w14:solidFill>
              <w14:schemeClr w14:val="tx1"/>
            </w14:solidFill>
          </w14:textFill>
        </w:rPr>
        <w:t>1.</w:t>
      </w:r>
      <w:r>
        <w:rPr>
          <w:rFonts w:hint="eastAsia" w:ascii="黑体" w:hAnsi="宋体" w:eastAsia="黑体"/>
          <w:b/>
          <w:color w:val="000000" w:themeColor="text1"/>
          <w:sz w:val="36"/>
          <w:szCs w:val="36"/>
          <w:highlight w:val="none"/>
          <w14:textFill>
            <w14:solidFill>
              <w14:schemeClr w14:val="tx1"/>
            </w14:solidFill>
          </w14:textFill>
        </w:rPr>
        <w:t>评标程序</w:t>
      </w:r>
      <w:bookmarkEnd w:id="134"/>
      <w:bookmarkEnd w:id="135"/>
      <w:bookmarkEnd w:id="136"/>
    </w:p>
    <w:p w14:paraId="52B2F95B">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1.1评标按照下列程序进行：</w:t>
      </w:r>
    </w:p>
    <w:p w14:paraId="3714EBC1">
      <w:pPr>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（1）投标文件资格性审查；</w:t>
      </w:r>
    </w:p>
    <w:p w14:paraId="38A520D5">
      <w:pPr>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（2）投标文件符合性审查；</w:t>
      </w:r>
    </w:p>
    <w:p w14:paraId="31E95D6D">
      <w:pPr>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（3）异常低价投标审查：</w:t>
      </w:r>
    </w:p>
    <w:p w14:paraId="60B1F477">
      <w:pPr>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（4）投标文件澄清或说明（如有）；</w:t>
      </w:r>
    </w:p>
    <w:p w14:paraId="25FC5937">
      <w:pPr>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（5）投标文件比较与评价；</w:t>
      </w:r>
    </w:p>
    <w:p w14:paraId="5CF7609B">
      <w:pPr>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（6）复核与核对评标结果；</w:t>
      </w:r>
    </w:p>
    <w:p w14:paraId="1941FB0B">
      <w:pPr>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（7）确定中标候选人名单；</w:t>
      </w:r>
    </w:p>
    <w:p w14:paraId="13489B95">
      <w:pPr>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（8）编写评标报告。</w:t>
      </w:r>
    </w:p>
    <w:p w14:paraId="63855AA6">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1.2投标文件资格性审查</w:t>
      </w:r>
    </w:p>
    <w:p w14:paraId="0DF38300">
      <w:pPr>
        <w:spacing w:line="356" w:lineRule="auto"/>
        <w:ind w:firstLine="411" w:firstLineChars="19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详见第二章投标人须知3.1条</w:t>
      </w:r>
    </w:p>
    <w:p w14:paraId="51F551AB">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1.3 投标文件符合性审查</w:t>
      </w:r>
    </w:p>
    <w:p w14:paraId="4B4AEF94">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1.3.1 评标委员会依法对符合资格条件的投标人的投标文件进行符合性审查。以确定其是否对招标文件实质性内容作出响应，有无串通投标行为。</w:t>
      </w:r>
    </w:p>
    <w:p w14:paraId="14D5CE2B">
      <w:pPr>
        <w:spacing w:line="356" w:lineRule="auto"/>
        <w:ind w:firstLine="411" w:firstLineChars="196"/>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1.3.2 投标人</w:t>
      </w:r>
      <w:r>
        <w:rPr>
          <w:rFonts w:hint="eastAsia" w:ascii="宋体" w:cs="宋体"/>
          <w:bCs/>
          <w:color w:val="000000" w:themeColor="text1"/>
          <w:szCs w:val="21"/>
          <w:highlight w:val="none"/>
          <w14:textFill>
            <w14:solidFill>
              <w14:schemeClr w14:val="tx1"/>
            </w14:solidFill>
          </w14:textFill>
        </w:rPr>
        <w:t>若</w:t>
      </w:r>
      <w:r>
        <w:rPr>
          <w:rFonts w:hint="eastAsia" w:ascii="宋体" w:hAnsi="宋体" w:cs="宋体"/>
          <w:color w:val="000000" w:themeColor="text1"/>
          <w:kern w:val="0"/>
          <w:szCs w:val="21"/>
          <w:highlight w:val="none"/>
          <w14:textFill>
            <w14:solidFill>
              <w14:schemeClr w14:val="tx1"/>
            </w14:solidFill>
          </w14:textFill>
        </w:rPr>
        <w:t>有一项不合格，即判定其符合性审查结果为不合格，将不具备投标资格，</w:t>
      </w:r>
      <w:r>
        <w:rPr>
          <w:rFonts w:hint="eastAsia" w:ascii="宋体" w:hAnsi="宋体" w:cs="宋体"/>
          <w:b/>
          <w:color w:val="000000" w:themeColor="text1"/>
          <w:kern w:val="0"/>
          <w:szCs w:val="21"/>
          <w:highlight w:val="none"/>
          <w14:textFill>
            <w14:solidFill>
              <w14:schemeClr w14:val="tx1"/>
            </w14:solidFill>
          </w14:textFill>
        </w:rPr>
        <w:t>其投标无效</w:t>
      </w:r>
      <w:r>
        <w:rPr>
          <w:rFonts w:hint="eastAsia" w:ascii="宋体" w:hAnsi="宋体" w:cs="宋体"/>
          <w:color w:val="000000" w:themeColor="text1"/>
          <w:kern w:val="0"/>
          <w:szCs w:val="21"/>
          <w:highlight w:val="none"/>
          <w14:textFill>
            <w14:solidFill>
              <w14:schemeClr w14:val="tx1"/>
            </w14:solidFill>
          </w14:textFill>
        </w:rPr>
        <w:t>。</w:t>
      </w:r>
    </w:p>
    <w:tbl>
      <w:tblPr>
        <w:tblStyle w:val="31"/>
        <w:tblW w:w="101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
        <w:gridCol w:w="658"/>
        <w:gridCol w:w="3231"/>
        <w:gridCol w:w="5740"/>
      </w:tblGrid>
      <w:tr w14:paraId="0A747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84" w:type="dxa"/>
            <w:vAlign w:val="center"/>
          </w:tcPr>
          <w:p w14:paraId="69531372">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序号</w:t>
            </w:r>
          </w:p>
        </w:tc>
        <w:tc>
          <w:tcPr>
            <w:tcW w:w="3889" w:type="dxa"/>
            <w:gridSpan w:val="2"/>
            <w:vAlign w:val="center"/>
          </w:tcPr>
          <w:p w14:paraId="331DF5B9">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评审因素</w:t>
            </w:r>
          </w:p>
        </w:tc>
        <w:tc>
          <w:tcPr>
            <w:tcW w:w="5740" w:type="dxa"/>
            <w:vAlign w:val="center"/>
          </w:tcPr>
          <w:p w14:paraId="1F6896F8">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评审标准</w:t>
            </w:r>
          </w:p>
        </w:tc>
      </w:tr>
      <w:tr w14:paraId="6FB88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dxa"/>
            <w:vMerge w:val="restart"/>
            <w:vAlign w:val="center"/>
          </w:tcPr>
          <w:p w14:paraId="31EBC808">
            <w:pPr>
              <w:tabs>
                <w:tab w:val="left" w:pos="0"/>
              </w:tabs>
              <w:adjustRightInd w:val="0"/>
              <w:snapToGrid w:val="0"/>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658" w:type="dxa"/>
            <w:vMerge w:val="restart"/>
            <w:vAlign w:val="center"/>
          </w:tcPr>
          <w:p w14:paraId="3D65B7BE">
            <w:pPr>
              <w:tabs>
                <w:tab w:val="left" w:pos="0"/>
              </w:tabs>
              <w:adjustRightInd w:val="0"/>
              <w:snapToGrid w:val="0"/>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有效性审查</w:t>
            </w:r>
          </w:p>
        </w:tc>
        <w:tc>
          <w:tcPr>
            <w:tcW w:w="3231" w:type="dxa"/>
            <w:vAlign w:val="center"/>
          </w:tcPr>
          <w:p w14:paraId="0246CFE4">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（1）投标文件的签署盖章</w:t>
            </w:r>
          </w:p>
        </w:tc>
        <w:tc>
          <w:tcPr>
            <w:tcW w:w="5740" w:type="dxa"/>
            <w:vAlign w:val="center"/>
          </w:tcPr>
          <w:p w14:paraId="71A20576">
            <w:pPr>
              <w:pStyle w:val="1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投标函必须按照招标文件要求进行签署盖章。</w:t>
            </w:r>
          </w:p>
        </w:tc>
      </w:tr>
      <w:tr w14:paraId="1E3CE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84" w:type="dxa"/>
            <w:vMerge w:val="continue"/>
          </w:tcPr>
          <w:p w14:paraId="14977579">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11825A55">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50D02B45">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（2）投标文件格式</w:t>
            </w:r>
          </w:p>
        </w:tc>
        <w:tc>
          <w:tcPr>
            <w:tcW w:w="5740" w:type="dxa"/>
            <w:vAlign w:val="center"/>
          </w:tcPr>
          <w:p w14:paraId="5D18DF57">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应符合“投标文件格式”要求（不得因文件排序等非实质性的格式、形式问题限制和影响投标人响应)</w:t>
            </w:r>
          </w:p>
        </w:tc>
      </w:tr>
      <w:tr w14:paraId="5A695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84" w:type="dxa"/>
            <w:vMerge w:val="continue"/>
          </w:tcPr>
          <w:p w14:paraId="228F4782">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6DB714E6">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23A9B11F">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（3）报价唯一</w:t>
            </w:r>
          </w:p>
        </w:tc>
        <w:tc>
          <w:tcPr>
            <w:tcW w:w="5740" w:type="dxa"/>
            <w:vAlign w:val="center"/>
          </w:tcPr>
          <w:p w14:paraId="3FFCA597">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只能有一个有效报价，不得提交选择性报价，且报价不超过采购预算金额</w:t>
            </w:r>
          </w:p>
        </w:tc>
      </w:tr>
      <w:tr w14:paraId="73304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dxa"/>
            <w:vMerge w:val="continue"/>
          </w:tcPr>
          <w:p w14:paraId="1605637D">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67C67FE2">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4524FA43">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（4）不存在串通投标的情形</w:t>
            </w:r>
          </w:p>
        </w:tc>
        <w:tc>
          <w:tcPr>
            <w:tcW w:w="5740" w:type="dxa"/>
            <w:vAlign w:val="center"/>
          </w:tcPr>
          <w:p w14:paraId="36A1AB2A">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不存在</w:t>
            </w:r>
            <w:r>
              <w:rPr>
                <w:rFonts w:hint="eastAsia" w:ascii="宋体" w:hAnsi="宋体"/>
                <w:color w:val="000000" w:themeColor="text1"/>
                <w:szCs w:val="21"/>
                <w:highlight w:val="none"/>
                <w:lang w:val="en-US" w:eastAsia="zh-CN"/>
                <w14:textFill>
                  <w14:solidFill>
                    <w14:schemeClr w14:val="tx1"/>
                  </w14:solidFill>
                </w14:textFill>
              </w:rPr>
              <w:t>招标文件第三章</w:t>
            </w:r>
            <w:r>
              <w:rPr>
                <w:rFonts w:hint="eastAsia" w:ascii="宋体" w:hAnsi="宋体"/>
                <w:color w:val="000000" w:themeColor="text1"/>
                <w:szCs w:val="21"/>
                <w:highlight w:val="none"/>
                <w14:textFill>
                  <w14:solidFill>
                    <w14:schemeClr w14:val="tx1"/>
                  </w14:solidFill>
                </w14:textFill>
              </w:rPr>
              <w:t>第</w:t>
            </w:r>
            <w:r>
              <w:rPr>
                <w:rFonts w:hint="eastAsia" w:ascii="宋体" w:hAnsi="宋体"/>
                <w:color w:val="FF0000"/>
                <w:szCs w:val="21"/>
                <w:highlight w:val="none"/>
              </w:rPr>
              <w:t>1.</w:t>
            </w:r>
            <w:r>
              <w:rPr>
                <w:rFonts w:hint="eastAsia" w:ascii="宋体" w:hAnsi="宋体"/>
                <w:color w:val="FF0000"/>
                <w:szCs w:val="21"/>
                <w:highlight w:val="none"/>
                <w:lang w:val="en-US" w:eastAsia="zh-CN"/>
              </w:rPr>
              <w:t>3</w:t>
            </w:r>
            <w:r>
              <w:rPr>
                <w:rFonts w:hint="eastAsia" w:ascii="宋体" w:hAnsi="宋体"/>
                <w:color w:val="FF0000"/>
                <w:szCs w:val="21"/>
                <w:highlight w:val="none"/>
              </w:rPr>
              <w:t>.3</w:t>
            </w:r>
            <w:r>
              <w:rPr>
                <w:rFonts w:hint="eastAsia" w:ascii="宋体" w:hAnsi="宋体"/>
                <w:color w:val="000000" w:themeColor="text1"/>
                <w:szCs w:val="21"/>
                <w:highlight w:val="none"/>
                <w14:textFill>
                  <w14:solidFill>
                    <w14:schemeClr w14:val="tx1"/>
                  </w14:solidFill>
                </w14:textFill>
              </w:rPr>
              <w:t>条款</w:t>
            </w:r>
            <w:r>
              <w:rPr>
                <w:rFonts w:hint="eastAsia" w:ascii="宋体" w:hAnsi="宋体"/>
                <w:color w:val="000000" w:themeColor="text1"/>
                <w:szCs w:val="21"/>
                <w:highlight w:val="none"/>
                <w:lang w:val="en-US" w:eastAsia="zh-CN"/>
                <w14:textFill>
                  <w14:solidFill>
                    <w14:schemeClr w14:val="tx1"/>
                  </w14:solidFill>
                </w14:textFill>
              </w:rPr>
              <w:t>中</w:t>
            </w:r>
            <w:r>
              <w:rPr>
                <w:rFonts w:hint="eastAsia" w:ascii="宋体" w:hAnsi="宋体"/>
                <w:color w:val="000000" w:themeColor="text1"/>
                <w:szCs w:val="21"/>
                <w:highlight w:val="none"/>
                <w14:textFill>
                  <w14:solidFill>
                    <w14:schemeClr w14:val="tx1"/>
                  </w14:solidFill>
                </w14:textFill>
              </w:rPr>
              <w:t>规定的任何一种情形</w:t>
            </w:r>
          </w:p>
        </w:tc>
      </w:tr>
      <w:tr w14:paraId="0D377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84" w:type="dxa"/>
            <w:vMerge w:val="restart"/>
            <w:vAlign w:val="center"/>
          </w:tcPr>
          <w:p w14:paraId="1E2FBF11">
            <w:pPr>
              <w:tabs>
                <w:tab w:val="left" w:pos="0"/>
              </w:tabs>
              <w:adjustRightInd w:val="0"/>
              <w:snapToGrid w:val="0"/>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p>
        </w:tc>
        <w:tc>
          <w:tcPr>
            <w:tcW w:w="658" w:type="dxa"/>
            <w:vMerge w:val="restart"/>
            <w:vAlign w:val="center"/>
          </w:tcPr>
          <w:p w14:paraId="28C1ACD8">
            <w:pPr>
              <w:tabs>
                <w:tab w:val="left" w:pos="0"/>
              </w:tabs>
              <w:adjustRightInd w:val="0"/>
              <w:snapToGrid w:val="0"/>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完整性审查</w:t>
            </w:r>
          </w:p>
        </w:tc>
        <w:tc>
          <w:tcPr>
            <w:tcW w:w="3231" w:type="dxa"/>
            <w:vAlign w:val="center"/>
          </w:tcPr>
          <w:p w14:paraId="2910A0C1">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（5）投标文件份数</w:t>
            </w:r>
          </w:p>
        </w:tc>
        <w:tc>
          <w:tcPr>
            <w:tcW w:w="5740" w:type="dxa"/>
            <w:vAlign w:val="center"/>
          </w:tcPr>
          <w:p w14:paraId="7DF3CE1F">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应符合“投标人须知前附表”规定的正本、副本、电子文件数量</w:t>
            </w:r>
          </w:p>
        </w:tc>
      </w:tr>
      <w:tr w14:paraId="2778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dxa"/>
            <w:vMerge w:val="continue"/>
          </w:tcPr>
          <w:p w14:paraId="24ADB439">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36E7B8E3">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72ACAF8F">
            <w:pPr>
              <w:rPr>
                <w:rFonts w:hint="eastAsia" w:ascii="宋体" w:hAnsi="宋体"/>
                <w:color w:val="000000" w:themeColor="text1"/>
                <w:szCs w:val="21"/>
                <w:highlight w:val="none"/>
                <w14:textFill>
                  <w14:solidFill>
                    <w14:schemeClr w14:val="tx1"/>
                  </w14:solidFill>
                </w14:textFill>
              </w:rPr>
            </w:pPr>
            <w:r>
              <w:rPr>
                <w:rFonts w:hint="eastAsia" w:ascii="宋体" w:hAnsi="宋体"/>
                <w:color w:val="FF0000"/>
                <w:szCs w:val="21"/>
                <w:highlight w:val="none"/>
              </w:rPr>
              <w:t>（</w:t>
            </w:r>
            <w:r>
              <w:rPr>
                <w:rFonts w:hint="eastAsia" w:ascii="宋体" w:hAnsi="宋体"/>
                <w:color w:val="FF0000"/>
                <w:szCs w:val="21"/>
                <w:highlight w:val="none"/>
                <w:lang w:val="en-US" w:eastAsia="zh-CN"/>
              </w:rPr>
              <w:t>6</w:t>
            </w:r>
            <w:r>
              <w:rPr>
                <w:rFonts w:hint="eastAsia" w:ascii="宋体" w:hAnsi="宋体"/>
                <w:color w:val="FF0000"/>
                <w:szCs w:val="21"/>
                <w:highlight w:val="none"/>
              </w:rPr>
              <w:t>）电子文件</w:t>
            </w:r>
          </w:p>
        </w:tc>
        <w:tc>
          <w:tcPr>
            <w:tcW w:w="5740" w:type="dxa"/>
            <w:vAlign w:val="center"/>
          </w:tcPr>
          <w:p w14:paraId="65D7EBA5">
            <w:pPr>
              <w:rPr>
                <w:rFonts w:hint="default" w:ascii="宋体" w:hAnsi="宋体"/>
                <w:color w:val="000000" w:themeColor="text1"/>
                <w:szCs w:val="21"/>
                <w:highlight w:val="none"/>
                <w:lang w:val="en-US"/>
                <w14:textFill>
                  <w14:solidFill>
                    <w14:schemeClr w14:val="tx1"/>
                  </w14:solidFill>
                </w14:textFill>
              </w:rPr>
            </w:pPr>
            <w:r>
              <w:rPr>
                <w:rFonts w:hint="eastAsia" w:ascii="宋体" w:hAnsi="宋体"/>
                <w:color w:val="FF0000"/>
                <w:szCs w:val="21"/>
                <w:highlight w:val="none"/>
                <w:lang w:val="en-US" w:eastAsia="zh-CN"/>
              </w:rPr>
              <w:t>符合招标文件中的要求</w:t>
            </w:r>
          </w:p>
        </w:tc>
      </w:tr>
      <w:tr w14:paraId="4FDA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dxa"/>
            <w:vMerge w:val="restart"/>
            <w:vAlign w:val="center"/>
          </w:tcPr>
          <w:p w14:paraId="436F88E0">
            <w:pPr>
              <w:tabs>
                <w:tab w:val="left" w:pos="0"/>
              </w:tabs>
              <w:adjustRightInd w:val="0"/>
              <w:snapToGrid w:val="0"/>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658" w:type="dxa"/>
            <w:vMerge w:val="restart"/>
            <w:vAlign w:val="center"/>
          </w:tcPr>
          <w:p w14:paraId="28E2CF2B">
            <w:pPr>
              <w:tabs>
                <w:tab w:val="left" w:pos="0"/>
              </w:tabs>
              <w:adjustRightInd w:val="0"/>
              <w:snapToGrid w:val="0"/>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响应性审查</w:t>
            </w:r>
          </w:p>
        </w:tc>
        <w:tc>
          <w:tcPr>
            <w:tcW w:w="3231" w:type="dxa"/>
            <w:vAlign w:val="center"/>
          </w:tcPr>
          <w:p w14:paraId="20327DA3">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）投标文件内容</w:t>
            </w:r>
          </w:p>
        </w:tc>
        <w:tc>
          <w:tcPr>
            <w:tcW w:w="5740" w:type="dxa"/>
            <w:vAlign w:val="center"/>
          </w:tcPr>
          <w:p w14:paraId="4C0AA7F6">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投标文件内容齐全、无遗漏</w:t>
            </w:r>
          </w:p>
        </w:tc>
      </w:tr>
      <w:tr w14:paraId="7A6E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dxa"/>
            <w:vMerge w:val="continue"/>
          </w:tcPr>
          <w:p w14:paraId="08F071AE">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0B45C5FA">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0EC8D048">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）对招标文件响应程度</w:t>
            </w:r>
          </w:p>
        </w:tc>
        <w:tc>
          <w:tcPr>
            <w:tcW w:w="5740" w:type="dxa"/>
            <w:vAlign w:val="center"/>
          </w:tcPr>
          <w:p w14:paraId="48EB0012">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要求全面响应，不能有任何采购人不能接受的附加条件</w:t>
            </w:r>
          </w:p>
        </w:tc>
      </w:tr>
      <w:tr w14:paraId="5B9F8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dxa"/>
            <w:vMerge w:val="continue"/>
          </w:tcPr>
          <w:p w14:paraId="7D87FCDB">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64FC5B10">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403E583E">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）采购需求</w:t>
            </w:r>
          </w:p>
        </w:tc>
        <w:tc>
          <w:tcPr>
            <w:tcW w:w="5740" w:type="dxa"/>
            <w:vAlign w:val="center"/>
          </w:tcPr>
          <w:p w14:paraId="32CC1DCA">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应满足招标文件提出的采购需求</w:t>
            </w:r>
          </w:p>
        </w:tc>
      </w:tr>
      <w:tr w14:paraId="73A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dxa"/>
            <w:vMerge w:val="continue"/>
          </w:tcPr>
          <w:p w14:paraId="12A456D2">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45A36545">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2870DDA3">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）工期</w:t>
            </w:r>
          </w:p>
        </w:tc>
        <w:tc>
          <w:tcPr>
            <w:tcW w:w="5740" w:type="dxa"/>
            <w:vAlign w:val="center"/>
          </w:tcPr>
          <w:p w14:paraId="0CF37A54">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应满足招标文件中要求的工期</w:t>
            </w:r>
          </w:p>
        </w:tc>
      </w:tr>
      <w:tr w14:paraId="69B8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dxa"/>
            <w:vMerge w:val="continue"/>
          </w:tcPr>
          <w:p w14:paraId="27190993">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06912126">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08B172FE">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）工程质量</w:t>
            </w:r>
          </w:p>
        </w:tc>
        <w:tc>
          <w:tcPr>
            <w:tcW w:w="5740" w:type="dxa"/>
            <w:vAlign w:val="center"/>
          </w:tcPr>
          <w:p w14:paraId="1A9538FE">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应满足招标文件中要求的工程质量</w:t>
            </w:r>
          </w:p>
        </w:tc>
      </w:tr>
      <w:tr w14:paraId="2C7A8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dxa"/>
            <w:vMerge w:val="continue"/>
          </w:tcPr>
          <w:p w14:paraId="573E4439">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0ACC1EC5">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53C519CC">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）质量保修期</w:t>
            </w:r>
          </w:p>
        </w:tc>
        <w:tc>
          <w:tcPr>
            <w:tcW w:w="5740" w:type="dxa"/>
            <w:vAlign w:val="center"/>
          </w:tcPr>
          <w:p w14:paraId="5C79172A">
            <w:pPr>
              <w:rPr>
                <w:rFonts w:hint="eastAsia" w:ascii="仿宋_GB2312" w:hAnsi="仿宋_GB2312" w:eastAsia="仿宋_GB2312" w:cs="仿宋_GB2312"/>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应满足招标文件中规定的质量保修期</w:t>
            </w:r>
          </w:p>
        </w:tc>
      </w:tr>
      <w:tr w14:paraId="65A0B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dxa"/>
            <w:vMerge w:val="continue"/>
          </w:tcPr>
          <w:p w14:paraId="72A52FD9">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46297ABD">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40567582">
            <w:pPr>
              <w:rPr>
                <w:rFonts w:hint="eastAsia" w:ascii="宋体" w:hAnsi="宋体"/>
                <w:color w:val="FF0000"/>
                <w:szCs w:val="21"/>
                <w:highlight w:val="none"/>
              </w:rPr>
            </w:pPr>
            <w:r>
              <w:rPr>
                <w:rFonts w:hint="eastAsia" w:ascii="宋体" w:hAnsi="宋体"/>
                <w:color w:val="FF0000"/>
                <w:szCs w:val="21"/>
                <w:highlight w:val="none"/>
              </w:rPr>
              <w:t>（1</w:t>
            </w:r>
            <w:r>
              <w:rPr>
                <w:rFonts w:hint="eastAsia" w:ascii="宋体" w:hAnsi="宋体"/>
                <w:color w:val="FF0000"/>
                <w:szCs w:val="21"/>
                <w:highlight w:val="none"/>
                <w:lang w:val="en-US" w:eastAsia="zh-CN"/>
              </w:rPr>
              <w:t>3</w:t>
            </w:r>
            <w:r>
              <w:rPr>
                <w:rFonts w:hint="eastAsia" w:ascii="宋体" w:hAnsi="宋体"/>
                <w:color w:val="FF0000"/>
                <w:szCs w:val="21"/>
                <w:highlight w:val="none"/>
              </w:rPr>
              <w:t>）</w:t>
            </w:r>
            <w:r>
              <w:rPr>
                <w:rFonts w:hint="eastAsia" w:ascii="仿宋_GB2312" w:hAnsi="仿宋_GB2312" w:eastAsia="仿宋_GB2312" w:cs="仿宋_GB2312"/>
                <w:color w:val="FF0000"/>
                <w:highlight w:val="none"/>
              </w:rPr>
              <w:t>已标价工程量清单</w:t>
            </w:r>
          </w:p>
        </w:tc>
        <w:tc>
          <w:tcPr>
            <w:tcW w:w="5740" w:type="dxa"/>
            <w:vAlign w:val="center"/>
          </w:tcPr>
          <w:p w14:paraId="4FE6D5B1">
            <w:pPr>
              <w:rPr>
                <w:rFonts w:hint="eastAsia" w:ascii="宋体" w:hAnsi="宋体"/>
                <w:color w:val="FF0000"/>
                <w:szCs w:val="21"/>
                <w:highlight w:val="none"/>
              </w:rPr>
            </w:pPr>
            <w:r>
              <w:rPr>
                <w:rFonts w:hint="eastAsia" w:ascii="宋体" w:hAnsi="宋体"/>
                <w:color w:val="FF0000"/>
                <w:szCs w:val="21"/>
                <w:highlight w:val="none"/>
              </w:rPr>
              <w:t>符合第五章“工程量清单”给出的子目编码、子目名称、子目特征、计量单位和工程量</w:t>
            </w:r>
          </w:p>
        </w:tc>
      </w:tr>
      <w:tr w14:paraId="62B8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84" w:type="dxa"/>
            <w:vMerge w:val="continue"/>
          </w:tcPr>
          <w:p w14:paraId="626C1BC4">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687220EB">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7D65B4BA">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）投标有效期</w:t>
            </w:r>
          </w:p>
        </w:tc>
        <w:tc>
          <w:tcPr>
            <w:tcW w:w="5740" w:type="dxa"/>
            <w:vAlign w:val="center"/>
          </w:tcPr>
          <w:p w14:paraId="41D35036">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应满足招标文件中的规定</w:t>
            </w:r>
          </w:p>
        </w:tc>
      </w:tr>
      <w:tr w14:paraId="530F1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84" w:type="dxa"/>
            <w:vMerge w:val="continue"/>
          </w:tcPr>
          <w:p w14:paraId="2F27F67A">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509BAB26">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78F98A5F">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）权利义务</w:t>
            </w:r>
          </w:p>
        </w:tc>
        <w:tc>
          <w:tcPr>
            <w:tcW w:w="5740" w:type="dxa"/>
            <w:vAlign w:val="center"/>
          </w:tcPr>
          <w:p w14:paraId="441873A8">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符合第五章“政府采购合同格式”条款中实质性要求和条件</w:t>
            </w:r>
          </w:p>
        </w:tc>
      </w:tr>
      <w:tr w14:paraId="4484C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4" w:type="dxa"/>
            <w:vMerge w:val="continue"/>
          </w:tcPr>
          <w:p w14:paraId="0CAB0173">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658" w:type="dxa"/>
            <w:vMerge w:val="continue"/>
          </w:tcPr>
          <w:p w14:paraId="6234AA04">
            <w:pPr>
              <w:tabs>
                <w:tab w:val="left" w:pos="0"/>
              </w:tabs>
              <w:adjustRightInd w:val="0"/>
              <w:snapToGrid w:val="0"/>
              <w:spacing w:line="360" w:lineRule="auto"/>
              <w:rPr>
                <w:rFonts w:hint="eastAsia" w:ascii="宋体" w:hAnsi="宋体"/>
                <w:color w:val="000000" w:themeColor="text1"/>
                <w:szCs w:val="21"/>
                <w:highlight w:val="none"/>
                <w14:textFill>
                  <w14:solidFill>
                    <w14:schemeClr w14:val="tx1"/>
                  </w14:solidFill>
                </w14:textFill>
              </w:rPr>
            </w:pPr>
          </w:p>
        </w:tc>
        <w:tc>
          <w:tcPr>
            <w:tcW w:w="3231" w:type="dxa"/>
            <w:vAlign w:val="center"/>
          </w:tcPr>
          <w:p w14:paraId="196B44E1">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）投标保证金</w:t>
            </w:r>
          </w:p>
        </w:tc>
        <w:tc>
          <w:tcPr>
            <w:tcW w:w="5740" w:type="dxa"/>
            <w:vAlign w:val="center"/>
          </w:tcPr>
          <w:p w14:paraId="433E3505">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应满足招标文件中的要求</w:t>
            </w:r>
          </w:p>
        </w:tc>
      </w:tr>
    </w:tbl>
    <w:p w14:paraId="37CFBBFB">
      <w:pPr>
        <w:spacing w:line="356" w:lineRule="auto"/>
        <w:ind w:firstLine="422" w:firstLineChars="200"/>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1.3.3有下列情形之一的，视为投标人相互串通投标，投标无效：</w:t>
      </w:r>
    </w:p>
    <w:p w14:paraId="376B4CB3">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（1）不同投标人的投标文件由同一单位或者个人编制；</w:t>
      </w:r>
    </w:p>
    <w:p w14:paraId="2A6A3191">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（2）不同投标人委托同一单位或者个人办理投标事宜；</w:t>
      </w:r>
    </w:p>
    <w:p w14:paraId="46FC468A">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（3）不同投标人的投标文件载明的项目管理成员为同一人；</w:t>
      </w:r>
    </w:p>
    <w:p w14:paraId="572B052E">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（4）不同投标人的投标文件异常一致或者投标报价呈规律性差异；</w:t>
      </w:r>
    </w:p>
    <w:p w14:paraId="3756698F">
      <w:pPr>
        <w:spacing w:line="356"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（5）不同投标人的投标文件相互混装。</w:t>
      </w:r>
    </w:p>
    <w:p w14:paraId="464D5387">
      <w:pPr>
        <w:spacing w:line="356" w:lineRule="auto"/>
        <w:ind w:firstLine="413" w:firstLineChars="196"/>
        <w:rPr>
          <w:rFonts w:hint="eastAsia" w:ascii="宋体" w:hAnsi="宋体"/>
          <w:b/>
          <w:bCs/>
          <w:color w:val="FF0000"/>
          <w:sz w:val="21"/>
          <w:szCs w:val="21"/>
          <w:highlight w:val="none"/>
          <w:lang w:val="en-US" w:eastAsia="zh-CN"/>
        </w:rPr>
      </w:pPr>
      <w:r>
        <w:rPr>
          <w:rFonts w:hint="eastAsia" w:ascii="宋体" w:hAnsi="宋体"/>
          <w:b/>
          <w:bCs/>
          <w:color w:val="FF0000"/>
          <w:sz w:val="21"/>
          <w:szCs w:val="21"/>
          <w:highlight w:val="none"/>
        </w:rPr>
        <w:t>1.3.</w:t>
      </w:r>
      <w:r>
        <w:rPr>
          <w:rFonts w:hint="eastAsia" w:ascii="宋体" w:hAnsi="宋体"/>
          <w:b/>
          <w:bCs/>
          <w:color w:val="FF0000"/>
          <w:sz w:val="21"/>
          <w:szCs w:val="21"/>
          <w:highlight w:val="none"/>
          <w:lang w:val="en-US" w:eastAsia="zh-CN"/>
        </w:rPr>
        <w:t>4在不改变投标人投标文件实质性内容的前提下，评标委员会应当对投标人的已标价工程量清单(电子投标书)进行基础性数据分析和整理(简称为“清标”),从而发现并提取其中可能存在的对招标范围理解的偏差、投标报价的算术性错误、取费错误、错漏項等存在明显异常的问题，并就这些问題整理形成清标成果。清标工作可以在评标工作开始之前完成，清标成果是评标委员会的工作成果，应当经过评标委员会的确认。</w:t>
      </w:r>
    </w:p>
    <w:p w14:paraId="7F40064F">
      <w:pPr>
        <w:spacing w:line="356" w:lineRule="auto"/>
        <w:ind w:firstLine="413" w:firstLineChars="196"/>
        <w:rPr>
          <w:rFonts w:hint="eastAsia" w:ascii="宋体" w:hAnsi="宋体"/>
          <w:b/>
          <w:bCs/>
          <w:color w:val="FF0000"/>
          <w:sz w:val="21"/>
          <w:szCs w:val="21"/>
          <w:highlight w:val="none"/>
        </w:rPr>
      </w:pPr>
      <w:r>
        <w:rPr>
          <w:rFonts w:hint="eastAsia" w:ascii="宋体" w:hAnsi="宋体"/>
          <w:b/>
          <w:bCs/>
          <w:color w:val="FF0000"/>
          <w:sz w:val="21"/>
          <w:szCs w:val="21"/>
          <w:highlight w:val="none"/>
          <w:lang w:val="en-US" w:eastAsia="zh-CN"/>
        </w:rPr>
        <w:t>投标人的已标价工程量清单(电子投标书)有下列情形之一的，由评标委员会确认后否决其投标，其投标作无效投标处理</w:t>
      </w:r>
      <w:r>
        <w:rPr>
          <w:rFonts w:hint="eastAsia" w:ascii="宋体" w:hAnsi="宋体"/>
          <w:b/>
          <w:bCs/>
          <w:color w:val="FF0000"/>
          <w:sz w:val="21"/>
          <w:szCs w:val="21"/>
          <w:highlight w:val="none"/>
        </w:rPr>
        <w:t>：</w:t>
      </w:r>
    </w:p>
    <w:p w14:paraId="61F22E37">
      <w:pPr>
        <w:spacing w:line="356" w:lineRule="auto"/>
        <w:ind w:firstLine="411" w:firstLineChars="196"/>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（1）</w:t>
      </w:r>
      <w:r>
        <w:rPr>
          <w:rFonts w:hint="eastAsia" w:ascii="宋体" w:hAnsi="宋体" w:eastAsia="宋体" w:cs="宋体"/>
          <w:color w:val="FF0000"/>
          <w:sz w:val="21"/>
          <w:szCs w:val="21"/>
          <w:highlight w:val="none"/>
          <w:lang w:val="en-US" w:eastAsia="zh-CN"/>
        </w:rPr>
        <w:t>投标人的已标价工程量清单</w:t>
      </w:r>
      <w:r>
        <w:rPr>
          <w:rFonts w:hint="eastAsia" w:ascii="宋体" w:hAnsi="宋体" w:cs="宋体"/>
          <w:color w:val="FF0000"/>
          <w:sz w:val="21"/>
          <w:szCs w:val="21"/>
          <w:highlight w:val="none"/>
          <w:lang w:val="en-US" w:eastAsia="zh-CN"/>
        </w:rPr>
        <w:t>(纸质版)</w:t>
      </w:r>
      <w:r>
        <w:rPr>
          <w:rFonts w:hint="eastAsia" w:ascii="宋体" w:hAnsi="宋体" w:eastAsia="宋体" w:cs="宋体"/>
          <w:color w:val="FF0000"/>
          <w:sz w:val="21"/>
          <w:szCs w:val="21"/>
          <w:highlight w:val="none"/>
          <w:lang w:val="en-US" w:eastAsia="zh-CN"/>
        </w:rPr>
        <w:t>未按要求进行签署盖章(①.已标价工程量清单的扉页(仅指投标总价扉页)应由注册在本单位的造价人员签字并盖执业印章；②已标价工程量清单的扉页(仅指投标总价扉页)，由受托第三方咨询公司编制的，扉页由受托咨询公司的注册造价师签字并盖执业印章，同时提供与受托第三方咨询公司委托咨询合同)的</w:t>
      </w:r>
      <w:r>
        <w:rPr>
          <w:rFonts w:hint="eastAsia" w:ascii="宋体" w:hAnsi="宋体" w:eastAsia="宋体" w:cs="宋体"/>
          <w:color w:val="FF0000"/>
          <w:sz w:val="21"/>
          <w:szCs w:val="21"/>
          <w:highlight w:val="none"/>
        </w:rPr>
        <w:t>；</w:t>
      </w:r>
    </w:p>
    <w:p w14:paraId="605D779A">
      <w:pPr>
        <w:spacing w:line="356" w:lineRule="auto"/>
        <w:ind w:firstLine="411" w:firstLineChars="196"/>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（2）投标人擅自改动招标人提供的工程量清单内容的；</w:t>
      </w:r>
    </w:p>
    <w:p w14:paraId="45CC1F29">
      <w:pPr>
        <w:spacing w:line="356" w:lineRule="auto"/>
        <w:ind w:firstLine="411" w:firstLineChars="196"/>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（3）投标人的已标价工程量清单不符合招标文件给出的范围和数量；</w:t>
      </w:r>
    </w:p>
    <w:p w14:paraId="6BDEB16B">
      <w:pPr>
        <w:spacing w:line="356" w:lineRule="auto"/>
        <w:ind w:firstLine="411" w:firstLineChars="196"/>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（4）投标人的暂列金额、专业工程暂估价、暂估单价等(如有)未按招标文件要求对进行报价的；</w:t>
      </w:r>
    </w:p>
    <w:p w14:paraId="44DC103E">
      <w:pPr>
        <w:spacing w:line="356" w:lineRule="auto"/>
        <w:ind w:firstLine="411" w:firstLineChars="196"/>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rPr>
        <w:t>（5）不同投标人</w:t>
      </w:r>
      <w:r>
        <w:rPr>
          <w:rFonts w:hint="eastAsia" w:ascii="宋体" w:hAnsi="宋体" w:eastAsia="宋体" w:cs="宋体"/>
          <w:color w:val="FF0000"/>
          <w:sz w:val="21"/>
          <w:szCs w:val="21"/>
          <w:highlight w:val="none"/>
          <w:lang w:val="en-US" w:eastAsia="zh-CN"/>
        </w:rPr>
        <w:t>的电子投标书</w:t>
      </w:r>
      <w:r>
        <w:rPr>
          <w:rFonts w:hint="eastAsia" w:ascii="宋体" w:hAnsi="宋体" w:eastAsia="宋体" w:cs="宋体"/>
          <w:color w:val="FF0000"/>
          <w:sz w:val="21"/>
          <w:szCs w:val="21"/>
          <w:highlight w:val="none"/>
        </w:rPr>
        <w:t>加密锁号重复</w:t>
      </w:r>
      <w:r>
        <w:rPr>
          <w:rFonts w:hint="eastAsia" w:ascii="宋体" w:hAnsi="宋体" w:eastAsia="宋体" w:cs="宋体"/>
          <w:color w:val="FF0000"/>
          <w:sz w:val="21"/>
          <w:szCs w:val="21"/>
          <w:highlight w:val="none"/>
          <w:lang w:val="en-US" w:eastAsia="zh-CN"/>
        </w:rPr>
        <w:t>或</w:t>
      </w:r>
      <w:r>
        <w:rPr>
          <w:rFonts w:hint="eastAsia" w:ascii="宋体" w:hAnsi="宋体" w:eastAsia="宋体" w:cs="宋体"/>
          <w:color w:val="FF0000"/>
          <w:sz w:val="21"/>
          <w:szCs w:val="21"/>
          <w:highlight w:val="none"/>
        </w:rPr>
        <w:t>MAC地址一致</w:t>
      </w:r>
      <w:r>
        <w:rPr>
          <w:rFonts w:hint="eastAsia" w:ascii="宋体" w:hAnsi="宋体" w:eastAsia="宋体" w:cs="宋体"/>
          <w:color w:val="FF0000"/>
          <w:sz w:val="21"/>
          <w:szCs w:val="21"/>
          <w:highlight w:val="none"/>
          <w:lang w:val="en-US" w:eastAsia="zh-CN"/>
        </w:rPr>
        <w:t>的；</w:t>
      </w:r>
    </w:p>
    <w:p w14:paraId="1BC369EB">
      <w:pPr>
        <w:spacing w:line="356" w:lineRule="auto"/>
        <w:ind w:firstLine="411" w:firstLineChars="196"/>
        <w:rPr>
          <w:rFonts w:hint="eastAsia" w:ascii="宋体" w:hAnsi="宋体"/>
          <w:b/>
          <w:bCs/>
          <w:color w:val="FF0000"/>
          <w:sz w:val="21"/>
          <w:szCs w:val="21"/>
          <w:highlight w:val="none"/>
          <w:lang w:eastAsia="zh-CN"/>
        </w:rPr>
      </w:pPr>
      <w:r>
        <w:rPr>
          <w:rFonts w:hint="eastAsia" w:ascii="宋体" w:hAnsi="宋体" w:eastAsia="宋体" w:cs="宋体"/>
          <w:color w:val="FF0000"/>
          <w:sz w:val="21"/>
          <w:szCs w:val="21"/>
          <w:highlight w:val="none"/>
        </w:rPr>
        <w:t>（</w:t>
      </w:r>
      <w:r>
        <w:rPr>
          <w:rFonts w:hint="eastAsia" w:ascii="宋体" w:hAnsi="宋体" w:eastAsia="宋体" w:cs="宋体"/>
          <w:color w:val="FF0000"/>
          <w:sz w:val="21"/>
          <w:szCs w:val="21"/>
          <w:highlight w:val="none"/>
          <w:lang w:val="en-US" w:eastAsia="zh-CN"/>
        </w:rPr>
        <w:t>6</w:t>
      </w:r>
      <w:r>
        <w:rPr>
          <w:rFonts w:hint="eastAsia" w:ascii="宋体" w:hAnsi="宋体" w:eastAsia="宋体" w:cs="宋体"/>
          <w:color w:val="FF0000"/>
          <w:sz w:val="21"/>
          <w:szCs w:val="21"/>
          <w:highlight w:val="none"/>
        </w:rPr>
        <w:t>）</w:t>
      </w:r>
      <w:r>
        <w:rPr>
          <w:rFonts w:hint="eastAsia" w:ascii="宋体" w:hAnsi="宋体" w:eastAsia="宋体" w:cs="宋体"/>
          <w:color w:val="FF0000"/>
          <w:sz w:val="21"/>
          <w:szCs w:val="21"/>
          <w:highlight w:val="none"/>
          <w:lang w:val="en-US" w:eastAsia="zh-CN"/>
        </w:rPr>
        <w:t>投标人的电子投标书中存在</w:t>
      </w:r>
      <w:r>
        <w:rPr>
          <w:rFonts w:hint="eastAsia" w:ascii="宋体" w:hAnsi="宋体" w:eastAsia="宋体" w:cs="宋体"/>
          <w:color w:val="FF0000"/>
          <w:sz w:val="21"/>
          <w:szCs w:val="21"/>
          <w:highlight w:val="none"/>
        </w:rPr>
        <w:t>其他串通投标或弄虚作假或其他违法行为的。</w:t>
      </w:r>
    </w:p>
    <w:p w14:paraId="51C57A2E">
      <w:pPr>
        <w:spacing w:line="356"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1.4 异常低价投标审查</w:t>
      </w:r>
    </w:p>
    <w:tbl>
      <w:tblPr>
        <w:tblStyle w:val="31"/>
        <w:tblW w:w="52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1278"/>
        <w:gridCol w:w="5735"/>
        <w:gridCol w:w="1953"/>
      </w:tblGrid>
      <w:tr w14:paraId="6889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9636" w:type="dxa"/>
            <w:gridSpan w:val="4"/>
            <w:tcBorders>
              <w:bottom w:val="single" w:color="auto" w:sz="4" w:space="0"/>
            </w:tcBorders>
            <w:vAlign w:val="center"/>
          </w:tcPr>
          <w:p w14:paraId="1FED2AA1">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异常低价投标审查表</w:t>
            </w:r>
          </w:p>
        </w:tc>
      </w:tr>
      <w:tr w14:paraId="2CE26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70" w:type="dxa"/>
            <w:tcBorders>
              <w:bottom w:val="single" w:color="auto" w:sz="4" w:space="0"/>
            </w:tcBorders>
            <w:vAlign w:val="center"/>
          </w:tcPr>
          <w:p w14:paraId="6E199687">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序号</w:t>
            </w:r>
          </w:p>
        </w:tc>
        <w:tc>
          <w:tcPr>
            <w:tcW w:w="1278" w:type="dxa"/>
            <w:tcBorders>
              <w:bottom w:val="single" w:color="auto" w:sz="4" w:space="0"/>
            </w:tcBorders>
            <w:vAlign w:val="center"/>
          </w:tcPr>
          <w:p w14:paraId="66B0BCEA">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评审指标</w:t>
            </w:r>
          </w:p>
        </w:tc>
        <w:tc>
          <w:tcPr>
            <w:tcW w:w="5735" w:type="dxa"/>
            <w:tcBorders>
              <w:bottom w:val="single" w:color="auto" w:sz="4" w:space="0"/>
            </w:tcBorders>
            <w:vAlign w:val="center"/>
          </w:tcPr>
          <w:p w14:paraId="254C5139">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评审标准</w:t>
            </w:r>
          </w:p>
        </w:tc>
        <w:tc>
          <w:tcPr>
            <w:tcW w:w="1953" w:type="dxa"/>
            <w:tcBorders>
              <w:bottom w:val="single" w:color="auto" w:sz="4" w:space="0"/>
            </w:tcBorders>
            <w:vAlign w:val="center"/>
          </w:tcPr>
          <w:p w14:paraId="7BD4C6FA">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格式及材料要求</w:t>
            </w:r>
          </w:p>
        </w:tc>
      </w:tr>
      <w:tr w14:paraId="57F1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670" w:type="dxa"/>
            <w:tcBorders>
              <w:bottom w:val="single" w:color="auto" w:sz="4" w:space="0"/>
            </w:tcBorders>
            <w:vAlign w:val="center"/>
          </w:tcPr>
          <w:p w14:paraId="054D1D4B">
            <w:pPr>
              <w:spacing w:line="360" w:lineRule="auto"/>
              <w:ind w:firstLine="210" w:firstLineChars="1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1278" w:type="dxa"/>
            <w:tcBorders>
              <w:bottom w:val="single" w:color="auto" w:sz="4" w:space="0"/>
            </w:tcBorders>
            <w:vAlign w:val="center"/>
          </w:tcPr>
          <w:p w14:paraId="7A69669D">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异常低价投标审查</w:t>
            </w:r>
          </w:p>
        </w:tc>
        <w:tc>
          <w:tcPr>
            <w:tcW w:w="5735" w:type="dxa"/>
            <w:tcBorders>
              <w:bottom w:val="single" w:color="auto" w:sz="4" w:space="0"/>
            </w:tcBorders>
            <w:vAlign w:val="center"/>
          </w:tcPr>
          <w:p w14:paraId="389280DC">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（1）投标报价＜全部通过符合性审查投标人投标报价平均值×</w:t>
            </w:r>
            <w:r>
              <w:rPr>
                <w:rFonts w:hint="eastAsia" w:ascii="宋体" w:hAnsi="宋体" w:cs="宋体"/>
                <w:color w:val="000000" w:themeColor="text1"/>
                <w:szCs w:val="21"/>
                <w:highlight w:val="none"/>
                <w:u w:val="single"/>
                <w14:textFill>
                  <w14:solidFill>
                    <w14:schemeClr w14:val="tx1"/>
                  </w14:solidFill>
                </w14:textFill>
              </w:rPr>
              <w:t>65%</w:t>
            </w:r>
            <w:r>
              <w:rPr>
                <w:rFonts w:hint="eastAsia" w:ascii="宋体" w:hAnsi="宋体" w:cs="宋体"/>
                <w:color w:val="000000" w:themeColor="text1"/>
                <w:szCs w:val="21"/>
                <w:highlight w:val="none"/>
                <w14:textFill>
                  <w14:solidFill>
                    <w14:schemeClr w14:val="tx1"/>
                  </w14:solidFill>
                </w14:textFill>
              </w:rPr>
              <w:t>；</w:t>
            </w:r>
          </w:p>
          <w:p w14:paraId="67663A15">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（2）投标报价＜通过符合性审查的次低报价投标人投标报价×</w:t>
            </w:r>
            <w:r>
              <w:rPr>
                <w:rFonts w:hint="eastAsia" w:ascii="宋体" w:hAnsi="宋体" w:cs="宋体"/>
                <w:color w:val="000000" w:themeColor="text1"/>
                <w:szCs w:val="21"/>
                <w:highlight w:val="none"/>
                <w:u w:val="single"/>
                <w14:textFill>
                  <w14:solidFill>
                    <w14:schemeClr w14:val="tx1"/>
                  </w14:solidFill>
                </w14:textFill>
              </w:rPr>
              <w:t>65%</w:t>
            </w:r>
            <w:r>
              <w:rPr>
                <w:rFonts w:hint="eastAsia" w:ascii="宋体" w:hAnsi="宋体" w:cs="宋体"/>
                <w:color w:val="000000" w:themeColor="text1"/>
                <w:szCs w:val="21"/>
                <w:highlight w:val="none"/>
                <w14:textFill>
                  <w14:solidFill>
                    <w14:schemeClr w14:val="tx1"/>
                  </w14:solidFill>
                </w14:textFill>
              </w:rPr>
              <w:t>；</w:t>
            </w:r>
          </w:p>
          <w:p w14:paraId="57CF2061">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（3）投标报价＜采购项目最高限价（如采购项目未设定最高限价的，以采购项目预算金额作为最高限价）×</w:t>
            </w:r>
            <w:r>
              <w:rPr>
                <w:rFonts w:hint="eastAsia" w:ascii="宋体" w:hAnsi="宋体" w:cs="宋体"/>
                <w:color w:val="000000" w:themeColor="text1"/>
                <w:szCs w:val="21"/>
                <w:highlight w:val="none"/>
                <w:u w:val="single"/>
                <w14:textFill>
                  <w14:solidFill>
                    <w14:schemeClr w14:val="tx1"/>
                  </w14:solidFill>
                </w14:textFill>
              </w:rPr>
              <w:t>65%</w:t>
            </w:r>
            <w:r>
              <w:rPr>
                <w:rFonts w:hint="eastAsia" w:ascii="宋体" w:hAnsi="宋体" w:cs="宋体"/>
                <w:color w:val="000000" w:themeColor="text1"/>
                <w:szCs w:val="21"/>
                <w:highlight w:val="none"/>
                <w14:textFill>
                  <w14:solidFill>
                    <w14:schemeClr w14:val="tx1"/>
                  </w14:solidFill>
                </w14:textFill>
              </w:rPr>
              <w:t>；</w:t>
            </w:r>
          </w:p>
          <w:p w14:paraId="401A0088">
            <w:pPr>
              <w:pStyle w:val="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（4）评标委员会基于专业判断，认为投标人报价过低，有可能影响产品质量或者不能诚信履约的其他情形。</w:t>
            </w:r>
          </w:p>
          <w:p w14:paraId="40932C56">
            <w:pPr>
              <w:pStyle w:val="1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提醒：</w:t>
            </w:r>
          </w:p>
          <w:p w14:paraId="6918AB4B">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上述</w:t>
            </w:r>
            <w:r>
              <w:rPr>
                <w:rFonts w:hint="eastAsia" w:ascii="宋体" w:hAnsi="宋体" w:cs="Arial"/>
                <w:color w:val="000000" w:themeColor="text1"/>
                <w:szCs w:val="21"/>
                <w:highlight w:val="none"/>
                <w14:textFill>
                  <w14:solidFill>
                    <w14:schemeClr w14:val="tx1"/>
                  </w14:solidFill>
                </w14:textFill>
              </w:rPr>
              <w:t>第（1）项数值计算：涉及总价、单价的</w:t>
            </w:r>
            <w:r>
              <w:rPr>
                <w:rFonts w:hint="eastAsia" w:ascii="宋体" w:hAnsi="宋体"/>
                <w:color w:val="000000" w:themeColor="text1"/>
                <w:szCs w:val="21"/>
                <w:highlight w:val="none"/>
                <w14:textFill>
                  <w14:solidFill>
                    <w14:schemeClr w14:val="tx1"/>
                  </w14:solidFill>
                </w14:textFill>
              </w:rPr>
              <w:t>精确到“分”并四舍五入，涉及费率的精确到小数点后两位，第三位四舍五入（例：如平均值为123.456元，即为123.46元；如平均值为80.126%，即为80.13%）。</w:t>
            </w:r>
          </w:p>
        </w:tc>
        <w:tc>
          <w:tcPr>
            <w:tcW w:w="1953" w:type="dxa"/>
            <w:vAlign w:val="center"/>
          </w:tcPr>
          <w:p w14:paraId="72704418">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投标人在评审现场合理的时间内对投标价格作出解释，提供项目具体成本测算等与报价合理性相关的书面说明及必要的证明材料，包括但不限于原材料成本、人工成本、制造费用等。</w:t>
            </w:r>
          </w:p>
        </w:tc>
      </w:tr>
    </w:tbl>
    <w:p w14:paraId="5DB69BC6">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1.4.1根据《关于推动解决政府采购异常低价问题的通知》（财库〔2026〕2号），采购人可以结合具体项目实际情况，提高上述评审标准第（1）项至第（3）项中的数值标准，但是最高不得超过65%。</w:t>
      </w:r>
    </w:p>
    <w:p w14:paraId="4182EFD1">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1.4.2评标委员会启动异常低价投标审查后，属于评审标准中第（1）项至第（4）项情形的，应当要求相关投标人在评审现场合理的时间内（不少于30分钟）对投标价格作出解释，提供项目具体成本测算等与报价合理性相关的书面说明及必要的证明材料，包括但不限于原材料成本、人工成本、制造费用等。其中，属于第（3）项情形，投标人已随投标文件一并提交相关书面说明及必要的证明材料的，在评审现场可不再重复提交。</w:t>
      </w:r>
    </w:p>
    <w:p w14:paraId="57370C8D">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w:t>
      </w:r>
      <w:r>
        <w:rPr>
          <w:rFonts w:hint="eastAsia" w:ascii="宋体" w:hAnsi="宋体" w:cs="宋体"/>
          <w:b/>
          <w:bCs/>
          <w:color w:val="000000" w:themeColor="text1"/>
          <w:szCs w:val="21"/>
          <w:highlight w:val="none"/>
          <w14:textFill>
            <w14:solidFill>
              <w14:schemeClr w14:val="tx1"/>
            </w14:solidFill>
          </w14:textFill>
        </w:rPr>
        <w:t>无效投标处理</w:t>
      </w:r>
      <w:r>
        <w:rPr>
          <w:rFonts w:hint="eastAsia" w:ascii="宋体" w:hAnsi="宋体" w:cs="宋体"/>
          <w:color w:val="000000" w:themeColor="text1"/>
          <w:szCs w:val="21"/>
          <w:highlight w:val="none"/>
          <w14:textFill>
            <w14:solidFill>
              <w14:schemeClr w14:val="tx1"/>
            </w14:solidFill>
          </w14:textFill>
        </w:rPr>
        <w:t>。</w:t>
      </w:r>
    </w:p>
    <w:p w14:paraId="75E95F13">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1.4.4评标委员会借助互联网等渠道查询相关信息的，应当严格遵守评审工作纪律，不得实施影响评审公正的行为。异常低价响应审查的启动原因、审查意见和审查结果应当在评审报告中记录，并随投标人提供的相关书面说明及证明材料，以及评标委员会有关互联网浏览、查询历史一并归档。</w:t>
      </w:r>
    </w:p>
    <w:p w14:paraId="14F164A6">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1.4.5在评标过程中，发现评标委员会未按规定对异常低价开展审查的，采购人、采购代理机构应当予以纠正，拒不改正的，应当及时报告同级财政部门。 </w:t>
      </w:r>
    </w:p>
    <w:p w14:paraId="0BAEFAD1">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1.4.6评标委员会未按规定对异常低价开展审查的，财政部门依法予以纠正并追究评审专家的法律责任。</w:t>
      </w:r>
    </w:p>
    <w:p w14:paraId="52D8D47A">
      <w:pPr>
        <w:spacing w:line="356"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1.5投标文件的澄清</w:t>
      </w:r>
    </w:p>
    <w:p w14:paraId="635C4122">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1.5.1对于投标文件中含义不明确、同类问题表述不一致或者有明显文字和计算错误的内容，可以以书面形式要求投标人作出必要的澄清、说明或者补正。</w:t>
      </w:r>
    </w:p>
    <w:p w14:paraId="653B9602">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1.5.2投标人的澄清、说明或者补正应当采用书面形式，并加盖单位公章，或者由其法定代表人或其委托代理人签名。投标人的澄清、说明或者补正不得超出投标文件的范围或者改变投标文件的实质性内容，并构成为投标文件的组成部分。</w:t>
      </w:r>
    </w:p>
    <w:p w14:paraId="39F6B0B4">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1.5.3对投标人提交的澄清、说明或者补正有疑问的，可以要求投标人进一步澄清、说明或者补正，直至满足评标委员会的要求。</w:t>
      </w:r>
    </w:p>
    <w:p w14:paraId="47E5CB66">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1.5.4 评标委员会不得暗示或诱导投标人作出澄清、说明或者更正，不得接受投标人主动提出的澄清、说明或者补正。</w:t>
      </w:r>
    </w:p>
    <w:p w14:paraId="55B8D202">
      <w:pPr>
        <w:spacing w:line="356" w:lineRule="auto"/>
        <w:jc w:val="lef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1.6 投标文件比较与评价</w:t>
      </w:r>
    </w:p>
    <w:p w14:paraId="2E5D7B48">
      <w:pPr>
        <w:tabs>
          <w:tab w:val="left" w:pos="0"/>
        </w:tabs>
        <w:adjustRightInd w:val="0"/>
        <w:snapToGrid w:val="0"/>
        <w:spacing w:line="356"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 </w:t>
      </w:r>
      <w:r>
        <w:rPr>
          <w:rFonts w:hint="eastAsia" w:ascii="宋体" w:hAnsi="宋体" w:cs="宋体"/>
          <w:bCs/>
          <w:color w:val="000000" w:themeColor="text1"/>
          <w:szCs w:val="21"/>
          <w:highlight w:val="none"/>
          <w14:textFill>
            <w14:solidFill>
              <w14:schemeClr w14:val="tx1"/>
            </w14:solidFill>
          </w14:textFill>
        </w:rPr>
        <w:t>评标委员会应按照招标文件中规定的评标方法</w:t>
      </w:r>
      <w:r>
        <w:rPr>
          <w:rFonts w:hint="eastAsia" w:ascii="宋体" w:hAnsi="宋体" w:cs="宋体"/>
          <w:color w:val="000000" w:themeColor="text1"/>
          <w:szCs w:val="21"/>
          <w:highlight w:val="none"/>
          <w14:textFill>
            <w14:solidFill>
              <w14:schemeClr w14:val="tx1"/>
            </w14:solidFill>
          </w14:textFill>
        </w:rPr>
        <w:t>和标准，</w:t>
      </w:r>
      <w:r>
        <w:rPr>
          <w:rFonts w:hint="eastAsia" w:ascii="宋体" w:hAnsi="宋体" w:cs="宋体"/>
          <w:bCs/>
          <w:color w:val="000000" w:themeColor="text1"/>
          <w:szCs w:val="21"/>
          <w:highlight w:val="none"/>
          <w14:textFill>
            <w14:solidFill>
              <w14:schemeClr w14:val="tx1"/>
            </w14:solidFill>
          </w14:textFill>
        </w:rPr>
        <w:t>对</w:t>
      </w:r>
      <w:r>
        <w:rPr>
          <w:rFonts w:hint="eastAsia" w:ascii="宋体" w:hAnsi="宋体" w:cs="宋体"/>
          <w:color w:val="000000" w:themeColor="text1"/>
          <w:szCs w:val="21"/>
          <w:highlight w:val="none"/>
          <w14:textFill>
            <w14:solidFill>
              <w14:schemeClr w14:val="tx1"/>
            </w14:solidFill>
          </w14:textFill>
        </w:rPr>
        <w:t>符合性检查</w:t>
      </w:r>
      <w:r>
        <w:rPr>
          <w:rFonts w:hint="eastAsia" w:ascii="宋体" w:hAnsi="宋体" w:cs="宋体"/>
          <w:bCs/>
          <w:color w:val="000000" w:themeColor="text1"/>
          <w:szCs w:val="21"/>
          <w:highlight w:val="none"/>
          <w14:textFill>
            <w14:solidFill>
              <w14:schemeClr w14:val="tx1"/>
            </w14:solidFill>
          </w14:textFill>
        </w:rPr>
        <w:t>通过的投标文件进行商务和技术评估，综合比较与评价。</w:t>
      </w:r>
    </w:p>
    <w:p w14:paraId="534F49DA">
      <w:pPr>
        <w:pStyle w:val="16"/>
        <w:adjustRightInd w:val="0"/>
        <w:snapToGrid w:val="0"/>
        <w:spacing w:line="356" w:lineRule="auto"/>
        <w:ind w:firstLine="420" w:firstLineChars="200"/>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1.6.2 </w:t>
      </w:r>
      <w:r>
        <w:rPr>
          <w:rFonts w:hint="eastAsia" w:hAnsi="宋体" w:cs="宋体"/>
          <w:bCs/>
          <w:color w:val="000000" w:themeColor="text1"/>
          <w:highlight w:val="none"/>
          <w14:textFill>
            <w14:solidFill>
              <w14:schemeClr w14:val="tx1"/>
            </w14:solidFill>
          </w14:textFill>
        </w:rPr>
        <w:t>评标委员会将综合分析投标人的各项评审因素，而不以单项评审因素的优劣评选出中标人。对所有投标人的投标评价，都采用相同的程序和标准，严格按照招标文件的要求和条件进行。</w:t>
      </w:r>
    </w:p>
    <w:p w14:paraId="23D12217">
      <w:pPr>
        <w:spacing w:line="356" w:lineRule="auto"/>
        <w:ind w:firstLine="411" w:firstLineChars="19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1.6.3 如果投标文件没有实质性响应招标文件的要求，评标委员会将予以拒绝。投标人不得通过修正或撤销不合要求的偏离或保留，从而使其投标成为实质性响应的投标。</w:t>
      </w:r>
    </w:p>
    <w:p w14:paraId="2915836E">
      <w:pPr>
        <w:spacing w:line="356"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1.7 复核与核对评标结果</w:t>
      </w:r>
    </w:p>
    <w:p w14:paraId="395FD9D8">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1.7.1 评分汇总结束后，评标委员会应当进行复核，特别要对拟推荐中标候选人的投标文件、报价最低的投标文件、被认定无效的投标文件进行重点复核。</w:t>
      </w:r>
    </w:p>
    <w:p w14:paraId="2D3506DE">
      <w:pPr>
        <w:pStyle w:val="54"/>
        <w:spacing w:line="356" w:lineRule="auto"/>
        <w:ind w:firstLine="420" w:firstLineChars="2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1.7.2 评标结果汇总完成后，评标报告签署前，招标代理机构应当</w:t>
      </w:r>
      <w:r>
        <w:rPr>
          <w:rFonts w:hint="eastAsia" w:ascii="宋体" w:hAnsi="宋体" w:cs="宋体"/>
          <w:bCs/>
          <w:color w:val="000000" w:themeColor="text1"/>
          <w:highlight w:val="none"/>
          <w14:textFill>
            <w14:solidFill>
              <w14:schemeClr w14:val="tx1"/>
            </w14:solidFill>
          </w14:textFill>
        </w:rPr>
        <w:t>核对评标结果，</w:t>
      </w:r>
      <w:r>
        <w:rPr>
          <w:rFonts w:hint="eastAsia" w:ascii="宋体" w:hAnsi="宋体" w:cs="宋体"/>
          <w:color w:val="000000" w:themeColor="text1"/>
          <w:highlight w:val="none"/>
          <w14:textFill>
            <w14:solidFill>
              <w14:schemeClr w14:val="tx1"/>
            </w14:solidFill>
          </w14:textFill>
        </w:rPr>
        <w:t>除下列情形外，任何人不得修改评标结果：</w:t>
      </w:r>
    </w:p>
    <w:p w14:paraId="66552C7E">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（1）分值汇总计算错误的；</w:t>
      </w:r>
    </w:p>
    <w:p w14:paraId="6C98C04D">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（2）分项评分超出评分标准范围的；</w:t>
      </w:r>
    </w:p>
    <w:p w14:paraId="3B1644B5">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（3）评标委员会对客观评审因素评分不一致的；</w:t>
      </w:r>
    </w:p>
    <w:p w14:paraId="60569B9C">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（4）经评标委员会认定评分畸高、畸低的。</w:t>
      </w:r>
    </w:p>
    <w:p w14:paraId="759C90ED">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经复核发现存在以上情形之一的，评标委员会应当当场修改评标结果，并在评标报告中记载。</w:t>
      </w:r>
    </w:p>
    <w:p w14:paraId="1270CB76">
      <w:pPr>
        <w:spacing w:line="356"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1.8 确定中标候选人名单</w:t>
      </w:r>
    </w:p>
    <w:p w14:paraId="0C3A2EFC">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评标委员会按照综合得分由高到低的顺序，在评标报告中推荐的3个中标候选人。</w:t>
      </w:r>
    </w:p>
    <w:p w14:paraId="2F29271B">
      <w:pPr>
        <w:spacing w:line="356"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1.9 编写评标报告</w:t>
      </w:r>
    </w:p>
    <w:p w14:paraId="58CDFB11">
      <w:pPr>
        <w:spacing w:line="356" w:lineRule="auto"/>
        <w:ind w:firstLine="48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1.9.1 评标委员会编写评标报告并向采购人出具。评标报告应当包括以下内容：</w:t>
      </w:r>
    </w:p>
    <w:p w14:paraId="7125A738">
      <w:pPr>
        <w:widowControl/>
        <w:spacing w:line="356" w:lineRule="auto"/>
        <w:ind w:firstLine="420" w:firstLineChars="20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（1）招标公告刊登的媒体名称、开标日期和地点；</w:t>
      </w:r>
    </w:p>
    <w:p w14:paraId="4C8D0CB3">
      <w:pPr>
        <w:widowControl/>
        <w:spacing w:line="356"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（2）投标人名单、评标委员会成员名单；</w:t>
      </w:r>
    </w:p>
    <w:p w14:paraId="5A2D0485">
      <w:pPr>
        <w:widowControl/>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（3）评标方法和标准；</w:t>
      </w:r>
    </w:p>
    <w:p w14:paraId="0C1345D3">
      <w:pPr>
        <w:widowControl/>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（4）公开报价情况；</w:t>
      </w:r>
    </w:p>
    <w:p w14:paraId="5A6A6B85">
      <w:pPr>
        <w:widowControl/>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（5）投标文件审查情况，包括无效投标人名单及原因；</w:t>
      </w:r>
    </w:p>
    <w:p w14:paraId="3FABAC2D">
      <w:pPr>
        <w:widowControl/>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（6）综合评审打分情况；</w:t>
      </w:r>
    </w:p>
    <w:p w14:paraId="37F9128A">
      <w:pPr>
        <w:widowControl/>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（7）评标结果，确定的中标候选人名单</w:t>
      </w:r>
      <w:r>
        <w:rPr>
          <w:rFonts w:ascii="Arial" w:hAnsi="Arial" w:cs="Arial"/>
          <w:color w:val="000000" w:themeColor="text1"/>
          <w:highlight w:val="none"/>
          <w14:textFill>
            <w14:solidFill>
              <w14:schemeClr w14:val="tx1"/>
            </w14:solidFill>
          </w14:textFill>
        </w:rPr>
        <w:t>或者经采购人委托直接确定的中标人</w:t>
      </w:r>
      <w:r>
        <w:rPr>
          <w:rFonts w:hint="eastAsia" w:ascii="宋体" w:hAnsi="宋体" w:cs="宋体"/>
          <w:color w:val="000000" w:themeColor="text1"/>
          <w:kern w:val="0"/>
          <w:szCs w:val="21"/>
          <w:highlight w:val="none"/>
          <w14:textFill>
            <w14:solidFill>
              <w14:schemeClr w14:val="tx1"/>
            </w14:solidFill>
          </w14:textFill>
        </w:rPr>
        <w:t>；</w:t>
      </w:r>
    </w:p>
    <w:p w14:paraId="694909F4">
      <w:pPr>
        <w:widowControl/>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w:t>
      </w:r>
      <w:r>
        <w:rPr>
          <w:rFonts w:ascii="Arial" w:hAnsi="Arial" w:cs="Arial"/>
          <w:color w:val="000000" w:themeColor="text1"/>
          <w:highlight w:val="none"/>
          <w14:textFill>
            <w14:solidFill>
              <w14:schemeClr w14:val="tx1"/>
            </w14:solidFill>
          </w14:textFill>
        </w:rPr>
        <w:t>其他需要说明的情况，包括评标过程中投标人根据评标委员会要求进行的澄清、说明或者补正，评标委员会成员的更换等。</w:t>
      </w:r>
    </w:p>
    <w:p w14:paraId="320FBCF8">
      <w:pPr>
        <w:widowControl/>
        <w:spacing w:line="356" w:lineRule="auto"/>
        <w:ind w:firstLine="48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1.9.2 评标委员会成员应当对评标报告予以签名确认，对评标过程有不同意见的，应当在评标报告中写明并说明理由。签名但未写明不同意见或者未说明理由的，视同无意见。拒不签名又未另行书面说明其不同意见和理由的，视同同意评标报告。</w:t>
      </w:r>
    </w:p>
    <w:p w14:paraId="20D13C14">
      <w:pPr>
        <w:spacing w:line="356" w:lineRule="auto"/>
        <w:outlineLvl w:val="1"/>
        <w:rPr>
          <w:rFonts w:hint="eastAsia" w:ascii="黑体" w:hAnsi="宋体" w:eastAsia="黑体"/>
          <w:b/>
          <w:color w:val="000000" w:themeColor="text1"/>
          <w:sz w:val="36"/>
          <w:szCs w:val="36"/>
          <w:highlight w:val="none"/>
          <w14:textFill>
            <w14:solidFill>
              <w14:schemeClr w14:val="tx1"/>
            </w14:solidFill>
          </w14:textFill>
        </w:rPr>
      </w:pPr>
      <w:bookmarkStart w:id="137" w:name="_Toc5623"/>
      <w:bookmarkStart w:id="138" w:name="_Toc837337417"/>
      <w:bookmarkStart w:id="139" w:name="_Toc17607"/>
      <w:r>
        <w:rPr>
          <w:rFonts w:hint="eastAsia" w:ascii="黑体" w:hAnsi="宋体" w:eastAsia="黑体"/>
          <w:b/>
          <w:color w:val="000000" w:themeColor="text1"/>
          <w:sz w:val="36"/>
          <w:szCs w:val="36"/>
          <w:highlight w:val="none"/>
          <w14:textFill>
            <w14:solidFill>
              <w14:schemeClr w14:val="tx1"/>
            </w14:solidFill>
          </w14:textFill>
        </w:rPr>
        <w:t>2.评标方法</w:t>
      </w:r>
      <w:bookmarkEnd w:id="137"/>
      <w:bookmarkEnd w:id="138"/>
      <w:bookmarkEnd w:id="139"/>
    </w:p>
    <w:p w14:paraId="15FA97C5">
      <w:pPr>
        <w:spacing w:line="356"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2.1综合评分法</w:t>
      </w:r>
    </w:p>
    <w:p w14:paraId="499D2580">
      <w:pPr>
        <w:pStyle w:val="7"/>
        <w:spacing w:line="356" w:lineRule="auto"/>
        <w:ind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2.1.1 投标人须知前附表规定综合评分法的，适用本条款。</w:t>
      </w:r>
    </w:p>
    <w:p w14:paraId="2CB47D89">
      <w:pPr>
        <w:pStyle w:val="7"/>
        <w:spacing w:line="356" w:lineRule="auto"/>
        <w:ind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2.1.2 综合评分法，即</w:t>
      </w:r>
      <w:r>
        <w:rPr>
          <w:rFonts w:hint="eastAsia" w:ascii="宋体" w:hAnsi="宋体" w:cs="宋体"/>
          <w:color w:val="000000" w:themeColor="text1"/>
          <w:kern w:val="0"/>
          <w:szCs w:val="21"/>
          <w:highlight w:val="none"/>
          <w14:textFill>
            <w14:solidFill>
              <w14:schemeClr w14:val="tx1"/>
            </w14:solidFill>
          </w14:textFill>
        </w:rPr>
        <w:t>投标文件满足招标文件全部实质性要求，且按照评审因素的量化指标评审得分最高的投标人为中标候选人的评标方法。</w:t>
      </w:r>
    </w:p>
    <w:p w14:paraId="2340C90A">
      <w:pPr>
        <w:tabs>
          <w:tab w:val="left" w:pos="0"/>
        </w:tabs>
        <w:adjustRightInd w:val="0"/>
        <w:snapToGrid w:val="0"/>
        <w:spacing w:line="356" w:lineRule="auto"/>
        <w:ind w:firstLine="422" w:firstLineChars="200"/>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2.1.3 评审因素</w:t>
      </w:r>
    </w:p>
    <w:p w14:paraId="076D371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本采购项目评审因素和标准见“综合评分明细表”，评审因素不得包括第三章规定的投标人资格条件。</w:t>
      </w:r>
    </w:p>
    <w:p w14:paraId="03E61DA9">
      <w:pPr>
        <w:spacing w:line="356" w:lineRule="auto"/>
        <w:ind w:firstLine="422"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2.1.4 投标报价评价</w:t>
      </w:r>
    </w:p>
    <w:p w14:paraId="2E0C7C64">
      <w:pPr>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投标人的价格分，按照财库〔2020〕46号文件的规定，采用低价优先法计算，以本次满足招标文件要求的</w:t>
      </w:r>
      <w:r>
        <w:rPr>
          <w:rFonts w:hint="eastAsia" w:ascii="宋体" w:hAnsi="宋体"/>
          <w:b/>
          <w:color w:val="000000" w:themeColor="text1"/>
          <w:szCs w:val="21"/>
          <w:highlight w:val="none"/>
          <w14:textFill>
            <w14:solidFill>
              <w14:schemeClr w14:val="tx1"/>
            </w14:solidFill>
          </w14:textFill>
        </w:rPr>
        <w:t>最低</w:t>
      </w:r>
      <w:r>
        <w:rPr>
          <w:rFonts w:hint="eastAsia" w:ascii="宋体" w:hAnsi="宋体" w:cs="宋体"/>
          <w:b/>
          <w:color w:val="000000" w:themeColor="text1"/>
          <w:szCs w:val="21"/>
          <w:highlight w:val="none"/>
          <w14:textFill>
            <w14:solidFill>
              <w14:schemeClr w14:val="tx1"/>
            </w14:solidFill>
          </w14:textFill>
        </w:rPr>
        <w:t>投标报价为</w:t>
      </w:r>
      <w:r>
        <w:rPr>
          <w:rFonts w:hint="eastAsia" w:ascii="宋体" w:hAnsi="宋体"/>
          <w:b/>
          <w:color w:val="000000" w:themeColor="text1"/>
          <w:szCs w:val="21"/>
          <w:highlight w:val="none"/>
          <w14:textFill>
            <w14:solidFill>
              <w14:schemeClr w14:val="tx1"/>
            </w14:solidFill>
          </w14:textFill>
        </w:rPr>
        <w:t>评标基准价</w:t>
      </w: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其报价得分为满分</w:t>
      </w:r>
      <w:r>
        <w:rPr>
          <w:rFonts w:hint="eastAsia" w:ascii="宋体" w:hAnsi="宋体"/>
          <w:color w:val="000000" w:themeColor="text1"/>
          <w:szCs w:val="21"/>
          <w:highlight w:val="none"/>
          <w14:textFill>
            <w14:solidFill>
              <w14:schemeClr w14:val="tx1"/>
            </w14:solidFill>
          </w14:textFill>
        </w:rPr>
        <w:t>。投标人的价格分，统一按照下列公式</w:t>
      </w:r>
      <w:r>
        <w:rPr>
          <w:rFonts w:hint="eastAsia" w:ascii="宋体" w:hAnsi="宋体"/>
          <w:bCs/>
          <w:color w:val="000000" w:themeColor="text1"/>
          <w:szCs w:val="21"/>
          <w:highlight w:val="none"/>
          <w14:textFill>
            <w14:solidFill>
              <w14:schemeClr w14:val="tx1"/>
            </w14:solidFill>
          </w14:textFill>
        </w:rPr>
        <w:t>计算：</w:t>
      </w:r>
    </w:p>
    <w:p w14:paraId="300CD14F">
      <w:pPr>
        <w:spacing w:line="356" w:lineRule="auto"/>
        <w:ind w:firstLine="1054" w:firstLineChars="50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投标报价得分=(评标基准价／投标报价)×45</w:t>
      </w:r>
    </w:p>
    <w:p w14:paraId="76C69A63">
      <w:pPr>
        <w:pStyle w:val="18"/>
        <w:widowControl/>
        <w:tabs>
          <w:tab w:val="left" w:pos="1506"/>
        </w:tabs>
        <w:adjustRightInd w:val="0"/>
        <w:snapToGrid w:val="0"/>
        <w:spacing w:line="356" w:lineRule="auto"/>
        <w:ind w:firstLine="413" w:firstLineChars="196"/>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2.1.5 评审总得分</w:t>
      </w:r>
    </w:p>
    <w:p w14:paraId="3C1DCE3D">
      <w:pPr>
        <w:pStyle w:val="18"/>
        <w:widowControl/>
        <w:tabs>
          <w:tab w:val="left" w:pos="1506"/>
        </w:tabs>
        <w:adjustRightInd w:val="0"/>
        <w:snapToGrid w:val="0"/>
        <w:spacing w:line="356" w:lineRule="auto"/>
        <w:ind w:firstLine="735" w:firstLineChars="350"/>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2.1.5.1评标委员会成员应当独立对每个投标人的投标文件进行评价，并汇总每个投标人的得分，</w:t>
      </w:r>
      <w:r>
        <w:rPr>
          <w:rFonts w:hint="eastAsia" w:ascii="宋体" w:hAnsi="宋体"/>
          <w:color w:val="000000" w:themeColor="text1"/>
          <w:sz w:val="21"/>
          <w:szCs w:val="21"/>
          <w:highlight w:val="none"/>
          <w14:textFill>
            <w14:solidFill>
              <w14:schemeClr w14:val="tx1"/>
            </w14:solidFill>
          </w14:textFill>
        </w:rPr>
        <w:t>每个投标人的最终得分为所有评标委员会成员评分的算术平均值。</w:t>
      </w:r>
    </w:p>
    <w:p w14:paraId="5E7DC0D1">
      <w:pPr>
        <w:spacing w:line="356" w:lineRule="auto"/>
        <w:ind w:firstLine="1052" w:firstLineChars="499"/>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评审总得分＝F1＋F2＋……＋Fn</w:t>
      </w:r>
    </w:p>
    <w:p w14:paraId="195AF6C8">
      <w:pPr>
        <w:pStyle w:val="18"/>
        <w:widowControl/>
        <w:tabs>
          <w:tab w:val="left" w:pos="1506"/>
        </w:tabs>
        <w:adjustRightInd w:val="0"/>
        <w:snapToGrid w:val="0"/>
        <w:spacing w:line="356" w:lineRule="auto"/>
        <w:ind w:firstLine="1052" w:firstLineChars="499"/>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F1、F2……Fn分别为各项评审因素的汇总得分</w:t>
      </w:r>
    </w:p>
    <w:p w14:paraId="51BA1CDD">
      <w:pPr>
        <w:pStyle w:val="18"/>
        <w:widowControl/>
        <w:tabs>
          <w:tab w:val="left" w:pos="1506"/>
        </w:tabs>
        <w:adjustRightInd w:val="0"/>
        <w:snapToGrid w:val="0"/>
        <w:spacing w:line="356" w:lineRule="auto"/>
        <w:ind w:firstLine="735" w:firstLineChars="350"/>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2.1.5.2评标过程中，不得去掉有效投标中的最高报价和最低报价。</w:t>
      </w:r>
      <w:r>
        <w:rPr>
          <w:rFonts w:hint="eastAsia" w:ascii="宋体" w:hAnsi="宋体"/>
          <w:color w:val="000000" w:themeColor="text1"/>
          <w:sz w:val="21"/>
          <w:szCs w:val="21"/>
          <w:highlight w:val="none"/>
          <w14:textFill>
            <w14:solidFill>
              <w14:schemeClr w14:val="tx1"/>
            </w14:solidFill>
          </w14:textFill>
        </w:rPr>
        <w:t xml:space="preserve"> </w:t>
      </w:r>
    </w:p>
    <w:p w14:paraId="6BF22BB1">
      <w:pPr>
        <w:tabs>
          <w:tab w:val="left" w:pos="7665"/>
        </w:tabs>
        <w:spacing w:line="356" w:lineRule="auto"/>
        <w:ind w:firstLine="422" w:firstLineChars="200"/>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2.1.6</w:t>
      </w:r>
      <w:r>
        <w:rPr>
          <w:rFonts w:hint="eastAsia" w:ascii="宋体"/>
          <w:b/>
          <w:color w:val="000000" w:themeColor="text1"/>
          <w:szCs w:val="21"/>
          <w:highlight w:val="none"/>
          <w14:textFill>
            <w14:solidFill>
              <w14:schemeClr w14:val="tx1"/>
            </w14:solidFill>
          </w14:textFill>
        </w:rPr>
        <w:t>综合评分明细表</w:t>
      </w:r>
    </w:p>
    <w:p w14:paraId="4483043C">
      <w:pPr>
        <w:tabs>
          <w:tab w:val="left" w:pos="7665"/>
        </w:tabs>
        <w:spacing w:line="356" w:lineRule="auto"/>
        <w:ind w:firstLine="735" w:firstLineChars="3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2.1.6.1 综合评分明细表的制定以科学合理、评审因素与量化指标相对应为原则。</w:t>
      </w:r>
    </w:p>
    <w:p w14:paraId="71465107">
      <w:pPr>
        <w:tabs>
          <w:tab w:val="left" w:pos="7665"/>
        </w:tabs>
        <w:spacing w:line="356" w:lineRule="auto"/>
        <w:ind w:firstLine="735" w:firstLineChars="3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2.1.6.2 综合评分明细表如下：</w:t>
      </w:r>
    </w:p>
    <w:p w14:paraId="319F7494">
      <w:pPr>
        <w:tabs>
          <w:tab w:val="left" w:pos="7665"/>
        </w:tabs>
        <w:spacing w:line="360" w:lineRule="auto"/>
        <w:jc w:val="center"/>
        <w:outlineLvl w:val="1"/>
        <w:rPr>
          <w:rFonts w:hint="eastAsia" w:ascii="黑体" w:hAnsi="宋体" w:eastAsia="黑体"/>
          <w:color w:val="000000" w:themeColor="text1"/>
          <w:sz w:val="32"/>
          <w:szCs w:val="32"/>
          <w:highlight w:val="none"/>
          <w14:textFill>
            <w14:solidFill>
              <w14:schemeClr w14:val="tx1"/>
            </w14:solidFill>
          </w14:textFill>
        </w:rPr>
      </w:pPr>
      <w:bookmarkStart w:id="140" w:name="_Toc669628728"/>
      <w:bookmarkStart w:id="141" w:name="_Toc21648"/>
      <w:r>
        <w:rPr>
          <w:rFonts w:hint="eastAsia" w:ascii="黑体" w:hAnsi="宋体" w:eastAsia="黑体"/>
          <w:color w:val="000000" w:themeColor="text1"/>
          <w:sz w:val="32"/>
          <w:szCs w:val="32"/>
          <w:highlight w:val="none"/>
          <w14:textFill>
            <w14:solidFill>
              <w14:schemeClr w14:val="tx1"/>
            </w14:solidFill>
          </w14:textFill>
        </w:rPr>
        <w:t>综合评分明细表</w:t>
      </w:r>
      <w:bookmarkEnd w:id="140"/>
      <w:bookmarkEnd w:id="141"/>
    </w:p>
    <w:tbl>
      <w:tblPr>
        <w:tblStyle w:val="31"/>
        <w:tblW w:w="5554" w:type="pct"/>
        <w:jc w:val="center"/>
        <w:tblLayout w:type="fixed"/>
        <w:tblCellMar>
          <w:top w:w="0" w:type="dxa"/>
          <w:left w:w="108" w:type="dxa"/>
          <w:bottom w:w="0" w:type="dxa"/>
          <w:right w:w="108" w:type="dxa"/>
        </w:tblCellMar>
      </w:tblPr>
      <w:tblGrid>
        <w:gridCol w:w="735"/>
        <w:gridCol w:w="1254"/>
        <w:gridCol w:w="795"/>
        <w:gridCol w:w="4230"/>
        <w:gridCol w:w="3178"/>
      </w:tblGrid>
      <w:tr w14:paraId="6FC0D70D">
        <w:tblPrEx>
          <w:tblCellMar>
            <w:top w:w="0" w:type="dxa"/>
            <w:left w:w="108" w:type="dxa"/>
            <w:bottom w:w="0" w:type="dxa"/>
            <w:right w:w="108" w:type="dxa"/>
          </w:tblCellMar>
        </w:tblPrEx>
        <w:trPr>
          <w:trHeight w:val="746" w:hRule="atLeast"/>
          <w:jc w:val="center"/>
        </w:trPr>
        <w:tc>
          <w:tcPr>
            <w:tcW w:w="360" w:type="pct"/>
            <w:tcBorders>
              <w:top w:val="single" w:color="000000" w:sz="4" w:space="0"/>
              <w:left w:val="single" w:color="000000" w:sz="4" w:space="0"/>
              <w:bottom w:val="single" w:color="000000" w:sz="4" w:space="0"/>
              <w:right w:val="single" w:color="000000" w:sz="4" w:space="0"/>
            </w:tcBorders>
            <w:vAlign w:val="center"/>
          </w:tcPr>
          <w:p w14:paraId="4D480F22">
            <w:pPr>
              <w:jc w:val="center"/>
              <w:rPr>
                <w:rFonts w:hint="eastAsia" w:ascii="宋体" w:hAnsi="宋体"/>
                <w:b/>
                <w:color w:val="000000" w:themeColor="text1"/>
                <w:kern w:val="1"/>
                <w:szCs w:val="21"/>
                <w:highlight w:val="none"/>
                <w14:textFill>
                  <w14:solidFill>
                    <w14:schemeClr w14:val="tx1"/>
                  </w14:solidFill>
                </w14:textFill>
              </w:rPr>
            </w:pPr>
            <w:r>
              <w:rPr>
                <w:rFonts w:hint="eastAsia" w:ascii="宋体" w:hAnsi="宋体"/>
                <w:b/>
                <w:color w:val="000000" w:themeColor="text1"/>
                <w:kern w:val="1"/>
                <w:szCs w:val="21"/>
                <w:highlight w:val="none"/>
                <w14:textFill>
                  <w14:solidFill>
                    <w14:schemeClr w14:val="tx1"/>
                  </w14:solidFill>
                </w14:textFill>
              </w:rPr>
              <w:t>序号</w:t>
            </w:r>
          </w:p>
        </w:tc>
        <w:tc>
          <w:tcPr>
            <w:tcW w:w="615" w:type="pct"/>
            <w:tcBorders>
              <w:top w:val="single" w:color="000000" w:sz="4" w:space="0"/>
              <w:left w:val="single" w:color="000000" w:sz="4" w:space="0"/>
              <w:bottom w:val="single" w:color="000000" w:sz="4" w:space="0"/>
              <w:right w:val="single" w:color="000000" w:sz="4" w:space="0"/>
            </w:tcBorders>
            <w:vAlign w:val="center"/>
          </w:tcPr>
          <w:p w14:paraId="60795C1F">
            <w:pPr>
              <w:jc w:val="center"/>
              <w:rPr>
                <w:rFonts w:hint="eastAsia" w:ascii="宋体" w:hAnsi="宋体"/>
                <w:b/>
                <w:color w:val="000000" w:themeColor="text1"/>
                <w:kern w:val="1"/>
                <w:szCs w:val="21"/>
                <w:highlight w:val="none"/>
                <w14:textFill>
                  <w14:solidFill>
                    <w14:schemeClr w14:val="tx1"/>
                  </w14:solidFill>
                </w14:textFill>
              </w:rPr>
            </w:pPr>
            <w:r>
              <w:rPr>
                <w:rFonts w:ascii="宋体" w:hAnsi="宋体"/>
                <w:b/>
                <w:color w:val="000000" w:themeColor="text1"/>
                <w:kern w:val="1"/>
                <w:szCs w:val="21"/>
                <w:highlight w:val="none"/>
                <w14:textFill>
                  <w14:solidFill>
                    <w14:schemeClr w14:val="tx1"/>
                  </w14:solidFill>
                </w14:textFill>
              </w:rPr>
              <w:t>评标因素</w:t>
            </w:r>
            <w:r>
              <w:rPr>
                <w:b/>
                <w:color w:val="000000" w:themeColor="text1"/>
                <w:highlight w:val="none"/>
                <w14:textFill>
                  <w14:solidFill>
                    <w14:schemeClr w14:val="tx1"/>
                  </w14:solidFill>
                </w14:textFill>
              </w:rPr>
              <w:t>及权重</w:t>
            </w:r>
          </w:p>
        </w:tc>
        <w:tc>
          <w:tcPr>
            <w:tcW w:w="390" w:type="pct"/>
            <w:tcBorders>
              <w:top w:val="single" w:color="000000" w:sz="4" w:space="0"/>
              <w:left w:val="single" w:color="000000" w:sz="4" w:space="0"/>
              <w:bottom w:val="single" w:color="000000" w:sz="4" w:space="0"/>
              <w:right w:val="single" w:color="000000" w:sz="4" w:space="0"/>
            </w:tcBorders>
            <w:vAlign w:val="center"/>
          </w:tcPr>
          <w:p w14:paraId="2AD00A1F">
            <w:pPr>
              <w:jc w:val="center"/>
              <w:rPr>
                <w:rFonts w:hint="eastAsia" w:ascii="宋体" w:hAnsi="宋体"/>
                <w:b/>
                <w:color w:val="000000" w:themeColor="text1"/>
                <w:kern w:val="1"/>
                <w:szCs w:val="21"/>
                <w:highlight w:val="none"/>
                <w14:textFill>
                  <w14:solidFill>
                    <w14:schemeClr w14:val="tx1"/>
                  </w14:solidFill>
                </w14:textFill>
              </w:rPr>
            </w:pPr>
            <w:r>
              <w:rPr>
                <w:b/>
                <w:color w:val="000000" w:themeColor="text1"/>
                <w:highlight w:val="none"/>
                <w14:textFill>
                  <w14:solidFill>
                    <w14:schemeClr w14:val="tx1"/>
                  </w14:solidFill>
                </w14:textFill>
              </w:rPr>
              <w:t>分值</w:t>
            </w:r>
          </w:p>
        </w:tc>
        <w:tc>
          <w:tcPr>
            <w:tcW w:w="2075" w:type="pct"/>
            <w:tcBorders>
              <w:top w:val="single" w:color="000000" w:sz="4" w:space="0"/>
              <w:left w:val="single" w:color="000000" w:sz="4" w:space="0"/>
              <w:bottom w:val="single" w:color="000000" w:sz="4" w:space="0"/>
              <w:right w:val="single" w:color="000000" w:sz="4" w:space="0"/>
            </w:tcBorders>
            <w:vAlign w:val="center"/>
          </w:tcPr>
          <w:p w14:paraId="0A212094">
            <w:pPr>
              <w:jc w:val="center"/>
              <w:rPr>
                <w:rFonts w:hint="eastAsia" w:ascii="宋体" w:hAnsi="宋体"/>
                <w:b/>
                <w:color w:val="000000" w:themeColor="text1"/>
                <w:kern w:val="1"/>
                <w:szCs w:val="21"/>
                <w:highlight w:val="none"/>
                <w14:textFill>
                  <w14:solidFill>
                    <w14:schemeClr w14:val="tx1"/>
                  </w14:solidFill>
                </w14:textFill>
              </w:rPr>
            </w:pPr>
            <w:r>
              <w:rPr>
                <w:rFonts w:hint="eastAsia" w:ascii="宋体" w:hAnsi="宋体"/>
                <w:b/>
                <w:color w:val="000000" w:themeColor="text1"/>
                <w:kern w:val="1"/>
                <w:szCs w:val="21"/>
                <w:highlight w:val="none"/>
                <w14:textFill>
                  <w14:solidFill>
                    <w14:schemeClr w14:val="tx1"/>
                  </w14:solidFill>
                </w14:textFill>
              </w:rPr>
              <w:t>评审内容</w:t>
            </w:r>
          </w:p>
        </w:tc>
        <w:tc>
          <w:tcPr>
            <w:tcW w:w="1559" w:type="pct"/>
            <w:tcBorders>
              <w:top w:val="single" w:color="000000" w:sz="4" w:space="0"/>
              <w:left w:val="single" w:color="000000" w:sz="4" w:space="0"/>
              <w:bottom w:val="single" w:color="000000" w:sz="4" w:space="0"/>
              <w:right w:val="single" w:color="000000" w:sz="4" w:space="0"/>
            </w:tcBorders>
            <w:vAlign w:val="center"/>
          </w:tcPr>
          <w:p w14:paraId="33EB9506">
            <w:pPr>
              <w:jc w:val="center"/>
              <w:rPr>
                <w:rFonts w:hint="eastAsia" w:ascii="宋体" w:hAnsi="宋体"/>
                <w:b/>
                <w:color w:val="000000" w:themeColor="text1"/>
                <w:kern w:val="1"/>
                <w:szCs w:val="21"/>
                <w:highlight w:val="none"/>
                <w14:textFill>
                  <w14:solidFill>
                    <w14:schemeClr w14:val="tx1"/>
                  </w14:solidFill>
                </w14:textFill>
              </w:rPr>
            </w:pPr>
            <w:r>
              <w:rPr>
                <w:rFonts w:hint="eastAsia" w:ascii="宋体" w:hAnsi="宋体"/>
                <w:b/>
                <w:color w:val="000000" w:themeColor="text1"/>
                <w:kern w:val="1"/>
                <w:szCs w:val="21"/>
                <w:highlight w:val="none"/>
                <w14:textFill>
                  <w14:solidFill>
                    <w14:schemeClr w14:val="tx1"/>
                  </w14:solidFill>
                </w14:textFill>
              </w:rPr>
              <w:t>计分标准</w:t>
            </w:r>
          </w:p>
        </w:tc>
      </w:tr>
      <w:tr w14:paraId="22F499F4">
        <w:tblPrEx>
          <w:tblCellMar>
            <w:top w:w="0" w:type="dxa"/>
            <w:left w:w="108" w:type="dxa"/>
            <w:bottom w:w="0" w:type="dxa"/>
            <w:right w:w="108" w:type="dxa"/>
          </w:tblCellMar>
        </w:tblPrEx>
        <w:trPr>
          <w:trHeight w:val="860" w:hRule="atLeast"/>
          <w:jc w:val="center"/>
        </w:trPr>
        <w:tc>
          <w:tcPr>
            <w:tcW w:w="360" w:type="pct"/>
            <w:tcBorders>
              <w:top w:val="single" w:color="000000" w:sz="4" w:space="0"/>
              <w:left w:val="single" w:color="000000" w:sz="4" w:space="0"/>
              <w:bottom w:val="single" w:color="000000" w:sz="4" w:space="0"/>
              <w:right w:val="single" w:color="000000" w:sz="4" w:space="0"/>
            </w:tcBorders>
            <w:vAlign w:val="center"/>
          </w:tcPr>
          <w:p w14:paraId="5406FFB0">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kern w:val="1"/>
                <w:szCs w:val="21"/>
                <w:highlight w:val="none"/>
                <w14:textFill>
                  <w14:solidFill>
                    <w14:schemeClr w14:val="tx1"/>
                  </w14:solidFill>
                </w14:textFill>
              </w:rPr>
              <w:t>1</w:t>
            </w:r>
          </w:p>
        </w:tc>
        <w:tc>
          <w:tcPr>
            <w:tcW w:w="615" w:type="pct"/>
            <w:tcBorders>
              <w:top w:val="single" w:color="000000" w:sz="4" w:space="0"/>
              <w:left w:val="single" w:color="000000" w:sz="4" w:space="0"/>
              <w:bottom w:val="single" w:color="000000" w:sz="4" w:space="0"/>
              <w:right w:val="single" w:color="000000" w:sz="4" w:space="0"/>
            </w:tcBorders>
            <w:vAlign w:val="center"/>
          </w:tcPr>
          <w:p w14:paraId="2B8BE76B">
            <w:pPr>
              <w:jc w:val="center"/>
              <w:rPr>
                <w:rFonts w:hint="eastAsia" w:ascii="宋体" w:hAnsi="宋体"/>
                <w:bCs/>
                <w:color w:val="000000" w:themeColor="text1"/>
                <w:kern w:val="1"/>
                <w:szCs w:val="21"/>
                <w:highlight w:val="none"/>
                <w14:textFill>
                  <w14:solidFill>
                    <w14:schemeClr w14:val="tx1"/>
                  </w14:solidFill>
                </w14:textFill>
              </w:rPr>
            </w:pPr>
            <w:r>
              <w:rPr>
                <w:rFonts w:hint="eastAsia" w:ascii="宋体" w:hAnsi="宋体"/>
                <w:bCs/>
                <w:color w:val="000000" w:themeColor="text1"/>
                <w:kern w:val="1"/>
                <w:szCs w:val="21"/>
                <w:highlight w:val="none"/>
                <w14:textFill>
                  <w14:solidFill>
                    <w14:schemeClr w14:val="tx1"/>
                  </w14:solidFill>
                </w14:textFill>
              </w:rPr>
              <w:t>投标报价</w:t>
            </w:r>
          </w:p>
          <w:p w14:paraId="3139BD9A">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kern w:val="1"/>
                <w:szCs w:val="21"/>
                <w:highlight w:val="none"/>
                <w14:textFill>
                  <w14:solidFill>
                    <w14:schemeClr w14:val="tx1"/>
                  </w14:solidFill>
                </w14:textFill>
              </w:rPr>
              <w:t>45%</w:t>
            </w:r>
          </w:p>
        </w:tc>
        <w:tc>
          <w:tcPr>
            <w:tcW w:w="390" w:type="pct"/>
            <w:tcBorders>
              <w:top w:val="single" w:color="000000" w:sz="4" w:space="0"/>
              <w:left w:val="single" w:color="000000" w:sz="4" w:space="0"/>
              <w:bottom w:val="single" w:color="000000" w:sz="4" w:space="0"/>
              <w:right w:val="single" w:color="000000" w:sz="4" w:space="0"/>
            </w:tcBorders>
            <w:vAlign w:val="center"/>
          </w:tcPr>
          <w:p w14:paraId="0F2B8C99">
            <w:pPr>
              <w:spacing w:line="360" w:lineRule="auto"/>
              <w:ind w:left="5775" w:hanging="5775" w:hangingChars="27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45</w:t>
            </w:r>
          </w:p>
        </w:tc>
        <w:tc>
          <w:tcPr>
            <w:tcW w:w="2075" w:type="pct"/>
            <w:tcBorders>
              <w:top w:val="single" w:color="000000" w:sz="4" w:space="0"/>
              <w:left w:val="single" w:color="000000" w:sz="4" w:space="0"/>
              <w:bottom w:val="single" w:color="000000" w:sz="4" w:space="0"/>
              <w:right w:val="single" w:color="000000" w:sz="4" w:space="0"/>
            </w:tcBorders>
            <w:vAlign w:val="center"/>
          </w:tcPr>
          <w:p w14:paraId="14BD8048">
            <w:pPr>
              <w:spacing w:line="360" w:lineRule="auto"/>
              <w:jc w:val="center"/>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按本章第2.1.</w:t>
            </w:r>
            <w:r>
              <w:rPr>
                <w:rFonts w:hint="eastAsia" w:ascii="宋体" w:hAnsi="宋体"/>
                <w:color w:val="000000" w:themeColor="text1"/>
                <w:szCs w:val="21"/>
                <w:highlight w:val="none"/>
                <w14:textFill>
                  <w14:solidFill>
                    <w14:schemeClr w14:val="tx1"/>
                  </w14:solidFill>
                </w14:textFill>
              </w:rPr>
              <w:t>4条款规定进行评审；</w:t>
            </w:r>
          </w:p>
        </w:tc>
        <w:tc>
          <w:tcPr>
            <w:tcW w:w="1559" w:type="pct"/>
            <w:tcBorders>
              <w:top w:val="single" w:color="000000" w:sz="4" w:space="0"/>
              <w:left w:val="single" w:color="000000" w:sz="4" w:space="0"/>
              <w:bottom w:val="single" w:color="000000" w:sz="4" w:space="0"/>
              <w:right w:val="single" w:color="000000" w:sz="4" w:space="0"/>
            </w:tcBorders>
            <w:vAlign w:val="center"/>
          </w:tcPr>
          <w:p w14:paraId="44EF148F">
            <w:pPr>
              <w:spacing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r>
      <w:tr w14:paraId="52399D9F">
        <w:tblPrEx>
          <w:tblCellMar>
            <w:top w:w="0" w:type="dxa"/>
            <w:left w:w="108" w:type="dxa"/>
            <w:bottom w:w="0" w:type="dxa"/>
            <w:right w:w="108" w:type="dxa"/>
          </w:tblCellMar>
        </w:tblPrEx>
        <w:trPr>
          <w:trHeight w:val="90" w:hRule="atLeast"/>
          <w:jc w:val="center"/>
        </w:trPr>
        <w:tc>
          <w:tcPr>
            <w:tcW w:w="360" w:type="pct"/>
            <w:vMerge w:val="restart"/>
            <w:tcBorders>
              <w:top w:val="single" w:color="000000" w:sz="4" w:space="0"/>
              <w:left w:val="single" w:color="000000" w:sz="4" w:space="0"/>
              <w:bottom w:val="single" w:color="000000" w:sz="4" w:space="0"/>
              <w:right w:val="single" w:color="000000" w:sz="4" w:space="0"/>
            </w:tcBorders>
            <w:vAlign w:val="center"/>
          </w:tcPr>
          <w:p w14:paraId="1CC2DD9D">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kern w:val="1"/>
                <w:szCs w:val="21"/>
                <w:highlight w:val="none"/>
                <w14:textFill>
                  <w14:solidFill>
                    <w14:schemeClr w14:val="tx1"/>
                  </w14:solidFill>
                </w14:textFill>
              </w:rPr>
              <w:t>2</w:t>
            </w:r>
          </w:p>
        </w:tc>
        <w:tc>
          <w:tcPr>
            <w:tcW w:w="615" w:type="pct"/>
            <w:vMerge w:val="restart"/>
            <w:tcBorders>
              <w:top w:val="single" w:color="000000" w:sz="4" w:space="0"/>
              <w:left w:val="single" w:color="000000" w:sz="4" w:space="0"/>
              <w:bottom w:val="single" w:color="000000" w:sz="4" w:space="0"/>
              <w:right w:val="single" w:color="000000" w:sz="4" w:space="0"/>
            </w:tcBorders>
            <w:vAlign w:val="center"/>
          </w:tcPr>
          <w:p w14:paraId="7ABC9DCF">
            <w:pPr>
              <w:jc w:val="center"/>
              <w:rPr>
                <w:rFonts w:hint="eastAsia" w:ascii="宋体" w:hAnsi="宋体"/>
                <w:bCs/>
                <w:color w:val="000000" w:themeColor="text1"/>
                <w:kern w:val="1"/>
                <w:szCs w:val="21"/>
                <w:highlight w:val="none"/>
                <w14:textFill>
                  <w14:solidFill>
                    <w14:schemeClr w14:val="tx1"/>
                  </w14:solidFill>
                </w14:textFill>
              </w:rPr>
            </w:pPr>
            <w:r>
              <w:rPr>
                <w:rFonts w:hint="eastAsia" w:ascii="宋体" w:hAnsi="宋体"/>
                <w:bCs/>
                <w:color w:val="000000" w:themeColor="text1"/>
                <w:kern w:val="1"/>
                <w:szCs w:val="21"/>
                <w:highlight w:val="none"/>
                <w14:textFill>
                  <w14:solidFill>
                    <w14:schemeClr w14:val="tx1"/>
                  </w14:solidFill>
                </w14:textFill>
              </w:rPr>
              <w:t>施工方案</w:t>
            </w:r>
          </w:p>
          <w:p w14:paraId="30FEFCDF">
            <w:pPr>
              <w:jc w:val="center"/>
              <w:rPr>
                <w:bCs/>
                <w:color w:val="000000" w:themeColor="text1"/>
                <w:highlight w:val="none"/>
                <w14:textFill>
                  <w14:solidFill>
                    <w14:schemeClr w14:val="tx1"/>
                  </w14:solidFill>
                </w14:textFill>
              </w:rPr>
            </w:pPr>
            <w:r>
              <w:rPr>
                <w:rFonts w:hint="eastAsia" w:ascii="宋体" w:hAnsi="宋体"/>
                <w:bCs/>
                <w:color w:val="000000" w:themeColor="text1"/>
                <w:kern w:val="1"/>
                <w:szCs w:val="21"/>
                <w:highlight w:val="none"/>
                <w:lang w:val="en-US" w:eastAsia="zh-CN"/>
                <w14:textFill>
                  <w14:solidFill>
                    <w14:schemeClr w14:val="tx1"/>
                  </w14:solidFill>
                </w14:textFill>
              </w:rPr>
              <w:t>45</w:t>
            </w:r>
            <w:r>
              <w:rPr>
                <w:rFonts w:hint="eastAsia" w:ascii="宋体" w:hAnsi="宋体"/>
                <w:bCs/>
                <w:color w:val="000000" w:themeColor="text1"/>
                <w:kern w:val="1"/>
                <w:szCs w:val="21"/>
                <w:highlight w:val="none"/>
                <w14:textFill>
                  <w14:solidFill>
                    <w14:schemeClr w14:val="tx1"/>
                  </w14:solidFill>
                </w14:textFill>
              </w:rPr>
              <w:t>%</w:t>
            </w:r>
          </w:p>
        </w:tc>
        <w:tc>
          <w:tcPr>
            <w:tcW w:w="390" w:type="pct"/>
            <w:tcBorders>
              <w:top w:val="single" w:color="000000" w:sz="4" w:space="0"/>
              <w:left w:val="single" w:color="000000" w:sz="4" w:space="0"/>
              <w:bottom w:val="single" w:color="000000" w:sz="4" w:space="0"/>
              <w:right w:val="single" w:color="000000" w:sz="4" w:space="0"/>
            </w:tcBorders>
            <w:vAlign w:val="center"/>
          </w:tcPr>
          <w:p w14:paraId="4137B56D">
            <w:pPr>
              <w:spacing w:line="360" w:lineRule="auto"/>
              <w:ind w:left="5775" w:hanging="5775" w:hangingChars="2750"/>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p>
        </w:tc>
        <w:tc>
          <w:tcPr>
            <w:tcW w:w="2075" w:type="pct"/>
            <w:tcBorders>
              <w:top w:val="single" w:color="000000" w:sz="4" w:space="0"/>
              <w:left w:val="single" w:color="000000" w:sz="4" w:space="0"/>
              <w:bottom w:val="single" w:color="000000" w:sz="4" w:space="0"/>
              <w:right w:val="single" w:color="000000" w:sz="4" w:space="0"/>
            </w:tcBorders>
            <w:vAlign w:val="center"/>
          </w:tcPr>
          <w:p w14:paraId="1137FC34">
            <w:pPr>
              <w:pStyle w:val="14"/>
              <w:tabs>
                <w:tab w:val="left" w:pos="600"/>
              </w:tabs>
              <w:ind w:firstLine="0"/>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确保安全生产的组织措施</w:t>
            </w:r>
          </w:p>
          <w:p w14:paraId="2BD3160F">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①安全生产措施费专户管理，建立安全投入使用核查流程，明确安全员对安全费用落实情况的核查职责，严禁挤占、挪用安全生产措施费；②劳动防护用品采购、定期发放、使用管理；③应急救援组织机构、预案及物资配置；④建立现场安全设施定期检修制度。</w:t>
            </w:r>
          </w:p>
        </w:tc>
        <w:tc>
          <w:tcPr>
            <w:tcW w:w="1559" w:type="pct"/>
            <w:vMerge w:val="restart"/>
            <w:tcBorders>
              <w:top w:val="single" w:color="000000" w:sz="4" w:space="0"/>
              <w:left w:val="single" w:color="000000" w:sz="4" w:space="0"/>
              <w:right w:val="single" w:color="000000" w:sz="4" w:space="0"/>
            </w:tcBorders>
            <w:vAlign w:val="center"/>
          </w:tcPr>
          <w:p w14:paraId="2F45D706">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每单项方案计1分，</w:t>
            </w:r>
            <w:r>
              <w:rPr>
                <w:rFonts w:hint="eastAsia" w:ascii="宋体" w:hAnsi="宋体" w:cs="宋体"/>
                <w:color w:val="000000" w:themeColor="text1"/>
                <w:szCs w:val="21"/>
                <w:highlight w:val="none"/>
                <w14:textFill>
                  <w14:solidFill>
                    <w14:schemeClr w14:val="tx1"/>
                  </w14:solidFill>
                </w14:textFill>
              </w:rPr>
              <w:t>单项方案措施中每存在1处缺陷的扣0.5分，扣完单项分值为止。出现下列任一情形的，单项得0分，不再执行按处扣分规则：①评审标准要求的核心评审子项缺项；②方案仅罗列标题、框架，无具体落地实施措施；③全部或主要内容直接复制其他项目方案，无针对本项目的针对性内容。</w:t>
            </w:r>
            <w:r>
              <w:rPr>
                <w:rFonts w:hint="eastAsia" w:ascii="宋体" w:hAnsi="宋体" w:cs="宋体"/>
                <w:color w:val="000000" w:themeColor="text1"/>
                <w:kern w:val="0"/>
                <w:szCs w:val="21"/>
                <w:highlight w:val="none"/>
                <w:shd w:val="clear" w:color="auto" w:fill="FFFFFF"/>
                <w14:textFill>
                  <w14:solidFill>
                    <w14:schemeClr w14:val="tx1"/>
                  </w14:solidFill>
                </w14:textFill>
              </w:rPr>
              <w:t xml:space="preserve"> </w:t>
            </w:r>
          </w:p>
        </w:tc>
      </w:tr>
      <w:tr w14:paraId="511338A1">
        <w:tblPrEx>
          <w:tblCellMar>
            <w:top w:w="0" w:type="dxa"/>
            <w:left w:w="108" w:type="dxa"/>
            <w:bottom w:w="0" w:type="dxa"/>
            <w:right w:w="108" w:type="dxa"/>
          </w:tblCellMar>
        </w:tblPrEx>
        <w:trPr>
          <w:trHeight w:val="1621" w:hRule="atLeast"/>
          <w:jc w:val="center"/>
        </w:trPr>
        <w:tc>
          <w:tcPr>
            <w:tcW w:w="360" w:type="pct"/>
            <w:vMerge w:val="continue"/>
            <w:tcBorders>
              <w:top w:val="single" w:color="000000" w:sz="4" w:space="0"/>
              <w:left w:val="single" w:color="000000" w:sz="4" w:space="0"/>
              <w:bottom w:val="single" w:color="000000" w:sz="4" w:space="0"/>
              <w:right w:val="single" w:color="000000" w:sz="4" w:space="0"/>
            </w:tcBorders>
            <w:vAlign w:val="center"/>
          </w:tcPr>
          <w:p w14:paraId="0760BF12">
            <w:pPr>
              <w:spacing w:line="360" w:lineRule="auto"/>
              <w:ind w:left="5775" w:hanging="5775" w:hangingChars="2750"/>
              <w:jc w:val="center"/>
              <w:rPr>
                <w:rFonts w:hint="eastAsia" w:ascii="宋体" w:hAnsi="宋体" w:cs="宋体"/>
                <w:color w:val="000000" w:themeColor="text1"/>
                <w:szCs w:val="21"/>
                <w:highlight w:val="none"/>
                <w14:textFill>
                  <w14:solidFill>
                    <w14:schemeClr w14:val="tx1"/>
                  </w14:solidFill>
                </w14:textFill>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258ED501">
            <w:pPr>
              <w:spacing w:line="360" w:lineRule="auto"/>
              <w:ind w:left="5775" w:hanging="5775" w:hangingChars="2750"/>
              <w:jc w:val="center"/>
              <w:rPr>
                <w:rFonts w:hint="eastAsia" w:ascii="宋体" w:hAnsi="宋体" w:cs="宋体"/>
                <w:bCs/>
                <w:color w:val="000000" w:themeColor="text1"/>
                <w:szCs w:val="21"/>
                <w:highlight w:val="none"/>
                <w14:textFill>
                  <w14:solidFill>
                    <w14:schemeClr w14:val="tx1"/>
                  </w14:solidFill>
                </w14:textFill>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738E5B6E">
            <w:pPr>
              <w:spacing w:line="360" w:lineRule="auto"/>
              <w:ind w:left="5775" w:hanging="5775" w:hangingChars="27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2075" w:type="pct"/>
            <w:tcBorders>
              <w:top w:val="single" w:color="000000" w:sz="4" w:space="0"/>
              <w:left w:val="single" w:color="000000" w:sz="4" w:space="0"/>
              <w:bottom w:val="single" w:color="000000" w:sz="4" w:space="0"/>
              <w:right w:val="single" w:color="000000" w:sz="4" w:space="0"/>
            </w:tcBorders>
            <w:vAlign w:val="center"/>
          </w:tcPr>
          <w:p w14:paraId="37568385">
            <w:pPr>
              <w:pStyle w:val="14"/>
              <w:tabs>
                <w:tab w:val="left" w:pos="600"/>
              </w:tabs>
              <w:ind w:firstLine="0"/>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确保文明施工的组织措施</w:t>
            </w:r>
          </w:p>
          <w:p w14:paraId="0D006933">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①施工现场围挡封闭管理、②场内道路及作业区域硬化处理、③现场物料分类堆放、建筑垃圾有序归集处置，④施工区域标识标牌管理、⑤施工现场文明管理制度健全。</w:t>
            </w:r>
          </w:p>
        </w:tc>
        <w:tc>
          <w:tcPr>
            <w:tcW w:w="1559" w:type="pct"/>
            <w:vMerge w:val="continue"/>
            <w:tcBorders>
              <w:left w:val="single" w:color="000000" w:sz="4" w:space="0"/>
              <w:right w:val="single" w:color="000000" w:sz="4" w:space="0"/>
            </w:tcBorders>
            <w:vAlign w:val="center"/>
          </w:tcPr>
          <w:p w14:paraId="63D081DF">
            <w:pPr>
              <w:rPr>
                <w:rFonts w:hint="eastAsia" w:ascii="宋体" w:hAnsi="宋体"/>
                <w:color w:val="000000" w:themeColor="text1"/>
                <w:szCs w:val="21"/>
                <w:highlight w:val="none"/>
                <w14:textFill>
                  <w14:solidFill>
                    <w14:schemeClr w14:val="tx1"/>
                  </w14:solidFill>
                </w14:textFill>
              </w:rPr>
            </w:pPr>
          </w:p>
        </w:tc>
      </w:tr>
      <w:tr w14:paraId="619752A7">
        <w:tblPrEx>
          <w:tblCellMar>
            <w:top w:w="0" w:type="dxa"/>
            <w:left w:w="108" w:type="dxa"/>
            <w:bottom w:w="0" w:type="dxa"/>
            <w:right w:w="108" w:type="dxa"/>
          </w:tblCellMar>
        </w:tblPrEx>
        <w:trPr>
          <w:trHeight w:val="1474" w:hRule="atLeast"/>
          <w:jc w:val="center"/>
        </w:trPr>
        <w:tc>
          <w:tcPr>
            <w:tcW w:w="360" w:type="pct"/>
            <w:vMerge w:val="continue"/>
            <w:tcBorders>
              <w:top w:val="single" w:color="000000" w:sz="4" w:space="0"/>
              <w:left w:val="single" w:color="000000" w:sz="4" w:space="0"/>
              <w:bottom w:val="single" w:color="000000" w:sz="4" w:space="0"/>
              <w:right w:val="single" w:color="000000" w:sz="4" w:space="0"/>
            </w:tcBorders>
            <w:vAlign w:val="center"/>
          </w:tcPr>
          <w:p w14:paraId="6970528D">
            <w:pPr>
              <w:spacing w:line="360" w:lineRule="auto"/>
              <w:ind w:left="5775" w:hanging="5775" w:hangingChars="2750"/>
              <w:jc w:val="center"/>
              <w:rPr>
                <w:rFonts w:hint="eastAsia" w:ascii="宋体" w:hAnsi="宋体" w:cs="宋体"/>
                <w:color w:val="000000" w:themeColor="text1"/>
                <w:szCs w:val="21"/>
                <w:highlight w:val="none"/>
                <w14:textFill>
                  <w14:solidFill>
                    <w14:schemeClr w14:val="tx1"/>
                  </w14:solidFill>
                </w14:textFill>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151BD1CD">
            <w:pPr>
              <w:spacing w:line="360" w:lineRule="auto"/>
              <w:ind w:left="5775" w:hanging="5775" w:hangingChars="2750"/>
              <w:jc w:val="center"/>
              <w:rPr>
                <w:rFonts w:hint="eastAsia" w:ascii="宋体" w:hAnsi="宋体" w:cs="宋体"/>
                <w:bCs/>
                <w:color w:val="000000" w:themeColor="text1"/>
                <w:szCs w:val="21"/>
                <w:highlight w:val="none"/>
                <w14:textFill>
                  <w14:solidFill>
                    <w14:schemeClr w14:val="tx1"/>
                  </w14:solidFill>
                </w14:textFill>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674C727F">
            <w:pPr>
              <w:spacing w:line="360" w:lineRule="auto"/>
              <w:ind w:left="5775" w:hanging="5775" w:hangingChars="27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2075" w:type="pct"/>
            <w:tcBorders>
              <w:top w:val="single" w:color="000000" w:sz="4" w:space="0"/>
              <w:left w:val="single" w:color="000000" w:sz="4" w:space="0"/>
              <w:bottom w:val="single" w:color="000000" w:sz="4" w:space="0"/>
              <w:right w:val="single" w:color="000000" w:sz="4" w:space="0"/>
            </w:tcBorders>
            <w:vAlign w:val="center"/>
          </w:tcPr>
          <w:p w14:paraId="7AD167D9">
            <w:pPr>
              <w:pStyle w:val="14"/>
              <w:tabs>
                <w:tab w:val="left" w:pos="600"/>
              </w:tabs>
              <w:ind w:firstLine="0"/>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确保环境保护的组织措施</w:t>
            </w:r>
          </w:p>
          <w:p w14:paraId="4E89D762">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①出场车辆冲洗；②施工扬尘、施工噪声管控措施；③现场保洁、垃圾清运处置制度；④污水排放管控；⑤危险废弃物（废旧线缆、装修危废等）分类收集处置。</w:t>
            </w:r>
          </w:p>
        </w:tc>
        <w:tc>
          <w:tcPr>
            <w:tcW w:w="1559" w:type="pct"/>
            <w:vMerge w:val="continue"/>
            <w:tcBorders>
              <w:left w:val="single" w:color="000000" w:sz="4" w:space="0"/>
              <w:right w:val="single" w:color="000000" w:sz="4" w:space="0"/>
            </w:tcBorders>
            <w:vAlign w:val="center"/>
          </w:tcPr>
          <w:p w14:paraId="1918A5A4">
            <w:pPr>
              <w:pStyle w:val="14"/>
              <w:tabs>
                <w:tab w:val="left" w:pos="600"/>
              </w:tabs>
              <w:spacing w:line="360" w:lineRule="auto"/>
              <w:ind w:firstLine="0"/>
              <w:rPr>
                <w:rFonts w:hint="eastAsia" w:ascii="宋体" w:hAnsi="宋体"/>
                <w:color w:val="000000" w:themeColor="text1"/>
                <w:sz w:val="21"/>
                <w:szCs w:val="21"/>
                <w:highlight w:val="none"/>
                <w14:textFill>
                  <w14:solidFill>
                    <w14:schemeClr w14:val="tx1"/>
                  </w14:solidFill>
                </w14:textFill>
              </w:rPr>
            </w:pPr>
          </w:p>
        </w:tc>
      </w:tr>
      <w:tr w14:paraId="6160E441">
        <w:tblPrEx>
          <w:tblCellMar>
            <w:top w:w="0" w:type="dxa"/>
            <w:left w:w="108" w:type="dxa"/>
            <w:bottom w:w="0" w:type="dxa"/>
            <w:right w:w="108" w:type="dxa"/>
          </w:tblCellMar>
        </w:tblPrEx>
        <w:trPr>
          <w:trHeight w:val="90" w:hRule="atLeast"/>
          <w:jc w:val="center"/>
        </w:trPr>
        <w:tc>
          <w:tcPr>
            <w:tcW w:w="360" w:type="pct"/>
            <w:vMerge w:val="continue"/>
            <w:tcBorders>
              <w:top w:val="single" w:color="000000" w:sz="4" w:space="0"/>
              <w:left w:val="single" w:color="000000" w:sz="4" w:space="0"/>
              <w:bottom w:val="single" w:color="000000" w:sz="4" w:space="0"/>
              <w:right w:val="single" w:color="000000" w:sz="4" w:space="0"/>
            </w:tcBorders>
            <w:vAlign w:val="center"/>
          </w:tcPr>
          <w:p w14:paraId="054AB4DA">
            <w:pPr>
              <w:spacing w:line="360" w:lineRule="auto"/>
              <w:ind w:left="5775" w:hanging="5775" w:hangingChars="2750"/>
              <w:jc w:val="center"/>
              <w:rPr>
                <w:rFonts w:hint="eastAsia" w:ascii="宋体" w:hAnsi="宋体" w:cs="宋体"/>
                <w:color w:val="000000" w:themeColor="text1"/>
                <w:szCs w:val="21"/>
                <w:highlight w:val="none"/>
                <w14:textFill>
                  <w14:solidFill>
                    <w14:schemeClr w14:val="tx1"/>
                  </w14:solidFill>
                </w14:textFill>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1E08BD0E">
            <w:pPr>
              <w:spacing w:line="360" w:lineRule="auto"/>
              <w:ind w:left="5775" w:hanging="5775" w:hangingChars="2750"/>
              <w:jc w:val="center"/>
              <w:rPr>
                <w:rFonts w:hint="eastAsia" w:ascii="宋体" w:hAnsi="宋体" w:cs="宋体"/>
                <w:bCs/>
                <w:color w:val="000000" w:themeColor="text1"/>
                <w:szCs w:val="21"/>
                <w:highlight w:val="none"/>
                <w14:textFill>
                  <w14:solidFill>
                    <w14:schemeClr w14:val="tx1"/>
                  </w14:solidFill>
                </w14:textFill>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50497BDB">
            <w:pPr>
              <w:spacing w:line="360" w:lineRule="auto"/>
              <w:ind w:left="5775" w:hanging="5775" w:hangingChars="275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2075" w:type="pct"/>
            <w:tcBorders>
              <w:top w:val="single" w:color="000000" w:sz="4" w:space="0"/>
              <w:left w:val="single" w:color="000000" w:sz="4" w:space="0"/>
              <w:bottom w:val="single" w:color="000000" w:sz="4" w:space="0"/>
              <w:right w:val="single" w:color="000000" w:sz="4" w:space="0"/>
            </w:tcBorders>
            <w:vAlign w:val="center"/>
          </w:tcPr>
          <w:p w14:paraId="2E215C1F">
            <w:pPr>
              <w:pStyle w:val="14"/>
              <w:tabs>
                <w:tab w:val="left" w:pos="600"/>
              </w:tabs>
              <w:ind w:firstLine="0"/>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确保临时设施的组织措施</w:t>
            </w:r>
          </w:p>
          <w:p w14:paraId="50D7E9C0">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①材料仓库、加工区域标准化布置方案；②配套消防、排水、卫生防疫措施完善；③临时设施损坏修复、翻新；④工程完工后临时设施拆除、场地清理复原方案。</w:t>
            </w:r>
          </w:p>
        </w:tc>
        <w:tc>
          <w:tcPr>
            <w:tcW w:w="1559" w:type="pct"/>
            <w:vMerge w:val="continue"/>
            <w:tcBorders>
              <w:left w:val="single" w:color="000000" w:sz="4" w:space="0"/>
              <w:bottom w:val="single" w:color="000000" w:sz="4" w:space="0"/>
              <w:right w:val="single" w:color="000000" w:sz="4" w:space="0"/>
            </w:tcBorders>
            <w:vAlign w:val="center"/>
          </w:tcPr>
          <w:p w14:paraId="062F5873">
            <w:pPr>
              <w:pStyle w:val="14"/>
              <w:tabs>
                <w:tab w:val="left" w:pos="600"/>
              </w:tabs>
              <w:spacing w:line="360" w:lineRule="auto"/>
              <w:ind w:firstLine="0"/>
              <w:rPr>
                <w:rFonts w:hint="eastAsia" w:ascii="宋体" w:hAnsi="宋体"/>
                <w:color w:val="000000" w:themeColor="text1"/>
                <w:sz w:val="21"/>
                <w:szCs w:val="21"/>
                <w:highlight w:val="none"/>
                <w14:textFill>
                  <w14:solidFill>
                    <w14:schemeClr w14:val="tx1"/>
                  </w14:solidFill>
                </w14:textFill>
              </w:rPr>
            </w:pPr>
          </w:p>
        </w:tc>
      </w:tr>
      <w:tr w14:paraId="23505DE8">
        <w:tblPrEx>
          <w:tblCellMar>
            <w:top w:w="0" w:type="dxa"/>
            <w:left w:w="108" w:type="dxa"/>
            <w:bottom w:w="0" w:type="dxa"/>
            <w:right w:w="108" w:type="dxa"/>
          </w:tblCellMar>
        </w:tblPrEx>
        <w:trPr>
          <w:trHeight w:val="604" w:hRule="atLeast"/>
          <w:jc w:val="center"/>
        </w:trPr>
        <w:tc>
          <w:tcPr>
            <w:tcW w:w="360" w:type="pct"/>
            <w:vMerge w:val="continue"/>
            <w:tcBorders>
              <w:top w:val="single" w:color="000000" w:sz="4" w:space="0"/>
              <w:left w:val="single" w:color="000000" w:sz="4" w:space="0"/>
              <w:bottom w:val="single" w:color="000000" w:sz="4" w:space="0"/>
              <w:right w:val="single" w:color="000000" w:sz="4" w:space="0"/>
            </w:tcBorders>
            <w:vAlign w:val="center"/>
          </w:tcPr>
          <w:p w14:paraId="5D217F75">
            <w:pPr>
              <w:spacing w:line="360" w:lineRule="auto"/>
              <w:ind w:left="5775" w:hanging="5775" w:hangingChars="2750"/>
              <w:jc w:val="center"/>
              <w:rPr>
                <w:rFonts w:hint="eastAsia" w:ascii="宋体" w:hAnsi="宋体" w:cs="宋体"/>
                <w:color w:val="000000" w:themeColor="text1"/>
                <w:szCs w:val="21"/>
                <w:highlight w:val="none"/>
                <w14:textFill>
                  <w14:solidFill>
                    <w14:schemeClr w14:val="tx1"/>
                  </w14:solidFill>
                </w14:textFill>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69239048">
            <w:pPr>
              <w:spacing w:line="360" w:lineRule="auto"/>
              <w:ind w:left="5775" w:hanging="5775" w:hangingChars="2750"/>
              <w:jc w:val="center"/>
              <w:rPr>
                <w:rFonts w:hint="eastAsia" w:ascii="宋体" w:hAnsi="宋体" w:cs="宋体"/>
                <w:bCs/>
                <w:color w:val="000000" w:themeColor="text1"/>
                <w:szCs w:val="21"/>
                <w:highlight w:val="none"/>
                <w14:textFill>
                  <w14:solidFill>
                    <w14:schemeClr w14:val="tx1"/>
                  </w14:solidFill>
                </w14:textFill>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1462FFC3">
            <w:pPr>
              <w:spacing w:line="360" w:lineRule="auto"/>
              <w:ind w:left="5775" w:hanging="5775" w:hangingChars="275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4.5</w:t>
            </w:r>
          </w:p>
        </w:tc>
        <w:tc>
          <w:tcPr>
            <w:tcW w:w="2075" w:type="pct"/>
            <w:tcBorders>
              <w:top w:val="single" w:color="000000" w:sz="4" w:space="0"/>
              <w:left w:val="single" w:color="000000" w:sz="4" w:space="0"/>
              <w:bottom w:val="single" w:color="000000" w:sz="4" w:space="0"/>
              <w:right w:val="single" w:color="000000" w:sz="4" w:space="0"/>
            </w:tcBorders>
            <w:vAlign w:val="center"/>
          </w:tcPr>
          <w:p w14:paraId="34FA9B01">
            <w:pPr>
              <w:pStyle w:val="14"/>
              <w:tabs>
                <w:tab w:val="left" w:pos="600"/>
              </w:tabs>
              <w:ind w:firstLine="0"/>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资源配置计划</w:t>
            </w:r>
          </w:p>
          <w:p w14:paraId="0D1953ED">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①劳动力配置计划；</w:t>
            </w:r>
          </w:p>
          <w:p w14:paraId="1FB5676B">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根据本项目各施工阶段、施工工序合理划分施工流水段，制定阶段性劳动力投入计划表，明确各阶段工种、投入人数、进场时间、退场安排；针对本项目交叉施工、高峰期施工制定人员动态调配方案，配备持证作业人员，具备人员短缺应急补充保障措施。</w:t>
            </w:r>
          </w:p>
          <w:p w14:paraId="0D4D2FD1">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②施工机械设备配置计划；</w:t>
            </w:r>
          </w:p>
          <w:p w14:paraId="65302463">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结合本项目施工特点配置适配的施工机械设备，列明设备名称、规格型号、数量、进场时间、使用工况；设备配置匹配施工进度及工程量需求，杜绝设备冗余或配置不足；针对专项施工设备、小型机具、检测设备制定配套保障、检修、替换应急预案。无大型机械设备的项目，需明确专项或小型机具配置及作业保障方案。</w:t>
            </w:r>
          </w:p>
          <w:p w14:paraId="02F0E467">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③主要材料供应计划；</w:t>
            </w:r>
          </w:p>
          <w:p w14:paraId="6E76EF40">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施工进度节点编制主要材料分批次进场计划，明确主材、辅材进场时间、数量、验收安排；材料供应计划与施工工序、施工进度高度匹配；建立材料备货、仓储、保管、成品保护、缺货应急保障方案，确保工期连续稳定施工。</w:t>
            </w:r>
          </w:p>
        </w:tc>
        <w:tc>
          <w:tcPr>
            <w:tcW w:w="1559" w:type="pct"/>
            <w:tcBorders>
              <w:top w:val="single" w:color="000000" w:sz="4" w:space="0"/>
              <w:left w:val="single" w:color="000000" w:sz="4" w:space="0"/>
              <w:bottom w:val="single" w:color="000000" w:sz="4" w:space="0"/>
              <w:right w:val="single" w:color="000000" w:sz="4" w:space="0"/>
            </w:tcBorders>
            <w:vAlign w:val="center"/>
          </w:tcPr>
          <w:p w14:paraId="63C54E0E">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每单项方案计</w:t>
            </w:r>
            <w:r>
              <w:rPr>
                <w:rFonts w:hint="eastAsia" w:ascii="宋体" w:hAnsi="宋体"/>
                <w:color w:val="000000" w:themeColor="text1"/>
                <w:szCs w:val="21"/>
                <w:highlight w:val="none"/>
                <w:lang w:val="en-US" w:eastAsia="zh-CN"/>
                <w14:textFill>
                  <w14:solidFill>
                    <w14:schemeClr w14:val="tx1"/>
                  </w14:solidFill>
                </w14:textFill>
              </w:rPr>
              <w:t>1.5</w:t>
            </w:r>
            <w:r>
              <w:rPr>
                <w:rFonts w:hint="eastAsia" w:ascii="宋体" w:hAnsi="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14:textFill>
                  <w14:solidFill>
                    <w14:schemeClr w14:val="tx1"/>
                  </w14:solidFill>
                </w14:textFill>
              </w:rPr>
              <w:t>单项方案措施中每存在1处缺陷的扣0.5分，扣完单项分值为止。出现下列任一情形的，单项得0分，不再执行按处扣分规则：①评审标准要求的核心评审子项缺项；②方案仅罗列标题、框架，无具体落地实施措施；③全部或主要内容直接复制其他项目方案，无针对本项目的针对性内容。</w:t>
            </w:r>
            <w:r>
              <w:rPr>
                <w:rFonts w:hint="eastAsia" w:ascii="宋体" w:hAnsi="宋体" w:cs="宋体"/>
                <w:color w:val="000000" w:themeColor="text1"/>
                <w:kern w:val="0"/>
                <w:szCs w:val="21"/>
                <w:highlight w:val="none"/>
                <w:shd w:val="clear" w:color="auto" w:fill="FFFFFF"/>
                <w14:textFill>
                  <w14:solidFill>
                    <w14:schemeClr w14:val="tx1"/>
                  </w14:solidFill>
                </w14:textFill>
              </w:rPr>
              <w:t xml:space="preserve"> </w:t>
            </w:r>
          </w:p>
        </w:tc>
      </w:tr>
      <w:tr w14:paraId="76CD6664">
        <w:tblPrEx>
          <w:tblCellMar>
            <w:top w:w="0" w:type="dxa"/>
            <w:left w:w="108" w:type="dxa"/>
            <w:bottom w:w="0" w:type="dxa"/>
            <w:right w:w="108" w:type="dxa"/>
          </w:tblCellMar>
        </w:tblPrEx>
        <w:trPr>
          <w:trHeight w:val="6177" w:hRule="atLeast"/>
          <w:jc w:val="center"/>
        </w:trPr>
        <w:tc>
          <w:tcPr>
            <w:tcW w:w="360" w:type="pct"/>
            <w:vMerge w:val="continue"/>
            <w:tcBorders>
              <w:top w:val="single" w:color="000000" w:sz="4" w:space="0"/>
              <w:left w:val="single" w:color="000000" w:sz="4" w:space="0"/>
              <w:bottom w:val="single" w:color="000000" w:sz="4" w:space="0"/>
              <w:right w:val="single" w:color="000000" w:sz="4" w:space="0"/>
            </w:tcBorders>
            <w:vAlign w:val="center"/>
          </w:tcPr>
          <w:p w14:paraId="5D2F598F">
            <w:pPr>
              <w:spacing w:line="360" w:lineRule="auto"/>
              <w:ind w:left="5775" w:hanging="5775" w:hangingChars="2750"/>
              <w:jc w:val="center"/>
              <w:rPr>
                <w:rFonts w:hint="eastAsia" w:ascii="宋体" w:hAnsi="宋体" w:cs="宋体"/>
                <w:color w:val="000000" w:themeColor="text1"/>
                <w:szCs w:val="21"/>
                <w:highlight w:val="none"/>
                <w14:textFill>
                  <w14:solidFill>
                    <w14:schemeClr w14:val="tx1"/>
                  </w14:solidFill>
                </w14:textFill>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7C8B9957">
            <w:pPr>
              <w:spacing w:line="360" w:lineRule="auto"/>
              <w:ind w:left="5775" w:hanging="5775" w:hangingChars="2750"/>
              <w:jc w:val="center"/>
              <w:rPr>
                <w:rFonts w:hint="eastAsia" w:ascii="宋体" w:hAnsi="宋体" w:cs="宋体"/>
                <w:bCs/>
                <w:color w:val="000000" w:themeColor="text1"/>
                <w:szCs w:val="21"/>
                <w:highlight w:val="none"/>
                <w14:textFill>
                  <w14:solidFill>
                    <w14:schemeClr w14:val="tx1"/>
                  </w14:solidFill>
                </w14:textFill>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12868902">
            <w:pPr>
              <w:spacing w:line="360" w:lineRule="auto"/>
              <w:ind w:left="5775" w:hanging="5775" w:hangingChars="275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7.5</w:t>
            </w:r>
          </w:p>
        </w:tc>
        <w:tc>
          <w:tcPr>
            <w:tcW w:w="2075" w:type="pct"/>
            <w:tcBorders>
              <w:top w:val="single" w:color="000000" w:sz="4" w:space="0"/>
              <w:left w:val="single" w:color="000000" w:sz="4" w:space="0"/>
              <w:bottom w:val="single" w:color="000000" w:sz="4" w:space="0"/>
              <w:right w:val="single" w:color="000000" w:sz="4" w:space="0"/>
            </w:tcBorders>
            <w:vAlign w:val="center"/>
          </w:tcPr>
          <w:p w14:paraId="4E42C281">
            <w:pPr>
              <w:pStyle w:val="14"/>
              <w:tabs>
                <w:tab w:val="left" w:pos="600"/>
              </w:tabs>
              <w:ind w:firstLine="0"/>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施工进度计划及保证措施</w:t>
            </w:r>
          </w:p>
          <w:p w14:paraId="722CB237">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①施工前入户与业主协调沟通方案；</w:t>
            </w:r>
          </w:p>
          <w:p w14:paraId="5443732B">
            <w:pPr>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投标人</w:t>
            </w:r>
            <w:r>
              <w:rPr>
                <w:rFonts w:hint="eastAsia" w:ascii="宋体" w:hAnsi="宋体"/>
                <w:color w:val="000000" w:themeColor="text1"/>
                <w:sz w:val="21"/>
                <w:szCs w:val="21"/>
                <w:highlight w:val="none"/>
                <w14:textFill>
                  <w14:solidFill>
                    <w14:schemeClr w14:val="tx1"/>
                  </w14:solidFill>
                </w14:textFill>
              </w:rPr>
              <w:t>根据</w:t>
            </w:r>
            <w:r>
              <w:rPr>
                <w:rFonts w:hint="eastAsia" w:ascii="宋体" w:hAnsi="宋体"/>
                <w:color w:val="000000" w:themeColor="text1"/>
                <w:sz w:val="21"/>
                <w:szCs w:val="21"/>
                <w:highlight w:val="none"/>
                <w:lang w:val="en-US" w:eastAsia="zh-CN"/>
                <w14:textFill>
                  <w14:solidFill>
                    <w14:schemeClr w14:val="tx1"/>
                  </w14:solidFill>
                </w14:textFill>
              </w:rPr>
              <w:t>项目特点</w:t>
            </w:r>
            <w:r>
              <w:rPr>
                <w:rFonts w:hint="eastAsia" w:ascii="宋体" w:hAnsi="宋体"/>
                <w:color w:val="000000" w:themeColor="text1"/>
                <w:sz w:val="21"/>
                <w:szCs w:val="21"/>
                <w:highlight w:val="none"/>
                <w14:textFill>
                  <w14:solidFill>
                    <w14:schemeClr w14:val="tx1"/>
                  </w14:solidFill>
                </w14:textFill>
              </w:rPr>
              <w:t>提供有效</w:t>
            </w:r>
            <w:r>
              <w:rPr>
                <w:rFonts w:hint="eastAsia" w:ascii="宋体" w:hAnsi="宋体"/>
                <w:color w:val="000000" w:themeColor="text1"/>
                <w:sz w:val="21"/>
                <w:szCs w:val="21"/>
                <w:highlight w:val="none"/>
                <w:lang w:val="en-US" w:eastAsia="zh-CN"/>
                <w14:textFill>
                  <w14:solidFill>
                    <w14:schemeClr w14:val="tx1"/>
                  </w14:solidFill>
                </w14:textFill>
              </w:rPr>
              <w:t>的</w:t>
            </w:r>
            <w:r>
              <w:rPr>
                <w:rFonts w:hint="eastAsia" w:ascii="宋体" w:hAnsi="宋体"/>
                <w:color w:val="000000" w:themeColor="text1"/>
                <w:sz w:val="21"/>
                <w:szCs w:val="21"/>
                <w:highlight w:val="none"/>
                <w14:textFill>
                  <w14:solidFill>
                    <w14:schemeClr w14:val="tx1"/>
                  </w14:solidFill>
                </w14:textFill>
              </w:rPr>
              <w:t>入户</w:t>
            </w:r>
            <w:r>
              <w:rPr>
                <w:rFonts w:hint="eastAsia" w:ascii="宋体" w:hAnsi="宋体"/>
                <w:color w:val="000000" w:themeColor="text1"/>
                <w:sz w:val="21"/>
                <w:szCs w:val="21"/>
                <w:highlight w:val="none"/>
                <w:lang w:val="en-US" w:eastAsia="zh-CN"/>
                <w14:textFill>
                  <w14:solidFill>
                    <w14:schemeClr w14:val="tx1"/>
                  </w14:solidFill>
                </w14:textFill>
              </w:rPr>
              <w:t>方案，不限于前期摸排、意愿征询、法律政策依据、筹措分摊、加装维护、沟通协调技巧、矛盾化解等</w:t>
            </w:r>
            <w:r>
              <w:rPr>
                <w:rFonts w:hint="eastAsia" w:ascii="宋体" w:hAnsi="宋体"/>
                <w:color w:val="000000" w:themeColor="text1"/>
                <w:sz w:val="21"/>
                <w:szCs w:val="21"/>
                <w:highlight w:val="none"/>
                <w14:textFill>
                  <w14:solidFill>
                    <w14:schemeClr w14:val="tx1"/>
                  </w14:solidFill>
                </w14:textFill>
              </w:rPr>
              <w:t>协调沟通方案</w:t>
            </w:r>
            <w:r>
              <w:rPr>
                <w:rFonts w:hint="eastAsia" w:ascii="宋体" w:hAnsi="宋体"/>
                <w:color w:val="000000" w:themeColor="text1"/>
                <w:szCs w:val="21"/>
                <w:highlight w:val="none"/>
                <w14:textFill>
                  <w14:solidFill>
                    <w14:schemeClr w14:val="tx1"/>
                  </w14:solidFill>
                </w14:textFill>
              </w:rPr>
              <w:t>措施。</w:t>
            </w:r>
          </w:p>
          <w:p w14:paraId="37BDE2A4">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②施工进度计划编制；</w:t>
            </w:r>
          </w:p>
          <w:p w14:paraId="0AAC6E65">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须严格依据本项目总工期要求、施工工序及专业特点，编制科学可行的总体施工进度计划，采用横道图或网络图形式展示；明确总体施工流程、施工分段、流水作业排布、各专业穿插施工顺序，关键线路清晰、工期排布合理，完全满足招标文件总工期及阶段性节点要求。</w:t>
            </w:r>
          </w:p>
          <w:p w14:paraId="1413D0BE">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③关键节点控制计划；</w:t>
            </w:r>
          </w:p>
          <w:p w14:paraId="573BB767">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结合项目施工内容划分各阶段施工节点，明确准备阶段、主体施工阶段、专项施工阶段、收尾验收阶段工期安排；针对多专业交叉施工合理排布工序，避免工序冲突、工期延误。</w:t>
            </w:r>
          </w:p>
          <w:p w14:paraId="28F7D4F8">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④工期保障组织及技术措施；</w:t>
            </w:r>
          </w:p>
          <w:p w14:paraId="46B1ECCF">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建立进度管控体系，配备专项进度管理人员；针对本项目施工特点制定工序衔接、高效施工、质量前置保障、专项工艺提速等技术保障措施。</w:t>
            </w:r>
          </w:p>
          <w:p w14:paraId="32D69C50">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⑤工期风险预判及纠偏补救措施。</w:t>
            </w:r>
          </w:p>
          <w:p w14:paraId="6E377E1B">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结合现场工况、季节施工、交叉作业、材料进场、天气影响等风险点，制定进度滞后预警、动态调整、工期补救、抢工保障预案，确保总工期不变。</w:t>
            </w:r>
          </w:p>
        </w:tc>
        <w:tc>
          <w:tcPr>
            <w:tcW w:w="1559" w:type="pct"/>
            <w:tcBorders>
              <w:top w:val="single" w:color="000000" w:sz="4" w:space="0"/>
              <w:left w:val="single" w:color="000000" w:sz="4" w:space="0"/>
              <w:bottom w:val="single" w:color="000000" w:sz="4" w:space="0"/>
              <w:right w:val="single" w:color="000000" w:sz="4" w:space="0"/>
            </w:tcBorders>
            <w:vAlign w:val="center"/>
          </w:tcPr>
          <w:p w14:paraId="61EDB1DD">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每单项方案计</w:t>
            </w:r>
            <w:r>
              <w:rPr>
                <w:rFonts w:hint="eastAsia" w:ascii="宋体" w:hAnsi="宋体"/>
                <w:color w:val="000000" w:themeColor="text1"/>
                <w:szCs w:val="21"/>
                <w:highlight w:val="none"/>
                <w:lang w:val="en-US" w:eastAsia="zh-CN"/>
                <w14:textFill>
                  <w14:solidFill>
                    <w14:schemeClr w14:val="tx1"/>
                  </w14:solidFill>
                </w14:textFill>
              </w:rPr>
              <w:t>1.5</w:t>
            </w:r>
            <w:r>
              <w:rPr>
                <w:rFonts w:hint="eastAsia" w:ascii="宋体" w:hAnsi="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14:textFill>
                  <w14:solidFill>
                    <w14:schemeClr w14:val="tx1"/>
                  </w14:solidFill>
                </w14:textFill>
              </w:rPr>
              <w:t>单项方案措施中每存在1处缺陷的扣0.5分，扣完单项分值为止。出现下列任一情形的，单项得0分，不再执行按处扣分规则：①评审标准要求的核心评审子项缺项；②方案仅罗列标题、框架，无具体落地实施措施；③全部或主要内容直接复制其他项目方案，无针对本项目的针对性内容。</w:t>
            </w:r>
            <w:r>
              <w:rPr>
                <w:rFonts w:hint="eastAsia" w:ascii="宋体" w:hAnsi="宋体" w:cs="宋体"/>
                <w:color w:val="000000" w:themeColor="text1"/>
                <w:kern w:val="0"/>
                <w:szCs w:val="21"/>
                <w:highlight w:val="none"/>
                <w:shd w:val="clear" w:color="auto" w:fill="FFFFFF"/>
                <w14:textFill>
                  <w14:solidFill>
                    <w14:schemeClr w14:val="tx1"/>
                  </w14:solidFill>
                </w14:textFill>
              </w:rPr>
              <w:t xml:space="preserve"> </w:t>
            </w:r>
          </w:p>
        </w:tc>
      </w:tr>
      <w:tr w14:paraId="405C70DB">
        <w:tblPrEx>
          <w:tblCellMar>
            <w:top w:w="0" w:type="dxa"/>
            <w:left w:w="108" w:type="dxa"/>
            <w:bottom w:w="0" w:type="dxa"/>
            <w:right w:w="108" w:type="dxa"/>
          </w:tblCellMar>
        </w:tblPrEx>
        <w:trPr>
          <w:trHeight w:val="509" w:hRule="atLeast"/>
          <w:jc w:val="center"/>
        </w:trPr>
        <w:tc>
          <w:tcPr>
            <w:tcW w:w="360" w:type="pct"/>
            <w:vMerge w:val="continue"/>
            <w:tcBorders>
              <w:top w:val="single" w:color="000000" w:sz="4" w:space="0"/>
              <w:left w:val="single" w:color="000000" w:sz="4" w:space="0"/>
              <w:bottom w:val="single" w:color="000000" w:sz="4" w:space="0"/>
              <w:right w:val="single" w:color="000000" w:sz="4" w:space="0"/>
            </w:tcBorders>
            <w:vAlign w:val="center"/>
          </w:tcPr>
          <w:p w14:paraId="40DDF4E0">
            <w:pPr>
              <w:spacing w:line="360" w:lineRule="auto"/>
              <w:ind w:left="5775" w:hanging="5775" w:hangingChars="2750"/>
              <w:jc w:val="center"/>
              <w:rPr>
                <w:rFonts w:hint="eastAsia" w:ascii="宋体" w:hAnsi="宋体" w:cs="宋体"/>
                <w:color w:val="000000" w:themeColor="text1"/>
                <w:szCs w:val="21"/>
                <w:highlight w:val="none"/>
                <w14:textFill>
                  <w14:solidFill>
                    <w14:schemeClr w14:val="tx1"/>
                  </w14:solidFill>
                </w14:textFill>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1E081A9B">
            <w:pPr>
              <w:spacing w:line="360" w:lineRule="auto"/>
              <w:ind w:left="5775" w:hanging="5775" w:hangingChars="2750"/>
              <w:jc w:val="center"/>
              <w:rPr>
                <w:rFonts w:hint="eastAsia" w:ascii="宋体" w:hAnsi="宋体" w:cs="宋体"/>
                <w:bCs/>
                <w:color w:val="000000" w:themeColor="text1"/>
                <w:szCs w:val="21"/>
                <w:highlight w:val="none"/>
                <w14:textFill>
                  <w14:solidFill>
                    <w14:schemeClr w14:val="tx1"/>
                  </w14:solidFill>
                </w14:textFill>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37F16EFF">
            <w:pPr>
              <w:spacing w:line="360" w:lineRule="auto"/>
              <w:ind w:left="5775" w:hanging="5775" w:hangingChars="2750"/>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p>
        </w:tc>
        <w:tc>
          <w:tcPr>
            <w:tcW w:w="2075" w:type="pct"/>
            <w:tcBorders>
              <w:top w:val="single" w:color="000000" w:sz="4" w:space="0"/>
              <w:left w:val="single" w:color="000000" w:sz="4" w:space="0"/>
              <w:bottom w:val="single" w:color="000000" w:sz="4" w:space="0"/>
              <w:right w:val="single" w:color="000000" w:sz="4" w:space="0"/>
            </w:tcBorders>
            <w:vAlign w:val="center"/>
          </w:tcPr>
          <w:p w14:paraId="443BF970">
            <w:pPr>
              <w:pStyle w:val="14"/>
              <w:tabs>
                <w:tab w:val="left" w:pos="600"/>
              </w:tabs>
              <w:ind w:firstLine="0"/>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确保工程质量的组织措施</w:t>
            </w:r>
          </w:p>
          <w:p w14:paraId="4BDD1E7F">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①专项质量方案与控制点管控；</w:t>
            </w:r>
          </w:p>
          <w:p w14:paraId="7CE7BBAF">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结合本项目施工内容，编制专项质量施工方案，明确本项目关键工序、特殊工序及重点质量控制点，细化管控标准与验收要求，杜绝通用模板化内容。</w:t>
            </w:r>
          </w:p>
          <w:p w14:paraId="611828B3">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②全过程质量闭环管控；</w:t>
            </w:r>
          </w:p>
          <w:p w14:paraId="76DE4C3E">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严格落实班组自检、互检、专业交接检“三检制”；建立隐蔽工程技术交底、过程管控、影像留存、报验验收、问题整改闭环管理机制；落实原材料、构配件进场验收及复检制度，不合格材料严禁进场使用。</w:t>
            </w:r>
          </w:p>
          <w:p w14:paraId="491FD1F8">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③岗位质量责任制管理；</w:t>
            </w:r>
          </w:p>
          <w:p w14:paraId="64C70337">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建立健全项目质量岗位责任制，提供《项目管理人员岗位分工表》，明确项目管理人员的质量管控职责与工作流程；配套完善质量考核、奖罚及追责制度。</w:t>
            </w:r>
          </w:p>
          <w:p w14:paraId="41D332F1">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④质量通病防治、样板引路及成品保护。</w:t>
            </w:r>
          </w:p>
          <w:p w14:paraId="5E5618D9">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针对本项目施工特点制定质量通病专项防治措施；落实样板引路（样板先行）制度，关键工序、观感工序需先行完成实体或工艺样板，经建设或监理单位确认合格后，作为大面积施工的统一标准；建立全过程成品保护、交叉施工防护及完工管护措施，保障工程整体质量。</w:t>
            </w:r>
          </w:p>
        </w:tc>
        <w:tc>
          <w:tcPr>
            <w:tcW w:w="1559" w:type="pct"/>
            <w:tcBorders>
              <w:top w:val="single" w:color="000000" w:sz="4" w:space="0"/>
              <w:left w:val="single" w:color="000000" w:sz="4" w:space="0"/>
              <w:bottom w:val="single" w:color="000000" w:sz="4" w:space="0"/>
              <w:right w:val="single" w:color="000000" w:sz="4" w:space="0"/>
            </w:tcBorders>
            <w:vAlign w:val="center"/>
          </w:tcPr>
          <w:p w14:paraId="280419BF">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每单项方案计</w:t>
            </w:r>
            <w:r>
              <w:rPr>
                <w:rFonts w:hint="eastAsia" w:ascii="宋体" w:hAnsi="宋体"/>
                <w:color w:val="000000" w:themeColor="text1"/>
                <w:szCs w:val="21"/>
                <w:highlight w:val="none"/>
                <w:lang w:val="en-US" w:eastAsia="zh-CN"/>
                <w14:textFill>
                  <w14:solidFill>
                    <w14:schemeClr w14:val="tx1"/>
                  </w14:solidFill>
                </w14:textFill>
              </w:rPr>
              <w:t>1.5</w:t>
            </w:r>
            <w:r>
              <w:rPr>
                <w:rFonts w:hint="eastAsia" w:ascii="宋体" w:hAnsi="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14:textFill>
                  <w14:solidFill>
                    <w14:schemeClr w14:val="tx1"/>
                  </w14:solidFill>
                </w14:textFill>
              </w:rPr>
              <w:t>单项方案措施中每存在1处缺陷的扣0.5分，扣完单项分值为止。出现下列任一情形的，单项得0分，不再执行按处扣分规则：①评审标准要求的核心评审子项缺项；②方案仅罗列标题、框架，无具体落地实施措施；③全部或主要内容直接复制其他项目方案，无针对本项目的针对性内容。</w:t>
            </w:r>
            <w:r>
              <w:rPr>
                <w:rFonts w:hint="eastAsia" w:ascii="宋体" w:hAnsi="宋体" w:cs="宋体"/>
                <w:color w:val="000000" w:themeColor="text1"/>
                <w:kern w:val="0"/>
                <w:szCs w:val="21"/>
                <w:highlight w:val="none"/>
                <w:shd w:val="clear" w:color="auto" w:fill="FFFFFF"/>
                <w14:textFill>
                  <w14:solidFill>
                    <w14:schemeClr w14:val="tx1"/>
                  </w14:solidFill>
                </w14:textFill>
              </w:rPr>
              <w:t xml:space="preserve"> </w:t>
            </w:r>
          </w:p>
        </w:tc>
      </w:tr>
      <w:tr w14:paraId="12BC956D">
        <w:tblPrEx>
          <w:tblCellMar>
            <w:top w:w="0" w:type="dxa"/>
            <w:left w:w="108" w:type="dxa"/>
            <w:bottom w:w="0" w:type="dxa"/>
            <w:right w:w="108" w:type="dxa"/>
          </w:tblCellMar>
        </w:tblPrEx>
        <w:trPr>
          <w:trHeight w:val="3389" w:hRule="atLeast"/>
          <w:jc w:val="center"/>
        </w:trPr>
        <w:tc>
          <w:tcPr>
            <w:tcW w:w="360" w:type="pct"/>
            <w:tcBorders>
              <w:top w:val="single" w:color="000000" w:sz="4" w:space="0"/>
              <w:left w:val="single" w:color="000000" w:sz="4" w:space="0"/>
              <w:bottom w:val="single" w:color="000000" w:sz="4" w:space="0"/>
              <w:right w:val="single" w:color="000000" w:sz="4" w:space="0"/>
            </w:tcBorders>
            <w:vAlign w:val="center"/>
          </w:tcPr>
          <w:p w14:paraId="35624B70">
            <w:pPr>
              <w:spacing w:line="360" w:lineRule="auto"/>
              <w:ind w:left="5775" w:hanging="5775" w:hangingChars="2750"/>
              <w:jc w:val="center"/>
              <w:rPr>
                <w:rFonts w:hint="eastAsia" w:ascii="宋体" w:hAnsi="宋体" w:cs="宋体"/>
                <w:color w:val="000000" w:themeColor="text1"/>
                <w:szCs w:val="21"/>
                <w:highlight w:val="none"/>
                <w14:textFill>
                  <w14:solidFill>
                    <w14:schemeClr w14:val="tx1"/>
                  </w14:solidFill>
                </w14:textFill>
              </w:rPr>
            </w:pPr>
          </w:p>
        </w:tc>
        <w:tc>
          <w:tcPr>
            <w:tcW w:w="615" w:type="pct"/>
            <w:tcBorders>
              <w:top w:val="single" w:color="000000" w:sz="4" w:space="0"/>
              <w:left w:val="single" w:color="000000" w:sz="4" w:space="0"/>
              <w:bottom w:val="single" w:color="000000" w:sz="4" w:space="0"/>
              <w:right w:val="single" w:color="000000" w:sz="4" w:space="0"/>
            </w:tcBorders>
            <w:vAlign w:val="center"/>
          </w:tcPr>
          <w:p w14:paraId="16F4E547">
            <w:pPr>
              <w:spacing w:line="360" w:lineRule="auto"/>
              <w:ind w:left="5775" w:hanging="5775" w:hangingChars="2750"/>
              <w:jc w:val="center"/>
              <w:rPr>
                <w:rFonts w:hint="eastAsia" w:ascii="宋体" w:hAnsi="宋体" w:cs="宋体"/>
                <w:bCs/>
                <w:color w:val="000000" w:themeColor="text1"/>
                <w:szCs w:val="21"/>
                <w:highlight w:val="none"/>
                <w14:textFill>
                  <w14:solidFill>
                    <w14:schemeClr w14:val="tx1"/>
                  </w14:solidFill>
                </w14:textFill>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4C0C8340">
            <w:pPr>
              <w:spacing w:line="360" w:lineRule="auto"/>
              <w:ind w:left="5775" w:hanging="5775" w:hangingChars="275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9</w:t>
            </w:r>
          </w:p>
        </w:tc>
        <w:tc>
          <w:tcPr>
            <w:tcW w:w="2075" w:type="pct"/>
            <w:tcBorders>
              <w:top w:val="single" w:color="000000" w:sz="4" w:space="0"/>
              <w:left w:val="single" w:color="000000" w:sz="4" w:space="0"/>
              <w:bottom w:val="single" w:color="000000" w:sz="4" w:space="0"/>
              <w:right w:val="single" w:color="000000" w:sz="4" w:space="0"/>
            </w:tcBorders>
            <w:vAlign w:val="center"/>
          </w:tcPr>
          <w:p w14:paraId="1713F968">
            <w:pPr>
              <w:pStyle w:val="14"/>
              <w:tabs>
                <w:tab w:val="left" w:pos="600"/>
              </w:tabs>
              <w:ind w:firstLine="0"/>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售后服务</w:t>
            </w:r>
          </w:p>
          <w:p w14:paraId="7453C55F">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①售后人员及管理制度；</w:t>
            </w:r>
          </w:p>
          <w:p w14:paraId="4CC7CF5D">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设置本项目固定售后负责人，提供有效联系方式，建立售后服务管理制度；质保期内原则上不随意更换对接人员。</w:t>
            </w:r>
          </w:p>
          <w:p w14:paraId="286AF462">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②故障及缺陷处置机制；</w:t>
            </w:r>
          </w:p>
          <w:p w14:paraId="2A2E2606">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区分紧急故障、一般故障，明确报修受理方式、到场时限、整改完成时限、复查验收标准、返工追责机制。</w:t>
            </w:r>
          </w:p>
          <w:p w14:paraId="47758687">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③质保期维修范围界定。</w:t>
            </w:r>
          </w:p>
          <w:p w14:paraId="02B6B46D">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清晰列明质保期内免费维修、更换范围；同时明确不属于免费维保的情形。</w:t>
            </w:r>
          </w:p>
        </w:tc>
        <w:tc>
          <w:tcPr>
            <w:tcW w:w="1559" w:type="pct"/>
            <w:tcBorders>
              <w:top w:val="single" w:color="000000" w:sz="4" w:space="0"/>
              <w:left w:val="single" w:color="000000" w:sz="4" w:space="0"/>
              <w:bottom w:val="single" w:color="000000" w:sz="4" w:space="0"/>
              <w:right w:val="single" w:color="000000" w:sz="4" w:space="0"/>
            </w:tcBorders>
            <w:vAlign w:val="center"/>
          </w:tcPr>
          <w:p w14:paraId="363462BC">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每单项方案计</w:t>
            </w: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14:textFill>
                  <w14:solidFill>
                    <w14:schemeClr w14:val="tx1"/>
                  </w14:solidFill>
                </w14:textFill>
              </w:rPr>
              <w:t>单项方案措施中每存在1处缺陷的扣0.5分，扣完单项分值为止。出现下列任一情形的，单项得0分，不再执行按处扣分规则：①评审标准要求的核心评审子项缺项；②方案仅罗列标题、框架，无具体落地实施措施；③全部或主要内容直接复制其他项目方案，无针对本项目的针对性内容。</w:t>
            </w:r>
          </w:p>
        </w:tc>
      </w:tr>
      <w:tr w14:paraId="0B6BB865">
        <w:tblPrEx>
          <w:tblCellMar>
            <w:top w:w="0" w:type="dxa"/>
            <w:left w:w="108" w:type="dxa"/>
            <w:bottom w:w="0" w:type="dxa"/>
            <w:right w:w="108" w:type="dxa"/>
          </w:tblCellMar>
        </w:tblPrEx>
        <w:trPr>
          <w:trHeight w:val="1481" w:hRule="atLeast"/>
          <w:jc w:val="center"/>
        </w:trPr>
        <w:tc>
          <w:tcPr>
            <w:tcW w:w="360" w:type="pct"/>
            <w:tcBorders>
              <w:top w:val="single" w:color="000000" w:sz="4" w:space="0"/>
              <w:left w:val="single" w:color="000000" w:sz="4" w:space="0"/>
              <w:bottom w:val="single" w:color="000000" w:sz="4" w:space="0"/>
              <w:right w:val="single" w:color="000000" w:sz="4" w:space="0"/>
            </w:tcBorders>
            <w:vAlign w:val="center"/>
          </w:tcPr>
          <w:p w14:paraId="67BD39E2">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kern w:val="1"/>
                <w:szCs w:val="21"/>
                <w:highlight w:val="none"/>
                <w14:textFill>
                  <w14:solidFill>
                    <w14:schemeClr w14:val="tx1"/>
                  </w14:solidFill>
                </w14:textFill>
              </w:rPr>
              <w:t>3</w:t>
            </w:r>
          </w:p>
        </w:tc>
        <w:tc>
          <w:tcPr>
            <w:tcW w:w="615" w:type="pct"/>
            <w:tcBorders>
              <w:top w:val="single" w:color="000000" w:sz="4" w:space="0"/>
              <w:left w:val="single" w:color="000000" w:sz="4" w:space="0"/>
              <w:bottom w:val="single" w:color="000000" w:sz="4" w:space="0"/>
              <w:right w:val="single" w:color="000000" w:sz="4" w:space="0"/>
            </w:tcBorders>
            <w:vAlign w:val="center"/>
          </w:tcPr>
          <w:p w14:paraId="61627149">
            <w:pPr>
              <w:jc w:val="center"/>
              <w:rPr>
                <w:rFonts w:hint="eastAsia" w:ascii="宋体" w:hAnsi="宋体"/>
                <w:bCs/>
                <w:color w:val="000000" w:themeColor="text1"/>
                <w:kern w:val="1"/>
                <w:szCs w:val="21"/>
                <w:highlight w:val="none"/>
                <w14:textFill>
                  <w14:solidFill>
                    <w14:schemeClr w14:val="tx1"/>
                  </w14:solidFill>
                </w14:textFill>
              </w:rPr>
            </w:pPr>
            <w:r>
              <w:rPr>
                <w:rFonts w:hint="eastAsia" w:ascii="宋体" w:hAnsi="宋体"/>
                <w:bCs/>
                <w:color w:val="000000" w:themeColor="text1"/>
                <w:kern w:val="1"/>
                <w:szCs w:val="21"/>
                <w:highlight w:val="none"/>
                <w14:textFill>
                  <w14:solidFill>
                    <w14:schemeClr w14:val="tx1"/>
                  </w14:solidFill>
                </w14:textFill>
              </w:rPr>
              <w:t>商务部分</w:t>
            </w:r>
          </w:p>
          <w:p w14:paraId="18A0E3B9">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kern w:val="1"/>
                <w:szCs w:val="21"/>
                <w:highlight w:val="none"/>
                <w14:textFill>
                  <w14:solidFill>
                    <w14:schemeClr w14:val="tx1"/>
                  </w14:solidFill>
                </w14:textFill>
              </w:rPr>
              <w:t>10%</w:t>
            </w:r>
          </w:p>
        </w:tc>
        <w:tc>
          <w:tcPr>
            <w:tcW w:w="390" w:type="pct"/>
            <w:tcBorders>
              <w:top w:val="single" w:color="000000" w:sz="4" w:space="0"/>
              <w:left w:val="single" w:color="000000" w:sz="4" w:space="0"/>
              <w:bottom w:val="single" w:color="000000" w:sz="4" w:space="0"/>
              <w:right w:val="single" w:color="000000" w:sz="4" w:space="0"/>
            </w:tcBorders>
            <w:vAlign w:val="center"/>
          </w:tcPr>
          <w:p w14:paraId="6F4D00C1">
            <w:pPr>
              <w:spacing w:line="380" w:lineRule="exact"/>
              <w:ind w:firstLine="28"/>
              <w:jc w:val="cente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w:t>
            </w:r>
          </w:p>
        </w:tc>
        <w:tc>
          <w:tcPr>
            <w:tcW w:w="2075" w:type="pct"/>
            <w:tcBorders>
              <w:top w:val="single" w:color="000000" w:sz="4" w:space="0"/>
              <w:left w:val="single" w:color="000000" w:sz="4" w:space="0"/>
              <w:bottom w:val="single" w:color="000000" w:sz="4" w:space="0"/>
              <w:right w:val="single" w:color="000000" w:sz="4" w:space="0"/>
            </w:tcBorders>
            <w:vAlign w:val="center"/>
          </w:tcPr>
          <w:p w14:paraId="7822D011">
            <w:pPr>
              <w:pStyle w:val="14"/>
              <w:tabs>
                <w:tab w:val="left" w:pos="600"/>
              </w:tabs>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具有2021年1月1日起至今（时间以合同签订时间为准）的电梯加建施工项目类似业绩，每提供一个业绩得1分，最高得10分。</w:t>
            </w:r>
          </w:p>
          <w:p w14:paraId="6A950200">
            <w:pPr>
              <w:rPr>
                <w:b/>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注：业绩以合同的扫描(复印)件和任意一次付款发票为准,“主要内容”“签字盖章”“签订日期”等相关信息应在</w:t>
            </w:r>
            <w:r>
              <w:rPr>
                <w:rFonts w:hint="eastAsia" w:ascii="宋体" w:hAnsi="宋体"/>
                <w:color w:val="000000" w:themeColor="text1"/>
                <w:szCs w:val="21"/>
                <w:highlight w:val="none"/>
                <w:lang w:val="en-US" w:eastAsia="zh-CN"/>
                <w14:textFill>
                  <w14:solidFill>
                    <w14:schemeClr w14:val="tx1"/>
                  </w14:solidFill>
                </w14:textFill>
              </w:rPr>
              <w:t>业绩</w:t>
            </w:r>
            <w:r>
              <w:rPr>
                <w:rFonts w:hint="eastAsia" w:ascii="宋体" w:hAnsi="宋体"/>
                <w:color w:val="000000" w:themeColor="text1"/>
                <w:szCs w:val="21"/>
                <w:highlight w:val="none"/>
                <w14:textFill>
                  <w14:solidFill>
                    <w14:schemeClr w14:val="tx1"/>
                  </w14:solidFill>
                </w14:textFill>
              </w:rPr>
              <w:t>合同中有体现，无法直接体现的可进行佐证材料补充。</w:t>
            </w:r>
          </w:p>
        </w:tc>
        <w:tc>
          <w:tcPr>
            <w:tcW w:w="1559" w:type="pct"/>
            <w:tcBorders>
              <w:top w:val="single" w:color="000000" w:sz="4" w:space="0"/>
              <w:left w:val="single" w:color="000000" w:sz="4" w:space="0"/>
              <w:bottom w:val="single" w:color="000000" w:sz="4" w:space="0"/>
              <w:right w:val="single" w:color="000000" w:sz="4" w:space="0"/>
            </w:tcBorders>
            <w:vAlign w:val="center"/>
          </w:tcPr>
          <w:p w14:paraId="717AB481">
            <w:pPr>
              <w:spacing w:line="380" w:lineRule="exact"/>
              <w:rPr>
                <w:rFonts w:hint="eastAsia" w:ascii="宋体" w:hAnsi="宋体"/>
                <w:color w:val="000000" w:themeColor="text1"/>
                <w:szCs w:val="21"/>
                <w:highlight w:val="none"/>
                <w14:textFill>
                  <w14:solidFill>
                    <w14:schemeClr w14:val="tx1"/>
                  </w14:solidFill>
                </w14:textFill>
              </w:rPr>
            </w:pPr>
          </w:p>
        </w:tc>
      </w:tr>
      <w:tr w14:paraId="4BBE22E3">
        <w:tblPrEx>
          <w:tblCellMar>
            <w:top w:w="0" w:type="dxa"/>
            <w:left w:w="108" w:type="dxa"/>
            <w:bottom w:w="0" w:type="dxa"/>
            <w:right w:w="108" w:type="dxa"/>
          </w:tblCellMar>
        </w:tblPrEx>
        <w:trPr>
          <w:trHeight w:val="510" w:hRule="atLeast"/>
          <w:jc w:val="center"/>
        </w:trPr>
        <w:tc>
          <w:tcPr>
            <w:tcW w:w="3440" w:type="pct"/>
            <w:gridSpan w:val="4"/>
            <w:tcBorders>
              <w:top w:val="single" w:color="000000" w:sz="4" w:space="0"/>
              <w:left w:val="single" w:color="000000" w:sz="4" w:space="0"/>
              <w:bottom w:val="single" w:color="000000" w:sz="4" w:space="0"/>
              <w:right w:val="single" w:color="000000" w:sz="4" w:space="0"/>
            </w:tcBorders>
            <w:vAlign w:val="center"/>
          </w:tcPr>
          <w:p w14:paraId="3E8DB429">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∑(1+2+3+4)=100</w:t>
            </w:r>
          </w:p>
        </w:tc>
        <w:tc>
          <w:tcPr>
            <w:tcW w:w="1559" w:type="pct"/>
            <w:tcBorders>
              <w:top w:val="single" w:color="000000" w:sz="4" w:space="0"/>
              <w:left w:val="single" w:color="000000" w:sz="4" w:space="0"/>
              <w:bottom w:val="single" w:color="000000" w:sz="4" w:space="0"/>
              <w:right w:val="single" w:color="000000" w:sz="4" w:space="0"/>
            </w:tcBorders>
            <w:vAlign w:val="center"/>
          </w:tcPr>
          <w:p w14:paraId="5D456EF2">
            <w:pPr>
              <w:rPr>
                <w:rFonts w:hint="eastAsia" w:ascii="宋体" w:hAnsi="宋体"/>
                <w:color w:val="000000" w:themeColor="text1"/>
                <w:szCs w:val="21"/>
                <w:highlight w:val="none"/>
                <w14:textFill>
                  <w14:solidFill>
                    <w14:schemeClr w14:val="tx1"/>
                  </w14:solidFill>
                </w14:textFill>
              </w:rPr>
            </w:pPr>
          </w:p>
        </w:tc>
      </w:tr>
      <w:tr w14:paraId="1BFF06CE">
        <w:tblPrEx>
          <w:tblCellMar>
            <w:top w:w="0" w:type="dxa"/>
            <w:left w:w="108" w:type="dxa"/>
            <w:bottom w:w="0" w:type="dxa"/>
            <w:right w:w="108" w:type="dxa"/>
          </w:tblCellMar>
        </w:tblPrEx>
        <w:trPr>
          <w:trHeight w:val="510"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vAlign w:val="center"/>
          </w:tcPr>
          <w:p w14:paraId="584D4AA9">
            <w:pP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备注：</w:t>
            </w:r>
            <w:r>
              <w:rPr>
                <w:rFonts w:hint="eastAsia" w:ascii="宋体" w:hAnsi="宋体"/>
                <w:color w:val="000000" w:themeColor="text1"/>
                <w:szCs w:val="21"/>
                <w:highlight w:val="none"/>
                <w14:textFill>
                  <w14:solidFill>
                    <w14:schemeClr w14:val="tx1"/>
                  </w14:solidFill>
                </w14:textFill>
              </w:rPr>
              <w:t>1.计分标准中所称缺陷包括但不限于：项目名称错误、建设地点错误、方案内容与本项目需求无关、方案内容矛盾或前后表述不一致、引用适用标准/规范错误、局部摘抄复制其他项目内容等情形。评判计量规则：一处独立问题计1处缺陷；同一自然段内多处同类瑕疵，合并计为1处缺陷；仅文字笔误不涉及方案实质的，按缺陷计处，不直接判定单项得0分。</w:t>
            </w:r>
          </w:p>
          <w:p w14:paraId="28361A53">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2.各评标委员会成员应按照本评标方法独立进行评审。 </w:t>
            </w:r>
          </w:p>
          <w:p w14:paraId="3E9CAF54">
            <w:pPr>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3.分项评分超出评分标准范围或评标委员会成员对客观评审因素评分不一致时，招标代理机构可以要求评标委员会复核或者书面说明理由。 </w:t>
            </w:r>
          </w:p>
        </w:tc>
      </w:tr>
    </w:tbl>
    <w:p w14:paraId="21B4C5C9">
      <w:pPr>
        <w:widowControl/>
        <w:autoSpaceDE w:val="0"/>
        <w:autoSpaceDN w:val="0"/>
        <w:spacing w:line="356" w:lineRule="auto"/>
        <w:ind w:right="51"/>
        <w:textAlignment w:val="bottom"/>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2.2 特殊情况的处理</w:t>
      </w:r>
    </w:p>
    <w:p w14:paraId="2F14654B">
      <w:pPr>
        <w:widowControl/>
        <w:autoSpaceDE w:val="0"/>
        <w:autoSpaceDN w:val="0"/>
        <w:spacing w:line="356" w:lineRule="auto"/>
        <w:ind w:right="53" w:firstLine="420" w:firstLineChars="200"/>
        <w:textAlignment w:val="bottom"/>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2.2.1 投标文件中如果出现计算错误，可按以下原则进行修正：</w:t>
      </w:r>
    </w:p>
    <w:p w14:paraId="3C7ECDB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（1）投标文件中的大写金额与小写金额不一致的，以大写金额为准；</w:t>
      </w:r>
    </w:p>
    <w:p w14:paraId="67A65BF6">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（2）投标文件中的总价金额与按单价计算的汇总金额不一致的，以单价计算的汇总金额为准；</w:t>
      </w:r>
    </w:p>
    <w:p w14:paraId="7422E9F2">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（3）投标文件中的单价金额有明显小数点错误的，以总价为准，并修改单价；</w:t>
      </w:r>
    </w:p>
    <w:p w14:paraId="7A75D33C">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（4）投标文件中有关分项表内容与“投标函(含投标函附录)”不一致的，以“投标函(含投标函附录)”为准；</w:t>
      </w:r>
    </w:p>
    <w:p w14:paraId="15359B69">
      <w:pPr>
        <w:pStyle w:val="24"/>
        <w:spacing w:line="356" w:lineRule="auto"/>
        <w:ind w:firstLine="42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（5）投标文件中图表与文字表述不一致的，以文字表述为准；</w:t>
      </w:r>
    </w:p>
    <w:p w14:paraId="4497D34D">
      <w:pPr>
        <w:widowControl/>
        <w:autoSpaceDE w:val="0"/>
        <w:autoSpaceDN w:val="0"/>
        <w:spacing w:line="356" w:lineRule="auto"/>
        <w:ind w:right="53" w:firstLine="420" w:firstLineChars="200"/>
        <w:textAlignment w:val="bottom"/>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（6）投标文件正本与副本不一致的，以正本为准；</w:t>
      </w:r>
    </w:p>
    <w:p w14:paraId="0F9207BE">
      <w:pPr>
        <w:pStyle w:val="7"/>
        <w:spacing w:line="356" w:lineRule="auto"/>
        <w:ind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（7）对不同文字文本投标文件的解释发生异议的，以中文文本为准。</w:t>
      </w:r>
    </w:p>
    <w:p w14:paraId="703FC489">
      <w:pPr>
        <w:widowControl/>
        <w:autoSpaceDE w:val="0"/>
        <w:autoSpaceDN w:val="0"/>
        <w:spacing w:line="356" w:lineRule="auto"/>
        <w:ind w:right="51" w:firstLine="422" w:firstLineChars="200"/>
        <w:textAlignment w:val="bottom"/>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按上述修正错误的方法调整的投标报价应对投标人具有约束力。如果投标人不接受修正后的价格，其投标将被拒绝。</w:t>
      </w:r>
    </w:p>
    <w:p w14:paraId="5963A4AB">
      <w:pPr>
        <w:adjustRightInd w:val="0"/>
        <w:snapToGrid w:val="0"/>
        <w:spacing w:line="356" w:lineRule="auto"/>
        <w:ind w:firstLine="420" w:firstLineChars="200"/>
        <w:rPr>
          <w:rFonts w:hint="eastAsia" w:ascii="宋体" w:hAnsi="宋体" w:cs="宋体"/>
          <w:b/>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2.2.2</w:t>
      </w:r>
      <w:r>
        <w:rPr>
          <w:rFonts w:hint="eastAsia" w:ascii="宋体" w:hAnsi="宋体" w:cs="宋体"/>
          <w:b/>
          <w:color w:val="000000" w:themeColor="text1"/>
          <w:kern w:val="0"/>
          <w:szCs w:val="21"/>
          <w:highlight w:val="none"/>
          <w14:textFill>
            <w14:solidFill>
              <w14:schemeClr w14:val="tx1"/>
            </w14:solidFill>
          </w14:textFill>
        </w:rPr>
        <w:t>报价异常处理</w:t>
      </w:r>
    </w:p>
    <w:p w14:paraId="5EB11959">
      <w:pPr>
        <w:widowControl/>
        <w:autoSpaceDE w:val="0"/>
        <w:autoSpaceDN w:val="0"/>
        <w:spacing w:line="356" w:lineRule="auto"/>
        <w:ind w:right="53" w:firstLine="420" w:firstLineChars="200"/>
        <w:textAlignment w:val="bottom"/>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   2.2.2.1 评标委员会认为投标人的报价明显低于其他通过符合性审查投标人的报价，有可能影响工程质量或者不能诚信履约的，应当要求其在评标现场合理的时间内提供书面说明，</w:t>
      </w:r>
      <w:r>
        <w:rPr>
          <w:rFonts w:hint="eastAsia" w:ascii="宋体" w:hAnsi="宋体" w:cs="宋体"/>
          <w:b/>
          <w:color w:val="000000" w:themeColor="text1"/>
          <w:kern w:val="0"/>
          <w:szCs w:val="21"/>
          <w:highlight w:val="none"/>
          <w14:textFill>
            <w14:solidFill>
              <w14:schemeClr w14:val="tx1"/>
            </w14:solidFill>
          </w14:textFill>
        </w:rPr>
        <w:t>必要时</w:t>
      </w:r>
      <w:r>
        <w:rPr>
          <w:rFonts w:hint="eastAsia" w:ascii="宋体" w:hAnsi="宋体" w:cs="宋体"/>
          <w:color w:val="000000" w:themeColor="text1"/>
          <w:kern w:val="0"/>
          <w:szCs w:val="21"/>
          <w:highlight w:val="none"/>
          <w14:textFill>
            <w14:solidFill>
              <w14:schemeClr w14:val="tx1"/>
            </w14:solidFill>
          </w14:textFill>
        </w:rPr>
        <w:t xml:space="preserve">提交相关证明材料。 </w:t>
      </w:r>
    </w:p>
    <w:p w14:paraId="4B265462">
      <w:pPr>
        <w:widowControl/>
        <w:autoSpaceDE w:val="0"/>
        <w:autoSpaceDN w:val="0"/>
        <w:spacing w:line="356" w:lineRule="auto"/>
        <w:ind w:right="53" w:firstLine="630" w:firstLineChars="300"/>
        <w:textAlignment w:val="bottom"/>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2.2.2.2 投标人证明其能够诚信履约并承诺中标后提供招标文件规定以外的履约担保的，可以继续参加评审，否则评标委员会应当将其作为无效投标处理。</w:t>
      </w:r>
    </w:p>
    <w:p w14:paraId="18800068">
      <w:pPr>
        <w:widowControl/>
        <w:autoSpaceDE w:val="0"/>
        <w:autoSpaceDN w:val="0"/>
        <w:spacing w:line="356" w:lineRule="auto"/>
        <w:ind w:right="53" w:firstLine="420" w:firstLineChars="200"/>
        <w:textAlignment w:val="bottom"/>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2.2.3 评标过程中，各种数值的计算结果，均保留两位小数，第三位“四舍五入”，但计算百分数时应精确到千分位，万分位“四舍五入”。</w:t>
      </w:r>
    </w:p>
    <w:p w14:paraId="019C503B">
      <w:pPr>
        <w:pStyle w:val="97"/>
        <w:spacing w:line="356" w:lineRule="auto"/>
        <w:ind w:firstLine="420" w:firstLineChars="200"/>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2.2.4 评标过程中，若出现本评标办法以外的特殊情况时，将暂停评标，待评委会商榷后，再进行评定。</w:t>
      </w:r>
    </w:p>
    <w:p w14:paraId="64BE8E9F">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2.2.5 </w:t>
      </w:r>
      <w:r>
        <w:rPr>
          <w:rFonts w:ascii="宋体" w:hAnsi="宋体"/>
          <w:color w:val="000000" w:themeColor="text1"/>
          <w:szCs w:val="21"/>
          <w:highlight w:val="none"/>
          <w14:textFill>
            <w14:solidFill>
              <w14:schemeClr w14:val="tx1"/>
            </w14:solidFill>
          </w14:textFill>
        </w:rPr>
        <w:t>评标报告签署后，采购人或者采购代理机构发现存在</w:t>
      </w:r>
      <w:r>
        <w:rPr>
          <w:rFonts w:hint="eastAsia" w:ascii="宋体" w:hAnsi="宋体"/>
          <w:color w:val="000000" w:themeColor="text1"/>
          <w:szCs w:val="21"/>
          <w:highlight w:val="none"/>
          <w14:textFill>
            <w14:solidFill>
              <w14:schemeClr w14:val="tx1"/>
            </w14:solidFill>
          </w14:textFill>
        </w:rPr>
        <w:t>本章第1.5.2条款</w:t>
      </w:r>
      <w:r>
        <w:rPr>
          <w:rFonts w:ascii="宋体" w:hAnsi="宋体"/>
          <w:color w:val="000000" w:themeColor="text1"/>
          <w:szCs w:val="21"/>
          <w:highlight w:val="none"/>
          <w14:textFill>
            <w14:solidFill>
              <w14:schemeClr w14:val="tx1"/>
            </w14:solidFill>
          </w14:textFill>
        </w:rPr>
        <w:t>情形之一的，应当组织原评标委员会进行重新评审，重新评审改变中标结果的，书面报</w:t>
      </w:r>
      <w:r>
        <w:rPr>
          <w:rFonts w:hint="eastAsia" w:ascii="宋体" w:hAnsi="宋体"/>
          <w:color w:val="000000" w:themeColor="text1"/>
          <w:szCs w:val="21"/>
          <w:highlight w:val="none"/>
          <w14:textFill>
            <w14:solidFill>
              <w14:schemeClr w14:val="tx1"/>
            </w14:solidFill>
          </w14:textFill>
        </w:rPr>
        <w:t>告采购人监督部门</w:t>
      </w:r>
      <w:r>
        <w:rPr>
          <w:rFonts w:ascii="宋体" w:hAnsi="宋体"/>
          <w:color w:val="000000" w:themeColor="text1"/>
          <w:szCs w:val="21"/>
          <w:highlight w:val="none"/>
          <w14:textFill>
            <w14:solidFill>
              <w14:schemeClr w14:val="tx1"/>
            </w14:solidFill>
          </w14:textFill>
        </w:rPr>
        <w:t>。</w:t>
      </w:r>
    </w:p>
    <w:p w14:paraId="7D724386">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w:t>
      </w:r>
      <w:r>
        <w:rPr>
          <w:rFonts w:ascii="宋体" w:hAnsi="宋体"/>
          <w:color w:val="000000" w:themeColor="text1"/>
          <w:szCs w:val="21"/>
          <w:highlight w:val="none"/>
          <w14:textFill>
            <w14:solidFill>
              <w14:schemeClr w14:val="tx1"/>
            </w14:solidFill>
          </w14:textFill>
        </w:rPr>
        <w:t>对本</w:t>
      </w:r>
      <w:r>
        <w:rPr>
          <w:rFonts w:hint="eastAsia" w:ascii="宋体" w:hAnsi="宋体"/>
          <w:color w:val="000000" w:themeColor="text1"/>
          <w:szCs w:val="21"/>
          <w:highlight w:val="none"/>
          <w14:textFill>
            <w14:solidFill>
              <w14:schemeClr w14:val="tx1"/>
            </w14:solidFill>
          </w14:textFill>
        </w:rPr>
        <w:t>章第1.7.2</w:t>
      </w:r>
      <w:r>
        <w:rPr>
          <w:rFonts w:ascii="宋体" w:hAnsi="宋体"/>
          <w:color w:val="000000" w:themeColor="text1"/>
          <w:szCs w:val="21"/>
          <w:highlight w:val="none"/>
          <w14:textFill>
            <w14:solidFill>
              <w14:schemeClr w14:val="tx1"/>
            </w14:solidFill>
          </w14:textFill>
        </w:rPr>
        <w:t>条</w:t>
      </w: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情形提出质疑的，采购代理机构应当组织原评标委员会进行重新评审，重新评审改变中标结果的，应当</w:t>
      </w:r>
      <w:r>
        <w:rPr>
          <w:rFonts w:hint="eastAsia" w:ascii="宋体" w:hAnsi="宋体"/>
          <w:color w:val="000000" w:themeColor="text1"/>
          <w:szCs w:val="21"/>
          <w:highlight w:val="none"/>
          <w14:textFill>
            <w14:solidFill>
              <w14:schemeClr w14:val="tx1"/>
            </w14:solidFill>
          </w14:textFill>
        </w:rPr>
        <w:t>书面</w:t>
      </w:r>
      <w:r>
        <w:rPr>
          <w:rFonts w:ascii="宋体" w:hAnsi="宋体"/>
          <w:color w:val="000000" w:themeColor="text1"/>
          <w:szCs w:val="21"/>
          <w:highlight w:val="none"/>
          <w14:textFill>
            <w14:solidFill>
              <w14:schemeClr w14:val="tx1"/>
            </w14:solidFill>
          </w14:textFill>
        </w:rPr>
        <w:t>报</w:t>
      </w:r>
      <w:r>
        <w:rPr>
          <w:rFonts w:hint="eastAsia" w:ascii="宋体" w:hAnsi="宋体"/>
          <w:color w:val="000000" w:themeColor="text1"/>
          <w:szCs w:val="21"/>
          <w:highlight w:val="none"/>
          <w14:textFill>
            <w14:solidFill>
              <w14:schemeClr w14:val="tx1"/>
            </w14:solidFill>
          </w14:textFill>
        </w:rPr>
        <w:t>告采购人监督部门</w:t>
      </w:r>
      <w:r>
        <w:rPr>
          <w:rFonts w:ascii="宋体" w:hAnsi="宋体"/>
          <w:color w:val="000000" w:themeColor="text1"/>
          <w:szCs w:val="21"/>
          <w:highlight w:val="none"/>
          <w14:textFill>
            <w14:solidFill>
              <w14:schemeClr w14:val="tx1"/>
            </w14:solidFill>
          </w14:textFill>
        </w:rPr>
        <w:t>。</w:t>
      </w:r>
    </w:p>
    <w:p w14:paraId="23956836">
      <w:pPr>
        <w:pStyle w:val="7"/>
        <w:spacing w:line="356" w:lineRule="auto"/>
        <w:ind w:firstLine="422"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2.2.</w:t>
      </w:r>
      <w:r>
        <w:rPr>
          <w:rFonts w:ascii="宋体" w:hAnsi="宋体"/>
          <w:b/>
          <w:color w:val="000000" w:themeColor="text1"/>
          <w:szCs w:val="21"/>
          <w:highlight w:val="none"/>
          <w14:textFill>
            <w14:solidFill>
              <w14:schemeClr w14:val="tx1"/>
            </w14:solidFill>
          </w14:textFill>
        </w:rPr>
        <w:t>6</w:t>
      </w:r>
      <w:r>
        <w:rPr>
          <w:rFonts w:hint="eastAsia" w:ascii="宋体" w:hAnsi="宋体"/>
          <w:b/>
          <w:color w:val="000000" w:themeColor="text1"/>
          <w:szCs w:val="21"/>
          <w:highlight w:val="none"/>
          <w14:textFill>
            <w14:solidFill>
              <w14:schemeClr w14:val="tx1"/>
            </w14:solidFill>
          </w14:textFill>
        </w:rPr>
        <w:t>评标争议处理原则</w:t>
      </w:r>
    </w:p>
    <w:p w14:paraId="35CBB543">
      <w:pPr>
        <w:pStyle w:val="14"/>
        <w:tabs>
          <w:tab w:val="left" w:pos="600"/>
        </w:tabs>
        <w:spacing w:line="356" w:lineRule="auto"/>
        <w:ind w:firstLine="420" w:firstLineChars="20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评标委员会在评审过程中，对投标文件符合性审查、对投标人投标文件作无效投标处理及其他需要共同认定的事项存在争议的，应当以少数服从多数的原则作出结论，但不得违反法律法规和招标文件的规定。有不同意见的评标委员会成员认为认定过程和结果不符合法律法规或者招标文件规定的，应当及时向采购人书面反映，采购人收到书面反映后，应当及时向采购人监督部门报告依法处理。</w:t>
      </w:r>
    </w:p>
    <w:p w14:paraId="62F5966B">
      <w:pPr>
        <w:pStyle w:val="7"/>
        <w:spacing w:line="356" w:lineRule="auto"/>
        <w:ind w:firstLine="422" w:firstLineChars="200"/>
        <w:rPr>
          <w:rFonts w:hint="eastAsia" w:ascii="宋体" w:hAnsi="宋体"/>
          <w:b/>
          <w:color w:val="000000" w:themeColor="text1"/>
          <w:szCs w:val="21"/>
          <w:highlight w:val="none"/>
          <w14:textFill>
            <w14:solidFill>
              <w14:schemeClr w14:val="tx1"/>
            </w14:solidFill>
          </w14:textFill>
        </w:rPr>
      </w:pPr>
      <w:bookmarkStart w:id="142" w:name="_Toc20651224"/>
      <w:r>
        <w:rPr>
          <w:rFonts w:hint="eastAsia" w:ascii="宋体" w:hAnsi="宋体"/>
          <w:b/>
          <w:color w:val="000000" w:themeColor="text1"/>
          <w:szCs w:val="21"/>
          <w:highlight w:val="none"/>
          <w14:textFill>
            <w14:solidFill>
              <w14:schemeClr w14:val="tx1"/>
            </w14:solidFill>
          </w14:textFill>
        </w:rPr>
        <w:t>2.2.</w:t>
      </w:r>
      <w:r>
        <w:rPr>
          <w:rFonts w:ascii="宋体" w:hAnsi="宋体"/>
          <w:b/>
          <w:color w:val="000000" w:themeColor="text1"/>
          <w:szCs w:val="21"/>
          <w:highlight w:val="none"/>
          <w14:textFill>
            <w14:solidFill>
              <w14:schemeClr w14:val="tx1"/>
            </w14:solidFill>
          </w14:textFill>
        </w:rPr>
        <w:t>7</w:t>
      </w:r>
      <w:r>
        <w:rPr>
          <w:rFonts w:hint="eastAsia" w:ascii="宋体" w:hAnsi="宋体"/>
          <w:b/>
          <w:color w:val="000000" w:themeColor="text1"/>
          <w:szCs w:val="21"/>
          <w:highlight w:val="none"/>
          <w14:textFill>
            <w14:solidFill>
              <w14:schemeClr w14:val="tx1"/>
            </w14:solidFill>
          </w14:textFill>
        </w:rPr>
        <w:t>停止评标</w:t>
      </w:r>
      <w:bookmarkEnd w:id="142"/>
    </w:p>
    <w:p w14:paraId="029860DD">
      <w:pPr>
        <w:pStyle w:val="14"/>
        <w:tabs>
          <w:tab w:val="left" w:pos="600"/>
        </w:tabs>
        <w:spacing w:line="356" w:lineRule="auto"/>
        <w:ind w:firstLine="420" w:firstLineChars="20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2AC8B788">
      <w:pPr>
        <w:pStyle w:val="7"/>
        <w:spacing w:line="356" w:lineRule="auto"/>
        <w:ind w:firstLine="422" w:firstLineChars="200"/>
        <w:rPr>
          <w:rFonts w:hint="eastAsia" w:ascii="宋体" w:hAnsi="宋体"/>
          <w:b/>
          <w:color w:val="000000" w:themeColor="text1"/>
          <w:szCs w:val="21"/>
          <w:highlight w:val="none"/>
          <w14:textFill>
            <w14:solidFill>
              <w14:schemeClr w14:val="tx1"/>
            </w14:solidFill>
          </w14:textFill>
        </w:rPr>
      </w:pPr>
      <w:bookmarkStart w:id="143" w:name="_Toc20651225"/>
      <w:r>
        <w:rPr>
          <w:rFonts w:hint="eastAsia" w:ascii="宋体" w:hAnsi="宋体"/>
          <w:b/>
          <w:color w:val="000000" w:themeColor="text1"/>
          <w:szCs w:val="21"/>
          <w:highlight w:val="none"/>
          <w14:textFill>
            <w14:solidFill>
              <w14:schemeClr w14:val="tx1"/>
            </w14:solidFill>
          </w14:textFill>
        </w:rPr>
        <w:t>2.2.</w:t>
      </w:r>
      <w:r>
        <w:rPr>
          <w:rFonts w:ascii="宋体" w:hAnsi="宋体"/>
          <w:b/>
          <w:color w:val="000000" w:themeColor="text1"/>
          <w:szCs w:val="21"/>
          <w:highlight w:val="none"/>
          <w14:textFill>
            <w14:solidFill>
              <w14:schemeClr w14:val="tx1"/>
            </w14:solidFill>
          </w14:textFill>
        </w:rPr>
        <w:t>8</w:t>
      </w:r>
      <w:r>
        <w:rPr>
          <w:rFonts w:hint="eastAsia" w:ascii="宋体" w:hAnsi="宋体"/>
          <w:b/>
          <w:color w:val="000000" w:themeColor="text1"/>
          <w:szCs w:val="21"/>
          <w:highlight w:val="none"/>
          <w14:textFill>
            <w14:solidFill>
              <w14:schemeClr w14:val="tx1"/>
            </w14:solidFill>
          </w14:textFill>
        </w:rPr>
        <w:t>重新组建评标委员会进行评标</w:t>
      </w:r>
      <w:bookmarkEnd w:id="143"/>
    </w:p>
    <w:p w14:paraId="7135AD8E">
      <w:pPr>
        <w:pStyle w:val="14"/>
        <w:tabs>
          <w:tab w:val="left" w:pos="600"/>
        </w:tabs>
        <w:spacing w:line="356" w:lineRule="auto"/>
        <w:ind w:firstLineChars="30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2.2.</w:t>
      </w:r>
      <w:r>
        <w:rPr>
          <w:rFonts w:ascii="宋体" w:hAnsi="宋体"/>
          <w:color w:val="000000" w:themeColor="text1"/>
          <w:sz w:val="21"/>
          <w:szCs w:val="21"/>
          <w:highlight w:val="none"/>
          <w14:textFill>
            <w14:solidFill>
              <w14:schemeClr w14:val="tx1"/>
            </w14:solidFill>
          </w14:textFill>
        </w:rPr>
        <w:t>8</w:t>
      </w:r>
      <w:r>
        <w:rPr>
          <w:rFonts w:hint="eastAsia" w:ascii="宋体" w:hAnsi="宋体"/>
          <w:color w:val="000000" w:themeColor="text1"/>
          <w:sz w:val="21"/>
          <w:szCs w:val="21"/>
          <w:highlight w:val="none"/>
          <w14:textFill>
            <w14:solidFill>
              <w14:schemeClr w14:val="tx1"/>
            </w14:solidFill>
          </w14:textFill>
        </w:rPr>
        <w:t>.1评标委员会或者其成员存在下列情形导致评标结果无效的，采购人、采购代理机构可以重新组建评标委员会进行评标，并书面报告采购人监督部门，但采购合同已经履行的除外：</w:t>
      </w:r>
    </w:p>
    <w:p w14:paraId="33500690">
      <w:pPr>
        <w:pStyle w:val="14"/>
        <w:tabs>
          <w:tab w:val="left" w:pos="600"/>
        </w:tabs>
        <w:spacing w:line="356" w:lineRule="auto"/>
        <w:ind w:firstLine="525" w:firstLineChars="25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（1）评标委员会组成不符合《中华人民共和国政府采购法》及实施条例等法律法规规定；</w:t>
      </w:r>
    </w:p>
    <w:p w14:paraId="2018A465">
      <w:pPr>
        <w:pStyle w:val="14"/>
        <w:tabs>
          <w:tab w:val="left" w:pos="600"/>
        </w:tabs>
        <w:spacing w:line="356" w:lineRule="auto"/>
        <w:ind w:firstLine="525" w:firstLineChars="25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（2）评标委员会及其成员独立评标受到非法干预的；</w:t>
      </w:r>
    </w:p>
    <w:p w14:paraId="6C67879D">
      <w:pPr>
        <w:pStyle w:val="14"/>
        <w:tabs>
          <w:tab w:val="left" w:pos="600"/>
        </w:tabs>
        <w:spacing w:line="356" w:lineRule="auto"/>
        <w:ind w:firstLine="525" w:firstLineChars="25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（3）有政府采购法实施条例第七十五条规定的违法行为的。</w:t>
      </w:r>
    </w:p>
    <w:p w14:paraId="5ACA7277">
      <w:pPr>
        <w:spacing w:line="356" w:lineRule="auto"/>
        <w:ind w:firstLine="630" w:firstLineChars="3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w:t>
      </w:r>
      <w:r>
        <w:rPr>
          <w:rFonts w:ascii="宋体" w:hAnsi="宋体"/>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.2有违法违规行为的原评标委员会成员不得参加重新组建的评标委员会。</w:t>
      </w:r>
    </w:p>
    <w:p w14:paraId="239636BE">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54BEE5FF">
      <w:pPr>
        <w:pStyle w:val="7"/>
        <w:spacing w:before="240" w:beforeLines="100" w:line="360" w:lineRule="auto"/>
        <w:ind w:firstLine="0"/>
        <w:jc w:val="center"/>
        <w:outlineLvl w:val="0"/>
        <w:rPr>
          <w:rFonts w:hint="eastAsia" w:ascii="黑体" w:hAnsi="宋体" w:eastAsia="黑体"/>
          <w:b/>
          <w:color w:val="000000" w:themeColor="text1"/>
          <w:kern w:val="44"/>
          <w:sz w:val="44"/>
          <w:szCs w:val="44"/>
          <w:highlight w:val="none"/>
          <w14:textFill>
            <w14:solidFill>
              <w14:schemeClr w14:val="tx1"/>
            </w14:solidFill>
          </w14:textFill>
        </w:rPr>
      </w:pPr>
      <w:bookmarkStart w:id="144" w:name="_Toc16661"/>
      <w:bookmarkStart w:id="145" w:name="_Toc21748"/>
      <w:r>
        <w:rPr>
          <w:rFonts w:hint="eastAsia" w:ascii="黑体" w:hAnsi="宋体" w:eastAsia="黑体"/>
          <w:b/>
          <w:color w:val="000000" w:themeColor="text1"/>
          <w:kern w:val="44"/>
          <w:sz w:val="44"/>
          <w:szCs w:val="44"/>
          <w:highlight w:val="none"/>
          <w14:textFill>
            <w14:solidFill>
              <w14:schemeClr w14:val="tx1"/>
            </w14:solidFill>
          </w14:textFill>
        </w:rPr>
        <w:t>第四章  采购</w:t>
      </w:r>
      <w:bookmarkEnd w:id="133"/>
      <w:bookmarkEnd w:id="144"/>
      <w:r>
        <w:rPr>
          <w:rFonts w:hint="eastAsia" w:ascii="黑体" w:hAnsi="宋体" w:eastAsia="黑体"/>
          <w:b/>
          <w:color w:val="000000" w:themeColor="text1"/>
          <w:kern w:val="44"/>
          <w:sz w:val="44"/>
          <w:szCs w:val="44"/>
          <w:highlight w:val="none"/>
          <w14:textFill>
            <w14:solidFill>
              <w14:schemeClr w14:val="tx1"/>
            </w14:solidFill>
          </w14:textFill>
        </w:rPr>
        <w:t>需求</w:t>
      </w:r>
      <w:bookmarkEnd w:id="145"/>
    </w:p>
    <w:p w14:paraId="3A8A52B6">
      <w:pPr>
        <w:widowControl/>
        <w:autoSpaceDE w:val="0"/>
        <w:autoSpaceDN w:val="0"/>
        <w:spacing w:line="356" w:lineRule="auto"/>
        <w:ind w:right="51"/>
        <w:textAlignment w:val="bottom"/>
        <w:outlineLvl w:val="1"/>
        <w:rPr>
          <w:rFonts w:hint="eastAsia" w:ascii="宋体" w:hAnsi="宋体" w:cs="宋体"/>
          <w:b/>
          <w:color w:val="000000" w:themeColor="text1"/>
          <w:sz w:val="28"/>
          <w:szCs w:val="28"/>
          <w:highlight w:val="none"/>
          <w14:textFill>
            <w14:solidFill>
              <w14:schemeClr w14:val="tx1"/>
            </w14:solidFill>
          </w14:textFill>
        </w:rPr>
      </w:pPr>
      <w:bookmarkStart w:id="146" w:name="_Toc22054_WPSOffice_Level2"/>
      <w:bookmarkStart w:id="147" w:name="_Toc20135"/>
      <w:bookmarkStart w:id="148" w:name="_Toc22242"/>
      <w:bookmarkStart w:id="149" w:name="_Toc1628312065"/>
      <w:bookmarkStart w:id="150" w:name="_Toc11631"/>
      <w:bookmarkStart w:id="151" w:name="_Toc2448"/>
      <w:bookmarkStart w:id="152" w:name="_Toc10541_WPSOffice_Level2"/>
      <w:bookmarkStart w:id="153" w:name="_Toc217446094"/>
      <w:bookmarkStart w:id="154" w:name="_Toc26091"/>
      <w:r>
        <w:rPr>
          <w:rFonts w:hint="eastAsia" w:ascii="宋体" w:hAnsi="宋体" w:cs="宋体"/>
          <w:b/>
          <w:color w:val="000000" w:themeColor="text1"/>
          <w:sz w:val="28"/>
          <w:szCs w:val="28"/>
          <w:highlight w:val="none"/>
          <w14:textFill>
            <w14:solidFill>
              <w14:schemeClr w14:val="tx1"/>
            </w14:solidFill>
          </w14:textFill>
        </w:rPr>
        <w:t>1.</w:t>
      </w:r>
      <w:bookmarkEnd w:id="146"/>
      <w:bookmarkEnd w:id="147"/>
      <w:bookmarkEnd w:id="148"/>
      <w:r>
        <w:rPr>
          <w:rFonts w:hint="eastAsia" w:ascii="宋体" w:hAnsi="宋体" w:cs="宋体"/>
          <w:b/>
          <w:color w:val="000000" w:themeColor="text1"/>
          <w:sz w:val="28"/>
          <w:szCs w:val="28"/>
          <w:highlight w:val="none"/>
          <w14:textFill>
            <w14:solidFill>
              <w14:schemeClr w14:val="tx1"/>
            </w14:solidFill>
          </w14:textFill>
        </w:rPr>
        <w:t>采购项目名称</w:t>
      </w:r>
      <w:bookmarkEnd w:id="149"/>
      <w:bookmarkEnd w:id="150"/>
    </w:p>
    <w:p w14:paraId="6793D93F">
      <w:pPr>
        <w:pStyle w:val="14"/>
        <w:tabs>
          <w:tab w:val="left" w:pos="600"/>
        </w:tabs>
        <w:spacing w:line="356" w:lineRule="auto"/>
        <w:ind w:firstLine="420" w:firstLineChars="200"/>
        <w:rPr>
          <w:rFonts w:hint="eastAsia" w:ascii="宋体" w:hAnsi="宋体" w:cs="宋体"/>
          <w:color w:val="000000" w:themeColor="text1"/>
          <w:sz w:val="21"/>
          <w:szCs w:val="21"/>
          <w:highlight w:val="none"/>
          <w14:textFill>
            <w14:solidFill>
              <w14:schemeClr w14:val="tx1"/>
            </w14:solidFill>
          </w14:textFill>
        </w:rPr>
      </w:pPr>
      <w:bookmarkStart w:id="155" w:name="_Toc20258_WPSOffice_Level2"/>
      <w:r>
        <w:rPr>
          <w:rFonts w:hint="eastAsia" w:ascii="宋体" w:hAnsi="宋体" w:cs="宋体"/>
          <w:color w:val="000000" w:themeColor="text1"/>
          <w:sz w:val="21"/>
          <w:szCs w:val="21"/>
          <w:highlight w:val="none"/>
          <w14:textFill>
            <w14:solidFill>
              <w14:schemeClr w14:val="tx1"/>
            </w14:solidFill>
          </w14:textFill>
        </w:rPr>
        <w:t>陕西测绘地理信息局既有住宅加装电梯项目（三期）首批工程（7号楼3单元、30号楼2单元、29号楼5、6单元），本项目所属行业为</w:t>
      </w:r>
      <w:r>
        <w:rPr>
          <w:rFonts w:hint="eastAsia" w:ascii="宋体" w:hAnsi="宋体" w:cs="宋体"/>
          <w:b/>
          <w:bCs/>
          <w:color w:val="000000" w:themeColor="text1"/>
          <w:sz w:val="21"/>
          <w:szCs w:val="21"/>
          <w:highlight w:val="none"/>
          <w14:textFill>
            <w14:solidFill>
              <w14:schemeClr w14:val="tx1"/>
            </w14:solidFill>
          </w14:textFill>
        </w:rPr>
        <w:t>建筑业</w:t>
      </w:r>
      <w:r>
        <w:rPr>
          <w:rFonts w:hint="eastAsia" w:ascii="宋体" w:hAnsi="宋体" w:cs="宋体"/>
          <w:color w:val="000000" w:themeColor="text1"/>
          <w:sz w:val="21"/>
          <w:szCs w:val="21"/>
          <w:highlight w:val="none"/>
          <w14:textFill>
            <w14:solidFill>
              <w14:schemeClr w14:val="tx1"/>
            </w14:solidFill>
          </w14:textFill>
        </w:rPr>
        <w:t>。</w:t>
      </w:r>
    </w:p>
    <w:bookmarkEnd w:id="155"/>
    <w:p w14:paraId="2E022A84">
      <w:pPr>
        <w:widowControl/>
        <w:autoSpaceDE w:val="0"/>
        <w:autoSpaceDN w:val="0"/>
        <w:spacing w:line="356" w:lineRule="auto"/>
        <w:ind w:right="51"/>
        <w:textAlignment w:val="bottom"/>
        <w:outlineLvl w:val="1"/>
        <w:rPr>
          <w:rFonts w:hint="eastAsia" w:ascii="宋体" w:hAnsi="宋体" w:cs="宋体"/>
          <w:b/>
          <w:color w:val="000000" w:themeColor="text1"/>
          <w:sz w:val="28"/>
          <w:szCs w:val="28"/>
          <w:highlight w:val="none"/>
          <w14:textFill>
            <w14:solidFill>
              <w14:schemeClr w14:val="tx1"/>
            </w14:solidFill>
          </w14:textFill>
        </w:rPr>
      </w:pPr>
      <w:bookmarkStart w:id="156" w:name="_Toc2560_WPSOffice_Level2"/>
      <w:bookmarkStart w:id="157" w:name="_Toc28639"/>
      <w:bookmarkStart w:id="158" w:name="_Toc938303336"/>
      <w:bookmarkStart w:id="159" w:name="_Toc12919"/>
      <w:bookmarkStart w:id="160" w:name="_Toc11384"/>
      <w:r>
        <w:rPr>
          <w:rFonts w:hint="eastAsia" w:ascii="宋体" w:hAnsi="宋体" w:cs="宋体"/>
          <w:b/>
          <w:color w:val="000000" w:themeColor="text1"/>
          <w:sz w:val="28"/>
          <w:szCs w:val="28"/>
          <w:highlight w:val="none"/>
          <w14:textFill>
            <w14:solidFill>
              <w14:schemeClr w14:val="tx1"/>
            </w14:solidFill>
          </w14:textFill>
        </w:rPr>
        <w:t>2.</w:t>
      </w:r>
      <w:bookmarkEnd w:id="156"/>
      <w:bookmarkEnd w:id="157"/>
      <w:bookmarkEnd w:id="158"/>
      <w:bookmarkEnd w:id="159"/>
      <w:r>
        <w:rPr>
          <w:rFonts w:hint="eastAsia" w:ascii="宋体" w:hAnsi="宋体" w:cs="宋体"/>
          <w:b/>
          <w:color w:val="000000" w:themeColor="text1"/>
          <w:sz w:val="28"/>
          <w:szCs w:val="28"/>
          <w:highlight w:val="none"/>
          <w14:textFill>
            <w14:solidFill>
              <w14:schemeClr w14:val="tx1"/>
            </w14:solidFill>
          </w14:textFill>
        </w:rPr>
        <w:t>发包人要求</w:t>
      </w:r>
      <w:bookmarkEnd w:id="160"/>
    </w:p>
    <w:p w14:paraId="2425E19F">
      <w:pPr>
        <w:adjustRightInd w:val="0"/>
        <w:snapToGrid w:val="0"/>
        <w:spacing w:line="356" w:lineRule="auto"/>
        <w:ind w:firstLine="210" w:firstLineChars="1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2.1项目概况、招标范围</w:t>
      </w:r>
    </w:p>
    <w:p w14:paraId="5C4D582B">
      <w:pPr>
        <w:pStyle w:val="108"/>
        <w:spacing w:line="356" w:lineRule="auto"/>
        <w:ind w:firstLine="420" w:firstLineChars="2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2.1.1项目概况：陕西测绘地理信息局家属院内7号楼3单元；30号楼2单元；29号楼5、6单元既有住宅4个单元加建电梯工程，电梯井道的建筑安装工程（含电气、装修）；电梯设备的采购安装；室外工程的土建和水暖电管线改造工程。</w:t>
      </w:r>
    </w:p>
    <w:p w14:paraId="1E3C476F">
      <w:pPr>
        <w:widowControl/>
        <w:tabs>
          <w:tab w:val="left" w:pos="1620"/>
        </w:tabs>
        <w:spacing w:line="356" w:lineRule="auto"/>
        <w:ind w:right="-197" w:rightChars="-94"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2.1.2招标范围：</w:t>
      </w:r>
      <w:r>
        <w:rPr>
          <w:rFonts w:hint="eastAsia" w:ascii="宋体" w:hAnsi="宋体"/>
          <w:color w:val="000000" w:themeColor="text1"/>
          <w:kern w:val="0"/>
          <w:szCs w:val="21"/>
          <w:highlight w:val="none"/>
          <w14:textFill>
            <w14:solidFill>
              <w14:schemeClr w14:val="tx1"/>
            </w14:solidFill>
          </w14:textFill>
        </w:rPr>
        <w:t>既有三栋住宅楼4 个单元加建电梯项目的建筑安装工程与电梯采购安装的施工、采购、安装、竣工验收，完成电梯特种设备运行许可手续办理等，其他内容详见设计施工图及招标工程量清单，本工程为交钥匙。</w:t>
      </w:r>
    </w:p>
    <w:p w14:paraId="098D30B0">
      <w:pPr>
        <w:spacing w:line="356" w:lineRule="auto"/>
        <w:ind w:firstLine="210" w:firstLineChars="1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2.2项目实施要求</w:t>
      </w:r>
    </w:p>
    <w:p w14:paraId="08918EBB">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（一）设备材料供应要求：</w:t>
      </w:r>
    </w:p>
    <w:p w14:paraId="531D57A7">
      <w:pPr>
        <w:spacing w:line="356" w:lineRule="auto"/>
        <w:ind w:left="105"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照合同约定的主材、设备品牌选用合格的产品，并明确其规格、型号、产地，并附鉴定证书，对主要设备材料必须先提交样品，经鉴定确认后，方可订货，不得使用未经检验或不合格的设备、材料，若发生此种情况，采购人将依法追究承包人相关责任，并由承包人赔偿由此造成的一切经济损失； </w:t>
      </w:r>
    </w:p>
    <w:p w14:paraId="27B87298">
      <w:pPr>
        <w:spacing w:line="356" w:lineRule="auto"/>
        <w:ind w:left="105"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承包人供应的材料应按合同规定按时、按质、按量供应，项目所需主要施工材料、设备等辅助材料均由承包人负责供应，必须满足设计要求和国家有关标准，并应具有合格证等质量证明资料，且经采购人确认后方可使用；采购人采用抽检办法责成承包人分批次进行检测，费用由承包人承担； </w:t>
      </w:r>
    </w:p>
    <w:p w14:paraId="6A10EB49">
      <w:pPr>
        <w:spacing w:line="356" w:lineRule="auto"/>
        <w:ind w:left="105"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（3）因材料质量不合格所造成的损失（包括仓库保管费）由材料承包人自行负责；</w:t>
      </w:r>
    </w:p>
    <w:p w14:paraId="261F46F5">
      <w:pPr>
        <w:spacing w:line="356" w:lineRule="auto"/>
        <w:ind w:left="105"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（4）因材料供应不及时造成停工待料时，其停、窝工等损失由承包人承担。</w:t>
      </w:r>
    </w:p>
    <w:p w14:paraId="18F1ED03">
      <w:pPr>
        <w:adjustRightInd w:val="0"/>
        <w:snapToGrid w:val="0"/>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（5）</w:t>
      </w:r>
      <w:r>
        <w:rPr>
          <w:rFonts w:hint="eastAsia" w:ascii="宋体" w:hAnsi="宋体"/>
          <w:color w:val="000000" w:themeColor="text1"/>
          <w:szCs w:val="21"/>
          <w:highlight w:val="none"/>
          <w14:textFill>
            <w14:solidFill>
              <w14:schemeClr w14:val="tx1"/>
            </w14:solidFill>
          </w14:textFill>
        </w:rPr>
        <w:t>强制节能产品政策见第二章3.4.1 节能产品、环境标志产品。</w:t>
      </w:r>
    </w:p>
    <w:p w14:paraId="141E54EC">
      <w:pPr>
        <w:adjustRightInd w:val="0"/>
        <w:snapToGrid w:val="0"/>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r>
        <w:rPr>
          <w:rFonts w:ascii="宋体" w:hAnsi="宋体" w:cs="宋体"/>
          <w:color w:val="000000" w:themeColor="text1"/>
          <w:spacing w:val="-2"/>
          <w:szCs w:val="21"/>
          <w:highlight w:val="none"/>
          <w14:textFill>
            <w14:solidFill>
              <w14:schemeClr w14:val="tx1"/>
            </w14:solidFill>
          </w14:textFill>
        </w:rPr>
        <w:t>主要材料、设备档次要求</w:t>
      </w:r>
      <w:r>
        <w:rPr>
          <w:rFonts w:hint="eastAsia" w:ascii="宋体" w:hAnsi="宋体" w:cs="宋体"/>
          <w:color w:val="000000" w:themeColor="text1"/>
          <w:spacing w:val="-2"/>
          <w:szCs w:val="21"/>
          <w:highlight w:val="none"/>
          <w14:textFill>
            <w14:solidFill>
              <w14:schemeClr w14:val="tx1"/>
            </w14:solidFill>
          </w14:textFill>
        </w:rPr>
        <w:t>（</w:t>
      </w:r>
      <w:r>
        <w:rPr>
          <w:rFonts w:hint="eastAsia" w:ascii="宋体" w:hAnsi="宋体" w:cs="宋体"/>
          <w:snapToGrid w:val="0"/>
          <w:color w:val="000000" w:themeColor="text1"/>
          <w:kern w:val="0"/>
          <w:szCs w:val="21"/>
          <w:highlight w:val="none"/>
          <w14:textFill>
            <w14:solidFill>
              <w14:schemeClr w14:val="tx1"/>
            </w14:solidFill>
          </w14:textFill>
        </w:rPr>
        <w:t>参照</w:t>
      </w:r>
      <w:r>
        <w:rPr>
          <w:rStyle w:val="102"/>
          <w:rFonts w:hint="default"/>
          <w:snapToGrid w:val="0"/>
          <w:color w:val="000000" w:themeColor="text1"/>
          <w:highlight w:val="none"/>
          <w14:textFill>
            <w14:solidFill>
              <w14:schemeClr w14:val="tx1"/>
            </w14:solidFill>
          </w14:textFill>
        </w:rPr>
        <w:t>或相当于</w:t>
      </w:r>
      <w:r>
        <w:rPr>
          <w:rFonts w:hint="eastAsia" w:ascii="宋体" w:hAnsi="宋体" w:cs="宋体"/>
          <w:color w:val="000000" w:themeColor="text1"/>
          <w:spacing w:val="-2"/>
          <w:szCs w:val="21"/>
          <w:highlight w:val="none"/>
          <w14:textFill>
            <w14:solidFill>
              <w14:schemeClr w14:val="tx1"/>
            </w14:solidFill>
          </w14:textFill>
        </w:rPr>
        <w:t>）</w:t>
      </w:r>
      <w:r>
        <w:rPr>
          <w:rFonts w:ascii="宋体" w:hAnsi="宋体" w:cs="宋体"/>
          <w:color w:val="000000" w:themeColor="text1"/>
          <w:spacing w:val="-2"/>
          <w:szCs w:val="21"/>
          <w:highlight w:val="none"/>
          <w14:textFill>
            <w14:solidFill>
              <w14:schemeClr w14:val="tx1"/>
            </w14:solidFill>
          </w14:textFill>
        </w:rPr>
        <w:t>如下：</w:t>
      </w:r>
    </w:p>
    <w:tbl>
      <w:tblPr>
        <w:tblStyle w:val="31"/>
        <w:tblW w:w="4996" w:type="pct"/>
        <w:tblInd w:w="0" w:type="dxa"/>
        <w:tblLayout w:type="autofit"/>
        <w:tblCellMar>
          <w:top w:w="0" w:type="dxa"/>
          <w:left w:w="108" w:type="dxa"/>
          <w:bottom w:w="0" w:type="dxa"/>
          <w:right w:w="108" w:type="dxa"/>
        </w:tblCellMar>
      </w:tblPr>
      <w:tblGrid>
        <w:gridCol w:w="959"/>
        <w:gridCol w:w="2657"/>
        <w:gridCol w:w="4025"/>
        <w:gridCol w:w="1527"/>
      </w:tblGrid>
      <w:tr w14:paraId="5374A673">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6AACAA7D">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序号</w:t>
            </w:r>
          </w:p>
        </w:tc>
        <w:tc>
          <w:tcPr>
            <w:tcW w:w="1449" w:type="pct"/>
            <w:tcBorders>
              <w:top w:val="single" w:color="000000" w:sz="4" w:space="0"/>
              <w:left w:val="single" w:color="000000" w:sz="4" w:space="0"/>
              <w:bottom w:val="single" w:color="000000" w:sz="4" w:space="0"/>
              <w:right w:val="single" w:color="000000" w:sz="4" w:space="0"/>
            </w:tcBorders>
            <w:vAlign w:val="center"/>
          </w:tcPr>
          <w:p w14:paraId="7D15658F">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材料名称</w:t>
            </w:r>
          </w:p>
        </w:tc>
        <w:tc>
          <w:tcPr>
            <w:tcW w:w="2195" w:type="pct"/>
            <w:tcBorders>
              <w:top w:val="single" w:color="000000" w:sz="4" w:space="0"/>
              <w:left w:val="single" w:color="000000" w:sz="4" w:space="0"/>
              <w:bottom w:val="single" w:color="000000" w:sz="4" w:space="0"/>
              <w:right w:val="single" w:color="000000" w:sz="4" w:space="0"/>
            </w:tcBorders>
            <w:vAlign w:val="center"/>
          </w:tcPr>
          <w:p w14:paraId="38E60B39">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参考品牌</w:t>
            </w:r>
          </w:p>
        </w:tc>
        <w:tc>
          <w:tcPr>
            <w:tcW w:w="833" w:type="pct"/>
            <w:tcBorders>
              <w:top w:val="single" w:color="000000" w:sz="4" w:space="0"/>
              <w:left w:val="single" w:color="000000" w:sz="4" w:space="0"/>
              <w:bottom w:val="single" w:color="000000" w:sz="4" w:space="0"/>
              <w:right w:val="single" w:color="000000" w:sz="4" w:space="0"/>
            </w:tcBorders>
            <w:vAlign w:val="center"/>
          </w:tcPr>
          <w:p w14:paraId="6C494F50">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备注</w:t>
            </w:r>
          </w:p>
        </w:tc>
      </w:tr>
      <w:tr w14:paraId="6B48F696">
        <w:tblPrEx>
          <w:tblCellMar>
            <w:top w:w="0" w:type="dxa"/>
            <w:left w:w="108" w:type="dxa"/>
            <w:bottom w:w="0" w:type="dxa"/>
            <w:right w:w="108" w:type="dxa"/>
          </w:tblCellMar>
        </w:tblPrEx>
        <w:trPr>
          <w:trHeight w:val="510" w:hRule="atLeast"/>
        </w:trPr>
        <w:tc>
          <w:tcPr>
            <w:tcW w:w="5000" w:type="pct"/>
            <w:gridSpan w:val="4"/>
            <w:tcBorders>
              <w:top w:val="single" w:color="000000" w:sz="4" w:space="0"/>
              <w:left w:val="single" w:color="000000" w:sz="4" w:space="0"/>
              <w:bottom w:val="single" w:color="000000" w:sz="4" w:space="0"/>
              <w:right w:val="single" w:color="000000" w:sz="4" w:space="0"/>
            </w:tcBorders>
            <w:vAlign w:val="center"/>
          </w:tcPr>
          <w:p w14:paraId="3D226351">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一、土建及装修</w:t>
            </w:r>
          </w:p>
        </w:tc>
      </w:tr>
      <w:tr w14:paraId="552E7242">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6928C25D">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w:t>
            </w:r>
          </w:p>
        </w:tc>
        <w:tc>
          <w:tcPr>
            <w:tcW w:w="1449" w:type="pct"/>
            <w:tcBorders>
              <w:top w:val="single" w:color="000000" w:sz="4" w:space="0"/>
              <w:left w:val="single" w:color="000000" w:sz="4" w:space="0"/>
              <w:bottom w:val="single" w:color="000000" w:sz="4" w:space="0"/>
              <w:right w:val="single" w:color="000000" w:sz="4" w:space="0"/>
            </w:tcBorders>
            <w:vAlign w:val="center"/>
          </w:tcPr>
          <w:p w14:paraId="5BB55CF3">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石</w:t>
            </w:r>
            <w:r>
              <w:rPr>
                <w:rStyle w:val="102"/>
                <w:rFonts w:hint="default"/>
                <w:snapToGrid w:val="0"/>
                <w:color w:val="000000" w:themeColor="text1"/>
                <w:highlight w:val="none"/>
                <w14:textFill>
                  <w14:solidFill>
                    <w14:schemeClr w14:val="tx1"/>
                  </w14:solidFill>
                </w14:textFill>
              </w:rPr>
              <w:t>膏板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57BBB715">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泰山、龙牌</w:t>
            </w:r>
            <w:r>
              <w:rPr>
                <w:rStyle w:val="102"/>
                <w:rFonts w:hint="default"/>
                <w:snapToGrid w:val="0"/>
                <w:color w:val="000000" w:themeColor="text1"/>
                <w:highlight w:val="none"/>
                <w14:textFill>
                  <w14:solidFill>
                    <w14:schemeClr w14:val="tx1"/>
                  </w14:solidFill>
                </w14:textFill>
              </w:rPr>
              <w:t>、北新</w:t>
            </w:r>
          </w:p>
        </w:tc>
        <w:tc>
          <w:tcPr>
            <w:tcW w:w="833" w:type="pct"/>
            <w:tcBorders>
              <w:top w:val="single" w:color="000000" w:sz="4" w:space="0"/>
              <w:left w:val="single" w:color="000000" w:sz="4" w:space="0"/>
              <w:bottom w:val="single" w:color="000000" w:sz="4" w:space="0"/>
              <w:right w:val="single" w:color="000000" w:sz="4" w:space="0"/>
            </w:tcBorders>
            <w:vAlign w:val="center"/>
          </w:tcPr>
          <w:p w14:paraId="576B948B">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1960B3B8">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71E23F0A">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w:t>
            </w:r>
          </w:p>
        </w:tc>
        <w:tc>
          <w:tcPr>
            <w:tcW w:w="1449" w:type="pct"/>
            <w:tcBorders>
              <w:top w:val="single" w:color="000000" w:sz="4" w:space="0"/>
              <w:left w:val="single" w:color="000000" w:sz="4" w:space="0"/>
              <w:bottom w:val="single" w:color="000000" w:sz="4" w:space="0"/>
              <w:right w:val="single" w:color="000000" w:sz="4" w:space="0"/>
            </w:tcBorders>
            <w:vAlign w:val="center"/>
          </w:tcPr>
          <w:p w14:paraId="0F996683">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矿棉板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0AFE5715">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泰山、龙</w:t>
            </w:r>
            <w:r>
              <w:rPr>
                <w:rStyle w:val="102"/>
                <w:rFonts w:hint="default"/>
                <w:snapToGrid w:val="0"/>
                <w:color w:val="000000" w:themeColor="text1"/>
                <w:highlight w:val="none"/>
                <w14:textFill>
                  <w14:solidFill>
                    <w14:schemeClr w14:val="tx1"/>
                  </w14:solidFill>
                </w14:textFill>
              </w:rPr>
              <w:t>牌、阿姆斯壮</w:t>
            </w:r>
          </w:p>
        </w:tc>
        <w:tc>
          <w:tcPr>
            <w:tcW w:w="833" w:type="pct"/>
            <w:tcBorders>
              <w:top w:val="single" w:color="000000" w:sz="4" w:space="0"/>
              <w:left w:val="single" w:color="000000" w:sz="4" w:space="0"/>
              <w:bottom w:val="single" w:color="000000" w:sz="4" w:space="0"/>
              <w:right w:val="single" w:color="000000" w:sz="4" w:space="0"/>
            </w:tcBorders>
            <w:vAlign w:val="center"/>
          </w:tcPr>
          <w:p w14:paraId="5A5F698A">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1914791B">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2DDB527E">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3</w:t>
            </w:r>
          </w:p>
        </w:tc>
        <w:tc>
          <w:tcPr>
            <w:tcW w:w="1449" w:type="pct"/>
            <w:tcBorders>
              <w:top w:val="single" w:color="000000" w:sz="4" w:space="0"/>
              <w:left w:val="single" w:color="000000" w:sz="4" w:space="0"/>
              <w:bottom w:val="single" w:color="000000" w:sz="4" w:space="0"/>
              <w:right w:val="single" w:color="000000" w:sz="4" w:space="0"/>
            </w:tcBorders>
            <w:vAlign w:val="center"/>
          </w:tcPr>
          <w:p w14:paraId="51F86B89">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抗</w:t>
            </w:r>
            <w:r>
              <w:rPr>
                <w:rStyle w:val="102"/>
                <w:rFonts w:hint="default"/>
                <w:snapToGrid w:val="0"/>
                <w:color w:val="000000" w:themeColor="text1"/>
                <w:highlight w:val="none"/>
                <w14:textFill>
                  <w14:solidFill>
                    <w14:schemeClr w14:val="tx1"/>
                  </w14:solidFill>
                </w14:textFill>
              </w:rPr>
              <w:t>倍特板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424256B6">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海格瑞恩</w:t>
            </w:r>
            <w:r>
              <w:rPr>
                <w:rStyle w:val="102"/>
                <w:rFonts w:hint="default"/>
                <w:snapToGrid w:val="0"/>
                <w:color w:val="000000" w:themeColor="text1"/>
                <w:highlight w:val="none"/>
                <w14:textFill>
                  <w14:solidFill>
                    <w14:schemeClr w14:val="tx1"/>
                  </w14:solidFill>
                </w14:textFill>
              </w:rPr>
              <w:t>、富美家、乐思福</w:t>
            </w:r>
          </w:p>
        </w:tc>
        <w:tc>
          <w:tcPr>
            <w:tcW w:w="833" w:type="pct"/>
            <w:tcBorders>
              <w:top w:val="single" w:color="000000" w:sz="4" w:space="0"/>
              <w:left w:val="single" w:color="000000" w:sz="4" w:space="0"/>
              <w:bottom w:val="single" w:color="000000" w:sz="4" w:space="0"/>
              <w:right w:val="single" w:color="000000" w:sz="4" w:space="0"/>
            </w:tcBorders>
            <w:vAlign w:val="center"/>
          </w:tcPr>
          <w:p w14:paraId="06056C32">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045FE286">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4176CA77">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4</w:t>
            </w:r>
          </w:p>
        </w:tc>
        <w:tc>
          <w:tcPr>
            <w:tcW w:w="1449" w:type="pct"/>
            <w:tcBorders>
              <w:top w:val="single" w:color="000000" w:sz="4" w:space="0"/>
              <w:left w:val="single" w:color="000000" w:sz="4" w:space="0"/>
              <w:bottom w:val="single" w:color="000000" w:sz="4" w:space="0"/>
              <w:right w:val="single" w:color="000000" w:sz="4" w:space="0"/>
            </w:tcBorders>
            <w:vAlign w:val="center"/>
          </w:tcPr>
          <w:p w14:paraId="0541FFEA">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铝单板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50036ED3">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西飞、华盛、方大</w:t>
            </w:r>
          </w:p>
        </w:tc>
        <w:tc>
          <w:tcPr>
            <w:tcW w:w="833" w:type="pct"/>
            <w:tcBorders>
              <w:top w:val="single" w:color="000000" w:sz="4" w:space="0"/>
              <w:left w:val="single" w:color="000000" w:sz="4" w:space="0"/>
              <w:bottom w:val="single" w:color="000000" w:sz="4" w:space="0"/>
              <w:right w:val="single" w:color="000000" w:sz="4" w:space="0"/>
            </w:tcBorders>
            <w:vAlign w:val="center"/>
          </w:tcPr>
          <w:p w14:paraId="2EBF850C">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3B6D8AEF">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6D81D4E4">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5</w:t>
            </w:r>
          </w:p>
        </w:tc>
        <w:tc>
          <w:tcPr>
            <w:tcW w:w="1449" w:type="pct"/>
            <w:tcBorders>
              <w:top w:val="single" w:color="000000" w:sz="4" w:space="0"/>
              <w:left w:val="single" w:color="000000" w:sz="4" w:space="0"/>
              <w:bottom w:val="single" w:color="000000" w:sz="4" w:space="0"/>
              <w:right w:val="single" w:color="000000" w:sz="4" w:space="0"/>
            </w:tcBorders>
            <w:vAlign w:val="center"/>
          </w:tcPr>
          <w:p w14:paraId="28D12118">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轻钢龙骨</w:t>
            </w:r>
          </w:p>
        </w:tc>
        <w:tc>
          <w:tcPr>
            <w:tcW w:w="2195" w:type="pct"/>
            <w:tcBorders>
              <w:top w:val="single" w:color="000000" w:sz="4" w:space="0"/>
              <w:left w:val="single" w:color="000000" w:sz="4" w:space="0"/>
              <w:bottom w:val="single" w:color="000000" w:sz="4" w:space="0"/>
              <w:right w:val="single" w:color="000000" w:sz="4" w:space="0"/>
            </w:tcBorders>
            <w:vAlign w:val="center"/>
          </w:tcPr>
          <w:p w14:paraId="79EF6FB4">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龙牌、泰山、北新、</w:t>
            </w:r>
            <w:r>
              <w:rPr>
                <w:rStyle w:val="103"/>
                <w:rFonts w:hint="default"/>
                <w:snapToGrid w:val="0"/>
                <w:color w:val="000000" w:themeColor="text1"/>
                <w:sz w:val="21"/>
                <w:szCs w:val="21"/>
                <w:highlight w:val="none"/>
                <w14:textFill>
                  <w14:solidFill>
                    <w14:schemeClr w14:val="tx1"/>
                  </w14:solidFill>
                </w14:textFill>
              </w:rPr>
              <w:t>黄河</w:t>
            </w:r>
          </w:p>
        </w:tc>
        <w:tc>
          <w:tcPr>
            <w:tcW w:w="833" w:type="pct"/>
            <w:tcBorders>
              <w:top w:val="single" w:color="000000" w:sz="4" w:space="0"/>
              <w:left w:val="single" w:color="000000" w:sz="4" w:space="0"/>
              <w:bottom w:val="single" w:color="000000" w:sz="4" w:space="0"/>
              <w:right w:val="single" w:color="000000" w:sz="4" w:space="0"/>
            </w:tcBorders>
            <w:vAlign w:val="center"/>
          </w:tcPr>
          <w:p w14:paraId="719D525C">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65CE7A21">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7477C1DF">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6</w:t>
            </w:r>
          </w:p>
        </w:tc>
        <w:tc>
          <w:tcPr>
            <w:tcW w:w="1449" w:type="pct"/>
            <w:tcBorders>
              <w:top w:val="single" w:color="000000" w:sz="4" w:space="0"/>
              <w:left w:val="single" w:color="000000" w:sz="4" w:space="0"/>
              <w:bottom w:val="single" w:color="000000" w:sz="4" w:space="0"/>
              <w:right w:val="single" w:color="000000" w:sz="4" w:space="0"/>
            </w:tcBorders>
            <w:vAlign w:val="center"/>
          </w:tcPr>
          <w:p w14:paraId="31557A0E">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地砖</w:t>
            </w:r>
          </w:p>
        </w:tc>
        <w:tc>
          <w:tcPr>
            <w:tcW w:w="2195" w:type="pct"/>
            <w:tcBorders>
              <w:top w:val="single" w:color="000000" w:sz="4" w:space="0"/>
              <w:left w:val="single" w:color="000000" w:sz="4" w:space="0"/>
              <w:bottom w:val="single" w:color="000000" w:sz="4" w:space="0"/>
              <w:right w:val="single" w:color="000000" w:sz="4" w:space="0"/>
            </w:tcBorders>
            <w:vAlign w:val="center"/>
          </w:tcPr>
          <w:p w14:paraId="3738303F">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宏宇、欧美、冠珠</w:t>
            </w:r>
          </w:p>
        </w:tc>
        <w:tc>
          <w:tcPr>
            <w:tcW w:w="833" w:type="pct"/>
            <w:tcBorders>
              <w:top w:val="single" w:color="000000" w:sz="4" w:space="0"/>
              <w:left w:val="single" w:color="000000" w:sz="4" w:space="0"/>
              <w:bottom w:val="single" w:color="000000" w:sz="4" w:space="0"/>
              <w:right w:val="single" w:color="000000" w:sz="4" w:space="0"/>
            </w:tcBorders>
            <w:vAlign w:val="center"/>
          </w:tcPr>
          <w:p w14:paraId="019FAD78">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360B57F7">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3D304444">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7</w:t>
            </w:r>
          </w:p>
        </w:tc>
        <w:tc>
          <w:tcPr>
            <w:tcW w:w="1449" w:type="pct"/>
            <w:tcBorders>
              <w:top w:val="single" w:color="000000" w:sz="4" w:space="0"/>
              <w:left w:val="single" w:color="000000" w:sz="4" w:space="0"/>
              <w:bottom w:val="single" w:color="000000" w:sz="4" w:space="0"/>
              <w:right w:val="single" w:color="000000" w:sz="4" w:space="0"/>
            </w:tcBorders>
            <w:vAlign w:val="center"/>
          </w:tcPr>
          <w:p w14:paraId="7FB7C8CE">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木</w:t>
            </w:r>
            <w:r>
              <w:rPr>
                <w:rStyle w:val="102"/>
                <w:rFonts w:hint="default"/>
                <w:snapToGrid w:val="0"/>
                <w:color w:val="000000" w:themeColor="text1"/>
                <w:highlight w:val="none"/>
                <w14:textFill>
                  <w14:solidFill>
                    <w14:schemeClr w14:val="tx1"/>
                  </w14:solidFill>
                </w14:textFill>
              </w:rPr>
              <w:t>地板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489F7A73">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圣象、大自然、</w:t>
            </w:r>
            <w:r>
              <w:rPr>
                <w:rStyle w:val="102"/>
                <w:rFonts w:hint="default"/>
                <w:snapToGrid w:val="0"/>
                <w:color w:val="000000" w:themeColor="text1"/>
                <w:highlight w:val="none"/>
                <w14:textFill>
                  <w14:solidFill>
                    <w14:schemeClr w14:val="tx1"/>
                  </w14:solidFill>
                </w14:textFill>
              </w:rPr>
              <w:t>阿姆斯壮</w:t>
            </w:r>
          </w:p>
        </w:tc>
        <w:tc>
          <w:tcPr>
            <w:tcW w:w="833" w:type="pct"/>
            <w:tcBorders>
              <w:top w:val="single" w:color="000000" w:sz="4" w:space="0"/>
              <w:left w:val="single" w:color="000000" w:sz="4" w:space="0"/>
              <w:bottom w:val="single" w:color="000000" w:sz="4" w:space="0"/>
              <w:right w:val="single" w:color="000000" w:sz="4" w:space="0"/>
            </w:tcBorders>
            <w:vAlign w:val="center"/>
          </w:tcPr>
          <w:p w14:paraId="2929721C">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617D9C4C">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6C3A769E">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8</w:t>
            </w:r>
          </w:p>
        </w:tc>
        <w:tc>
          <w:tcPr>
            <w:tcW w:w="1449" w:type="pct"/>
            <w:tcBorders>
              <w:top w:val="single" w:color="000000" w:sz="4" w:space="0"/>
              <w:left w:val="single" w:color="000000" w:sz="4" w:space="0"/>
              <w:bottom w:val="single" w:color="000000" w:sz="4" w:space="0"/>
              <w:right w:val="single" w:color="000000" w:sz="4" w:space="0"/>
            </w:tcBorders>
            <w:vAlign w:val="center"/>
          </w:tcPr>
          <w:p w14:paraId="19E58E13">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防静电地板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1688405A">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沈飞、华集、汇</w:t>
            </w:r>
            <w:r>
              <w:rPr>
                <w:rStyle w:val="102"/>
                <w:rFonts w:hint="default"/>
                <w:snapToGrid w:val="0"/>
                <w:color w:val="000000" w:themeColor="text1"/>
                <w:highlight w:val="none"/>
                <w14:textFill>
                  <w14:solidFill>
                    <w14:schemeClr w14:val="tx1"/>
                  </w14:solidFill>
                </w14:textFill>
              </w:rPr>
              <w:t>利</w:t>
            </w:r>
          </w:p>
        </w:tc>
        <w:tc>
          <w:tcPr>
            <w:tcW w:w="833" w:type="pct"/>
            <w:tcBorders>
              <w:top w:val="single" w:color="000000" w:sz="4" w:space="0"/>
              <w:left w:val="single" w:color="000000" w:sz="4" w:space="0"/>
              <w:bottom w:val="single" w:color="000000" w:sz="4" w:space="0"/>
              <w:right w:val="single" w:color="000000" w:sz="4" w:space="0"/>
            </w:tcBorders>
            <w:vAlign w:val="center"/>
          </w:tcPr>
          <w:p w14:paraId="0419812F">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37B51F9B">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2AE2009A">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9</w:t>
            </w:r>
          </w:p>
        </w:tc>
        <w:tc>
          <w:tcPr>
            <w:tcW w:w="1449" w:type="pct"/>
            <w:tcBorders>
              <w:top w:val="single" w:color="000000" w:sz="4" w:space="0"/>
              <w:left w:val="single" w:color="000000" w:sz="4" w:space="0"/>
              <w:bottom w:val="single" w:color="000000" w:sz="4" w:space="0"/>
              <w:right w:val="single" w:color="000000" w:sz="4" w:space="0"/>
            </w:tcBorders>
            <w:vAlign w:val="center"/>
          </w:tcPr>
          <w:p w14:paraId="3B3DEA7D">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自</w:t>
            </w:r>
            <w:r>
              <w:rPr>
                <w:rStyle w:val="102"/>
                <w:rFonts w:hint="default"/>
                <w:snapToGrid w:val="0"/>
                <w:color w:val="000000" w:themeColor="text1"/>
                <w:highlight w:val="none"/>
                <w14:textFill>
                  <w14:solidFill>
                    <w14:schemeClr w14:val="tx1"/>
                  </w14:solidFill>
                </w14:textFill>
              </w:rPr>
              <w:t>流平</w:t>
            </w:r>
          </w:p>
        </w:tc>
        <w:tc>
          <w:tcPr>
            <w:tcW w:w="2195" w:type="pct"/>
            <w:tcBorders>
              <w:top w:val="single" w:color="000000" w:sz="4" w:space="0"/>
              <w:left w:val="single" w:color="000000" w:sz="4" w:space="0"/>
              <w:bottom w:val="single" w:color="000000" w:sz="4" w:space="0"/>
              <w:right w:val="single" w:color="000000" w:sz="4" w:space="0"/>
            </w:tcBorders>
            <w:vAlign w:val="center"/>
          </w:tcPr>
          <w:p w14:paraId="51598F62">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宝塔山、立邦、</w:t>
            </w:r>
            <w:r>
              <w:rPr>
                <w:rStyle w:val="102"/>
                <w:rFonts w:hint="default"/>
                <w:snapToGrid w:val="0"/>
                <w:color w:val="000000" w:themeColor="text1"/>
                <w:highlight w:val="none"/>
                <w14:textFill>
                  <w14:solidFill>
                    <w14:schemeClr w14:val="tx1"/>
                  </w14:solidFill>
                </w14:textFill>
              </w:rPr>
              <w:t>汇龙</w:t>
            </w:r>
          </w:p>
        </w:tc>
        <w:tc>
          <w:tcPr>
            <w:tcW w:w="833" w:type="pct"/>
            <w:tcBorders>
              <w:top w:val="single" w:color="000000" w:sz="4" w:space="0"/>
              <w:left w:val="single" w:color="000000" w:sz="4" w:space="0"/>
              <w:bottom w:val="single" w:color="000000" w:sz="4" w:space="0"/>
              <w:right w:val="single" w:color="000000" w:sz="4" w:space="0"/>
            </w:tcBorders>
            <w:vAlign w:val="center"/>
          </w:tcPr>
          <w:p w14:paraId="73DE7180">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428868BB">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3A8A4A8F">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10</w:t>
            </w:r>
          </w:p>
        </w:tc>
        <w:tc>
          <w:tcPr>
            <w:tcW w:w="1449" w:type="pct"/>
            <w:tcBorders>
              <w:top w:val="single" w:color="000000" w:sz="4" w:space="0"/>
              <w:left w:val="single" w:color="000000" w:sz="4" w:space="0"/>
              <w:bottom w:val="single" w:color="000000" w:sz="4" w:space="0"/>
              <w:right w:val="single" w:color="000000" w:sz="4" w:space="0"/>
            </w:tcBorders>
            <w:vAlign w:val="center"/>
          </w:tcPr>
          <w:p w14:paraId="665B3434">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石塑</w:t>
            </w:r>
            <w:r>
              <w:rPr>
                <w:rStyle w:val="102"/>
                <w:rFonts w:hint="default"/>
                <w:snapToGrid w:val="0"/>
                <w:color w:val="000000" w:themeColor="text1"/>
                <w:highlight w:val="none"/>
                <w14:textFill>
                  <w14:solidFill>
                    <w14:schemeClr w14:val="tx1"/>
                  </w14:solidFill>
                </w14:textFill>
              </w:rPr>
              <w:t>地板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53EE8A14">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阿姆斯</w:t>
            </w:r>
            <w:r>
              <w:rPr>
                <w:rStyle w:val="102"/>
                <w:rFonts w:hint="default"/>
                <w:snapToGrid w:val="0"/>
                <w:color w:val="000000" w:themeColor="text1"/>
                <w:highlight w:val="none"/>
                <w14:textFill>
                  <w14:solidFill>
                    <w14:schemeClr w14:val="tx1"/>
                  </w14:solidFill>
                </w14:textFill>
              </w:rPr>
              <w:t>壮、纳百利、华泰</w:t>
            </w:r>
          </w:p>
        </w:tc>
        <w:tc>
          <w:tcPr>
            <w:tcW w:w="833" w:type="pct"/>
            <w:tcBorders>
              <w:top w:val="single" w:color="000000" w:sz="4" w:space="0"/>
              <w:left w:val="single" w:color="000000" w:sz="4" w:space="0"/>
              <w:bottom w:val="single" w:color="000000" w:sz="4" w:space="0"/>
              <w:right w:val="single" w:color="000000" w:sz="4" w:space="0"/>
            </w:tcBorders>
            <w:vAlign w:val="center"/>
          </w:tcPr>
          <w:p w14:paraId="0133FD48">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68E93162">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0626A2E8">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11</w:t>
            </w:r>
          </w:p>
        </w:tc>
        <w:tc>
          <w:tcPr>
            <w:tcW w:w="1449" w:type="pct"/>
            <w:tcBorders>
              <w:top w:val="single" w:color="000000" w:sz="4" w:space="0"/>
              <w:left w:val="single" w:color="000000" w:sz="4" w:space="0"/>
              <w:bottom w:val="single" w:color="000000" w:sz="4" w:space="0"/>
              <w:right w:val="single" w:color="000000" w:sz="4" w:space="0"/>
            </w:tcBorders>
            <w:vAlign w:val="center"/>
          </w:tcPr>
          <w:p w14:paraId="13445C7A">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实</w:t>
            </w:r>
            <w:r>
              <w:rPr>
                <w:rStyle w:val="102"/>
                <w:rFonts w:hint="default"/>
                <w:snapToGrid w:val="0"/>
                <w:color w:val="000000" w:themeColor="text1"/>
                <w:highlight w:val="none"/>
                <w14:textFill>
                  <w14:solidFill>
                    <w14:schemeClr w14:val="tx1"/>
                  </w14:solidFill>
                </w14:textFill>
              </w:rPr>
              <w:t>木门</w:t>
            </w:r>
          </w:p>
        </w:tc>
        <w:tc>
          <w:tcPr>
            <w:tcW w:w="2195" w:type="pct"/>
            <w:tcBorders>
              <w:top w:val="single" w:color="000000" w:sz="4" w:space="0"/>
              <w:left w:val="single" w:color="000000" w:sz="4" w:space="0"/>
              <w:bottom w:val="single" w:color="000000" w:sz="4" w:space="0"/>
              <w:right w:val="single" w:color="000000" w:sz="4" w:space="0"/>
            </w:tcBorders>
            <w:vAlign w:val="center"/>
          </w:tcPr>
          <w:p w14:paraId="409C5EA8">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冠杰、美心、万通</w:t>
            </w:r>
            <w:r>
              <w:rPr>
                <w:rStyle w:val="102"/>
                <w:rFonts w:hint="default"/>
                <w:snapToGrid w:val="0"/>
                <w:color w:val="000000" w:themeColor="text1"/>
                <w:highlight w:val="none"/>
                <w14:textFill>
                  <w14:solidFill>
                    <w14:schemeClr w14:val="tx1"/>
                  </w14:solidFill>
                </w14:textFill>
              </w:rPr>
              <w:t>、盼盼</w:t>
            </w:r>
          </w:p>
        </w:tc>
        <w:tc>
          <w:tcPr>
            <w:tcW w:w="833" w:type="pct"/>
            <w:tcBorders>
              <w:top w:val="single" w:color="000000" w:sz="4" w:space="0"/>
              <w:left w:val="single" w:color="000000" w:sz="4" w:space="0"/>
              <w:bottom w:val="single" w:color="000000" w:sz="4" w:space="0"/>
              <w:right w:val="single" w:color="000000" w:sz="4" w:space="0"/>
            </w:tcBorders>
            <w:vAlign w:val="center"/>
          </w:tcPr>
          <w:p w14:paraId="49E81E8F">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37543C86">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551869D9">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12</w:t>
            </w:r>
          </w:p>
        </w:tc>
        <w:tc>
          <w:tcPr>
            <w:tcW w:w="1449" w:type="pct"/>
            <w:tcBorders>
              <w:top w:val="single" w:color="000000" w:sz="4" w:space="0"/>
              <w:left w:val="single" w:color="000000" w:sz="4" w:space="0"/>
              <w:bottom w:val="single" w:color="000000" w:sz="4" w:space="0"/>
              <w:right w:val="single" w:color="000000" w:sz="4" w:space="0"/>
            </w:tcBorders>
            <w:vAlign w:val="center"/>
          </w:tcPr>
          <w:p w14:paraId="24A17D3B">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门锁</w:t>
            </w:r>
          </w:p>
        </w:tc>
        <w:tc>
          <w:tcPr>
            <w:tcW w:w="2195" w:type="pct"/>
            <w:tcBorders>
              <w:top w:val="single" w:color="000000" w:sz="4" w:space="0"/>
              <w:left w:val="single" w:color="000000" w:sz="4" w:space="0"/>
              <w:bottom w:val="single" w:color="000000" w:sz="4" w:space="0"/>
              <w:right w:val="single" w:color="000000" w:sz="4" w:space="0"/>
            </w:tcBorders>
            <w:vAlign w:val="center"/>
          </w:tcPr>
          <w:p w14:paraId="624DFA47">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天阳、贝尔伯格、固力</w:t>
            </w:r>
          </w:p>
        </w:tc>
        <w:tc>
          <w:tcPr>
            <w:tcW w:w="833" w:type="pct"/>
            <w:tcBorders>
              <w:top w:val="single" w:color="000000" w:sz="4" w:space="0"/>
              <w:left w:val="single" w:color="000000" w:sz="4" w:space="0"/>
              <w:bottom w:val="single" w:color="000000" w:sz="4" w:space="0"/>
              <w:right w:val="single" w:color="000000" w:sz="4" w:space="0"/>
            </w:tcBorders>
            <w:vAlign w:val="center"/>
          </w:tcPr>
          <w:p w14:paraId="64875852">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2A4E80FC">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35A2A863">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13</w:t>
            </w:r>
          </w:p>
        </w:tc>
        <w:tc>
          <w:tcPr>
            <w:tcW w:w="1449" w:type="pct"/>
            <w:tcBorders>
              <w:top w:val="single" w:color="000000" w:sz="4" w:space="0"/>
              <w:left w:val="single" w:color="000000" w:sz="4" w:space="0"/>
              <w:bottom w:val="single" w:color="000000" w:sz="4" w:space="0"/>
              <w:right w:val="single" w:color="000000" w:sz="4" w:space="0"/>
            </w:tcBorders>
            <w:vAlign w:val="center"/>
          </w:tcPr>
          <w:p w14:paraId="3C22B149">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防盗门</w:t>
            </w:r>
          </w:p>
        </w:tc>
        <w:tc>
          <w:tcPr>
            <w:tcW w:w="2195" w:type="pct"/>
            <w:tcBorders>
              <w:top w:val="single" w:color="000000" w:sz="4" w:space="0"/>
              <w:left w:val="single" w:color="000000" w:sz="4" w:space="0"/>
              <w:bottom w:val="single" w:color="000000" w:sz="4" w:space="0"/>
              <w:right w:val="single" w:color="000000" w:sz="4" w:space="0"/>
            </w:tcBorders>
            <w:vAlign w:val="center"/>
          </w:tcPr>
          <w:p w14:paraId="19F816C3">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王力、步阳</w:t>
            </w:r>
            <w:r>
              <w:rPr>
                <w:rFonts w:ascii="宋体" w:hAnsi="宋体" w:cs="宋体"/>
                <w:snapToGrid w:val="0"/>
                <w:color w:val="000000" w:themeColor="text1"/>
                <w:kern w:val="0"/>
                <w:szCs w:val="21"/>
                <w:highlight w:val="none"/>
                <w14:textFill>
                  <w14:solidFill>
                    <w14:schemeClr w14:val="tx1"/>
                  </w14:solidFill>
                </w14:textFill>
              </w:rPr>
              <w:t>、</w:t>
            </w:r>
            <w:r>
              <w:rPr>
                <w:rFonts w:hint="eastAsia" w:ascii="宋体" w:hAnsi="宋体" w:cs="宋体"/>
                <w:snapToGrid w:val="0"/>
                <w:color w:val="000000" w:themeColor="text1"/>
                <w:kern w:val="0"/>
                <w:szCs w:val="21"/>
                <w:highlight w:val="none"/>
                <w14:textFill>
                  <w14:solidFill>
                    <w14:schemeClr w14:val="tx1"/>
                  </w14:solidFill>
                </w14:textFill>
              </w:rPr>
              <w:t>盼盼</w:t>
            </w:r>
          </w:p>
        </w:tc>
        <w:tc>
          <w:tcPr>
            <w:tcW w:w="833" w:type="pct"/>
            <w:tcBorders>
              <w:top w:val="single" w:color="000000" w:sz="4" w:space="0"/>
              <w:left w:val="single" w:color="000000" w:sz="4" w:space="0"/>
              <w:bottom w:val="single" w:color="000000" w:sz="4" w:space="0"/>
              <w:right w:val="single" w:color="000000" w:sz="4" w:space="0"/>
            </w:tcBorders>
            <w:vAlign w:val="center"/>
          </w:tcPr>
          <w:p w14:paraId="5D8DF720">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1C021492">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20B70EC7">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14</w:t>
            </w:r>
          </w:p>
        </w:tc>
        <w:tc>
          <w:tcPr>
            <w:tcW w:w="1449" w:type="pct"/>
            <w:tcBorders>
              <w:top w:val="single" w:color="000000" w:sz="4" w:space="0"/>
              <w:left w:val="single" w:color="000000" w:sz="4" w:space="0"/>
              <w:bottom w:val="single" w:color="000000" w:sz="4" w:space="0"/>
              <w:right w:val="single" w:color="000000" w:sz="4" w:space="0"/>
            </w:tcBorders>
            <w:vAlign w:val="center"/>
          </w:tcPr>
          <w:p w14:paraId="29BEA9DB">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型</w:t>
            </w:r>
            <w:r>
              <w:rPr>
                <w:rStyle w:val="103"/>
                <w:rFonts w:hint="default"/>
                <w:snapToGrid w:val="0"/>
                <w:color w:val="000000" w:themeColor="text1"/>
                <w:sz w:val="21"/>
                <w:szCs w:val="21"/>
                <w:highlight w:val="none"/>
                <w14:textFill>
                  <w14:solidFill>
                    <w14:schemeClr w14:val="tx1"/>
                  </w14:solidFill>
                </w14:textFill>
              </w:rPr>
              <w:t>材(含断桥铝合金</w:t>
            </w:r>
            <w:r>
              <w:rPr>
                <w:rStyle w:val="104"/>
                <w:rFonts w:hint="eastAsia" w:ascii="宋体" w:hAnsi="宋体" w:eastAsia="宋体" w:cs="宋体"/>
                <w:snapToGrid w:val="0"/>
                <w:color w:val="000000" w:themeColor="text1"/>
                <w:sz w:val="21"/>
                <w:szCs w:val="21"/>
                <w:highlight w:val="none"/>
                <w14:textFill>
                  <w14:solidFill>
                    <w14:schemeClr w14:val="tx1"/>
                  </w14:solidFill>
                </w14:textFill>
              </w:rPr>
              <w:t>)</w:t>
            </w:r>
          </w:p>
        </w:tc>
        <w:tc>
          <w:tcPr>
            <w:tcW w:w="2195" w:type="pct"/>
            <w:tcBorders>
              <w:top w:val="single" w:color="000000" w:sz="4" w:space="0"/>
              <w:left w:val="single" w:color="000000" w:sz="4" w:space="0"/>
              <w:bottom w:val="single" w:color="000000" w:sz="4" w:space="0"/>
              <w:right w:val="single" w:color="000000" w:sz="4" w:space="0"/>
            </w:tcBorders>
            <w:vAlign w:val="center"/>
          </w:tcPr>
          <w:p w14:paraId="12870DEE">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兴发、亚铝、西飞、</w:t>
            </w:r>
            <w:r>
              <w:rPr>
                <w:rStyle w:val="102"/>
                <w:rFonts w:hint="default"/>
                <w:snapToGrid w:val="0"/>
                <w:color w:val="000000" w:themeColor="text1"/>
                <w:highlight w:val="none"/>
                <w14:textFill>
                  <w14:solidFill>
                    <w14:schemeClr w14:val="tx1"/>
                  </w14:solidFill>
                </w14:textFill>
              </w:rPr>
              <w:t>高科</w:t>
            </w:r>
          </w:p>
        </w:tc>
        <w:tc>
          <w:tcPr>
            <w:tcW w:w="833" w:type="pct"/>
            <w:tcBorders>
              <w:top w:val="single" w:color="000000" w:sz="4" w:space="0"/>
              <w:left w:val="single" w:color="000000" w:sz="4" w:space="0"/>
              <w:bottom w:val="single" w:color="000000" w:sz="4" w:space="0"/>
              <w:right w:val="single" w:color="000000" w:sz="4" w:space="0"/>
            </w:tcBorders>
            <w:vAlign w:val="center"/>
          </w:tcPr>
          <w:p w14:paraId="622E0EFE">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690EB54F">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16DBE6E7">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15</w:t>
            </w:r>
          </w:p>
        </w:tc>
        <w:tc>
          <w:tcPr>
            <w:tcW w:w="1449" w:type="pct"/>
            <w:tcBorders>
              <w:top w:val="single" w:color="000000" w:sz="4" w:space="0"/>
              <w:left w:val="single" w:color="000000" w:sz="4" w:space="0"/>
              <w:bottom w:val="single" w:color="000000" w:sz="4" w:space="0"/>
              <w:right w:val="single" w:color="000000" w:sz="4" w:space="0"/>
            </w:tcBorders>
            <w:vAlign w:val="center"/>
          </w:tcPr>
          <w:p w14:paraId="0D35F8CC">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玻</w:t>
            </w:r>
            <w:r>
              <w:rPr>
                <w:rStyle w:val="102"/>
                <w:rFonts w:hint="default"/>
                <w:snapToGrid w:val="0"/>
                <w:color w:val="000000" w:themeColor="text1"/>
                <w:highlight w:val="none"/>
                <w14:textFill>
                  <w14:solidFill>
                    <w14:schemeClr w14:val="tx1"/>
                  </w14:solidFill>
                </w14:textFill>
              </w:rPr>
              <w:t>璃</w:t>
            </w:r>
          </w:p>
        </w:tc>
        <w:tc>
          <w:tcPr>
            <w:tcW w:w="2195" w:type="pct"/>
            <w:tcBorders>
              <w:top w:val="single" w:color="000000" w:sz="4" w:space="0"/>
              <w:left w:val="single" w:color="000000" w:sz="4" w:space="0"/>
              <w:bottom w:val="single" w:color="000000" w:sz="4" w:space="0"/>
              <w:right w:val="single" w:color="000000" w:sz="4" w:space="0"/>
            </w:tcBorders>
            <w:vAlign w:val="center"/>
          </w:tcPr>
          <w:p w14:paraId="6A966B85">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洛玻、蓝星、台</w:t>
            </w:r>
            <w:r>
              <w:rPr>
                <w:rStyle w:val="102"/>
                <w:rFonts w:hint="default"/>
                <w:snapToGrid w:val="0"/>
                <w:color w:val="000000" w:themeColor="text1"/>
                <w:highlight w:val="none"/>
                <w14:textFill>
                  <w14:solidFill>
                    <w14:schemeClr w14:val="tx1"/>
                  </w14:solidFill>
                </w14:textFill>
              </w:rPr>
              <w:t>玻</w:t>
            </w:r>
          </w:p>
        </w:tc>
        <w:tc>
          <w:tcPr>
            <w:tcW w:w="833" w:type="pct"/>
            <w:tcBorders>
              <w:top w:val="single" w:color="000000" w:sz="4" w:space="0"/>
              <w:left w:val="single" w:color="000000" w:sz="4" w:space="0"/>
              <w:bottom w:val="single" w:color="000000" w:sz="4" w:space="0"/>
              <w:right w:val="single" w:color="000000" w:sz="4" w:space="0"/>
            </w:tcBorders>
            <w:vAlign w:val="center"/>
          </w:tcPr>
          <w:p w14:paraId="27A7BD1C">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47D1324C">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744E853E">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16</w:t>
            </w:r>
          </w:p>
        </w:tc>
        <w:tc>
          <w:tcPr>
            <w:tcW w:w="1449" w:type="pct"/>
            <w:tcBorders>
              <w:top w:val="single" w:color="000000" w:sz="4" w:space="0"/>
              <w:left w:val="single" w:color="000000" w:sz="4" w:space="0"/>
              <w:bottom w:val="single" w:color="000000" w:sz="4" w:space="0"/>
              <w:right w:val="single" w:color="000000" w:sz="4" w:space="0"/>
            </w:tcBorders>
            <w:vAlign w:val="center"/>
          </w:tcPr>
          <w:p w14:paraId="035A8ACC">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五</w:t>
            </w:r>
            <w:r>
              <w:rPr>
                <w:rStyle w:val="102"/>
                <w:rFonts w:hint="default"/>
                <w:snapToGrid w:val="0"/>
                <w:color w:val="000000" w:themeColor="text1"/>
                <w:highlight w:val="none"/>
                <w14:textFill>
                  <w14:solidFill>
                    <w14:schemeClr w14:val="tx1"/>
                  </w14:solidFill>
                </w14:textFill>
              </w:rPr>
              <w:t>金配件</w:t>
            </w:r>
          </w:p>
        </w:tc>
        <w:tc>
          <w:tcPr>
            <w:tcW w:w="2195" w:type="pct"/>
            <w:tcBorders>
              <w:top w:val="single" w:color="000000" w:sz="4" w:space="0"/>
              <w:left w:val="single" w:color="000000" w:sz="4" w:space="0"/>
              <w:bottom w:val="single" w:color="000000" w:sz="4" w:space="0"/>
              <w:right w:val="single" w:color="000000" w:sz="4" w:space="0"/>
            </w:tcBorders>
            <w:vAlign w:val="center"/>
          </w:tcPr>
          <w:p w14:paraId="438B5D8B">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坚朗、施耐德、诺</w:t>
            </w:r>
            <w:r>
              <w:rPr>
                <w:rStyle w:val="102"/>
                <w:rFonts w:hint="default"/>
                <w:snapToGrid w:val="0"/>
                <w:color w:val="000000" w:themeColor="text1"/>
                <w:highlight w:val="none"/>
                <w14:textFill>
                  <w14:solidFill>
                    <w14:schemeClr w14:val="tx1"/>
                  </w14:solidFill>
                </w14:textFill>
              </w:rPr>
              <w:t>托</w:t>
            </w:r>
          </w:p>
        </w:tc>
        <w:tc>
          <w:tcPr>
            <w:tcW w:w="833" w:type="pct"/>
            <w:tcBorders>
              <w:top w:val="single" w:color="000000" w:sz="4" w:space="0"/>
              <w:left w:val="single" w:color="000000" w:sz="4" w:space="0"/>
              <w:bottom w:val="single" w:color="000000" w:sz="4" w:space="0"/>
              <w:right w:val="single" w:color="000000" w:sz="4" w:space="0"/>
            </w:tcBorders>
            <w:vAlign w:val="center"/>
          </w:tcPr>
          <w:p w14:paraId="5490887E">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70227303">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3F83765C">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17</w:t>
            </w:r>
          </w:p>
        </w:tc>
        <w:tc>
          <w:tcPr>
            <w:tcW w:w="1449" w:type="pct"/>
            <w:tcBorders>
              <w:top w:val="single" w:color="000000" w:sz="4" w:space="0"/>
              <w:left w:val="single" w:color="000000" w:sz="4" w:space="0"/>
              <w:bottom w:val="single" w:color="000000" w:sz="4" w:space="0"/>
              <w:right w:val="single" w:color="000000" w:sz="4" w:space="0"/>
            </w:tcBorders>
            <w:vAlign w:val="center"/>
          </w:tcPr>
          <w:p w14:paraId="31607EB7">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防</w:t>
            </w:r>
            <w:r>
              <w:rPr>
                <w:rStyle w:val="103"/>
                <w:rFonts w:hint="default"/>
                <w:snapToGrid w:val="0"/>
                <w:color w:val="000000" w:themeColor="text1"/>
                <w:sz w:val="21"/>
                <w:szCs w:val="21"/>
                <w:highlight w:val="none"/>
                <w14:textFill>
                  <w14:solidFill>
                    <w14:schemeClr w14:val="tx1"/>
                  </w14:solidFill>
                </w14:textFill>
              </w:rPr>
              <w:t>水卷材</w:t>
            </w:r>
          </w:p>
        </w:tc>
        <w:tc>
          <w:tcPr>
            <w:tcW w:w="2195" w:type="pct"/>
            <w:tcBorders>
              <w:top w:val="single" w:color="000000" w:sz="4" w:space="0"/>
              <w:left w:val="single" w:color="000000" w:sz="4" w:space="0"/>
              <w:bottom w:val="single" w:color="000000" w:sz="4" w:space="0"/>
              <w:right w:val="single" w:color="000000" w:sz="4" w:space="0"/>
            </w:tcBorders>
            <w:vAlign w:val="center"/>
          </w:tcPr>
          <w:p w14:paraId="5DE9FD68">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东方雨虹</w:t>
            </w:r>
            <w:r>
              <w:rPr>
                <w:rStyle w:val="103"/>
                <w:rFonts w:hint="default"/>
                <w:snapToGrid w:val="0"/>
                <w:color w:val="000000" w:themeColor="text1"/>
                <w:sz w:val="21"/>
                <w:szCs w:val="21"/>
                <w:highlight w:val="none"/>
                <w14:textFill>
                  <w14:solidFill>
                    <w14:schemeClr w14:val="tx1"/>
                  </w14:solidFill>
                </w14:textFill>
              </w:rPr>
              <w:t>、大禹、雨中情</w:t>
            </w:r>
          </w:p>
        </w:tc>
        <w:tc>
          <w:tcPr>
            <w:tcW w:w="833" w:type="pct"/>
            <w:tcBorders>
              <w:top w:val="single" w:color="000000" w:sz="4" w:space="0"/>
              <w:left w:val="single" w:color="000000" w:sz="4" w:space="0"/>
              <w:bottom w:val="single" w:color="000000" w:sz="4" w:space="0"/>
              <w:right w:val="single" w:color="000000" w:sz="4" w:space="0"/>
            </w:tcBorders>
            <w:vAlign w:val="center"/>
          </w:tcPr>
          <w:p w14:paraId="74AB7132">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38957B6B">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74A33100">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18</w:t>
            </w:r>
          </w:p>
        </w:tc>
        <w:tc>
          <w:tcPr>
            <w:tcW w:w="1449" w:type="pct"/>
            <w:tcBorders>
              <w:top w:val="single" w:color="000000" w:sz="4" w:space="0"/>
              <w:left w:val="single" w:color="000000" w:sz="4" w:space="0"/>
              <w:bottom w:val="single" w:color="000000" w:sz="4" w:space="0"/>
              <w:right w:val="single" w:color="000000" w:sz="4" w:space="0"/>
            </w:tcBorders>
            <w:vAlign w:val="center"/>
          </w:tcPr>
          <w:p w14:paraId="339BB108">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保温</w:t>
            </w:r>
            <w:r>
              <w:rPr>
                <w:rStyle w:val="103"/>
                <w:rFonts w:hint="default"/>
                <w:snapToGrid w:val="0"/>
                <w:color w:val="000000" w:themeColor="text1"/>
                <w:sz w:val="21"/>
                <w:szCs w:val="21"/>
                <w:highlight w:val="none"/>
                <w14:textFill>
                  <w14:solidFill>
                    <w14:schemeClr w14:val="tx1"/>
                  </w14:solidFill>
                </w14:textFill>
              </w:rPr>
              <w:t>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76E34643">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三秦合力、雅</w:t>
            </w:r>
            <w:r>
              <w:rPr>
                <w:rStyle w:val="103"/>
                <w:rFonts w:hint="default"/>
                <w:snapToGrid w:val="0"/>
                <w:color w:val="000000" w:themeColor="text1"/>
                <w:sz w:val="21"/>
                <w:szCs w:val="21"/>
                <w:highlight w:val="none"/>
                <w14:textFill>
                  <w14:solidFill>
                    <w14:schemeClr w14:val="tx1"/>
                  </w14:solidFill>
                </w14:textFill>
              </w:rPr>
              <w:t>士特、龙牌</w:t>
            </w:r>
          </w:p>
        </w:tc>
        <w:tc>
          <w:tcPr>
            <w:tcW w:w="833" w:type="pct"/>
            <w:tcBorders>
              <w:top w:val="single" w:color="000000" w:sz="4" w:space="0"/>
              <w:left w:val="single" w:color="000000" w:sz="4" w:space="0"/>
              <w:bottom w:val="single" w:color="000000" w:sz="4" w:space="0"/>
              <w:right w:val="single" w:color="000000" w:sz="4" w:space="0"/>
            </w:tcBorders>
            <w:vAlign w:val="center"/>
          </w:tcPr>
          <w:p w14:paraId="080B67B0">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0EA960E2">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59AC7F5A">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19</w:t>
            </w:r>
          </w:p>
        </w:tc>
        <w:tc>
          <w:tcPr>
            <w:tcW w:w="1449" w:type="pct"/>
            <w:tcBorders>
              <w:top w:val="single" w:color="000000" w:sz="4" w:space="0"/>
              <w:left w:val="single" w:color="000000" w:sz="4" w:space="0"/>
              <w:bottom w:val="single" w:color="000000" w:sz="4" w:space="0"/>
              <w:right w:val="single" w:color="000000" w:sz="4" w:space="0"/>
            </w:tcBorders>
            <w:vAlign w:val="center"/>
          </w:tcPr>
          <w:p w14:paraId="499E8479">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内</w:t>
            </w:r>
            <w:r>
              <w:rPr>
                <w:rStyle w:val="102"/>
                <w:rFonts w:hint="default"/>
                <w:snapToGrid w:val="0"/>
                <w:color w:val="000000" w:themeColor="text1"/>
                <w:highlight w:val="none"/>
                <w14:textFill>
                  <w14:solidFill>
                    <w14:schemeClr w14:val="tx1"/>
                  </w14:solidFill>
                </w14:textFill>
              </w:rPr>
              <w:t>外墙涂料、乳胶漆</w:t>
            </w:r>
          </w:p>
        </w:tc>
        <w:tc>
          <w:tcPr>
            <w:tcW w:w="2195" w:type="pct"/>
            <w:tcBorders>
              <w:top w:val="single" w:color="000000" w:sz="4" w:space="0"/>
              <w:left w:val="single" w:color="000000" w:sz="4" w:space="0"/>
              <w:bottom w:val="single" w:color="000000" w:sz="4" w:space="0"/>
              <w:right w:val="single" w:color="000000" w:sz="4" w:space="0"/>
            </w:tcBorders>
            <w:vAlign w:val="center"/>
          </w:tcPr>
          <w:p w14:paraId="614CFB8F">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立邦、三棵树、多乐士、华润、嘉宝莉</w:t>
            </w:r>
          </w:p>
        </w:tc>
        <w:tc>
          <w:tcPr>
            <w:tcW w:w="833" w:type="pct"/>
            <w:tcBorders>
              <w:top w:val="single" w:color="000000" w:sz="4" w:space="0"/>
              <w:left w:val="single" w:color="000000" w:sz="4" w:space="0"/>
              <w:bottom w:val="single" w:color="000000" w:sz="4" w:space="0"/>
              <w:right w:val="single" w:color="000000" w:sz="4" w:space="0"/>
            </w:tcBorders>
            <w:vAlign w:val="center"/>
          </w:tcPr>
          <w:p w14:paraId="615B827A">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2DDCDA12">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12F67A6C">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20</w:t>
            </w:r>
          </w:p>
        </w:tc>
        <w:tc>
          <w:tcPr>
            <w:tcW w:w="1449" w:type="pct"/>
            <w:tcBorders>
              <w:top w:val="single" w:color="000000" w:sz="4" w:space="0"/>
              <w:left w:val="single" w:color="000000" w:sz="4" w:space="0"/>
              <w:bottom w:val="single" w:color="000000" w:sz="4" w:space="0"/>
              <w:right w:val="single" w:color="000000" w:sz="4" w:space="0"/>
            </w:tcBorders>
            <w:vAlign w:val="center"/>
          </w:tcPr>
          <w:p w14:paraId="14C33D2E">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铝</w:t>
            </w:r>
            <w:r>
              <w:rPr>
                <w:rStyle w:val="102"/>
                <w:rFonts w:hint="default"/>
                <w:snapToGrid w:val="0"/>
                <w:color w:val="000000" w:themeColor="text1"/>
                <w:highlight w:val="none"/>
                <w14:textFill>
                  <w14:solidFill>
                    <w14:schemeClr w14:val="tx1"/>
                  </w14:solidFill>
                </w14:textFill>
              </w:rPr>
              <w:t>扣板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210ECD2D">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欧斯龙</w:t>
            </w:r>
            <w:r>
              <w:rPr>
                <w:rStyle w:val="102"/>
                <w:rFonts w:hint="default"/>
                <w:snapToGrid w:val="0"/>
                <w:color w:val="000000" w:themeColor="text1"/>
                <w:highlight w:val="none"/>
                <w14:textFill>
                  <w14:solidFill>
                    <w14:schemeClr w14:val="tx1"/>
                  </w14:solidFill>
                </w14:textFill>
              </w:rPr>
              <w:t>、欧陆、龙牌</w:t>
            </w:r>
          </w:p>
        </w:tc>
        <w:tc>
          <w:tcPr>
            <w:tcW w:w="833" w:type="pct"/>
            <w:tcBorders>
              <w:top w:val="single" w:color="000000" w:sz="4" w:space="0"/>
              <w:left w:val="single" w:color="000000" w:sz="4" w:space="0"/>
              <w:bottom w:val="single" w:color="000000" w:sz="4" w:space="0"/>
              <w:right w:val="single" w:color="000000" w:sz="4" w:space="0"/>
            </w:tcBorders>
            <w:vAlign w:val="center"/>
          </w:tcPr>
          <w:p w14:paraId="4FE20B6B">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4F95A9C8">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0CA6A1FC">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21</w:t>
            </w:r>
          </w:p>
        </w:tc>
        <w:tc>
          <w:tcPr>
            <w:tcW w:w="1449" w:type="pct"/>
            <w:tcBorders>
              <w:top w:val="single" w:color="000000" w:sz="4" w:space="0"/>
              <w:left w:val="single" w:color="000000" w:sz="4" w:space="0"/>
              <w:bottom w:val="single" w:color="000000" w:sz="4" w:space="0"/>
              <w:right w:val="single" w:color="000000" w:sz="4" w:space="0"/>
            </w:tcBorders>
            <w:vAlign w:val="center"/>
          </w:tcPr>
          <w:p w14:paraId="6FA0F1EC">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铝</w:t>
            </w:r>
            <w:r>
              <w:rPr>
                <w:rStyle w:val="102"/>
                <w:rFonts w:hint="default"/>
                <w:snapToGrid w:val="0"/>
                <w:color w:val="000000" w:themeColor="text1"/>
                <w:highlight w:val="none"/>
                <w14:textFill>
                  <w14:solidFill>
                    <w14:schemeClr w14:val="tx1"/>
                  </w14:solidFill>
                </w14:textFill>
              </w:rPr>
              <w:t>格栅</w:t>
            </w:r>
          </w:p>
        </w:tc>
        <w:tc>
          <w:tcPr>
            <w:tcW w:w="2195" w:type="pct"/>
            <w:tcBorders>
              <w:top w:val="single" w:color="000000" w:sz="4" w:space="0"/>
              <w:left w:val="single" w:color="000000" w:sz="4" w:space="0"/>
              <w:bottom w:val="single" w:color="000000" w:sz="4" w:space="0"/>
              <w:right w:val="single" w:color="000000" w:sz="4" w:space="0"/>
            </w:tcBorders>
            <w:vAlign w:val="center"/>
          </w:tcPr>
          <w:p w14:paraId="0C6DDF7A">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朗能</w:t>
            </w:r>
            <w:r>
              <w:rPr>
                <w:rStyle w:val="102"/>
                <w:rFonts w:hint="default"/>
                <w:snapToGrid w:val="0"/>
                <w:color w:val="000000" w:themeColor="text1"/>
                <w:highlight w:val="none"/>
                <w14:textFill>
                  <w14:solidFill>
                    <w14:schemeClr w14:val="tx1"/>
                  </w14:solidFill>
                </w14:textFill>
              </w:rPr>
              <w:t>、金霸、欧司朗</w:t>
            </w:r>
          </w:p>
        </w:tc>
        <w:tc>
          <w:tcPr>
            <w:tcW w:w="833" w:type="pct"/>
            <w:tcBorders>
              <w:top w:val="single" w:color="000000" w:sz="4" w:space="0"/>
              <w:left w:val="single" w:color="000000" w:sz="4" w:space="0"/>
              <w:bottom w:val="single" w:color="000000" w:sz="4" w:space="0"/>
              <w:right w:val="single" w:color="000000" w:sz="4" w:space="0"/>
            </w:tcBorders>
            <w:vAlign w:val="center"/>
          </w:tcPr>
          <w:p w14:paraId="6E22FECB">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598158E7">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3B9F3732">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22</w:t>
            </w:r>
          </w:p>
        </w:tc>
        <w:tc>
          <w:tcPr>
            <w:tcW w:w="1449" w:type="pct"/>
            <w:tcBorders>
              <w:top w:val="single" w:color="000000" w:sz="4" w:space="0"/>
              <w:left w:val="single" w:color="000000" w:sz="4" w:space="0"/>
              <w:bottom w:val="single" w:color="000000" w:sz="4" w:space="0"/>
              <w:right w:val="single" w:color="000000" w:sz="4" w:space="0"/>
            </w:tcBorders>
            <w:vAlign w:val="center"/>
          </w:tcPr>
          <w:p w14:paraId="66155553">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墙</w:t>
            </w:r>
            <w:r>
              <w:rPr>
                <w:rStyle w:val="102"/>
                <w:rFonts w:hint="default"/>
                <w:snapToGrid w:val="0"/>
                <w:color w:val="000000" w:themeColor="text1"/>
                <w:highlight w:val="none"/>
                <w14:textFill>
                  <w14:solidFill>
                    <w14:schemeClr w14:val="tx1"/>
                  </w14:solidFill>
                </w14:textFill>
              </w:rPr>
              <w:t>地瓷砖</w:t>
            </w:r>
          </w:p>
        </w:tc>
        <w:tc>
          <w:tcPr>
            <w:tcW w:w="2195" w:type="pct"/>
            <w:tcBorders>
              <w:top w:val="single" w:color="000000" w:sz="4" w:space="0"/>
              <w:left w:val="single" w:color="000000" w:sz="4" w:space="0"/>
              <w:bottom w:val="single" w:color="000000" w:sz="4" w:space="0"/>
              <w:right w:val="single" w:color="000000" w:sz="4" w:space="0"/>
            </w:tcBorders>
            <w:vAlign w:val="center"/>
          </w:tcPr>
          <w:p w14:paraId="5B773B06">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宏宇、欧美、冠珠</w:t>
            </w:r>
          </w:p>
        </w:tc>
        <w:tc>
          <w:tcPr>
            <w:tcW w:w="833" w:type="pct"/>
            <w:tcBorders>
              <w:top w:val="single" w:color="000000" w:sz="4" w:space="0"/>
              <w:left w:val="single" w:color="000000" w:sz="4" w:space="0"/>
              <w:bottom w:val="single" w:color="000000" w:sz="4" w:space="0"/>
              <w:right w:val="single" w:color="000000" w:sz="4" w:space="0"/>
            </w:tcBorders>
            <w:vAlign w:val="center"/>
          </w:tcPr>
          <w:p w14:paraId="08204846">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0D15A3CA">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523C8DF4">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23</w:t>
            </w:r>
          </w:p>
        </w:tc>
        <w:tc>
          <w:tcPr>
            <w:tcW w:w="1449" w:type="pct"/>
            <w:tcBorders>
              <w:top w:val="single" w:color="000000" w:sz="4" w:space="0"/>
              <w:left w:val="single" w:color="000000" w:sz="4" w:space="0"/>
              <w:bottom w:val="single" w:color="000000" w:sz="4" w:space="0"/>
              <w:right w:val="single" w:color="000000" w:sz="4" w:space="0"/>
            </w:tcBorders>
            <w:vAlign w:val="center"/>
          </w:tcPr>
          <w:p w14:paraId="781EA307">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岩</w:t>
            </w:r>
            <w:r>
              <w:rPr>
                <w:rStyle w:val="102"/>
                <w:rFonts w:hint="default"/>
                <w:snapToGrid w:val="0"/>
                <w:color w:val="000000" w:themeColor="text1"/>
                <w:highlight w:val="none"/>
                <w14:textFill>
                  <w14:solidFill>
                    <w14:schemeClr w14:val="tx1"/>
                  </w14:solidFill>
                </w14:textFill>
              </w:rPr>
              <w:t>棉保温</w:t>
            </w:r>
          </w:p>
        </w:tc>
        <w:tc>
          <w:tcPr>
            <w:tcW w:w="2195" w:type="pct"/>
            <w:tcBorders>
              <w:top w:val="single" w:color="000000" w:sz="4" w:space="0"/>
              <w:left w:val="single" w:color="000000" w:sz="4" w:space="0"/>
              <w:bottom w:val="single" w:color="000000" w:sz="4" w:space="0"/>
              <w:right w:val="single" w:color="000000" w:sz="4" w:space="0"/>
            </w:tcBorders>
            <w:vAlign w:val="center"/>
          </w:tcPr>
          <w:p w14:paraId="4A613822">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Style w:val="102"/>
                <w:rFonts w:hint="default"/>
                <w:snapToGrid w:val="0"/>
                <w:color w:val="000000" w:themeColor="text1"/>
                <w:highlight w:val="none"/>
                <w14:textFill>
                  <w14:solidFill>
                    <w14:schemeClr w14:val="tx1"/>
                  </w14:solidFill>
                </w14:textFill>
              </w:rPr>
              <w:t>樱花、金隅、秦恒、合力、洛科威</w:t>
            </w:r>
          </w:p>
        </w:tc>
        <w:tc>
          <w:tcPr>
            <w:tcW w:w="833" w:type="pct"/>
            <w:tcBorders>
              <w:top w:val="single" w:color="000000" w:sz="4" w:space="0"/>
              <w:left w:val="single" w:color="000000" w:sz="4" w:space="0"/>
              <w:bottom w:val="single" w:color="000000" w:sz="4" w:space="0"/>
              <w:right w:val="single" w:color="000000" w:sz="4" w:space="0"/>
            </w:tcBorders>
            <w:vAlign w:val="center"/>
          </w:tcPr>
          <w:p w14:paraId="0EB33C1B">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7BD4F9FD">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123936E8">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24</w:t>
            </w:r>
          </w:p>
        </w:tc>
        <w:tc>
          <w:tcPr>
            <w:tcW w:w="1449" w:type="pct"/>
            <w:tcBorders>
              <w:top w:val="single" w:color="000000" w:sz="4" w:space="0"/>
              <w:left w:val="single" w:color="000000" w:sz="4" w:space="0"/>
              <w:bottom w:val="single" w:color="000000" w:sz="4" w:space="0"/>
              <w:right w:val="single" w:color="000000" w:sz="4" w:space="0"/>
            </w:tcBorders>
            <w:vAlign w:val="center"/>
          </w:tcPr>
          <w:p w14:paraId="37FC1070">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石膏板、矿棉</w:t>
            </w:r>
            <w:r>
              <w:rPr>
                <w:rStyle w:val="102"/>
                <w:rFonts w:hint="default"/>
                <w:snapToGrid w:val="0"/>
                <w:color w:val="000000" w:themeColor="text1"/>
                <w:highlight w:val="none"/>
                <w14:textFill>
                  <w14:solidFill>
                    <w14:schemeClr w14:val="tx1"/>
                  </w14:solidFill>
                </w14:textFill>
              </w:rPr>
              <w:t>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5C0F6E54">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Style w:val="102"/>
                <w:rFonts w:hint="default"/>
                <w:snapToGrid w:val="0"/>
                <w:color w:val="000000" w:themeColor="text1"/>
                <w:highlight w:val="none"/>
                <w14:textFill>
                  <w14:solidFill>
                    <w14:schemeClr w14:val="tx1"/>
                  </w14:solidFill>
                </w14:textFill>
              </w:rPr>
              <w:t>泰山、龙牌、星牌、阿姆斯壮、可耐福</w:t>
            </w:r>
          </w:p>
        </w:tc>
        <w:tc>
          <w:tcPr>
            <w:tcW w:w="833" w:type="pct"/>
            <w:tcBorders>
              <w:top w:val="single" w:color="000000" w:sz="4" w:space="0"/>
              <w:left w:val="single" w:color="000000" w:sz="4" w:space="0"/>
              <w:bottom w:val="single" w:color="000000" w:sz="4" w:space="0"/>
              <w:right w:val="single" w:color="000000" w:sz="4" w:space="0"/>
            </w:tcBorders>
            <w:vAlign w:val="center"/>
          </w:tcPr>
          <w:p w14:paraId="57087DF5">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229E67CA">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348764E2">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25</w:t>
            </w:r>
          </w:p>
        </w:tc>
        <w:tc>
          <w:tcPr>
            <w:tcW w:w="1449" w:type="pct"/>
            <w:tcBorders>
              <w:top w:val="single" w:color="000000" w:sz="4" w:space="0"/>
              <w:left w:val="single" w:color="000000" w:sz="4" w:space="0"/>
              <w:bottom w:val="single" w:color="000000" w:sz="4" w:space="0"/>
              <w:right w:val="single" w:color="000000" w:sz="4" w:space="0"/>
            </w:tcBorders>
            <w:vAlign w:val="center"/>
          </w:tcPr>
          <w:p w14:paraId="49360340">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木饰</w:t>
            </w:r>
            <w:r>
              <w:rPr>
                <w:rStyle w:val="102"/>
                <w:rFonts w:hint="default"/>
                <w:snapToGrid w:val="0"/>
                <w:color w:val="000000" w:themeColor="text1"/>
                <w:highlight w:val="none"/>
                <w14:textFill>
                  <w14:solidFill>
                    <w14:schemeClr w14:val="tx1"/>
                  </w14:solidFill>
                </w14:textFill>
              </w:rPr>
              <w:t>面板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38277D3A">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Style w:val="102"/>
                <w:rFonts w:hint="default"/>
                <w:snapToGrid w:val="0"/>
                <w:color w:val="000000" w:themeColor="text1"/>
                <w:highlight w:val="none"/>
                <w14:textFill>
                  <w14:solidFill>
                    <w14:schemeClr w14:val="tx1"/>
                  </w14:solidFill>
                </w14:textFill>
              </w:rPr>
              <w:t>兔宝宝、莫干山、千年舟</w:t>
            </w:r>
          </w:p>
        </w:tc>
        <w:tc>
          <w:tcPr>
            <w:tcW w:w="833" w:type="pct"/>
            <w:tcBorders>
              <w:top w:val="single" w:color="000000" w:sz="4" w:space="0"/>
              <w:left w:val="single" w:color="000000" w:sz="4" w:space="0"/>
              <w:bottom w:val="single" w:color="000000" w:sz="4" w:space="0"/>
              <w:right w:val="single" w:color="000000" w:sz="4" w:space="0"/>
            </w:tcBorders>
            <w:vAlign w:val="center"/>
          </w:tcPr>
          <w:p w14:paraId="5DFBDEC7">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5ECC7E71">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32006EA6">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26</w:t>
            </w:r>
          </w:p>
        </w:tc>
        <w:tc>
          <w:tcPr>
            <w:tcW w:w="1449" w:type="pct"/>
            <w:tcBorders>
              <w:top w:val="single" w:color="000000" w:sz="4" w:space="0"/>
              <w:left w:val="single" w:color="000000" w:sz="4" w:space="0"/>
              <w:bottom w:val="single" w:color="000000" w:sz="4" w:space="0"/>
              <w:right w:val="single" w:color="000000" w:sz="4" w:space="0"/>
            </w:tcBorders>
            <w:vAlign w:val="center"/>
          </w:tcPr>
          <w:p w14:paraId="55A1ADF8">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复</w:t>
            </w:r>
            <w:r>
              <w:rPr>
                <w:rStyle w:val="102"/>
                <w:rFonts w:hint="default"/>
                <w:snapToGrid w:val="0"/>
                <w:color w:val="000000" w:themeColor="text1"/>
                <w:highlight w:val="none"/>
                <w14:textFill>
                  <w14:solidFill>
                    <w14:schemeClr w14:val="tx1"/>
                  </w14:solidFill>
                </w14:textFill>
              </w:rPr>
              <w:t>合木地板</w:t>
            </w:r>
          </w:p>
        </w:tc>
        <w:tc>
          <w:tcPr>
            <w:tcW w:w="2195" w:type="pct"/>
            <w:tcBorders>
              <w:top w:val="single" w:color="000000" w:sz="4" w:space="0"/>
              <w:left w:val="single" w:color="000000" w:sz="4" w:space="0"/>
              <w:bottom w:val="single" w:color="000000" w:sz="4" w:space="0"/>
              <w:right w:val="single" w:color="000000" w:sz="4" w:space="0"/>
            </w:tcBorders>
            <w:vAlign w:val="center"/>
          </w:tcPr>
          <w:p w14:paraId="369BF0DD">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圣象、大自然、德尔、扬子</w:t>
            </w:r>
          </w:p>
        </w:tc>
        <w:tc>
          <w:tcPr>
            <w:tcW w:w="833" w:type="pct"/>
            <w:tcBorders>
              <w:top w:val="single" w:color="000000" w:sz="4" w:space="0"/>
              <w:left w:val="single" w:color="000000" w:sz="4" w:space="0"/>
              <w:bottom w:val="single" w:color="000000" w:sz="4" w:space="0"/>
              <w:right w:val="single" w:color="000000" w:sz="4" w:space="0"/>
            </w:tcBorders>
            <w:vAlign w:val="center"/>
          </w:tcPr>
          <w:p w14:paraId="17742C19">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2AB0BBA2">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661B9A34">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27</w:t>
            </w:r>
          </w:p>
        </w:tc>
        <w:tc>
          <w:tcPr>
            <w:tcW w:w="1449" w:type="pct"/>
            <w:tcBorders>
              <w:top w:val="single" w:color="000000" w:sz="4" w:space="0"/>
              <w:left w:val="single" w:color="000000" w:sz="4" w:space="0"/>
              <w:bottom w:val="single" w:color="000000" w:sz="4" w:space="0"/>
              <w:right w:val="single" w:color="000000" w:sz="4" w:space="0"/>
            </w:tcBorders>
            <w:vAlign w:val="center"/>
          </w:tcPr>
          <w:p w14:paraId="4BF79EF9">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真石</w:t>
            </w:r>
            <w:r>
              <w:rPr>
                <w:rStyle w:val="102"/>
                <w:rFonts w:hint="default"/>
                <w:snapToGrid w:val="0"/>
                <w:color w:val="000000" w:themeColor="text1"/>
                <w:highlight w:val="none"/>
                <w14:textFill>
                  <w14:solidFill>
                    <w14:schemeClr w14:val="tx1"/>
                  </w14:solidFill>
                </w14:textFill>
              </w:rPr>
              <w:t>漆</w:t>
            </w:r>
          </w:p>
        </w:tc>
        <w:tc>
          <w:tcPr>
            <w:tcW w:w="2195" w:type="pct"/>
            <w:tcBorders>
              <w:top w:val="single" w:color="000000" w:sz="4" w:space="0"/>
              <w:left w:val="single" w:color="000000" w:sz="4" w:space="0"/>
              <w:bottom w:val="single" w:color="000000" w:sz="4" w:space="0"/>
              <w:right w:val="single" w:color="000000" w:sz="4" w:space="0"/>
            </w:tcBorders>
            <w:vAlign w:val="center"/>
          </w:tcPr>
          <w:p w14:paraId="759A8760">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多乐士、立邦</w:t>
            </w:r>
            <w:r>
              <w:rPr>
                <w:rStyle w:val="102"/>
                <w:rFonts w:hint="default"/>
                <w:snapToGrid w:val="0"/>
                <w:color w:val="000000" w:themeColor="text1"/>
                <w:highlight w:val="none"/>
                <w14:textFill>
                  <w14:solidFill>
                    <w14:schemeClr w14:val="tx1"/>
                  </w14:solidFill>
                </w14:textFill>
              </w:rPr>
              <w:t>、汇丽</w:t>
            </w:r>
          </w:p>
        </w:tc>
        <w:tc>
          <w:tcPr>
            <w:tcW w:w="833" w:type="pct"/>
            <w:tcBorders>
              <w:top w:val="single" w:color="000000" w:sz="4" w:space="0"/>
              <w:left w:val="single" w:color="000000" w:sz="4" w:space="0"/>
              <w:bottom w:val="single" w:color="000000" w:sz="4" w:space="0"/>
              <w:right w:val="single" w:color="000000" w:sz="4" w:space="0"/>
            </w:tcBorders>
            <w:vAlign w:val="center"/>
          </w:tcPr>
          <w:p w14:paraId="444874AC">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684258C5">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591B04D3">
            <w:pPr>
              <w:widowControl/>
              <w:spacing w:line="276" w:lineRule="auto"/>
              <w:jc w:val="center"/>
              <w:textAlignment w:val="center"/>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28</w:t>
            </w:r>
          </w:p>
        </w:tc>
        <w:tc>
          <w:tcPr>
            <w:tcW w:w="1449" w:type="pct"/>
            <w:tcBorders>
              <w:top w:val="single" w:color="000000" w:sz="4" w:space="0"/>
              <w:left w:val="single" w:color="000000" w:sz="4" w:space="0"/>
              <w:bottom w:val="single" w:color="000000" w:sz="4" w:space="0"/>
              <w:right w:val="single" w:color="000000" w:sz="4" w:space="0"/>
            </w:tcBorders>
            <w:vAlign w:val="center"/>
          </w:tcPr>
          <w:p w14:paraId="7C94FDB9">
            <w:pPr>
              <w:widowControl/>
              <w:spacing w:line="276" w:lineRule="auto"/>
              <w:jc w:val="center"/>
              <w:textAlignment w:val="center"/>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水泥</w:t>
            </w:r>
          </w:p>
        </w:tc>
        <w:tc>
          <w:tcPr>
            <w:tcW w:w="2195" w:type="pct"/>
            <w:tcBorders>
              <w:top w:val="single" w:color="000000" w:sz="4" w:space="0"/>
              <w:left w:val="single" w:color="000000" w:sz="4" w:space="0"/>
              <w:bottom w:val="single" w:color="000000" w:sz="4" w:space="0"/>
              <w:right w:val="single" w:color="000000" w:sz="4" w:space="0"/>
            </w:tcBorders>
            <w:vAlign w:val="center"/>
          </w:tcPr>
          <w:p w14:paraId="7AD691B2">
            <w:pPr>
              <w:widowControl/>
              <w:spacing w:line="276" w:lineRule="auto"/>
              <w:jc w:val="center"/>
              <w:textAlignment w:val="center"/>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海螺、冀东、秦岭</w:t>
            </w:r>
          </w:p>
        </w:tc>
        <w:tc>
          <w:tcPr>
            <w:tcW w:w="833" w:type="pct"/>
            <w:tcBorders>
              <w:top w:val="single" w:color="000000" w:sz="4" w:space="0"/>
              <w:left w:val="single" w:color="000000" w:sz="4" w:space="0"/>
              <w:bottom w:val="single" w:color="000000" w:sz="4" w:space="0"/>
              <w:right w:val="single" w:color="000000" w:sz="4" w:space="0"/>
            </w:tcBorders>
            <w:vAlign w:val="center"/>
          </w:tcPr>
          <w:p w14:paraId="14A064A9">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14E88814">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5454724E">
            <w:pPr>
              <w:widowControl/>
              <w:spacing w:line="276" w:lineRule="auto"/>
              <w:jc w:val="center"/>
              <w:textAlignment w:val="center"/>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29</w:t>
            </w:r>
          </w:p>
        </w:tc>
        <w:tc>
          <w:tcPr>
            <w:tcW w:w="1449" w:type="pct"/>
            <w:tcBorders>
              <w:top w:val="single" w:color="000000" w:sz="4" w:space="0"/>
              <w:left w:val="single" w:color="000000" w:sz="4" w:space="0"/>
              <w:bottom w:val="single" w:color="000000" w:sz="4" w:space="0"/>
              <w:right w:val="single" w:color="000000" w:sz="4" w:space="0"/>
            </w:tcBorders>
            <w:vAlign w:val="center"/>
          </w:tcPr>
          <w:p w14:paraId="46B1F406">
            <w:pPr>
              <w:widowControl/>
              <w:spacing w:line="276" w:lineRule="auto"/>
              <w:jc w:val="center"/>
              <w:textAlignment w:val="center"/>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钢结构型钢材</w:t>
            </w:r>
          </w:p>
        </w:tc>
        <w:tc>
          <w:tcPr>
            <w:tcW w:w="2195" w:type="pct"/>
            <w:tcBorders>
              <w:top w:val="single" w:color="000000" w:sz="4" w:space="0"/>
              <w:left w:val="single" w:color="000000" w:sz="4" w:space="0"/>
              <w:bottom w:val="single" w:color="000000" w:sz="4" w:space="0"/>
              <w:right w:val="single" w:color="000000" w:sz="4" w:space="0"/>
            </w:tcBorders>
            <w:vAlign w:val="center"/>
          </w:tcPr>
          <w:p w14:paraId="33EB7447">
            <w:pPr>
              <w:widowControl/>
              <w:spacing w:line="276" w:lineRule="auto"/>
              <w:jc w:val="center"/>
              <w:textAlignment w:val="center"/>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马钢、津西、鞍钢、山岗</w:t>
            </w:r>
          </w:p>
        </w:tc>
        <w:tc>
          <w:tcPr>
            <w:tcW w:w="833" w:type="pct"/>
            <w:tcBorders>
              <w:top w:val="single" w:color="000000" w:sz="4" w:space="0"/>
              <w:left w:val="single" w:color="000000" w:sz="4" w:space="0"/>
              <w:bottom w:val="single" w:color="000000" w:sz="4" w:space="0"/>
              <w:right w:val="single" w:color="000000" w:sz="4" w:space="0"/>
            </w:tcBorders>
            <w:vAlign w:val="center"/>
          </w:tcPr>
          <w:p w14:paraId="6AD8A96C">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523B4898">
        <w:tblPrEx>
          <w:tblCellMar>
            <w:top w:w="0" w:type="dxa"/>
            <w:left w:w="108" w:type="dxa"/>
            <w:bottom w:w="0" w:type="dxa"/>
            <w:right w:w="108" w:type="dxa"/>
          </w:tblCellMar>
        </w:tblPrEx>
        <w:trPr>
          <w:trHeight w:val="510" w:hRule="atLeast"/>
        </w:trPr>
        <w:tc>
          <w:tcPr>
            <w:tcW w:w="5000" w:type="pct"/>
            <w:gridSpan w:val="4"/>
            <w:tcBorders>
              <w:top w:val="single" w:color="000000" w:sz="4" w:space="0"/>
              <w:left w:val="single" w:color="000000" w:sz="4" w:space="0"/>
              <w:bottom w:val="single" w:color="000000" w:sz="4" w:space="0"/>
              <w:right w:val="single" w:color="000000" w:sz="4" w:space="0"/>
            </w:tcBorders>
            <w:vAlign w:val="center"/>
          </w:tcPr>
          <w:p w14:paraId="37B913D9">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二、安装材料</w:t>
            </w:r>
          </w:p>
        </w:tc>
      </w:tr>
      <w:tr w14:paraId="13E1F698">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475CC41D">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w:t>
            </w:r>
          </w:p>
        </w:tc>
        <w:tc>
          <w:tcPr>
            <w:tcW w:w="1449" w:type="pct"/>
            <w:tcBorders>
              <w:top w:val="single" w:color="000000" w:sz="4" w:space="0"/>
              <w:left w:val="single" w:color="000000" w:sz="4" w:space="0"/>
              <w:bottom w:val="single" w:color="000000" w:sz="4" w:space="0"/>
              <w:right w:val="single" w:color="000000" w:sz="4" w:space="0"/>
            </w:tcBorders>
            <w:vAlign w:val="center"/>
          </w:tcPr>
          <w:p w14:paraId="4CDC5EA8">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照</w:t>
            </w:r>
            <w:r>
              <w:rPr>
                <w:rStyle w:val="102"/>
                <w:rFonts w:hint="default"/>
                <w:snapToGrid w:val="0"/>
                <w:color w:val="000000" w:themeColor="text1"/>
                <w:highlight w:val="none"/>
                <w14:textFill>
                  <w14:solidFill>
                    <w14:schemeClr w14:val="tx1"/>
                  </w14:solidFill>
                </w14:textFill>
              </w:rPr>
              <w:t>明灯具(含室外路灯)</w:t>
            </w:r>
          </w:p>
        </w:tc>
        <w:tc>
          <w:tcPr>
            <w:tcW w:w="2195" w:type="pct"/>
            <w:tcBorders>
              <w:top w:val="single" w:color="000000" w:sz="4" w:space="0"/>
              <w:left w:val="single" w:color="000000" w:sz="4" w:space="0"/>
              <w:bottom w:val="single" w:color="000000" w:sz="4" w:space="0"/>
              <w:right w:val="single" w:color="000000" w:sz="4" w:space="0"/>
            </w:tcBorders>
            <w:vAlign w:val="center"/>
          </w:tcPr>
          <w:p w14:paraId="3D282FDE">
            <w:pPr>
              <w:widowControl/>
              <w:spacing w:line="276" w:lineRule="auto"/>
              <w:jc w:val="center"/>
              <w:textAlignment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三雄极光、欧</w:t>
            </w:r>
            <w:r>
              <w:rPr>
                <w:rStyle w:val="102"/>
                <w:rFonts w:hint="default"/>
                <w:snapToGrid w:val="0"/>
                <w:color w:val="000000" w:themeColor="text1"/>
                <w:highlight w:val="none"/>
                <w14:textFill>
                  <w14:solidFill>
                    <w14:schemeClr w14:val="tx1"/>
                  </w14:solidFill>
                </w14:textFill>
              </w:rPr>
              <w:t>普、雷士</w:t>
            </w:r>
            <w:r>
              <w:rPr>
                <w:rStyle w:val="102"/>
                <w:rFonts w:hint="eastAsia"/>
                <w:snapToGrid w:val="0"/>
                <w:color w:val="000000" w:themeColor="text1"/>
                <w:highlight w:val="none"/>
                <w:lang w:eastAsia="zh-CN"/>
                <w14:textFill>
                  <w14:solidFill>
                    <w14:schemeClr w14:val="tx1"/>
                  </w14:solidFill>
                </w14:textFill>
              </w:rPr>
              <w:t>、</w:t>
            </w:r>
            <w:r>
              <w:rPr>
                <w:rStyle w:val="102"/>
                <w:rFonts w:hint="eastAsia"/>
                <w:snapToGrid w:val="0"/>
                <w:color w:val="000000" w:themeColor="text1"/>
                <w:highlight w:val="none"/>
                <w:lang w:val="en-US" w:eastAsia="zh-CN"/>
                <w14:textFill>
                  <w14:solidFill>
                    <w14:schemeClr w14:val="tx1"/>
                  </w14:solidFill>
                </w14:textFill>
              </w:rPr>
              <w:t>飞利浦</w:t>
            </w:r>
          </w:p>
        </w:tc>
        <w:tc>
          <w:tcPr>
            <w:tcW w:w="833" w:type="pct"/>
            <w:tcBorders>
              <w:top w:val="single" w:color="000000" w:sz="4" w:space="0"/>
              <w:left w:val="single" w:color="000000" w:sz="4" w:space="0"/>
              <w:bottom w:val="single" w:color="000000" w:sz="4" w:space="0"/>
              <w:right w:val="single" w:color="000000" w:sz="4" w:space="0"/>
            </w:tcBorders>
            <w:vAlign w:val="center"/>
          </w:tcPr>
          <w:p w14:paraId="49C13383">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2507B1B3">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5EBDDC11">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2</w:t>
            </w:r>
          </w:p>
        </w:tc>
        <w:tc>
          <w:tcPr>
            <w:tcW w:w="1449" w:type="pct"/>
            <w:tcBorders>
              <w:top w:val="single" w:color="000000" w:sz="4" w:space="0"/>
              <w:left w:val="single" w:color="000000" w:sz="4" w:space="0"/>
              <w:bottom w:val="single" w:color="000000" w:sz="4" w:space="0"/>
              <w:right w:val="single" w:color="000000" w:sz="4" w:space="0"/>
            </w:tcBorders>
            <w:vAlign w:val="center"/>
          </w:tcPr>
          <w:p w14:paraId="34B05084">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应急照明灯</w:t>
            </w:r>
            <w:r>
              <w:rPr>
                <w:rStyle w:val="102"/>
                <w:rFonts w:hint="default"/>
                <w:snapToGrid w:val="0"/>
                <w:color w:val="000000" w:themeColor="text1"/>
                <w:highlight w:val="none"/>
                <w14:textFill>
                  <w14:solidFill>
                    <w14:schemeClr w14:val="tx1"/>
                  </w14:solidFill>
                </w14:textFill>
              </w:rPr>
              <w:t>具</w:t>
            </w:r>
          </w:p>
        </w:tc>
        <w:tc>
          <w:tcPr>
            <w:tcW w:w="2195" w:type="pct"/>
            <w:tcBorders>
              <w:top w:val="single" w:color="000000" w:sz="4" w:space="0"/>
              <w:left w:val="single" w:color="000000" w:sz="4" w:space="0"/>
              <w:bottom w:val="single" w:color="000000" w:sz="4" w:space="0"/>
              <w:right w:val="single" w:color="000000" w:sz="4" w:space="0"/>
            </w:tcBorders>
            <w:vAlign w:val="center"/>
          </w:tcPr>
          <w:p w14:paraId="6B0DB7B6">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"http://sx.119cp.cn/WebPage/CompanyInfo.aspx?loginid=A96B79D70631A8FD" \o "http://sx.119cp.cn/WebPage/CompanyInfo.aspx?loginid=A96B79D70631A8FD" </w:instrText>
            </w:r>
            <w:r>
              <w:rPr>
                <w:color w:val="000000" w:themeColor="text1"/>
                <w:highlight w:val="none"/>
                <w14:textFill>
                  <w14:solidFill>
                    <w14:schemeClr w14:val="tx1"/>
                  </w14:solidFill>
                </w14:textFill>
              </w:rPr>
              <w:fldChar w:fldCharType="separate"/>
            </w:r>
            <w:r>
              <w:rPr>
                <w:rFonts w:hint="eastAsia" w:ascii="宋体" w:hAnsi="宋体" w:cs="宋体"/>
                <w:snapToGrid w:val="0"/>
                <w:color w:val="000000" w:themeColor="text1"/>
                <w:kern w:val="0"/>
                <w:szCs w:val="21"/>
                <w:highlight w:val="none"/>
                <w14:textFill>
                  <w14:solidFill>
                    <w14:schemeClr w14:val="tx1"/>
                  </w14:solidFill>
                </w14:textFill>
              </w:rPr>
              <w:t>水力消防科技、敏华、全安</w:t>
            </w:r>
            <w:r>
              <w:rPr>
                <w:rFonts w:hint="eastAsia" w:ascii="宋体" w:hAnsi="宋体" w:cs="宋体"/>
                <w:snapToGrid w:val="0"/>
                <w:color w:val="000000" w:themeColor="text1"/>
                <w:kern w:val="0"/>
                <w:szCs w:val="21"/>
                <w:highlight w:val="none"/>
                <w14:textFill>
                  <w14:solidFill>
                    <w14:schemeClr w14:val="tx1"/>
                  </w14:solidFill>
                </w14:textFill>
              </w:rPr>
              <w:fldChar w:fldCharType="end"/>
            </w:r>
          </w:p>
        </w:tc>
        <w:tc>
          <w:tcPr>
            <w:tcW w:w="833" w:type="pct"/>
            <w:tcBorders>
              <w:top w:val="single" w:color="000000" w:sz="4" w:space="0"/>
              <w:left w:val="single" w:color="000000" w:sz="4" w:space="0"/>
              <w:bottom w:val="single" w:color="000000" w:sz="4" w:space="0"/>
              <w:right w:val="single" w:color="000000" w:sz="4" w:space="0"/>
            </w:tcBorders>
            <w:vAlign w:val="center"/>
          </w:tcPr>
          <w:p w14:paraId="084DA034">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36AA07E4">
        <w:tblPrEx>
          <w:tblCellMar>
            <w:top w:w="0" w:type="dxa"/>
            <w:left w:w="108" w:type="dxa"/>
            <w:bottom w:w="0" w:type="dxa"/>
            <w:right w:w="108" w:type="dxa"/>
          </w:tblCellMar>
        </w:tblPrEx>
        <w:trPr>
          <w:trHeight w:val="678"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3338EC75">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3</w:t>
            </w:r>
          </w:p>
        </w:tc>
        <w:tc>
          <w:tcPr>
            <w:tcW w:w="1449" w:type="pct"/>
            <w:tcBorders>
              <w:top w:val="single" w:color="000000" w:sz="4" w:space="0"/>
              <w:left w:val="single" w:color="000000" w:sz="4" w:space="0"/>
              <w:bottom w:val="single" w:color="000000" w:sz="4" w:space="0"/>
              <w:right w:val="single" w:color="000000" w:sz="4" w:space="0"/>
            </w:tcBorders>
            <w:vAlign w:val="center"/>
          </w:tcPr>
          <w:p w14:paraId="29D40279">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配电柜电器</w:t>
            </w:r>
            <w:r>
              <w:rPr>
                <w:rStyle w:val="102"/>
                <w:rFonts w:hint="default"/>
                <w:snapToGrid w:val="0"/>
                <w:color w:val="000000" w:themeColor="text1"/>
                <w:highlight w:val="none"/>
                <w14:textFill>
                  <w14:solidFill>
                    <w14:schemeClr w14:val="tx1"/>
                  </w14:solidFill>
                </w14:textFill>
              </w:rPr>
              <w:t>原器件</w:t>
            </w:r>
          </w:p>
        </w:tc>
        <w:tc>
          <w:tcPr>
            <w:tcW w:w="2195" w:type="pct"/>
            <w:tcBorders>
              <w:top w:val="single" w:color="000000" w:sz="4" w:space="0"/>
              <w:left w:val="single" w:color="000000" w:sz="4" w:space="0"/>
              <w:bottom w:val="single" w:color="000000" w:sz="4" w:space="0"/>
              <w:right w:val="single" w:color="000000" w:sz="4" w:space="0"/>
            </w:tcBorders>
            <w:vAlign w:val="center"/>
          </w:tcPr>
          <w:p w14:paraId="456F97C0">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施耐德、ABB、西门子、溯高美、艾默生</w:t>
            </w:r>
          </w:p>
        </w:tc>
        <w:tc>
          <w:tcPr>
            <w:tcW w:w="833" w:type="pct"/>
            <w:tcBorders>
              <w:top w:val="single" w:color="000000" w:sz="4" w:space="0"/>
              <w:left w:val="single" w:color="000000" w:sz="4" w:space="0"/>
              <w:bottom w:val="single" w:color="000000" w:sz="4" w:space="0"/>
              <w:right w:val="single" w:color="000000" w:sz="4" w:space="0"/>
            </w:tcBorders>
            <w:vAlign w:val="center"/>
          </w:tcPr>
          <w:p w14:paraId="651D78A4">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所有元器件均适用</w:t>
            </w:r>
          </w:p>
        </w:tc>
      </w:tr>
      <w:tr w14:paraId="03A62CFB">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33FD8747">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4</w:t>
            </w:r>
          </w:p>
        </w:tc>
        <w:tc>
          <w:tcPr>
            <w:tcW w:w="1449" w:type="pct"/>
            <w:tcBorders>
              <w:top w:val="single" w:color="000000" w:sz="4" w:space="0"/>
              <w:left w:val="single" w:color="000000" w:sz="4" w:space="0"/>
              <w:bottom w:val="single" w:color="000000" w:sz="4" w:space="0"/>
              <w:right w:val="single" w:color="000000" w:sz="4" w:space="0"/>
            </w:tcBorders>
            <w:vAlign w:val="center"/>
          </w:tcPr>
          <w:p w14:paraId="203B7348">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开</w:t>
            </w:r>
            <w:r>
              <w:rPr>
                <w:rStyle w:val="102"/>
                <w:rFonts w:hint="default"/>
                <w:snapToGrid w:val="0"/>
                <w:color w:val="000000" w:themeColor="text1"/>
                <w:highlight w:val="none"/>
                <w14:textFill>
                  <w14:solidFill>
                    <w14:schemeClr w14:val="tx1"/>
                  </w14:solidFill>
                </w14:textFill>
              </w:rPr>
              <w:t>关、插座</w:t>
            </w:r>
          </w:p>
        </w:tc>
        <w:tc>
          <w:tcPr>
            <w:tcW w:w="2195" w:type="pct"/>
            <w:tcBorders>
              <w:top w:val="single" w:color="000000" w:sz="4" w:space="0"/>
              <w:left w:val="single" w:color="000000" w:sz="4" w:space="0"/>
              <w:bottom w:val="single" w:color="000000" w:sz="4" w:space="0"/>
              <w:right w:val="single" w:color="000000" w:sz="4" w:space="0"/>
            </w:tcBorders>
            <w:vAlign w:val="center"/>
          </w:tcPr>
          <w:p w14:paraId="23C24562">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施耐德、西门子、TCL、罗格朗、西蒙</w:t>
            </w:r>
          </w:p>
        </w:tc>
        <w:tc>
          <w:tcPr>
            <w:tcW w:w="833" w:type="pct"/>
            <w:tcBorders>
              <w:top w:val="single" w:color="000000" w:sz="4" w:space="0"/>
              <w:left w:val="single" w:color="000000" w:sz="4" w:space="0"/>
              <w:bottom w:val="single" w:color="000000" w:sz="4" w:space="0"/>
              <w:right w:val="single" w:color="000000" w:sz="4" w:space="0"/>
            </w:tcBorders>
            <w:vAlign w:val="center"/>
          </w:tcPr>
          <w:p w14:paraId="6EEC8B3A">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744B654B">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191844DF">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5</w:t>
            </w:r>
          </w:p>
        </w:tc>
        <w:tc>
          <w:tcPr>
            <w:tcW w:w="1449" w:type="pct"/>
            <w:tcBorders>
              <w:top w:val="single" w:color="000000" w:sz="4" w:space="0"/>
              <w:left w:val="single" w:color="000000" w:sz="4" w:space="0"/>
              <w:bottom w:val="single" w:color="000000" w:sz="4" w:space="0"/>
              <w:right w:val="single" w:color="000000" w:sz="4" w:space="0"/>
            </w:tcBorders>
            <w:vAlign w:val="center"/>
          </w:tcPr>
          <w:p w14:paraId="5316CE84">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电线、电缆</w:t>
            </w:r>
          </w:p>
        </w:tc>
        <w:tc>
          <w:tcPr>
            <w:tcW w:w="2195" w:type="pct"/>
            <w:tcBorders>
              <w:top w:val="single" w:color="000000" w:sz="4" w:space="0"/>
              <w:left w:val="single" w:color="000000" w:sz="4" w:space="0"/>
              <w:bottom w:val="single" w:color="000000" w:sz="4" w:space="0"/>
              <w:right w:val="single" w:color="000000" w:sz="4" w:space="0"/>
            </w:tcBorders>
            <w:vAlign w:val="center"/>
          </w:tcPr>
          <w:p w14:paraId="2CFD7DF0">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上上、远东、正泰</w:t>
            </w:r>
          </w:p>
        </w:tc>
        <w:tc>
          <w:tcPr>
            <w:tcW w:w="833" w:type="pct"/>
            <w:tcBorders>
              <w:top w:val="single" w:color="000000" w:sz="4" w:space="0"/>
              <w:left w:val="single" w:color="000000" w:sz="4" w:space="0"/>
              <w:bottom w:val="single" w:color="000000" w:sz="4" w:space="0"/>
              <w:right w:val="single" w:color="000000" w:sz="4" w:space="0"/>
            </w:tcBorders>
            <w:vAlign w:val="center"/>
          </w:tcPr>
          <w:p w14:paraId="13D52DD1">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3CD0AA29">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0B79DB32">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6</w:t>
            </w:r>
          </w:p>
        </w:tc>
        <w:tc>
          <w:tcPr>
            <w:tcW w:w="1449" w:type="pct"/>
            <w:tcBorders>
              <w:top w:val="single" w:color="000000" w:sz="4" w:space="0"/>
              <w:left w:val="single" w:color="000000" w:sz="4" w:space="0"/>
              <w:bottom w:val="single" w:color="000000" w:sz="4" w:space="0"/>
              <w:right w:val="single" w:color="000000" w:sz="4" w:space="0"/>
            </w:tcBorders>
            <w:vAlign w:val="center"/>
          </w:tcPr>
          <w:p w14:paraId="5CDAC4D6">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电</w:t>
            </w:r>
            <w:r>
              <w:rPr>
                <w:rStyle w:val="102"/>
                <w:rFonts w:hint="default"/>
                <w:snapToGrid w:val="0"/>
                <w:color w:val="000000" w:themeColor="text1"/>
                <w:highlight w:val="none"/>
                <w14:textFill>
                  <w14:solidFill>
                    <w14:schemeClr w14:val="tx1"/>
                  </w14:solidFill>
                </w14:textFill>
              </w:rPr>
              <w:t>缆桥架</w:t>
            </w:r>
          </w:p>
        </w:tc>
        <w:tc>
          <w:tcPr>
            <w:tcW w:w="2195" w:type="pct"/>
            <w:tcBorders>
              <w:top w:val="single" w:color="000000" w:sz="4" w:space="0"/>
              <w:left w:val="single" w:color="000000" w:sz="4" w:space="0"/>
              <w:bottom w:val="single" w:color="000000" w:sz="4" w:space="0"/>
              <w:right w:val="single" w:color="000000" w:sz="4" w:space="0"/>
            </w:tcBorders>
            <w:vAlign w:val="center"/>
          </w:tcPr>
          <w:p w14:paraId="4FBE1E02">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陕西电缆桥架、华鹏、</w:t>
            </w:r>
            <w:r>
              <w:rPr>
                <w:rStyle w:val="102"/>
                <w:rFonts w:hint="default"/>
                <w:snapToGrid w:val="0"/>
                <w:color w:val="000000" w:themeColor="text1"/>
                <w:highlight w:val="none"/>
                <w14:textFill>
                  <w14:solidFill>
                    <w14:schemeClr w14:val="tx1"/>
                  </w14:solidFill>
                </w14:textFill>
              </w:rPr>
              <w:t>泰丰</w:t>
            </w:r>
          </w:p>
        </w:tc>
        <w:tc>
          <w:tcPr>
            <w:tcW w:w="833" w:type="pct"/>
            <w:tcBorders>
              <w:top w:val="single" w:color="000000" w:sz="4" w:space="0"/>
              <w:left w:val="single" w:color="000000" w:sz="4" w:space="0"/>
              <w:bottom w:val="single" w:color="000000" w:sz="4" w:space="0"/>
              <w:right w:val="single" w:color="000000" w:sz="4" w:space="0"/>
            </w:tcBorders>
            <w:vAlign w:val="center"/>
          </w:tcPr>
          <w:p w14:paraId="4B920B84">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0F7E903F">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2C1CAD41">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7</w:t>
            </w:r>
          </w:p>
        </w:tc>
        <w:tc>
          <w:tcPr>
            <w:tcW w:w="1449" w:type="pct"/>
            <w:tcBorders>
              <w:top w:val="single" w:color="000000" w:sz="4" w:space="0"/>
              <w:left w:val="single" w:color="000000" w:sz="4" w:space="0"/>
              <w:bottom w:val="single" w:color="000000" w:sz="4" w:space="0"/>
              <w:right w:val="single" w:color="000000" w:sz="4" w:space="0"/>
            </w:tcBorders>
            <w:vAlign w:val="center"/>
          </w:tcPr>
          <w:p w14:paraId="632F5F97">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电</w:t>
            </w:r>
            <w:r>
              <w:rPr>
                <w:rStyle w:val="102"/>
                <w:rFonts w:hint="default"/>
                <w:snapToGrid w:val="0"/>
                <w:color w:val="000000" w:themeColor="text1"/>
                <w:highlight w:val="none"/>
                <w14:textFill>
                  <w14:solidFill>
                    <w14:schemeClr w14:val="tx1"/>
                  </w14:solidFill>
                </w14:textFill>
              </w:rPr>
              <w:t>气配管</w:t>
            </w:r>
          </w:p>
        </w:tc>
        <w:tc>
          <w:tcPr>
            <w:tcW w:w="2195" w:type="pct"/>
            <w:tcBorders>
              <w:top w:val="single" w:color="000000" w:sz="4" w:space="0"/>
              <w:left w:val="single" w:color="000000" w:sz="4" w:space="0"/>
              <w:bottom w:val="single" w:color="000000" w:sz="4" w:space="0"/>
              <w:right w:val="single" w:color="000000" w:sz="4" w:space="0"/>
            </w:tcBorders>
            <w:vAlign w:val="center"/>
          </w:tcPr>
          <w:p w14:paraId="2B7320EA">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日</w:t>
            </w:r>
            <w:r>
              <w:rPr>
                <w:rStyle w:val="102"/>
                <w:rFonts w:hint="default"/>
                <w:snapToGrid w:val="0"/>
                <w:color w:val="000000" w:themeColor="text1"/>
                <w:highlight w:val="none"/>
                <w14:textFill>
                  <w14:solidFill>
                    <w14:schemeClr w14:val="tx1"/>
                  </w14:solidFill>
                </w14:textFill>
              </w:rPr>
              <w:t>丰、上海保利、伟星、日泰</w:t>
            </w:r>
          </w:p>
        </w:tc>
        <w:tc>
          <w:tcPr>
            <w:tcW w:w="833" w:type="pct"/>
            <w:tcBorders>
              <w:top w:val="single" w:color="000000" w:sz="4" w:space="0"/>
              <w:left w:val="single" w:color="000000" w:sz="4" w:space="0"/>
              <w:bottom w:val="single" w:color="000000" w:sz="4" w:space="0"/>
              <w:right w:val="single" w:color="000000" w:sz="4" w:space="0"/>
            </w:tcBorders>
            <w:vAlign w:val="center"/>
          </w:tcPr>
          <w:p w14:paraId="7AC26A8D">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17113C3D">
        <w:tblPrEx>
          <w:tblCellMar>
            <w:top w:w="0" w:type="dxa"/>
            <w:left w:w="108" w:type="dxa"/>
            <w:bottom w:w="0" w:type="dxa"/>
            <w:right w:w="108" w:type="dxa"/>
          </w:tblCellMar>
        </w:tblPrEx>
        <w:trPr>
          <w:trHeight w:val="696"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05707F75">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8</w:t>
            </w:r>
          </w:p>
        </w:tc>
        <w:tc>
          <w:tcPr>
            <w:tcW w:w="1449" w:type="pct"/>
            <w:tcBorders>
              <w:top w:val="single" w:color="000000" w:sz="4" w:space="0"/>
              <w:left w:val="single" w:color="000000" w:sz="4" w:space="0"/>
              <w:bottom w:val="single" w:color="000000" w:sz="4" w:space="0"/>
              <w:right w:val="single" w:color="000000" w:sz="4" w:space="0"/>
            </w:tcBorders>
            <w:vAlign w:val="center"/>
          </w:tcPr>
          <w:p w14:paraId="47D65251">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监控</w:t>
            </w:r>
            <w:r>
              <w:rPr>
                <w:rStyle w:val="102"/>
                <w:rFonts w:hint="default"/>
                <w:snapToGrid w:val="0"/>
                <w:color w:val="000000" w:themeColor="text1"/>
                <w:highlight w:val="none"/>
                <w14:textFill>
                  <w14:solidFill>
                    <w14:schemeClr w14:val="tx1"/>
                  </w14:solidFill>
                </w14:textFill>
              </w:rPr>
              <w:t>设备</w:t>
            </w:r>
          </w:p>
        </w:tc>
        <w:tc>
          <w:tcPr>
            <w:tcW w:w="2195" w:type="pct"/>
            <w:tcBorders>
              <w:top w:val="single" w:color="000000" w:sz="4" w:space="0"/>
              <w:left w:val="single" w:color="000000" w:sz="4" w:space="0"/>
              <w:bottom w:val="single" w:color="000000" w:sz="4" w:space="0"/>
              <w:right w:val="single" w:color="000000" w:sz="4" w:space="0"/>
            </w:tcBorders>
            <w:vAlign w:val="center"/>
          </w:tcPr>
          <w:p w14:paraId="0420CAB7">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参照或相当于海康威视、大华、华为、萤石、宇视或同档次品牌</w:t>
            </w:r>
          </w:p>
        </w:tc>
        <w:tc>
          <w:tcPr>
            <w:tcW w:w="833" w:type="pct"/>
            <w:tcBorders>
              <w:top w:val="single" w:color="000000" w:sz="4" w:space="0"/>
              <w:left w:val="single" w:color="000000" w:sz="4" w:space="0"/>
              <w:bottom w:val="single" w:color="000000" w:sz="4" w:space="0"/>
              <w:right w:val="single" w:color="000000" w:sz="4" w:space="0"/>
            </w:tcBorders>
            <w:vAlign w:val="center"/>
          </w:tcPr>
          <w:p w14:paraId="790D876C">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57906BD1">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0B40A956">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9</w:t>
            </w:r>
          </w:p>
        </w:tc>
        <w:tc>
          <w:tcPr>
            <w:tcW w:w="1449" w:type="pct"/>
            <w:tcBorders>
              <w:top w:val="single" w:color="000000" w:sz="4" w:space="0"/>
              <w:left w:val="single" w:color="000000" w:sz="4" w:space="0"/>
              <w:bottom w:val="single" w:color="000000" w:sz="4" w:space="0"/>
              <w:right w:val="single" w:color="000000" w:sz="4" w:space="0"/>
            </w:tcBorders>
            <w:vAlign w:val="center"/>
          </w:tcPr>
          <w:p w14:paraId="4AACEC0F">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衬塑镀锌钢</w:t>
            </w:r>
            <w:r>
              <w:rPr>
                <w:rStyle w:val="102"/>
                <w:rFonts w:hint="default"/>
                <w:snapToGrid w:val="0"/>
                <w:color w:val="000000" w:themeColor="text1"/>
                <w:highlight w:val="none"/>
                <w14:textFill>
                  <w14:solidFill>
                    <w14:schemeClr w14:val="tx1"/>
                  </w14:solidFill>
                </w14:textFill>
              </w:rPr>
              <w:t>管</w:t>
            </w:r>
          </w:p>
        </w:tc>
        <w:tc>
          <w:tcPr>
            <w:tcW w:w="2195" w:type="pct"/>
            <w:tcBorders>
              <w:top w:val="single" w:color="000000" w:sz="4" w:space="0"/>
              <w:left w:val="single" w:color="000000" w:sz="4" w:space="0"/>
              <w:bottom w:val="single" w:color="000000" w:sz="4" w:space="0"/>
              <w:right w:val="single" w:color="000000" w:sz="4" w:space="0"/>
            </w:tcBorders>
            <w:vAlign w:val="center"/>
          </w:tcPr>
          <w:p w14:paraId="66E8CE8B">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友发、利达、华</w:t>
            </w:r>
            <w:r>
              <w:rPr>
                <w:rStyle w:val="102"/>
                <w:rFonts w:hint="default"/>
                <w:snapToGrid w:val="0"/>
                <w:color w:val="000000" w:themeColor="text1"/>
                <w:highlight w:val="none"/>
                <w14:textFill>
                  <w14:solidFill>
                    <w14:schemeClr w14:val="tx1"/>
                  </w14:solidFill>
                </w14:textFill>
              </w:rPr>
              <w:t>岐</w:t>
            </w:r>
          </w:p>
        </w:tc>
        <w:tc>
          <w:tcPr>
            <w:tcW w:w="833" w:type="pct"/>
            <w:tcBorders>
              <w:top w:val="single" w:color="000000" w:sz="4" w:space="0"/>
              <w:left w:val="single" w:color="000000" w:sz="4" w:space="0"/>
              <w:bottom w:val="single" w:color="000000" w:sz="4" w:space="0"/>
              <w:right w:val="single" w:color="000000" w:sz="4" w:space="0"/>
            </w:tcBorders>
            <w:vAlign w:val="center"/>
          </w:tcPr>
          <w:p w14:paraId="0C489533">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4058B779">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5A8503CC">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10</w:t>
            </w:r>
          </w:p>
        </w:tc>
        <w:tc>
          <w:tcPr>
            <w:tcW w:w="1449" w:type="pct"/>
            <w:tcBorders>
              <w:top w:val="single" w:color="000000" w:sz="4" w:space="0"/>
              <w:left w:val="single" w:color="000000" w:sz="4" w:space="0"/>
              <w:bottom w:val="single" w:color="000000" w:sz="4" w:space="0"/>
              <w:right w:val="single" w:color="000000" w:sz="4" w:space="0"/>
            </w:tcBorders>
            <w:vAlign w:val="center"/>
          </w:tcPr>
          <w:p w14:paraId="3BEF7EE7">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PPR</w:t>
            </w:r>
            <w:r>
              <w:rPr>
                <w:rStyle w:val="102"/>
                <w:rFonts w:hint="default"/>
                <w:snapToGrid w:val="0"/>
                <w:color w:val="000000" w:themeColor="text1"/>
                <w:highlight w:val="none"/>
                <w14:textFill>
                  <w14:solidFill>
                    <w14:schemeClr w14:val="tx1"/>
                  </w14:solidFill>
                </w14:textFill>
              </w:rPr>
              <w:t>管、</w:t>
            </w:r>
            <w:r>
              <w:rPr>
                <w:rFonts w:hint="eastAsia" w:ascii="宋体" w:hAnsi="宋体" w:cs="宋体"/>
                <w:snapToGrid w:val="0"/>
                <w:color w:val="000000" w:themeColor="text1"/>
                <w:kern w:val="0"/>
                <w:szCs w:val="21"/>
                <w:highlight w:val="none"/>
                <w14:textFill>
                  <w14:solidFill>
                    <w14:schemeClr w14:val="tx1"/>
                  </w14:solidFill>
                </w14:textFill>
              </w:rPr>
              <w:t>PE管</w:t>
            </w:r>
          </w:p>
        </w:tc>
        <w:tc>
          <w:tcPr>
            <w:tcW w:w="2195" w:type="pct"/>
            <w:tcBorders>
              <w:top w:val="single" w:color="000000" w:sz="4" w:space="0"/>
              <w:left w:val="single" w:color="000000" w:sz="4" w:space="0"/>
              <w:bottom w:val="single" w:color="000000" w:sz="4" w:space="0"/>
              <w:right w:val="single" w:color="000000" w:sz="4" w:space="0"/>
            </w:tcBorders>
            <w:vAlign w:val="center"/>
          </w:tcPr>
          <w:p w14:paraId="6DE43CEE">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联塑、中财、</w:t>
            </w:r>
            <w:r>
              <w:rPr>
                <w:rStyle w:val="102"/>
                <w:rFonts w:hint="default"/>
                <w:snapToGrid w:val="0"/>
                <w:color w:val="000000" w:themeColor="text1"/>
                <w:highlight w:val="none"/>
                <w14:textFill>
                  <w14:solidFill>
                    <w14:schemeClr w14:val="tx1"/>
                  </w14:solidFill>
                </w14:textFill>
              </w:rPr>
              <w:t>高科、顾地</w:t>
            </w:r>
          </w:p>
        </w:tc>
        <w:tc>
          <w:tcPr>
            <w:tcW w:w="833" w:type="pct"/>
            <w:tcBorders>
              <w:top w:val="single" w:color="000000" w:sz="4" w:space="0"/>
              <w:left w:val="single" w:color="000000" w:sz="4" w:space="0"/>
              <w:bottom w:val="single" w:color="000000" w:sz="4" w:space="0"/>
              <w:right w:val="single" w:color="000000" w:sz="4" w:space="0"/>
            </w:tcBorders>
            <w:vAlign w:val="center"/>
          </w:tcPr>
          <w:p w14:paraId="68026E92">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4E71F112">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26836E08">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11</w:t>
            </w:r>
          </w:p>
        </w:tc>
        <w:tc>
          <w:tcPr>
            <w:tcW w:w="1449" w:type="pct"/>
            <w:tcBorders>
              <w:top w:val="single" w:color="000000" w:sz="4" w:space="0"/>
              <w:left w:val="single" w:color="000000" w:sz="4" w:space="0"/>
              <w:bottom w:val="single" w:color="000000" w:sz="4" w:space="0"/>
              <w:right w:val="single" w:color="000000" w:sz="4" w:space="0"/>
            </w:tcBorders>
            <w:vAlign w:val="center"/>
          </w:tcPr>
          <w:p w14:paraId="1B20F0EA">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UPVC</w:t>
            </w:r>
            <w:r>
              <w:rPr>
                <w:rStyle w:val="102"/>
                <w:rFonts w:hint="default"/>
                <w:snapToGrid w:val="0"/>
                <w:color w:val="000000" w:themeColor="text1"/>
                <w:highlight w:val="none"/>
                <w14:textFill>
                  <w14:solidFill>
                    <w14:schemeClr w14:val="tx1"/>
                  </w14:solidFill>
                </w14:textFill>
              </w:rPr>
              <w:t xml:space="preserve"> 排水管、H</w:t>
            </w:r>
            <w:r>
              <w:rPr>
                <w:rStyle w:val="102"/>
                <w:rFonts w:hint="default"/>
                <w:color w:val="000000" w:themeColor="text1"/>
                <w:highlight w:val="none"/>
                <w14:textFill>
                  <w14:solidFill>
                    <w14:schemeClr w14:val="tx1"/>
                  </w14:solidFill>
                </w14:textFill>
              </w:rPr>
              <w:t>DPE管</w:t>
            </w:r>
          </w:p>
        </w:tc>
        <w:tc>
          <w:tcPr>
            <w:tcW w:w="2195" w:type="pct"/>
            <w:tcBorders>
              <w:top w:val="single" w:color="000000" w:sz="4" w:space="0"/>
              <w:left w:val="single" w:color="000000" w:sz="4" w:space="0"/>
              <w:bottom w:val="single" w:color="000000" w:sz="4" w:space="0"/>
              <w:right w:val="single" w:color="000000" w:sz="4" w:space="0"/>
            </w:tcBorders>
            <w:vAlign w:val="center"/>
          </w:tcPr>
          <w:p w14:paraId="59C709D6">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联塑、中财、</w:t>
            </w:r>
            <w:r>
              <w:rPr>
                <w:rStyle w:val="102"/>
                <w:rFonts w:hint="default"/>
                <w:snapToGrid w:val="0"/>
                <w:color w:val="000000" w:themeColor="text1"/>
                <w:highlight w:val="none"/>
                <w14:textFill>
                  <w14:solidFill>
                    <w14:schemeClr w14:val="tx1"/>
                  </w14:solidFill>
                </w14:textFill>
              </w:rPr>
              <w:t>高科、顾地、</w:t>
            </w:r>
            <w:r>
              <w:rPr>
                <w:rFonts w:hint="eastAsia" w:ascii="宋体" w:hAnsi="宋体" w:cs="宋体"/>
                <w:snapToGrid w:val="0"/>
                <w:color w:val="000000" w:themeColor="text1"/>
                <w:kern w:val="0"/>
                <w:szCs w:val="21"/>
                <w:highlight w:val="none"/>
                <w14:textFill>
                  <w14:solidFill>
                    <w14:schemeClr w14:val="tx1"/>
                  </w14:solidFill>
                </w14:textFill>
              </w:rPr>
              <w:t>日丰</w:t>
            </w:r>
          </w:p>
        </w:tc>
        <w:tc>
          <w:tcPr>
            <w:tcW w:w="833" w:type="pct"/>
            <w:tcBorders>
              <w:top w:val="single" w:color="000000" w:sz="4" w:space="0"/>
              <w:left w:val="single" w:color="000000" w:sz="4" w:space="0"/>
              <w:bottom w:val="single" w:color="000000" w:sz="4" w:space="0"/>
              <w:right w:val="single" w:color="000000" w:sz="4" w:space="0"/>
            </w:tcBorders>
            <w:vAlign w:val="center"/>
          </w:tcPr>
          <w:p w14:paraId="43D145DC">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472802A9">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043A2BD0">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12</w:t>
            </w:r>
          </w:p>
        </w:tc>
        <w:tc>
          <w:tcPr>
            <w:tcW w:w="1449" w:type="pct"/>
            <w:tcBorders>
              <w:top w:val="single" w:color="000000" w:sz="4" w:space="0"/>
              <w:left w:val="single" w:color="000000" w:sz="4" w:space="0"/>
              <w:bottom w:val="single" w:color="000000" w:sz="4" w:space="0"/>
              <w:right w:val="single" w:color="000000" w:sz="4" w:space="0"/>
            </w:tcBorders>
            <w:vAlign w:val="center"/>
          </w:tcPr>
          <w:p w14:paraId="46AF9019">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卡箍管件</w:t>
            </w:r>
          </w:p>
        </w:tc>
        <w:tc>
          <w:tcPr>
            <w:tcW w:w="2195" w:type="pct"/>
            <w:tcBorders>
              <w:top w:val="single" w:color="000000" w:sz="4" w:space="0"/>
              <w:left w:val="single" w:color="000000" w:sz="4" w:space="0"/>
              <w:bottom w:val="single" w:color="000000" w:sz="4" w:space="0"/>
              <w:right w:val="single" w:color="000000" w:sz="4" w:space="0"/>
            </w:tcBorders>
            <w:vAlign w:val="center"/>
          </w:tcPr>
          <w:p w14:paraId="5837D823">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联塑、新兴、铸管、日丰</w:t>
            </w:r>
          </w:p>
        </w:tc>
        <w:tc>
          <w:tcPr>
            <w:tcW w:w="833" w:type="pct"/>
            <w:tcBorders>
              <w:top w:val="single" w:color="000000" w:sz="4" w:space="0"/>
              <w:left w:val="single" w:color="000000" w:sz="4" w:space="0"/>
              <w:bottom w:val="single" w:color="000000" w:sz="4" w:space="0"/>
              <w:right w:val="single" w:color="000000" w:sz="4" w:space="0"/>
            </w:tcBorders>
            <w:vAlign w:val="center"/>
          </w:tcPr>
          <w:p w14:paraId="716B945F">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7250A55B">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64FAFADD">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14</w:t>
            </w:r>
          </w:p>
        </w:tc>
        <w:tc>
          <w:tcPr>
            <w:tcW w:w="1449" w:type="pct"/>
            <w:tcBorders>
              <w:top w:val="single" w:color="000000" w:sz="4" w:space="0"/>
              <w:left w:val="single" w:color="000000" w:sz="4" w:space="0"/>
              <w:bottom w:val="single" w:color="000000" w:sz="4" w:space="0"/>
              <w:right w:val="single" w:color="000000" w:sz="4" w:space="0"/>
            </w:tcBorders>
            <w:vAlign w:val="center"/>
          </w:tcPr>
          <w:p w14:paraId="0B76D897">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消防</w:t>
            </w:r>
            <w:r>
              <w:rPr>
                <w:rStyle w:val="102"/>
                <w:rFonts w:hint="default"/>
                <w:snapToGrid w:val="0"/>
                <w:color w:val="000000" w:themeColor="text1"/>
                <w:highlight w:val="none"/>
                <w14:textFill>
                  <w14:solidFill>
                    <w14:schemeClr w14:val="tx1"/>
                  </w14:solidFill>
                </w14:textFill>
              </w:rPr>
              <w:t>泵、潜污泵</w:t>
            </w:r>
          </w:p>
        </w:tc>
        <w:tc>
          <w:tcPr>
            <w:tcW w:w="2195" w:type="pct"/>
            <w:tcBorders>
              <w:top w:val="single" w:color="000000" w:sz="4" w:space="0"/>
              <w:left w:val="single" w:color="000000" w:sz="4" w:space="0"/>
              <w:bottom w:val="single" w:color="000000" w:sz="4" w:space="0"/>
              <w:right w:val="single" w:color="000000" w:sz="4" w:space="0"/>
            </w:tcBorders>
            <w:vAlign w:val="center"/>
          </w:tcPr>
          <w:p w14:paraId="695FC656">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熊猫、东方泵业、上海凯泉</w:t>
            </w:r>
          </w:p>
        </w:tc>
        <w:tc>
          <w:tcPr>
            <w:tcW w:w="833" w:type="pct"/>
            <w:tcBorders>
              <w:top w:val="single" w:color="000000" w:sz="4" w:space="0"/>
              <w:left w:val="single" w:color="000000" w:sz="4" w:space="0"/>
              <w:bottom w:val="single" w:color="000000" w:sz="4" w:space="0"/>
              <w:right w:val="single" w:color="000000" w:sz="4" w:space="0"/>
            </w:tcBorders>
            <w:vAlign w:val="center"/>
          </w:tcPr>
          <w:p w14:paraId="1A48B4E6">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61742187">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1AE4910B">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15</w:t>
            </w:r>
          </w:p>
        </w:tc>
        <w:tc>
          <w:tcPr>
            <w:tcW w:w="1449" w:type="pct"/>
            <w:tcBorders>
              <w:top w:val="single" w:color="000000" w:sz="4" w:space="0"/>
              <w:left w:val="single" w:color="000000" w:sz="4" w:space="0"/>
              <w:bottom w:val="single" w:color="000000" w:sz="4" w:space="0"/>
              <w:right w:val="single" w:color="000000" w:sz="4" w:space="0"/>
            </w:tcBorders>
            <w:vAlign w:val="center"/>
          </w:tcPr>
          <w:p w14:paraId="4D9D0592">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水泵</w:t>
            </w:r>
            <w:r>
              <w:rPr>
                <w:rStyle w:val="102"/>
                <w:rFonts w:hint="default"/>
                <w:snapToGrid w:val="0"/>
                <w:color w:val="000000" w:themeColor="text1"/>
                <w:highlight w:val="none"/>
                <w14:textFill>
                  <w14:solidFill>
                    <w14:schemeClr w14:val="tx1"/>
                  </w14:solidFill>
                </w14:textFill>
              </w:rPr>
              <w:t>类</w:t>
            </w:r>
          </w:p>
        </w:tc>
        <w:tc>
          <w:tcPr>
            <w:tcW w:w="2195" w:type="pct"/>
            <w:tcBorders>
              <w:top w:val="single" w:color="000000" w:sz="4" w:space="0"/>
              <w:left w:val="single" w:color="000000" w:sz="4" w:space="0"/>
              <w:bottom w:val="single" w:color="000000" w:sz="4" w:space="0"/>
              <w:right w:val="single" w:color="000000" w:sz="4" w:space="0"/>
            </w:tcBorders>
            <w:vAlign w:val="center"/>
          </w:tcPr>
          <w:p w14:paraId="1BEBA32F">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熊猫、东方泵业、上海凯泉</w:t>
            </w:r>
          </w:p>
        </w:tc>
        <w:tc>
          <w:tcPr>
            <w:tcW w:w="833" w:type="pct"/>
            <w:tcBorders>
              <w:top w:val="single" w:color="000000" w:sz="4" w:space="0"/>
              <w:left w:val="single" w:color="000000" w:sz="4" w:space="0"/>
              <w:bottom w:val="single" w:color="000000" w:sz="4" w:space="0"/>
              <w:right w:val="single" w:color="000000" w:sz="4" w:space="0"/>
            </w:tcBorders>
            <w:vAlign w:val="center"/>
          </w:tcPr>
          <w:p w14:paraId="39E00031">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7DF828F2">
        <w:tblPrEx>
          <w:tblCellMar>
            <w:top w:w="0" w:type="dxa"/>
            <w:left w:w="108" w:type="dxa"/>
            <w:bottom w:w="0" w:type="dxa"/>
            <w:right w:w="108" w:type="dxa"/>
          </w:tblCellMar>
        </w:tblPrEx>
        <w:trPr>
          <w:trHeight w:val="425"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3F372E0E">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16</w:t>
            </w:r>
          </w:p>
        </w:tc>
        <w:tc>
          <w:tcPr>
            <w:tcW w:w="1449" w:type="pct"/>
            <w:tcBorders>
              <w:top w:val="single" w:color="000000" w:sz="4" w:space="0"/>
              <w:left w:val="single" w:color="000000" w:sz="4" w:space="0"/>
              <w:bottom w:val="single" w:color="000000" w:sz="4" w:space="0"/>
              <w:right w:val="single" w:color="000000" w:sz="4" w:space="0"/>
            </w:tcBorders>
            <w:vAlign w:val="center"/>
          </w:tcPr>
          <w:p w14:paraId="42EEAC26">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阀</w:t>
            </w:r>
            <w:r>
              <w:rPr>
                <w:rStyle w:val="102"/>
                <w:rFonts w:hint="default"/>
                <w:snapToGrid w:val="0"/>
                <w:color w:val="000000" w:themeColor="text1"/>
                <w:highlight w:val="none"/>
                <w14:textFill>
                  <w14:solidFill>
                    <w14:schemeClr w14:val="tx1"/>
                  </w14:solidFill>
                </w14:textFill>
              </w:rPr>
              <w:t>门类</w:t>
            </w:r>
          </w:p>
        </w:tc>
        <w:tc>
          <w:tcPr>
            <w:tcW w:w="2195" w:type="pct"/>
            <w:tcBorders>
              <w:top w:val="single" w:color="000000" w:sz="4" w:space="0"/>
              <w:left w:val="single" w:color="000000" w:sz="4" w:space="0"/>
              <w:bottom w:val="single" w:color="000000" w:sz="4" w:space="0"/>
              <w:right w:val="single" w:color="000000" w:sz="4" w:space="0"/>
            </w:tcBorders>
            <w:vAlign w:val="center"/>
          </w:tcPr>
          <w:p w14:paraId="594EF835">
            <w:pPr>
              <w:widowControl/>
              <w:spacing w:line="276" w:lineRule="auto"/>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埃美柯、远大、良固、熊猫、东方泵业、上海凯泉</w:t>
            </w:r>
          </w:p>
        </w:tc>
        <w:tc>
          <w:tcPr>
            <w:tcW w:w="833" w:type="pct"/>
            <w:tcBorders>
              <w:top w:val="single" w:color="000000" w:sz="4" w:space="0"/>
              <w:left w:val="single" w:color="000000" w:sz="4" w:space="0"/>
              <w:bottom w:val="single" w:color="000000" w:sz="4" w:space="0"/>
              <w:right w:val="single" w:color="000000" w:sz="4" w:space="0"/>
            </w:tcBorders>
            <w:vAlign w:val="center"/>
          </w:tcPr>
          <w:p w14:paraId="4594F141">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r w14:paraId="7043332F">
        <w:tblPrEx>
          <w:tblCellMar>
            <w:top w:w="0" w:type="dxa"/>
            <w:left w:w="108" w:type="dxa"/>
            <w:bottom w:w="0" w:type="dxa"/>
            <w:right w:w="108" w:type="dxa"/>
          </w:tblCellMar>
        </w:tblPrEx>
        <w:trPr>
          <w:trHeight w:val="510" w:hRule="atLeast"/>
        </w:trPr>
        <w:tc>
          <w:tcPr>
            <w:tcW w:w="523" w:type="pct"/>
            <w:tcBorders>
              <w:top w:val="single" w:color="000000" w:sz="4" w:space="0"/>
              <w:left w:val="single" w:color="000000" w:sz="4" w:space="0"/>
              <w:bottom w:val="single" w:color="000000" w:sz="4" w:space="0"/>
              <w:right w:val="single" w:color="000000" w:sz="4" w:space="0"/>
            </w:tcBorders>
            <w:vAlign w:val="center"/>
          </w:tcPr>
          <w:p w14:paraId="3447C00E">
            <w:pPr>
              <w:widowControl/>
              <w:spacing w:line="276" w:lineRule="auto"/>
              <w:jc w:val="center"/>
              <w:textAlignment w:val="center"/>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1</w:t>
            </w:r>
            <w:r>
              <w:rPr>
                <w:rFonts w:hint="eastAsia"/>
                <w:color w:val="000000" w:themeColor="text1"/>
                <w:kern w:val="0"/>
                <w:highlight w:val="none"/>
                <w14:textFill>
                  <w14:solidFill>
                    <w14:schemeClr w14:val="tx1"/>
                  </w14:solidFill>
                </w14:textFill>
              </w:rPr>
              <w:t>7</w:t>
            </w:r>
          </w:p>
        </w:tc>
        <w:tc>
          <w:tcPr>
            <w:tcW w:w="1449" w:type="pct"/>
            <w:tcBorders>
              <w:top w:val="single" w:color="000000" w:sz="4" w:space="0"/>
              <w:left w:val="single" w:color="000000" w:sz="4" w:space="0"/>
              <w:bottom w:val="single" w:color="000000" w:sz="4" w:space="0"/>
              <w:right w:val="single" w:color="000000" w:sz="4" w:space="0"/>
            </w:tcBorders>
            <w:vAlign w:val="center"/>
          </w:tcPr>
          <w:p w14:paraId="3F9FA18B">
            <w:pPr>
              <w:widowControl/>
              <w:spacing w:line="276" w:lineRule="auto"/>
              <w:jc w:val="center"/>
              <w:textAlignment w:val="center"/>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无缝钢管</w:t>
            </w:r>
          </w:p>
        </w:tc>
        <w:tc>
          <w:tcPr>
            <w:tcW w:w="2195" w:type="pct"/>
            <w:tcBorders>
              <w:top w:val="single" w:color="000000" w:sz="4" w:space="0"/>
              <w:left w:val="single" w:color="000000" w:sz="4" w:space="0"/>
              <w:bottom w:val="single" w:color="000000" w:sz="4" w:space="0"/>
              <w:right w:val="single" w:color="000000" w:sz="4" w:space="0"/>
            </w:tcBorders>
            <w:vAlign w:val="center"/>
          </w:tcPr>
          <w:p w14:paraId="6A051DC5">
            <w:pPr>
              <w:widowControl/>
              <w:spacing w:line="276" w:lineRule="auto"/>
              <w:jc w:val="center"/>
              <w:textAlignment w:val="center"/>
              <w:rPr>
                <w:rFonts w:hint="eastAsia" w:ascii="宋体" w:hAnsi="宋体" w:cs="宋体"/>
                <w:snapToGrid w:val="0"/>
                <w:color w:val="000000" w:themeColor="text1"/>
                <w:kern w:val="0"/>
                <w:szCs w:val="21"/>
                <w:highlight w:val="none"/>
                <w14:textFill>
                  <w14:solidFill>
                    <w14:schemeClr w14:val="tx1"/>
                  </w14:solidFill>
                </w14:textFill>
              </w:rPr>
            </w:pPr>
            <w:r>
              <w:rPr>
                <w:rFonts w:hint="eastAsia" w:ascii="宋体" w:hAnsi="宋体" w:cs="宋体"/>
                <w:snapToGrid w:val="0"/>
                <w:color w:val="000000" w:themeColor="text1"/>
                <w:kern w:val="0"/>
                <w:szCs w:val="21"/>
                <w:highlight w:val="none"/>
                <w14:textFill>
                  <w14:solidFill>
                    <w14:schemeClr w14:val="tx1"/>
                  </w14:solidFill>
                </w14:textFill>
              </w:rPr>
              <w:t>太钢、包钢、鞍钢</w:t>
            </w:r>
          </w:p>
        </w:tc>
        <w:tc>
          <w:tcPr>
            <w:tcW w:w="833" w:type="pct"/>
            <w:tcBorders>
              <w:top w:val="single" w:color="000000" w:sz="4" w:space="0"/>
              <w:left w:val="single" w:color="000000" w:sz="4" w:space="0"/>
              <w:bottom w:val="single" w:color="000000" w:sz="4" w:space="0"/>
              <w:right w:val="single" w:color="000000" w:sz="4" w:space="0"/>
            </w:tcBorders>
            <w:vAlign w:val="center"/>
          </w:tcPr>
          <w:p w14:paraId="61540B52">
            <w:pPr>
              <w:widowControl/>
              <w:spacing w:line="276" w:lineRule="auto"/>
              <w:ind w:firstLine="420" w:firstLineChars="200"/>
              <w:rPr>
                <w:rFonts w:hint="eastAsia" w:ascii="宋体" w:hAnsi="宋体" w:cs="宋体"/>
                <w:color w:val="000000" w:themeColor="text1"/>
                <w:szCs w:val="21"/>
                <w:highlight w:val="none"/>
                <w14:textFill>
                  <w14:solidFill>
                    <w14:schemeClr w14:val="tx1"/>
                  </w14:solidFill>
                </w14:textFill>
              </w:rPr>
            </w:pPr>
          </w:p>
        </w:tc>
      </w:tr>
    </w:tbl>
    <w:p w14:paraId="5D0F8F94">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（二）工程施工要求:</w:t>
      </w:r>
    </w:p>
    <w:p w14:paraId="39040432">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（1）承包人根据工程实际情况编制承包方案，制定工期进度安排等，并随投标文件一并提交采购人； </w:t>
      </w:r>
    </w:p>
    <w:p w14:paraId="6A21CD6D">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（2）施工过程中严格遵守采购人单位的各种管理规定及规章制度，做到文明施工；所有施工人员需统一着装统一单位标识，严禁随意通行；发生工伤及意外事故由承包人负责；</w:t>
      </w:r>
    </w:p>
    <w:p w14:paraId="2DD2B194">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（3）严格按照国家和陕西省有关规定施工、规范施工，确保工程合格，如有更改须事先征得采购人有关方面的同意，并在采购人落实后实施，并出具书面说明； </w:t>
      </w:r>
    </w:p>
    <w:p w14:paraId="06F35296">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（4）施工期间需采取必要措施确保现场正常运行； </w:t>
      </w:r>
    </w:p>
    <w:p w14:paraId="3FB3F379">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项目团队成员配备要求：承包人应成立项目管理组织机构，项目组成员结构合理、分工明确，并保证项目组成员具有相应资格或职称证书，持证上岗；项目组人员包含项目负责人、技术负责人、管理人员、安全专职人员、质检人员、资料员、专业的施工人员；施工队伍稳定，确保整个工程按期限按质量顺利完工；承包人单位未经采购人同意，不得擅自更换本工程在投标文件中指定的项目施工负责人（项目经理）及施工队伍；项目所需的机械设备及工具都为承包人自备，采购人不提供任何机械设备及工具；</w:t>
      </w:r>
    </w:p>
    <w:p w14:paraId="75903E86">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施工期间，承包人必须注意施工区域内人员安全,加强安全措施，并对施工人员进行安全教育，施工人员均应严格按照相关技术规范进行施工，做到安全施工且不影响交通；如因措施不力造成人员伤亡或财产损失等一切事故，承包人负全责并承担所有费用；</w:t>
      </w:r>
    </w:p>
    <w:p w14:paraId="39BB8527">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（7）合理安排作业时间，合理降低噪声污染、粉尘污染，确保施工现场周围的正常工作与休息，按国家有关施工时间规定进行施工，施工中避免给他人带来干扰；</w:t>
      </w:r>
    </w:p>
    <w:p w14:paraId="69F0075A">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安全文明施工要求：必须做好施工现场组织管理、文明施工，维护现场秩序，做到工完场清、道路畅通，建筑垃圾不得随意堆放；根据施工现场采取不同的围挡方式进行围挡作业，做到封闭性施工并设有施工告示牌，严禁用进场材料做防护；承包人负责办理建筑垃圾外运有关手续，由供应商自行联系运至项目所在辖区以外的建筑垃圾堆放场所并承担相应的费用；施工过程中当天产生的废渣、垃圾等应在当天施工结束后清理完毕，做到工完料尽场地清；</w:t>
      </w:r>
    </w:p>
    <w:p w14:paraId="3856EDE6">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工程实施必须完全符合规定的技术、方案、质量、规格、材质等要求；根据实际需要，承包人应在工程施工实施期间进行巡查，若出现质量问题，应及时对工程出现的问题进行维修，并承担维修期间产生的一切费用；因承包人原因工程质量达不到约定的质量标准，由承包人自行承担相关责任；</w:t>
      </w:r>
    </w:p>
    <w:p w14:paraId="79F16119">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承包人应对工程过程中所出现的问题及时进行解决、调整，并做好记录，质量标准以达到磋商文件中所规定的全部相关要求为准，如果发现与详细需求不符或达不到规定的性能指标，采购人有权拒绝付款或付款时间段推迟付款且不承担任何违约责任，承包人不得以此为由停止履行本项目的任意义务；</w:t>
      </w:r>
    </w:p>
    <w:p w14:paraId="3C270666">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（11）承包人在工程缺陷责任期内，应按照有关</w:t>
      </w:r>
      <w:r>
        <w:rPr>
          <w:rFonts w:hint="eastAsia" w:ascii="宋体" w:hAnsi="宋体" w:cs="宋体"/>
          <w:color w:val="000000" w:themeColor="text1"/>
          <w:szCs w:val="21"/>
          <w:highlight w:val="none"/>
          <w:lang w:eastAsia="zh-CN"/>
          <w14:textFill>
            <w14:solidFill>
              <w14:schemeClr w14:val="tx1"/>
            </w14:solidFill>
          </w14:textFill>
        </w:rPr>
        <w:t>法律法规</w:t>
      </w:r>
      <w:r>
        <w:rPr>
          <w:rFonts w:hint="eastAsia" w:ascii="宋体" w:hAnsi="宋体" w:cs="宋体"/>
          <w:color w:val="000000" w:themeColor="text1"/>
          <w:szCs w:val="21"/>
          <w:highlight w:val="none"/>
          <w14:textFill>
            <w14:solidFill>
              <w14:schemeClr w14:val="tx1"/>
            </w14:solidFill>
          </w14:textFill>
        </w:rPr>
        <w:t>规定和双方合同条款约定，承担本工程的质量保修责任，工程缺陷责任期过后，如出现质量问题，亦应积极协助解决，承包人的售后服务要完善、可靠、及时，并派遣相关技术人员配合采购人检查、维修；</w:t>
      </w:r>
    </w:p>
    <w:p w14:paraId="402D5CE2">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w:t>
      </w:r>
      <w:r>
        <w:rPr>
          <w:rFonts w:hint="eastAsia" w:ascii="宋体" w:hAnsi="宋体" w:cs="宋体"/>
          <w:color w:val="000000" w:themeColor="text1"/>
          <w:szCs w:val="21"/>
          <w:highlight w:val="none"/>
          <w:lang w:eastAsia="zh-CN"/>
          <w14:textFill>
            <w14:solidFill>
              <w14:schemeClr w14:val="tx1"/>
            </w14:solidFill>
          </w14:textFill>
        </w:rPr>
        <w:t>其他</w:t>
      </w:r>
      <w:r>
        <w:rPr>
          <w:rFonts w:hint="eastAsia" w:ascii="宋体" w:hAnsi="宋体" w:cs="宋体"/>
          <w:color w:val="000000" w:themeColor="text1"/>
          <w:szCs w:val="21"/>
          <w:highlight w:val="none"/>
          <w14:textFill>
            <w14:solidFill>
              <w14:schemeClr w14:val="tx1"/>
            </w14:solidFill>
          </w14:textFill>
        </w:rPr>
        <w:t>未详之处均应遵照国家现行有关规范。</w:t>
      </w:r>
    </w:p>
    <w:p w14:paraId="27511E2C">
      <w:pPr>
        <w:spacing w:line="356" w:lineRule="auto"/>
        <w:ind w:firstLine="422" w:firstLineChars="20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2.3工程量清单及编制说明</w:t>
      </w:r>
    </w:p>
    <w:p w14:paraId="6DFF502E">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2.3.1工程量清单：另册，详见附件广联达电子招标书。</w:t>
      </w:r>
    </w:p>
    <w:p w14:paraId="76B3D883">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注：以上工程量为已知范围的工程量，以实际发生工程量为准，进行单价结算，但金额不得超过合同采购金额的百分之十。</w:t>
      </w:r>
    </w:p>
    <w:p w14:paraId="6C8617B1">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2.3.2工程量清单编制说明：</w:t>
      </w:r>
    </w:p>
    <w:p w14:paraId="6F47D61D">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（1）工程量依据陕西测绘地理信息局既有住宅加装电梯项目（三期）首批7#楼3单元、30#楼2单元、29#楼5单元6单元项目各专业施工图及答疑回复；</w:t>
      </w:r>
    </w:p>
    <w:p w14:paraId="31EDF745">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（2）《关于批准发布《绿色生态小区建设评价标准》等7项陕西省工程建设标准的通告》陕建标发〔2025〕2号，《建设工程工程量清单计价标准》（DB 61/T5126-2025）、《房屋建筑与装饰工程工程量计算标准》（DB 61/T5129-2025）、《通用安装工程工程量计算标准》（DB 61/T5130-2025）；</w:t>
      </w:r>
    </w:p>
    <w:p w14:paraId="1133D8BA">
      <w:pPr>
        <w:spacing w:line="35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《陕西省住房和城乡建设厅关于印发2025陕西省建设工程费用规则等计价依据的通知》（陕建管发〔2025〕10号），《陕西省建设工程费用规则》（2025）；</w:t>
      </w:r>
    </w:p>
    <w:p w14:paraId="0D0E1610">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（3）工程特点及常规施工方案，现行施工规范；</w:t>
      </w:r>
    </w:p>
    <w:p w14:paraId="70712A05">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（4）与建设工程项目有关的标准、规范、图集、技术资料；</w:t>
      </w:r>
    </w:p>
    <w:p w14:paraId="4065E339">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（5）图纸问题答疑回复。</w:t>
      </w:r>
    </w:p>
    <w:bookmarkEnd w:id="151"/>
    <w:bookmarkEnd w:id="152"/>
    <w:bookmarkEnd w:id="153"/>
    <w:bookmarkEnd w:id="154"/>
    <w:p w14:paraId="1FCAE0A5">
      <w:pPr>
        <w:widowControl/>
        <w:autoSpaceDE w:val="0"/>
        <w:autoSpaceDN w:val="0"/>
        <w:spacing w:line="356" w:lineRule="auto"/>
        <w:ind w:right="51"/>
        <w:textAlignment w:val="bottom"/>
        <w:outlineLvl w:val="1"/>
        <w:rPr>
          <w:rFonts w:hint="eastAsia" w:ascii="宋体" w:hAnsi="宋体" w:cs="宋体"/>
          <w:b/>
          <w:color w:val="000000" w:themeColor="text1"/>
          <w:sz w:val="28"/>
          <w:szCs w:val="28"/>
          <w:highlight w:val="none"/>
          <w14:textFill>
            <w14:solidFill>
              <w14:schemeClr w14:val="tx1"/>
            </w14:solidFill>
          </w14:textFill>
        </w:rPr>
      </w:pPr>
      <w:bookmarkStart w:id="161" w:name="_Toc5529"/>
      <w:bookmarkStart w:id="162" w:name="_Toc1105856410"/>
      <w:bookmarkStart w:id="163" w:name="_Toc20287"/>
      <w:bookmarkStart w:id="164" w:name="_Toc32580"/>
      <w:bookmarkStart w:id="165" w:name="_Toc21421"/>
      <w:r>
        <w:rPr>
          <w:rFonts w:hint="eastAsia" w:ascii="宋体" w:hAnsi="宋体" w:cs="宋体"/>
          <w:b/>
          <w:color w:val="000000" w:themeColor="text1"/>
          <w:sz w:val="28"/>
          <w:szCs w:val="28"/>
          <w:highlight w:val="none"/>
          <w14:textFill>
            <w14:solidFill>
              <w14:schemeClr w14:val="tx1"/>
            </w14:solidFill>
          </w14:textFill>
        </w:rPr>
        <w:t>4.工期及质量要求</w:t>
      </w:r>
      <w:bookmarkEnd w:id="161"/>
      <w:bookmarkEnd w:id="162"/>
    </w:p>
    <w:p w14:paraId="4518D2BD">
      <w:pPr>
        <w:widowControl/>
        <w:tabs>
          <w:tab w:val="left" w:pos="1620"/>
        </w:tabs>
        <w:spacing w:line="356" w:lineRule="auto"/>
        <w:ind w:right="-197" w:rightChars="-94" w:firstLine="420" w:firstLineChars="200"/>
        <w:jc w:val="left"/>
        <w:rPr>
          <w:rFonts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4.1工期：150</w:t>
      </w:r>
      <w:r>
        <w:rPr>
          <w:rFonts w:hint="eastAsia" w:ascii="宋体" w:hAnsi="宋体"/>
          <w:color w:val="000000" w:themeColor="text1"/>
          <w:kern w:val="0"/>
          <w:szCs w:val="21"/>
          <w:highlight w:val="none"/>
          <w14:textFill>
            <w14:solidFill>
              <w14:schemeClr w14:val="tx1"/>
            </w14:solidFill>
          </w14:textFill>
        </w:rPr>
        <w:t>日历天</w:t>
      </w:r>
    </w:p>
    <w:p w14:paraId="64596A5C">
      <w:pPr>
        <w:pStyle w:val="14"/>
        <w:tabs>
          <w:tab w:val="left" w:pos="600"/>
        </w:tabs>
        <w:spacing w:line="356" w:lineRule="auto"/>
        <w:ind w:firstLine="420" w:firstLineChars="2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4.2质量要求：（1）达到国家、省、市（行业）现行施工验收规范“合格”标准及采购人要求。（2）质量标准或规范：①符合《绿色建筑和绿色建材政府采购需求标准》《建筑工程施工质量验收统一标准》GB50300-2013等相关国家及行业标准；②本工程的施工过程和成果必须符合国家有关工程建设标准强制性条文和国家或有关部门关于工程承包方面现行的标准、规范、规程、定额、办法、示例，以及陕西省关于工程承包方面的文件、规定；③承包人在施工过程中使用或参考上述标准、规范以外的技术标准、规范时，应征得采购人或采购人指定代表人的同意；④在施工过程中，如果国家或有关部门颁布了新的技术标准或规范，则承包人应采用新的标准或规范进行施工；⑤承包人按《建筑工程施工质量验收统一标准》GB50300-2013及国家、陕西省、西安市相关规定，完成验收后，进行工程竣工验收。（3）验收标准和方法：现行的国家标准或国家行政部门颁布的法律法规、规章制度等，是项目验收的重要依据，</w:t>
      </w:r>
      <w:r>
        <w:rPr>
          <w:rFonts w:hint="eastAsia" w:ascii="宋体" w:hAnsi="宋体" w:cs="宋体"/>
          <w:color w:val="000000" w:themeColor="text1"/>
          <w:sz w:val="21"/>
          <w:szCs w:val="21"/>
          <w:highlight w:val="none"/>
          <w:lang w:eastAsia="zh-CN"/>
          <w14:textFill>
            <w14:solidFill>
              <w14:schemeClr w14:val="tx1"/>
            </w14:solidFill>
          </w14:textFill>
        </w:rPr>
        <w:t>采购</w:t>
      </w:r>
      <w:r>
        <w:rPr>
          <w:rFonts w:hint="eastAsia" w:ascii="宋体" w:hAnsi="宋体" w:cs="宋体"/>
          <w:color w:val="000000" w:themeColor="text1"/>
          <w:sz w:val="21"/>
          <w:szCs w:val="21"/>
          <w:highlight w:val="none"/>
          <w14:textFill>
            <w14:solidFill>
              <w14:schemeClr w14:val="tx1"/>
            </w14:solidFill>
          </w14:textFill>
        </w:rPr>
        <w:t>单位按照国家、省、市（行业）强制性标准及合同约定对承包人的施工进行检查或验收，承包人须接受采购人的各类检查或验收；若验收不通过或质量不合格，承包人应在一定期限内进行整改完善，以采购人要求的标准提供合格工程；若承包人在接受检查整改后，仍不能提供符合采购要求的质量标准，采购人有权按违约予以撤项，具体按合同相关条款执行。</w:t>
      </w:r>
    </w:p>
    <w:p w14:paraId="5552331F">
      <w:pPr>
        <w:pStyle w:val="14"/>
        <w:tabs>
          <w:tab w:val="left" w:pos="600"/>
        </w:tabs>
        <w:spacing w:line="356" w:lineRule="auto"/>
        <w:ind w:firstLine="420" w:firstLineChars="2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4.3开工日期：按合同约定的开工日期</w:t>
      </w:r>
    </w:p>
    <w:p w14:paraId="4D801516">
      <w:pPr>
        <w:widowControl/>
        <w:tabs>
          <w:tab w:val="left" w:pos="1620"/>
        </w:tabs>
        <w:spacing w:line="356" w:lineRule="auto"/>
        <w:ind w:right="-197" w:rightChars="-94"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4.4缺陷责任期:2年。</w:t>
      </w:r>
    </w:p>
    <w:p w14:paraId="45B5CB41">
      <w:pPr>
        <w:widowControl/>
        <w:tabs>
          <w:tab w:val="left" w:pos="1620"/>
        </w:tabs>
        <w:spacing w:line="356" w:lineRule="auto"/>
        <w:ind w:right="-197" w:rightChars="-94"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4.5质量保修期：（1）整体工程验收合格后，工程质量保修期为 2 年，承包人承诺超过招标文件要求的，按其承诺的工程质量保修期（起始时间为终验合格之日）执行；</w:t>
      </w:r>
    </w:p>
    <w:p w14:paraId="6A43436B">
      <w:pPr>
        <w:widowControl/>
        <w:tabs>
          <w:tab w:val="left" w:pos="1620"/>
        </w:tabs>
        <w:spacing w:line="356" w:lineRule="auto"/>
        <w:ind w:right="-197" w:rightChars="-94"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（2）现场设立备品备件库，实现24小时值班式服务，工程质量保修期内出现的质量问题由承包人负责,保修内容为由承包人负责的本工程全部质量问题；</w:t>
      </w:r>
    </w:p>
    <w:p w14:paraId="317E52AA">
      <w:pPr>
        <w:widowControl/>
        <w:tabs>
          <w:tab w:val="left" w:pos="1620"/>
        </w:tabs>
        <w:spacing w:line="356" w:lineRule="auto"/>
        <w:ind w:right="-197" w:rightChars="-94"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（3）其他相关部分工程的质量保修期根据《建设工程质量管理条例》及有关规定执行。</w:t>
      </w:r>
    </w:p>
    <w:p w14:paraId="563601B9">
      <w:pPr>
        <w:widowControl/>
        <w:autoSpaceDE w:val="0"/>
        <w:autoSpaceDN w:val="0"/>
        <w:spacing w:line="356" w:lineRule="auto"/>
        <w:ind w:right="51"/>
        <w:textAlignment w:val="bottom"/>
        <w:outlineLvl w:val="1"/>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5.其他要求</w:t>
      </w:r>
    </w:p>
    <w:p w14:paraId="70ECF85C">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5.1电梯设备采购安装专业待甲方确定后实施，总承包服务费不超过分包合同总价的2%（含）计取。</w:t>
      </w:r>
    </w:p>
    <w:p w14:paraId="4E00DFAD">
      <w:pPr>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5.2本项目据实结算，若因住户原因造成个别单元无法实施，最终价款根据中标人实际工程量增减。</w:t>
      </w:r>
    </w:p>
    <w:p w14:paraId="1291CC3D">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p>
    <w:p w14:paraId="7E54F235">
      <w:pPr>
        <w:jc w:val="center"/>
        <w:rPr>
          <w:rFonts w:hint="eastAsia" w:ascii="黑体" w:hAnsi="宋体" w:eastAsia="黑体"/>
          <w:b/>
          <w:color w:val="000000" w:themeColor="text1"/>
          <w:kern w:val="44"/>
          <w:sz w:val="44"/>
          <w:szCs w:val="44"/>
          <w:highlight w:val="none"/>
          <w14:textFill>
            <w14:solidFill>
              <w14:schemeClr w14:val="tx1"/>
            </w14:solidFill>
          </w14:textFill>
        </w:rPr>
      </w:pPr>
      <w:bookmarkStart w:id="166" w:name="_Toc26741"/>
      <w:r>
        <w:rPr>
          <w:rFonts w:hint="eastAsia" w:ascii="黑体" w:hAnsi="宋体" w:eastAsia="黑体"/>
          <w:b/>
          <w:color w:val="000000" w:themeColor="text1"/>
          <w:kern w:val="44"/>
          <w:sz w:val="44"/>
          <w:szCs w:val="44"/>
          <w:highlight w:val="none"/>
          <w14:textFill>
            <w14:solidFill>
              <w14:schemeClr w14:val="tx1"/>
            </w14:solidFill>
          </w14:textFill>
        </w:rPr>
        <w:t>第五章  政府采购合同格式</w:t>
      </w:r>
      <w:bookmarkEnd w:id="163"/>
      <w:bookmarkEnd w:id="164"/>
      <w:bookmarkEnd w:id="166"/>
    </w:p>
    <w:p w14:paraId="1BDCE859">
      <w:pPr>
        <w:spacing w:before="120" w:beforeLines="50" w:line="520" w:lineRule="exact"/>
        <w:jc w:val="center"/>
        <w:outlineLvl w:val="0"/>
        <w:rPr>
          <w:rFonts w:hint="eastAsia" w:ascii="黑体" w:hAnsi="宋体" w:eastAsia="黑体"/>
          <w:b/>
          <w:color w:val="000000" w:themeColor="text1"/>
          <w:sz w:val="44"/>
          <w:szCs w:val="44"/>
          <w:highlight w:val="none"/>
          <w14:textFill>
            <w14:solidFill>
              <w14:schemeClr w14:val="tx1"/>
            </w14:solidFill>
          </w14:textFill>
        </w:rPr>
      </w:pPr>
      <w:bookmarkStart w:id="167" w:name="_Toc16984"/>
    </w:p>
    <w:p w14:paraId="04CA5303">
      <w:pPr>
        <w:spacing w:line="360" w:lineRule="auto"/>
        <w:jc w:val="center"/>
        <w:outlineLvl w:val="0"/>
        <w:rPr>
          <w:rFonts w:hint="eastAsia" w:ascii="黑体" w:hAnsi="宋体" w:eastAsia="黑体"/>
          <w:b/>
          <w:color w:val="000000" w:themeColor="text1"/>
          <w:sz w:val="44"/>
          <w:szCs w:val="44"/>
          <w:highlight w:val="none"/>
          <w14:textFill>
            <w14:solidFill>
              <w14:schemeClr w14:val="tx1"/>
            </w14:solidFill>
          </w14:textFill>
        </w:rPr>
      </w:pPr>
    </w:p>
    <w:p w14:paraId="60DF41CD">
      <w:pPr>
        <w:spacing w:line="360" w:lineRule="auto"/>
        <w:jc w:val="left"/>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（GF—201</w:t>
      </w:r>
      <w:r>
        <w:rPr>
          <w:rFonts w:hint="eastAsia" w:ascii="宋体" w:hAnsi="宋体"/>
          <w:bCs/>
          <w:color w:val="000000" w:themeColor="text1"/>
          <w:szCs w:val="21"/>
          <w:highlight w:val="none"/>
          <w14:textFill>
            <w14:solidFill>
              <w14:schemeClr w14:val="tx1"/>
            </w14:solidFill>
          </w14:textFill>
        </w:rPr>
        <w:t>7</w:t>
      </w:r>
      <w:r>
        <w:rPr>
          <w:rFonts w:ascii="宋体" w:hAnsi="宋体"/>
          <w:bC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0201）</w:t>
      </w:r>
    </w:p>
    <w:p w14:paraId="6FEC39A6">
      <w:pPr>
        <w:spacing w:line="360" w:lineRule="auto"/>
        <w:jc w:val="center"/>
        <w:rPr>
          <w:rFonts w:hint="eastAsia" w:ascii="宋体" w:hAnsi="宋体"/>
          <w:b/>
          <w:color w:val="000000" w:themeColor="text1"/>
          <w:szCs w:val="21"/>
          <w:highlight w:val="none"/>
          <w14:textFill>
            <w14:solidFill>
              <w14:schemeClr w14:val="tx1"/>
            </w14:solidFill>
          </w14:textFill>
        </w:rPr>
      </w:pPr>
    </w:p>
    <w:p w14:paraId="546C8FE3">
      <w:pPr>
        <w:spacing w:line="360" w:lineRule="auto"/>
        <w:jc w:val="center"/>
        <w:rPr>
          <w:rFonts w:hint="eastAsia" w:ascii="宋体" w:hAnsi="宋体"/>
          <w:b/>
          <w:color w:val="000000" w:themeColor="text1"/>
          <w:szCs w:val="21"/>
          <w:highlight w:val="none"/>
          <w14:textFill>
            <w14:solidFill>
              <w14:schemeClr w14:val="tx1"/>
            </w14:solidFill>
          </w14:textFill>
        </w:rPr>
      </w:pPr>
    </w:p>
    <w:p w14:paraId="63D8D799">
      <w:pPr>
        <w:spacing w:line="360" w:lineRule="auto"/>
        <w:jc w:val="center"/>
        <w:rPr>
          <w:rFonts w:hint="eastAsia" w:ascii="宋体" w:hAnsi="宋体"/>
          <w:b/>
          <w:color w:val="000000" w:themeColor="text1"/>
          <w:szCs w:val="21"/>
          <w:highlight w:val="none"/>
          <w14:textFill>
            <w14:solidFill>
              <w14:schemeClr w14:val="tx1"/>
            </w14:solidFill>
          </w14:textFill>
        </w:rPr>
      </w:pPr>
    </w:p>
    <w:p w14:paraId="10D3E426">
      <w:pPr>
        <w:spacing w:line="360" w:lineRule="auto"/>
        <w:rPr>
          <w:rFonts w:hint="eastAsia" w:ascii="宋体" w:hAnsi="宋体"/>
          <w:b/>
          <w:color w:val="000000" w:themeColor="text1"/>
          <w:szCs w:val="21"/>
          <w:highlight w:val="none"/>
          <w14:textFill>
            <w14:solidFill>
              <w14:schemeClr w14:val="tx1"/>
            </w14:solidFill>
          </w14:textFill>
        </w:rPr>
      </w:pPr>
    </w:p>
    <w:p w14:paraId="2BE437EF">
      <w:pPr>
        <w:spacing w:line="360" w:lineRule="auto"/>
        <w:rPr>
          <w:color w:val="000000" w:themeColor="text1"/>
          <w:highlight w:val="none"/>
          <w14:textFill>
            <w14:solidFill>
              <w14:schemeClr w14:val="tx1"/>
            </w14:solidFill>
          </w14:textFill>
        </w:rPr>
      </w:pPr>
    </w:p>
    <w:p w14:paraId="6D429327">
      <w:pPr>
        <w:spacing w:line="360" w:lineRule="auto"/>
        <w:rPr>
          <w:color w:val="000000" w:themeColor="text1"/>
          <w:highlight w:val="none"/>
          <w14:textFill>
            <w14:solidFill>
              <w14:schemeClr w14:val="tx1"/>
            </w14:solidFill>
          </w14:textFill>
        </w:rPr>
      </w:pPr>
    </w:p>
    <w:p w14:paraId="2E143C60">
      <w:pPr>
        <w:spacing w:line="360" w:lineRule="auto"/>
        <w:rPr>
          <w:color w:val="000000" w:themeColor="text1"/>
          <w:highlight w:val="none"/>
          <w14:textFill>
            <w14:solidFill>
              <w14:schemeClr w14:val="tx1"/>
            </w14:solidFill>
          </w14:textFill>
        </w:rPr>
      </w:pPr>
    </w:p>
    <w:p w14:paraId="595CF66E">
      <w:pPr>
        <w:spacing w:line="360" w:lineRule="auto"/>
        <w:jc w:val="center"/>
        <w:rPr>
          <w:rFonts w:hint="eastAsia" w:ascii="宋体" w:hAnsi="宋体"/>
          <w:b/>
          <w:color w:val="000000" w:themeColor="text1"/>
          <w:szCs w:val="21"/>
          <w:highlight w:val="none"/>
          <w14:textFill>
            <w14:solidFill>
              <w14:schemeClr w14:val="tx1"/>
            </w14:solidFill>
          </w14:textFill>
        </w:rPr>
      </w:pPr>
    </w:p>
    <w:p w14:paraId="5E66C5B5">
      <w:pPr>
        <w:spacing w:line="360" w:lineRule="auto"/>
        <w:jc w:val="center"/>
        <w:rPr>
          <w:rFonts w:ascii="黑体" w:eastAsia="黑体" w:cs="宋体"/>
          <w:b/>
          <w:bCs/>
          <w:color w:val="000000" w:themeColor="text1"/>
          <w:kern w:val="0"/>
          <w:sz w:val="36"/>
          <w:szCs w:val="36"/>
          <w:highlight w:val="none"/>
          <w14:textFill>
            <w14:solidFill>
              <w14:schemeClr w14:val="tx1"/>
            </w14:solidFill>
          </w14:textFill>
        </w:rPr>
      </w:pPr>
      <w:bookmarkStart w:id="168" w:name="_Toc30654_WPSOffice_Level2"/>
      <w:r>
        <w:rPr>
          <w:rFonts w:ascii="黑体" w:eastAsia="黑体" w:cs="宋体"/>
          <w:bCs/>
          <w:color w:val="000000" w:themeColor="text1"/>
          <w:kern w:val="0"/>
          <w:sz w:val="52"/>
          <w:szCs w:val="52"/>
          <w:highlight w:val="none"/>
          <w14:textFill>
            <w14:solidFill>
              <w14:schemeClr w14:val="tx1"/>
            </w14:solidFill>
          </w14:textFill>
        </w:rPr>
        <w:t>建设工程施工合同</w:t>
      </w:r>
      <w:bookmarkEnd w:id="168"/>
      <w:r>
        <w:rPr>
          <w:rFonts w:ascii="黑体" w:eastAsia="黑体" w:cs="宋体"/>
          <w:bCs/>
          <w:color w:val="000000" w:themeColor="text1"/>
          <w:kern w:val="0"/>
          <w:sz w:val="52"/>
          <w:szCs w:val="52"/>
          <w:highlight w:val="none"/>
          <w14:textFill>
            <w14:solidFill>
              <w14:schemeClr w14:val="tx1"/>
            </w14:solidFill>
          </w14:textFill>
        </w:rPr>
        <w:br w:type="textWrapping"/>
      </w:r>
    </w:p>
    <w:p w14:paraId="27BB923D">
      <w:pPr>
        <w:widowControl/>
        <w:spacing w:line="360" w:lineRule="auto"/>
        <w:jc w:val="center"/>
        <w:rPr>
          <w:rFonts w:eastAsia="黑体" w:cs="宋体"/>
          <w:b/>
          <w:bCs/>
          <w:color w:val="000000" w:themeColor="text1"/>
          <w:kern w:val="0"/>
          <w:sz w:val="36"/>
          <w:szCs w:val="36"/>
          <w:highlight w:val="none"/>
          <w14:textFill>
            <w14:solidFill>
              <w14:schemeClr w14:val="tx1"/>
            </w14:solidFill>
          </w14:textFill>
        </w:rPr>
      </w:pPr>
    </w:p>
    <w:p w14:paraId="61E5EDB3">
      <w:pPr>
        <w:widowControl/>
        <w:spacing w:line="360" w:lineRule="auto"/>
        <w:ind w:firstLine="200"/>
        <w:jc w:val="center"/>
        <w:rPr>
          <w:rFonts w:ascii="黑体" w:eastAsia="黑体" w:cs="宋体"/>
          <w:b/>
          <w:bCs/>
          <w:color w:val="000000" w:themeColor="text1"/>
          <w:kern w:val="0"/>
          <w:sz w:val="32"/>
          <w:szCs w:val="32"/>
          <w:highlight w:val="none"/>
          <w14:textFill>
            <w14:solidFill>
              <w14:schemeClr w14:val="tx1"/>
            </w14:solidFill>
          </w14:textFill>
        </w:rPr>
      </w:pPr>
    </w:p>
    <w:p w14:paraId="4CDCC711">
      <w:pPr>
        <w:widowControl/>
        <w:spacing w:line="360" w:lineRule="auto"/>
        <w:ind w:firstLine="200"/>
        <w:jc w:val="center"/>
        <w:rPr>
          <w:rFonts w:ascii="黑体" w:eastAsia="黑体" w:cs="宋体"/>
          <w:b/>
          <w:bCs/>
          <w:color w:val="000000" w:themeColor="text1"/>
          <w:kern w:val="0"/>
          <w:sz w:val="32"/>
          <w:szCs w:val="32"/>
          <w:highlight w:val="none"/>
          <w14:textFill>
            <w14:solidFill>
              <w14:schemeClr w14:val="tx1"/>
            </w14:solidFill>
          </w14:textFill>
        </w:rPr>
      </w:pPr>
    </w:p>
    <w:p w14:paraId="4CCDA540">
      <w:pPr>
        <w:widowControl/>
        <w:spacing w:line="360" w:lineRule="auto"/>
        <w:ind w:firstLine="200"/>
        <w:jc w:val="center"/>
        <w:rPr>
          <w:rFonts w:ascii="黑体" w:eastAsia="黑体" w:cs="宋体"/>
          <w:b/>
          <w:bCs/>
          <w:color w:val="000000" w:themeColor="text1"/>
          <w:kern w:val="0"/>
          <w:sz w:val="32"/>
          <w:szCs w:val="32"/>
          <w:highlight w:val="none"/>
          <w14:textFill>
            <w14:solidFill>
              <w14:schemeClr w14:val="tx1"/>
            </w14:solidFill>
          </w14:textFill>
        </w:rPr>
      </w:pPr>
    </w:p>
    <w:p w14:paraId="08496C6F">
      <w:pPr>
        <w:widowControl/>
        <w:spacing w:line="360" w:lineRule="auto"/>
        <w:ind w:firstLine="200"/>
        <w:jc w:val="center"/>
        <w:rPr>
          <w:rFonts w:ascii="黑体" w:eastAsia="黑体" w:cs="宋体"/>
          <w:b/>
          <w:bCs/>
          <w:color w:val="000000" w:themeColor="text1"/>
          <w:kern w:val="0"/>
          <w:sz w:val="32"/>
          <w:szCs w:val="32"/>
          <w:highlight w:val="none"/>
          <w14:textFill>
            <w14:solidFill>
              <w14:schemeClr w14:val="tx1"/>
            </w14:solidFill>
          </w14:textFill>
        </w:rPr>
      </w:pPr>
    </w:p>
    <w:p w14:paraId="03D18C2F">
      <w:pPr>
        <w:widowControl/>
        <w:spacing w:line="360" w:lineRule="auto"/>
        <w:ind w:firstLine="200"/>
        <w:jc w:val="center"/>
        <w:rPr>
          <w:rFonts w:ascii="黑体" w:eastAsia="黑体" w:cs="宋体"/>
          <w:b/>
          <w:bCs/>
          <w:color w:val="000000" w:themeColor="text1"/>
          <w:kern w:val="0"/>
          <w:sz w:val="32"/>
          <w:szCs w:val="32"/>
          <w:highlight w:val="none"/>
          <w14:textFill>
            <w14:solidFill>
              <w14:schemeClr w14:val="tx1"/>
            </w14:solidFill>
          </w14:textFill>
        </w:rPr>
      </w:pPr>
    </w:p>
    <w:p w14:paraId="18FBA0D9">
      <w:pPr>
        <w:widowControl/>
        <w:spacing w:line="360" w:lineRule="auto"/>
        <w:rPr>
          <w:rFonts w:ascii="黑体" w:eastAsia="黑体" w:cs="宋体"/>
          <w:b/>
          <w:bCs/>
          <w:color w:val="000000" w:themeColor="text1"/>
          <w:kern w:val="0"/>
          <w:sz w:val="32"/>
          <w:szCs w:val="32"/>
          <w:highlight w:val="none"/>
          <w14:textFill>
            <w14:solidFill>
              <w14:schemeClr w14:val="tx1"/>
            </w14:solidFill>
          </w14:textFill>
        </w:rPr>
      </w:pPr>
    </w:p>
    <w:p w14:paraId="08565A09">
      <w:pPr>
        <w:widowControl/>
        <w:spacing w:line="360" w:lineRule="auto"/>
        <w:ind w:firstLine="200"/>
        <w:jc w:val="center"/>
        <w:rPr>
          <w:rFonts w:ascii="黑体" w:eastAsia="黑体" w:cs="宋体"/>
          <w:b/>
          <w:bCs/>
          <w:color w:val="000000" w:themeColor="text1"/>
          <w:kern w:val="0"/>
          <w:sz w:val="32"/>
          <w:szCs w:val="32"/>
          <w:highlight w:val="none"/>
          <w14:textFill>
            <w14:solidFill>
              <w14:schemeClr w14:val="tx1"/>
            </w14:solidFill>
          </w14:textFill>
        </w:rPr>
      </w:pPr>
    </w:p>
    <w:p w14:paraId="73C8BD65">
      <w:pPr>
        <w:spacing w:line="360" w:lineRule="auto"/>
        <w:ind w:right="2719" w:rightChars="1295" w:firstLine="3080" w:firstLineChars="1100"/>
        <w:jc w:val="right"/>
        <w:rPr>
          <w:rFonts w:hint="eastAsia" w:ascii="宋体" w:hAnsi="宋体"/>
          <w:b/>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4286250</wp:posOffset>
                </wp:positionH>
                <wp:positionV relativeFrom="paragraph">
                  <wp:posOffset>45720</wp:posOffset>
                </wp:positionV>
                <wp:extent cx="657225" cy="514350"/>
                <wp:effectExtent l="4445" t="4445" r="5080" b="1460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657225" cy="514350"/>
                        </a:xfrm>
                        <a:prstGeom prst="rect">
                          <a:avLst/>
                        </a:prstGeom>
                        <a:noFill/>
                        <a:ln w="9525" cmpd="sng">
                          <a:solidFill>
                            <a:srgbClr val="FFFFFF"/>
                          </a:solidFill>
                          <a:miter lim="800000"/>
                        </a:ln>
                      </wps:spPr>
                      <wps:txbx>
                        <w:txbxContent>
                          <w:p w14:paraId="1F934BCB">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37.5pt;margin-top:3.6pt;height:40.5pt;width:51.75pt;z-index:251659264;mso-width-relative:page;mso-height-relative:page;" filled="f" stroked="t" coordsize="21600,21600" o:gfxdata="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E3FVoLYAAAACAEAAA8AAAAAAAAAAQAgAAAA&#10;IgAAAGRycy9kb3ducmV2LnhtbFBLAQIUABQAAAAIAIdO4kAzL4+QRAIAAGgEAAAOAAAAAAAAAAEA&#10;IAAAACcBAABkcnMvZTJvRG9jLnhtbFBLBQYAAAAABgAGAFkBAADdBQAAAAA=&#10;">
                <v:fill on="f" focussize="0,0"/>
                <v:stroke color="#FFFFFF" miterlimit="8" joinstyle="miter"/>
                <v:imagedata o:title=""/>
                <o:lock v:ext="edit" aspectratio="f"/>
                <v:textbox>
                  <w:txbxContent>
                    <w:p w14:paraId="1F934BCB">
                      <w:pPr>
                        <w:rPr>
                          <w:b/>
                          <w:bCs/>
                          <w:sz w:val="32"/>
                        </w:rPr>
                      </w:pPr>
                      <w:r>
                        <w:rPr>
                          <w:rFonts w:hint="eastAsia"/>
                          <w:b/>
                          <w:bCs/>
                          <w:sz w:val="32"/>
                        </w:rPr>
                        <w:t>制定</w:t>
                      </w:r>
                    </w:p>
                  </w:txbxContent>
                </v:textbox>
              </v:shape>
            </w:pict>
          </mc:Fallback>
        </mc:AlternateContent>
      </w:r>
      <w:r>
        <w:rPr>
          <w:rFonts w:ascii="宋体" w:hAnsi="宋体"/>
          <w:b/>
          <w:color w:val="000000" w:themeColor="text1"/>
          <w:sz w:val="28"/>
          <w:szCs w:val="28"/>
          <w:highlight w:val="none"/>
          <w14:textFill>
            <w14:solidFill>
              <w14:schemeClr w14:val="tx1"/>
            </w14:solidFill>
          </w14:textFill>
        </w:rPr>
        <w:t>住房和城乡建设部</w:t>
      </w:r>
    </w:p>
    <w:p w14:paraId="7716B962">
      <w:pPr>
        <w:spacing w:line="360" w:lineRule="auto"/>
        <w:ind w:right="2719" w:rightChars="1295" w:firstLine="2406" w:firstLineChars="856"/>
        <w:jc w:val="right"/>
        <w:rPr>
          <w:rFonts w:hint="eastAsia" w:ascii="宋体" w:hAnsi="宋体"/>
          <w:b/>
          <w:color w:val="000000" w:themeColor="text1"/>
          <w:sz w:val="28"/>
          <w:szCs w:val="28"/>
          <w:highlight w:val="none"/>
          <w14:textFill>
            <w14:solidFill>
              <w14:schemeClr w14:val="tx1"/>
            </w14:solidFill>
          </w14:textFill>
        </w:rPr>
      </w:pPr>
      <w:bookmarkStart w:id="169" w:name="_Toc30486_WPSOffice_Level2"/>
      <w:r>
        <w:rPr>
          <w:rFonts w:ascii="宋体" w:hAnsi="宋体"/>
          <w:b/>
          <w:color w:val="000000" w:themeColor="text1"/>
          <w:sz w:val="28"/>
          <w:szCs w:val="28"/>
          <w:highlight w:val="none"/>
          <w14:textFill>
            <w14:solidFill>
              <w14:schemeClr w14:val="tx1"/>
            </w14:solidFill>
          </w14:textFill>
        </w:rPr>
        <w:t>国家工商行政管理总局</w:t>
      </w:r>
      <w:bookmarkEnd w:id="169"/>
    </w:p>
    <w:p w14:paraId="3DD2E1CF">
      <w:pPr>
        <w:widowControl/>
        <w:spacing w:line="356" w:lineRule="auto"/>
        <w:jc w:val="center"/>
        <w:rPr>
          <w:rFonts w:hint="eastAsia" w:ascii="黑体" w:hAnsi="黑体" w:eastAsia="黑体" w:cs="宋体"/>
          <w:bCs/>
          <w:color w:val="000000" w:themeColor="text1"/>
          <w:kern w:val="0"/>
          <w:sz w:val="36"/>
          <w:szCs w:val="36"/>
          <w:highlight w:val="none"/>
          <w14:textFill>
            <w14:solidFill>
              <w14:schemeClr w14:val="tx1"/>
            </w14:solidFill>
          </w14:textFill>
        </w:rPr>
      </w:pPr>
      <w:r>
        <w:rPr>
          <w:rFonts w:ascii="黑体" w:hAnsi="ˎ̥" w:eastAsia="黑体"/>
          <w:color w:val="000000" w:themeColor="text1"/>
          <w:szCs w:val="21"/>
          <w:highlight w:val="none"/>
          <w14:textFill>
            <w14:solidFill>
              <w14:schemeClr w14:val="tx1"/>
            </w14:solidFill>
          </w14:textFill>
        </w:rPr>
        <w:br w:type="page"/>
      </w:r>
      <w:r>
        <w:rPr>
          <w:rFonts w:hint="eastAsia" w:ascii="黑体" w:hAnsi="黑体" w:eastAsia="黑体" w:cs="宋体"/>
          <w:bCs/>
          <w:color w:val="000000" w:themeColor="text1"/>
          <w:kern w:val="0"/>
          <w:sz w:val="36"/>
          <w:szCs w:val="36"/>
          <w:highlight w:val="none"/>
          <w14:textFill>
            <w14:solidFill>
              <w14:schemeClr w14:val="tx1"/>
            </w14:solidFill>
          </w14:textFill>
        </w:rPr>
        <w:t>第一部分  合同协议书</w:t>
      </w:r>
    </w:p>
    <w:p w14:paraId="5E2D89C1">
      <w:pPr>
        <w:spacing w:line="356" w:lineRule="auto"/>
        <w:rPr>
          <w:rFonts w:hint="eastAsia" w:ascii="宋体" w:hAnsi="宋体"/>
          <w:b/>
          <w:color w:val="000000" w:themeColor="text1"/>
          <w:szCs w:val="21"/>
          <w:highlight w:val="none"/>
          <w:u w:val="single"/>
          <w14:textFill>
            <w14:solidFill>
              <w14:schemeClr w14:val="tx1"/>
            </w14:solidFill>
          </w14:textFill>
        </w:rPr>
      </w:pPr>
      <w:r>
        <w:rPr>
          <w:rFonts w:ascii="宋体" w:hAnsi="宋体"/>
          <w:b/>
          <w:color w:val="000000" w:themeColor="text1"/>
          <w:szCs w:val="21"/>
          <w:highlight w:val="none"/>
          <w14:textFill>
            <w14:solidFill>
              <w14:schemeClr w14:val="tx1"/>
            </w14:solidFill>
          </w14:textFill>
        </w:rPr>
        <w:t>发包人（全称）：</w:t>
      </w:r>
      <w:r>
        <w:rPr>
          <w:rFonts w:hint="eastAsia" w:ascii="MingLiU_HKSCS" w:hAnsi="MingLiU_HKSCS" w:cs="MingLiU_HKSCS"/>
          <w:b/>
          <w:color w:val="000000" w:themeColor="text1"/>
          <w:szCs w:val="21"/>
          <w:highlight w:val="none"/>
          <w:u w:val="single"/>
          <w14:textFill>
            <w14:solidFill>
              <w14:schemeClr w14:val="tx1"/>
            </w14:solidFill>
          </w14:textFill>
        </w:rPr>
        <w:t xml:space="preserve">                           </w:t>
      </w:r>
    </w:p>
    <w:p w14:paraId="140A9CDD">
      <w:pPr>
        <w:spacing w:line="356" w:lineRule="auto"/>
        <w:rPr>
          <w:rFonts w:hint="eastAsia" w:ascii="宋体" w:hAnsi="宋体"/>
          <w:b/>
          <w:color w:val="000000" w:themeColor="text1"/>
          <w:szCs w:val="21"/>
          <w:highlight w:val="none"/>
          <w:u w:val="single"/>
          <w14:textFill>
            <w14:solidFill>
              <w14:schemeClr w14:val="tx1"/>
            </w14:solidFill>
          </w14:textFill>
        </w:rPr>
      </w:pPr>
      <w:r>
        <w:rPr>
          <w:rFonts w:ascii="宋体" w:hAnsi="宋体"/>
          <w:b/>
          <w:color w:val="000000" w:themeColor="text1"/>
          <w:szCs w:val="21"/>
          <w:highlight w:val="none"/>
          <w14:textFill>
            <w14:solidFill>
              <w14:schemeClr w14:val="tx1"/>
            </w14:solidFill>
          </w14:textFill>
        </w:rPr>
        <w:t>承包人（全称）：</w:t>
      </w:r>
      <w:r>
        <w:rPr>
          <w:rFonts w:hint="eastAsia" w:ascii="MingLiU_HKSCS" w:hAnsi="MingLiU_HKSCS" w:cs="MingLiU_HKSCS"/>
          <w:b/>
          <w:color w:val="000000" w:themeColor="text1"/>
          <w:szCs w:val="21"/>
          <w:highlight w:val="none"/>
          <w:u w:val="single"/>
          <w14:textFill>
            <w14:solidFill>
              <w14:schemeClr w14:val="tx1"/>
            </w14:solidFill>
          </w14:textFill>
        </w:rPr>
        <w:t xml:space="preserve">                           </w:t>
      </w:r>
    </w:p>
    <w:p w14:paraId="76308567">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根据《中华人民共和国</w:t>
      </w:r>
      <w:r>
        <w:rPr>
          <w:rFonts w:hint="eastAsia" w:ascii="宋体" w:hAnsi="宋体"/>
          <w:color w:val="000000" w:themeColor="text1"/>
          <w:szCs w:val="21"/>
          <w:highlight w:val="none"/>
          <w14:textFill>
            <w14:solidFill>
              <w14:schemeClr w14:val="tx1"/>
            </w14:solidFill>
          </w14:textFill>
        </w:rPr>
        <w:t>民法典</w:t>
      </w:r>
      <w:r>
        <w:rPr>
          <w:rFonts w:ascii="宋体" w:hAnsi="宋体"/>
          <w:color w:val="000000" w:themeColor="text1"/>
          <w:szCs w:val="21"/>
          <w:highlight w:val="none"/>
          <w14:textFill>
            <w14:solidFill>
              <w14:schemeClr w14:val="tx1"/>
            </w14:solidFill>
          </w14:textFill>
        </w:rPr>
        <w:t>》、《中华人民共和国建筑法》及有关法律规定，遵循平等、自愿、公平和诚实信用的原则，双方就</w:t>
      </w:r>
      <w:r>
        <w:rPr>
          <w:rFonts w:hint="eastAsia" w:ascii="宋体" w:hAnsi="宋体"/>
          <w:color w:val="000000" w:themeColor="text1"/>
          <w:szCs w:val="21"/>
          <w:highlight w:val="none"/>
          <w:u w:val="single"/>
          <w14:textFill>
            <w14:solidFill>
              <w14:schemeClr w14:val="tx1"/>
            </w14:solidFill>
          </w14:textFill>
        </w:rPr>
        <w:t>陕西测绘地理信息局既有住宅加装电梯项目（三期）首批工程（7号楼3单元、30号楼2单元、29号楼5、6单元）</w:t>
      </w:r>
      <w:r>
        <w:rPr>
          <w:rFonts w:ascii="宋体" w:hAnsi="宋体"/>
          <w:color w:val="000000" w:themeColor="text1"/>
          <w:szCs w:val="21"/>
          <w:highlight w:val="none"/>
          <w14:textFill>
            <w14:solidFill>
              <w14:schemeClr w14:val="tx1"/>
            </w14:solidFill>
          </w14:textFill>
        </w:rPr>
        <w:t>施工及有关事项协商一致</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共同达成如下协议：</w:t>
      </w:r>
      <w:bookmarkStart w:id="170" w:name="_Toc351203481"/>
    </w:p>
    <w:p w14:paraId="3E7AA652">
      <w:pPr>
        <w:spacing w:line="356" w:lineRule="auto"/>
        <w:ind w:firstLine="422" w:firstLineChars="200"/>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一、工程概况</w:t>
      </w:r>
      <w:bookmarkEnd w:id="170"/>
    </w:p>
    <w:p w14:paraId="024B72D5">
      <w:pPr>
        <w:spacing w:line="356" w:lineRule="auto"/>
        <w:ind w:firstLine="420" w:firstLineChars="200"/>
        <w:rPr>
          <w:rFonts w:hint="eastAsia" w:ascii="宋体" w:hAnsi="宋体" w:cs="宋体"/>
          <w:color w:val="000000" w:themeColor="text1"/>
          <w:highlight w:val="none"/>
          <w14:textFill>
            <w14:solidFill>
              <w14:schemeClr w14:val="tx1"/>
            </w14:solidFill>
          </w14:textFill>
        </w:rPr>
      </w:pPr>
      <w:bookmarkStart w:id="171" w:name="_Toc351203482"/>
      <w:r>
        <w:rPr>
          <w:rFonts w:hint="eastAsia" w:ascii="宋体" w:hAnsi="宋体" w:cs="宋体"/>
          <w:color w:val="000000" w:themeColor="text1"/>
          <w:highlight w:val="none"/>
          <w14:textFill>
            <w14:solidFill>
              <w14:schemeClr w14:val="tx1"/>
            </w14:solidFill>
          </w14:textFill>
        </w:rPr>
        <w:t>1.工程名称：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2380FD18">
      <w:pPr>
        <w:spacing w:line="356" w:lineRule="auto"/>
        <w:ind w:firstLine="420" w:firstLineChars="200"/>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2.工程地点：</w:t>
      </w:r>
      <w:r>
        <w:rPr>
          <w:rFonts w:hint="eastAsia" w:ascii="宋体" w:hAnsi="宋体" w:cs="宋体"/>
          <w:color w:val="000000" w:themeColor="text1"/>
          <w:highlight w:val="none"/>
          <w:u w:val="single"/>
          <w14:textFill>
            <w14:solidFill>
              <w14:schemeClr w14:val="tx1"/>
            </w14:solidFill>
          </w14:textFill>
        </w:rPr>
        <w:t xml:space="preserve">                。</w:t>
      </w:r>
    </w:p>
    <w:p w14:paraId="267A3F8A">
      <w:pPr>
        <w:spacing w:line="356" w:lineRule="auto"/>
        <w:ind w:firstLine="420" w:firstLineChars="2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3.工程审批、核准或备案文号：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3AE455FE">
      <w:pPr>
        <w:spacing w:line="356" w:lineRule="auto"/>
        <w:ind w:firstLine="420" w:firstLineChars="2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4.资金来源：</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4C3C857">
      <w:pPr>
        <w:spacing w:line="356" w:lineRule="auto"/>
        <w:ind w:firstLine="420" w:firstLineChars="2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5.工程内容及规模：</w:t>
      </w:r>
      <w:r>
        <w:rPr>
          <w:rFonts w:hint="eastAsia" w:ascii="宋体" w:hAnsi="宋体" w:cs="宋体"/>
          <w:color w:val="000000" w:themeColor="text1"/>
          <w:highlight w:val="none"/>
          <w:u w:val="single"/>
          <w14:textFill>
            <w14:solidFill>
              <w14:schemeClr w14:val="tx1"/>
            </w14:solidFill>
          </w14:textFill>
        </w:rPr>
        <w:t xml:space="preserve">                           。</w:t>
      </w:r>
    </w:p>
    <w:p w14:paraId="45E98DFE">
      <w:pPr>
        <w:spacing w:line="356" w:lineRule="auto"/>
        <w:ind w:firstLine="420" w:firstLineChars="200"/>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6.工程承包范围：</w:t>
      </w:r>
      <w:r>
        <w:rPr>
          <w:rFonts w:hint="eastAsia" w:ascii="宋体" w:hAnsi="宋体" w:cs="宋体"/>
          <w:color w:val="000000" w:themeColor="text1"/>
          <w:highlight w:val="none"/>
          <w:u w:val="single"/>
          <w14:textFill>
            <w14:solidFill>
              <w14:schemeClr w14:val="tx1"/>
            </w14:solidFill>
          </w14:textFill>
        </w:rPr>
        <w:t>陕西测绘地理信息局既有住宅加装电梯项目（三期）首批工程（7号楼3单元、30号楼2单元、29号楼5、6单元）共加装  部电梯，包括电梯采购及安装、土建工程、给排水工程、强电工程、暖气工程、弱电工程等，详见工程量清单。办理电梯特种设备运行许可证。本工程为交钥匙工程。</w:t>
      </w:r>
    </w:p>
    <w:p w14:paraId="2BF921B1">
      <w:pPr>
        <w:spacing w:line="356" w:lineRule="auto"/>
        <w:ind w:firstLine="422" w:firstLineChars="200"/>
        <w:rPr>
          <w:rFonts w:hint="eastAsia" w:ascii="宋体" w:hAnsi="宋体"/>
          <w:bCs/>
          <w:color w:val="000000" w:themeColor="text1"/>
          <w:szCs w:val="21"/>
          <w:highlight w:val="none"/>
          <w:u w:val="single"/>
          <w14:textFill>
            <w14:solidFill>
              <w14:schemeClr w14:val="tx1"/>
            </w14:solidFill>
          </w14:textFill>
        </w:rPr>
      </w:pPr>
      <w:r>
        <w:rPr>
          <w:rFonts w:ascii="宋体" w:hAnsi="宋体"/>
          <w:b/>
          <w:color w:val="000000" w:themeColor="text1"/>
          <w:szCs w:val="21"/>
          <w:highlight w:val="none"/>
          <w14:textFill>
            <w14:solidFill>
              <w14:schemeClr w14:val="tx1"/>
            </w14:solidFill>
          </w14:textFill>
        </w:rPr>
        <w:t>二、合同工期</w:t>
      </w:r>
      <w:bookmarkEnd w:id="171"/>
    </w:p>
    <w:p w14:paraId="0F8E43A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计划开工日期：</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月</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日。</w:t>
      </w:r>
    </w:p>
    <w:p w14:paraId="5FC6ABB8">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计划竣工日期：</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月</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日。</w:t>
      </w:r>
    </w:p>
    <w:p w14:paraId="63B69F5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工期总日历天数：</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天。工期总日历天数与根据前述计划开竣工日期计算的工期天数不一致的，以工期总日历天数为准。</w:t>
      </w:r>
    </w:p>
    <w:p w14:paraId="700AA85C">
      <w:pPr>
        <w:spacing w:line="356" w:lineRule="auto"/>
        <w:ind w:firstLine="422" w:firstLineChars="200"/>
        <w:rPr>
          <w:rFonts w:hint="eastAsia" w:ascii="宋体" w:hAnsi="宋体"/>
          <w:b/>
          <w:color w:val="000000" w:themeColor="text1"/>
          <w:szCs w:val="21"/>
          <w:highlight w:val="none"/>
          <w14:textFill>
            <w14:solidFill>
              <w14:schemeClr w14:val="tx1"/>
            </w14:solidFill>
          </w14:textFill>
        </w:rPr>
      </w:pPr>
      <w:bookmarkStart w:id="172" w:name="_Toc351203483"/>
      <w:r>
        <w:rPr>
          <w:rFonts w:ascii="宋体" w:hAnsi="宋体"/>
          <w:b/>
          <w:color w:val="000000" w:themeColor="text1"/>
          <w:szCs w:val="21"/>
          <w:highlight w:val="none"/>
          <w14:textFill>
            <w14:solidFill>
              <w14:schemeClr w14:val="tx1"/>
            </w14:solidFill>
          </w14:textFill>
        </w:rPr>
        <w:t>三、质量标准</w:t>
      </w:r>
      <w:bookmarkEnd w:id="172"/>
    </w:p>
    <w:p w14:paraId="63E9CBA1">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工程质量符合</w:t>
      </w:r>
      <w:r>
        <w:rPr>
          <w:rFonts w:hint="eastAsia" w:ascii="宋体" w:hAnsi="宋体"/>
          <w:color w:val="000000" w:themeColor="text1"/>
          <w:szCs w:val="21"/>
          <w:highlight w:val="none"/>
          <w14:textFill>
            <w14:solidFill>
              <w14:schemeClr w14:val="tx1"/>
            </w14:solidFill>
          </w14:textFill>
        </w:rPr>
        <w:t xml:space="preserve"> </w:t>
      </w:r>
      <w:r>
        <w:rPr>
          <w:rFonts w:hint="eastAsia" w:ascii="MingLiU_HKSCS" w:hAnsi="MingLiU_HKSCS" w:cs="MingLiU_HKSCS"/>
          <w:color w:val="000000" w:themeColor="text1"/>
          <w:szCs w:val="21"/>
          <w:highlight w:val="none"/>
          <w:u w:val="single"/>
          <w14:textFill>
            <w14:solidFill>
              <w14:schemeClr w14:val="tx1"/>
            </w14:solidFill>
          </w14:textFill>
        </w:rPr>
        <w:t>合格</w:t>
      </w:r>
      <w:r>
        <w:rPr>
          <w:rFonts w:hint="eastAsia" w:ascii="MingLiU_HKSCS" w:hAnsi="MingLiU_HKSCS" w:cs="MingLiU_HKSCS"/>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标准。</w:t>
      </w:r>
    </w:p>
    <w:p w14:paraId="1B35C338">
      <w:pPr>
        <w:spacing w:line="356" w:lineRule="auto"/>
        <w:ind w:firstLine="422" w:firstLineChars="200"/>
        <w:rPr>
          <w:rFonts w:hint="eastAsia" w:ascii="宋体" w:hAnsi="宋体"/>
          <w:color w:val="000000" w:themeColor="text1"/>
          <w:szCs w:val="21"/>
          <w:highlight w:val="none"/>
          <w14:textFill>
            <w14:solidFill>
              <w14:schemeClr w14:val="tx1"/>
            </w14:solidFill>
          </w14:textFill>
        </w:rPr>
      </w:pPr>
      <w:bookmarkStart w:id="173" w:name="_Toc351203484"/>
      <w:r>
        <w:rPr>
          <w:rFonts w:ascii="宋体" w:hAnsi="宋体"/>
          <w:b/>
          <w:color w:val="000000" w:themeColor="text1"/>
          <w:szCs w:val="21"/>
          <w:highlight w:val="none"/>
          <w14:textFill>
            <w14:solidFill>
              <w14:schemeClr w14:val="tx1"/>
            </w14:solidFill>
          </w14:textFill>
        </w:rPr>
        <w:t>四、签约合同价与合同价格形式</w:t>
      </w:r>
      <w:bookmarkEnd w:id="173"/>
      <w:r>
        <w:rPr>
          <w:rFonts w:ascii="宋体" w:hAnsi="宋体"/>
          <w:b/>
          <w:color w:val="000000" w:themeColor="text1"/>
          <w:szCs w:val="21"/>
          <w:highlight w:val="none"/>
          <w14:textFill>
            <w14:solidFill>
              <w14:schemeClr w14:val="tx1"/>
            </w14:solidFill>
          </w14:textFill>
        </w:rPr>
        <w:tab/>
      </w:r>
    </w:p>
    <w:p w14:paraId="788F0C1D">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1.签约合同价为：</w:t>
      </w:r>
    </w:p>
    <w:p w14:paraId="22D0AD66">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人民币（大写）</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3A98D51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其中：</w:t>
      </w:r>
      <w:r>
        <w:rPr>
          <w:rFonts w:hint="eastAsia" w:ascii="宋体" w:hAnsi="宋体"/>
          <w:color w:val="000000" w:themeColor="text1"/>
          <w:szCs w:val="21"/>
          <w:highlight w:val="none"/>
          <w14:textFill>
            <w14:solidFill>
              <w14:schemeClr w14:val="tx1"/>
            </w14:solidFill>
          </w14:textFill>
        </w:rPr>
        <w:t xml:space="preserve">   </w:t>
      </w:r>
    </w:p>
    <w:p w14:paraId="143354D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）安全文明施工费：</w:t>
      </w:r>
    </w:p>
    <w:p w14:paraId="104B215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人民币（大写）</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元)；</w:t>
      </w:r>
    </w:p>
    <w:p w14:paraId="2D49C60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暂估价：</w:t>
      </w:r>
    </w:p>
    <w:p w14:paraId="023F4E8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3</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暂列金:</w:t>
      </w:r>
      <w:r>
        <w:rPr>
          <w:rFonts w:ascii="宋体" w:hAnsi="宋体"/>
          <w:color w:val="000000" w:themeColor="text1"/>
          <w:szCs w:val="21"/>
          <w:highlight w:val="none"/>
          <w14:textFill>
            <w14:solidFill>
              <w14:schemeClr w14:val="tx1"/>
            </w14:solidFill>
          </w14:textFill>
        </w:rPr>
        <w:t>（大写）</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元)；</w:t>
      </w:r>
    </w:p>
    <w:p w14:paraId="51B3F279">
      <w:pPr>
        <w:kinsoku w:val="0"/>
        <w:spacing w:line="356" w:lineRule="auto"/>
        <w:ind w:firstLine="420" w:firstLineChars="200"/>
        <w:jc w:val="left"/>
        <w:rPr>
          <w:rFonts w:hint="eastAsia" w:ascii="宋体" w:hAnsi="宋体" w:cs="宋体"/>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合同当事人对合同价格形式的其他约定：</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7F69E199">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2.合同价格形式：</w:t>
      </w:r>
      <w:r>
        <w:rPr>
          <w:rFonts w:hint="eastAsia" w:ascii="MingLiU_HKSCS" w:hAnsi="MingLiU_HKSCS" w:cs="MingLiU_HKSCS"/>
          <w:color w:val="000000" w:themeColor="text1"/>
          <w:szCs w:val="21"/>
          <w:highlight w:val="none"/>
          <w:u w:val="single"/>
          <w14:textFill>
            <w14:solidFill>
              <w14:schemeClr w14:val="tx1"/>
            </w14:solidFill>
          </w14:textFill>
        </w:rPr>
        <w:t xml:space="preserve">   固定单价合同  </w:t>
      </w:r>
      <w:r>
        <w:rPr>
          <w:rFonts w:ascii="宋体" w:hAnsi="宋体"/>
          <w:color w:val="000000" w:themeColor="text1"/>
          <w:szCs w:val="21"/>
          <w:highlight w:val="none"/>
          <w14:textFill>
            <w14:solidFill>
              <w14:schemeClr w14:val="tx1"/>
            </w14:solidFill>
          </w14:textFill>
        </w:rPr>
        <w:t>。</w:t>
      </w:r>
      <w:bookmarkStart w:id="174" w:name="_Toc351203485"/>
    </w:p>
    <w:p w14:paraId="1C00B307">
      <w:pPr>
        <w:spacing w:line="356" w:lineRule="auto"/>
        <w:ind w:firstLine="422" w:firstLineChars="200"/>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五、</w:t>
      </w:r>
      <w:bookmarkEnd w:id="174"/>
      <w:r>
        <w:rPr>
          <w:rFonts w:ascii="宋体" w:hAnsi="宋体"/>
          <w:b/>
          <w:color w:val="000000" w:themeColor="text1"/>
          <w:szCs w:val="21"/>
          <w:highlight w:val="none"/>
          <w14:textFill>
            <w14:solidFill>
              <w14:schemeClr w14:val="tx1"/>
            </w14:solidFill>
          </w14:textFill>
        </w:rPr>
        <w:t>项目经理</w:t>
      </w:r>
    </w:p>
    <w:p w14:paraId="61E0E48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承包人项目经理：</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0BAC698A">
      <w:pPr>
        <w:spacing w:line="356" w:lineRule="auto"/>
        <w:ind w:firstLine="422" w:firstLineChars="200"/>
        <w:rPr>
          <w:rFonts w:hint="eastAsia" w:ascii="宋体" w:hAnsi="宋体"/>
          <w:b/>
          <w:color w:val="000000" w:themeColor="text1"/>
          <w:szCs w:val="21"/>
          <w:highlight w:val="none"/>
          <w14:textFill>
            <w14:solidFill>
              <w14:schemeClr w14:val="tx1"/>
            </w14:solidFill>
          </w14:textFill>
        </w:rPr>
      </w:pPr>
      <w:bookmarkStart w:id="175" w:name="_Toc351203486"/>
      <w:r>
        <w:rPr>
          <w:rFonts w:ascii="宋体" w:hAnsi="宋体"/>
          <w:b/>
          <w:color w:val="000000" w:themeColor="text1"/>
          <w:szCs w:val="21"/>
          <w:highlight w:val="none"/>
          <w14:textFill>
            <w14:solidFill>
              <w14:schemeClr w14:val="tx1"/>
            </w14:solidFill>
          </w14:textFill>
        </w:rPr>
        <w:t>六、合同文件构成</w:t>
      </w:r>
      <w:bookmarkEnd w:id="175"/>
    </w:p>
    <w:p w14:paraId="705979B8">
      <w:pPr>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本协议书与下列文件一起构成合同文件：</w:t>
      </w:r>
    </w:p>
    <w:p w14:paraId="339F7697">
      <w:pPr>
        <w:autoSpaceDE w:val="0"/>
        <w:autoSpaceDN w:val="0"/>
        <w:adjustRightInd w:val="0"/>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（1）中标通知书；</w:t>
      </w:r>
    </w:p>
    <w:p w14:paraId="07954451">
      <w:pPr>
        <w:autoSpaceDE w:val="0"/>
        <w:autoSpaceDN w:val="0"/>
        <w:adjustRightInd w:val="0"/>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（2）合同协议书</w:t>
      </w:r>
    </w:p>
    <w:p w14:paraId="046A9984">
      <w:pPr>
        <w:autoSpaceDE w:val="0"/>
        <w:autoSpaceDN w:val="0"/>
        <w:adjustRightInd w:val="0"/>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（3）专用合同条件；</w:t>
      </w:r>
    </w:p>
    <w:p w14:paraId="08901860">
      <w:pPr>
        <w:autoSpaceDE w:val="0"/>
        <w:autoSpaceDN w:val="0"/>
        <w:adjustRightInd w:val="0"/>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（4）通用合同条件；</w:t>
      </w:r>
    </w:p>
    <w:p w14:paraId="1B03CFED">
      <w:pPr>
        <w:autoSpaceDE w:val="0"/>
        <w:autoSpaceDN w:val="0"/>
        <w:adjustRightInd w:val="0"/>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（5）招标文件；</w:t>
      </w:r>
    </w:p>
    <w:p w14:paraId="7C4C81A6">
      <w:pPr>
        <w:autoSpaceDE w:val="0"/>
        <w:autoSpaceDN w:val="0"/>
        <w:adjustRightInd w:val="0"/>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（6）投标文件；</w:t>
      </w:r>
    </w:p>
    <w:p w14:paraId="1E16B33F">
      <w:pPr>
        <w:autoSpaceDE w:val="0"/>
        <w:autoSpaceDN w:val="0"/>
        <w:adjustRightInd w:val="0"/>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7</w:t>
      </w:r>
      <w:r>
        <w:rPr>
          <w:rFonts w:ascii="宋体" w:hAnsi="宋体"/>
          <w:color w:val="000000" w:themeColor="text1"/>
          <w:szCs w:val="21"/>
          <w:highlight w:val="none"/>
          <w14:textFill>
            <w14:solidFill>
              <w14:schemeClr w14:val="tx1"/>
            </w14:solidFill>
          </w14:textFill>
        </w:rPr>
        <w:t>）其他合同文件。</w:t>
      </w:r>
    </w:p>
    <w:p w14:paraId="67E727C4">
      <w:pPr>
        <w:autoSpaceDE w:val="0"/>
        <w:autoSpaceDN w:val="0"/>
        <w:adjustRightInd w:val="0"/>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在合同订立及履行过程中形成的与合同有关的文件均构成合同文件组成部分。</w:t>
      </w:r>
    </w:p>
    <w:p w14:paraId="29ED66AB">
      <w:pPr>
        <w:autoSpaceDE w:val="0"/>
        <w:autoSpaceDN w:val="0"/>
        <w:adjustRightInd w:val="0"/>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上述各项合同文件包括合同当事人就该项合同文件所作出的补充和修改，属于同一类内容的文件，应以最新签署的为准。</w:t>
      </w:r>
      <w:r>
        <w:rPr>
          <w:rFonts w:hint="eastAsia" w:ascii="宋体" w:hAnsi="宋体"/>
          <w:color w:val="000000" w:themeColor="text1"/>
          <w:szCs w:val="21"/>
          <w:highlight w:val="none"/>
          <w14:textFill>
            <w14:solidFill>
              <w14:schemeClr w14:val="tx1"/>
            </w14:solidFill>
          </w14:textFill>
        </w:rPr>
        <w:t>专用合同条款及其附件须经合同当事人签字或盖章。</w:t>
      </w:r>
      <w:bookmarkStart w:id="176" w:name="_Toc351203487"/>
    </w:p>
    <w:p w14:paraId="13886725">
      <w:pPr>
        <w:autoSpaceDE w:val="0"/>
        <w:autoSpaceDN w:val="0"/>
        <w:adjustRightInd w:val="0"/>
        <w:spacing w:line="356" w:lineRule="auto"/>
        <w:ind w:firstLine="422"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七、承诺</w:t>
      </w:r>
      <w:bookmarkEnd w:id="176"/>
    </w:p>
    <w:p w14:paraId="72E9B2AE">
      <w:pPr>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1.发包人承诺按照法律规定履行项目审批手续、筹集工程建设资金并按照合同约定的期限和方式支付合同价款。</w:t>
      </w:r>
    </w:p>
    <w:p w14:paraId="0A78BEEA">
      <w:pPr>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5540DAAB">
      <w:pPr>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3.发包人和承包人通过招投标形式签订合同的，双方理解并</w:t>
      </w:r>
      <w:r>
        <w:rPr>
          <w:rFonts w:hint="eastAsia" w:ascii="宋体" w:hAnsi="宋体"/>
          <w:bCs/>
          <w:color w:val="000000" w:themeColor="text1"/>
          <w:szCs w:val="21"/>
          <w:highlight w:val="none"/>
          <w14:textFill>
            <w14:solidFill>
              <w14:schemeClr w14:val="tx1"/>
            </w14:solidFill>
          </w14:textFill>
        </w:rPr>
        <w:t>承诺</w:t>
      </w:r>
      <w:r>
        <w:rPr>
          <w:rFonts w:ascii="宋体" w:hAnsi="宋体"/>
          <w:bCs/>
          <w:color w:val="000000" w:themeColor="text1"/>
          <w:szCs w:val="21"/>
          <w:highlight w:val="none"/>
          <w14:textFill>
            <w14:solidFill>
              <w14:schemeClr w14:val="tx1"/>
            </w14:solidFill>
          </w14:textFill>
        </w:rPr>
        <w:t>不再就同一工程另行签订与合同实质性内容相背离的协议。</w:t>
      </w:r>
    </w:p>
    <w:p w14:paraId="3411ACC9">
      <w:pPr>
        <w:spacing w:line="356" w:lineRule="auto"/>
        <w:ind w:firstLine="422" w:firstLineChars="200"/>
        <w:rPr>
          <w:rFonts w:hint="eastAsia" w:ascii="宋体" w:hAnsi="宋体"/>
          <w:bCs/>
          <w:color w:val="000000" w:themeColor="text1"/>
          <w:szCs w:val="21"/>
          <w:highlight w:val="none"/>
          <w14:textFill>
            <w14:solidFill>
              <w14:schemeClr w14:val="tx1"/>
            </w14:solidFill>
          </w14:textFill>
        </w:rPr>
      </w:pPr>
      <w:bookmarkStart w:id="177" w:name="_Toc351203488"/>
      <w:r>
        <w:rPr>
          <w:rFonts w:ascii="宋体" w:hAnsi="宋体"/>
          <w:b/>
          <w:color w:val="000000" w:themeColor="text1"/>
          <w:szCs w:val="21"/>
          <w:highlight w:val="none"/>
          <w14:textFill>
            <w14:solidFill>
              <w14:schemeClr w14:val="tx1"/>
            </w14:solidFill>
          </w14:textFill>
        </w:rPr>
        <w:t>八、词语含义</w:t>
      </w:r>
      <w:bookmarkEnd w:id="177"/>
    </w:p>
    <w:p w14:paraId="251E6C9E">
      <w:pPr>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本协议书中词语含义与第二部分通用合同条款中赋予的含义相同。</w:t>
      </w:r>
    </w:p>
    <w:p w14:paraId="1B39BBD2">
      <w:pPr>
        <w:spacing w:line="356" w:lineRule="auto"/>
        <w:ind w:firstLine="422" w:firstLineChars="200"/>
        <w:rPr>
          <w:rFonts w:hint="eastAsia" w:ascii="宋体" w:hAnsi="宋体"/>
          <w:bCs/>
          <w:color w:val="000000" w:themeColor="text1"/>
          <w:szCs w:val="21"/>
          <w:highlight w:val="none"/>
          <w14:textFill>
            <w14:solidFill>
              <w14:schemeClr w14:val="tx1"/>
            </w14:solidFill>
          </w14:textFill>
        </w:rPr>
      </w:pPr>
      <w:bookmarkStart w:id="178" w:name="_Toc351203489"/>
      <w:r>
        <w:rPr>
          <w:rFonts w:ascii="宋体" w:hAnsi="宋体"/>
          <w:b/>
          <w:color w:val="000000" w:themeColor="text1"/>
          <w:szCs w:val="21"/>
          <w:highlight w:val="none"/>
          <w14:textFill>
            <w14:solidFill>
              <w14:schemeClr w14:val="tx1"/>
            </w14:solidFill>
          </w14:textFill>
        </w:rPr>
        <w:t>九、签订时间</w:t>
      </w:r>
      <w:bookmarkEnd w:id="178"/>
    </w:p>
    <w:p w14:paraId="10E739A3">
      <w:pPr>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本合同于</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年</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月</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日签订。</w:t>
      </w:r>
    </w:p>
    <w:p w14:paraId="119AED99">
      <w:pPr>
        <w:spacing w:line="356" w:lineRule="auto"/>
        <w:ind w:firstLine="422" w:firstLineChars="200"/>
        <w:rPr>
          <w:rFonts w:hint="eastAsia" w:ascii="宋体" w:hAnsi="宋体"/>
          <w:bCs/>
          <w:color w:val="000000" w:themeColor="text1"/>
          <w:szCs w:val="21"/>
          <w:highlight w:val="none"/>
          <w14:textFill>
            <w14:solidFill>
              <w14:schemeClr w14:val="tx1"/>
            </w14:solidFill>
          </w14:textFill>
        </w:rPr>
      </w:pPr>
      <w:bookmarkStart w:id="179" w:name="_Toc351203490"/>
      <w:r>
        <w:rPr>
          <w:rFonts w:ascii="宋体" w:hAnsi="宋体"/>
          <w:b/>
          <w:color w:val="000000" w:themeColor="text1"/>
          <w:szCs w:val="21"/>
          <w:highlight w:val="none"/>
          <w14:textFill>
            <w14:solidFill>
              <w14:schemeClr w14:val="tx1"/>
            </w14:solidFill>
          </w14:textFill>
        </w:rPr>
        <w:t>十、签订地点</w:t>
      </w:r>
      <w:bookmarkEnd w:id="179"/>
    </w:p>
    <w:p w14:paraId="7F99AFB7">
      <w:pPr>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本合同在</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签订。</w:t>
      </w:r>
    </w:p>
    <w:p w14:paraId="45F6F4F8">
      <w:pPr>
        <w:spacing w:line="356" w:lineRule="auto"/>
        <w:ind w:firstLine="422" w:firstLineChars="200"/>
        <w:rPr>
          <w:rFonts w:hint="eastAsia" w:ascii="宋体" w:hAnsi="宋体"/>
          <w:bCs/>
          <w:color w:val="000000" w:themeColor="text1"/>
          <w:szCs w:val="21"/>
          <w:highlight w:val="none"/>
          <w14:textFill>
            <w14:solidFill>
              <w14:schemeClr w14:val="tx1"/>
            </w14:solidFill>
          </w14:textFill>
        </w:rPr>
      </w:pPr>
      <w:bookmarkStart w:id="180" w:name="_Toc351203491"/>
      <w:r>
        <w:rPr>
          <w:rFonts w:ascii="宋体" w:hAnsi="宋体"/>
          <w:b/>
          <w:color w:val="000000" w:themeColor="text1"/>
          <w:szCs w:val="21"/>
          <w:highlight w:val="none"/>
          <w14:textFill>
            <w14:solidFill>
              <w14:schemeClr w14:val="tx1"/>
            </w14:solidFill>
          </w14:textFill>
        </w:rPr>
        <w:t>十一、补充协议</w:t>
      </w:r>
      <w:bookmarkEnd w:id="180"/>
    </w:p>
    <w:p w14:paraId="2E20A0BE">
      <w:pPr>
        <w:spacing w:line="356" w:lineRule="auto"/>
        <w:ind w:firstLine="420" w:firstLineChars="200"/>
        <w:rPr>
          <w:rFonts w:hint="eastAsia" w:ascii="宋体" w:hAnsi="宋体"/>
          <w:b/>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合同未尽事宜，合同当事人另行签订补充协议</w:t>
      </w:r>
      <w:r>
        <w:rPr>
          <w:rFonts w:hint="eastAsia" w:ascii="宋体" w:hAnsi="宋体"/>
          <w:bCs/>
          <w:color w:val="000000" w:themeColor="text1"/>
          <w:szCs w:val="21"/>
          <w:highlight w:val="none"/>
          <w14:textFill>
            <w14:solidFill>
              <w14:schemeClr w14:val="tx1"/>
            </w14:solidFill>
          </w14:textFill>
        </w:rPr>
        <w:t>，</w:t>
      </w:r>
      <w:r>
        <w:rPr>
          <w:rFonts w:ascii="宋体" w:hAnsi="宋体"/>
          <w:bCs/>
          <w:color w:val="000000" w:themeColor="text1"/>
          <w:szCs w:val="21"/>
          <w:highlight w:val="none"/>
          <w14:textFill>
            <w14:solidFill>
              <w14:schemeClr w14:val="tx1"/>
            </w14:solidFill>
          </w14:textFill>
        </w:rPr>
        <w:t>补充协议是合同的组成部分。</w:t>
      </w:r>
    </w:p>
    <w:p w14:paraId="34C359EA">
      <w:pPr>
        <w:spacing w:line="356" w:lineRule="auto"/>
        <w:ind w:firstLine="422" w:firstLineChars="200"/>
        <w:rPr>
          <w:rFonts w:hint="eastAsia" w:ascii="宋体" w:hAnsi="宋体"/>
          <w:b/>
          <w:color w:val="000000" w:themeColor="text1"/>
          <w:szCs w:val="21"/>
          <w:highlight w:val="none"/>
          <w14:textFill>
            <w14:solidFill>
              <w14:schemeClr w14:val="tx1"/>
            </w14:solidFill>
          </w14:textFill>
        </w:rPr>
      </w:pPr>
      <w:bookmarkStart w:id="181" w:name="_Toc351203492"/>
      <w:r>
        <w:rPr>
          <w:rFonts w:ascii="宋体" w:hAnsi="宋体"/>
          <w:b/>
          <w:color w:val="000000" w:themeColor="text1"/>
          <w:szCs w:val="21"/>
          <w:highlight w:val="none"/>
          <w14:textFill>
            <w14:solidFill>
              <w14:schemeClr w14:val="tx1"/>
            </w14:solidFill>
          </w14:textFill>
        </w:rPr>
        <w:t>十二、合同生效</w:t>
      </w:r>
      <w:bookmarkEnd w:id="181"/>
    </w:p>
    <w:p w14:paraId="455D2506">
      <w:pPr>
        <w:spacing w:line="356" w:lineRule="auto"/>
        <w:ind w:firstLine="420" w:firstLineChars="200"/>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本合同自</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双方签字盖章后</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生效。</w:t>
      </w:r>
    </w:p>
    <w:p w14:paraId="216227CE">
      <w:pPr>
        <w:spacing w:line="356" w:lineRule="auto"/>
        <w:ind w:firstLine="422" w:firstLineChars="200"/>
        <w:rPr>
          <w:rFonts w:hint="eastAsia" w:ascii="宋体" w:hAnsi="宋体"/>
          <w:bCs/>
          <w:color w:val="000000" w:themeColor="text1"/>
          <w:szCs w:val="21"/>
          <w:highlight w:val="none"/>
          <w14:textFill>
            <w14:solidFill>
              <w14:schemeClr w14:val="tx1"/>
            </w14:solidFill>
          </w14:textFill>
        </w:rPr>
      </w:pPr>
      <w:bookmarkStart w:id="182" w:name="_Toc351203493"/>
      <w:r>
        <w:rPr>
          <w:rFonts w:ascii="宋体" w:hAnsi="宋体"/>
          <w:b/>
          <w:color w:val="000000" w:themeColor="text1"/>
          <w:szCs w:val="21"/>
          <w:highlight w:val="none"/>
          <w14:textFill>
            <w14:solidFill>
              <w14:schemeClr w14:val="tx1"/>
            </w14:solidFill>
          </w14:textFill>
        </w:rPr>
        <w:t>十三、合同份数</w:t>
      </w:r>
      <w:bookmarkEnd w:id="182"/>
    </w:p>
    <w:p w14:paraId="4D9DCE65">
      <w:pPr>
        <w:spacing w:line="356"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本合同一式</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份，均具有同等法律效力，发包人执</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份，承包人执</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份</w:t>
      </w:r>
      <w:r>
        <w:rPr>
          <w:rFonts w:hint="eastAsia" w:ascii="宋体" w:hAnsi="宋体"/>
          <w:bCs/>
          <w:color w:val="000000" w:themeColor="text1"/>
          <w:szCs w:val="21"/>
          <w:highlight w:val="none"/>
          <w14:textFill>
            <w14:solidFill>
              <w14:schemeClr w14:val="tx1"/>
            </w14:solidFill>
          </w14:textFill>
        </w:rPr>
        <w:t>，见证方执</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份。</w:t>
      </w:r>
    </w:p>
    <w:p w14:paraId="3A03DA40">
      <w:pPr>
        <w:spacing w:line="356"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(公章)</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承包人</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(公章)</w:t>
      </w:r>
      <w:r>
        <w:rPr>
          <w:rFonts w:hint="eastAsia" w:ascii="宋体" w:hAnsi="宋体"/>
          <w:color w:val="000000" w:themeColor="text1"/>
          <w:szCs w:val="21"/>
          <w:highlight w:val="none"/>
          <w14:textFill>
            <w14:solidFill>
              <w14:schemeClr w14:val="tx1"/>
            </w14:solidFill>
          </w14:textFill>
        </w:rPr>
        <w:t xml:space="preserve">                                 </w:t>
      </w:r>
    </w:p>
    <w:p w14:paraId="40D88FC2">
      <w:pPr>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法定代表人或其委托代理人（签字）：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法定代表人或其委托代理人（签字）：               </w:t>
      </w:r>
    </w:p>
    <w:p w14:paraId="4F0FDC65">
      <w:pPr>
        <w:tabs>
          <w:tab w:val="left" w:pos="4410"/>
        </w:tabs>
        <w:spacing w:line="356"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组织机构代码：</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组织机构代码：</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p>
    <w:p w14:paraId="2E86DD25">
      <w:pPr>
        <w:spacing w:line="356"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地  址：</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地  址：</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p>
    <w:p w14:paraId="06DE8EBD">
      <w:pPr>
        <w:spacing w:line="356"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邮政编码：</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邮政编码：</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p>
    <w:p w14:paraId="2316A847">
      <w:pPr>
        <w:spacing w:line="356"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法定代表人：</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法定代表人：</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p>
    <w:p w14:paraId="37426770">
      <w:pPr>
        <w:spacing w:line="356"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委托代理人：</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委托代理人：</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p>
    <w:p w14:paraId="0986FDA5">
      <w:pPr>
        <w:spacing w:line="356"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电  话：</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电  话：</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p>
    <w:p w14:paraId="1ABD6122">
      <w:pPr>
        <w:spacing w:line="356"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传  真：</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传  真：</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p>
    <w:p w14:paraId="6E44260C">
      <w:pPr>
        <w:spacing w:line="356"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电子信箱：</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电子信箱：</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p>
    <w:p w14:paraId="47748C40">
      <w:pPr>
        <w:spacing w:line="356"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开户银行：</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开户银行：</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p>
    <w:p w14:paraId="5D3550AF">
      <w:pPr>
        <w:spacing w:line="356"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账  号：</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账</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号：</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p>
    <w:p w14:paraId="616536D1">
      <w:pPr>
        <w:spacing w:line="356" w:lineRule="auto"/>
        <w:jc w:val="left"/>
        <w:rPr>
          <w:rFonts w:hint="eastAsia" w:ascii="黑体" w:hAnsi="黑体" w:eastAsia="黑体" w:cs="宋体"/>
          <w:bCs/>
          <w:color w:val="000000" w:themeColor="text1"/>
          <w:kern w:val="0"/>
          <w:szCs w:val="21"/>
          <w:highlight w:val="none"/>
          <w14:textFill>
            <w14:solidFill>
              <w14:schemeClr w14:val="tx1"/>
            </w14:solidFill>
          </w14:textFill>
        </w:rPr>
      </w:pPr>
    </w:p>
    <w:p w14:paraId="02F4E9B0">
      <w:pPr>
        <w:widowControl/>
        <w:spacing w:line="356" w:lineRule="auto"/>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08B5BEC9">
      <w:pPr>
        <w:spacing w:line="356" w:lineRule="auto"/>
        <w:ind w:firstLine="200"/>
        <w:jc w:val="center"/>
        <w:outlineLvl w:val="1"/>
        <w:rPr>
          <w:rFonts w:hint="eastAsia" w:ascii="黑体" w:hAnsi="黑体" w:eastAsia="黑体" w:cs="宋体"/>
          <w:bCs/>
          <w:color w:val="000000" w:themeColor="text1"/>
          <w:kern w:val="0"/>
          <w:sz w:val="36"/>
          <w:szCs w:val="36"/>
          <w:highlight w:val="none"/>
          <w14:textFill>
            <w14:solidFill>
              <w14:schemeClr w14:val="tx1"/>
            </w14:solidFill>
          </w14:textFill>
        </w:rPr>
      </w:pPr>
      <w:r>
        <w:rPr>
          <w:rFonts w:hint="eastAsia" w:ascii="黑体" w:hAnsi="黑体" w:eastAsia="黑体" w:cs="宋体"/>
          <w:bCs/>
          <w:color w:val="000000" w:themeColor="text1"/>
          <w:kern w:val="0"/>
          <w:sz w:val="36"/>
          <w:szCs w:val="36"/>
          <w:highlight w:val="none"/>
          <w14:textFill>
            <w14:solidFill>
              <w14:schemeClr w14:val="tx1"/>
            </w14:solidFill>
          </w14:textFill>
        </w:rPr>
        <w:t>第二部分  通用合同条款</w:t>
      </w:r>
    </w:p>
    <w:p w14:paraId="3F64E131">
      <w:pPr>
        <w:spacing w:line="356" w:lineRule="auto"/>
        <w:ind w:firstLine="200"/>
        <w:jc w:val="center"/>
        <w:rPr>
          <w:rFonts w:hint="eastAsia" w:ascii="宋体" w:hAnsi="宋体"/>
          <w:color w:val="000000" w:themeColor="text1"/>
          <w:kern w:val="0"/>
          <w:szCs w:val="21"/>
          <w:highlight w:val="none"/>
          <w14:textFill>
            <w14:solidFill>
              <w14:schemeClr w14:val="tx1"/>
            </w14:solidFill>
          </w14:textFill>
        </w:rPr>
      </w:pPr>
    </w:p>
    <w:p w14:paraId="1C1FD9CE">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183" w:name="_Toc351203495"/>
      <w:r>
        <w:rPr>
          <w:rFonts w:hint="eastAsia" w:ascii="宋体" w:hAnsi="宋体" w:cs="宋体"/>
          <w:bCs/>
          <w:color w:val="000000" w:themeColor="text1"/>
          <w:kern w:val="0"/>
          <w:szCs w:val="21"/>
          <w:highlight w:val="none"/>
          <w14:textFill>
            <w14:solidFill>
              <w14:schemeClr w14:val="tx1"/>
            </w14:solidFill>
          </w14:textFill>
        </w:rPr>
        <w:t>1.</w:t>
      </w:r>
      <w:bookmarkStart w:id="184" w:name="_Toc303538972"/>
      <w:bookmarkEnd w:id="184"/>
      <w:bookmarkStart w:id="185" w:name="_Toc303538973"/>
      <w:bookmarkEnd w:id="185"/>
      <w:bookmarkStart w:id="186" w:name="_Toc303538974"/>
      <w:bookmarkEnd w:id="186"/>
      <w:bookmarkStart w:id="187" w:name="_Toc303538976"/>
      <w:bookmarkEnd w:id="187"/>
      <w:bookmarkStart w:id="188" w:name="_Toc303538975"/>
      <w:bookmarkEnd w:id="188"/>
      <w:bookmarkStart w:id="189" w:name="_Toc296346528"/>
      <w:bookmarkStart w:id="190" w:name="_Toc296503027"/>
      <w:r>
        <w:rPr>
          <w:rFonts w:hint="eastAsia" w:ascii="宋体" w:hAnsi="宋体" w:cs="宋体"/>
          <w:bCs/>
          <w:color w:val="000000" w:themeColor="text1"/>
          <w:kern w:val="0"/>
          <w:szCs w:val="21"/>
          <w:highlight w:val="none"/>
          <w14:textFill>
            <w14:solidFill>
              <w14:schemeClr w14:val="tx1"/>
            </w14:solidFill>
          </w14:textFill>
        </w:rPr>
        <w:t xml:space="preserve"> 一般约定</w:t>
      </w:r>
      <w:bookmarkEnd w:id="183"/>
      <w:bookmarkEnd w:id="189"/>
      <w:bookmarkEnd w:id="190"/>
    </w:p>
    <w:p w14:paraId="0CF36332">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191" w:name="_Toc337558728"/>
      <w:bookmarkStart w:id="192" w:name="_Toc296346529"/>
      <w:bookmarkStart w:id="193" w:name="_Toc296503028"/>
      <w:bookmarkStart w:id="194" w:name="_Toc351203496"/>
      <w:r>
        <w:rPr>
          <w:rFonts w:hint="eastAsia" w:ascii="宋体" w:hAnsi="宋体" w:cs="宋体"/>
          <w:bCs/>
          <w:color w:val="000000" w:themeColor="text1"/>
          <w:kern w:val="0"/>
          <w:szCs w:val="21"/>
          <w:highlight w:val="none"/>
          <w14:textFill>
            <w14:solidFill>
              <w14:schemeClr w14:val="tx1"/>
            </w14:solidFill>
          </w14:textFill>
        </w:rPr>
        <w:t>1.1词语定义</w:t>
      </w:r>
      <w:bookmarkEnd w:id="191"/>
      <w:bookmarkEnd w:id="192"/>
      <w:bookmarkEnd w:id="193"/>
      <w:r>
        <w:rPr>
          <w:rFonts w:hint="eastAsia" w:ascii="宋体" w:hAnsi="宋体" w:cs="宋体"/>
          <w:bCs/>
          <w:color w:val="000000" w:themeColor="text1"/>
          <w:kern w:val="0"/>
          <w:szCs w:val="21"/>
          <w:highlight w:val="none"/>
          <w14:textFill>
            <w14:solidFill>
              <w14:schemeClr w14:val="tx1"/>
            </w14:solidFill>
          </w14:textFill>
        </w:rPr>
        <w:t>与解释</w:t>
      </w:r>
      <w:bookmarkEnd w:id="194"/>
    </w:p>
    <w:p w14:paraId="703120D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合同协议书、通用合同条款、专用合同条款中的下列词语具有本款所赋予的含义：</w:t>
      </w:r>
    </w:p>
    <w:p w14:paraId="27C5FAB4">
      <w:pPr>
        <w:autoSpaceDE w:val="0"/>
        <w:autoSpaceDN w:val="0"/>
        <w:adjustRightInd w:val="0"/>
        <w:spacing w:line="356" w:lineRule="auto"/>
        <w:ind w:firstLine="210" w:firstLineChars="10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  1.1.1 合同</w:t>
      </w:r>
    </w:p>
    <w:p w14:paraId="712F852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1.1.1.1 合同：是指根据法律规定和合同当事人约定具有约束力的文件，构成合同的文件包括合同协议书、成交通知书（如果有）、响应函及其附录（如果有）、专用合同条款</w:t>
      </w:r>
      <w:r>
        <w:rPr>
          <w:rFonts w:hint="eastAsia" w:ascii="宋体" w:hAnsi="宋体" w:cs="宋体"/>
          <w:color w:val="000000" w:themeColor="text1"/>
          <w:szCs w:val="21"/>
          <w:highlight w:val="none"/>
          <w14:textFill>
            <w14:solidFill>
              <w14:schemeClr w14:val="tx1"/>
            </w14:solidFill>
          </w14:textFill>
        </w:rPr>
        <w:t>及其附件</w:t>
      </w:r>
      <w:r>
        <w:rPr>
          <w:rFonts w:hint="eastAsia" w:ascii="宋体" w:hAnsi="宋体" w:cs="宋体"/>
          <w:color w:val="000000" w:themeColor="text1"/>
          <w:kern w:val="0"/>
          <w:szCs w:val="21"/>
          <w:highlight w:val="none"/>
          <w14:textFill>
            <w14:solidFill>
              <w14:schemeClr w14:val="tx1"/>
            </w14:solidFill>
          </w14:textFill>
        </w:rPr>
        <w:t>、通用合同条款、技术标准和要求、图纸、已标价工程量清单或预算书以及其他合同文件。</w:t>
      </w:r>
    </w:p>
    <w:p w14:paraId="4714517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1.1.1.2 合同协议书：是指构成合同的由发包人和承包人共同签署的称为“合同协议书”的书面文件。</w:t>
      </w:r>
    </w:p>
    <w:p w14:paraId="7185CE2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1.1.1.3 成交通知书：是指构成合同的由发包人通知承包人中标的书面文件。</w:t>
      </w:r>
    </w:p>
    <w:p w14:paraId="354236B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1.1.1.4 响应函：是指构成合同的由承包人填写并签署的用于投标的称为“响应函”的文件。</w:t>
      </w:r>
    </w:p>
    <w:p w14:paraId="4839B2D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1.1.1.5 响应函附录：是指构成合同的附在响应函后的称为“响应函附录”的文件。</w:t>
      </w:r>
    </w:p>
    <w:p w14:paraId="688FC4D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6E7E5B6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0085FB61">
      <w:pPr>
        <w:autoSpaceDE w:val="0"/>
        <w:autoSpaceDN w:val="0"/>
        <w:adjustRightInd w:val="0"/>
        <w:spacing w:line="356" w:lineRule="auto"/>
        <w:ind w:firstLine="409" w:firstLineChars="195"/>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1.1.1.8 已标价工程量清单：是指构成合同的由承包人按照规定的格式和要求填写并标明价格的工程量清单，包括说明和表格。</w:t>
      </w:r>
    </w:p>
    <w:p w14:paraId="2F09741B">
      <w:pPr>
        <w:autoSpaceDE w:val="0"/>
        <w:autoSpaceDN w:val="0"/>
        <w:adjustRightInd w:val="0"/>
        <w:spacing w:line="356" w:lineRule="auto"/>
        <w:ind w:firstLine="409" w:firstLineChars="195"/>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1.1.1.9 预算书：是指构成合同的由承包人按照发包人规定的格式和要求编制的工程预算文件。</w:t>
      </w:r>
    </w:p>
    <w:p w14:paraId="18B80EA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681799D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 合同当事人及其他相关方</w:t>
      </w:r>
    </w:p>
    <w:p w14:paraId="6C74A10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1.1.2.1 合同当事人：是指发包人和（或）承包人。</w:t>
      </w:r>
    </w:p>
    <w:p w14:paraId="5152979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1.1.2.2 发包人：是指与承包人签订合同协议书的当事人及取得该当事人资格的合法继承人。</w:t>
      </w:r>
    </w:p>
    <w:p w14:paraId="688EFE2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1.1.2.3 承包人：是指与发包人签订合同协议书的，具有相应工程施工承包资质的当事人及取得该当事人资格的合法继承人。</w:t>
      </w:r>
    </w:p>
    <w:p w14:paraId="50B83C9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1.1.2.4 监理人：是指在专用合同条款中指明的，受发包人委托按照法律规定进行工程监督管理的法人或其他组织。</w:t>
      </w:r>
    </w:p>
    <w:p w14:paraId="46FA19D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1.1.2.5 设计人：是指在专用合同条款中指明的，受发包人委托负责工程设计并具备相应工程设计资质的法人或其他组织。</w:t>
      </w:r>
    </w:p>
    <w:p w14:paraId="03BE3FE6">
      <w:pPr>
        <w:spacing w:line="356" w:lineRule="auto"/>
        <w:ind w:firstLine="409" w:firstLineChars="195"/>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1.1.2.6 分包人：</w:t>
      </w:r>
      <w:bookmarkStart w:id="195" w:name="#go5"/>
      <w:bookmarkEnd w:id="195"/>
      <w:r>
        <w:rPr>
          <w:rFonts w:hint="eastAsia" w:ascii="宋体" w:hAnsi="宋体" w:cs="宋体"/>
          <w:color w:val="000000" w:themeColor="text1"/>
          <w:kern w:val="0"/>
          <w:szCs w:val="21"/>
          <w:highlight w:val="none"/>
          <w14:textFill>
            <w14:solidFill>
              <w14:schemeClr w14:val="tx1"/>
            </w14:solidFill>
          </w14:textFill>
        </w:rPr>
        <w:t>是指按照法律规定和合同约定，分包部分工程或工作，并与承包人签订分包合同的具有相应资质的法人。</w:t>
      </w:r>
    </w:p>
    <w:p w14:paraId="34A6188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1.1.2.7 发包人代表：是指由发包人任命并派驻施工现场在发包人授权范围内行使发包人权利的人。</w:t>
      </w:r>
    </w:p>
    <w:p w14:paraId="6307887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1.1.2.8 项目经理：是指由承包人任命并派驻施工现场，在承包人授权范围内负责合同履行，且按照法律规定具有相应资格的项目负责人。</w:t>
      </w:r>
    </w:p>
    <w:p w14:paraId="330B61D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1.1.2.9 总监理工程师：是指由监理人任命并派驻施工现场进行工程监理的总负责人。</w:t>
      </w:r>
    </w:p>
    <w:p w14:paraId="56B59E2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 工程和设备</w:t>
      </w:r>
    </w:p>
    <w:p w14:paraId="1080C2E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1.1.3.1 工程：是指与合同协议书中工程承包范围对应的永久工程和（或）临时工程。</w:t>
      </w:r>
    </w:p>
    <w:p w14:paraId="36C1695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1.1.3.2 永久工程：是指按合同约定建造并移交给发包人的工程，包括工程设备。</w:t>
      </w:r>
    </w:p>
    <w:p w14:paraId="34F1FCA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1.1.3.3 临时工程：是指为完成合同约定的永久工程所修建的各类临时性工程，不包括施工设备。</w:t>
      </w:r>
    </w:p>
    <w:p w14:paraId="42765D4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1.1.3.4 单位工程：是指在合同协议书中指明的，具备独立施工条件并能形成独立使用功能的永久工程。</w:t>
      </w:r>
    </w:p>
    <w:p w14:paraId="51E6032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1.1.3.5 工程设备：是指构成永久工程的机电设备、金属结构设备、仪器及其他类似的设备和装置。</w:t>
      </w:r>
    </w:p>
    <w:p w14:paraId="0013C12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1.1.3.6 施工设备：是指为完成合同约定的各项工作所需的设备、器具和其他物品，但不包括工程设备、临时工程和材料。</w:t>
      </w:r>
    </w:p>
    <w:p w14:paraId="10E550F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1.1.3.7 施工现场：是指用于工程施工的场所，以及在专用合同条款中指明作为施工场所组成部分的其他场所，包括永久占地和临时占地。</w:t>
      </w:r>
    </w:p>
    <w:p w14:paraId="48606AE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1.1.3.8临时设施：是指为完成合同约定的各项工作所服务的临时性生产和生活设施。</w:t>
      </w:r>
    </w:p>
    <w:p w14:paraId="35F2E101">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1.1.3.9 永久占地：是指专用合同条款中指明为实施工程需永久占用的土地。</w:t>
      </w:r>
    </w:p>
    <w:p w14:paraId="41AEC1F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1.1.3.10 临时占地：是指专用合同条款中指明为实施工程需要临时占用的土地。</w:t>
      </w:r>
    </w:p>
    <w:p w14:paraId="68553D4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1.1.4 日期和期限</w:t>
      </w:r>
    </w:p>
    <w:p w14:paraId="291CF7B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57579A9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1.1.4.2 竣工日期：包括计划竣工日期和实际竣工日期。计划竣工日期是指合同协议书约定的竣工日期；实际竣工日期按照第13.2.3项〔竣工日期〕的约定确定。 </w:t>
      </w:r>
    </w:p>
    <w:p w14:paraId="56D289C4">
      <w:pPr>
        <w:spacing w:line="356" w:lineRule="auto"/>
        <w:ind w:firstLine="426" w:firstLineChars="20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1.1.4.3 工期：是指在合同协议书约定的承包人完成工程所需的期限，包括按照合同约定所作的期限变更。</w:t>
      </w:r>
    </w:p>
    <w:p w14:paraId="65FC082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1.1.4.4 缺陷责任期：是指承包人按照合同约定承担缺陷修复义务，且发包人预留质量保证金的期限，自工程实际竣工日期起计算。</w:t>
      </w:r>
    </w:p>
    <w:p w14:paraId="10D1CC3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1.1.4.5 保修期：是指承包人按照合同约定对工程承担保修责任的期限，从工程竣工验收合格之日起计算。</w:t>
      </w:r>
    </w:p>
    <w:p w14:paraId="5B93F9C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1.1.4.6 基准日期：招标发包的工程以投标截止日前28天的日期为基准日期，直接发包的工程以合同签订日前28天的日期为基准日期。</w:t>
      </w:r>
    </w:p>
    <w:p w14:paraId="56E1153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1.1.4.7 天：除特别指明外，均指日历天。合同中按天计算时间的，开始当天不计入，从次日开始计算，期限最后一天的截止时间为当天24:00时。</w:t>
      </w:r>
    </w:p>
    <w:p w14:paraId="13F6B57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1.1.5 合同价格和费用</w:t>
      </w:r>
    </w:p>
    <w:p w14:paraId="7A9D818E">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1.1.5.1 签约合同价：是指</w:t>
      </w:r>
      <w:r>
        <w:rPr>
          <w:rFonts w:hint="eastAsia" w:ascii="宋体" w:hAnsi="宋体" w:cs="宋体"/>
          <w:color w:val="000000" w:themeColor="text1"/>
          <w:szCs w:val="21"/>
          <w:highlight w:val="none"/>
          <w14:textFill>
            <w14:solidFill>
              <w14:schemeClr w14:val="tx1"/>
            </w14:solidFill>
          </w14:textFill>
        </w:rPr>
        <w:t>发包人和承包人在合同协议书中确定的总金额，包括安全文明施工费、暂估价及暂列金额等。</w:t>
      </w:r>
    </w:p>
    <w:p w14:paraId="07801C2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1.1.5.2 合同价格：是指发包人用于支付承包人按照合同约定完成承包范围内全部工作的金额，包括合同履行过程中按合同约定发生的价格变化。</w:t>
      </w:r>
    </w:p>
    <w:p w14:paraId="58C599E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1.1.5.3 费用：是指为履行合同所发生的或将要发生的所有必需的开支，包括管理费和应分摊的其他费用，但不包括利润。</w:t>
      </w:r>
    </w:p>
    <w:p w14:paraId="2FAF000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1.1.5.4 暂估价：是指发包人在工程量清单或预算书中提供的用于支付必然发生但暂时不能确定价格的材料、工程设备的单价、专业工程以及服务工作的金额。</w:t>
      </w:r>
    </w:p>
    <w:p w14:paraId="67A1BC3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42BEDE2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1.1.5.6 计日工：是指合同履行过程中，承包人完成发包人提出的零星工作或需要采用计日工计价的变更工作时，按合同中约定的单价计价的一种方式。</w:t>
      </w:r>
    </w:p>
    <w:p w14:paraId="2F5E4DC6">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1.1.5.7 质量保证金</w:t>
      </w:r>
      <w:bookmarkStart w:id="196" w:name="#go2"/>
      <w:bookmarkEnd w:id="196"/>
      <w:r>
        <w:rPr>
          <w:rFonts w:hint="eastAsia" w:ascii="宋体" w:hAnsi="宋体" w:cs="宋体"/>
          <w:color w:val="000000" w:themeColor="text1"/>
          <w:kern w:val="0"/>
          <w:szCs w:val="21"/>
          <w:highlight w:val="none"/>
          <w14:textFill>
            <w14:solidFill>
              <w14:schemeClr w14:val="tx1"/>
            </w14:solidFill>
          </w14:textFill>
        </w:rPr>
        <w:t>：是指按照第15.3款〔质量保证金〕约定承包人用于保证其在缺陷责任期内履行缺陷修补义务的担保</w:t>
      </w:r>
      <w:r>
        <w:rPr>
          <w:rFonts w:hint="eastAsia" w:ascii="宋体" w:hAnsi="宋体" w:cs="宋体"/>
          <w:color w:val="000000" w:themeColor="text1"/>
          <w:szCs w:val="21"/>
          <w:highlight w:val="none"/>
          <w14:textFill>
            <w14:solidFill>
              <w14:schemeClr w14:val="tx1"/>
            </w14:solidFill>
          </w14:textFill>
        </w:rPr>
        <w:t>。</w:t>
      </w:r>
    </w:p>
    <w:p w14:paraId="4FDA6E3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1.1.5.8 总价项目：是指在现行国家、行业以及地方的计量规则中无工程量计算规则，在已标价工程量清单或预算书中以总价或以费率形式计算的项目。</w:t>
      </w:r>
    </w:p>
    <w:p w14:paraId="09C2D9D3">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1.1.6 其他</w:t>
      </w:r>
    </w:p>
    <w:p w14:paraId="132B1CB7">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1.1.6.1 书面形式：是指合同文件、信函、电报、传真等可以有形地表现所载内容的形式。</w:t>
      </w:r>
    </w:p>
    <w:p w14:paraId="77F960A2">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197" w:name="_Toc296503029"/>
      <w:bookmarkStart w:id="198" w:name="_Toc337558729"/>
      <w:bookmarkStart w:id="199" w:name="_Toc351203497"/>
      <w:bookmarkStart w:id="200" w:name="_Toc296346530"/>
      <w:r>
        <w:rPr>
          <w:rFonts w:hint="eastAsia" w:ascii="宋体" w:hAnsi="宋体" w:cs="宋体"/>
          <w:bCs/>
          <w:color w:val="000000" w:themeColor="text1"/>
          <w:kern w:val="0"/>
          <w:szCs w:val="21"/>
          <w:highlight w:val="none"/>
          <w14:textFill>
            <w14:solidFill>
              <w14:schemeClr w14:val="tx1"/>
            </w14:solidFill>
          </w14:textFill>
        </w:rPr>
        <w:t>1.2语言文字</w:t>
      </w:r>
      <w:bookmarkEnd w:id="197"/>
      <w:bookmarkEnd w:id="198"/>
      <w:bookmarkEnd w:id="199"/>
      <w:bookmarkEnd w:id="200"/>
    </w:p>
    <w:p w14:paraId="34FD23F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6E5A3B35">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01" w:name="_Toc296346531"/>
      <w:bookmarkStart w:id="202" w:name="_Toc296503030"/>
      <w:bookmarkStart w:id="203" w:name="_Toc337558730"/>
      <w:bookmarkStart w:id="204" w:name="_Toc351203498"/>
      <w:r>
        <w:rPr>
          <w:rFonts w:hint="eastAsia" w:ascii="宋体" w:hAnsi="宋体" w:cs="宋体"/>
          <w:bCs/>
          <w:color w:val="000000" w:themeColor="text1"/>
          <w:kern w:val="0"/>
          <w:szCs w:val="21"/>
          <w:highlight w:val="none"/>
          <w14:textFill>
            <w14:solidFill>
              <w14:schemeClr w14:val="tx1"/>
            </w14:solidFill>
          </w14:textFill>
        </w:rPr>
        <w:t>1.3法律</w:t>
      </w:r>
      <w:bookmarkEnd w:id="201"/>
      <w:bookmarkEnd w:id="202"/>
      <w:bookmarkEnd w:id="203"/>
      <w:bookmarkEnd w:id="204"/>
    </w:p>
    <w:p w14:paraId="169E571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537FEA7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合同当事人可以在专用合同条款中约定合同适用的其他规范性文件。</w:t>
      </w:r>
    </w:p>
    <w:p w14:paraId="6D53B525">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05" w:name="_Toc351203499"/>
      <w:r>
        <w:rPr>
          <w:rFonts w:hint="eastAsia" w:ascii="宋体" w:hAnsi="宋体" w:cs="宋体"/>
          <w:bCs/>
          <w:color w:val="000000" w:themeColor="text1"/>
          <w:kern w:val="0"/>
          <w:szCs w:val="21"/>
          <w:highlight w:val="none"/>
          <w14:textFill>
            <w14:solidFill>
              <w14:schemeClr w14:val="tx1"/>
            </w14:solidFill>
          </w14:textFill>
        </w:rPr>
        <w:t>1.4 标准和规范</w:t>
      </w:r>
      <w:bookmarkEnd w:id="205"/>
    </w:p>
    <w:p w14:paraId="3F59305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1.4.1 适用于工程的国家标准、行业标准、工程所在地的地方性标准，以及相应的规范、规程等，合同当事人有特别要求的，应在专用合同条款中约定。</w:t>
      </w:r>
    </w:p>
    <w:p w14:paraId="5B9F989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1.4.2 发包人要求使用国外标准、规范的，发包人负责提供原文版本和中文译本，并在专用合同条款中约定提供标准规范的名称、份数和时间。</w:t>
      </w:r>
    </w:p>
    <w:p w14:paraId="14AD10A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4E63A011">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06" w:name="_Toc351203500"/>
      <w:r>
        <w:rPr>
          <w:rFonts w:hint="eastAsia" w:ascii="宋体" w:hAnsi="宋体" w:cs="宋体"/>
          <w:bCs/>
          <w:color w:val="000000" w:themeColor="text1"/>
          <w:kern w:val="0"/>
          <w:szCs w:val="21"/>
          <w:highlight w:val="none"/>
          <w14:textFill>
            <w14:solidFill>
              <w14:schemeClr w14:val="tx1"/>
            </w14:solidFill>
          </w14:textFill>
        </w:rPr>
        <w:t>1</w:t>
      </w:r>
      <w:bookmarkStart w:id="207" w:name="_Toc296346532"/>
      <w:bookmarkStart w:id="208" w:name="_Toc296503031"/>
      <w:bookmarkStart w:id="209" w:name="_Toc337558731"/>
      <w:r>
        <w:rPr>
          <w:rFonts w:hint="eastAsia" w:ascii="宋体" w:hAnsi="宋体" w:cs="宋体"/>
          <w:bCs/>
          <w:color w:val="000000" w:themeColor="text1"/>
          <w:kern w:val="0"/>
          <w:szCs w:val="21"/>
          <w:highlight w:val="none"/>
          <w14:textFill>
            <w14:solidFill>
              <w14:schemeClr w14:val="tx1"/>
            </w14:solidFill>
          </w14:textFill>
        </w:rPr>
        <w:t>.5 合同文件的优先顺序</w:t>
      </w:r>
      <w:bookmarkEnd w:id="206"/>
    </w:p>
    <w:bookmarkEnd w:id="207"/>
    <w:bookmarkEnd w:id="208"/>
    <w:bookmarkEnd w:id="209"/>
    <w:p w14:paraId="5F00932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组成合同的各项文件应互相解释，互为说明。除专用合同条款另有约定外，解释合同文件的优先顺序如下：</w:t>
      </w:r>
    </w:p>
    <w:p w14:paraId="3419227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（1）合同协议书；</w:t>
      </w:r>
    </w:p>
    <w:p w14:paraId="434D1CE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（2）成交通知书（如果有）；</w:t>
      </w:r>
    </w:p>
    <w:p w14:paraId="0059CD2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（3）响应函及其附录（如果有）；</w:t>
      </w:r>
    </w:p>
    <w:p w14:paraId="10208D8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（4）专用合同条款</w:t>
      </w:r>
      <w:r>
        <w:rPr>
          <w:rFonts w:hint="eastAsia" w:ascii="宋体" w:hAnsi="宋体" w:cs="宋体"/>
          <w:color w:val="000000" w:themeColor="text1"/>
          <w:szCs w:val="21"/>
          <w:highlight w:val="none"/>
          <w14:textFill>
            <w14:solidFill>
              <w14:schemeClr w14:val="tx1"/>
            </w14:solidFill>
          </w14:textFill>
        </w:rPr>
        <w:t>及其附件</w:t>
      </w:r>
      <w:r>
        <w:rPr>
          <w:rFonts w:hint="eastAsia" w:ascii="宋体" w:hAnsi="宋体" w:cs="宋体"/>
          <w:color w:val="000000" w:themeColor="text1"/>
          <w:kern w:val="0"/>
          <w:szCs w:val="21"/>
          <w:highlight w:val="none"/>
          <w14:textFill>
            <w14:solidFill>
              <w14:schemeClr w14:val="tx1"/>
            </w14:solidFill>
          </w14:textFill>
        </w:rPr>
        <w:t>；</w:t>
      </w:r>
    </w:p>
    <w:p w14:paraId="4BE2B35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（5）通用合同条款；</w:t>
      </w:r>
    </w:p>
    <w:p w14:paraId="5306C80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（6）技术标准和要求；</w:t>
      </w:r>
    </w:p>
    <w:p w14:paraId="4634CC7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（7）图纸；</w:t>
      </w:r>
    </w:p>
    <w:p w14:paraId="72960C0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（8）已标价工程量清单或预算书；</w:t>
      </w:r>
    </w:p>
    <w:p w14:paraId="0159992F">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（9）其他合同文件。</w:t>
      </w:r>
    </w:p>
    <w:p w14:paraId="65564BC1">
      <w:pPr>
        <w:spacing w:line="356" w:lineRule="auto"/>
        <w:ind w:firstLine="447" w:firstLineChars="21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上述各项合同文件包括合同当事人就该项合同文件所作出的补充和修改，属于同一类内容的文件，应以最新签署的为准。</w:t>
      </w:r>
    </w:p>
    <w:p w14:paraId="3AA52759">
      <w:pPr>
        <w:spacing w:line="356" w:lineRule="auto"/>
        <w:ind w:firstLine="447" w:firstLineChars="21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在合同订立及履行过程中形成的与合同有关的文件均构成合同文件组成部分，并根据其性质确定优先解释顺序。</w:t>
      </w:r>
    </w:p>
    <w:p w14:paraId="6CE3466A">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10" w:name="_Toc351203501"/>
      <w:r>
        <w:rPr>
          <w:rFonts w:hint="eastAsia" w:ascii="宋体" w:hAnsi="宋体" w:cs="宋体"/>
          <w:bCs/>
          <w:color w:val="000000" w:themeColor="text1"/>
          <w:kern w:val="0"/>
          <w:szCs w:val="21"/>
          <w:highlight w:val="none"/>
          <w14:textFill>
            <w14:solidFill>
              <w14:schemeClr w14:val="tx1"/>
            </w14:solidFill>
          </w14:textFill>
        </w:rPr>
        <w:t>1</w:t>
      </w:r>
      <w:bookmarkStart w:id="211" w:name="_Toc296346533"/>
      <w:bookmarkStart w:id="212" w:name="_Toc296503032"/>
      <w:bookmarkStart w:id="213" w:name="_Toc337558732"/>
      <w:r>
        <w:rPr>
          <w:rFonts w:hint="eastAsia" w:ascii="宋体" w:hAnsi="宋体" w:cs="宋体"/>
          <w:bCs/>
          <w:color w:val="000000" w:themeColor="text1"/>
          <w:kern w:val="0"/>
          <w:szCs w:val="21"/>
          <w:highlight w:val="none"/>
          <w14:textFill>
            <w14:solidFill>
              <w14:schemeClr w14:val="tx1"/>
            </w14:solidFill>
          </w14:textFill>
        </w:rPr>
        <w:t>.6图纸和承包人文件</w:t>
      </w:r>
      <w:bookmarkEnd w:id="210"/>
    </w:p>
    <w:bookmarkEnd w:id="211"/>
    <w:bookmarkEnd w:id="212"/>
    <w:bookmarkEnd w:id="213"/>
    <w:p w14:paraId="66113C7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1.6.1 图纸的提供和交底</w:t>
      </w:r>
    </w:p>
    <w:p w14:paraId="3E4A0AC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398C7B2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因发包人未按合同约定提供图纸导致承包人费用增加和（或）工期延误的，按照第7.5.1项〔因发包人原因导致工期延误〕约定办理。</w:t>
      </w:r>
    </w:p>
    <w:p w14:paraId="5D5DD24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1.6.2 图纸的错误</w:t>
      </w:r>
    </w:p>
    <w:p w14:paraId="735997D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4F239C2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1.6.3 图纸的修改和补充</w:t>
      </w:r>
    </w:p>
    <w:p w14:paraId="2429634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62D3351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1.6.4 承包人文件</w:t>
      </w:r>
    </w:p>
    <w:p w14:paraId="5BA9D04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1CA85B2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01BEEBA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1.6.5 图纸和承包人文件的保管</w:t>
      </w:r>
    </w:p>
    <w:p w14:paraId="1463F7E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5A2A51A1">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14" w:name="_Toc351203502"/>
      <w:r>
        <w:rPr>
          <w:rFonts w:hint="eastAsia" w:ascii="宋体" w:hAnsi="宋体" w:cs="宋体"/>
          <w:bCs/>
          <w:color w:val="000000" w:themeColor="text1"/>
          <w:kern w:val="0"/>
          <w:szCs w:val="21"/>
          <w:highlight w:val="none"/>
          <w14:textFill>
            <w14:solidFill>
              <w14:schemeClr w14:val="tx1"/>
            </w14:solidFill>
          </w14:textFill>
        </w:rPr>
        <w:t>1</w:t>
      </w:r>
      <w:bookmarkStart w:id="215" w:name="_Toc337558733"/>
      <w:bookmarkStart w:id="216" w:name="_Toc296346534"/>
      <w:bookmarkStart w:id="217" w:name="_Toc296503033"/>
      <w:r>
        <w:rPr>
          <w:rFonts w:hint="eastAsia" w:ascii="宋体" w:hAnsi="宋体" w:cs="宋体"/>
          <w:bCs/>
          <w:color w:val="000000" w:themeColor="text1"/>
          <w:kern w:val="0"/>
          <w:szCs w:val="21"/>
          <w:highlight w:val="none"/>
          <w14:textFill>
            <w14:solidFill>
              <w14:schemeClr w14:val="tx1"/>
            </w14:solidFill>
          </w14:textFill>
        </w:rPr>
        <w:t>.7联络</w:t>
      </w:r>
      <w:bookmarkEnd w:id="214"/>
    </w:p>
    <w:bookmarkEnd w:id="215"/>
    <w:bookmarkEnd w:id="216"/>
    <w:bookmarkEnd w:id="217"/>
    <w:p w14:paraId="248A6FD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1.7.1 与合同有关的通知、批准、证明、证书、指示、指令、要求、请求、同意、意见、确定和决定等，均应采用书面形式，并应在合同约定的期限内送达接收人和送达地点。</w:t>
      </w:r>
    </w:p>
    <w:p w14:paraId="6DF2847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1.7.2 发包人和承包人应在专用合同条款中约定各自的送达接收人和送达地点。任何一方合同当事人指定的接收人或送达地点发生变动的，应提前3天以书面形式通知对方。</w:t>
      </w:r>
    </w:p>
    <w:p w14:paraId="0BCFD95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1.7.3 发包人和承包人应当及时签收另一方送达至送达地点和指定接收人的来往信函。拒不签收的，由此增加的费用和（或）延误的工期由拒绝接收一方承担。</w:t>
      </w:r>
    </w:p>
    <w:p w14:paraId="3FD2976E">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18" w:name="_Toc351203503"/>
      <w:r>
        <w:rPr>
          <w:rFonts w:hint="eastAsia" w:ascii="宋体" w:hAnsi="宋体" w:cs="宋体"/>
          <w:bCs/>
          <w:color w:val="000000" w:themeColor="text1"/>
          <w:kern w:val="0"/>
          <w:szCs w:val="21"/>
          <w:highlight w:val="none"/>
          <w14:textFill>
            <w14:solidFill>
              <w14:schemeClr w14:val="tx1"/>
            </w14:solidFill>
          </w14:textFill>
        </w:rPr>
        <w:t>1</w:t>
      </w:r>
      <w:bookmarkStart w:id="219" w:name="_Toc337558734"/>
      <w:bookmarkStart w:id="220" w:name="_Toc296503035"/>
      <w:bookmarkStart w:id="221" w:name="_Toc296346536"/>
      <w:r>
        <w:rPr>
          <w:rFonts w:hint="eastAsia" w:ascii="宋体" w:hAnsi="宋体" w:cs="宋体"/>
          <w:bCs/>
          <w:color w:val="000000" w:themeColor="text1"/>
          <w:kern w:val="0"/>
          <w:szCs w:val="21"/>
          <w:highlight w:val="none"/>
          <w14:textFill>
            <w14:solidFill>
              <w14:schemeClr w14:val="tx1"/>
            </w14:solidFill>
          </w14:textFill>
        </w:rPr>
        <w:t>.8严禁贿赂</w:t>
      </w:r>
      <w:bookmarkEnd w:id="218"/>
    </w:p>
    <w:bookmarkEnd w:id="219"/>
    <w:bookmarkEnd w:id="220"/>
    <w:bookmarkEnd w:id="221"/>
    <w:p w14:paraId="0D083E3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1047830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22794143">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22" w:name="_Toc351203504"/>
      <w:r>
        <w:rPr>
          <w:rFonts w:hint="eastAsia" w:ascii="宋体" w:hAnsi="宋体" w:cs="宋体"/>
          <w:bCs/>
          <w:color w:val="000000" w:themeColor="text1"/>
          <w:kern w:val="0"/>
          <w:szCs w:val="21"/>
          <w:highlight w:val="none"/>
          <w14:textFill>
            <w14:solidFill>
              <w14:schemeClr w14:val="tx1"/>
            </w14:solidFill>
          </w14:textFill>
        </w:rPr>
        <w:t>1</w:t>
      </w:r>
      <w:bookmarkStart w:id="223" w:name="_Toc296346537"/>
      <w:bookmarkStart w:id="224" w:name="_Toc296503036"/>
      <w:bookmarkStart w:id="225" w:name="_Toc337558735"/>
      <w:r>
        <w:rPr>
          <w:rFonts w:hint="eastAsia" w:ascii="宋体" w:hAnsi="宋体" w:cs="宋体"/>
          <w:bCs/>
          <w:color w:val="000000" w:themeColor="text1"/>
          <w:kern w:val="0"/>
          <w:szCs w:val="21"/>
          <w:highlight w:val="none"/>
          <w14:textFill>
            <w14:solidFill>
              <w14:schemeClr w14:val="tx1"/>
            </w14:solidFill>
          </w14:textFill>
        </w:rPr>
        <w:t>.9化石、文物</w:t>
      </w:r>
      <w:bookmarkEnd w:id="222"/>
    </w:p>
    <w:bookmarkEnd w:id="223"/>
    <w:bookmarkEnd w:id="224"/>
    <w:bookmarkEnd w:id="225"/>
    <w:p w14:paraId="20C96BE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6A3D381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499E770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承包人发现文物后不及时报告或隐瞒不报，致使文物丢失或损坏的，应赔偿损失，并承担相应的法律责任。</w:t>
      </w:r>
    </w:p>
    <w:p w14:paraId="5F49B7E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26" w:name="_Toc351203505"/>
      <w:r>
        <w:rPr>
          <w:rFonts w:hint="eastAsia" w:ascii="宋体" w:hAnsi="宋体" w:cs="宋体"/>
          <w:bCs/>
          <w:color w:val="000000" w:themeColor="text1"/>
          <w:kern w:val="0"/>
          <w:szCs w:val="21"/>
          <w:highlight w:val="none"/>
          <w14:textFill>
            <w14:solidFill>
              <w14:schemeClr w14:val="tx1"/>
            </w14:solidFill>
          </w14:textFill>
        </w:rPr>
        <w:t>1</w:t>
      </w:r>
      <w:bookmarkStart w:id="227" w:name="_Toc337558736"/>
      <w:r>
        <w:rPr>
          <w:rFonts w:hint="eastAsia" w:ascii="宋体" w:hAnsi="宋体" w:cs="宋体"/>
          <w:bCs/>
          <w:color w:val="000000" w:themeColor="text1"/>
          <w:kern w:val="0"/>
          <w:szCs w:val="21"/>
          <w:highlight w:val="none"/>
          <w14:textFill>
            <w14:solidFill>
              <w14:schemeClr w14:val="tx1"/>
            </w14:solidFill>
          </w14:textFill>
        </w:rPr>
        <w:t>.10交通运输</w:t>
      </w:r>
      <w:bookmarkEnd w:id="226"/>
    </w:p>
    <w:bookmarkEnd w:id="227"/>
    <w:p w14:paraId="2A215A7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1.10.1 出入现场的权利</w:t>
      </w:r>
    </w:p>
    <w:p w14:paraId="5C981B2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5256D9D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68F1220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1.10.2 场外交通</w:t>
      </w:r>
    </w:p>
    <w:p w14:paraId="05B2E3C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3AD8E11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1.10.3场内交通</w:t>
      </w:r>
    </w:p>
    <w:p w14:paraId="2D4132F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394CD2E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534378A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场外交通和场内交通的边界由合同当事人在专用合同条款中约定。</w:t>
      </w:r>
    </w:p>
    <w:p w14:paraId="5E777F5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1.10.4 超大件和超重件的运输</w:t>
      </w:r>
    </w:p>
    <w:p w14:paraId="295E32E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1DD3CE7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1.10.5 道路和桥梁的损坏责任</w:t>
      </w:r>
    </w:p>
    <w:p w14:paraId="61A573F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因承包人运输造成施工场地内外公共道路和桥梁损坏的，由承包人承担修复损坏的全部费用和可能引起的赔偿。</w:t>
      </w:r>
    </w:p>
    <w:p w14:paraId="235DB8E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1.10.6 水路和航空运输</w:t>
      </w:r>
    </w:p>
    <w:p w14:paraId="5D8BFD7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本款前述各项的内容适用于水路运输和航空运输，其中“道路”一词的</w:t>
      </w:r>
      <w:r>
        <w:rPr>
          <w:rFonts w:hint="eastAsia" w:ascii="宋体" w:hAnsi="宋体" w:cs="宋体"/>
          <w:color w:val="000000" w:themeColor="text1"/>
          <w:kern w:val="0"/>
          <w:szCs w:val="21"/>
          <w:highlight w:val="none"/>
          <w:lang w:eastAsia="zh-CN"/>
          <w14:textFill>
            <w14:solidFill>
              <w14:schemeClr w14:val="tx1"/>
            </w14:solidFill>
          </w14:textFill>
        </w:rPr>
        <w:t>含义</w:t>
      </w:r>
      <w:r>
        <w:rPr>
          <w:rFonts w:hint="eastAsia" w:ascii="宋体" w:hAnsi="宋体" w:cs="宋体"/>
          <w:color w:val="000000" w:themeColor="text1"/>
          <w:kern w:val="0"/>
          <w:szCs w:val="21"/>
          <w:highlight w:val="none"/>
          <w14:textFill>
            <w14:solidFill>
              <w14:schemeClr w14:val="tx1"/>
            </w14:solidFill>
          </w14:textFill>
        </w:rPr>
        <w:t>包括河道、航线、船闸、机场、码头、堤防以及水路或航空运输中其他相似结构物；“车辆”一词的</w:t>
      </w:r>
      <w:r>
        <w:rPr>
          <w:rFonts w:hint="eastAsia" w:ascii="宋体" w:hAnsi="宋体" w:cs="宋体"/>
          <w:color w:val="000000" w:themeColor="text1"/>
          <w:kern w:val="0"/>
          <w:szCs w:val="21"/>
          <w:highlight w:val="none"/>
          <w:lang w:eastAsia="zh-CN"/>
          <w14:textFill>
            <w14:solidFill>
              <w14:schemeClr w14:val="tx1"/>
            </w14:solidFill>
          </w14:textFill>
        </w:rPr>
        <w:t>含义</w:t>
      </w:r>
      <w:r>
        <w:rPr>
          <w:rFonts w:hint="eastAsia" w:ascii="宋体" w:hAnsi="宋体" w:cs="宋体"/>
          <w:color w:val="000000" w:themeColor="text1"/>
          <w:kern w:val="0"/>
          <w:szCs w:val="21"/>
          <w:highlight w:val="none"/>
          <w14:textFill>
            <w14:solidFill>
              <w14:schemeClr w14:val="tx1"/>
            </w14:solidFill>
          </w14:textFill>
        </w:rPr>
        <w:t>包括船舶和飞机等。</w:t>
      </w:r>
    </w:p>
    <w:p w14:paraId="5E86AB5F">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28" w:name="_Toc351203506"/>
      <w:r>
        <w:rPr>
          <w:rFonts w:hint="eastAsia" w:ascii="宋体" w:hAnsi="宋体" w:cs="宋体"/>
          <w:bCs/>
          <w:color w:val="000000" w:themeColor="text1"/>
          <w:kern w:val="0"/>
          <w:szCs w:val="21"/>
          <w:highlight w:val="none"/>
          <w14:textFill>
            <w14:solidFill>
              <w14:schemeClr w14:val="tx1"/>
            </w14:solidFill>
          </w14:textFill>
        </w:rPr>
        <w:t>1</w:t>
      </w:r>
      <w:bookmarkStart w:id="229" w:name="_Toc337558737"/>
      <w:bookmarkStart w:id="230" w:name="_Toc296346538"/>
      <w:bookmarkStart w:id="231" w:name="_Toc296503037"/>
      <w:r>
        <w:rPr>
          <w:rFonts w:hint="eastAsia" w:ascii="宋体" w:hAnsi="宋体" w:cs="宋体"/>
          <w:bCs/>
          <w:color w:val="000000" w:themeColor="text1"/>
          <w:kern w:val="0"/>
          <w:szCs w:val="21"/>
          <w:highlight w:val="none"/>
          <w14:textFill>
            <w14:solidFill>
              <w14:schemeClr w14:val="tx1"/>
            </w14:solidFill>
          </w14:textFill>
        </w:rPr>
        <w:t>.11知识产权</w:t>
      </w:r>
      <w:bookmarkEnd w:id="228"/>
      <w:bookmarkEnd w:id="229"/>
    </w:p>
    <w:bookmarkEnd w:id="230"/>
    <w:bookmarkEnd w:id="231"/>
    <w:p w14:paraId="6F6934C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3219906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19C5939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4BBAD47A">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1.11.4 除专用合同条款另有约定外，承包人在合同签订前和签订时已确定采用的专利、专有技术、技术秘密的使用费已包含在签约合同价中。</w:t>
      </w:r>
    </w:p>
    <w:p w14:paraId="59762C01">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32" w:name="_Toc351203507"/>
      <w:r>
        <w:rPr>
          <w:rFonts w:hint="eastAsia" w:ascii="宋体" w:hAnsi="宋体" w:cs="宋体"/>
          <w:bCs/>
          <w:color w:val="000000" w:themeColor="text1"/>
          <w:kern w:val="0"/>
          <w:szCs w:val="21"/>
          <w:highlight w:val="none"/>
          <w14:textFill>
            <w14:solidFill>
              <w14:schemeClr w14:val="tx1"/>
            </w14:solidFill>
          </w14:textFill>
        </w:rPr>
        <w:t>1</w:t>
      </w:r>
      <w:bookmarkStart w:id="233" w:name="_Toc337558738"/>
      <w:r>
        <w:rPr>
          <w:rFonts w:hint="eastAsia" w:ascii="宋体" w:hAnsi="宋体" w:cs="宋体"/>
          <w:bCs/>
          <w:color w:val="000000" w:themeColor="text1"/>
          <w:kern w:val="0"/>
          <w:szCs w:val="21"/>
          <w:highlight w:val="none"/>
          <w14:textFill>
            <w14:solidFill>
              <w14:schemeClr w14:val="tx1"/>
            </w14:solidFill>
          </w14:textFill>
        </w:rPr>
        <w:t>.12保密</w:t>
      </w:r>
      <w:bookmarkEnd w:id="232"/>
    </w:p>
    <w:bookmarkEnd w:id="233"/>
    <w:p w14:paraId="2582FA7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2CD00B8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44577237">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34" w:name="_Toc351203508"/>
      <w:r>
        <w:rPr>
          <w:rFonts w:hint="eastAsia" w:ascii="宋体" w:hAnsi="宋体" w:cs="宋体"/>
          <w:bCs/>
          <w:color w:val="000000" w:themeColor="text1"/>
          <w:kern w:val="0"/>
          <w:szCs w:val="21"/>
          <w:highlight w:val="none"/>
          <w14:textFill>
            <w14:solidFill>
              <w14:schemeClr w14:val="tx1"/>
            </w14:solidFill>
          </w14:textFill>
        </w:rPr>
        <w:t>1.13工程量清单错误的修正</w:t>
      </w:r>
      <w:bookmarkEnd w:id="234"/>
    </w:p>
    <w:p w14:paraId="69C593F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5BC9C7A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（1）工程量清单存在缺项、漏项的；</w:t>
      </w:r>
    </w:p>
    <w:p w14:paraId="66FD9E4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（2）工程量清单偏差超出专用合同条款约定的工程量偏差范围的；</w:t>
      </w:r>
    </w:p>
    <w:p w14:paraId="2AAEA5C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（3）未按照国家现行计量规范强制性规定计量的。</w:t>
      </w:r>
    </w:p>
    <w:p w14:paraId="091A6072">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35" w:name="_Toc351203509"/>
      <w:r>
        <w:rPr>
          <w:rFonts w:hint="eastAsia" w:ascii="宋体" w:hAnsi="宋体" w:cs="宋体"/>
          <w:bCs/>
          <w:color w:val="000000" w:themeColor="text1"/>
          <w:kern w:val="0"/>
          <w:szCs w:val="21"/>
          <w:highlight w:val="none"/>
          <w14:textFill>
            <w14:solidFill>
              <w14:schemeClr w14:val="tx1"/>
            </w14:solidFill>
          </w14:textFill>
        </w:rPr>
        <w:t>2</w:t>
      </w:r>
      <w:bookmarkStart w:id="236" w:name="_Toc337558739"/>
      <w:bookmarkStart w:id="237" w:name="_Toc296346539"/>
      <w:bookmarkStart w:id="238" w:name="_Toc296503038"/>
      <w:bookmarkStart w:id="239" w:name="OLE_LINK1"/>
      <w:bookmarkStart w:id="240" w:name="OLE_LINK2"/>
      <w:r>
        <w:rPr>
          <w:rFonts w:hint="eastAsia" w:ascii="宋体" w:hAnsi="宋体" w:cs="宋体"/>
          <w:bCs/>
          <w:color w:val="000000" w:themeColor="text1"/>
          <w:kern w:val="0"/>
          <w:szCs w:val="21"/>
          <w:highlight w:val="none"/>
          <w14:textFill>
            <w14:solidFill>
              <w14:schemeClr w14:val="tx1"/>
            </w14:solidFill>
          </w14:textFill>
        </w:rPr>
        <w:t>. 发包人</w:t>
      </w:r>
      <w:bookmarkEnd w:id="235"/>
    </w:p>
    <w:bookmarkEnd w:id="236"/>
    <w:bookmarkEnd w:id="237"/>
    <w:bookmarkEnd w:id="238"/>
    <w:p w14:paraId="53F29BC7">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41" w:name="_Toc351203510"/>
      <w:r>
        <w:rPr>
          <w:rFonts w:hint="eastAsia" w:ascii="宋体" w:hAnsi="宋体" w:cs="宋体"/>
          <w:bCs/>
          <w:color w:val="000000" w:themeColor="text1"/>
          <w:kern w:val="0"/>
          <w:szCs w:val="21"/>
          <w:highlight w:val="none"/>
          <w14:textFill>
            <w14:solidFill>
              <w14:schemeClr w14:val="tx1"/>
            </w14:solidFill>
          </w14:textFill>
        </w:rPr>
        <w:t>2</w:t>
      </w:r>
      <w:bookmarkStart w:id="242" w:name="_Toc296346540"/>
      <w:bookmarkStart w:id="243" w:name="_Toc337558740"/>
      <w:bookmarkStart w:id="244" w:name="_Toc296503039"/>
      <w:r>
        <w:rPr>
          <w:rFonts w:hint="eastAsia" w:ascii="宋体" w:hAnsi="宋体" w:cs="宋体"/>
          <w:bCs/>
          <w:color w:val="000000" w:themeColor="text1"/>
          <w:kern w:val="0"/>
          <w:szCs w:val="21"/>
          <w:highlight w:val="none"/>
          <w14:textFill>
            <w14:solidFill>
              <w14:schemeClr w14:val="tx1"/>
            </w14:solidFill>
          </w14:textFill>
        </w:rPr>
        <w:t>.1 许可或批准</w:t>
      </w:r>
      <w:bookmarkEnd w:id="241"/>
    </w:p>
    <w:p w14:paraId="1D4EFB2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7A05190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因发包人原因未能及时办理完毕前述许可、批准或备案，由发包人承担由此增加的费用和（或）延误的工期。</w:t>
      </w:r>
    </w:p>
    <w:p w14:paraId="309DD492">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45" w:name="_Toc351203511"/>
      <w:r>
        <w:rPr>
          <w:rFonts w:hint="eastAsia" w:ascii="宋体" w:hAnsi="宋体" w:cs="宋体"/>
          <w:bCs/>
          <w:color w:val="000000" w:themeColor="text1"/>
          <w:kern w:val="0"/>
          <w:szCs w:val="21"/>
          <w:highlight w:val="none"/>
          <w14:textFill>
            <w14:solidFill>
              <w14:schemeClr w14:val="tx1"/>
            </w14:solidFill>
          </w14:textFill>
        </w:rPr>
        <w:t>2.2 发包人代表</w:t>
      </w:r>
      <w:bookmarkEnd w:id="245"/>
    </w:p>
    <w:p w14:paraId="31F0B35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7A1CE353">
      <w:pPr>
        <w:spacing w:line="356"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发包人代表不能按照合同约定履行其职责及义务，并导致合同无法继续正常履行的，承包人可以要求发包人撤换发包人代表。</w:t>
      </w:r>
    </w:p>
    <w:p w14:paraId="4149D55F">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不属于法定必须监理的工程，监理人的职权可以由发包人代表或发包人指定的其他人员行使。</w:t>
      </w:r>
    </w:p>
    <w:p w14:paraId="488B7ED8">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46" w:name="_Toc351203512"/>
      <w:r>
        <w:rPr>
          <w:rFonts w:hint="eastAsia" w:ascii="宋体" w:hAnsi="宋体" w:cs="宋体"/>
          <w:bCs/>
          <w:color w:val="000000" w:themeColor="text1"/>
          <w:kern w:val="0"/>
          <w:szCs w:val="21"/>
          <w:highlight w:val="none"/>
          <w14:textFill>
            <w14:solidFill>
              <w14:schemeClr w14:val="tx1"/>
            </w14:solidFill>
          </w14:textFill>
        </w:rPr>
        <w:t>2.3 发包人人员</w:t>
      </w:r>
      <w:bookmarkEnd w:id="246"/>
    </w:p>
    <w:p w14:paraId="2A8DFC7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241A119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发包人人员包括发包人代表及其他由发包人派驻施工现场的人员。</w:t>
      </w:r>
      <w:bookmarkEnd w:id="242"/>
      <w:bookmarkEnd w:id="243"/>
      <w:bookmarkEnd w:id="244"/>
    </w:p>
    <w:p w14:paraId="172234A3">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47" w:name="_Toc351203513"/>
      <w:r>
        <w:rPr>
          <w:rFonts w:hint="eastAsia" w:ascii="宋体" w:hAnsi="宋体" w:cs="宋体"/>
          <w:bCs/>
          <w:color w:val="000000" w:themeColor="text1"/>
          <w:kern w:val="0"/>
          <w:szCs w:val="21"/>
          <w:highlight w:val="none"/>
          <w14:textFill>
            <w14:solidFill>
              <w14:schemeClr w14:val="tx1"/>
            </w14:solidFill>
          </w14:textFill>
        </w:rPr>
        <w:t>2</w:t>
      </w:r>
      <w:bookmarkStart w:id="248" w:name="_Toc296503040"/>
      <w:bookmarkStart w:id="249" w:name="_Toc296346541"/>
      <w:bookmarkStart w:id="250" w:name="_Toc337558741"/>
      <w:r>
        <w:rPr>
          <w:rFonts w:hint="eastAsia" w:ascii="宋体" w:hAnsi="宋体" w:cs="宋体"/>
          <w:bCs/>
          <w:color w:val="000000" w:themeColor="text1"/>
          <w:kern w:val="0"/>
          <w:szCs w:val="21"/>
          <w:highlight w:val="none"/>
          <w14:textFill>
            <w14:solidFill>
              <w14:schemeClr w14:val="tx1"/>
            </w14:solidFill>
          </w14:textFill>
        </w:rPr>
        <w:t>.4 施工现场、施工条件和基础资料的提供</w:t>
      </w:r>
      <w:bookmarkEnd w:id="247"/>
      <w:bookmarkEnd w:id="248"/>
      <w:bookmarkEnd w:id="249"/>
      <w:bookmarkEnd w:id="250"/>
    </w:p>
    <w:p w14:paraId="164A161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2.4.1 提供施工现场</w:t>
      </w:r>
    </w:p>
    <w:p w14:paraId="333DADF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w:t>
      </w:r>
      <w:bookmarkEnd w:id="239"/>
      <w:bookmarkEnd w:id="240"/>
      <w:r>
        <w:rPr>
          <w:rFonts w:hint="eastAsia" w:ascii="宋体" w:hAnsi="宋体" w:cs="宋体"/>
          <w:color w:val="000000" w:themeColor="text1"/>
          <w:kern w:val="0"/>
          <w:szCs w:val="21"/>
          <w:highlight w:val="none"/>
          <w14:textFill>
            <w14:solidFill>
              <w14:schemeClr w14:val="tx1"/>
            </w14:solidFill>
          </w14:textFill>
        </w:rPr>
        <w:t>专用合同条款另有约定外，发包人应最迟于开工日期7天前向承包人移交施工现场。</w:t>
      </w:r>
    </w:p>
    <w:p w14:paraId="6047DF7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2.4.2 提供施工条件</w:t>
      </w:r>
    </w:p>
    <w:p w14:paraId="40554A1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除专用合同条款另有约定外，发包人应负责提供施工所需要的条件，包括：</w:t>
      </w:r>
    </w:p>
    <w:p w14:paraId="230887D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（1）将施工用水、电力、通讯线路等施工所必需的条件接至施工现场内；</w:t>
      </w:r>
    </w:p>
    <w:p w14:paraId="194EEB2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（2）保证向承包人提供正常施工所需要的进入施工现场的交通条件；</w:t>
      </w:r>
    </w:p>
    <w:p w14:paraId="03A0715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（3）协调处理施工现场周围地下管线和邻近建筑物、构筑物、古树名木保护工作，并承担相关费用；</w:t>
      </w:r>
    </w:p>
    <w:p w14:paraId="3D29E51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（4）按照专用合同条款约定应提供的其他设施和条件。</w:t>
      </w:r>
    </w:p>
    <w:p w14:paraId="0B4650D7">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2.4.3 提供基础资料</w:t>
      </w:r>
    </w:p>
    <w:p w14:paraId="2398056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1A13E3D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0819458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2.4.4 逾期提供的责任</w:t>
      </w:r>
    </w:p>
    <w:p w14:paraId="4C8D9812">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6F0FDBAE">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51" w:name="_Toc351203514"/>
      <w:r>
        <w:rPr>
          <w:rFonts w:hint="eastAsia" w:ascii="宋体" w:hAnsi="宋体" w:cs="宋体"/>
          <w:bCs/>
          <w:color w:val="000000" w:themeColor="text1"/>
          <w:kern w:val="0"/>
          <w:szCs w:val="21"/>
          <w:highlight w:val="none"/>
          <w14:textFill>
            <w14:solidFill>
              <w14:schemeClr w14:val="tx1"/>
            </w14:solidFill>
          </w14:textFill>
        </w:rPr>
        <w:t>2</w:t>
      </w:r>
      <w:bookmarkStart w:id="252" w:name="_Toc337558745"/>
      <w:bookmarkStart w:id="253" w:name="_Toc296503042"/>
      <w:bookmarkStart w:id="254" w:name="_Toc296346543"/>
      <w:r>
        <w:rPr>
          <w:rFonts w:hint="eastAsia" w:ascii="宋体" w:hAnsi="宋体" w:cs="宋体"/>
          <w:bCs/>
          <w:color w:val="000000" w:themeColor="text1"/>
          <w:kern w:val="0"/>
          <w:szCs w:val="21"/>
          <w:highlight w:val="none"/>
          <w14:textFill>
            <w14:solidFill>
              <w14:schemeClr w14:val="tx1"/>
            </w14:solidFill>
          </w14:textFill>
        </w:rPr>
        <w:t>.5 资</w:t>
      </w:r>
      <w:bookmarkEnd w:id="252"/>
      <w:bookmarkEnd w:id="253"/>
      <w:bookmarkEnd w:id="254"/>
      <w:r>
        <w:rPr>
          <w:rFonts w:hint="eastAsia" w:ascii="宋体" w:hAnsi="宋体" w:cs="宋体"/>
          <w:bCs/>
          <w:color w:val="000000" w:themeColor="text1"/>
          <w:kern w:val="0"/>
          <w:szCs w:val="21"/>
          <w:highlight w:val="none"/>
          <w14:textFill>
            <w14:solidFill>
              <w14:schemeClr w14:val="tx1"/>
            </w14:solidFill>
          </w14:textFill>
        </w:rPr>
        <w:t>金来源证明及支付担保</w:t>
      </w:r>
      <w:bookmarkEnd w:id="251"/>
    </w:p>
    <w:p w14:paraId="4E6B86B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除专用合同条款另有约定外，发包人应在收到承包人要求提供资金来源证明的书面通知后28天内，向承包人提供能够按照合同约定支付合同价款的相应资金来源证明。</w:t>
      </w:r>
    </w:p>
    <w:p w14:paraId="0E1AFE1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3C93286D">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55" w:name="_Toc351203515"/>
      <w:r>
        <w:rPr>
          <w:rFonts w:hint="eastAsia" w:ascii="宋体" w:hAnsi="宋体" w:cs="宋体"/>
          <w:bCs/>
          <w:color w:val="000000" w:themeColor="text1"/>
          <w:kern w:val="0"/>
          <w:szCs w:val="21"/>
          <w:highlight w:val="none"/>
          <w14:textFill>
            <w14:solidFill>
              <w14:schemeClr w14:val="tx1"/>
            </w14:solidFill>
          </w14:textFill>
        </w:rPr>
        <w:t>2.6 支付合同价款</w:t>
      </w:r>
      <w:bookmarkEnd w:id="255"/>
    </w:p>
    <w:p w14:paraId="7482B68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发包人应按合同约定向承包人及时支付合同价款。</w:t>
      </w:r>
    </w:p>
    <w:p w14:paraId="55A196E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56" w:name="_Toc351203516"/>
      <w:r>
        <w:rPr>
          <w:rFonts w:hint="eastAsia" w:ascii="宋体" w:hAnsi="宋体" w:cs="宋体"/>
          <w:bCs/>
          <w:color w:val="000000" w:themeColor="text1"/>
          <w:kern w:val="0"/>
          <w:szCs w:val="21"/>
          <w:highlight w:val="none"/>
          <w14:textFill>
            <w14:solidFill>
              <w14:schemeClr w14:val="tx1"/>
            </w14:solidFill>
          </w14:textFill>
        </w:rPr>
        <w:t>2.7 组织竣工验收</w:t>
      </w:r>
      <w:bookmarkEnd w:id="256"/>
    </w:p>
    <w:p w14:paraId="33274D4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发包人应按合同约定及时组织竣工验收。</w:t>
      </w:r>
    </w:p>
    <w:p w14:paraId="05CC4E1A">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57" w:name="_Toc351203517"/>
      <w:r>
        <w:rPr>
          <w:rFonts w:hint="eastAsia" w:ascii="宋体" w:hAnsi="宋体" w:cs="宋体"/>
          <w:bCs/>
          <w:color w:val="000000" w:themeColor="text1"/>
          <w:kern w:val="0"/>
          <w:szCs w:val="21"/>
          <w:highlight w:val="none"/>
          <w14:textFill>
            <w14:solidFill>
              <w14:schemeClr w14:val="tx1"/>
            </w14:solidFill>
          </w14:textFill>
        </w:rPr>
        <w:t>2.8 现场统一管理协议</w:t>
      </w:r>
      <w:bookmarkEnd w:id="257"/>
    </w:p>
    <w:p w14:paraId="09DCDC7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79038538">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58" w:name="_Toc351203518"/>
      <w:r>
        <w:rPr>
          <w:rFonts w:hint="eastAsia" w:ascii="宋体" w:hAnsi="宋体" w:cs="宋体"/>
          <w:bCs/>
          <w:color w:val="000000" w:themeColor="text1"/>
          <w:kern w:val="0"/>
          <w:szCs w:val="21"/>
          <w:highlight w:val="none"/>
          <w14:textFill>
            <w14:solidFill>
              <w14:schemeClr w14:val="tx1"/>
            </w14:solidFill>
          </w14:textFill>
        </w:rPr>
        <w:t>3</w:t>
      </w:r>
      <w:bookmarkStart w:id="259" w:name="_Toc296346546"/>
      <w:bookmarkStart w:id="260" w:name="_Toc337558746"/>
      <w:bookmarkStart w:id="261" w:name="_Toc296503045"/>
      <w:r>
        <w:rPr>
          <w:rFonts w:hint="eastAsia" w:ascii="宋体" w:hAnsi="宋体" w:cs="宋体"/>
          <w:bCs/>
          <w:color w:val="000000" w:themeColor="text1"/>
          <w:kern w:val="0"/>
          <w:szCs w:val="21"/>
          <w:highlight w:val="none"/>
          <w14:textFill>
            <w14:solidFill>
              <w14:schemeClr w14:val="tx1"/>
            </w14:solidFill>
          </w14:textFill>
        </w:rPr>
        <w:t>. 承包人</w:t>
      </w:r>
      <w:bookmarkEnd w:id="258"/>
    </w:p>
    <w:bookmarkEnd w:id="259"/>
    <w:bookmarkEnd w:id="260"/>
    <w:bookmarkEnd w:id="261"/>
    <w:p w14:paraId="171A9F12">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62" w:name="_Toc351203519"/>
      <w:r>
        <w:rPr>
          <w:rFonts w:hint="eastAsia" w:ascii="宋体" w:hAnsi="宋体" w:cs="宋体"/>
          <w:bCs/>
          <w:color w:val="000000" w:themeColor="text1"/>
          <w:kern w:val="0"/>
          <w:szCs w:val="21"/>
          <w:highlight w:val="none"/>
          <w14:textFill>
            <w14:solidFill>
              <w14:schemeClr w14:val="tx1"/>
            </w14:solidFill>
          </w14:textFill>
        </w:rPr>
        <w:t>3</w:t>
      </w:r>
      <w:bookmarkStart w:id="263" w:name="_Toc296503046"/>
      <w:bookmarkStart w:id="264" w:name="_Toc296346547"/>
      <w:bookmarkStart w:id="265" w:name="_Toc337558747"/>
      <w:r>
        <w:rPr>
          <w:rFonts w:hint="eastAsia" w:ascii="宋体" w:hAnsi="宋体" w:cs="宋体"/>
          <w:bCs/>
          <w:color w:val="000000" w:themeColor="text1"/>
          <w:kern w:val="0"/>
          <w:szCs w:val="21"/>
          <w:highlight w:val="none"/>
          <w14:textFill>
            <w14:solidFill>
              <w14:schemeClr w14:val="tx1"/>
            </w14:solidFill>
          </w14:textFill>
        </w:rPr>
        <w:t>.1 承包人的一般义务</w:t>
      </w:r>
      <w:bookmarkEnd w:id="262"/>
    </w:p>
    <w:bookmarkEnd w:id="263"/>
    <w:bookmarkEnd w:id="264"/>
    <w:bookmarkEnd w:id="265"/>
    <w:p w14:paraId="7355346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承包人在履行合同过程中应遵守法律和工程建设标准规范，并履行以下义务：</w:t>
      </w:r>
    </w:p>
    <w:p w14:paraId="26C83C78">
      <w:pPr>
        <w:numPr>
          <w:ilvl w:val="0"/>
          <w:numId w:val="8"/>
        </w:numPr>
        <w:autoSpaceDE w:val="0"/>
        <w:autoSpaceDN w:val="0"/>
        <w:adjustRightInd w:val="0"/>
        <w:spacing w:line="356" w:lineRule="auto"/>
        <w:ind w:firstLine="420" w:firstLineChars="20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办理法律规定应由承包人办理的许可和批准，并将办理结果书面报送发包人留存；</w:t>
      </w:r>
    </w:p>
    <w:p w14:paraId="6AC4948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（2）按法律规定和合同约定完成工程，并在保修期内承担保修义务；</w:t>
      </w:r>
    </w:p>
    <w:p w14:paraId="1283873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（3）按法律规定和合同约定采取施工安全和环境保护措施，办理工伤保险，确保工程及人员、材料、设备和设施的安全；</w:t>
      </w:r>
    </w:p>
    <w:p w14:paraId="5AE81AD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（4）按合同约定的工作内容和施工进度要求，编制施工组织设计和施工措施计划，并对所有施工作业和施工方法的完备性和安全可靠性负责；</w:t>
      </w:r>
    </w:p>
    <w:p w14:paraId="155A37E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411F0FD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（6）按照第6.3款〔环境保护〕约定负责施工场地及其周边环境与生态的保护工作；</w:t>
      </w:r>
    </w:p>
    <w:p w14:paraId="5FAFF8D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7CEAE18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（8）将发包人按合同约定支付的各项价款专用于合同工程，且应及时支付其雇用人员工资，并及时向分包人支付合同价款；</w:t>
      </w:r>
    </w:p>
    <w:p w14:paraId="59DA7DB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2E168E0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（10）应履行的其他义务。</w:t>
      </w:r>
    </w:p>
    <w:p w14:paraId="3252AE1B">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66" w:name="_Toc351203520"/>
      <w:r>
        <w:rPr>
          <w:rFonts w:hint="eastAsia" w:ascii="宋体" w:hAnsi="宋体" w:cs="宋体"/>
          <w:bCs/>
          <w:color w:val="000000" w:themeColor="text1"/>
          <w:kern w:val="0"/>
          <w:szCs w:val="21"/>
          <w:highlight w:val="none"/>
          <w14:textFill>
            <w14:solidFill>
              <w14:schemeClr w14:val="tx1"/>
            </w14:solidFill>
          </w14:textFill>
        </w:rPr>
        <w:t>3</w:t>
      </w:r>
      <w:bookmarkStart w:id="267" w:name="_Toc296503047"/>
      <w:bookmarkStart w:id="268" w:name="_Toc296346548"/>
      <w:bookmarkStart w:id="269" w:name="_Toc337558748"/>
      <w:r>
        <w:rPr>
          <w:rFonts w:hint="eastAsia" w:ascii="宋体" w:hAnsi="宋体" w:cs="宋体"/>
          <w:bCs/>
          <w:color w:val="000000" w:themeColor="text1"/>
          <w:kern w:val="0"/>
          <w:szCs w:val="21"/>
          <w:highlight w:val="none"/>
          <w14:textFill>
            <w14:solidFill>
              <w14:schemeClr w14:val="tx1"/>
            </w14:solidFill>
          </w14:textFill>
        </w:rPr>
        <w:t xml:space="preserve">.2 </w:t>
      </w:r>
      <w:bookmarkEnd w:id="266"/>
      <w:r>
        <w:rPr>
          <w:rFonts w:hint="eastAsia" w:ascii="宋体" w:hAnsi="宋体" w:cs="宋体"/>
          <w:bCs/>
          <w:color w:val="000000" w:themeColor="text1"/>
          <w:kern w:val="0"/>
          <w:szCs w:val="21"/>
          <w:highlight w:val="none"/>
          <w14:textFill>
            <w14:solidFill>
              <w14:schemeClr w14:val="tx1"/>
            </w14:solidFill>
          </w14:textFill>
        </w:rPr>
        <w:t>项目经理</w:t>
      </w:r>
    </w:p>
    <w:bookmarkEnd w:id="267"/>
    <w:bookmarkEnd w:id="268"/>
    <w:bookmarkEnd w:id="269"/>
    <w:p w14:paraId="28EE114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501AD2D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3016BB4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承包人违反上述约定的，应按照专用合同条款的约定，承担违约责任。</w:t>
      </w:r>
    </w:p>
    <w:p w14:paraId="731C39D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1CE4924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07CD64A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6D9BE60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10D3DE87">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70" w:name="_Toc351203521"/>
      <w:r>
        <w:rPr>
          <w:rFonts w:hint="eastAsia" w:ascii="宋体" w:hAnsi="宋体" w:cs="宋体"/>
          <w:bCs/>
          <w:color w:val="000000" w:themeColor="text1"/>
          <w:kern w:val="0"/>
          <w:szCs w:val="21"/>
          <w:highlight w:val="none"/>
          <w14:textFill>
            <w14:solidFill>
              <w14:schemeClr w14:val="tx1"/>
            </w14:solidFill>
          </w14:textFill>
        </w:rPr>
        <w:t>3</w:t>
      </w:r>
      <w:bookmarkStart w:id="271" w:name="_Toc296503048"/>
      <w:bookmarkStart w:id="272" w:name="_Toc296346549"/>
      <w:bookmarkStart w:id="273" w:name="_Toc337558749"/>
      <w:r>
        <w:rPr>
          <w:rFonts w:hint="eastAsia" w:ascii="宋体" w:hAnsi="宋体" w:cs="宋体"/>
          <w:bCs/>
          <w:color w:val="000000" w:themeColor="text1"/>
          <w:kern w:val="0"/>
          <w:szCs w:val="21"/>
          <w:highlight w:val="none"/>
          <w14:textFill>
            <w14:solidFill>
              <w14:schemeClr w14:val="tx1"/>
            </w14:solidFill>
          </w14:textFill>
        </w:rPr>
        <w:t xml:space="preserve">.3 </w:t>
      </w:r>
      <w:bookmarkEnd w:id="271"/>
      <w:bookmarkEnd w:id="272"/>
      <w:r>
        <w:rPr>
          <w:rFonts w:hint="eastAsia" w:ascii="宋体" w:hAnsi="宋体" w:cs="宋体"/>
          <w:bCs/>
          <w:color w:val="000000" w:themeColor="text1"/>
          <w:kern w:val="0"/>
          <w:szCs w:val="21"/>
          <w:highlight w:val="none"/>
          <w14:textFill>
            <w14:solidFill>
              <w14:schemeClr w14:val="tx1"/>
            </w14:solidFill>
          </w14:textFill>
        </w:rPr>
        <w:t>承包人人员</w:t>
      </w:r>
      <w:bookmarkEnd w:id="270"/>
    </w:p>
    <w:bookmarkEnd w:id="273"/>
    <w:p w14:paraId="2B0CA80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1F95E25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5419E5D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特殊工种作业人员均应持有相应的资格证明，监理人可以随时检查。</w:t>
      </w:r>
    </w:p>
    <w:p w14:paraId="00947EE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5BD5CE3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345513C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3.3.5 承包人擅自更换主要施工管理人员，或前述人员未经监理人或发包人同意擅自离开施工现场的，应按照专用合同条款约定承担违约责任。</w:t>
      </w:r>
    </w:p>
    <w:p w14:paraId="3EE5CCDB">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74" w:name="_Toc351203522"/>
      <w:r>
        <w:rPr>
          <w:rFonts w:hint="eastAsia" w:ascii="宋体" w:hAnsi="宋体" w:cs="宋体"/>
          <w:bCs/>
          <w:color w:val="000000" w:themeColor="text1"/>
          <w:kern w:val="0"/>
          <w:szCs w:val="21"/>
          <w:highlight w:val="none"/>
          <w14:textFill>
            <w14:solidFill>
              <w14:schemeClr w14:val="tx1"/>
            </w14:solidFill>
          </w14:textFill>
        </w:rPr>
        <w:t>3</w:t>
      </w:r>
      <w:bookmarkStart w:id="275" w:name="_Toc296503050"/>
      <w:bookmarkStart w:id="276" w:name="_Toc296346551"/>
      <w:bookmarkStart w:id="277" w:name="_Toc337558750"/>
      <w:r>
        <w:rPr>
          <w:rFonts w:hint="eastAsia" w:ascii="宋体" w:hAnsi="宋体" w:cs="宋体"/>
          <w:bCs/>
          <w:color w:val="000000" w:themeColor="text1"/>
          <w:kern w:val="0"/>
          <w:szCs w:val="21"/>
          <w:highlight w:val="none"/>
          <w14:textFill>
            <w14:solidFill>
              <w14:schemeClr w14:val="tx1"/>
            </w14:solidFill>
          </w14:textFill>
        </w:rPr>
        <w:t>.4 承包人现场查勘</w:t>
      </w:r>
      <w:bookmarkEnd w:id="274"/>
    </w:p>
    <w:bookmarkEnd w:id="275"/>
    <w:bookmarkEnd w:id="276"/>
    <w:bookmarkEnd w:id="277"/>
    <w:p w14:paraId="10F0D38A">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承包人应对基于发包人按照第2.4.3项〔提供基础资料〕提交的基础资料所做出的解释和推断负责，但因基础资料存在错误、遗漏导致承包人解释或推断失实的，由发包人承担责任。</w:t>
      </w:r>
    </w:p>
    <w:p w14:paraId="01F010C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71C06C3F">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78" w:name="_Toc351203523"/>
      <w:r>
        <w:rPr>
          <w:rFonts w:hint="eastAsia" w:ascii="宋体" w:hAnsi="宋体" w:cs="宋体"/>
          <w:bCs/>
          <w:color w:val="000000" w:themeColor="text1"/>
          <w:kern w:val="0"/>
          <w:szCs w:val="21"/>
          <w:highlight w:val="none"/>
          <w14:textFill>
            <w14:solidFill>
              <w14:schemeClr w14:val="tx1"/>
            </w14:solidFill>
          </w14:textFill>
        </w:rPr>
        <w:t>3</w:t>
      </w:r>
      <w:bookmarkStart w:id="279" w:name="_Toc296346552"/>
      <w:bookmarkStart w:id="280" w:name="_Toc296503051"/>
      <w:bookmarkStart w:id="281" w:name="_Toc337558751"/>
      <w:r>
        <w:rPr>
          <w:rFonts w:hint="eastAsia" w:ascii="宋体" w:hAnsi="宋体" w:cs="宋体"/>
          <w:bCs/>
          <w:color w:val="000000" w:themeColor="text1"/>
          <w:kern w:val="0"/>
          <w:szCs w:val="21"/>
          <w:highlight w:val="none"/>
          <w14:textFill>
            <w14:solidFill>
              <w14:schemeClr w14:val="tx1"/>
            </w14:solidFill>
          </w14:textFill>
        </w:rPr>
        <w:t>.5 分包</w:t>
      </w:r>
      <w:bookmarkEnd w:id="278"/>
    </w:p>
    <w:bookmarkEnd w:id="279"/>
    <w:bookmarkEnd w:id="280"/>
    <w:bookmarkEnd w:id="281"/>
    <w:p w14:paraId="7E05917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3.5.1 分包的一般约定</w:t>
      </w:r>
    </w:p>
    <w:p w14:paraId="36A983D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2033258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承包人不得以劳务分包的名义转包或违法分包工程。</w:t>
      </w:r>
    </w:p>
    <w:p w14:paraId="6533406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3.5.2 分包的确定</w:t>
      </w:r>
    </w:p>
    <w:p w14:paraId="7A3B58A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51C514A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3.5.3 分包管理</w:t>
      </w:r>
    </w:p>
    <w:p w14:paraId="10B6FD3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571C6AE3">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3.5.4 分包合同价款</w:t>
      </w:r>
    </w:p>
    <w:p w14:paraId="783D6CB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67818C8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（2）生效法律文书要求发包人向分包人支付分包合同价款的，发包人有权从应付承包人工程款中扣除该部分款项。</w:t>
      </w:r>
    </w:p>
    <w:p w14:paraId="6FF969F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3.5.5 分包合同权益的转让</w:t>
      </w:r>
    </w:p>
    <w:p w14:paraId="4E630EC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82" w:name="_Toc351203524"/>
    </w:p>
    <w:p w14:paraId="493AF7C8">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3.6 工程照管与成品、半成品保护</w:t>
      </w:r>
      <w:bookmarkEnd w:id="282"/>
    </w:p>
    <w:p w14:paraId="7640876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24983D4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7F73E78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（3）对合同内分期完成的成品和半成品，在工程接收证书颁发前，由承包人承担保护责任。因承包人原因造成成品或半成品损坏的，由承包人负责修复或更换，并承担由此增加的费用和（或）延误的工期。</w:t>
      </w:r>
    </w:p>
    <w:p w14:paraId="1C85B688">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83" w:name="_Toc351203525"/>
      <w:r>
        <w:rPr>
          <w:rFonts w:hint="eastAsia" w:ascii="宋体" w:hAnsi="宋体" w:cs="宋体"/>
          <w:bCs/>
          <w:color w:val="000000" w:themeColor="text1"/>
          <w:kern w:val="0"/>
          <w:szCs w:val="21"/>
          <w:highlight w:val="none"/>
          <w14:textFill>
            <w14:solidFill>
              <w14:schemeClr w14:val="tx1"/>
            </w14:solidFill>
          </w14:textFill>
        </w:rPr>
        <w:t>3</w:t>
      </w:r>
      <w:bookmarkStart w:id="284" w:name="_Toc337558752"/>
      <w:bookmarkStart w:id="285" w:name="_Toc296503052"/>
      <w:bookmarkStart w:id="286" w:name="_Toc296346553"/>
      <w:r>
        <w:rPr>
          <w:rFonts w:hint="eastAsia" w:ascii="宋体" w:hAnsi="宋体" w:cs="宋体"/>
          <w:bCs/>
          <w:color w:val="000000" w:themeColor="text1"/>
          <w:kern w:val="0"/>
          <w:szCs w:val="21"/>
          <w:highlight w:val="none"/>
          <w14:textFill>
            <w14:solidFill>
              <w14:schemeClr w14:val="tx1"/>
            </w14:solidFill>
          </w14:textFill>
        </w:rPr>
        <w:t>.7 履约担保</w:t>
      </w:r>
      <w:bookmarkEnd w:id="283"/>
    </w:p>
    <w:bookmarkEnd w:id="284"/>
    <w:bookmarkEnd w:id="285"/>
    <w:bookmarkEnd w:id="286"/>
    <w:p w14:paraId="50B8316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454B5C5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77231481">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87" w:name="_Toc351203526"/>
      <w:r>
        <w:rPr>
          <w:rFonts w:hint="eastAsia" w:ascii="宋体" w:hAnsi="宋体" w:cs="宋体"/>
          <w:bCs/>
          <w:color w:val="000000" w:themeColor="text1"/>
          <w:kern w:val="0"/>
          <w:szCs w:val="21"/>
          <w:highlight w:val="none"/>
          <w14:textFill>
            <w14:solidFill>
              <w14:schemeClr w14:val="tx1"/>
            </w14:solidFill>
          </w14:textFill>
        </w:rPr>
        <w:t>3.8 联合体</w:t>
      </w:r>
      <w:bookmarkEnd w:id="287"/>
    </w:p>
    <w:p w14:paraId="17D685F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3.8.1 联合体各方应共同与发包人签订合同协议书。联合体各方应为履行合同向发包人承担连带责任。</w:t>
      </w:r>
    </w:p>
    <w:p w14:paraId="1BDDF3D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3.8.2 联合体协议经发包人确认后作为合同附件。在履行合同过程中，未经发包人同意，不得修改联合体协议。</w:t>
      </w:r>
    </w:p>
    <w:p w14:paraId="2CDFCE1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3.8.3 联合体牵头人负责与发包人和监理人联系，并接受指示，负责组织联合体各成员全面履行合同。</w:t>
      </w:r>
    </w:p>
    <w:p w14:paraId="20F29D3B">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88" w:name="_Toc351203527"/>
      <w:r>
        <w:rPr>
          <w:rFonts w:hint="eastAsia" w:ascii="宋体" w:hAnsi="宋体" w:cs="宋体"/>
          <w:bCs/>
          <w:color w:val="000000" w:themeColor="text1"/>
          <w:kern w:val="0"/>
          <w:szCs w:val="21"/>
          <w:highlight w:val="none"/>
          <w14:textFill>
            <w14:solidFill>
              <w14:schemeClr w14:val="tx1"/>
            </w14:solidFill>
          </w14:textFill>
        </w:rPr>
        <w:t>4</w:t>
      </w:r>
      <w:bookmarkStart w:id="289" w:name="_Toc296503053"/>
      <w:bookmarkStart w:id="290" w:name="_Toc296346554"/>
      <w:bookmarkStart w:id="291" w:name="_Toc337558753"/>
      <w:r>
        <w:rPr>
          <w:rFonts w:hint="eastAsia" w:ascii="宋体" w:hAnsi="宋体" w:cs="宋体"/>
          <w:bCs/>
          <w:color w:val="000000" w:themeColor="text1"/>
          <w:kern w:val="0"/>
          <w:szCs w:val="21"/>
          <w:highlight w:val="none"/>
          <w14:textFill>
            <w14:solidFill>
              <w14:schemeClr w14:val="tx1"/>
            </w14:solidFill>
          </w14:textFill>
        </w:rPr>
        <w:t>. 监</w:t>
      </w:r>
      <w:bookmarkEnd w:id="289"/>
      <w:bookmarkEnd w:id="290"/>
      <w:r>
        <w:rPr>
          <w:rFonts w:hint="eastAsia" w:ascii="宋体" w:hAnsi="宋体" w:cs="宋体"/>
          <w:bCs/>
          <w:color w:val="000000" w:themeColor="text1"/>
          <w:kern w:val="0"/>
          <w:szCs w:val="21"/>
          <w:highlight w:val="none"/>
          <w14:textFill>
            <w14:solidFill>
              <w14:schemeClr w14:val="tx1"/>
            </w14:solidFill>
          </w14:textFill>
        </w:rPr>
        <w:t>理人</w:t>
      </w:r>
      <w:bookmarkEnd w:id="288"/>
    </w:p>
    <w:bookmarkEnd w:id="291"/>
    <w:p w14:paraId="1686957C">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92" w:name="_Toc351203528"/>
      <w:r>
        <w:rPr>
          <w:rFonts w:hint="eastAsia" w:ascii="宋体" w:hAnsi="宋体" w:cs="宋体"/>
          <w:bCs/>
          <w:color w:val="000000" w:themeColor="text1"/>
          <w:kern w:val="0"/>
          <w:szCs w:val="21"/>
          <w:highlight w:val="none"/>
          <w14:textFill>
            <w14:solidFill>
              <w14:schemeClr w14:val="tx1"/>
            </w14:solidFill>
          </w14:textFill>
        </w:rPr>
        <w:t>4</w:t>
      </w:r>
      <w:bookmarkStart w:id="293" w:name="_Toc337558754"/>
      <w:bookmarkStart w:id="294" w:name="_Toc296346555"/>
      <w:bookmarkStart w:id="295" w:name="_Toc296503054"/>
      <w:r>
        <w:rPr>
          <w:rFonts w:hint="eastAsia" w:ascii="宋体" w:hAnsi="宋体" w:cs="宋体"/>
          <w:bCs/>
          <w:color w:val="000000" w:themeColor="text1"/>
          <w:kern w:val="0"/>
          <w:szCs w:val="21"/>
          <w:highlight w:val="none"/>
          <w14:textFill>
            <w14:solidFill>
              <w14:schemeClr w14:val="tx1"/>
            </w14:solidFill>
          </w14:textFill>
        </w:rPr>
        <w:t>.1监理人的一般规定</w:t>
      </w:r>
      <w:bookmarkEnd w:id="292"/>
    </w:p>
    <w:bookmarkEnd w:id="293"/>
    <w:bookmarkEnd w:id="294"/>
    <w:bookmarkEnd w:id="295"/>
    <w:p w14:paraId="4421809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544F638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除专用合同条款另有约定外，监理人在施工现场的办公场所、生活场所由承包人提供，所发生的费用由发包人承担。</w:t>
      </w:r>
    </w:p>
    <w:p w14:paraId="04A9BB6A">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96" w:name="_Toc351203529"/>
      <w:r>
        <w:rPr>
          <w:rFonts w:hint="eastAsia" w:ascii="宋体" w:hAnsi="宋体" w:cs="宋体"/>
          <w:bCs/>
          <w:color w:val="000000" w:themeColor="text1"/>
          <w:kern w:val="0"/>
          <w:szCs w:val="21"/>
          <w:highlight w:val="none"/>
          <w14:textFill>
            <w14:solidFill>
              <w14:schemeClr w14:val="tx1"/>
            </w14:solidFill>
          </w14:textFill>
        </w:rPr>
        <w:t>4</w:t>
      </w:r>
      <w:bookmarkStart w:id="297" w:name="_Toc337558755"/>
      <w:r>
        <w:rPr>
          <w:rFonts w:hint="eastAsia" w:ascii="宋体" w:hAnsi="宋体" w:cs="宋体"/>
          <w:bCs/>
          <w:color w:val="000000" w:themeColor="text1"/>
          <w:kern w:val="0"/>
          <w:szCs w:val="21"/>
          <w:highlight w:val="none"/>
          <w14:textFill>
            <w14:solidFill>
              <w14:schemeClr w14:val="tx1"/>
            </w14:solidFill>
          </w14:textFill>
        </w:rPr>
        <w:t>.2监理人员</w:t>
      </w:r>
      <w:bookmarkEnd w:id="296"/>
    </w:p>
    <w:bookmarkEnd w:id="297"/>
    <w:p w14:paraId="7E8779A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2E537CC0">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298" w:name="_Toc351203530"/>
      <w:r>
        <w:rPr>
          <w:rFonts w:hint="eastAsia" w:ascii="宋体" w:hAnsi="宋体" w:cs="宋体"/>
          <w:bCs/>
          <w:color w:val="000000" w:themeColor="text1"/>
          <w:kern w:val="0"/>
          <w:szCs w:val="21"/>
          <w:highlight w:val="none"/>
          <w14:textFill>
            <w14:solidFill>
              <w14:schemeClr w14:val="tx1"/>
            </w14:solidFill>
          </w14:textFill>
        </w:rPr>
        <w:t>4</w:t>
      </w:r>
      <w:bookmarkStart w:id="299" w:name="_Toc296346556"/>
      <w:bookmarkStart w:id="300" w:name="_Toc296503055"/>
      <w:bookmarkStart w:id="301" w:name="_Toc337558756"/>
      <w:r>
        <w:rPr>
          <w:rFonts w:hint="eastAsia" w:ascii="宋体" w:hAnsi="宋体" w:cs="宋体"/>
          <w:bCs/>
          <w:color w:val="000000" w:themeColor="text1"/>
          <w:kern w:val="0"/>
          <w:szCs w:val="21"/>
          <w:highlight w:val="none"/>
          <w14:textFill>
            <w14:solidFill>
              <w14:schemeClr w14:val="tx1"/>
            </w14:solidFill>
          </w14:textFill>
        </w:rPr>
        <w:t>.3</w:t>
      </w:r>
      <w:bookmarkEnd w:id="299"/>
      <w:bookmarkEnd w:id="300"/>
      <w:r>
        <w:rPr>
          <w:rFonts w:hint="eastAsia" w:ascii="宋体" w:hAnsi="宋体" w:cs="宋体"/>
          <w:bCs/>
          <w:color w:val="000000" w:themeColor="text1"/>
          <w:kern w:val="0"/>
          <w:szCs w:val="21"/>
          <w:highlight w:val="none"/>
          <w14:textFill>
            <w14:solidFill>
              <w14:schemeClr w14:val="tx1"/>
            </w14:solidFill>
          </w14:textFill>
        </w:rPr>
        <w:t>监理人的指</w:t>
      </w:r>
      <w:bookmarkEnd w:id="301"/>
      <w:r>
        <w:rPr>
          <w:rFonts w:hint="eastAsia" w:ascii="宋体" w:hAnsi="宋体" w:cs="宋体"/>
          <w:bCs/>
          <w:color w:val="000000" w:themeColor="text1"/>
          <w:kern w:val="0"/>
          <w:szCs w:val="21"/>
          <w:highlight w:val="none"/>
          <w14:textFill>
            <w14:solidFill>
              <w14:schemeClr w14:val="tx1"/>
            </w14:solidFill>
          </w14:textFill>
        </w:rPr>
        <w:t>示</w:t>
      </w:r>
      <w:bookmarkEnd w:id="298"/>
    </w:p>
    <w:p w14:paraId="53E58D5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86B45C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3660A59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34BDFBA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776B44E6">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02" w:name="_Toc351203531"/>
      <w:r>
        <w:rPr>
          <w:rFonts w:hint="eastAsia" w:ascii="宋体" w:hAnsi="宋体" w:cs="宋体"/>
          <w:bCs/>
          <w:color w:val="000000" w:themeColor="text1"/>
          <w:kern w:val="0"/>
          <w:szCs w:val="21"/>
          <w:highlight w:val="none"/>
          <w14:textFill>
            <w14:solidFill>
              <w14:schemeClr w14:val="tx1"/>
            </w14:solidFill>
          </w14:textFill>
        </w:rPr>
        <w:t>4</w:t>
      </w:r>
      <w:bookmarkStart w:id="303" w:name="_Toc296503057"/>
      <w:bookmarkStart w:id="304" w:name="_Toc296346558"/>
      <w:bookmarkStart w:id="305" w:name="_Toc337558757"/>
      <w:r>
        <w:rPr>
          <w:rFonts w:hint="eastAsia" w:ascii="宋体" w:hAnsi="宋体" w:cs="宋体"/>
          <w:bCs/>
          <w:color w:val="000000" w:themeColor="text1"/>
          <w:kern w:val="0"/>
          <w:szCs w:val="21"/>
          <w:highlight w:val="none"/>
          <w14:textFill>
            <w14:solidFill>
              <w14:schemeClr w14:val="tx1"/>
            </w14:solidFill>
          </w14:textFill>
        </w:rPr>
        <w:t>.4 商定或确定</w:t>
      </w:r>
      <w:bookmarkEnd w:id="302"/>
    </w:p>
    <w:bookmarkEnd w:id="303"/>
    <w:bookmarkEnd w:id="304"/>
    <w:bookmarkEnd w:id="305"/>
    <w:p w14:paraId="693F1D9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355F3BB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2183B49A">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06" w:name="_Toc351203532"/>
      <w:r>
        <w:rPr>
          <w:rFonts w:hint="eastAsia" w:ascii="宋体" w:hAnsi="宋体" w:cs="宋体"/>
          <w:bCs/>
          <w:color w:val="000000" w:themeColor="text1"/>
          <w:kern w:val="0"/>
          <w:szCs w:val="21"/>
          <w:highlight w:val="none"/>
          <w14:textFill>
            <w14:solidFill>
              <w14:schemeClr w14:val="tx1"/>
            </w14:solidFill>
          </w14:textFill>
        </w:rPr>
        <w:t>5</w:t>
      </w:r>
      <w:bookmarkStart w:id="307" w:name="_Toc337558758"/>
      <w:r>
        <w:rPr>
          <w:rFonts w:hint="eastAsia" w:ascii="宋体" w:hAnsi="宋体" w:cs="宋体"/>
          <w:bCs/>
          <w:color w:val="000000" w:themeColor="text1"/>
          <w:kern w:val="0"/>
          <w:szCs w:val="21"/>
          <w:highlight w:val="none"/>
          <w14:textFill>
            <w14:solidFill>
              <w14:schemeClr w14:val="tx1"/>
            </w14:solidFill>
          </w14:textFill>
        </w:rPr>
        <w:t>. 工程质量</w:t>
      </w:r>
      <w:bookmarkEnd w:id="306"/>
    </w:p>
    <w:bookmarkEnd w:id="307"/>
    <w:p w14:paraId="54B443D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08" w:name="_Toc351203533"/>
      <w:r>
        <w:rPr>
          <w:rFonts w:hint="eastAsia" w:ascii="宋体" w:hAnsi="宋体" w:cs="宋体"/>
          <w:bCs/>
          <w:color w:val="000000" w:themeColor="text1"/>
          <w:kern w:val="0"/>
          <w:szCs w:val="21"/>
          <w:highlight w:val="none"/>
          <w14:textFill>
            <w14:solidFill>
              <w14:schemeClr w14:val="tx1"/>
            </w14:solidFill>
          </w14:textFill>
        </w:rPr>
        <w:t>5</w:t>
      </w:r>
      <w:bookmarkStart w:id="309" w:name="_Toc337558759"/>
      <w:r>
        <w:rPr>
          <w:rFonts w:hint="eastAsia" w:ascii="宋体" w:hAnsi="宋体" w:cs="宋体"/>
          <w:bCs/>
          <w:color w:val="000000" w:themeColor="text1"/>
          <w:kern w:val="0"/>
          <w:szCs w:val="21"/>
          <w:highlight w:val="none"/>
          <w14:textFill>
            <w14:solidFill>
              <w14:schemeClr w14:val="tx1"/>
            </w14:solidFill>
          </w14:textFill>
        </w:rPr>
        <w:t>.1质量要求</w:t>
      </w:r>
      <w:bookmarkEnd w:id="308"/>
    </w:p>
    <w:bookmarkEnd w:id="309"/>
    <w:p w14:paraId="229BB5C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4A98390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5.1.2 因发包人原因造成工程质量未达到合同约定标准的，由发包人承担由此增加的费用和（或）延误的工期。</w:t>
      </w:r>
    </w:p>
    <w:p w14:paraId="4CD096D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7936782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10" w:name="_Toc351203534"/>
      <w:r>
        <w:rPr>
          <w:rFonts w:hint="eastAsia" w:ascii="宋体" w:hAnsi="宋体" w:cs="宋体"/>
          <w:bCs/>
          <w:color w:val="000000" w:themeColor="text1"/>
          <w:kern w:val="0"/>
          <w:szCs w:val="21"/>
          <w:highlight w:val="none"/>
          <w14:textFill>
            <w14:solidFill>
              <w14:schemeClr w14:val="tx1"/>
            </w14:solidFill>
          </w14:textFill>
        </w:rPr>
        <w:t>5</w:t>
      </w:r>
      <w:bookmarkStart w:id="311" w:name="_Toc337558760"/>
      <w:r>
        <w:rPr>
          <w:rFonts w:hint="eastAsia" w:ascii="宋体" w:hAnsi="宋体" w:cs="宋体"/>
          <w:bCs/>
          <w:color w:val="000000" w:themeColor="text1"/>
          <w:kern w:val="0"/>
          <w:szCs w:val="21"/>
          <w:highlight w:val="none"/>
          <w14:textFill>
            <w14:solidFill>
              <w14:schemeClr w14:val="tx1"/>
            </w14:solidFill>
          </w14:textFill>
        </w:rPr>
        <w:t>.2质量保证措施</w:t>
      </w:r>
      <w:bookmarkEnd w:id="310"/>
    </w:p>
    <w:bookmarkEnd w:id="311"/>
    <w:p w14:paraId="39ACAB7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5.2.1 发包人的质量管理</w:t>
      </w:r>
    </w:p>
    <w:p w14:paraId="303BB82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发包人应按照法律规定及合同约定完成与工程质量有关的各项工作。</w:t>
      </w:r>
    </w:p>
    <w:p w14:paraId="7E14463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5.2.2 承包人的质量管理</w:t>
      </w:r>
    </w:p>
    <w:p w14:paraId="6AD5D57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286A0B7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承包人应对施工人员进行质量教育和技术培训，定期考核施工人员的劳动技能，严格执行施工规范和操作规程。</w:t>
      </w:r>
    </w:p>
    <w:p w14:paraId="0746D61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p>
    <w:p w14:paraId="438FB52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5.2.3 监理人的质量检查和检验</w:t>
      </w:r>
    </w:p>
    <w:p w14:paraId="7B25649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p>
    <w:p w14:paraId="6491FE3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4FD2E896">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12" w:name="_Toc351203535"/>
      <w:r>
        <w:rPr>
          <w:rFonts w:hint="eastAsia" w:ascii="宋体" w:hAnsi="宋体" w:cs="宋体"/>
          <w:bCs/>
          <w:color w:val="000000" w:themeColor="text1"/>
          <w:kern w:val="0"/>
          <w:szCs w:val="21"/>
          <w:highlight w:val="none"/>
          <w14:textFill>
            <w14:solidFill>
              <w14:schemeClr w14:val="tx1"/>
            </w14:solidFill>
          </w14:textFill>
        </w:rPr>
        <w:t>5</w:t>
      </w:r>
      <w:bookmarkStart w:id="313" w:name="_Toc337558761"/>
      <w:r>
        <w:rPr>
          <w:rFonts w:hint="eastAsia" w:ascii="宋体" w:hAnsi="宋体" w:cs="宋体"/>
          <w:bCs/>
          <w:color w:val="000000" w:themeColor="text1"/>
          <w:kern w:val="0"/>
          <w:szCs w:val="21"/>
          <w:highlight w:val="none"/>
          <w14:textFill>
            <w14:solidFill>
              <w14:schemeClr w14:val="tx1"/>
            </w14:solidFill>
          </w14:textFill>
        </w:rPr>
        <w:t>.3 隐蔽工程检查</w:t>
      </w:r>
      <w:bookmarkEnd w:id="312"/>
    </w:p>
    <w:bookmarkEnd w:id="313"/>
    <w:p w14:paraId="6931A372">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5.3.1承包人自检</w:t>
      </w:r>
    </w:p>
    <w:p w14:paraId="30584E4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承包人应当对工程隐蔽部位进行自检，并经自检确认是否具备覆盖条件。</w:t>
      </w:r>
    </w:p>
    <w:p w14:paraId="46BF583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5.3.2检查程序</w:t>
      </w:r>
    </w:p>
    <w:p w14:paraId="35A8748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1A8B0F2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63D0EFC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做相应记录报送监理人，监理人应签字确认。监理人事后对检查记录有疑问的，可按第5.3.3项〔重新检查〕的约定重新检查。</w:t>
      </w:r>
    </w:p>
    <w:p w14:paraId="618CAB3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5.3.3 重新检查</w:t>
      </w:r>
    </w:p>
    <w:p w14:paraId="6C916712">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经检查证明工程质量不符合合同要求的，由此增加的费用和（或）延误的工期由承包人承担。</w:t>
      </w:r>
    </w:p>
    <w:p w14:paraId="212C14A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5.3.4 承包人私自覆盖</w:t>
      </w:r>
    </w:p>
    <w:p w14:paraId="3322037F">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3AECE006">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14" w:name="_Toc351203536"/>
      <w:r>
        <w:rPr>
          <w:rFonts w:hint="eastAsia" w:ascii="宋体" w:hAnsi="宋体" w:cs="宋体"/>
          <w:bCs/>
          <w:color w:val="000000" w:themeColor="text1"/>
          <w:kern w:val="0"/>
          <w:szCs w:val="21"/>
          <w:highlight w:val="none"/>
          <w14:textFill>
            <w14:solidFill>
              <w14:schemeClr w14:val="tx1"/>
            </w14:solidFill>
          </w14:textFill>
        </w:rPr>
        <w:t>5</w:t>
      </w:r>
      <w:bookmarkStart w:id="315" w:name="_Toc337558762"/>
      <w:r>
        <w:rPr>
          <w:rFonts w:hint="eastAsia" w:ascii="宋体" w:hAnsi="宋体" w:cs="宋体"/>
          <w:bCs/>
          <w:color w:val="000000" w:themeColor="text1"/>
          <w:kern w:val="0"/>
          <w:szCs w:val="21"/>
          <w:highlight w:val="none"/>
          <w14:textFill>
            <w14:solidFill>
              <w14:schemeClr w14:val="tx1"/>
            </w14:solidFill>
          </w14:textFill>
        </w:rPr>
        <w:t>.4不合格工程的处理</w:t>
      </w:r>
      <w:bookmarkEnd w:id="314"/>
    </w:p>
    <w:bookmarkEnd w:id="315"/>
    <w:p w14:paraId="2C5B2B8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40A2DD93">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5.4.2 因发包人原因造成工程不合格的，由此增加的费用和（或）延误的工期由发包人承担。</w:t>
      </w:r>
    </w:p>
    <w:p w14:paraId="431B14F6">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16" w:name="_Toc351203537"/>
      <w:r>
        <w:rPr>
          <w:rFonts w:hint="eastAsia" w:ascii="宋体" w:hAnsi="宋体" w:cs="宋体"/>
          <w:bCs/>
          <w:color w:val="000000" w:themeColor="text1"/>
          <w:kern w:val="0"/>
          <w:szCs w:val="21"/>
          <w:highlight w:val="none"/>
          <w14:textFill>
            <w14:solidFill>
              <w14:schemeClr w14:val="tx1"/>
            </w14:solidFill>
          </w14:textFill>
        </w:rPr>
        <w:t>5.5 质量争议检测</w:t>
      </w:r>
      <w:bookmarkEnd w:id="316"/>
    </w:p>
    <w:p w14:paraId="010002E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787D049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合同当事人均有责任的，由双方根据其责任分别承担。合同当事人无法达成一致的，按照第4.4款〔商定或确定〕执行。</w:t>
      </w:r>
    </w:p>
    <w:p w14:paraId="6F26853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17" w:name="_Toc351203538"/>
      <w:r>
        <w:rPr>
          <w:rFonts w:hint="eastAsia" w:ascii="宋体" w:hAnsi="宋体" w:cs="宋体"/>
          <w:bCs/>
          <w:color w:val="000000" w:themeColor="text1"/>
          <w:kern w:val="0"/>
          <w:szCs w:val="21"/>
          <w:highlight w:val="none"/>
          <w14:textFill>
            <w14:solidFill>
              <w14:schemeClr w14:val="tx1"/>
            </w14:solidFill>
          </w14:textFill>
        </w:rPr>
        <w:t>6</w:t>
      </w:r>
      <w:bookmarkStart w:id="318" w:name="_Toc337558763"/>
      <w:r>
        <w:rPr>
          <w:rFonts w:hint="eastAsia" w:ascii="宋体" w:hAnsi="宋体" w:cs="宋体"/>
          <w:bCs/>
          <w:color w:val="000000" w:themeColor="text1"/>
          <w:kern w:val="0"/>
          <w:szCs w:val="21"/>
          <w:highlight w:val="none"/>
          <w14:textFill>
            <w14:solidFill>
              <w14:schemeClr w14:val="tx1"/>
            </w14:solidFill>
          </w14:textFill>
        </w:rPr>
        <w:t>. 安全文明施工与环境保护</w:t>
      </w:r>
      <w:bookmarkEnd w:id="317"/>
    </w:p>
    <w:bookmarkEnd w:id="318"/>
    <w:p w14:paraId="33D1DC0F">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19" w:name="_Toc351203539"/>
      <w:r>
        <w:rPr>
          <w:rFonts w:hint="eastAsia" w:ascii="宋体" w:hAnsi="宋体" w:cs="宋体"/>
          <w:bCs/>
          <w:color w:val="000000" w:themeColor="text1"/>
          <w:kern w:val="0"/>
          <w:szCs w:val="21"/>
          <w:highlight w:val="none"/>
          <w14:textFill>
            <w14:solidFill>
              <w14:schemeClr w14:val="tx1"/>
            </w14:solidFill>
          </w14:textFill>
        </w:rPr>
        <w:t>6</w:t>
      </w:r>
      <w:bookmarkStart w:id="320" w:name="_Toc337558764"/>
      <w:r>
        <w:rPr>
          <w:rFonts w:hint="eastAsia" w:ascii="宋体" w:hAnsi="宋体" w:cs="宋体"/>
          <w:bCs/>
          <w:color w:val="000000" w:themeColor="text1"/>
          <w:kern w:val="0"/>
          <w:szCs w:val="21"/>
          <w:highlight w:val="none"/>
          <w14:textFill>
            <w14:solidFill>
              <w14:schemeClr w14:val="tx1"/>
            </w14:solidFill>
          </w14:textFill>
        </w:rPr>
        <w:t>.1安全文明施工</w:t>
      </w:r>
      <w:bookmarkEnd w:id="319"/>
    </w:p>
    <w:bookmarkEnd w:id="320"/>
    <w:p w14:paraId="14F40B23">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6.1.1安全生产要求</w:t>
      </w:r>
    </w:p>
    <w:p w14:paraId="715BEF77">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6EFE9972">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cs="宋体"/>
          <w:color w:val="000000" w:themeColor="text1"/>
          <w:kern w:val="0"/>
          <w:szCs w:val="21"/>
          <w:highlight w:val="none"/>
          <w14:textFill>
            <w14:solidFill>
              <w14:schemeClr w14:val="tx1"/>
            </w14:solidFill>
          </w14:textFill>
        </w:rPr>
        <w:t>政府有关行政管理部门</w:t>
      </w:r>
      <w:r>
        <w:rPr>
          <w:rFonts w:hint="eastAsia" w:ascii="宋体" w:hAnsi="宋体" w:cs="宋体"/>
          <w:color w:val="000000" w:themeColor="text1"/>
          <w:szCs w:val="21"/>
          <w:highlight w:val="none"/>
          <w14:textFill>
            <w14:solidFill>
              <w14:schemeClr w14:val="tx1"/>
            </w14:solidFill>
          </w14:textFill>
        </w:rPr>
        <w:t>采取应急措施。</w:t>
      </w:r>
    </w:p>
    <w:p w14:paraId="385195F0">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因安全生产需要暂停施工的，按照第7.8款〔暂停施工〕的约定执行。</w:t>
      </w:r>
    </w:p>
    <w:p w14:paraId="2CF1E4D7">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6.1.2 安全生产保证措施</w:t>
      </w:r>
    </w:p>
    <w:p w14:paraId="56E4DEF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承包人应当按照有关</w:t>
      </w:r>
      <w:r>
        <w:rPr>
          <w:rFonts w:hint="eastAsia" w:ascii="宋体" w:hAnsi="宋体" w:cs="宋体"/>
          <w:color w:val="000000" w:themeColor="text1"/>
          <w:kern w:val="0"/>
          <w:szCs w:val="21"/>
          <w:highlight w:val="none"/>
          <w14:textFill>
            <w14:solidFill>
              <w14:schemeClr w14:val="tx1"/>
            </w14:solidFill>
          </w14:textFill>
        </w:rPr>
        <w:t>规定编制安全技术措施或者专项施工方案，</w:t>
      </w:r>
      <w:r>
        <w:rPr>
          <w:rFonts w:hint="eastAsia" w:ascii="宋体" w:hAnsi="宋体" w:cs="宋体"/>
          <w:color w:val="000000" w:themeColor="text1"/>
          <w:szCs w:val="21"/>
          <w:highlight w:val="none"/>
          <w14:textFill>
            <w14:solidFill>
              <w14:schemeClr w14:val="tx1"/>
            </w14:solidFill>
          </w14:textFill>
        </w:rPr>
        <w:t>建立安全生产责任制度、治安保卫制度及安全生产教育培训制度，并</w:t>
      </w:r>
      <w:r>
        <w:rPr>
          <w:rFonts w:hint="eastAsia" w:ascii="宋体" w:hAnsi="宋体" w:cs="宋体"/>
          <w:color w:val="000000" w:themeColor="text1"/>
          <w:kern w:val="0"/>
          <w:szCs w:val="21"/>
          <w:highlight w:val="none"/>
          <w14:textFill>
            <w14:solidFill>
              <w14:schemeClr w14:val="tx1"/>
            </w14:solidFill>
          </w14:textFill>
        </w:rPr>
        <w:t>按安全生产法律规定及合同约定履行安全职责，如实</w:t>
      </w:r>
      <w:r>
        <w:rPr>
          <w:rFonts w:hint="eastAsia" w:ascii="宋体" w:hAnsi="宋体" w:cs="宋体"/>
          <w:color w:val="000000" w:themeColor="text1"/>
          <w:szCs w:val="21"/>
          <w:highlight w:val="none"/>
          <w14:textFill>
            <w14:solidFill>
              <w14:schemeClr w14:val="tx1"/>
            </w14:solidFill>
          </w14:textFill>
        </w:rPr>
        <w:t>编制工程安全生产的有关记录，</w:t>
      </w:r>
      <w:r>
        <w:rPr>
          <w:rFonts w:hint="eastAsia" w:ascii="宋体" w:hAnsi="宋体" w:cs="宋体"/>
          <w:color w:val="000000" w:themeColor="text1"/>
          <w:kern w:val="0"/>
          <w:szCs w:val="21"/>
          <w:highlight w:val="none"/>
          <w14:textFill>
            <w14:solidFill>
              <w14:schemeClr w14:val="tx1"/>
            </w14:solidFill>
          </w14:textFill>
        </w:rPr>
        <w:t>接受发包人、监理人及政府安全监督部门的检查与监督。</w:t>
      </w:r>
    </w:p>
    <w:p w14:paraId="254AF29D">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6.1.3特别安全生产事项</w:t>
      </w:r>
    </w:p>
    <w:p w14:paraId="474A4A0D">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承包人应按照法律规定进行施工，开工前做好安全技术交底工作，在施工过程中做好各项安全防护措施。承包人为实施合同而雇用的特殊工种的人员应受过专门的培训并已取得政府有关管理机构颁发的上岗证书。</w:t>
      </w:r>
    </w:p>
    <w:p w14:paraId="0807A679">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承包人在动力设备、输电线路、地下管道、密封防震车间、易燃易爆地段以及临街交通要道附近施工时，施工开始前应向发包人和监理人提出安全防护措施，经发包人认可后实施。 </w:t>
      </w:r>
    </w:p>
    <w:p w14:paraId="288A29F4">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57783FBE">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需单独编制危险性较大分部分项专项工程施工方案的，以及要求进行专家论证的超过一定规模的危险性较大的分部分项工程，承包人应及时编制和组织论证。</w:t>
      </w:r>
    </w:p>
    <w:p w14:paraId="3B324E84">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6.1.4 治安保卫</w:t>
      </w:r>
    </w:p>
    <w:p w14:paraId="13FAE669">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1B66166D">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367703A1">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0ED2FB87">
      <w:pPr>
        <w:spacing w:line="356"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6.1.5 文明施工</w:t>
      </w:r>
    </w:p>
    <w:p w14:paraId="4F081AD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04F9CDA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7E53073B">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6.1.6 安全文明施工费</w:t>
      </w:r>
    </w:p>
    <w:p w14:paraId="52496FE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6656A1F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24918C8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7EC7F4A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5802531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6.1.7 紧急情况处理</w:t>
      </w:r>
    </w:p>
    <w:p w14:paraId="6C3A3C5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1129F58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6.1.8 事故处理</w:t>
      </w:r>
    </w:p>
    <w:p w14:paraId="11BC215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7956F6E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6.1.9 安全生产责任</w:t>
      </w:r>
    </w:p>
    <w:p w14:paraId="184A7A3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6.1.9.1 发包人的安全责任</w:t>
      </w:r>
    </w:p>
    <w:p w14:paraId="7C3EA342">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发包人应负责赔偿以下各种情况造成的损失：</w:t>
      </w:r>
    </w:p>
    <w:p w14:paraId="0A0A05AE">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（1）工程或工程的任何部分对土地的占用所造成的第三者财产损失；</w:t>
      </w:r>
    </w:p>
    <w:p w14:paraId="3D888A80">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（2）由于发包人原因在施工场地及其毗邻地带造成的第三者人身伤亡和财产损失；</w:t>
      </w:r>
    </w:p>
    <w:p w14:paraId="3A36235F">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（3）由于发包人原因对承包人、监理人造成的人员人身伤亡和财产损失；</w:t>
      </w:r>
    </w:p>
    <w:p w14:paraId="49F7C94E">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（4）由于发包人原因造成的发包人自身人员的人身伤害以及财产损失。</w:t>
      </w:r>
    </w:p>
    <w:p w14:paraId="41F28E5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6.1.9.2 承包人的安全责任</w:t>
      </w:r>
    </w:p>
    <w:p w14:paraId="114BE472">
      <w:pPr>
        <w:spacing w:line="356"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由于承包人原因在施工场地内及其毗邻地带造成的发包人、监理人以及第三者人员伤亡和财产损失，由承包人负责赔偿。</w:t>
      </w:r>
    </w:p>
    <w:p w14:paraId="2787A36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21" w:name="_Toc351203540"/>
      <w:r>
        <w:rPr>
          <w:rFonts w:hint="eastAsia" w:ascii="宋体" w:hAnsi="宋体" w:cs="宋体"/>
          <w:bCs/>
          <w:color w:val="000000" w:themeColor="text1"/>
          <w:kern w:val="0"/>
          <w:szCs w:val="21"/>
          <w:highlight w:val="none"/>
          <w14:textFill>
            <w14:solidFill>
              <w14:schemeClr w14:val="tx1"/>
            </w14:solidFill>
          </w14:textFill>
        </w:rPr>
        <w:t>6</w:t>
      </w:r>
      <w:bookmarkStart w:id="322" w:name="_Toc337558765"/>
      <w:r>
        <w:rPr>
          <w:rFonts w:hint="eastAsia" w:ascii="宋体" w:hAnsi="宋体" w:cs="宋体"/>
          <w:bCs/>
          <w:color w:val="000000" w:themeColor="text1"/>
          <w:kern w:val="0"/>
          <w:szCs w:val="21"/>
          <w:highlight w:val="none"/>
          <w14:textFill>
            <w14:solidFill>
              <w14:schemeClr w14:val="tx1"/>
            </w14:solidFill>
          </w14:textFill>
        </w:rPr>
        <w:t>.2 职业健康</w:t>
      </w:r>
      <w:bookmarkEnd w:id="321"/>
    </w:p>
    <w:bookmarkEnd w:id="322"/>
    <w:p w14:paraId="1994BD4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6.2.1 劳动保护</w:t>
      </w:r>
    </w:p>
    <w:p w14:paraId="7A2D0C6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2D40ADB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按照法律规定保障现场施工人员的劳动安全，并提供劳动保护,并应按国家有关劳动保护的规定，采取有效的防治粉尘、降低噪声、控制有害气体和保障高温、高寒、高空作业安全等劳动保护措施。承包人雇佣人员在施工中受到伤害的，承包人应立即采取有效措施进行抢救和治疗。</w:t>
      </w:r>
    </w:p>
    <w:p w14:paraId="2554520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2EDB40D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6.2.2 生活条件</w:t>
      </w:r>
    </w:p>
    <w:p w14:paraId="2C5251D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6D1A7C9F">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23" w:name="_Toc351203541"/>
      <w:r>
        <w:rPr>
          <w:rFonts w:hint="eastAsia" w:ascii="宋体" w:hAnsi="宋体" w:cs="宋体"/>
          <w:bCs/>
          <w:color w:val="000000" w:themeColor="text1"/>
          <w:kern w:val="0"/>
          <w:szCs w:val="21"/>
          <w:highlight w:val="none"/>
          <w14:textFill>
            <w14:solidFill>
              <w14:schemeClr w14:val="tx1"/>
            </w14:solidFill>
          </w14:textFill>
        </w:rPr>
        <w:t>6</w:t>
      </w:r>
      <w:bookmarkStart w:id="324" w:name="_Toc337558766"/>
      <w:r>
        <w:rPr>
          <w:rFonts w:hint="eastAsia" w:ascii="宋体" w:hAnsi="宋体" w:cs="宋体"/>
          <w:bCs/>
          <w:color w:val="000000" w:themeColor="text1"/>
          <w:kern w:val="0"/>
          <w:szCs w:val="21"/>
          <w:highlight w:val="none"/>
          <w14:textFill>
            <w14:solidFill>
              <w14:schemeClr w14:val="tx1"/>
            </w14:solidFill>
          </w14:textFill>
        </w:rPr>
        <w:t>.3 环境保护</w:t>
      </w:r>
      <w:bookmarkEnd w:id="323"/>
    </w:p>
    <w:bookmarkEnd w:id="324"/>
    <w:p w14:paraId="2C2BBF9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w:t>
      </w:r>
      <w:r>
        <w:rPr>
          <w:rFonts w:hint="eastAsia" w:ascii="宋体" w:hAnsi="宋体" w:cs="宋体"/>
          <w:color w:val="000000" w:themeColor="text1"/>
          <w:kern w:val="0"/>
          <w:szCs w:val="21"/>
          <w:highlight w:val="none"/>
          <w:lang w:eastAsia="zh-CN"/>
          <w14:textFill>
            <w14:solidFill>
              <w14:schemeClr w14:val="tx1"/>
            </w14:solidFill>
          </w14:textFill>
        </w:rPr>
        <w:t>噪声</w:t>
      </w:r>
      <w:r>
        <w:rPr>
          <w:rFonts w:hint="eastAsia" w:ascii="宋体" w:hAnsi="宋体" w:cs="宋体"/>
          <w:color w:val="000000" w:themeColor="text1"/>
          <w:kern w:val="0"/>
          <w:szCs w:val="21"/>
          <w:highlight w:val="none"/>
          <w14:textFill>
            <w14:solidFill>
              <w14:schemeClr w14:val="tx1"/>
            </w14:solidFill>
          </w14:textFill>
        </w:rPr>
        <w:t>以及固体废物污染采取具体可行的防范措施。</w:t>
      </w:r>
    </w:p>
    <w:p w14:paraId="2562105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3E19EFE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25" w:name="_Toc351203542"/>
      <w:r>
        <w:rPr>
          <w:rFonts w:hint="eastAsia" w:ascii="宋体" w:hAnsi="宋体" w:cs="宋体"/>
          <w:bCs/>
          <w:color w:val="000000" w:themeColor="text1"/>
          <w:kern w:val="0"/>
          <w:szCs w:val="21"/>
          <w:highlight w:val="none"/>
          <w14:textFill>
            <w14:solidFill>
              <w14:schemeClr w14:val="tx1"/>
            </w14:solidFill>
          </w14:textFill>
        </w:rPr>
        <w:t>7</w:t>
      </w:r>
      <w:bookmarkStart w:id="326" w:name="_Toc337558767"/>
      <w:r>
        <w:rPr>
          <w:rFonts w:hint="eastAsia" w:ascii="宋体" w:hAnsi="宋体" w:cs="宋体"/>
          <w:bCs/>
          <w:color w:val="000000" w:themeColor="text1"/>
          <w:kern w:val="0"/>
          <w:szCs w:val="21"/>
          <w:highlight w:val="none"/>
          <w14:textFill>
            <w14:solidFill>
              <w14:schemeClr w14:val="tx1"/>
            </w14:solidFill>
          </w14:textFill>
        </w:rPr>
        <w:t>. 工期和进度</w:t>
      </w:r>
      <w:bookmarkEnd w:id="325"/>
    </w:p>
    <w:bookmarkEnd w:id="326"/>
    <w:p w14:paraId="0415A5B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27" w:name="_Toc351203543"/>
      <w:r>
        <w:rPr>
          <w:rFonts w:hint="eastAsia" w:ascii="宋体" w:hAnsi="宋体" w:cs="宋体"/>
          <w:bCs/>
          <w:color w:val="000000" w:themeColor="text1"/>
          <w:kern w:val="0"/>
          <w:szCs w:val="21"/>
          <w:highlight w:val="none"/>
          <w14:textFill>
            <w14:solidFill>
              <w14:schemeClr w14:val="tx1"/>
            </w14:solidFill>
          </w14:textFill>
        </w:rPr>
        <w:t>7</w:t>
      </w:r>
      <w:bookmarkStart w:id="328" w:name="_Toc337558768"/>
      <w:bookmarkStart w:id="329" w:name="_Toc296503066"/>
      <w:bookmarkStart w:id="330" w:name="_Toc296346567"/>
      <w:r>
        <w:rPr>
          <w:rFonts w:hint="eastAsia" w:ascii="宋体" w:hAnsi="宋体" w:cs="宋体"/>
          <w:bCs/>
          <w:color w:val="000000" w:themeColor="text1"/>
          <w:kern w:val="0"/>
          <w:szCs w:val="21"/>
          <w:highlight w:val="none"/>
          <w14:textFill>
            <w14:solidFill>
              <w14:schemeClr w14:val="tx1"/>
            </w14:solidFill>
          </w14:textFill>
        </w:rPr>
        <w:t>.1施工组织设计</w:t>
      </w:r>
      <w:bookmarkEnd w:id="327"/>
    </w:p>
    <w:bookmarkEnd w:id="328"/>
    <w:p w14:paraId="4D83692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 </w:t>
      </w:r>
      <w:r>
        <w:rPr>
          <w:rFonts w:hint="eastAsia" w:ascii="宋体" w:hAnsi="宋体" w:cs="宋体"/>
          <w:color w:val="000000" w:themeColor="text1"/>
          <w:kern w:val="0"/>
          <w:szCs w:val="21"/>
          <w:highlight w:val="none"/>
          <w14:textFill>
            <w14:solidFill>
              <w14:schemeClr w14:val="tx1"/>
            </w14:solidFill>
          </w14:textFill>
        </w:rPr>
        <w:t>施工组织设计的内容</w:t>
      </w:r>
    </w:p>
    <w:p w14:paraId="4565A07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施工组织设计应包含以下内容：</w:t>
      </w:r>
    </w:p>
    <w:p w14:paraId="66C9978C">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（1）确保工程质量的技术组织措施</w:t>
      </w:r>
      <w:r>
        <w:rPr>
          <w:rFonts w:hint="eastAsia" w:ascii="宋体" w:hAnsi="宋体" w:cs="宋体"/>
          <w:color w:val="000000" w:themeColor="text1"/>
          <w:szCs w:val="21"/>
          <w:highlight w:val="none"/>
          <w:lang w:eastAsia="zh-CN"/>
          <w14:textFill>
            <w14:solidFill>
              <w14:schemeClr w14:val="tx1"/>
            </w14:solidFill>
          </w14:textFill>
        </w:rPr>
        <w:t>；</w:t>
      </w:r>
    </w:p>
    <w:p w14:paraId="5EC7B70A">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（2）确保安全生产的技术组织措施;</w:t>
      </w:r>
    </w:p>
    <w:p w14:paraId="2EC5EB07">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（3）文明施工和环境保护措施及“治污减霾”措施;</w:t>
      </w:r>
    </w:p>
    <w:p w14:paraId="79D630B3">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（4）确保工期的技术组织措施;</w:t>
      </w:r>
    </w:p>
    <w:p w14:paraId="291735F8">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（5）施工方案;</w:t>
      </w:r>
    </w:p>
    <w:p w14:paraId="7A7E3725">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（6）施工材料投入计划和机械设备配备计划: </w:t>
      </w:r>
    </w:p>
    <w:p w14:paraId="57166E4A">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（7）施工进度表或施工网络图;</w:t>
      </w:r>
    </w:p>
    <w:p w14:paraId="129203CC">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（8）项目经理部组成、劳动力投入计划;</w:t>
      </w:r>
    </w:p>
    <w:p w14:paraId="06A866B4">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（9）其他服务承诺及合理化建议。</w:t>
      </w:r>
    </w:p>
    <w:p w14:paraId="0578C6B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 </w:t>
      </w:r>
      <w:r>
        <w:rPr>
          <w:rFonts w:hint="eastAsia" w:ascii="宋体" w:hAnsi="宋体" w:cs="宋体"/>
          <w:color w:val="000000" w:themeColor="text1"/>
          <w:kern w:val="0"/>
          <w:szCs w:val="21"/>
          <w:highlight w:val="none"/>
          <w14:textFill>
            <w14:solidFill>
              <w14:schemeClr w14:val="tx1"/>
            </w14:solidFill>
          </w14:textFill>
        </w:rPr>
        <w:t>施工组织设计的提交和修改</w:t>
      </w:r>
    </w:p>
    <w:p w14:paraId="056BD3E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14AC85E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施工进度计划的编制和修改按照第7.2款〔施工进度计划〕执行。</w:t>
      </w:r>
    </w:p>
    <w:p w14:paraId="3999D1F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31" w:name="_Toc351203544"/>
      <w:r>
        <w:rPr>
          <w:rFonts w:hint="eastAsia" w:ascii="宋体" w:hAnsi="宋体" w:cs="宋体"/>
          <w:bCs/>
          <w:color w:val="000000" w:themeColor="text1"/>
          <w:kern w:val="0"/>
          <w:szCs w:val="21"/>
          <w:highlight w:val="none"/>
          <w14:textFill>
            <w14:solidFill>
              <w14:schemeClr w14:val="tx1"/>
            </w14:solidFill>
          </w14:textFill>
        </w:rPr>
        <w:t>7</w:t>
      </w:r>
      <w:bookmarkStart w:id="332" w:name="_Toc337558769"/>
      <w:r>
        <w:rPr>
          <w:rFonts w:hint="eastAsia" w:ascii="宋体" w:hAnsi="宋体" w:cs="宋体"/>
          <w:bCs/>
          <w:color w:val="000000" w:themeColor="text1"/>
          <w:kern w:val="0"/>
          <w:szCs w:val="21"/>
          <w:highlight w:val="none"/>
          <w14:textFill>
            <w14:solidFill>
              <w14:schemeClr w14:val="tx1"/>
            </w14:solidFill>
          </w14:textFill>
        </w:rPr>
        <w:t>.2 施工进度计划</w:t>
      </w:r>
      <w:bookmarkEnd w:id="331"/>
    </w:p>
    <w:bookmarkEnd w:id="332"/>
    <w:p w14:paraId="5D191C3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7.2.1 施工进度计划的编制</w:t>
      </w:r>
    </w:p>
    <w:p w14:paraId="275D47B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4096405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7.2.2 施工进度计划的修订</w:t>
      </w:r>
    </w:p>
    <w:p w14:paraId="5F2EBD7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1F276E1A">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33" w:name="_Toc351203545"/>
      <w:r>
        <w:rPr>
          <w:rFonts w:hint="eastAsia" w:ascii="宋体" w:hAnsi="宋体" w:cs="宋体"/>
          <w:bCs/>
          <w:color w:val="000000" w:themeColor="text1"/>
          <w:kern w:val="0"/>
          <w:szCs w:val="21"/>
          <w:highlight w:val="none"/>
          <w14:textFill>
            <w14:solidFill>
              <w14:schemeClr w14:val="tx1"/>
            </w14:solidFill>
          </w14:textFill>
        </w:rPr>
        <w:t>7</w:t>
      </w:r>
      <w:bookmarkStart w:id="334" w:name="_Toc337558770"/>
      <w:r>
        <w:rPr>
          <w:rFonts w:hint="eastAsia" w:ascii="宋体" w:hAnsi="宋体" w:cs="宋体"/>
          <w:bCs/>
          <w:color w:val="000000" w:themeColor="text1"/>
          <w:kern w:val="0"/>
          <w:szCs w:val="21"/>
          <w:highlight w:val="none"/>
          <w14:textFill>
            <w14:solidFill>
              <w14:schemeClr w14:val="tx1"/>
            </w14:solidFill>
          </w14:textFill>
        </w:rPr>
        <w:t>.3 开工</w:t>
      </w:r>
      <w:bookmarkEnd w:id="333"/>
    </w:p>
    <w:p w14:paraId="46B79630">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7.3.1 开工准备</w:t>
      </w:r>
    </w:p>
    <w:p w14:paraId="0C0998D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673A1F9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除专用合同条款另有约定外，合同当事人应按约定完成开工准备工作。</w:t>
      </w:r>
    </w:p>
    <w:p w14:paraId="3BD9C9E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7.3.2 开工通知</w:t>
      </w:r>
    </w:p>
    <w:bookmarkEnd w:id="334"/>
    <w:p w14:paraId="2D228C2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2167EF6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w:t>
      </w:r>
    </w:p>
    <w:p w14:paraId="2B588C47">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35" w:name="_Toc351203546"/>
      <w:r>
        <w:rPr>
          <w:rFonts w:hint="eastAsia" w:ascii="宋体" w:hAnsi="宋体" w:cs="宋体"/>
          <w:bCs/>
          <w:color w:val="000000" w:themeColor="text1"/>
          <w:kern w:val="0"/>
          <w:szCs w:val="21"/>
          <w:highlight w:val="none"/>
          <w14:textFill>
            <w14:solidFill>
              <w14:schemeClr w14:val="tx1"/>
            </w14:solidFill>
          </w14:textFill>
        </w:rPr>
        <w:t>7.4测量放线</w:t>
      </w:r>
      <w:bookmarkEnd w:id="335"/>
    </w:p>
    <w:p w14:paraId="7F0A404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4751D93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2A07B80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7.4.2 承包人负责施工过程中的全部施工测量放线工作，并配置具有相应资质的人员、合格的仪器、设备和其他物品。承包人应校正工程的位置、标高、尺寸或准线中出现的任何差错，并对工程各部分的定位负责。</w:t>
      </w:r>
    </w:p>
    <w:p w14:paraId="052BA73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施工过程中对施工现场内水准点等测量标志物的保护工作由承包人负责。</w:t>
      </w:r>
      <w:bookmarkStart w:id="336" w:name="_Toc351203547"/>
    </w:p>
    <w:p w14:paraId="76BB4F3B">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7</w:t>
      </w:r>
      <w:bookmarkEnd w:id="329"/>
      <w:bookmarkEnd w:id="330"/>
      <w:bookmarkStart w:id="337" w:name="_Toc296503073"/>
      <w:bookmarkStart w:id="338" w:name="_Toc337558772"/>
      <w:bookmarkStart w:id="339" w:name="_Toc296346574"/>
      <w:r>
        <w:rPr>
          <w:rFonts w:hint="eastAsia" w:ascii="宋体" w:hAnsi="宋体" w:cs="宋体"/>
          <w:bCs/>
          <w:color w:val="000000" w:themeColor="text1"/>
          <w:kern w:val="0"/>
          <w:szCs w:val="21"/>
          <w:highlight w:val="none"/>
          <w14:textFill>
            <w14:solidFill>
              <w14:schemeClr w14:val="tx1"/>
            </w14:solidFill>
          </w14:textFill>
        </w:rPr>
        <w:t>.5 工期延误</w:t>
      </w:r>
      <w:bookmarkEnd w:id="336"/>
    </w:p>
    <w:bookmarkEnd w:id="337"/>
    <w:bookmarkEnd w:id="338"/>
    <w:bookmarkEnd w:id="339"/>
    <w:p w14:paraId="0ADB919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7.5.1 因发包人原因导致工期延误</w:t>
      </w:r>
    </w:p>
    <w:p w14:paraId="246DB4D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在合同履行过程中，因下列情况导致工期延误和（或）费用增加的，由发包人承担由此延误的工期和（或）增加的费用，且发包人应支付承包人合理的利润： </w:t>
      </w:r>
    </w:p>
    <w:p w14:paraId="1FC035B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（1）发包人未能按合同约定提供图纸或所提供图纸不符合合同约定的；</w:t>
      </w:r>
    </w:p>
    <w:p w14:paraId="2BD86BA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（2）发包人未能按合同约定提供施工现场、施工条件、基础资料、许可、批准等开工条件的；</w:t>
      </w:r>
    </w:p>
    <w:p w14:paraId="28A6501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（3）发包人提供的测量基准点、基准线和水准点及其书面资料存在错误或疏漏的；</w:t>
      </w:r>
    </w:p>
    <w:p w14:paraId="0F5B503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（4）发包人未能在计划开工日期之日起7天内同意下达开工通知的；</w:t>
      </w:r>
    </w:p>
    <w:p w14:paraId="3D20D08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（5）发包人未能按合同约定日期支付工程预付款、进度款或竣工结算款的；</w:t>
      </w:r>
    </w:p>
    <w:p w14:paraId="2EECABA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（6）监理人未按合同约定发出指示、批准等文件的；</w:t>
      </w:r>
    </w:p>
    <w:p w14:paraId="4880F822">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（7）专用合同条款中约定的其他情形。</w:t>
      </w:r>
    </w:p>
    <w:p w14:paraId="16BC167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48B73643">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7.5.2 因承包人原因导致工期延误</w:t>
      </w:r>
    </w:p>
    <w:p w14:paraId="37A9906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bookmarkStart w:id="340" w:name="_Toc296503076"/>
      <w:bookmarkStart w:id="341" w:name="_Toc296346577"/>
      <w:r>
        <w:rPr>
          <w:rFonts w:hint="eastAsia" w:ascii="宋体" w:hAnsi="宋体" w:cs="宋体"/>
          <w:color w:val="000000" w:themeColor="text1"/>
          <w:kern w:val="0"/>
          <w:szCs w:val="21"/>
          <w:highlight w:val="none"/>
          <w14:textFill>
            <w14:solidFill>
              <w14:schemeClr w14:val="tx1"/>
            </w14:solidFill>
          </w14:textFill>
        </w:rPr>
        <w:t>因</w:t>
      </w:r>
      <w:bookmarkEnd w:id="340"/>
      <w:bookmarkEnd w:id="341"/>
      <w:r>
        <w:rPr>
          <w:rFonts w:hint="eastAsia" w:ascii="宋体" w:hAnsi="宋体" w:cs="宋体"/>
          <w:color w:val="000000" w:themeColor="text1"/>
          <w:kern w:val="0"/>
          <w:szCs w:val="21"/>
          <w:highlight w:val="none"/>
          <w14:textFill>
            <w14:solidFill>
              <w14:schemeClr w14:val="tx1"/>
            </w14:solidFill>
          </w14:textFill>
        </w:rPr>
        <w:t>承包人原因造成工期延误的，可以在专用合同条款中约定逾期竣工违约金的计算方法和逾期竣工违约金的上限。承包人支付逾期竣工违约金后，不免除承包人继续完成工程及修补缺陷的义务。</w:t>
      </w:r>
    </w:p>
    <w:p w14:paraId="7F1617CF">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42" w:name="_Toc351203548"/>
      <w:r>
        <w:rPr>
          <w:rFonts w:hint="eastAsia" w:ascii="宋体" w:hAnsi="宋体" w:cs="宋体"/>
          <w:bCs/>
          <w:color w:val="000000" w:themeColor="text1"/>
          <w:kern w:val="0"/>
          <w:szCs w:val="21"/>
          <w:highlight w:val="none"/>
          <w14:textFill>
            <w14:solidFill>
              <w14:schemeClr w14:val="tx1"/>
            </w14:solidFill>
          </w14:textFill>
        </w:rPr>
        <w:t>7</w:t>
      </w:r>
      <w:bookmarkStart w:id="343" w:name="_Toc337558773"/>
      <w:bookmarkStart w:id="344" w:name="_Toc296346575"/>
      <w:bookmarkStart w:id="345" w:name="_Toc296503074"/>
      <w:bookmarkStart w:id="346" w:name="_Toc296503077"/>
      <w:bookmarkStart w:id="347" w:name="_Toc296346578"/>
      <w:r>
        <w:rPr>
          <w:rFonts w:hint="eastAsia" w:ascii="宋体" w:hAnsi="宋体" w:cs="宋体"/>
          <w:bCs/>
          <w:color w:val="000000" w:themeColor="text1"/>
          <w:kern w:val="0"/>
          <w:szCs w:val="21"/>
          <w:highlight w:val="none"/>
          <w14:textFill>
            <w14:solidFill>
              <w14:schemeClr w14:val="tx1"/>
            </w14:solidFill>
          </w14:textFill>
        </w:rPr>
        <w:t>.6 不利物质条件</w:t>
      </w:r>
      <w:bookmarkEnd w:id="342"/>
    </w:p>
    <w:bookmarkEnd w:id="343"/>
    <w:bookmarkEnd w:id="344"/>
    <w:bookmarkEnd w:id="345"/>
    <w:p w14:paraId="0D9C503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40BE3D1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5D3AD03B">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48" w:name="_Toc351203549"/>
      <w:r>
        <w:rPr>
          <w:rFonts w:hint="eastAsia" w:ascii="宋体" w:hAnsi="宋体" w:cs="宋体"/>
          <w:bCs/>
          <w:color w:val="000000" w:themeColor="text1"/>
          <w:kern w:val="0"/>
          <w:szCs w:val="21"/>
          <w:highlight w:val="none"/>
          <w14:textFill>
            <w14:solidFill>
              <w14:schemeClr w14:val="tx1"/>
            </w14:solidFill>
          </w14:textFill>
        </w:rPr>
        <w:t>7</w:t>
      </w:r>
      <w:bookmarkStart w:id="349" w:name="_Toc296503075"/>
      <w:bookmarkStart w:id="350" w:name="_Toc296346576"/>
      <w:bookmarkStart w:id="351" w:name="_Toc337558774"/>
      <w:r>
        <w:rPr>
          <w:rFonts w:hint="eastAsia" w:ascii="宋体" w:hAnsi="宋体" w:cs="宋体"/>
          <w:bCs/>
          <w:color w:val="000000" w:themeColor="text1"/>
          <w:kern w:val="0"/>
          <w:szCs w:val="21"/>
          <w:highlight w:val="none"/>
          <w14:textFill>
            <w14:solidFill>
              <w14:schemeClr w14:val="tx1"/>
            </w14:solidFill>
          </w14:textFill>
        </w:rPr>
        <w:t>.7 异常恶劣的气候条件</w:t>
      </w:r>
      <w:bookmarkEnd w:id="348"/>
    </w:p>
    <w:bookmarkEnd w:id="349"/>
    <w:bookmarkEnd w:id="350"/>
    <w:bookmarkEnd w:id="351"/>
    <w:p w14:paraId="345353B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7BBF0C4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52" w:name="_Toc351203550"/>
    </w:p>
    <w:p w14:paraId="6B473BF0">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7</w:t>
      </w:r>
      <w:bookmarkStart w:id="353" w:name="_Toc337558775"/>
      <w:r>
        <w:rPr>
          <w:rFonts w:hint="eastAsia" w:ascii="宋体" w:hAnsi="宋体" w:cs="宋体"/>
          <w:bCs/>
          <w:color w:val="000000" w:themeColor="text1"/>
          <w:kern w:val="0"/>
          <w:szCs w:val="21"/>
          <w:highlight w:val="none"/>
          <w14:textFill>
            <w14:solidFill>
              <w14:schemeClr w14:val="tx1"/>
            </w14:solidFill>
          </w14:textFill>
        </w:rPr>
        <w:t>.8 暂停施工</w:t>
      </w:r>
      <w:bookmarkEnd w:id="352"/>
    </w:p>
    <w:bookmarkEnd w:id="346"/>
    <w:bookmarkEnd w:id="347"/>
    <w:bookmarkEnd w:id="353"/>
    <w:p w14:paraId="26D343E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7.8.1发包人原因引起的暂停施工</w:t>
      </w:r>
    </w:p>
    <w:p w14:paraId="11E19791">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16805F8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因发包人原因引起的暂停施工，发包人应承担由此增加的费用和（或）延误的工期。</w:t>
      </w:r>
    </w:p>
    <w:p w14:paraId="55DEA82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7.8.2 承包人原因引起的暂停施工</w:t>
      </w:r>
    </w:p>
    <w:p w14:paraId="59E674C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791BCDF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7.8.3 指示暂停施工</w:t>
      </w:r>
    </w:p>
    <w:p w14:paraId="3ABA43D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监理人认为有必要时，并经发包人批准后，可向承包人作出暂停施工的指示，承包人应按监理人指示暂停施工。</w:t>
      </w:r>
    </w:p>
    <w:p w14:paraId="16CA774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7.8.4 紧急情况下的暂停施工</w:t>
      </w:r>
    </w:p>
    <w:p w14:paraId="704F0AF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2365026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7.8.5 暂停施工后的复工</w:t>
      </w:r>
    </w:p>
    <w:p w14:paraId="7519B3F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761A957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74E5355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7.8.6 暂停施工持续56天以上</w:t>
      </w:r>
    </w:p>
    <w:p w14:paraId="183D6571">
      <w:pPr>
        <w:spacing w:line="356" w:lineRule="auto"/>
        <w:ind w:firstLine="409" w:firstLineChars="195"/>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06695122">
      <w:pPr>
        <w:spacing w:line="356" w:lineRule="auto"/>
        <w:ind w:firstLine="409" w:firstLineChars="195"/>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115A37DB">
      <w:pPr>
        <w:spacing w:line="356" w:lineRule="auto"/>
        <w:ind w:left="16" w:firstLine="409" w:firstLineChars="195"/>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7.8.7 暂停施工期间的工程照管</w:t>
      </w:r>
    </w:p>
    <w:p w14:paraId="4D1D905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暂停施工期间，承包人应负责妥善照管工程并提供安全保障，由此增加的费用由责任方承担。</w:t>
      </w:r>
    </w:p>
    <w:p w14:paraId="02384EC1">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7.8.8 暂停施工的措施</w:t>
      </w:r>
    </w:p>
    <w:p w14:paraId="4531E51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暂停施工期间，发包人和承包人均应采取必要的措施确保工程质量及安全，防止因暂停施工扩大损失。</w:t>
      </w:r>
    </w:p>
    <w:p w14:paraId="262F0FFC">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54" w:name="_Toc351203551"/>
      <w:r>
        <w:rPr>
          <w:rFonts w:hint="eastAsia" w:ascii="宋体" w:hAnsi="宋体" w:cs="宋体"/>
          <w:bCs/>
          <w:color w:val="000000" w:themeColor="text1"/>
          <w:kern w:val="0"/>
          <w:szCs w:val="21"/>
          <w:highlight w:val="none"/>
          <w14:textFill>
            <w14:solidFill>
              <w14:schemeClr w14:val="tx1"/>
            </w14:solidFill>
          </w14:textFill>
        </w:rPr>
        <w:t>7.9提前竣工</w:t>
      </w:r>
      <w:bookmarkEnd w:id="354"/>
    </w:p>
    <w:p w14:paraId="7684F27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65578B3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6A85774D">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55" w:name="_Toc351203552"/>
      <w:r>
        <w:rPr>
          <w:rFonts w:hint="eastAsia" w:ascii="宋体" w:hAnsi="宋体" w:cs="宋体"/>
          <w:bCs/>
          <w:color w:val="000000" w:themeColor="text1"/>
          <w:kern w:val="0"/>
          <w:szCs w:val="21"/>
          <w:highlight w:val="none"/>
          <w14:textFill>
            <w14:solidFill>
              <w14:schemeClr w14:val="tx1"/>
            </w14:solidFill>
          </w14:textFill>
        </w:rPr>
        <w:t>8</w:t>
      </w:r>
      <w:bookmarkStart w:id="356" w:name="_Toc296503058"/>
      <w:bookmarkStart w:id="357" w:name="_Toc296346559"/>
      <w:bookmarkStart w:id="358" w:name="_Toc337558776"/>
      <w:r>
        <w:rPr>
          <w:rFonts w:hint="eastAsia" w:ascii="宋体" w:hAnsi="宋体" w:cs="宋体"/>
          <w:bCs/>
          <w:color w:val="000000" w:themeColor="text1"/>
          <w:kern w:val="0"/>
          <w:szCs w:val="21"/>
          <w:highlight w:val="none"/>
          <w14:textFill>
            <w14:solidFill>
              <w14:schemeClr w14:val="tx1"/>
            </w14:solidFill>
          </w14:textFill>
        </w:rPr>
        <w:t>. 材料与设备</w:t>
      </w:r>
      <w:bookmarkEnd w:id="355"/>
    </w:p>
    <w:bookmarkEnd w:id="356"/>
    <w:bookmarkEnd w:id="357"/>
    <w:bookmarkEnd w:id="358"/>
    <w:p w14:paraId="1D3EC481">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59" w:name="_Toc351203553"/>
      <w:r>
        <w:rPr>
          <w:rFonts w:hint="eastAsia" w:ascii="宋体" w:hAnsi="宋体" w:cs="宋体"/>
          <w:bCs/>
          <w:color w:val="000000" w:themeColor="text1"/>
          <w:kern w:val="0"/>
          <w:szCs w:val="21"/>
          <w:highlight w:val="none"/>
          <w14:textFill>
            <w14:solidFill>
              <w14:schemeClr w14:val="tx1"/>
            </w14:solidFill>
          </w14:textFill>
        </w:rPr>
        <w:t>8</w:t>
      </w:r>
      <w:bookmarkStart w:id="360" w:name="_Toc296503059"/>
      <w:bookmarkStart w:id="361" w:name="_Toc296346560"/>
      <w:bookmarkStart w:id="362" w:name="_Toc337558777"/>
      <w:bookmarkStart w:id="363" w:name="_Toc468936960"/>
      <w:r>
        <w:rPr>
          <w:rFonts w:hint="eastAsia" w:ascii="宋体" w:hAnsi="宋体" w:cs="宋体"/>
          <w:bCs/>
          <w:color w:val="000000" w:themeColor="text1"/>
          <w:kern w:val="0"/>
          <w:szCs w:val="21"/>
          <w:highlight w:val="none"/>
          <w14:textFill>
            <w14:solidFill>
              <w14:schemeClr w14:val="tx1"/>
            </w14:solidFill>
          </w14:textFill>
        </w:rPr>
        <w:t>.1发包人供应材料与工程设备</w:t>
      </w:r>
      <w:bookmarkEnd w:id="359"/>
    </w:p>
    <w:bookmarkEnd w:id="360"/>
    <w:bookmarkEnd w:id="361"/>
    <w:bookmarkEnd w:id="362"/>
    <w:p w14:paraId="0C05423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40C8DD3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74DA6BA7">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64" w:name="_Toc351203554"/>
      <w:r>
        <w:rPr>
          <w:rFonts w:hint="eastAsia" w:ascii="宋体" w:hAnsi="宋体" w:cs="宋体"/>
          <w:bCs/>
          <w:color w:val="000000" w:themeColor="text1"/>
          <w:kern w:val="0"/>
          <w:szCs w:val="21"/>
          <w:highlight w:val="none"/>
          <w14:textFill>
            <w14:solidFill>
              <w14:schemeClr w14:val="tx1"/>
            </w14:solidFill>
          </w14:textFill>
        </w:rPr>
        <w:t>8</w:t>
      </w:r>
      <w:bookmarkStart w:id="365" w:name="_Toc296503060"/>
      <w:bookmarkStart w:id="366" w:name="_Toc296346561"/>
      <w:bookmarkStart w:id="367" w:name="_Toc337558778"/>
      <w:r>
        <w:rPr>
          <w:rFonts w:hint="eastAsia" w:ascii="宋体" w:hAnsi="宋体" w:cs="宋体"/>
          <w:bCs/>
          <w:color w:val="000000" w:themeColor="text1"/>
          <w:kern w:val="0"/>
          <w:szCs w:val="21"/>
          <w:highlight w:val="none"/>
          <w14:textFill>
            <w14:solidFill>
              <w14:schemeClr w14:val="tx1"/>
            </w14:solidFill>
          </w14:textFill>
        </w:rPr>
        <w:t>.2承包人采购材料与工程设备</w:t>
      </w:r>
      <w:bookmarkEnd w:id="364"/>
    </w:p>
    <w:bookmarkEnd w:id="365"/>
    <w:bookmarkEnd w:id="366"/>
    <w:bookmarkEnd w:id="367"/>
    <w:p w14:paraId="7A60D11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6F4331A7">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68" w:name="_Toc351203555"/>
      <w:r>
        <w:rPr>
          <w:rFonts w:hint="eastAsia" w:ascii="宋体" w:hAnsi="宋体" w:cs="宋体"/>
          <w:bCs/>
          <w:color w:val="000000" w:themeColor="text1"/>
          <w:kern w:val="0"/>
          <w:szCs w:val="21"/>
          <w:highlight w:val="none"/>
          <w14:textFill>
            <w14:solidFill>
              <w14:schemeClr w14:val="tx1"/>
            </w14:solidFill>
          </w14:textFill>
        </w:rPr>
        <w:t>8</w:t>
      </w:r>
      <w:bookmarkStart w:id="369" w:name="_Toc337558779"/>
      <w:bookmarkStart w:id="370" w:name="_Toc296346562"/>
      <w:bookmarkStart w:id="371" w:name="_Toc296503061"/>
      <w:r>
        <w:rPr>
          <w:rFonts w:hint="eastAsia" w:ascii="宋体" w:hAnsi="宋体" w:cs="宋体"/>
          <w:bCs/>
          <w:color w:val="000000" w:themeColor="text1"/>
          <w:kern w:val="0"/>
          <w:szCs w:val="21"/>
          <w:highlight w:val="none"/>
          <w14:textFill>
            <w14:solidFill>
              <w14:schemeClr w14:val="tx1"/>
            </w14:solidFill>
          </w14:textFill>
        </w:rPr>
        <w:t>.3材料与工程设备的接收与拒收</w:t>
      </w:r>
      <w:bookmarkEnd w:id="368"/>
    </w:p>
    <w:bookmarkEnd w:id="369"/>
    <w:bookmarkEnd w:id="370"/>
    <w:bookmarkEnd w:id="371"/>
    <w:p w14:paraId="7FD4D81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2371DC8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622593C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8.3.2 承包人采购的材料和工程设备，应保证产品质量合格，承包人应在材料和工程设备到货前24小时通知监理人检验。承</w:t>
      </w:r>
      <w:bookmarkStart w:id="372" w:name="_Toc250655469"/>
      <w:r>
        <w:rPr>
          <w:rFonts w:hint="eastAsia" w:ascii="宋体" w:hAnsi="宋体" w:cs="宋体"/>
          <w:color w:val="000000" w:themeColor="text1"/>
          <w:kern w:val="0"/>
          <w:szCs w:val="21"/>
          <w:highlight w:val="none"/>
          <w14:textFill>
            <w14:solidFill>
              <w14:schemeClr w14:val="tx1"/>
            </w14:solidFill>
          </w14:textFill>
        </w:rPr>
        <w:t>包人进行永久设备、材料的制造和生产的，应符合相关质量标准，并向监理人提交材料的样本以及有关资料，并应在使用该材料或工程设备之前获得监理人同意。</w:t>
      </w:r>
    </w:p>
    <w:bookmarkEnd w:id="372"/>
    <w:p w14:paraId="56A36C12">
      <w:pPr>
        <w:autoSpaceDE w:val="0"/>
        <w:autoSpaceDN w:val="0"/>
        <w:adjustRightInd w:val="0"/>
        <w:spacing w:line="356" w:lineRule="auto"/>
        <w:ind w:firstLine="315" w:firstLineChars="15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5675D783">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73" w:name="_Toc351203556"/>
      <w:r>
        <w:rPr>
          <w:rFonts w:hint="eastAsia" w:ascii="宋体" w:hAnsi="宋体" w:cs="宋体"/>
          <w:bCs/>
          <w:color w:val="000000" w:themeColor="text1"/>
          <w:kern w:val="0"/>
          <w:szCs w:val="21"/>
          <w:highlight w:val="none"/>
          <w14:textFill>
            <w14:solidFill>
              <w14:schemeClr w14:val="tx1"/>
            </w14:solidFill>
          </w14:textFill>
        </w:rPr>
        <w:t>8</w:t>
      </w:r>
      <w:bookmarkStart w:id="374" w:name="_Toc296503062"/>
      <w:bookmarkStart w:id="375" w:name="_Toc337558780"/>
      <w:bookmarkStart w:id="376" w:name="_Toc296346563"/>
      <w:r>
        <w:rPr>
          <w:rFonts w:hint="eastAsia" w:ascii="宋体" w:hAnsi="宋体" w:cs="宋体"/>
          <w:bCs/>
          <w:color w:val="000000" w:themeColor="text1"/>
          <w:kern w:val="0"/>
          <w:szCs w:val="21"/>
          <w:highlight w:val="none"/>
          <w14:textFill>
            <w14:solidFill>
              <w14:schemeClr w14:val="tx1"/>
            </w14:solidFill>
          </w14:textFill>
        </w:rPr>
        <w:t>.4材料与工程设备的保管与使用</w:t>
      </w:r>
      <w:bookmarkEnd w:id="373"/>
    </w:p>
    <w:bookmarkEnd w:id="374"/>
    <w:bookmarkEnd w:id="375"/>
    <w:bookmarkEnd w:id="376"/>
    <w:p w14:paraId="01D9A8C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8.4.1 发包人供应</w:t>
      </w:r>
      <w:r>
        <w:rPr>
          <w:rFonts w:hint="eastAsia" w:ascii="宋体" w:hAnsi="宋体" w:cs="宋体"/>
          <w:color w:val="000000" w:themeColor="text1"/>
          <w:szCs w:val="21"/>
          <w:highlight w:val="none"/>
          <w14:textFill>
            <w14:solidFill>
              <w14:schemeClr w14:val="tx1"/>
            </w14:solidFill>
          </w14:textFill>
        </w:rPr>
        <w:t>材料与</w:t>
      </w:r>
      <w:r>
        <w:rPr>
          <w:rFonts w:hint="eastAsia" w:ascii="宋体" w:hAnsi="宋体" w:cs="宋体"/>
          <w:color w:val="000000" w:themeColor="text1"/>
          <w:kern w:val="0"/>
          <w:szCs w:val="21"/>
          <w:highlight w:val="none"/>
          <w14:textFill>
            <w14:solidFill>
              <w14:schemeClr w14:val="tx1"/>
            </w14:solidFill>
          </w14:textFill>
        </w:rPr>
        <w:t>工程</w:t>
      </w:r>
      <w:r>
        <w:rPr>
          <w:rFonts w:hint="eastAsia" w:ascii="宋体" w:hAnsi="宋体" w:cs="宋体"/>
          <w:color w:val="000000" w:themeColor="text1"/>
          <w:szCs w:val="21"/>
          <w:highlight w:val="none"/>
          <w14:textFill>
            <w14:solidFill>
              <w14:schemeClr w14:val="tx1"/>
            </w14:solidFill>
          </w14:textFill>
        </w:rPr>
        <w:t>设备的保管与使用</w:t>
      </w:r>
    </w:p>
    <w:p w14:paraId="162D0BF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5930367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发包人供应的材料和工程设备使用前，由承包人负责检验，检验费用由发包人承担，不合格的不得使用。</w:t>
      </w:r>
    </w:p>
    <w:p w14:paraId="29A5F46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8.4.2 承包人采购</w:t>
      </w:r>
      <w:r>
        <w:rPr>
          <w:rFonts w:hint="eastAsia" w:ascii="宋体" w:hAnsi="宋体" w:cs="宋体"/>
          <w:color w:val="000000" w:themeColor="text1"/>
          <w:szCs w:val="21"/>
          <w:highlight w:val="none"/>
          <w14:textFill>
            <w14:solidFill>
              <w14:schemeClr w14:val="tx1"/>
            </w14:solidFill>
          </w14:textFill>
        </w:rPr>
        <w:t>材料与</w:t>
      </w:r>
      <w:r>
        <w:rPr>
          <w:rFonts w:hint="eastAsia" w:ascii="宋体" w:hAnsi="宋体" w:cs="宋体"/>
          <w:color w:val="000000" w:themeColor="text1"/>
          <w:kern w:val="0"/>
          <w:szCs w:val="21"/>
          <w:highlight w:val="none"/>
          <w14:textFill>
            <w14:solidFill>
              <w14:schemeClr w14:val="tx1"/>
            </w14:solidFill>
          </w14:textFill>
        </w:rPr>
        <w:t>工程</w:t>
      </w:r>
      <w:r>
        <w:rPr>
          <w:rFonts w:hint="eastAsia" w:ascii="宋体" w:hAnsi="宋体" w:cs="宋体"/>
          <w:color w:val="000000" w:themeColor="text1"/>
          <w:szCs w:val="21"/>
          <w:highlight w:val="none"/>
          <w14:textFill>
            <w14:solidFill>
              <w14:schemeClr w14:val="tx1"/>
            </w14:solidFill>
          </w14:textFill>
        </w:rPr>
        <w:t>设备的保管与使用</w:t>
      </w:r>
    </w:p>
    <w:p w14:paraId="5E9EF63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1358055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32D22D15">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77" w:name="_Toc351203557"/>
      <w:r>
        <w:rPr>
          <w:rFonts w:hint="eastAsia" w:ascii="宋体" w:hAnsi="宋体" w:cs="宋体"/>
          <w:bCs/>
          <w:color w:val="000000" w:themeColor="text1"/>
          <w:kern w:val="0"/>
          <w:szCs w:val="21"/>
          <w:highlight w:val="none"/>
          <w14:textFill>
            <w14:solidFill>
              <w14:schemeClr w14:val="tx1"/>
            </w14:solidFill>
          </w14:textFill>
        </w:rPr>
        <w:t>8.5禁止使用不合格的材料和工程设备</w:t>
      </w:r>
      <w:bookmarkEnd w:id="377"/>
    </w:p>
    <w:p w14:paraId="44183AD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7097585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7925384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8.5.3 发包人提供的材料或工程设备不符合合同要求的，承包人有权拒绝，并可要求发包人更换，由此增加的费用和（或）延误的工期由发包人承担。</w:t>
      </w:r>
    </w:p>
    <w:p w14:paraId="23ECF601">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78" w:name="_Toc351203558"/>
      <w:r>
        <w:rPr>
          <w:rFonts w:hint="eastAsia" w:ascii="宋体" w:hAnsi="宋体" w:cs="宋体"/>
          <w:bCs/>
          <w:color w:val="000000" w:themeColor="text1"/>
          <w:kern w:val="0"/>
          <w:szCs w:val="21"/>
          <w:highlight w:val="none"/>
          <w14:textFill>
            <w14:solidFill>
              <w14:schemeClr w14:val="tx1"/>
            </w14:solidFill>
          </w14:textFill>
        </w:rPr>
        <w:t>8.6 样品</w:t>
      </w:r>
      <w:bookmarkEnd w:id="378"/>
    </w:p>
    <w:p w14:paraId="54A641B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8.6.1</w:t>
      </w:r>
      <w:r>
        <w:rPr>
          <w:rFonts w:hint="eastAsia" w:ascii="宋体" w:hAnsi="宋体" w:cs="宋体"/>
          <w:color w:val="000000" w:themeColor="text1"/>
          <w:kern w:val="0"/>
          <w:szCs w:val="21"/>
          <w:highlight w:val="none"/>
          <w14:textFill>
            <w14:solidFill>
              <w14:schemeClr w14:val="tx1"/>
            </w14:solidFill>
          </w14:textFill>
        </w:rPr>
        <w:tab/>
      </w:r>
      <w:r>
        <w:rPr>
          <w:rFonts w:hint="eastAsia" w:ascii="宋体" w:hAnsi="宋体" w:cs="宋体"/>
          <w:color w:val="000000" w:themeColor="text1"/>
          <w:kern w:val="0"/>
          <w:szCs w:val="21"/>
          <w:highlight w:val="none"/>
          <w14:textFill>
            <w14:solidFill>
              <w14:schemeClr w14:val="tx1"/>
            </w14:solidFill>
          </w14:textFill>
        </w:rPr>
        <w:t>样品的报送与封存</w:t>
      </w:r>
    </w:p>
    <w:p w14:paraId="093473B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需要承包人报送样品的材料或工程设备，样品的种类、名称、规格、数量等要求均应在专用合同条款中约定。样品的报送程序如下：</w:t>
      </w:r>
    </w:p>
    <w:p w14:paraId="3C47B94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269AA59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内向承包人回复经发包人签认的样品审批意见。</w:t>
      </w:r>
    </w:p>
    <w:p w14:paraId="15CE72E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2C1C0AB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责任和义务。如果封存的样品修改或改变了合同约定，合同当事人应当以书面协议予以确认。</w:t>
      </w:r>
    </w:p>
    <w:p w14:paraId="4AD340A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8.6.2 样品的保管</w:t>
      </w:r>
    </w:p>
    <w:p w14:paraId="256344E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6C56C7F3">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79" w:name="_Toc351203559"/>
      <w:r>
        <w:rPr>
          <w:rFonts w:hint="eastAsia" w:ascii="宋体" w:hAnsi="宋体" w:cs="宋体"/>
          <w:bCs/>
          <w:color w:val="000000" w:themeColor="text1"/>
          <w:kern w:val="0"/>
          <w:szCs w:val="21"/>
          <w:highlight w:val="none"/>
          <w14:textFill>
            <w14:solidFill>
              <w14:schemeClr w14:val="tx1"/>
            </w14:solidFill>
          </w14:textFill>
        </w:rPr>
        <w:t>8.7材料与工程设备的替代</w:t>
      </w:r>
      <w:bookmarkEnd w:id="379"/>
    </w:p>
    <w:p w14:paraId="5841AF6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8.7.1 出现下列情况需要使用替代材料和工程设备的，承包人应按照第8.7.2项约定的程序执行：</w:t>
      </w:r>
    </w:p>
    <w:p w14:paraId="6AF32BF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（1）基准日期后生效的法律规定禁止使用的；</w:t>
      </w:r>
    </w:p>
    <w:p w14:paraId="0DEB180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（2）发包人要求使用替代品的；</w:t>
      </w:r>
    </w:p>
    <w:p w14:paraId="0F06528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（3）因其他原因必须使用替代品的。</w:t>
      </w:r>
    </w:p>
    <w:p w14:paraId="0098306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8.7.2 承包人应在使用替代材料和工程设备28天前书面通知监理人，并附下列文件：</w:t>
      </w:r>
    </w:p>
    <w:p w14:paraId="6984A2F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（1）被替代的材料和工程设备的名称、数量、规格、型号、品牌、性能、价格及其他相关资料；</w:t>
      </w:r>
    </w:p>
    <w:p w14:paraId="206D0AF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（2）替代品的名称、数量、规格、型号、品牌、性能、价格及其他相关资料；</w:t>
      </w:r>
    </w:p>
    <w:p w14:paraId="124A893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（3）替代品与被替代产品之间的差异以及使用替代品可能对工程产生的影响；</w:t>
      </w:r>
    </w:p>
    <w:p w14:paraId="507FA50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（4）替代品与被替代产品的价格差异；</w:t>
      </w:r>
    </w:p>
    <w:p w14:paraId="4BEADC6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（5）使用替代品的理由和原因说明；</w:t>
      </w:r>
    </w:p>
    <w:p w14:paraId="0C16339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（6）监理人要求的其他文件。</w:t>
      </w:r>
    </w:p>
    <w:p w14:paraId="4AC6B97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44C6FE1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210EF16E">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80" w:name="_Toc351203560"/>
      <w:r>
        <w:rPr>
          <w:rFonts w:hint="eastAsia" w:ascii="宋体" w:hAnsi="宋体" w:cs="宋体"/>
          <w:bCs/>
          <w:color w:val="000000" w:themeColor="text1"/>
          <w:kern w:val="0"/>
          <w:szCs w:val="21"/>
          <w:highlight w:val="none"/>
          <w14:textFill>
            <w14:solidFill>
              <w14:schemeClr w14:val="tx1"/>
            </w14:solidFill>
          </w14:textFill>
        </w:rPr>
        <w:t>8.8施工设备和临时设施</w:t>
      </w:r>
      <w:bookmarkEnd w:id="380"/>
    </w:p>
    <w:p w14:paraId="5550D57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8.8.1 承包人提供的施工设备和临时设施</w:t>
      </w:r>
    </w:p>
    <w:p w14:paraId="1919FB2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14C5584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71D90D8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8.8.2发包人提供的施工设备和临时设施</w:t>
      </w:r>
    </w:p>
    <w:p w14:paraId="2EE8336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发包人提供的施工设备或临时设施在专用合同条款中约定。</w:t>
      </w:r>
    </w:p>
    <w:p w14:paraId="1D07F38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8.8.3要求承包人增加或更换施工设备</w:t>
      </w:r>
    </w:p>
    <w:p w14:paraId="551602A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487038CD">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81" w:name="_Toc351203561"/>
      <w:r>
        <w:rPr>
          <w:rFonts w:hint="eastAsia" w:ascii="宋体" w:hAnsi="宋体" w:cs="宋体"/>
          <w:bCs/>
          <w:color w:val="000000" w:themeColor="text1"/>
          <w:kern w:val="0"/>
          <w:szCs w:val="21"/>
          <w:highlight w:val="none"/>
          <w14:textFill>
            <w14:solidFill>
              <w14:schemeClr w14:val="tx1"/>
            </w14:solidFill>
          </w14:textFill>
        </w:rPr>
        <w:t>8</w:t>
      </w:r>
      <w:bookmarkStart w:id="382" w:name="_Toc337558781"/>
      <w:bookmarkStart w:id="383" w:name="_Toc296503063"/>
      <w:bookmarkStart w:id="384" w:name="_Toc296346564"/>
      <w:r>
        <w:rPr>
          <w:rFonts w:hint="eastAsia" w:ascii="宋体" w:hAnsi="宋体" w:cs="宋体"/>
          <w:bCs/>
          <w:color w:val="000000" w:themeColor="text1"/>
          <w:kern w:val="0"/>
          <w:szCs w:val="21"/>
          <w:highlight w:val="none"/>
          <w14:textFill>
            <w14:solidFill>
              <w14:schemeClr w14:val="tx1"/>
            </w14:solidFill>
          </w14:textFill>
        </w:rPr>
        <w:t>.9材料与设备专用</w:t>
      </w:r>
      <w:bookmarkEnd w:id="381"/>
      <w:r>
        <w:rPr>
          <w:rFonts w:hint="eastAsia" w:ascii="宋体" w:hAnsi="宋体" w:cs="宋体"/>
          <w:bCs/>
          <w:color w:val="000000" w:themeColor="text1"/>
          <w:kern w:val="0"/>
          <w:szCs w:val="21"/>
          <w:highlight w:val="none"/>
          <w14:textFill>
            <w14:solidFill>
              <w14:schemeClr w14:val="tx1"/>
            </w14:solidFill>
          </w14:textFill>
        </w:rPr>
        <w:t>要求</w:t>
      </w:r>
    </w:p>
    <w:bookmarkEnd w:id="382"/>
    <w:bookmarkEnd w:id="383"/>
    <w:bookmarkEnd w:id="384"/>
    <w:p w14:paraId="143FE78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w:t>
      </w:r>
      <w:bookmarkEnd w:id="363"/>
      <w:r>
        <w:rPr>
          <w:rFonts w:hint="eastAsia" w:ascii="宋体" w:hAnsi="宋体" w:cs="宋体"/>
          <w:color w:val="000000" w:themeColor="text1"/>
          <w:kern w:val="0"/>
          <w:szCs w:val="21"/>
          <w:highlight w:val="none"/>
          <w14:textFill>
            <w14:solidFill>
              <w14:schemeClr w14:val="tx1"/>
            </w14:solidFill>
          </w14:textFill>
        </w:rPr>
        <w:t>经发包人批准，承包人可以根据施工进度计划撤走闲置的施工设备和其他物品。</w:t>
      </w:r>
    </w:p>
    <w:p w14:paraId="72A27584">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85" w:name="_Toc351203562"/>
      <w:r>
        <w:rPr>
          <w:rFonts w:hint="eastAsia" w:ascii="宋体" w:hAnsi="宋体" w:cs="宋体"/>
          <w:bCs/>
          <w:color w:val="000000" w:themeColor="text1"/>
          <w:kern w:val="0"/>
          <w:szCs w:val="21"/>
          <w:highlight w:val="none"/>
          <w14:textFill>
            <w14:solidFill>
              <w14:schemeClr w14:val="tx1"/>
            </w14:solidFill>
          </w14:textFill>
        </w:rPr>
        <w:t>9</w:t>
      </w:r>
      <w:bookmarkStart w:id="386" w:name="_Toc337558782"/>
      <w:bookmarkStart w:id="387" w:name="_Toc296503083"/>
      <w:bookmarkStart w:id="388" w:name="_Toc296346584"/>
      <w:r>
        <w:rPr>
          <w:rFonts w:hint="eastAsia" w:ascii="宋体" w:hAnsi="宋体" w:cs="宋体"/>
          <w:bCs/>
          <w:color w:val="000000" w:themeColor="text1"/>
          <w:kern w:val="0"/>
          <w:szCs w:val="21"/>
          <w:highlight w:val="none"/>
          <w14:textFill>
            <w14:solidFill>
              <w14:schemeClr w14:val="tx1"/>
            </w14:solidFill>
          </w14:textFill>
        </w:rPr>
        <w:t>. 试验与检验</w:t>
      </w:r>
      <w:bookmarkEnd w:id="385"/>
    </w:p>
    <w:bookmarkEnd w:id="386"/>
    <w:p w14:paraId="5D8347BB">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89" w:name="_Toc351203563"/>
      <w:r>
        <w:rPr>
          <w:rFonts w:hint="eastAsia" w:ascii="宋体" w:hAnsi="宋体" w:cs="宋体"/>
          <w:bCs/>
          <w:color w:val="000000" w:themeColor="text1"/>
          <w:kern w:val="0"/>
          <w:szCs w:val="21"/>
          <w:highlight w:val="none"/>
          <w14:textFill>
            <w14:solidFill>
              <w14:schemeClr w14:val="tx1"/>
            </w14:solidFill>
          </w14:textFill>
        </w:rPr>
        <w:t>9</w:t>
      </w:r>
      <w:bookmarkStart w:id="390" w:name="_Toc337558783"/>
      <w:r>
        <w:rPr>
          <w:rFonts w:hint="eastAsia" w:ascii="宋体" w:hAnsi="宋体" w:cs="宋体"/>
          <w:bCs/>
          <w:color w:val="000000" w:themeColor="text1"/>
          <w:kern w:val="0"/>
          <w:szCs w:val="21"/>
          <w:highlight w:val="none"/>
          <w14:textFill>
            <w14:solidFill>
              <w14:schemeClr w14:val="tx1"/>
            </w14:solidFill>
          </w14:textFill>
        </w:rPr>
        <w:t>.1试验设备与试验人员</w:t>
      </w:r>
      <w:bookmarkEnd w:id="389"/>
    </w:p>
    <w:bookmarkEnd w:id="390"/>
    <w:p w14:paraId="1063B7A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5C89A95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9.1.2 承包人应按专用合同条款的约定提供试验设备、取样装置、试验场所和试验条件，并向监理人提交相应进场计划表。</w:t>
      </w:r>
    </w:p>
    <w:p w14:paraId="2832F58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4602245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5B3917D0">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91" w:name="_Toc351203564"/>
      <w:r>
        <w:rPr>
          <w:rFonts w:hint="eastAsia" w:ascii="宋体" w:hAnsi="宋体" w:cs="宋体"/>
          <w:bCs/>
          <w:color w:val="000000" w:themeColor="text1"/>
          <w:kern w:val="0"/>
          <w:szCs w:val="21"/>
          <w:highlight w:val="none"/>
          <w14:textFill>
            <w14:solidFill>
              <w14:schemeClr w14:val="tx1"/>
            </w14:solidFill>
          </w14:textFill>
        </w:rPr>
        <w:t>9</w:t>
      </w:r>
      <w:bookmarkStart w:id="392" w:name="_Toc337558784"/>
      <w:r>
        <w:rPr>
          <w:rFonts w:hint="eastAsia" w:ascii="宋体" w:hAnsi="宋体" w:cs="宋体"/>
          <w:bCs/>
          <w:color w:val="000000" w:themeColor="text1"/>
          <w:kern w:val="0"/>
          <w:szCs w:val="21"/>
          <w:highlight w:val="none"/>
          <w14:textFill>
            <w14:solidFill>
              <w14:schemeClr w14:val="tx1"/>
            </w14:solidFill>
          </w14:textFill>
        </w:rPr>
        <w:t>.2取样</w:t>
      </w:r>
      <w:bookmarkEnd w:id="391"/>
    </w:p>
    <w:bookmarkEnd w:id="392"/>
    <w:p w14:paraId="38536A3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731EB025">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93" w:name="_Toc351203565"/>
      <w:r>
        <w:rPr>
          <w:rFonts w:hint="eastAsia" w:ascii="宋体" w:hAnsi="宋体" w:cs="宋体"/>
          <w:bCs/>
          <w:color w:val="000000" w:themeColor="text1"/>
          <w:kern w:val="0"/>
          <w:szCs w:val="21"/>
          <w:highlight w:val="none"/>
          <w14:textFill>
            <w14:solidFill>
              <w14:schemeClr w14:val="tx1"/>
            </w14:solidFill>
          </w14:textFill>
        </w:rPr>
        <w:t>9</w:t>
      </w:r>
      <w:bookmarkStart w:id="394" w:name="_Toc337558785"/>
      <w:r>
        <w:rPr>
          <w:rFonts w:hint="eastAsia" w:ascii="宋体" w:hAnsi="宋体" w:cs="宋体"/>
          <w:bCs/>
          <w:color w:val="000000" w:themeColor="text1"/>
          <w:kern w:val="0"/>
          <w:szCs w:val="21"/>
          <w:highlight w:val="none"/>
          <w14:textFill>
            <w14:solidFill>
              <w14:schemeClr w14:val="tx1"/>
            </w14:solidFill>
          </w14:textFill>
        </w:rPr>
        <w:t>.3材料、工程设备和工程的试验和检验</w:t>
      </w:r>
      <w:bookmarkEnd w:id="393"/>
    </w:p>
    <w:bookmarkEnd w:id="394"/>
    <w:p w14:paraId="7B58786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C10A02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74DDA933">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6B0F4F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95" w:name="_Toc351203566"/>
      <w:r>
        <w:rPr>
          <w:rFonts w:hint="eastAsia" w:ascii="宋体" w:hAnsi="宋体" w:cs="宋体"/>
          <w:bCs/>
          <w:color w:val="000000" w:themeColor="text1"/>
          <w:kern w:val="0"/>
          <w:szCs w:val="21"/>
          <w:highlight w:val="none"/>
          <w14:textFill>
            <w14:solidFill>
              <w14:schemeClr w14:val="tx1"/>
            </w14:solidFill>
          </w14:textFill>
        </w:rPr>
        <w:t>9</w:t>
      </w:r>
      <w:bookmarkStart w:id="396" w:name="_Toc337558786"/>
      <w:r>
        <w:rPr>
          <w:rFonts w:hint="eastAsia" w:ascii="宋体" w:hAnsi="宋体" w:cs="宋体"/>
          <w:bCs/>
          <w:color w:val="000000" w:themeColor="text1"/>
          <w:kern w:val="0"/>
          <w:szCs w:val="21"/>
          <w:highlight w:val="none"/>
          <w14:textFill>
            <w14:solidFill>
              <w14:schemeClr w14:val="tx1"/>
            </w14:solidFill>
          </w14:textFill>
        </w:rPr>
        <w:t>.4现场工艺试验</w:t>
      </w:r>
      <w:bookmarkEnd w:id="395"/>
    </w:p>
    <w:bookmarkEnd w:id="396"/>
    <w:p w14:paraId="7DB2E093">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525E6BCD">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97" w:name="_Toc351203567"/>
      <w:r>
        <w:rPr>
          <w:rFonts w:hint="eastAsia" w:ascii="宋体" w:hAnsi="宋体" w:cs="宋体"/>
          <w:bCs/>
          <w:color w:val="000000" w:themeColor="text1"/>
          <w:kern w:val="0"/>
          <w:szCs w:val="21"/>
          <w:highlight w:val="none"/>
          <w14:textFill>
            <w14:solidFill>
              <w14:schemeClr w14:val="tx1"/>
            </w14:solidFill>
          </w14:textFill>
        </w:rPr>
        <w:t>1</w:t>
      </w:r>
      <w:bookmarkStart w:id="398" w:name="_Toc337558787"/>
      <w:r>
        <w:rPr>
          <w:rFonts w:hint="eastAsia" w:ascii="宋体" w:hAnsi="宋体" w:cs="宋体"/>
          <w:bCs/>
          <w:color w:val="000000" w:themeColor="text1"/>
          <w:kern w:val="0"/>
          <w:szCs w:val="21"/>
          <w:highlight w:val="none"/>
          <w14:textFill>
            <w14:solidFill>
              <w14:schemeClr w14:val="tx1"/>
            </w14:solidFill>
          </w14:textFill>
        </w:rPr>
        <w:t>0. 变更</w:t>
      </w:r>
      <w:bookmarkEnd w:id="387"/>
      <w:bookmarkEnd w:id="388"/>
      <w:bookmarkEnd w:id="397"/>
    </w:p>
    <w:bookmarkEnd w:id="398"/>
    <w:p w14:paraId="0B5A6FD1">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399" w:name="_Toc351203568"/>
      <w:r>
        <w:rPr>
          <w:rFonts w:hint="eastAsia" w:ascii="宋体" w:hAnsi="宋体" w:cs="宋体"/>
          <w:bCs/>
          <w:color w:val="000000" w:themeColor="text1"/>
          <w:kern w:val="0"/>
          <w:szCs w:val="21"/>
          <w:highlight w:val="none"/>
          <w14:textFill>
            <w14:solidFill>
              <w14:schemeClr w14:val="tx1"/>
            </w14:solidFill>
          </w14:textFill>
        </w:rPr>
        <w:t>1</w:t>
      </w:r>
      <w:bookmarkStart w:id="400" w:name="_Toc296346585"/>
      <w:bookmarkStart w:id="401" w:name="_Toc296503084"/>
      <w:bookmarkStart w:id="402" w:name="_Toc337558788"/>
      <w:r>
        <w:rPr>
          <w:rFonts w:hint="eastAsia" w:ascii="宋体" w:hAnsi="宋体" w:cs="宋体"/>
          <w:bCs/>
          <w:color w:val="000000" w:themeColor="text1"/>
          <w:kern w:val="0"/>
          <w:szCs w:val="21"/>
          <w:highlight w:val="none"/>
          <w14:textFill>
            <w14:solidFill>
              <w14:schemeClr w14:val="tx1"/>
            </w14:solidFill>
          </w14:textFill>
        </w:rPr>
        <w:t>0.1变更的范围</w:t>
      </w:r>
      <w:bookmarkEnd w:id="399"/>
    </w:p>
    <w:bookmarkEnd w:id="400"/>
    <w:bookmarkEnd w:id="401"/>
    <w:bookmarkEnd w:id="402"/>
    <w:p w14:paraId="27805E5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除专用合同条款另有约定外，合同履行过程中发生以下情形的，应按照本条约定进行变更：</w:t>
      </w:r>
    </w:p>
    <w:p w14:paraId="02AF4EE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（1）增加或减少合同中任何工作，或追加额外的工作；</w:t>
      </w:r>
    </w:p>
    <w:p w14:paraId="1A71AE1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（2）取消合同中任何工作，但转由他人实施的工作除外；</w:t>
      </w:r>
    </w:p>
    <w:p w14:paraId="16312DA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（3）改变合同中任何工作的质量标准或其他特性；</w:t>
      </w:r>
    </w:p>
    <w:p w14:paraId="77B078F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（4）改变工程的基线、标高、位置和尺寸；</w:t>
      </w:r>
    </w:p>
    <w:p w14:paraId="481C8E4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（5）改变工程的时间安排或实施顺序。</w:t>
      </w:r>
    </w:p>
    <w:p w14:paraId="0A8AA2F2">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03" w:name="_Toc351203569"/>
      <w:r>
        <w:rPr>
          <w:rFonts w:hint="eastAsia" w:ascii="宋体" w:hAnsi="宋体" w:cs="宋体"/>
          <w:bCs/>
          <w:color w:val="000000" w:themeColor="text1"/>
          <w:kern w:val="0"/>
          <w:szCs w:val="21"/>
          <w:highlight w:val="none"/>
          <w14:textFill>
            <w14:solidFill>
              <w14:schemeClr w14:val="tx1"/>
            </w14:solidFill>
          </w14:textFill>
        </w:rPr>
        <w:t>1</w:t>
      </w:r>
      <w:bookmarkStart w:id="404" w:name="_Toc296503085"/>
      <w:bookmarkStart w:id="405" w:name="_Toc337558789"/>
      <w:bookmarkStart w:id="406" w:name="_Toc296346586"/>
      <w:r>
        <w:rPr>
          <w:rFonts w:hint="eastAsia" w:ascii="宋体" w:hAnsi="宋体" w:cs="宋体"/>
          <w:bCs/>
          <w:color w:val="000000" w:themeColor="text1"/>
          <w:kern w:val="0"/>
          <w:szCs w:val="21"/>
          <w:highlight w:val="none"/>
          <w14:textFill>
            <w14:solidFill>
              <w14:schemeClr w14:val="tx1"/>
            </w14:solidFill>
          </w14:textFill>
        </w:rPr>
        <w:t>0.2变更权</w:t>
      </w:r>
      <w:bookmarkEnd w:id="403"/>
    </w:p>
    <w:bookmarkEnd w:id="404"/>
    <w:bookmarkEnd w:id="405"/>
    <w:bookmarkEnd w:id="406"/>
    <w:p w14:paraId="0399C20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3CB5758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1869FCCE">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07" w:name="_Toc351203570"/>
      <w:r>
        <w:rPr>
          <w:rFonts w:hint="eastAsia" w:ascii="宋体" w:hAnsi="宋体" w:cs="宋体"/>
          <w:bCs/>
          <w:color w:val="000000" w:themeColor="text1"/>
          <w:kern w:val="0"/>
          <w:szCs w:val="21"/>
          <w:highlight w:val="none"/>
          <w14:textFill>
            <w14:solidFill>
              <w14:schemeClr w14:val="tx1"/>
            </w14:solidFill>
          </w14:textFill>
        </w:rPr>
        <w:t>1</w:t>
      </w:r>
      <w:bookmarkStart w:id="408" w:name="_Toc296346587"/>
      <w:bookmarkStart w:id="409" w:name="_Toc296503086"/>
      <w:bookmarkStart w:id="410" w:name="_Toc337558790"/>
      <w:r>
        <w:rPr>
          <w:rFonts w:hint="eastAsia" w:ascii="宋体" w:hAnsi="宋体" w:cs="宋体"/>
          <w:bCs/>
          <w:color w:val="000000" w:themeColor="text1"/>
          <w:kern w:val="0"/>
          <w:szCs w:val="21"/>
          <w:highlight w:val="none"/>
          <w14:textFill>
            <w14:solidFill>
              <w14:schemeClr w14:val="tx1"/>
            </w14:solidFill>
          </w14:textFill>
        </w:rPr>
        <w:t>0.3变更程序</w:t>
      </w:r>
      <w:bookmarkEnd w:id="407"/>
    </w:p>
    <w:bookmarkEnd w:id="408"/>
    <w:bookmarkEnd w:id="409"/>
    <w:bookmarkEnd w:id="410"/>
    <w:p w14:paraId="351438F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w:t>
      </w:r>
      <w:r>
        <w:rPr>
          <w:rFonts w:hint="eastAsia" w:ascii="宋体" w:hAnsi="宋体" w:cs="宋体"/>
          <w:color w:val="000000" w:themeColor="text1"/>
          <w:kern w:val="0"/>
          <w:szCs w:val="21"/>
          <w:highlight w:val="none"/>
          <w14:textFill>
            <w14:solidFill>
              <w14:schemeClr w14:val="tx1"/>
            </w14:solidFill>
          </w14:textFill>
        </w:rPr>
        <w:t>.3.1 发包人提出变更</w:t>
      </w:r>
    </w:p>
    <w:p w14:paraId="63DB06B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发包人提出变更的，应通过监理人向承包人发出变更指示，变更指示应说明计划变更的工程范围和变更的内容。</w:t>
      </w:r>
    </w:p>
    <w:p w14:paraId="649CAAC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w:t>
      </w:r>
      <w:r>
        <w:rPr>
          <w:rFonts w:hint="eastAsia" w:ascii="宋体" w:hAnsi="宋体" w:cs="宋体"/>
          <w:color w:val="000000" w:themeColor="text1"/>
          <w:kern w:val="0"/>
          <w:szCs w:val="21"/>
          <w:highlight w:val="none"/>
          <w14:textFill>
            <w14:solidFill>
              <w14:schemeClr w14:val="tx1"/>
            </w14:solidFill>
          </w14:textFill>
        </w:rPr>
        <w:t>.3.2 监理人提出变更建议</w:t>
      </w:r>
    </w:p>
    <w:p w14:paraId="694FDB5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379EBD60">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10.3.3 变更执行</w:t>
      </w:r>
    </w:p>
    <w:p w14:paraId="5FD3CFC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5BD6350B">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11" w:name="_Toc351203571"/>
      <w:r>
        <w:rPr>
          <w:rFonts w:hint="eastAsia" w:ascii="宋体" w:hAnsi="宋体" w:cs="宋体"/>
          <w:bCs/>
          <w:color w:val="000000" w:themeColor="text1"/>
          <w:kern w:val="0"/>
          <w:szCs w:val="21"/>
          <w:highlight w:val="none"/>
          <w14:textFill>
            <w14:solidFill>
              <w14:schemeClr w14:val="tx1"/>
            </w14:solidFill>
          </w14:textFill>
        </w:rPr>
        <w:t>1</w:t>
      </w:r>
      <w:bookmarkStart w:id="412" w:name="_Toc296503087"/>
      <w:bookmarkStart w:id="413" w:name="_Toc337558791"/>
      <w:bookmarkStart w:id="414" w:name="_Toc296346588"/>
      <w:r>
        <w:rPr>
          <w:rFonts w:hint="eastAsia" w:ascii="宋体" w:hAnsi="宋体" w:cs="宋体"/>
          <w:bCs/>
          <w:color w:val="000000" w:themeColor="text1"/>
          <w:kern w:val="0"/>
          <w:szCs w:val="21"/>
          <w:highlight w:val="none"/>
          <w14:textFill>
            <w14:solidFill>
              <w14:schemeClr w14:val="tx1"/>
            </w14:solidFill>
          </w14:textFill>
        </w:rPr>
        <w:t>0.4变更估价</w:t>
      </w:r>
      <w:bookmarkEnd w:id="411"/>
    </w:p>
    <w:bookmarkEnd w:id="412"/>
    <w:bookmarkEnd w:id="413"/>
    <w:bookmarkEnd w:id="414"/>
    <w:p w14:paraId="43BDD29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10.4.1 变更估价原则</w:t>
      </w:r>
    </w:p>
    <w:p w14:paraId="6444E4C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除专用合同条款另有约定外，变更估价按照本款约定处理：</w:t>
      </w:r>
    </w:p>
    <w:p w14:paraId="4208FAF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（1）已标价工程量清单或预算书有相同项目的，按照相同项目单价认定；</w:t>
      </w:r>
    </w:p>
    <w:p w14:paraId="6D916FD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（2）已标价工程量清单或预算书中无相同项目，但有类似项目的，参照类似项目的单价认定；</w:t>
      </w:r>
    </w:p>
    <w:p w14:paraId="7F7C39D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5BC493F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10.4.2 变更估价程序</w:t>
      </w:r>
    </w:p>
    <w:p w14:paraId="1F6CA1D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2588FF9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因变更引起的价格调整应计入最近一期的进度款中支付。</w:t>
      </w:r>
    </w:p>
    <w:p w14:paraId="13C2C2FD">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15" w:name="_Toc351203572"/>
      <w:r>
        <w:rPr>
          <w:rFonts w:hint="eastAsia" w:ascii="宋体" w:hAnsi="宋体" w:cs="宋体"/>
          <w:bCs/>
          <w:color w:val="000000" w:themeColor="text1"/>
          <w:kern w:val="0"/>
          <w:szCs w:val="21"/>
          <w:highlight w:val="none"/>
          <w14:textFill>
            <w14:solidFill>
              <w14:schemeClr w14:val="tx1"/>
            </w14:solidFill>
          </w14:textFill>
        </w:rPr>
        <w:t>1</w:t>
      </w:r>
      <w:bookmarkStart w:id="416" w:name="_Toc296346595"/>
      <w:bookmarkStart w:id="417" w:name="_Toc337558792"/>
      <w:bookmarkStart w:id="418" w:name="_Toc296503094"/>
      <w:r>
        <w:rPr>
          <w:rFonts w:hint="eastAsia" w:ascii="宋体" w:hAnsi="宋体" w:cs="宋体"/>
          <w:bCs/>
          <w:color w:val="000000" w:themeColor="text1"/>
          <w:kern w:val="0"/>
          <w:szCs w:val="21"/>
          <w:highlight w:val="none"/>
          <w14:textFill>
            <w14:solidFill>
              <w14:schemeClr w14:val="tx1"/>
            </w14:solidFill>
          </w14:textFill>
        </w:rPr>
        <w:t>0.5承包人的合理化建议</w:t>
      </w:r>
      <w:bookmarkEnd w:id="415"/>
    </w:p>
    <w:bookmarkEnd w:id="416"/>
    <w:bookmarkEnd w:id="417"/>
    <w:bookmarkEnd w:id="418"/>
    <w:p w14:paraId="31BF2A0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0DBCC27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1D7BFF6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39010B06">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19" w:name="_Toc351203573"/>
      <w:r>
        <w:rPr>
          <w:rFonts w:hint="eastAsia" w:ascii="宋体" w:hAnsi="宋体" w:cs="宋体"/>
          <w:bCs/>
          <w:color w:val="000000" w:themeColor="text1"/>
          <w:kern w:val="0"/>
          <w:szCs w:val="21"/>
          <w:highlight w:val="none"/>
          <w14:textFill>
            <w14:solidFill>
              <w14:schemeClr w14:val="tx1"/>
            </w14:solidFill>
          </w14:textFill>
        </w:rPr>
        <w:t>1</w:t>
      </w:r>
      <w:bookmarkStart w:id="420" w:name="_Toc337558793"/>
      <w:r>
        <w:rPr>
          <w:rFonts w:hint="eastAsia" w:ascii="宋体" w:hAnsi="宋体" w:cs="宋体"/>
          <w:bCs/>
          <w:color w:val="000000" w:themeColor="text1"/>
          <w:kern w:val="0"/>
          <w:szCs w:val="21"/>
          <w:highlight w:val="none"/>
          <w14:textFill>
            <w14:solidFill>
              <w14:schemeClr w14:val="tx1"/>
            </w14:solidFill>
          </w14:textFill>
        </w:rPr>
        <w:t>0.6变更引起的工期调整</w:t>
      </w:r>
      <w:bookmarkEnd w:id="419"/>
      <w:bookmarkEnd w:id="420"/>
    </w:p>
    <w:p w14:paraId="7810B66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3432635D">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21" w:name="_Toc351203574"/>
      <w:r>
        <w:rPr>
          <w:rFonts w:hint="eastAsia" w:ascii="宋体" w:hAnsi="宋体" w:cs="宋体"/>
          <w:bCs/>
          <w:color w:val="000000" w:themeColor="text1"/>
          <w:kern w:val="0"/>
          <w:szCs w:val="21"/>
          <w:highlight w:val="none"/>
          <w14:textFill>
            <w14:solidFill>
              <w14:schemeClr w14:val="tx1"/>
            </w14:solidFill>
          </w14:textFill>
        </w:rPr>
        <w:t>10.7暂估价</w:t>
      </w:r>
      <w:bookmarkEnd w:id="421"/>
    </w:p>
    <w:p w14:paraId="0C1AA77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暂估价专业分包工程、服务、材料和工程设备的明细由合同当事人在专用合同条款中约定。</w:t>
      </w:r>
    </w:p>
    <w:p w14:paraId="7596B73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10.7.1</w:t>
      </w:r>
      <w:r>
        <w:rPr>
          <w:rFonts w:hint="eastAsia" w:ascii="宋体" w:hAnsi="宋体" w:cs="宋体"/>
          <w:color w:val="000000" w:themeColor="text1"/>
          <w:kern w:val="0"/>
          <w:szCs w:val="21"/>
          <w:highlight w:val="none"/>
          <w14:textFill>
            <w14:solidFill>
              <w14:schemeClr w14:val="tx1"/>
            </w14:solidFill>
          </w14:textFill>
        </w:rPr>
        <w:t xml:space="preserve"> 依法必须招标的暂估价项目</w:t>
      </w:r>
    </w:p>
    <w:p w14:paraId="3200EF3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对于依法必须招标的暂估价项目，采取以下第1种方式确定。合同当事人也可以在专用合同条款中选择其他招标方式。</w:t>
      </w:r>
    </w:p>
    <w:p w14:paraId="68E6BAA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第1种方式：对于依法必须招标的暂估价项目，由承包人招标，对该暂估价项目的确认和批准按照以下约定执行：</w:t>
      </w:r>
    </w:p>
    <w:p w14:paraId="7694253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2C64627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承包人应当根据施工进度计划，提前14天将集中比选文件通过监理人报送发包人审批，发包人应当在收到承包人报送的相关文件后7天内完成审批或提出修改意见；发包人有权确定招标控制价并按照法律规定参加评审；</w:t>
      </w:r>
    </w:p>
    <w:p w14:paraId="2221F441">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承包人与供应商、分包人在签订暂估价合同前，应当提前7天将确定的中标候选供应商或中标候选分包人的资料报送发包人，发包人应在收到资料后3天内与承包人共同确定成交人；承包人应当在签订合同后7天内，将暂估价合同副本报送发包人留存。</w:t>
      </w:r>
    </w:p>
    <w:p w14:paraId="0BA41B9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成交人后，由发包人、承包人与成交人共同签订暂估价合同。</w:t>
      </w:r>
    </w:p>
    <w:p w14:paraId="31C3F9C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10.7.2</w:t>
      </w:r>
      <w:r>
        <w:rPr>
          <w:rFonts w:hint="eastAsia" w:ascii="宋体" w:hAnsi="宋体" w:cs="宋体"/>
          <w:color w:val="000000" w:themeColor="text1"/>
          <w:kern w:val="0"/>
          <w:szCs w:val="21"/>
          <w:highlight w:val="none"/>
          <w14:textFill>
            <w14:solidFill>
              <w14:schemeClr w14:val="tx1"/>
            </w14:solidFill>
          </w14:textFill>
        </w:rPr>
        <w:t>不属于依法必须招标的暂估价项目</w:t>
      </w:r>
    </w:p>
    <w:p w14:paraId="4652136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除专用合同条款另有约定外，对于不属于依法必须招标的暂估价项目，采取以下第1种方式确定： </w:t>
      </w:r>
    </w:p>
    <w:p w14:paraId="55BFDEB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第1种方式：对于不属于依法必须招标的暂估价项目，按本项约定确认和批准：</w:t>
      </w:r>
    </w:p>
    <w:p w14:paraId="3CCEF89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6B231C2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3CFC14E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（3）承包人应当在签订暂估价合同后7天内，将暂估价合同副本报送发包人留存。</w:t>
      </w:r>
    </w:p>
    <w:p w14:paraId="2DBBC59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第2种方式：承包人按照第10.7.1项〔依法必须招标的暂估价项目〕约定的第1种方式确定暂估价项目。</w:t>
      </w:r>
    </w:p>
    <w:p w14:paraId="1798884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第3种方式：</w:t>
      </w:r>
      <w:r>
        <w:rPr>
          <w:rFonts w:hint="eastAsia" w:ascii="宋体" w:hAnsi="宋体" w:cs="宋体"/>
          <w:color w:val="000000" w:themeColor="text1"/>
          <w:kern w:val="0"/>
          <w:szCs w:val="21"/>
          <w:highlight w:val="none"/>
          <w14:textFill>
            <w14:solidFill>
              <w14:schemeClr w14:val="tx1"/>
            </w14:solidFill>
          </w14:textFill>
        </w:rPr>
        <w:t>承包人直接实施的暂估价项目</w:t>
      </w:r>
    </w:p>
    <w:p w14:paraId="51B1C64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承包人具备实施暂估价项目的资格和条件的，经发包人和承包人协商一致后，可由承包人自行实施暂估价项目，合同当事人可以在专用合同条款中约定具体事项。</w:t>
      </w:r>
    </w:p>
    <w:p w14:paraId="2C1005C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10.7.3 因发包人原因导致暂估价合同订立和履行迟延的，由此增加的费用和（或）延误的工期由发包人承担。因承包人原因导致暂估价合同订立和履行迟延的，由此增加的费用和（或）延误的工期由承包人承担。</w:t>
      </w:r>
    </w:p>
    <w:p w14:paraId="7DBB8746">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22" w:name="_Toc351203575"/>
      <w:r>
        <w:rPr>
          <w:rFonts w:hint="eastAsia" w:ascii="宋体" w:hAnsi="宋体" w:cs="宋体"/>
          <w:bCs/>
          <w:color w:val="000000" w:themeColor="text1"/>
          <w:kern w:val="0"/>
          <w:szCs w:val="21"/>
          <w:highlight w:val="none"/>
          <w14:textFill>
            <w14:solidFill>
              <w14:schemeClr w14:val="tx1"/>
            </w14:solidFill>
          </w14:textFill>
        </w:rPr>
        <w:t>1</w:t>
      </w:r>
      <w:bookmarkStart w:id="423" w:name="_Toc337558794"/>
      <w:bookmarkStart w:id="424" w:name="_Toc296503090"/>
      <w:bookmarkStart w:id="425" w:name="_Toc296346591"/>
      <w:bookmarkStart w:id="426" w:name="_Toc322522561"/>
      <w:r>
        <w:rPr>
          <w:rFonts w:hint="eastAsia" w:ascii="宋体" w:hAnsi="宋体" w:cs="宋体"/>
          <w:bCs/>
          <w:color w:val="000000" w:themeColor="text1"/>
          <w:kern w:val="0"/>
          <w:szCs w:val="21"/>
          <w:highlight w:val="none"/>
          <w14:textFill>
            <w14:solidFill>
              <w14:schemeClr w14:val="tx1"/>
            </w14:solidFill>
          </w14:textFill>
        </w:rPr>
        <w:t>0.8暂列金额</w:t>
      </w:r>
      <w:bookmarkEnd w:id="422"/>
    </w:p>
    <w:bookmarkEnd w:id="423"/>
    <w:p w14:paraId="1E4187A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暂列金额应按照发包人的要求使用，发包人的要求应通过监理人发出。合同当事人可以在专用合同条款中协商确定有关事项。</w:t>
      </w:r>
    </w:p>
    <w:bookmarkEnd w:id="424"/>
    <w:bookmarkEnd w:id="425"/>
    <w:bookmarkEnd w:id="426"/>
    <w:p w14:paraId="52FE225B">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27" w:name="_Toc351203576"/>
      <w:r>
        <w:rPr>
          <w:rFonts w:hint="eastAsia" w:ascii="宋体" w:hAnsi="宋体" w:cs="宋体"/>
          <w:bCs/>
          <w:color w:val="000000" w:themeColor="text1"/>
          <w:kern w:val="0"/>
          <w:szCs w:val="21"/>
          <w:highlight w:val="none"/>
          <w14:textFill>
            <w14:solidFill>
              <w14:schemeClr w14:val="tx1"/>
            </w14:solidFill>
          </w14:textFill>
        </w:rPr>
        <w:t>1</w:t>
      </w:r>
      <w:bookmarkStart w:id="428" w:name="_Toc337558796"/>
      <w:bookmarkStart w:id="429" w:name="_Toc296346592"/>
      <w:bookmarkStart w:id="430" w:name="_Toc296503091"/>
      <w:r>
        <w:rPr>
          <w:rFonts w:hint="eastAsia" w:ascii="宋体" w:hAnsi="宋体" w:cs="宋体"/>
          <w:bCs/>
          <w:color w:val="000000" w:themeColor="text1"/>
          <w:kern w:val="0"/>
          <w:szCs w:val="21"/>
          <w:highlight w:val="none"/>
          <w14:textFill>
            <w14:solidFill>
              <w14:schemeClr w14:val="tx1"/>
            </w14:solidFill>
          </w14:textFill>
        </w:rPr>
        <w:t>0.9计日工</w:t>
      </w:r>
      <w:bookmarkEnd w:id="427"/>
      <w:bookmarkEnd w:id="428"/>
      <w:bookmarkEnd w:id="429"/>
      <w:bookmarkEnd w:id="430"/>
    </w:p>
    <w:p w14:paraId="7A78CD3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14:paraId="076637E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采用计日工计价的任何一项工作，承包人应在该项工作实施过程中，每天提交以下报表和有关凭证报送监理人审查：</w:t>
      </w:r>
    </w:p>
    <w:p w14:paraId="777BB9A3">
      <w:pPr>
        <w:spacing w:line="356" w:lineRule="auto"/>
        <w:ind w:firstLine="315" w:firstLineChars="15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（1）工作名称、内容和数量；</w:t>
      </w:r>
    </w:p>
    <w:p w14:paraId="608D93CE">
      <w:pPr>
        <w:spacing w:line="356" w:lineRule="auto"/>
        <w:ind w:firstLine="315" w:firstLineChars="15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（2）投入该工作的所有人员的姓名、专业、工种、级别和耗用工时；</w:t>
      </w:r>
    </w:p>
    <w:p w14:paraId="326C2DC3">
      <w:pPr>
        <w:spacing w:line="356" w:lineRule="auto"/>
        <w:ind w:firstLine="315" w:firstLineChars="15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（3）投入该工作的材料类别和数量；</w:t>
      </w:r>
    </w:p>
    <w:p w14:paraId="7B246934">
      <w:pPr>
        <w:spacing w:line="356" w:lineRule="auto"/>
        <w:ind w:firstLine="315" w:firstLineChars="15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（4）投入该工作的施工设备型号、台数和耗用台时；</w:t>
      </w:r>
    </w:p>
    <w:p w14:paraId="3EE4E827">
      <w:pPr>
        <w:spacing w:line="356" w:lineRule="auto"/>
        <w:ind w:firstLine="315" w:firstLineChars="15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（5）其他有关资料和凭证。</w:t>
      </w:r>
    </w:p>
    <w:p w14:paraId="6EAAE82C">
      <w:pPr>
        <w:spacing w:line="356" w:lineRule="auto"/>
        <w:ind w:firstLine="315" w:firstLineChars="15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 计日工由承包人汇总后，列入最近一期进度付款申请单，由监理人审查并经发包人批准后列入进度付款。</w:t>
      </w:r>
    </w:p>
    <w:p w14:paraId="2D99CF2E">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31" w:name="_Toc351203577"/>
      <w:r>
        <w:rPr>
          <w:rFonts w:hint="eastAsia" w:ascii="宋体" w:hAnsi="宋体" w:cs="宋体"/>
          <w:bCs/>
          <w:color w:val="000000" w:themeColor="text1"/>
          <w:kern w:val="0"/>
          <w:szCs w:val="21"/>
          <w:highlight w:val="none"/>
          <w14:textFill>
            <w14:solidFill>
              <w14:schemeClr w14:val="tx1"/>
            </w14:solidFill>
          </w14:textFill>
        </w:rPr>
        <w:t>11. 价格调整</w:t>
      </w:r>
      <w:bookmarkEnd w:id="431"/>
    </w:p>
    <w:p w14:paraId="00ADE078">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32" w:name="_Toc351203578"/>
      <w:bookmarkStart w:id="433" w:name="_Toc296503092"/>
      <w:bookmarkStart w:id="434" w:name="_Toc337558797"/>
      <w:bookmarkStart w:id="435" w:name="_Toc296346593"/>
      <w:r>
        <w:rPr>
          <w:rFonts w:hint="eastAsia" w:ascii="宋体" w:hAnsi="宋体" w:cs="宋体"/>
          <w:bCs/>
          <w:color w:val="000000" w:themeColor="text1"/>
          <w:kern w:val="0"/>
          <w:szCs w:val="21"/>
          <w:highlight w:val="none"/>
          <w14:textFill>
            <w14:solidFill>
              <w14:schemeClr w14:val="tx1"/>
            </w14:solidFill>
          </w14:textFill>
        </w:rPr>
        <w:t>11.1市场价格波动引起的调整</w:t>
      </w:r>
      <w:bookmarkEnd w:id="432"/>
    </w:p>
    <w:bookmarkEnd w:id="433"/>
    <w:bookmarkEnd w:id="434"/>
    <w:bookmarkEnd w:id="435"/>
    <w:p w14:paraId="29891D62">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0C38FE84">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第1种方式：采用价格指数进行价格调整。</w:t>
      </w:r>
    </w:p>
    <w:p w14:paraId="0188B8A1">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（1）价格调整公式</w:t>
      </w:r>
    </w:p>
    <w:p w14:paraId="751FA9D3">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因人工、材料和设备等价格波动影响合同价格时，根据专用合同条款中约定的数据，按以下公式计算差额并调整合同价格：</w:t>
      </w:r>
    </w:p>
    <w:p w14:paraId="5AC30817">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position w:val="-30"/>
          <w:szCs w:val="21"/>
          <w:highlight w:val="none"/>
          <w14:textFill>
            <w14:solidFill>
              <w14:schemeClr w14:val="tx1"/>
            </w14:solidFill>
          </w14:textFill>
        </w:rPr>
        <w:object>
          <v:shape id="_x0000_i1025" o:spt="75" type="#_x0000_t75" style="height:44.1pt;width:360pt;" o:ole="t" filled="f" o:preferrelative="t" stroked="f" coordsize="21600,21600">
            <v:path/>
            <v:fill on="f" focussize="0,0"/>
            <v:stroke on="f" joinstyle="miter"/>
            <v:imagedata r:id="rId12" o:title=""/>
            <o:lock v:ext="edit" aspectratio="t"/>
            <w10:wrap type="none"/>
            <w10:anchorlock/>
          </v:shape>
          <o:OLEObject Type="Embed" ProgID="Equation.3" ShapeID="_x0000_i1025" DrawAspect="Content" ObjectID="_1468075725" r:id="rId11">
            <o:LockedField>false</o:LockedField>
          </o:OLEObject>
        </w:object>
      </w:r>
    </w:p>
    <w:p w14:paraId="071A2E81">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公式中：ΔP——需调整的价格差额；</w:t>
      </w:r>
    </w:p>
    <w:p w14:paraId="1276BDAB">
      <w:pPr>
        <w:tabs>
          <w:tab w:val="left" w:pos="0"/>
          <w:tab w:val="left" w:pos="360"/>
          <w:tab w:val="left" w:pos="540"/>
        </w:tabs>
        <w:spacing w:line="356" w:lineRule="auto"/>
        <w:ind w:firstLine="1260" w:firstLineChars="6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position w:val="-6"/>
          <w:szCs w:val="21"/>
          <w:highlight w:val="none"/>
          <w14:textFill>
            <w14:solidFill>
              <w14:schemeClr w14:val="tx1"/>
            </w14:solidFill>
          </w14:textFill>
        </w:rPr>
        <w:object>
          <v:shape id="_x0000_i1026" o:spt="75" type="#_x0000_t75" style="height:14.1pt;width:14.1pt;" o:ole="t" filled="f" o:preferrelative="t" stroked="f" coordsize="21600,21600">
            <v:path/>
            <v:fill on="f" focussize="0,0"/>
            <v:stroke on="f" joinstyle="miter"/>
            <v:imagedata r:id="rId14" o:title=""/>
            <o:lock v:ext="edit" aspectratio="t"/>
            <w10:wrap type="none"/>
            <w10:anchorlock/>
          </v:shape>
          <o:OLEObject Type="Embed" ProgID="Equation.3" ShapeID="_x0000_i1026" DrawAspect="Content" ObjectID="_1468075726" r:id="rId13">
            <o:LockedField>false</o:LockedField>
          </o:OLEObject>
        </w:object>
      </w:r>
      <w:r>
        <w:rPr>
          <w:rFonts w:hint="eastAsia" w:ascii="宋体" w:hAnsi="宋体" w:cs="宋体"/>
          <w:color w:val="000000" w:themeColor="text1"/>
          <w:szCs w:val="21"/>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70570270">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A——定值权重（即不调部分的权重）；</w:t>
      </w:r>
    </w:p>
    <w:p w14:paraId="5505812A">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position w:val="-10"/>
          <w:szCs w:val="21"/>
          <w:highlight w:val="none"/>
          <w14:textFill>
            <w14:solidFill>
              <w14:schemeClr w14:val="tx1"/>
            </w14:solidFill>
          </w14:textFill>
        </w:rPr>
        <w:object>
          <v:shape id="_x0000_i1027" o:spt="75" type="#_x0000_t75" style="height:21.75pt;width:98.4pt;" o:ole="t" filled="f" o:preferrelative="t" stroked="f" coordsize="21600,21600">
            <v:path/>
            <v:fill on="f" focussize="0,0"/>
            <v:stroke on="f" joinstyle="miter"/>
            <v:imagedata r:id="rId16" o:title=""/>
            <o:lock v:ext="edit" aspectratio="t"/>
            <w10:wrap type="none"/>
            <w10:anchorlock/>
          </v:shape>
          <o:OLEObject Type="Embed" ProgID="Equation.3" ShapeID="_x0000_i1027" DrawAspect="Content" ObjectID="_1468075727" r:id="rId15">
            <o:LockedField>false</o:LockedField>
          </o:OLEObject>
        </w:object>
      </w:r>
      <w:r>
        <w:rPr>
          <w:rFonts w:hint="eastAsia" w:ascii="宋体" w:hAnsi="宋体" w:cs="宋体"/>
          <w:color w:val="000000" w:themeColor="text1"/>
          <w:szCs w:val="21"/>
          <w:highlight w:val="none"/>
          <w14:textFill>
            <w14:solidFill>
              <w14:schemeClr w14:val="tx1"/>
            </w14:solidFill>
          </w14:textFill>
        </w:rPr>
        <w:t>——各可调因子的变值权重（即可调部分的权重），为各可调因子在签约合同价中所占的比例；</w:t>
      </w:r>
    </w:p>
    <w:p w14:paraId="4F391979">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position w:val="-10"/>
          <w:szCs w:val="21"/>
          <w:highlight w:val="none"/>
          <w14:textFill>
            <w14:solidFill>
              <w14:schemeClr w14:val="tx1"/>
            </w14:solidFill>
          </w14:textFill>
        </w:rPr>
        <w:object>
          <v:shape id="_x0000_i1028" o:spt="75" type="#_x0000_t75" style="height:21.75pt;width:99.05pt;" o:ole="t" filled="f" o:preferrelative="t" stroked="f" coordsize="21600,21600">
            <v:path/>
            <v:fill on="f" focussize="0,0"/>
            <v:stroke on="f" joinstyle="miter"/>
            <v:imagedata r:id="rId18" o:title=""/>
            <o:lock v:ext="edit" aspectratio="t"/>
            <w10:wrap type="none"/>
            <w10:anchorlock/>
          </v:shape>
          <o:OLEObject Type="Embed" ProgID="Equation.3" ShapeID="_x0000_i1028" DrawAspect="Content" ObjectID="_1468075728" r:id="rId17">
            <o:LockedField>false</o:LockedField>
          </o:OLEObject>
        </w:object>
      </w:r>
      <w:r>
        <w:rPr>
          <w:rFonts w:hint="eastAsia" w:ascii="宋体" w:hAnsi="宋体" w:cs="宋体"/>
          <w:color w:val="000000" w:themeColor="text1"/>
          <w:szCs w:val="21"/>
          <w:highlight w:val="none"/>
          <w14:textFill>
            <w14:solidFill>
              <w14:schemeClr w14:val="tx1"/>
            </w14:solidFill>
          </w14:textFill>
        </w:rPr>
        <w:t>——各可调因子的现行价格指数，指约定的付款证书相关周期最后一天的前42天的各可调因子的价格指数；</w:t>
      </w:r>
    </w:p>
    <w:p w14:paraId="5C932267">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position w:val="-10"/>
          <w:szCs w:val="21"/>
          <w:highlight w:val="none"/>
          <w14:textFill>
            <w14:solidFill>
              <w14:schemeClr w14:val="tx1"/>
            </w14:solidFill>
          </w14:textFill>
        </w:rPr>
        <w:object>
          <v:shape id="_x0000_i1029" o:spt="75" type="#_x0000_t75" style="height:21.75pt;width:107.3pt;" o:ole="t" filled="f" o:preferrelative="t" stroked="f" coordsize="21600,21600">
            <v:path/>
            <v:fill on="f" focussize="0,0"/>
            <v:stroke on="f" joinstyle="miter"/>
            <v:imagedata r:id="rId20" o:title=""/>
            <o:lock v:ext="edit" aspectratio="t"/>
            <w10:wrap type="none"/>
            <w10:anchorlock/>
          </v:shape>
          <o:OLEObject Type="Embed" ProgID="Equation.3" ShapeID="_x0000_i1029" DrawAspect="Content" ObjectID="_1468075729" r:id="rId19">
            <o:LockedField>false</o:LockedField>
          </o:OLEObject>
        </w:object>
      </w:r>
      <w:r>
        <w:rPr>
          <w:rFonts w:hint="eastAsia" w:ascii="宋体" w:hAnsi="宋体" w:cs="宋体"/>
          <w:color w:val="000000" w:themeColor="text1"/>
          <w:szCs w:val="21"/>
          <w:highlight w:val="none"/>
          <w14:textFill>
            <w14:solidFill>
              <w14:schemeClr w14:val="tx1"/>
            </w14:solidFill>
          </w14:textFill>
        </w:rPr>
        <w:t>——各可调因子的基本价格指数，指基准日期的各可调因子的价格指数。</w:t>
      </w:r>
    </w:p>
    <w:p w14:paraId="139BB565">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以上价格调整公式中的各可调因子、定值和变值权重，以及基本价格指数及其来源在响应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578A8D5A">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（2）暂时确定调整差额</w:t>
      </w:r>
    </w:p>
    <w:p w14:paraId="795D8F3B">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154CCCF6">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（3）权重的调整</w:t>
      </w:r>
    </w:p>
    <w:p w14:paraId="3E5FBD07">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因变更导致合同约定的权重不合理时，按照第4.4款〔商定或确定〕执行。</w:t>
      </w:r>
    </w:p>
    <w:p w14:paraId="79E39034">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（4）因承包人原因工期延误后的价格调整</w:t>
      </w:r>
    </w:p>
    <w:p w14:paraId="2A2012DA">
      <w:pPr>
        <w:tabs>
          <w:tab w:val="left" w:pos="0"/>
          <w:tab w:val="left" w:pos="360"/>
          <w:tab w:val="left" w:pos="540"/>
        </w:tabs>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2B8007B1">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第2种方式：采用造价信息进行价格调整。</w:t>
      </w:r>
    </w:p>
    <w:p w14:paraId="69B3EA9D">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363C76A8">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48A0DAE8">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（2）材料、工程设备价格变化的价款调整按照发包人提供的基准价格，按以下风险范围规定执行:</w:t>
      </w:r>
    </w:p>
    <w:p w14:paraId="5DFAC1E2">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77ECDF81">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554740FD">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③承包人在已标价工程量清单或预算书中载明材料单价等于基准价格的：除专用合同条款另有约定外，合同履行期间材料单价涨跌幅以基准价格为基础超过±5%时，其超过部分据实调整。</w:t>
      </w:r>
    </w:p>
    <w:p w14:paraId="2994FDC2">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53D7B8C4">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前述基准价格是指由发包人在集中比选文件或专用合同条款中给定的材料、工程设备的价格，该价格原则上应当按照省级或行业建设主管部门或其授权的工程造价管理机构发布的信息价编制。</w:t>
      </w:r>
    </w:p>
    <w:p w14:paraId="15D82760">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206B3E22">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第3种方式：专用合同条款约定的其他方式。</w:t>
      </w:r>
    </w:p>
    <w:p w14:paraId="4D3B50ED">
      <w:pPr>
        <w:keepNext/>
        <w:keepLines/>
        <w:spacing w:line="356" w:lineRule="auto"/>
        <w:ind w:firstLine="420"/>
        <w:rPr>
          <w:rFonts w:hint="eastAsia" w:ascii="宋体" w:hAnsi="宋体" w:cs="宋体"/>
          <w:bCs/>
          <w:color w:val="000000" w:themeColor="text1"/>
          <w:szCs w:val="21"/>
          <w:highlight w:val="none"/>
          <w14:textFill>
            <w14:solidFill>
              <w14:schemeClr w14:val="tx1"/>
            </w14:solidFill>
          </w14:textFill>
        </w:rPr>
      </w:pPr>
      <w:bookmarkStart w:id="436" w:name="_Toc351203579"/>
      <w:bookmarkStart w:id="437" w:name="_Toc296503093"/>
      <w:bookmarkStart w:id="438" w:name="_Toc296346594"/>
      <w:bookmarkStart w:id="439" w:name="_Toc337558798"/>
      <w:r>
        <w:rPr>
          <w:rFonts w:hint="eastAsia" w:ascii="宋体" w:hAnsi="宋体" w:cs="宋体"/>
          <w:bCs/>
          <w:color w:val="000000" w:themeColor="text1"/>
          <w:szCs w:val="21"/>
          <w:highlight w:val="none"/>
          <w14:textFill>
            <w14:solidFill>
              <w14:schemeClr w14:val="tx1"/>
            </w14:solidFill>
          </w14:textFill>
        </w:rPr>
        <w:t>11.2法律变化引起的调整</w:t>
      </w:r>
      <w:bookmarkEnd w:id="436"/>
    </w:p>
    <w:bookmarkEnd w:id="437"/>
    <w:bookmarkEnd w:id="438"/>
    <w:bookmarkEnd w:id="439"/>
    <w:p w14:paraId="779C853C">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4AB059A4">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因法律变化引起的合同价格和工期调整，合同当事人无法达成一致的，由总监理工程师按第4.4款〔商定或确定〕的约定处理。</w:t>
      </w:r>
    </w:p>
    <w:p w14:paraId="6A6BB261">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因承包人原因造成工期延误，在工期延误期间出现法律变化的，由此增加的费用和（或）延误的工期由承包人承担。</w:t>
      </w:r>
    </w:p>
    <w:p w14:paraId="40A73038">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40" w:name="_Toc351203580"/>
      <w:bookmarkStart w:id="441" w:name="_Toc337558799"/>
      <w:bookmarkStart w:id="442" w:name="_Toc296346597"/>
      <w:bookmarkStart w:id="443" w:name="_Toc296503096"/>
      <w:r>
        <w:rPr>
          <w:rFonts w:hint="eastAsia" w:ascii="宋体" w:hAnsi="宋体" w:cs="宋体"/>
          <w:bCs/>
          <w:color w:val="000000" w:themeColor="text1"/>
          <w:kern w:val="0"/>
          <w:szCs w:val="21"/>
          <w:highlight w:val="none"/>
          <w14:textFill>
            <w14:solidFill>
              <w14:schemeClr w14:val="tx1"/>
            </w14:solidFill>
          </w14:textFill>
        </w:rPr>
        <w:t>12. 合同价格、计量与支付</w:t>
      </w:r>
      <w:bookmarkEnd w:id="440"/>
    </w:p>
    <w:bookmarkEnd w:id="441"/>
    <w:p w14:paraId="68F1AD48">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44" w:name="_Toc351203581"/>
      <w:bookmarkStart w:id="445" w:name="_Toc337558800"/>
      <w:r>
        <w:rPr>
          <w:rFonts w:hint="eastAsia" w:ascii="宋体" w:hAnsi="宋体" w:cs="宋体"/>
          <w:bCs/>
          <w:color w:val="000000" w:themeColor="text1"/>
          <w:kern w:val="0"/>
          <w:szCs w:val="21"/>
          <w:highlight w:val="none"/>
          <w14:textFill>
            <w14:solidFill>
              <w14:schemeClr w14:val="tx1"/>
            </w14:solidFill>
          </w14:textFill>
        </w:rPr>
        <w:t>12.1 合同价</w:t>
      </w:r>
      <w:bookmarkEnd w:id="442"/>
      <w:bookmarkEnd w:id="443"/>
      <w:r>
        <w:rPr>
          <w:rFonts w:hint="eastAsia" w:ascii="宋体" w:hAnsi="宋体" w:cs="宋体"/>
          <w:bCs/>
          <w:color w:val="000000" w:themeColor="text1"/>
          <w:kern w:val="0"/>
          <w:szCs w:val="21"/>
          <w:highlight w:val="none"/>
          <w14:textFill>
            <w14:solidFill>
              <w14:schemeClr w14:val="tx1"/>
            </w14:solidFill>
          </w14:textFill>
        </w:rPr>
        <w:t>格形式</w:t>
      </w:r>
      <w:bookmarkEnd w:id="444"/>
    </w:p>
    <w:bookmarkEnd w:id="445"/>
    <w:p w14:paraId="1A91944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发包人和承包人应在合同协议书中选择下列一种合同价格形式： </w:t>
      </w:r>
    </w:p>
    <w:p w14:paraId="5DF30C1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1、单价合同</w:t>
      </w:r>
    </w:p>
    <w:p w14:paraId="5023981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单价合同是指合同当事人约定以工程量清单及其综合单价进行合同价格计算、调整和确认的建设工程施工合同，</w:t>
      </w:r>
      <w:r>
        <w:rPr>
          <w:rFonts w:hint="eastAsia" w:ascii="宋体" w:hAnsi="宋体" w:cs="宋体"/>
          <w:color w:val="000000" w:themeColor="text1"/>
          <w:szCs w:val="21"/>
          <w:highlight w:val="none"/>
          <w14:textFill>
            <w14:solidFill>
              <w14:schemeClr w14:val="tx1"/>
            </w14:solidFill>
          </w14:textFill>
        </w:rPr>
        <w:t>在约定的范围内合同单价不作调整</w:t>
      </w:r>
      <w:r>
        <w:rPr>
          <w:rFonts w:hint="eastAsia" w:ascii="宋体" w:hAnsi="宋体" w:cs="宋体"/>
          <w:color w:val="000000" w:themeColor="text1"/>
          <w:kern w:val="0"/>
          <w:szCs w:val="21"/>
          <w:highlight w:val="none"/>
          <w14:textFill>
            <w14:solidFill>
              <w14:schemeClr w14:val="tx1"/>
            </w14:solidFill>
          </w14:textFill>
        </w:rPr>
        <w:t>。合同当事人应在专用合同条款中约定综合单价包含的风险范围和风险费用的计算方法</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并约定风险范围以外的合同价格的调整方法，其中因市场价格波动引起的调整按第11.1款〔市场价格波动引起的调整〕约定执行。</w:t>
      </w:r>
    </w:p>
    <w:p w14:paraId="008E53A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2、总价合同</w:t>
      </w:r>
    </w:p>
    <w:p w14:paraId="6F2B97A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总价合同是指合同当事人约定以施工图、已标价工程量清单或预算书及有关条件进行合同价格计算、调整和确认的建设工程施工合同，</w:t>
      </w:r>
      <w:r>
        <w:rPr>
          <w:rFonts w:hint="eastAsia" w:ascii="宋体" w:hAnsi="宋体" w:cs="宋体"/>
          <w:color w:val="000000" w:themeColor="text1"/>
          <w:szCs w:val="21"/>
          <w:highlight w:val="none"/>
          <w14:textFill>
            <w14:solidFill>
              <w14:schemeClr w14:val="tx1"/>
            </w14:solidFill>
          </w14:textFill>
        </w:rPr>
        <w:t>在约定的范围内合同总价不作调整</w:t>
      </w:r>
      <w:r>
        <w:rPr>
          <w:rFonts w:hint="eastAsia" w:ascii="宋体" w:hAnsi="宋体" w:cs="宋体"/>
          <w:color w:val="000000" w:themeColor="text1"/>
          <w:kern w:val="0"/>
          <w:szCs w:val="21"/>
          <w:highlight w:val="none"/>
          <w14:textFill>
            <w14:solidFill>
              <w14:schemeClr w14:val="tx1"/>
            </w14:solidFill>
          </w14:textFill>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766538F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r>
        <w:rPr>
          <w:rFonts w:hint="eastAsia" w:ascii="宋体" w:hAnsi="宋体" w:cs="宋体"/>
          <w:color w:val="000000" w:themeColor="text1"/>
          <w:kern w:val="0"/>
          <w:szCs w:val="21"/>
          <w:highlight w:val="none"/>
          <w:lang w:eastAsia="zh-CN"/>
          <w14:textFill>
            <w14:solidFill>
              <w14:schemeClr w14:val="tx1"/>
            </w14:solidFill>
          </w14:textFill>
        </w:rPr>
        <w:t>其他</w:t>
      </w:r>
      <w:r>
        <w:rPr>
          <w:rFonts w:hint="eastAsia" w:ascii="宋体" w:hAnsi="宋体" w:cs="宋体"/>
          <w:color w:val="000000" w:themeColor="text1"/>
          <w:kern w:val="0"/>
          <w:szCs w:val="21"/>
          <w:highlight w:val="none"/>
          <w14:textFill>
            <w14:solidFill>
              <w14:schemeClr w14:val="tx1"/>
            </w14:solidFill>
          </w14:textFill>
        </w:rPr>
        <w:t>价格形式</w:t>
      </w:r>
    </w:p>
    <w:p w14:paraId="2447E8C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合同当事人可在专用合同条款中约定其他合同价格形式。</w:t>
      </w:r>
    </w:p>
    <w:p w14:paraId="75BABE6F">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46" w:name="_Toc296346598"/>
      <w:bookmarkStart w:id="447" w:name="_Toc296503097"/>
      <w:bookmarkStart w:id="448" w:name="_Toc351203582"/>
      <w:bookmarkStart w:id="449" w:name="_Toc337558801"/>
      <w:r>
        <w:rPr>
          <w:rFonts w:hint="eastAsia" w:ascii="宋体" w:hAnsi="宋体" w:cs="宋体"/>
          <w:bCs/>
          <w:color w:val="000000" w:themeColor="text1"/>
          <w:kern w:val="0"/>
          <w:szCs w:val="21"/>
          <w:highlight w:val="none"/>
          <w14:textFill>
            <w14:solidFill>
              <w14:schemeClr w14:val="tx1"/>
            </w14:solidFill>
          </w14:textFill>
        </w:rPr>
        <w:t>12.2预</w:t>
      </w:r>
      <w:bookmarkEnd w:id="446"/>
      <w:bookmarkEnd w:id="447"/>
      <w:bookmarkStart w:id="450" w:name="_Toc296346601"/>
      <w:bookmarkStart w:id="451" w:name="_Toc296503100"/>
      <w:r>
        <w:rPr>
          <w:rFonts w:hint="eastAsia" w:ascii="宋体" w:hAnsi="宋体" w:cs="宋体"/>
          <w:bCs/>
          <w:color w:val="000000" w:themeColor="text1"/>
          <w:kern w:val="0"/>
          <w:szCs w:val="21"/>
          <w:highlight w:val="none"/>
          <w14:textFill>
            <w14:solidFill>
              <w14:schemeClr w14:val="tx1"/>
            </w14:solidFill>
          </w14:textFill>
        </w:rPr>
        <w:t>付款</w:t>
      </w:r>
      <w:bookmarkEnd w:id="448"/>
    </w:p>
    <w:bookmarkEnd w:id="449"/>
    <w:bookmarkEnd w:id="450"/>
    <w:bookmarkEnd w:id="451"/>
    <w:p w14:paraId="1828B0D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12.2.</w:t>
      </w:r>
      <w:r>
        <w:rPr>
          <w:rFonts w:hint="eastAsia" w:ascii="宋体" w:hAnsi="宋体" w:cs="宋体"/>
          <w:color w:val="000000" w:themeColor="text1"/>
          <w:kern w:val="0"/>
          <w:szCs w:val="21"/>
          <w:highlight w:val="none"/>
          <w14:textFill>
            <w14:solidFill>
              <w14:schemeClr w14:val="tx1"/>
            </w14:solidFill>
          </w14:textFill>
        </w:rPr>
        <w:t>1预付款的支付</w:t>
      </w:r>
    </w:p>
    <w:p w14:paraId="6C152682">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0273337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188A98A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180FF806">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12.2.2 预付款担保</w:t>
      </w:r>
    </w:p>
    <w:p w14:paraId="37AABA2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2BB31D1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116FCF6E">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52" w:name="_Toc351203583"/>
      <w:bookmarkStart w:id="453" w:name="_Toc337558802"/>
      <w:r>
        <w:rPr>
          <w:rFonts w:hint="eastAsia" w:ascii="宋体" w:hAnsi="宋体" w:cs="宋体"/>
          <w:bCs/>
          <w:color w:val="000000" w:themeColor="text1"/>
          <w:kern w:val="0"/>
          <w:szCs w:val="21"/>
          <w:highlight w:val="none"/>
          <w14:textFill>
            <w14:solidFill>
              <w14:schemeClr w14:val="tx1"/>
            </w14:solidFill>
          </w14:textFill>
        </w:rPr>
        <w:t>12.3计量</w:t>
      </w:r>
      <w:bookmarkEnd w:id="452"/>
    </w:p>
    <w:bookmarkEnd w:id="453"/>
    <w:p w14:paraId="09755AC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12.3.1 计量原则</w:t>
      </w:r>
    </w:p>
    <w:p w14:paraId="7629018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1E2D55F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12.3.2 计量周期</w:t>
      </w:r>
    </w:p>
    <w:p w14:paraId="4C47B32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除专用合同条款另有约定外，工程量的计量按月进行。</w:t>
      </w:r>
    </w:p>
    <w:p w14:paraId="75B1CC5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12.3.3 单价合同的计量</w:t>
      </w:r>
    </w:p>
    <w:p w14:paraId="40FA182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除专用合同条款另有约定外，单价合同的计量按照本项约定执行：</w:t>
      </w:r>
    </w:p>
    <w:p w14:paraId="557C65B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2056A1A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36854A4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327F7D3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12.3.4 总价合同的计量</w:t>
      </w:r>
    </w:p>
    <w:p w14:paraId="5FF4087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除专用合同条款另有约定外，按月计量支付的总价合同，按照本项约定执行：</w:t>
      </w:r>
    </w:p>
    <w:p w14:paraId="2FF49FE2">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56A669D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4937DEB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7F67B20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48257C1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12.3.6 其他价格形式合同的计量</w:t>
      </w:r>
    </w:p>
    <w:p w14:paraId="6115D452">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合同当事人可在专用合同条款中约定其他价格形式合同的计量方式和程序。</w:t>
      </w:r>
    </w:p>
    <w:p w14:paraId="1D7F2B74">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54" w:name="_Toc296346602"/>
      <w:bookmarkStart w:id="455" w:name="_Toc296503101"/>
      <w:bookmarkStart w:id="456" w:name="_Toc351203584"/>
      <w:bookmarkStart w:id="457" w:name="_Toc337558803"/>
      <w:r>
        <w:rPr>
          <w:rFonts w:hint="eastAsia" w:ascii="宋体" w:hAnsi="宋体" w:cs="宋体"/>
          <w:bCs/>
          <w:color w:val="000000" w:themeColor="text1"/>
          <w:kern w:val="0"/>
          <w:szCs w:val="21"/>
          <w:highlight w:val="none"/>
          <w14:textFill>
            <w14:solidFill>
              <w14:schemeClr w14:val="tx1"/>
            </w14:solidFill>
          </w14:textFill>
        </w:rPr>
        <w:t>12.4工程进度款支</w:t>
      </w:r>
      <w:bookmarkEnd w:id="454"/>
      <w:bookmarkEnd w:id="455"/>
      <w:r>
        <w:rPr>
          <w:rFonts w:hint="eastAsia" w:ascii="宋体" w:hAnsi="宋体" w:cs="宋体"/>
          <w:bCs/>
          <w:color w:val="000000" w:themeColor="text1"/>
          <w:kern w:val="0"/>
          <w:szCs w:val="21"/>
          <w:highlight w:val="none"/>
          <w14:textFill>
            <w14:solidFill>
              <w14:schemeClr w14:val="tx1"/>
            </w14:solidFill>
          </w14:textFill>
        </w:rPr>
        <w:t>付</w:t>
      </w:r>
      <w:bookmarkEnd w:id="456"/>
    </w:p>
    <w:bookmarkEnd w:id="457"/>
    <w:p w14:paraId="32B2B69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12.4</w:t>
      </w:r>
      <w:r>
        <w:rPr>
          <w:rFonts w:hint="eastAsia" w:ascii="宋体" w:hAnsi="宋体" w:cs="宋体"/>
          <w:color w:val="000000" w:themeColor="text1"/>
          <w:kern w:val="0"/>
          <w:szCs w:val="21"/>
          <w:highlight w:val="none"/>
          <w14:textFill>
            <w14:solidFill>
              <w14:schemeClr w14:val="tx1"/>
            </w14:solidFill>
          </w14:textFill>
        </w:rPr>
        <w:t>.1 付款周期</w:t>
      </w:r>
    </w:p>
    <w:p w14:paraId="0D129FB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除专用合同条款另有约定外，付款周期应按照第12.3.2项〔计量周期〕的约定与计量周期保持一致。</w:t>
      </w:r>
    </w:p>
    <w:p w14:paraId="1E85C41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12.4</w:t>
      </w:r>
      <w:r>
        <w:rPr>
          <w:rFonts w:hint="eastAsia" w:ascii="宋体" w:hAnsi="宋体" w:cs="宋体"/>
          <w:color w:val="000000" w:themeColor="text1"/>
          <w:kern w:val="0"/>
          <w:szCs w:val="21"/>
          <w:highlight w:val="none"/>
          <w14:textFill>
            <w14:solidFill>
              <w14:schemeClr w14:val="tx1"/>
            </w14:solidFill>
          </w14:textFill>
        </w:rPr>
        <w:t>.2 进度付款申请单的编制</w:t>
      </w:r>
    </w:p>
    <w:p w14:paraId="0CC057F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除专用合同条款另有约定外，进度付款申请单应包括下列内容：</w:t>
      </w:r>
    </w:p>
    <w:p w14:paraId="49FB354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（1）截至本次付款周期已完成工作对应的金额；</w:t>
      </w:r>
    </w:p>
    <w:p w14:paraId="4537FED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（2）根据第10条〔变更〕应增加和扣减的变更金额；</w:t>
      </w:r>
    </w:p>
    <w:p w14:paraId="10388FB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（3）根据第12.2款〔预付款〕约定应支付的预付款和扣减的返还预付款；</w:t>
      </w:r>
    </w:p>
    <w:p w14:paraId="64ED505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（4）根据第15.3款〔质量保证金〕约定应扣减的质量保证金；</w:t>
      </w:r>
    </w:p>
    <w:p w14:paraId="7F31028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（5）根据第19条〔索赔〕应增加和扣减的索赔金额；</w:t>
      </w:r>
    </w:p>
    <w:p w14:paraId="163B1A3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（6）对已签发的进度款支付证书中出现错误的修正，应在本次进度付款中支付或扣除的金额；</w:t>
      </w:r>
    </w:p>
    <w:p w14:paraId="746863C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（7）根据合同约定应增加和扣减的其他金额。</w:t>
      </w:r>
    </w:p>
    <w:p w14:paraId="63C98A6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12.4.3 进度付款申请单的提交</w:t>
      </w:r>
    </w:p>
    <w:p w14:paraId="45D0B1F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（1）单价合同进度付款申请单的提交</w:t>
      </w:r>
    </w:p>
    <w:p w14:paraId="724760C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3758F0F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（2）总价合同进度付款申请单的提交</w:t>
      </w:r>
    </w:p>
    <w:p w14:paraId="6A21D80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2F694E4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75ECA31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（3）其他价格形式合同的进度付款申请单的提交</w:t>
      </w:r>
    </w:p>
    <w:p w14:paraId="1239135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合同当事人可在专用合同条款中约定其他价格形式合同的进度付款申请单的编制和提交程序。</w:t>
      </w:r>
    </w:p>
    <w:p w14:paraId="32A7481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12.4</w:t>
      </w:r>
      <w:r>
        <w:rPr>
          <w:rFonts w:hint="eastAsia" w:ascii="宋体" w:hAnsi="宋体" w:cs="宋体"/>
          <w:color w:val="000000" w:themeColor="text1"/>
          <w:kern w:val="0"/>
          <w:szCs w:val="21"/>
          <w:highlight w:val="none"/>
          <w14:textFill>
            <w14:solidFill>
              <w14:schemeClr w14:val="tx1"/>
            </w14:solidFill>
          </w14:textFill>
        </w:rPr>
        <w:t>.4 进度款审核和支付</w:t>
      </w:r>
    </w:p>
    <w:p w14:paraId="5684AA1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3A7EF0A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32E21F0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27CC9DB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（3）发包人签发进度款支付证书或临时进度款支付证书，不表明发包人已同意、批准或接受了承包人完成的相应部分的工作。</w:t>
      </w:r>
    </w:p>
    <w:p w14:paraId="6FCB575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12.4.5 进度付款的修正</w:t>
      </w:r>
    </w:p>
    <w:p w14:paraId="66E2609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15A1A0A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12.4.6 支付分解表</w:t>
      </w:r>
    </w:p>
    <w:p w14:paraId="749C3DC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1、支付分解表的编制要求</w:t>
      </w:r>
    </w:p>
    <w:p w14:paraId="28FA7D0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（1）支付分解表中所列的每期付款金额，应为第12.4.2项〔进度付款申请单的编制〕第（1）项目的估算金额；</w:t>
      </w:r>
    </w:p>
    <w:p w14:paraId="2C9AE33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（2）实际进度与施工进度计划不一致的，合同当事人可按照第4.4款〔商定或确定〕修改支付分解表；</w:t>
      </w:r>
    </w:p>
    <w:p w14:paraId="4D0A6F0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（3）不采用支付分解表的，承包人应向发包人和监理人提交按月度编制的支付估算分解表，用于支付参考。</w:t>
      </w:r>
    </w:p>
    <w:p w14:paraId="2451F0B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2、总价合同支付分解表的编制与审批</w:t>
      </w:r>
    </w:p>
    <w:p w14:paraId="768BF3B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7211BAE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2D3B05E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（3）发包人逾期未完成支付分解表审批的，也未及时要求承包人进行修正和提供补充资料的，则承包人提交的支付分解表视为已经获得发包人批准。</w:t>
      </w:r>
    </w:p>
    <w:p w14:paraId="4C5E69B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3、单价合同的总价项目支付分解表的编制与审批</w:t>
      </w:r>
    </w:p>
    <w:p w14:paraId="5D0AD33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0356E717">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58" w:name="_Toc351203585"/>
      <w:r>
        <w:rPr>
          <w:rFonts w:hint="eastAsia" w:ascii="宋体" w:hAnsi="宋体" w:cs="宋体"/>
          <w:bCs/>
          <w:color w:val="000000" w:themeColor="text1"/>
          <w:kern w:val="0"/>
          <w:szCs w:val="21"/>
          <w:highlight w:val="none"/>
          <w14:textFill>
            <w14:solidFill>
              <w14:schemeClr w14:val="tx1"/>
            </w14:solidFill>
          </w14:textFill>
        </w:rPr>
        <w:t>12.5支付账户</w:t>
      </w:r>
      <w:bookmarkEnd w:id="458"/>
    </w:p>
    <w:p w14:paraId="37EC109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发包人应将合同价款支付至合同协议书中约定的承包人账户。</w:t>
      </w:r>
    </w:p>
    <w:p w14:paraId="7645ED70">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59" w:name="_Toc351203586"/>
      <w:bookmarkStart w:id="460" w:name="_Toc337558804"/>
      <w:bookmarkStart w:id="461" w:name="_Toc322522574"/>
      <w:bookmarkStart w:id="462" w:name="_Toc296503106"/>
      <w:bookmarkStart w:id="463" w:name="_Toc296346607"/>
      <w:r>
        <w:rPr>
          <w:rFonts w:hint="eastAsia" w:ascii="宋体" w:hAnsi="宋体" w:cs="宋体"/>
          <w:bCs/>
          <w:color w:val="000000" w:themeColor="text1"/>
          <w:kern w:val="0"/>
          <w:szCs w:val="21"/>
          <w:highlight w:val="none"/>
          <w14:textFill>
            <w14:solidFill>
              <w14:schemeClr w14:val="tx1"/>
            </w14:solidFill>
          </w14:textFill>
        </w:rPr>
        <w:t>13. 验收和工程试车</w:t>
      </w:r>
      <w:bookmarkEnd w:id="459"/>
    </w:p>
    <w:bookmarkEnd w:id="460"/>
    <w:bookmarkEnd w:id="461"/>
    <w:bookmarkEnd w:id="462"/>
    <w:bookmarkEnd w:id="463"/>
    <w:p w14:paraId="73B2C770">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64" w:name="_Toc351203587"/>
      <w:bookmarkStart w:id="465" w:name="_Toc337558805"/>
      <w:bookmarkStart w:id="466" w:name="_Toc296346611"/>
      <w:bookmarkStart w:id="467" w:name="_Toc296503110"/>
      <w:r>
        <w:rPr>
          <w:rFonts w:hint="eastAsia" w:ascii="宋体" w:hAnsi="宋体" w:cs="宋体"/>
          <w:bCs/>
          <w:color w:val="000000" w:themeColor="text1"/>
          <w:kern w:val="0"/>
          <w:szCs w:val="21"/>
          <w:highlight w:val="none"/>
          <w14:textFill>
            <w14:solidFill>
              <w14:schemeClr w14:val="tx1"/>
            </w14:solidFill>
          </w14:textFill>
        </w:rPr>
        <w:t>13.1分部分项工程验收</w:t>
      </w:r>
      <w:bookmarkEnd w:id="464"/>
    </w:p>
    <w:bookmarkEnd w:id="465"/>
    <w:p w14:paraId="2C9A074E">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13.1.1 分部分项工程质量应符合国家有关工程施工验收规范、标准及合同约定，承包人应按照施工组织设计的要求完成分部分项工程施工。</w:t>
      </w:r>
    </w:p>
    <w:p w14:paraId="2C16F94E">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13.1.2 除专用合同条款另有约定外，分部分项工程经承包人自检合格并具备验收条件的，承包人应提前48小时通知监理人进行验收。</w:t>
      </w:r>
      <w:r>
        <w:rPr>
          <w:rFonts w:hint="eastAsia" w:ascii="宋体" w:hAnsi="宋体" w:cs="宋体"/>
          <w:color w:val="000000" w:themeColor="text1"/>
          <w:kern w:val="0"/>
          <w:szCs w:val="21"/>
          <w:highlight w:val="none"/>
          <w14:textFill>
            <w14:solidFill>
              <w14:schemeClr w14:val="tx1"/>
            </w14:solidFill>
          </w14:textFill>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cs="宋体"/>
          <w:color w:val="000000" w:themeColor="text1"/>
          <w:szCs w:val="21"/>
          <w:highlight w:val="none"/>
          <w14:textFill>
            <w14:solidFill>
              <w14:schemeClr w14:val="tx1"/>
            </w14:solidFill>
          </w14:textFill>
        </w:rPr>
        <w:t>分部分项工程未经验收的，不得进入下一道工序施工。</w:t>
      </w:r>
    </w:p>
    <w:p w14:paraId="0866E122">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分部分项工程的验收资料应当作为竣工资料的组成部分。</w:t>
      </w:r>
    </w:p>
    <w:p w14:paraId="6DD786E0">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68" w:name="_Toc351203588"/>
      <w:bookmarkStart w:id="469" w:name="_Toc337558806"/>
      <w:r>
        <w:rPr>
          <w:rFonts w:hint="eastAsia" w:ascii="宋体" w:hAnsi="宋体" w:cs="宋体"/>
          <w:bCs/>
          <w:color w:val="000000" w:themeColor="text1"/>
          <w:kern w:val="0"/>
          <w:szCs w:val="21"/>
          <w:highlight w:val="none"/>
          <w14:textFill>
            <w14:solidFill>
              <w14:schemeClr w14:val="tx1"/>
            </w14:solidFill>
          </w14:textFill>
        </w:rPr>
        <w:t>13.2竣工验收</w:t>
      </w:r>
      <w:bookmarkEnd w:id="468"/>
    </w:p>
    <w:bookmarkEnd w:id="466"/>
    <w:bookmarkEnd w:id="467"/>
    <w:bookmarkEnd w:id="469"/>
    <w:p w14:paraId="005E420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13.2.1竣工验收条件</w:t>
      </w:r>
    </w:p>
    <w:p w14:paraId="3B18BE2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工程具备以下条件的，承包人可以申请竣工验收：</w:t>
      </w:r>
    </w:p>
    <w:p w14:paraId="3F44627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 除发包人同意的甩项工作和缺陷修补工作外，合同范围内的全部工程以及有关工作，包括合同要求的试验、试运行以及检验均已完成，并符合合同要求；</w:t>
      </w:r>
    </w:p>
    <w:p w14:paraId="3D827E92">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（2）已按合同约定编制了甩项工作和缺陷修补工作清单以及相应的施工计划；</w:t>
      </w:r>
    </w:p>
    <w:p w14:paraId="523E6CD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（3）已按合同约定的内容和份数备齐竣工资料。</w:t>
      </w:r>
    </w:p>
    <w:p w14:paraId="3FE38BF1">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13.2.2竣工验收程序</w:t>
      </w:r>
    </w:p>
    <w:p w14:paraId="177C69B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除专用合同条款另有约定外，承包人申请竣工验收的，应当按照以下程序进行：</w:t>
      </w:r>
    </w:p>
    <w:p w14:paraId="1AF0E1D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26156DD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1F24B94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5EE504F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2FCD46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086CFDE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5855979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13.2.3竣工日期</w:t>
      </w:r>
    </w:p>
    <w:p w14:paraId="66A5E57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70" w:name="#go14"/>
      <w:bookmarkEnd w:id="470"/>
      <w:r>
        <w:rPr>
          <w:rFonts w:hint="eastAsia" w:ascii="宋体" w:hAnsi="宋体" w:cs="宋体"/>
          <w:color w:val="000000" w:themeColor="text1"/>
          <w:kern w:val="0"/>
          <w:szCs w:val="21"/>
          <w:highlight w:val="none"/>
          <w14:textFill>
            <w14:solidFill>
              <w14:schemeClr w14:val="tx1"/>
            </w14:solidFill>
          </w14:textFill>
        </w:rPr>
        <w:t>收申请报告的日期为实际竣工日期；工程未经竣工验收，发包人擅自使用的，以转移占有工程之日为实际竣工日期。</w:t>
      </w:r>
    </w:p>
    <w:p w14:paraId="0561872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13.2.4 拒绝接收全部或部分工程</w:t>
      </w:r>
    </w:p>
    <w:p w14:paraId="098B03D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351E2D3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13.2.5 移交、接收全部与部分工程</w:t>
      </w:r>
    </w:p>
    <w:p w14:paraId="61B8501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除专用合同条款另有约定外，合同当事人应当在颁发工程接收证书后7天内完成工程的移交。</w:t>
      </w:r>
    </w:p>
    <w:p w14:paraId="76E68C4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059F6F0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50736271">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71" w:name="_Toc351203589"/>
      <w:bookmarkStart w:id="472" w:name="_Toc296346612"/>
      <w:bookmarkStart w:id="473" w:name="_Toc337558807"/>
      <w:bookmarkStart w:id="474" w:name="_Toc296503111"/>
      <w:r>
        <w:rPr>
          <w:rFonts w:hint="eastAsia" w:ascii="宋体" w:hAnsi="宋体" w:cs="宋体"/>
          <w:bCs/>
          <w:color w:val="000000" w:themeColor="text1"/>
          <w:kern w:val="0"/>
          <w:szCs w:val="21"/>
          <w:highlight w:val="none"/>
          <w14:textFill>
            <w14:solidFill>
              <w14:schemeClr w14:val="tx1"/>
            </w14:solidFill>
          </w14:textFill>
        </w:rPr>
        <w:t>13.3工程试车</w:t>
      </w:r>
      <w:bookmarkEnd w:id="471"/>
    </w:p>
    <w:bookmarkEnd w:id="472"/>
    <w:bookmarkEnd w:id="473"/>
    <w:bookmarkEnd w:id="474"/>
    <w:p w14:paraId="75946F6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13.3.1试车程序</w:t>
      </w:r>
    </w:p>
    <w:p w14:paraId="5A82A0E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606399B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680C7BC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41F5AF5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0954E7A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13.3.2 试车中的责任</w:t>
      </w:r>
    </w:p>
    <w:p w14:paraId="194821A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7F40B72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70BFFE3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13.3.3 投料试车</w:t>
      </w:r>
    </w:p>
    <w:p w14:paraId="10880E6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4E9D1C1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7C4CAC85">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75" w:name="_Toc351203590"/>
      <w:bookmarkStart w:id="476" w:name="_Toc337558808"/>
      <w:r>
        <w:rPr>
          <w:rFonts w:hint="eastAsia" w:ascii="宋体" w:hAnsi="宋体" w:cs="宋体"/>
          <w:bCs/>
          <w:color w:val="000000" w:themeColor="text1"/>
          <w:kern w:val="0"/>
          <w:szCs w:val="21"/>
          <w:highlight w:val="none"/>
          <w14:textFill>
            <w14:solidFill>
              <w14:schemeClr w14:val="tx1"/>
            </w14:solidFill>
          </w14:textFill>
        </w:rPr>
        <w:t>13.4提前交付单位工程的验收</w:t>
      </w:r>
      <w:bookmarkEnd w:id="475"/>
    </w:p>
    <w:bookmarkEnd w:id="476"/>
    <w:p w14:paraId="248373A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13.4.1 发包人需要在工程竣工前使用单位工程的，或承包人提出提前交付已经竣工的单位工程且经发包人同意的，可进行单位工程验收，验收的程序按照第13.2款〔竣工验收〕的约定进行。</w:t>
      </w:r>
    </w:p>
    <w:p w14:paraId="61F8F24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2673B6D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13.4.2 发包人要求在工程竣工前交付单位工程，由此导致承包人费用增加和（或）工期延误的，由发包人承担由此增加的费用和（或）延误的工期。</w:t>
      </w:r>
    </w:p>
    <w:p w14:paraId="4039DAD4">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77" w:name="_Toc351203591"/>
      <w:r>
        <w:rPr>
          <w:rFonts w:hint="eastAsia" w:ascii="宋体" w:hAnsi="宋体" w:cs="宋体"/>
          <w:bCs/>
          <w:color w:val="000000" w:themeColor="text1"/>
          <w:kern w:val="0"/>
          <w:szCs w:val="21"/>
          <w:highlight w:val="none"/>
          <w14:textFill>
            <w14:solidFill>
              <w14:schemeClr w14:val="tx1"/>
            </w14:solidFill>
          </w14:textFill>
        </w:rPr>
        <w:t>13.5 施工期运行</w:t>
      </w:r>
      <w:bookmarkEnd w:id="477"/>
    </w:p>
    <w:p w14:paraId="068CBB81">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6001F81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13.5.2 在施工期运行中发现工程或工程设备损坏或存在缺陷的，由承包人按第15.2款〔缺陷责任期〕约定进行修复。</w:t>
      </w:r>
    </w:p>
    <w:p w14:paraId="469754FC">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78" w:name="_Toc296346613"/>
      <w:bookmarkStart w:id="479" w:name="_Toc296503112"/>
      <w:bookmarkStart w:id="480" w:name="_Toc351203592"/>
      <w:bookmarkStart w:id="481" w:name="_Toc337558809"/>
      <w:r>
        <w:rPr>
          <w:rFonts w:hint="eastAsia" w:ascii="宋体" w:hAnsi="宋体" w:cs="宋体"/>
          <w:bCs/>
          <w:color w:val="000000" w:themeColor="text1"/>
          <w:kern w:val="0"/>
          <w:szCs w:val="21"/>
          <w:highlight w:val="none"/>
          <w14:textFill>
            <w14:solidFill>
              <w14:schemeClr w14:val="tx1"/>
            </w14:solidFill>
          </w14:textFill>
        </w:rPr>
        <w:t>13.6 竣工退</w:t>
      </w:r>
      <w:bookmarkEnd w:id="478"/>
      <w:bookmarkEnd w:id="479"/>
      <w:r>
        <w:rPr>
          <w:rFonts w:hint="eastAsia" w:ascii="宋体" w:hAnsi="宋体" w:cs="宋体"/>
          <w:bCs/>
          <w:color w:val="000000" w:themeColor="text1"/>
          <w:kern w:val="0"/>
          <w:szCs w:val="21"/>
          <w:highlight w:val="none"/>
          <w14:textFill>
            <w14:solidFill>
              <w14:schemeClr w14:val="tx1"/>
            </w14:solidFill>
          </w14:textFill>
        </w:rPr>
        <w:t>场</w:t>
      </w:r>
      <w:bookmarkEnd w:id="480"/>
    </w:p>
    <w:bookmarkEnd w:id="481"/>
    <w:p w14:paraId="36A41E1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13.6.1 竣工退场</w:t>
      </w:r>
    </w:p>
    <w:p w14:paraId="51232A54">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颁发工程接收证书后，承包人应按以下要求对施工现场进行清理：</w:t>
      </w:r>
    </w:p>
    <w:p w14:paraId="4D1BA76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（1）施工现场残留的垃圾已全部清除出场；</w:t>
      </w:r>
    </w:p>
    <w:p w14:paraId="38F2719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（2）临时工程已拆除，场地已进行清理、平整或复原；</w:t>
      </w:r>
    </w:p>
    <w:p w14:paraId="47FD614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（3）按合同约定应撤离的人员、承包人施工设备和剩余的材料，包括废弃的施工设备和材料，已按计划撤离施工现场；</w:t>
      </w:r>
    </w:p>
    <w:p w14:paraId="5E8A11C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（4）施工现场周边及其附近道路、河道的施工堆积物，已全部清理；</w:t>
      </w:r>
    </w:p>
    <w:p w14:paraId="71D8B41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（5）施工现场其他场地清理工作已全部完成。</w:t>
      </w:r>
    </w:p>
    <w:p w14:paraId="2182BEE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FE2CC9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13.6.2 地表还原</w:t>
      </w:r>
    </w:p>
    <w:p w14:paraId="2ACF451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6C9AA92B">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82" w:name="_Toc351203593"/>
      <w:bookmarkStart w:id="483" w:name="_Toc337558810"/>
      <w:bookmarkStart w:id="484" w:name="_Toc296346614"/>
      <w:bookmarkStart w:id="485" w:name="_Toc296503113"/>
      <w:r>
        <w:rPr>
          <w:rFonts w:hint="eastAsia" w:ascii="宋体" w:hAnsi="宋体" w:cs="宋体"/>
          <w:bCs/>
          <w:color w:val="000000" w:themeColor="text1"/>
          <w:kern w:val="0"/>
          <w:szCs w:val="21"/>
          <w:highlight w:val="none"/>
          <w14:textFill>
            <w14:solidFill>
              <w14:schemeClr w14:val="tx1"/>
            </w14:solidFill>
          </w14:textFill>
        </w:rPr>
        <w:t>14. 竣工结算</w:t>
      </w:r>
      <w:bookmarkEnd w:id="482"/>
    </w:p>
    <w:bookmarkEnd w:id="483"/>
    <w:p w14:paraId="0458D5B4">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86" w:name="_Toc351203594"/>
      <w:bookmarkStart w:id="487" w:name="_Toc337558811"/>
      <w:r>
        <w:rPr>
          <w:rFonts w:hint="eastAsia" w:ascii="宋体" w:hAnsi="宋体" w:cs="宋体"/>
          <w:bCs/>
          <w:color w:val="000000" w:themeColor="text1"/>
          <w:kern w:val="0"/>
          <w:szCs w:val="21"/>
          <w:highlight w:val="none"/>
          <w14:textFill>
            <w14:solidFill>
              <w14:schemeClr w14:val="tx1"/>
            </w14:solidFill>
          </w14:textFill>
        </w:rPr>
        <w:t>14.1 竣工结算申请</w:t>
      </w:r>
      <w:bookmarkEnd w:id="486"/>
    </w:p>
    <w:bookmarkEnd w:id="487"/>
    <w:p w14:paraId="5F0B1043">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w:t>
      </w:r>
      <w:r>
        <w:rPr>
          <w:rFonts w:hint="eastAsia" w:ascii="宋体" w:hAnsi="宋体" w:cs="宋体"/>
          <w:color w:val="000000" w:themeColor="text1"/>
          <w:szCs w:val="21"/>
          <w:highlight w:val="none"/>
          <w14:textFill>
            <w14:solidFill>
              <w14:schemeClr w14:val="tx1"/>
            </w14:solidFill>
          </w14:textFill>
        </w:rPr>
        <w:t>承包人应在工程竣工验收合格后28天内向发包人和监理人提交竣工结算申请单，并提交完整的结算资料，有关竣工结算申请单的资料清单和份数等要求由合同当事人在专用合同条款中约定。</w:t>
      </w:r>
    </w:p>
    <w:p w14:paraId="467BCB2F">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除专用合同条款另有约定外，竣工结算申请单应包括以下内容：</w:t>
      </w:r>
    </w:p>
    <w:p w14:paraId="162E92AF">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（1）竣工结算合同价格；</w:t>
      </w:r>
    </w:p>
    <w:p w14:paraId="13BDF76D">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（2）发包人已支付承包人的款项；</w:t>
      </w:r>
    </w:p>
    <w:p w14:paraId="79C9DEBF">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（3）应扣留的质量保证金； </w:t>
      </w:r>
    </w:p>
    <w:p w14:paraId="50733089">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（4）发包人应支付承包人的合同价款。</w:t>
      </w:r>
    </w:p>
    <w:p w14:paraId="6E19C804">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88" w:name="_Toc351203595"/>
      <w:bookmarkStart w:id="489" w:name="_Toc337558812"/>
      <w:r>
        <w:rPr>
          <w:rFonts w:hint="eastAsia" w:ascii="宋体" w:hAnsi="宋体" w:cs="宋体"/>
          <w:bCs/>
          <w:color w:val="000000" w:themeColor="text1"/>
          <w:kern w:val="0"/>
          <w:szCs w:val="21"/>
          <w:highlight w:val="none"/>
          <w14:textFill>
            <w14:solidFill>
              <w14:schemeClr w14:val="tx1"/>
            </w14:solidFill>
          </w14:textFill>
        </w:rPr>
        <w:t>14.2 竣工结算审核</w:t>
      </w:r>
      <w:bookmarkEnd w:id="488"/>
    </w:p>
    <w:bookmarkEnd w:id="489"/>
    <w:p w14:paraId="6E1B2FE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cs="宋体"/>
          <w:color w:val="000000" w:themeColor="text1"/>
          <w:szCs w:val="21"/>
          <w:highlight w:val="none"/>
          <w14:textFill>
            <w14:solidFill>
              <w14:schemeClr w14:val="tx1"/>
            </w14:solidFill>
          </w14:textFill>
        </w:rPr>
        <w:t>发包人对竣工</w:t>
      </w:r>
      <w:r>
        <w:rPr>
          <w:rFonts w:hint="eastAsia" w:ascii="宋体" w:hAnsi="宋体" w:cs="宋体"/>
          <w:color w:val="000000" w:themeColor="text1"/>
          <w:kern w:val="0"/>
          <w:szCs w:val="21"/>
          <w:highlight w:val="none"/>
          <w14:textFill>
            <w14:solidFill>
              <w14:schemeClr w14:val="tx1"/>
            </w14:solidFill>
          </w14:textFill>
        </w:rPr>
        <w:t>结算</w:t>
      </w:r>
      <w:r>
        <w:rPr>
          <w:rFonts w:hint="eastAsia" w:ascii="宋体" w:hAnsi="宋体" w:cs="宋体"/>
          <w:color w:val="000000" w:themeColor="text1"/>
          <w:szCs w:val="21"/>
          <w:highlight w:val="none"/>
          <w14:textFill>
            <w14:solidFill>
              <w14:schemeClr w14:val="tx1"/>
            </w14:solidFill>
          </w14:textFill>
        </w:rPr>
        <w:t>申请单有异议的，有权要求承包人进行修正和提供补充资料，承包人应提交修正后的竣工</w:t>
      </w:r>
      <w:r>
        <w:rPr>
          <w:rFonts w:hint="eastAsia" w:ascii="宋体" w:hAnsi="宋体" w:cs="宋体"/>
          <w:color w:val="000000" w:themeColor="text1"/>
          <w:kern w:val="0"/>
          <w:szCs w:val="21"/>
          <w:highlight w:val="none"/>
          <w14:textFill>
            <w14:solidFill>
              <w14:schemeClr w14:val="tx1"/>
            </w14:solidFill>
          </w14:textFill>
        </w:rPr>
        <w:t>结算</w:t>
      </w:r>
      <w:r>
        <w:rPr>
          <w:rFonts w:hint="eastAsia" w:ascii="宋体" w:hAnsi="宋体" w:cs="宋体"/>
          <w:color w:val="000000" w:themeColor="text1"/>
          <w:szCs w:val="21"/>
          <w:highlight w:val="none"/>
          <w14:textFill>
            <w14:solidFill>
              <w14:schemeClr w14:val="tx1"/>
            </w14:solidFill>
          </w14:textFill>
        </w:rPr>
        <w:t>申请单。</w:t>
      </w:r>
    </w:p>
    <w:p w14:paraId="24095A8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15E1D98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1462377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16F728B3">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90" w:name="_Toc351203596"/>
      <w:bookmarkStart w:id="491" w:name="_Toc337558813"/>
      <w:r>
        <w:rPr>
          <w:rFonts w:hint="eastAsia" w:ascii="宋体" w:hAnsi="宋体" w:cs="宋体"/>
          <w:bCs/>
          <w:color w:val="000000" w:themeColor="text1"/>
          <w:kern w:val="0"/>
          <w:szCs w:val="21"/>
          <w:highlight w:val="none"/>
          <w14:textFill>
            <w14:solidFill>
              <w14:schemeClr w14:val="tx1"/>
            </w14:solidFill>
          </w14:textFill>
        </w:rPr>
        <w:t>14.3 甩项竣工协议</w:t>
      </w:r>
      <w:bookmarkEnd w:id="490"/>
    </w:p>
    <w:bookmarkEnd w:id="491"/>
    <w:p w14:paraId="22E12BA7">
      <w:pPr>
        <w:autoSpaceDE w:val="0"/>
        <w:autoSpaceDN w:val="0"/>
        <w:adjustRightInd w:val="0"/>
        <w:spacing w:line="356" w:lineRule="auto"/>
        <w:ind w:firstLine="411" w:firstLineChars="196"/>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要求甩项竣工的，合同当事人应签订甩项竣工协议。在甩项竣工协议中应明确，合同当事人按照第14.1款〔竣工结算申请〕及14.2款〔竣工结算审核〕的约定，对已完合格工程进行结算，并支付相应合同价款。</w:t>
      </w:r>
    </w:p>
    <w:p w14:paraId="33546A3A">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92" w:name="_Toc351203597"/>
      <w:bookmarkStart w:id="493" w:name="_Toc337558814"/>
      <w:r>
        <w:rPr>
          <w:rFonts w:hint="eastAsia" w:ascii="宋体" w:hAnsi="宋体" w:cs="宋体"/>
          <w:bCs/>
          <w:color w:val="000000" w:themeColor="text1"/>
          <w:kern w:val="0"/>
          <w:szCs w:val="21"/>
          <w:highlight w:val="none"/>
          <w14:textFill>
            <w14:solidFill>
              <w14:schemeClr w14:val="tx1"/>
            </w14:solidFill>
          </w14:textFill>
        </w:rPr>
        <w:t>14.4 最终结清</w:t>
      </w:r>
      <w:bookmarkEnd w:id="492"/>
    </w:p>
    <w:bookmarkEnd w:id="493"/>
    <w:p w14:paraId="487C14A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14.4.1 最终结清申请单</w:t>
      </w:r>
    </w:p>
    <w:p w14:paraId="5B302AF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61EE4F8D">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除专用合同条款另有约定外，</w:t>
      </w:r>
      <w:r>
        <w:rPr>
          <w:rFonts w:hint="eastAsia" w:ascii="宋体" w:hAnsi="宋体" w:cs="宋体"/>
          <w:color w:val="000000" w:themeColor="text1"/>
          <w:kern w:val="0"/>
          <w:szCs w:val="21"/>
          <w:highlight w:val="none"/>
          <w14:textFill>
            <w14:solidFill>
              <w14:schemeClr w14:val="tx1"/>
            </w14:solidFill>
          </w14:textFill>
        </w:rPr>
        <w:t>最终结清申请单</w:t>
      </w:r>
      <w:r>
        <w:rPr>
          <w:rFonts w:hint="eastAsia" w:ascii="宋体" w:hAnsi="宋体" w:cs="宋体"/>
          <w:color w:val="000000" w:themeColor="text1"/>
          <w:szCs w:val="21"/>
          <w:highlight w:val="none"/>
          <w14:textFill>
            <w14:solidFill>
              <w14:schemeClr w14:val="tx1"/>
            </w14:solidFill>
          </w14:textFill>
        </w:rPr>
        <w:t>应列明质量保证金、应扣除的质量保证金、缺陷责任期内发生的增减费用。</w:t>
      </w:r>
    </w:p>
    <w:p w14:paraId="0E6EC90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4B233EE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14.4.2 最终结清证书和支付</w:t>
      </w:r>
    </w:p>
    <w:p w14:paraId="2231F01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70D3EAE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CE7B69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（3）承包人对发包人颁发的最终结清证书有异议的，按第20条〔争议解决〕的约定办理。</w:t>
      </w:r>
    </w:p>
    <w:p w14:paraId="3054F036">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94" w:name="_Toc351203598"/>
      <w:bookmarkStart w:id="495" w:name="_Toc337558815"/>
      <w:r>
        <w:rPr>
          <w:rFonts w:hint="eastAsia" w:ascii="宋体" w:hAnsi="宋体" w:cs="宋体"/>
          <w:bCs/>
          <w:color w:val="000000" w:themeColor="text1"/>
          <w:kern w:val="0"/>
          <w:szCs w:val="21"/>
          <w:highlight w:val="none"/>
          <w14:textFill>
            <w14:solidFill>
              <w14:schemeClr w14:val="tx1"/>
            </w14:solidFill>
          </w14:textFill>
        </w:rPr>
        <w:t>15. 缺陷责任与保修</w:t>
      </w:r>
      <w:bookmarkEnd w:id="494"/>
    </w:p>
    <w:bookmarkEnd w:id="484"/>
    <w:bookmarkEnd w:id="485"/>
    <w:bookmarkEnd w:id="495"/>
    <w:p w14:paraId="45901F4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496" w:name="_Toc351203599"/>
      <w:bookmarkStart w:id="497" w:name="_Toc337558816"/>
      <w:bookmarkStart w:id="498" w:name="_Toc296346615"/>
      <w:bookmarkStart w:id="499" w:name="_Toc296503114"/>
      <w:r>
        <w:rPr>
          <w:rFonts w:hint="eastAsia" w:ascii="宋体" w:hAnsi="宋体" w:cs="宋体"/>
          <w:bCs/>
          <w:color w:val="000000" w:themeColor="text1"/>
          <w:kern w:val="0"/>
          <w:szCs w:val="21"/>
          <w:highlight w:val="none"/>
          <w14:textFill>
            <w14:solidFill>
              <w14:schemeClr w14:val="tx1"/>
            </w14:solidFill>
          </w14:textFill>
        </w:rPr>
        <w:t>15.1 工程保修的原则</w:t>
      </w:r>
      <w:bookmarkEnd w:id="496"/>
    </w:p>
    <w:bookmarkEnd w:id="497"/>
    <w:p w14:paraId="450CFAE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bookmarkEnd w:id="498"/>
    <w:bookmarkEnd w:id="499"/>
    <w:p w14:paraId="1E0333E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00" w:name="_Toc351203600"/>
      <w:bookmarkStart w:id="501" w:name="_Toc337558817"/>
      <w:bookmarkStart w:id="502" w:name="_Toc351203602"/>
      <w:bookmarkStart w:id="503" w:name="_Toc296346616"/>
      <w:bookmarkStart w:id="504" w:name="_Toc337558819"/>
      <w:bookmarkStart w:id="505" w:name="_Toc296503115"/>
      <w:r>
        <w:rPr>
          <w:rFonts w:hint="eastAsia" w:ascii="宋体" w:hAnsi="宋体" w:cs="宋体"/>
          <w:bCs/>
          <w:color w:val="000000" w:themeColor="text1"/>
          <w:kern w:val="0"/>
          <w:szCs w:val="21"/>
          <w:highlight w:val="none"/>
          <w14:textFill>
            <w14:solidFill>
              <w14:schemeClr w14:val="tx1"/>
            </w14:solidFill>
          </w14:textFill>
        </w:rPr>
        <w:t>15.2 缺陷责任期</w:t>
      </w:r>
      <w:bookmarkEnd w:id="500"/>
    </w:p>
    <w:bookmarkEnd w:id="501"/>
    <w:p w14:paraId="7BEB350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15.2.1 缺陷责任期自实际竣工日期起计算，合同当事人应在专用合同条款中约定缺陷责任期的具体期限，但该期限最长不超过24个月。</w:t>
      </w:r>
    </w:p>
    <w:p w14:paraId="095D4C8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5B4D462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3E8A57E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15.2.3 任何一项缺陷或损坏修复后，经检查证明其影响了工程或工程设备的使用性能，承包人应重新进行合同约定的试验和试运行，试验和试运行的全部费用应由责任方承担。</w:t>
      </w:r>
    </w:p>
    <w:p w14:paraId="5C5C440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5AAA1F46">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06" w:name="_Toc351203601"/>
      <w:bookmarkStart w:id="507" w:name="_Toc337558818"/>
      <w:r>
        <w:rPr>
          <w:rFonts w:hint="eastAsia" w:ascii="宋体" w:hAnsi="宋体" w:cs="宋体"/>
          <w:bCs/>
          <w:color w:val="000000" w:themeColor="text1"/>
          <w:kern w:val="0"/>
          <w:szCs w:val="21"/>
          <w:highlight w:val="none"/>
          <w14:textFill>
            <w14:solidFill>
              <w14:schemeClr w14:val="tx1"/>
            </w14:solidFill>
          </w14:textFill>
        </w:rPr>
        <w:t>15.3 质量保证金</w:t>
      </w:r>
      <w:bookmarkEnd w:id="506"/>
    </w:p>
    <w:bookmarkEnd w:id="507"/>
    <w:p w14:paraId="4B7EA7C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经合同当事人协商一致扣留质量保证金的，应在专用合同条款中予以明确。</w:t>
      </w:r>
    </w:p>
    <w:p w14:paraId="54F6837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在工程项目竣工前，承包人已经提供履约担保的，发包人不得同时预留工程质量保证金。</w:t>
      </w:r>
    </w:p>
    <w:p w14:paraId="101E125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15.3.1 承包人提供质量保证金的方式</w:t>
      </w:r>
    </w:p>
    <w:p w14:paraId="6CB38B7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承包人提供质量保证金有以下三种方式：</w:t>
      </w:r>
    </w:p>
    <w:p w14:paraId="3EF9727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（1）质量保证金保函； </w:t>
      </w:r>
    </w:p>
    <w:p w14:paraId="02A87E1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（2）相应比例的工程款；</w:t>
      </w:r>
    </w:p>
    <w:p w14:paraId="14FB24A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（3）双方约定的其他方式。</w:t>
      </w:r>
    </w:p>
    <w:p w14:paraId="01BA201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除专用合同条款另有约定外，质量保证金原则上采用上述第（1）种方式。</w:t>
      </w:r>
    </w:p>
    <w:p w14:paraId="5C6EFCA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15.3.2 质量保证金的扣留</w:t>
      </w:r>
    </w:p>
    <w:p w14:paraId="28DEB59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质量保证金的扣留有以下三种方式：</w:t>
      </w:r>
    </w:p>
    <w:p w14:paraId="02E9FB9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（1）在支付工程进度款时逐次扣留，在此情形下，质量保证金的计算基数不包括预付款的支付、扣回以及价格调整的金额；</w:t>
      </w:r>
    </w:p>
    <w:p w14:paraId="6565822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（2）工</w:t>
      </w:r>
      <w:bookmarkStart w:id="508" w:name="#go6"/>
      <w:bookmarkEnd w:id="508"/>
      <w:r>
        <w:rPr>
          <w:rFonts w:hint="eastAsia" w:ascii="宋体" w:hAnsi="宋体" w:cs="宋体"/>
          <w:color w:val="000000" w:themeColor="text1"/>
          <w:kern w:val="0"/>
          <w:szCs w:val="21"/>
          <w:highlight w:val="none"/>
          <w14:textFill>
            <w14:solidFill>
              <w14:schemeClr w14:val="tx1"/>
            </w14:solidFill>
          </w14:textFill>
        </w:rPr>
        <w:t>程竣工结算时一次性扣留质量保证金；</w:t>
      </w:r>
    </w:p>
    <w:p w14:paraId="023E27A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（3）双方约定的其他扣留方式。</w:t>
      </w:r>
    </w:p>
    <w:p w14:paraId="2582E45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297FA95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发包人在退还质量保证金的同时按照中国人民银行发布的同期同类贷款基准利率支付利息。</w:t>
      </w:r>
    </w:p>
    <w:p w14:paraId="218F57A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15.3.3 </w:t>
      </w:r>
      <w:r>
        <w:rPr>
          <w:rFonts w:hint="eastAsia" w:ascii="宋体" w:hAnsi="宋体" w:cs="宋体"/>
          <w:color w:val="000000" w:themeColor="text1"/>
          <w:szCs w:val="21"/>
          <w:highlight w:val="none"/>
          <w14:textFill>
            <w14:solidFill>
              <w14:schemeClr w14:val="tx1"/>
            </w14:solidFill>
          </w14:textFill>
        </w:rPr>
        <w:t>质量保证金</w:t>
      </w:r>
      <w:r>
        <w:rPr>
          <w:rFonts w:hint="eastAsia" w:ascii="宋体" w:hAnsi="宋体" w:cs="宋体"/>
          <w:color w:val="000000" w:themeColor="text1"/>
          <w:kern w:val="0"/>
          <w:szCs w:val="21"/>
          <w:highlight w:val="none"/>
          <w14:textFill>
            <w14:solidFill>
              <w14:schemeClr w14:val="tx1"/>
            </w14:solidFill>
          </w14:textFill>
        </w:rPr>
        <w:t>的退还</w:t>
      </w:r>
    </w:p>
    <w:p w14:paraId="13216EB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缺陷责任期内，承包人认真履行合同约定的责任，到期后，承包人可向发包人申请返还保证金。</w:t>
      </w:r>
    </w:p>
    <w:p w14:paraId="04A22BC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5C76CA22">
      <w:pPr>
        <w:keepNext/>
        <w:keepLines/>
        <w:widowControl/>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发包人和承包人对保证金预留、返还以及工程维修质量、费用有争议的，按本合同第20条约定的争议和纠纷解决程序处理。</w:t>
      </w:r>
    </w:p>
    <w:p w14:paraId="54356DD1">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15.4 保修</w:t>
      </w:r>
      <w:bookmarkEnd w:id="502"/>
    </w:p>
    <w:bookmarkEnd w:id="503"/>
    <w:bookmarkEnd w:id="504"/>
    <w:bookmarkEnd w:id="505"/>
    <w:p w14:paraId="20C2C13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15.4.1保修责任</w:t>
      </w:r>
    </w:p>
    <w:p w14:paraId="6A7C4AF3">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3D544DE7">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发包人未经竣工验收擅自使用工程的，保修期自</w:t>
      </w:r>
      <w:r>
        <w:rPr>
          <w:rFonts w:hint="eastAsia" w:ascii="宋体" w:hAnsi="宋体" w:cs="宋体"/>
          <w:color w:val="000000" w:themeColor="text1"/>
          <w:kern w:val="0"/>
          <w:szCs w:val="21"/>
          <w:highlight w:val="none"/>
          <w14:textFill>
            <w14:solidFill>
              <w14:schemeClr w14:val="tx1"/>
            </w14:solidFill>
          </w14:textFill>
        </w:rPr>
        <w:t>转移占有之日起算</w:t>
      </w:r>
      <w:r>
        <w:rPr>
          <w:rFonts w:hint="eastAsia" w:ascii="宋体" w:hAnsi="宋体" w:cs="宋体"/>
          <w:color w:val="000000" w:themeColor="text1"/>
          <w:szCs w:val="21"/>
          <w:highlight w:val="none"/>
          <w14:textFill>
            <w14:solidFill>
              <w14:schemeClr w14:val="tx1"/>
            </w14:solidFill>
          </w14:textFill>
        </w:rPr>
        <w:t>。</w:t>
      </w:r>
    </w:p>
    <w:p w14:paraId="663D79E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15.4.2 修复费用</w:t>
      </w:r>
    </w:p>
    <w:p w14:paraId="5F7A445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保修期内，修复的费用按照以下约定处理：</w:t>
      </w:r>
    </w:p>
    <w:p w14:paraId="709DC5D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6FBC382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（2）保修期内，因发包人使用不当造成工程的缺陷、损坏，可以委托承包人修复，但发包人应承担修复的费用；</w:t>
      </w:r>
    </w:p>
    <w:p w14:paraId="22C20E4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（3）因其他原因造成工程的缺陷、损坏，可以委托承包人修复，发包人应承担修复的费用，因工程的缺陷、损坏造成的人身伤害和财产损失由责任方承担。</w:t>
      </w:r>
    </w:p>
    <w:p w14:paraId="09A97303">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15.4.3 修复通知</w:t>
      </w:r>
    </w:p>
    <w:p w14:paraId="44ADF1B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601DBE3C">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15.4.4 未能修复</w:t>
      </w:r>
    </w:p>
    <w:p w14:paraId="7017E0B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5F14629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15.4.5 承包人出入权</w:t>
      </w:r>
    </w:p>
    <w:p w14:paraId="2C16DE73">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04609FF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09" w:name="_Toc351203603"/>
      <w:bookmarkStart w:id="510" w:name="_Toc337558820"/>
      <w:r>
        <w:rPr>
          <w:rFonts w:hint="eastAsia" w:ascii="宋体" w:hAnsi="宋体" w:cs="宋体"/>
          <w:bCs/>
          <w:color w:val="000000" w:themeColor="text1"/>
          <w:kern w:val="0"/>
          <w:szCs w:val="21"/>
          <w:highlight w:val="none"/>
          <w14:textFill>
            <w14:solidFill>
              <w14:schemeClr w14:val="tx1"/>
            </w14:solidFill>
          </w14:textFill>
        </w:rPr>
        <w:t>16. 违约</w:t>
      </w:r>
      <w:bookmarkEnd w:id="509"/>
    </w:p>
    <w:bookmarkEnd w:id="510"/>
    <w:p w14:paraId="09E5BDCC">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11" w:name="_Toc296346630"/>
      <w:bookmarkStart w:id="512" w:name="_Toc296503129"/>
      <w:bookmarkStart w:id="513" w:name="_Toc351203604"/>
      <w:bookmarkStart w:id="514" w:name="_Toc337558821"/>
      <w:r>
        <w:rPr>
          <w:rFonts w:hint="eastAsia" w:ascii="宋体" w:hAnsi="宋体" w:cs="宋体"/>
          <w:bCs/>
          <w:color w:val="000000" w:themeColor="text1"/>
          <w:kern w:val="0"/>
          <w:szCs w:val="21"/>
          <w:highlight w:val="none"/>
          <w14:textFill>
            <w14:solidFill>
              <w14:schemeClr w14:val="tx1"/>
            </w14:solidFill>
          </w14:textFill>
        </w:rPr>
        <w:t>16.1 发</w:t>
      </w:r>
      <w:bookmarkEnd w:id="511"/>
      <w:bookmarkEnd w:id="512"/>
      <w:r>
        <w:rPr>
          <w:rFonts w:hint="eastAsia" w:ascii="宋体" w:hAnsi="宋体" w:cs="宋体"/>
          <w:bCs/>
          <w:color w:val="000000" w:themeColor="text1"/>
          <w:kern w:val="0"/>
          <w:szCs w:val="21"/>
          <w:highlight w:val="none"/>
          <w14:textFill>
            <w14:solidFill>
              <w14:schemeClr w14:val="tx1"/>
            </w14:solidFill>
          </w14:textFill>
        </w:rPr>
        <w:t>包人违约</w:t>
      </w:r>
      <w:bookmarkEnd w:id="513"/>
    </w:p>
    <w:bookmarkEnd w:id="514"/>
    <w:p w14:paraId="4DAEE04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16.1.1 发包人违约的情形</w:t>
      </w:r>
    </w:p>
    <w:p w14:paraId="48DEBAD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在合同履行过程中发生的下列情形，属于发包人违约：</w:t>
      </w:r>
    </w:p>
    <w:p w14:paraId="23B39D8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（1）因发包人原因未能在计划开工日期前7天内下达开工通知的；</w:t>
      </w:r>
    </w:p>
    <w:p w14:paraId="3CAF3DC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（2）因发包人原因未能按合同约定支付合同价款的；</w:t>
      </w:r>
    </w:p>
    <w:p w14:paraId="29E2C1A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（3）发包人违反第10.1款〔变更的范围〕第（2）项约定，自行实施被取消的工作或转由他人实施的；</w:t>
      </w:r>
    </w:p>
    <w:p w14:paraId="7B2D12B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0B34D76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（5）因发包人违反合同约定造成暂停施工的；</w:t>
      </w:r>
    </w:p>
    <w:p w14:paraId="0538058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（6）发包人无正当理由没有在约定期限内发出复工指示，导致承包人无法复工的；</w:t>
      </w:r>
    </w:p>
    <w:p w14:paraId="5139AD1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（7）发包人明确表示或者以其行为表明不履行合同主要义务的；</w:t>
      </w:r>
    </w:p>
    <w:p w14:paraId="2CB328E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（8）发包人未能按照合同约定履行其他义务的。</w:t>
      </w:r>
    </w:p>
    <w:p w14:paraId="7034C09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32CD542C">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16.1.2 发包人违约的责任</w:t>
      </w:r>
    </w:p>
    <w:p w14:paraId="0A22E47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发包人应承担因其违约给承包人增加的费用和（或）延误的工期。此外，合同当事人可在专用合同条款中另行约定发包人违约责任的承担方式和计算方法。</w:t>
      </w:r>
    </w:p>
    <w:p w14:paraId="77A28F5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16.1.3 因发包人违约解除合同</w:t>
      </w:r>
    </w:p>
    <w:p w14:paraId="32615FE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w:t>
      </w:r>
    </w:p>
    <w:p w14:paraId="5CA931C1">
      <w:pPr>
        <w:autoSpaceDE w:val="0"/>
        <w:autoSpaceDN w:val="0"/>
        <w:adjustRightInd w:val="0"/>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16.1.4 因发包人违约解除合同后的付款</w:t>
      </w:r>
    </w:p>
    <w:p w14:paraId="61E6973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承包人按照本款约定解除合同的，发包人应在解除合同后28天内支付下列款项，并解除履约担保：</w:t>
      </w:r>
    </w:p>
    <w:p w14:paraId="664444F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（1）合同解除前所完成工作的价款；</w:t>
      </w:r>
    </w:p>
    <w:p w14:paraId="6415A638">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（2）承包人为工程施工订购并已付款的材料、工程设备和其他物品的价款；</w:t>
      </w:r>
    </w:p>
    <w:p w14:paraId="2D9695E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（3）承包人撤离施工现场以及遣散承包人人员的款项；</w:t>
      </w:r>
    </w:p>
    <w:p w14:paraId="050267F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（4）按照合同约定在合同解除前应支付的违约金；</w:t>
      </w:r>
    </w:p>
    <w:p w14:paraId="485A169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（5）按照合同约定应当支付给承包人的其他款项；</w:t>
      </w:r>
    </w:p>
    <w:p w14:paraId="43206AE1">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（6）按照合同约定应退还的质量保证金；</w:t>
      </w:r>
    </w:p>
    <w:p w14:paraId="4DB1080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（7）因解除合同给承包人造成的损失。</w:t>
      </w:r>
    </w:p>
    <w:p w14:paraId="1B8E3A5B">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合同当事人未能就解除合同后的结清达成一致的，按照第20条〔争议解决〕的约定处理。</w:t>
      </w:r>
    </w:p>
    <w:p w14:paraId="3A617CE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4901FE44">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15" w:name="_Toc351203605"/>
      <w:bookmarkStart w:id="516" w:name="_Toc296503131"/>
      <w:bookmarkStart w:id="517" w:name="_Toc337558822"/>
      <w:bookmarkStart w:id="518" w:name="_Toc296346632"/>
      <w:r>
        <w:rPr>
          <w:rFonts w:hint="eastAsia" w:ascii="宋体" w:hAnsi="宋体" w:cs="宋体"/>
          <w:bCs/>
          <w:color w:val="000000" w:themeColor="text1"/>
          <w:kern w:val="0"/>
          <w:szCs w:val="21"/>
          <w:highlight w:val="none"/>
          <w14:textFill>
            <w14:solidFill>
              <w14:schemeClr w14:val="tx1"/>
            </w14:solidFill>
          </w14:textFill>
        </w:rPr>
        <w:t>16.2 承包人违约</w:t>
      </w:r>
      <w:bookmarkEnd w:id="515"/>
    </w:p>
    <w:bookmarkEnd w:id="516"/>
    <w:bookmarkEnd w:id="517"/>
    <w:bookmarkEnd w:id="518"/>
    <w:p w14:paraId="6C8447B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16.2.1 承包人违约的情形</w:t>
      </w:r>
    </w:p>
    <w:p w14:paraId="29BF856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在合同履行过程中发生的下列情形，属于承包人违约：</w:t>
      </w:r>
    </w:p>
    <w:p w14:paraId="336E99E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（1）承包人违反合同约定进行转包或违法分包的；</w:t>
      </w:r>
    </w:p>
    <w:p w14:paraId="35136E6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（2）承包人违反合同约定采购和使用不合格的材料和工程设备的；</w:t>
      </w:r>
    </w:p>
    <w:p w14:paraId="457EB7A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（3）因承包人原因导致工程质量不符合合同要求的； </w:t>
      </w:r>
    </w:p>
    <w:p w14:paraId="2957C2B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26D6439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（5）承包人未能按施工进度计划及时完成合同约定的工作，造成工期延误的；</w:t>
      </w:r>
    </w:p>
    <w:p w14:paraId="04EBF8E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（6）承包人在缺陷责任期及保修期内，未能在合理期限内对工程缺陷进行修复，或拒绝按发包人要求进行修复的；</w:t>
      </w:r>
    </w:p>
    <w:p w14:paraId="6BB7C7B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（7）承包人明确表示或者以其行为表明不履行合同主要义务的；</w:t>
      </w:r>
    </w:p>
    <w:p w14:paraId="0474F07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（8）承包人未能按照合同约定履行其他义务的。</w:t>
      </w:r>
    </w:p>
    <w:p w14:paraId="15393E2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承包人发生除本项第（7）目约定以外的其他违约情况时，监理人可向承包人发出整改通知，要求其在指定的期限内改正。</w:t>
      </w:r>
    </w:p>
    <w:p w14:paraId="50111D0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16.2.2 承包人违约的责任</w:t>
      </w:r>
    </w:p>
    <w:p w14:paraId="3B927ED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7E19B36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16.2.3 因承包人违约解除合同</w:t>
      </w:r>
    </w:p>
    <w:p w14:paraId="3B0495C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中约定相应费用的承担方式。发包人继续使用的行为不免除或减轻承包人应承担的违约责任。</w:t>
      </w:r>
    </w:p>
    <w:p w14:paraId="39F34DB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16.2.4因承包人违约解除合同后的处理</w:t>
      </w:r>
    </w:p>
    <w:p w14:paraId="45F9051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因承包人原因导致合同解除的，则合同当事人应在合同解除后28天内完成估价、付款和清算，并按以下约定执行：</w:t>
      </w:r>
    </w:p>
    <w:p w14:paraId="7D4582F2">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6EBD6935">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（2）合同解除后，承包人应支付的违约金；</w:t>
      </w:r>
    </w:p>
    <w:p w14:paraId="737A1AA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（3）合同解除后，因解除合同给发包人造成的损失；</w:t>
      </w:r>
    </w:p>
    <w:p w14:paraId="2E5D5103">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（4）合同解除后，承包人应按照发包人要求和监理人的指示完成现场的清理和撤离；</w:t>
      </w:r>
    </w:p>
    <w:p w14:paraId="4CF9998F">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（5）发包人和承包人应在合同解除后进行清算，出具最终结清付款证书，结清全部款项。</w:t>
      </w:r>
    </w:p>
    <w:p w14:paraId="1E84E901">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因承包人违约解除合同的，发包人有权暂停对承包人的付款，查清各项付款和已扣款项。发包人和承包人未能就合同解除后的清算和款项支付达成一致的，按照第20条〔争议解决〕的约定处理。</w:t>
      </w:r>
    </w:p>
    <w:p w14:paraId="6BEB8DF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16.2.5采购合同权益转让</w:t>
      </w:r>
    </w:p>
    <w:p w14:paraId="46B275A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47586C9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19" w:name="_Toc351203606"/>
      <w:r>
        <w:rPr>
          <w:rFonts w:hint="eastAsia" w:ascii="宋体" w:hAnsi="宋体" w:cs="宋体"/>
          <w:bCs/>
          <w:color w:val="000000" w:themeColor="text1"/>
          <w:kern w:val="0"/>
          <w:szCs w:val="21"/>
          <w:highlight w:val="none"/>
          <w14:textFill>
            <w14:solidFill>
              <w14:schemeClr w14:val="tx1"/>
            </w14:solidFill>
          </w14:textFill>
        </w:rPr>
        <w:t>16.3 第三人造成的违约</w:t>
      </w:r>
      <w:bookmarkEnd w:id="519"/>
    </w:p>
    <w:p w14:paraId="264AF6C3">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24E94DC4">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20" w:name="_Toc337558823"/>
      <w:bookmarkStart w:id="521" w:name="_Toc296346617"/>
      <w:bookmarkStart w:id="522" w:name="_Toc296503116"/>
      <w:bookmarkStart w:id="523" w:name="_Toc351203607"/>
      <w:r>
        <w:rPr>
          <w:rFonts w:hint="eastAsia" w:ascii="宋体" w:hAnsi="宋体" w:cs="宋体"/>
          <w:bCs/>
          <w:color w:val="000000" w:themeColor="text1"/>
          <w:kern w:val="0"/>
          <w:szCs w:val="21"/>
          <w:highlight w:val="none"/>
          <w14:textFill>
            <w14:solidFill>
              <w14:schemeClr w14:val="tx1"/>
            </w14:solidFill>
          </w14:textFill>
        </w:rPr>
        <w:t>17. 不可抗力</w:t>
      </w:r>
      <w:bookmarkEnd w:id="520"/>
      <w:bookmarkEnd w:id="521"/>
      <w:bookmarkEnd w:id="522"/>
      <w:bookmarkEnd w:id="523"/>
    </w:p>
    <w:p w14:paraId="25591127">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24" w:name="_Toc351203608"/>
      <w:bookmarkStart w:id="525" w:name="_Toc296346618"/>
      <w:bookmarkStart w:id="526" w:name="_Toc296503117"/>
      <w:bookmarkStart w:id="527" w:name="_Toc337558824"/>
      <w:r>
        <w:rPr>
          <w:rFonts w:hint="eastAsia" w:ascii="宋体" w:hAnsi="宋体" w:cs="宋体"/>
          <w:bCs/>
          <w:color w:val="000000" w:themeColor="text1"/>
          <w:kern w:val="0"/>
          <w:szCs w:val="21"/>
          <w:highlight w:val="none"/>
          <w14:textFill>
            <w14:solidFill>
              <w14:schemeClr w14:val="tx1"/>
            </w14:solidFill>
          </w14:textFill>
        </w:rPr>
        <w:t>17.1 不可抗力的确认</w:t>
      </w:r>
      <w:bookmarkEnd w:id="524"/>
    </w:p>
    <w:bookmarkEnd w:id="525"/>
    <w:bookmarkEnd w:id="526"/>
    <w:bookmarkEnd w:id="527"/>
    <w:p w14:paraId="64F3BA7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7544608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5B3744CD">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28" w:name="_Toc351203609"/>
      <w:bookmarkStart w:id="529" w:name="_Toc296503118"/>
      <w:bookmarkStart w:id="530" w:name="_Toc337558825"/>
      <w:bookmarkStart w:id="531" w:name="_Toc296346619"/>
      <w:r>
        <w:rPr>
          <w:rFonts w:hint="eastAsia" w:ascii="宋体" w:hAnsi="宋体" w:cs="宋体"/>
          <w:bCs/>
          <w:color w:val="000000" w:themeColor="text1"/>
          <w:kern w:val="0"/>
          <w:szCs w:val="21"/>
          <w:highlight w:val="none"/>
          <w14:textFill>
            <w14:solidFill>
              <w14:schemeClr w14:val="tx1"/>
            </w14:solidFill>
          </w14:textFill>
        </w:rPr>
        <w:t>17.2 不可抗力的通知</w:t>
      </w:r>
      <w:bookmarkEnd w:id="528"/>
    </w:p>
    <w:bookmarkEnd w:id="529"/>
    <w:bookmarkEnd w:id="530"/>
    <w:bookmarkEnd w:id="531"/>
    <w:p w14:paraId="725743C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18CF812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不可抗力持续发生的，合同一方当事人应及时向合同另一方当事人和监理人提交中间报告，说明不可抗力和履行合同受阻的情况，并于不可抗力事件结束后28天内提交最终报告及有关资料。</w:t>
      </w:r>
    </w:p>
    <w:p w14:paraId="6B99C167">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32" w:name="_Toc351203610"/>
      <w:bookmarkStart w:id="533" w:name="_Toc296503119"/>
      <w:bookmarkStart w:id="534" w:name="_Toc337558826"/>
      <w:bookmarkStart w:id="535" w:name="_Toc296346620"/>
      <w:r>
        <w:rPr>
          <w:rFonts w:hint="eastAsia" w:ascii="宋体" w:hAnsi="宋体" w:cs="宋体"/>
          <w:bCs/>
          <w:color w:val="000000" w:themeColor="text1"/>
          <w:kern w:val="0"/>
          <w:szCs w:val="21"/>
          <w:highlight w:val="none"/>
          <w14:textFill>
            <w14:solidFill>
              <w14:schemeClr w14:val="tx1"/>
            </w14:solidFill>
          </w14:textFill>
        </w:rPr>
        <w:t>17.3 不可抗力后果的承担</w:t>
      </w:r>
      <w:bookmarkEnd w:id="532"/>
    </w:p>
    <w:bookmarkEnd w:id="533"/>
    <w:bookmarkEnd w:id="534"/>
    <w:bookmarkEnd w:id="535"/>
    <w:p w14:paraId="049D744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17.3.1 不可抗力引起的后果及造成的损失由合同当事人按照法律规定及合同约定各自承担。不可抗力发生前已完成的工程应当按照合同约定进行计量支付。</w:t>
      </w:r>
    </w:p>
    <w:p w14:paraId="27824B9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17.3.2 不可抗力导致的人员伤亡、财产损失、费用增加和（或）工期延误等后果，由合同当事人按以下原则承担：</w:t>
      </w:r>
    </w:p>
    <w:p w14:paraId="4C9BA9F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（1）永久工程、已运至施工现场的材料和工程设备的损坏，以及因工程损坏造成的第三人人员伤亡和财产损失由发包人承担；</w:t>
      </w:r>
    </w:p>
    <w:p w14:paraId="0AD5349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（2）承包人施工设备的损坏由承包人承担；</w:t>
      </w:r>
    </w:p>
    <w:p w14:paraId="304F4AF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（3）发包人和承包人承担各自人员伤亡和财产的损失；</w:t>
      </w:r>
    </w:p>
    <w:p w14:paraId="6CFCA65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3386876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（5）因不可抗力引起或将引起工期延误，发包人要求赶工的，由此增加的赶工费用由发包人承担；</w:t>
      </w:r>
    </w:p>
    <w:p w14:paraId="4B04BFE6">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（6）承包人在停工期间按照发包人要求照管、清理和修复工程的费用由发包人承担。</w:t>
      </w:r>
    </w:p>
    <w:p w14:paraId="1042B9B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6ADB6F2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因合同一方迟延履行合同义务，在迟延履行期间遭遇不可抗力的，不免除其违约责任。</w:t>
      </w:r>
    </w:p>
    <w:p w14:paraId="7F451F68">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36" w:name="_Toc351203611"/>
      <w:bookmarkStart w:id="537" w:name="_Toc337558827"/>
      <w:r>
        <w:rPr>
          <w:rFonts w:hint="eastAsia" w:ascii="宋体" w:hAnsi="宋体" w:cs="宋体"/>
          <w:bCs/>
          <w:color w:val="000000" w:themeColor="text1"/>
          <w:kern w:val="0"/>
          <w:szCs w:val="21"/>
          <w:highlight w:val="none"/>
          <w14:textFill>
            <w14:solidFill>
              <w14:schemeClr w14:val="tx1"/>
            </w14:solidFill>
          </w14:textFill>
        </w:rPr>
        <w:t>17.4 因不可抗力解除合同</w:t>
      </w:r>
      <w:bookmarkEnd w:id="536"/>
    </w:p>
    <w:bookmarkEnd w:id="537"/>
    <w:p w14:paraId="19D2E7F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因不可抗力导致合同无法履行连续超过84天或累计超过140天的，发包人和承包人均有权解除合同。合同解除后，由双方当事人按照第4.4款〔商定或确定〕商定或确定发包人应支付的款项，该款项包括：</w:t>
      </w:r>
    </w:p>
    <w:p w14:paraId="4B19F36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（1）合同解除前承包人已完成工作的价款；</w:t>
      </w:r>
    </w:p>
    <w:p w14:paraId="3D9C90BD">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（2）承包人为工程订购的并已交付给承包人，或承包人有责任接受交付的材料、工程设备和其他物品的价款；</w:t>
      </w:r>
    </w:p>
    <w:p w14:paraId="3A696AF7">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（3）发包人要求承包人退货或解除订货合同而产生的费用，或因不能退货或解除合同而产生的损失；</w:t>
      </w:r>
    </w:p>
    <w:p w14:paraId="79396A6E">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（4）承包人撤离施工现场以及遣散承包人人员的费用；</w:t>
      </w:r>
    </w:p>
    <w:p w14:paraId="2AB502F6">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（5）按照合同约定在合同解除前应支付给承包人的其他款项；</w:t>
      </w:r>
    </w:p>
    <w:p w14:paraId="7D3F5AB9">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（6）扣减承包人按照合同约定应向发包人支付的款项；</w:t>
      </w:r>
    </w:p>
    <w:p w14:paraId="028876B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（7）双方商定或确定的其他款项。</w:t>
      </w:r>
    </w:p>
    <w:p w14:paraId="483F7970">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除专用合同条款另有约定外，合同解除后，发包人应在商定或确定上述款项后28天内完成上述款项的支付。</w:t>
      </w:r>
    </w:p>
    <w:p w14:paraId="46229C8D">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38" w:name="_Toc351203612"/>
      <w:bookmarkStart w:id="539" w:name="_Toc337558828"/>
      <w:bookmarkStart w:id="540" w:name="_Toc296346621"/>
      <w:bookmarkStart w:id="541" w:name="_Toc296503120"/>
      <w:r>
        <w:rPr>
          <w:rFonts w:hint="eastAsia" w:ascii="宋体" w:hAnsi="宋体" w:cs="宋体"/>
          <w:bCs/>
          <w:color w:val="000000" w:themeColor="text1"/>
          <w:kern w:val="0"/>
          <w:szCs w:val="21"/>
          <w:highlight w:val="none"/>
          <w14:textFill>
            <w14:solidFill>
              <w14:schemeClr w14:val="tx1"/>
            </w14:solidFill>
          </w14:textFill>
        </w:rPr>
        <w:t>18. 保险</w:t>
      </w:r>
      <w:bookmarkEnd w:id="538"/>
    </w:p>
    <w:bookmarkEnd w:id="539"/>
    <w:bookmarkEnd w:id="540"/>
    <w:bookmarkEnd w:id="541"/>
    <w:p w14:paraId="38DC960E">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42" w:name="_Toc351203613"/>
      <w:bookmarkStart w:id="543" w:name="_Toc296346622"/>
      <w:bookmarkStart w:id="544" w:name="_Toc296503121"/>
      <w:bookmarkStart w:id="545" w:name="_Toc337558829"/>
      <w:r>
        <w:rPr>
          <w:rFonts w:hint="eastAsia" w:ascii="宋体" w:hAnsi="宋体" w:cs="宋体"/>
          <w:bCs/>
          <w:color w:val="000000" w:themeColor="text1"/>
          <w:kern w:val="0"/>
          <w:szCs w:val="21"/>
          <w:highlight w:val="none"/>
          <w14:textFill>
            <w14:solidFill>
              <w14:schemeClr w14:val="tx1"/>
            </w14:solidFill>
          </w14:textFill>
        </w:rPr>
        <w:t>18.1 工程保险</w:t>
      </w:r>
      <w:bookmarkEnd w:id="542"/>
    </w:p>
    <w:bookmarkEnd w:id="543"/>
    <w:bookmarkEnd w:id="544"/>
    <w:bookmarkEnd w:id="545"/>
    <w:p w14:paraId="01755FD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0EEAA342">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46" w:name="_Toc351203614"/>
      <w:bookmarkStart w:id="547" w:name="_Toc296503122"/>
      <w:bookmarkStart w:id="548" w:name="_Toc337558830"/>
      <w:bookmarkStart w:id="549" w:name="_Toc296346623"/>
      <w:r>
        <w:rPr>
          <w:rFonts w:hint="eastAsia" w:ascii="宋体" w:hAnsi="宋体" w:cs="宋体"/>
          <w:bCs/>
          <w:color w:val="000000" w:themeColor="text1"/>
          <w:kern w:val="0"/>
          <w:szCs w:val="21"/>
          <w:highlight w:val="none"/>
          <w14:textFill>
            <w14:solidFill>
              <w14:schemeClr w14:val="tx1"/>
            </w14:solidFill>
          </w14:textFill>
        </w:rPr>
        <w:t>18.2 工伤保险</w:t>
      </w:r>
      <w:bookmarkEnd w:id="546"/>
    </w:p>
    <w:bookmarkEnd w:id="547"/>
    <w:bookmarkEnd w:id="548"/>
    <w:bookmarkEnd w:id="549"/>
    <w:p w14:paraId="5A85E0E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18.2.1 发包人应依照法律规定参加工伤保险，并为在施工现场的全部员工办理工伤保险，缴纳工伤保险费，并要求监理人及由发包人为履行合同聘请的第三方依法参加工伤保险。</w:t>
      </w:r>
    </w:p>
    <w:p w14:paraId="5D11358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18.2.2 承包人应依照法律规定参加工伤保险，并为其履行合同的全部员工办理工伤保险，并缴纳工伤保险费，并要求分包人及由承包人为履行合同聘请的第三方依法参加工伤保险。</w:t>
      </w:r>
    </w:p>
    <w:p w14:paraId="783E472A">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50" w:name="_Toc351203615"/>
      <w:bookmarkStart w:id="551" w:name="_Toc296503125"/>
      <w:bookmarkStart w:id="552" w:name="_Toc337558831"/>
      <w:bookmarkStart w:id="553" w:name="_Toc296346626"/>
      <w:r>
        <w:rPr>
          <w:rFonts w:hint="eastAsia" w:ascii="宋体" w:hAnsi="宋体" w:cs="宋体"/>
          <w:bCs/>
          <w:color w:val="000000" w:themeColor="text1"/>
          <w:kern w:val="0"/>
          <w:szCs w:val="21"/>
          <w:highlight w:val="none"/>
          <w14:textFill>
            <w14:solidFill>
              <w14:schemeClr w14:val="tx1"/>
            </w14:solidFill>
          </w14:textFill>
        </w:rPr>
        <w:t>18.3其他保险</w:t>
      </w:r>
      <w:bookmarkEnd w:id="550"/>
    </w:p>
    <w:bookmarkEnd w:id="551"/>
    <w:bookmarkEnd w:id="552"/>
    <w:bookmarkEnd w:id="553"/>
    <w:p w14:paraId="083D0408">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发包人和承包人可以为其施工现场的全部人员办理意外伤害保险并支付保险费，包括其员工及为履行合同聘请的第三方的人员，具体事项由合同当事人在专用合同条款中约定。</w:t>
      </w:r>
    </w:p>
    <w:p w14:paraId="27D05E6E">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除专用合同条款另有约定外，承包人应为其施工设备等办理财产保险。</w:t>
      </w:r>
    </w:p>
    <w:p w14:paraId="7FC36C49">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54" w:name="_Toc351203616"/>
      <w:r>
        <w:rPr>
          <w:rFonts w:hint="eastAsia" w:ascii="宋体" w:hAnsi="宋体" w:cs="宋体"/>
          <w:bCs/>
          <w:color w:val="000000" w:themeColor="text1"/>
          <w:kern w:val="0"/>
          <w:szCs w:val="21"/>
          <w:highlight w:val="none"/>
          <w14:textFill>
            <w14:solidFill>
              <w14:schemeClr w14:val="tx1"/>
            </w14:solidFill>
          </w14:textFill>
        </w:rPr>
        <w:t>18.4持续保险</w:t>
      </w:r>
      <w:bookmarkEnd w:id="554"/>
    </w:p>
    <w:p w14:paraId="071E33EB">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合同当事人应与保险人保持联系，使保险人能够随时了解工程实施中的变动，并确保按保险合同条款要求持续保险。</w:t>
      </w:r>
    </w:p>
    <w:p w14:paraId="2CBA7A8A">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55" w:name="_Toc351203617"/>
      <w:bookmarkStart w:id="556" w:name="_Toc296503126"/>
      <w:bookmarkStart w:id="557" w:name="_Toc337558832"/>
      <w:bookmarkStart w:id="558" w:name="_Toc296346627"/>
      <w:r>
        <w:rPr>
          <w:rFonts w:hint="eastAsia" w:ascii="宋体" w:hAnsi="宋体" w:cs="宋体"/>
          <w:bCs/>
          <w:color w:val="000000" w:themeColor="text1"/>
          <w:kern w:val="0"/>
          <w:szCs w:val="21"/>
          <w:highlight w:val="none"/>
          <w14:textFill>
            <w14:solidFill>
              <w14:schemeClr w14:val="tx1"/>
            </w14:solidFill>
          </w14:textFill>
        </w:rPr>
        <w:t>18.5 保险凭证</w:t>
      </w:r>
      <w:bookmarkEnd w:id="555"/>
    </w:p>
    <w:bookmarkEnd w:id="556"/>
    <w:bookmarkEnd w:id="557"/>
    <w:bookmarkEnd w:id="558"/>
    <w:p w14:paraId="08FBD481">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合同当事人应及时向另一方当事人提交其已投保的各项保险的凭证和保险单复印件。</w:t>
      </w:r>
    </w:p>
    <w:p w14:paraId="40142092">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59" w:name="_Toc351203618"/>
      <w:bookmarkStart w:id="560" w:name="_Toc337558833"/>
      <w:bookmarkStart w:id="561" w:name="_Toc296503127"/>
      <w:bookmarkStart w:id="562" w:name="_Toc296346628"/>
      <w:r>
        <w:rPr>
          <w:rFonts w:hint="eastAsia" w:ascii="宋体" w:hAnsi="宋体" w:cs="宋体"/>
          <w:bCs/>
          <w:color w:val="000000" w:themeColor="text1"/>
          <w:kern w:val="0"/>
          <w:szCs w:val="21"/>
          <w:highlight w:val="none"/>
          <w14:textFill>
            <w14:solidFill>
              <w14:schemeClr w14:val="tx1"/>
            </w14:solidFill>
          </w14:textFill>
        </w:rPr>
        <w:t>18.6 未按约定投保的补救</w:t>
      </w:r>
      <w:bookmarkEnd w:id="559"/>
    </w:p>
    <w:bookmarkEnd w:id="560"/>
    <w:bookmarkEnd w:id="561"/>
    <w:bookmarkEnd w:id="562"/>
    <w:p w14:paraId="5F32545C">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28DB26AA">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7A67080B">
      <w:pPr>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63" w:name="_Toc351203619"/>
      <w:bookmarkStart w:id="564" w:name="_Toc337558834"/>
      <w:r>
        <w:rPr>
          <w:rFonts w:hint="eastAsia" w:ascii="宋体" w:hAnsi="宋体" w:cs="宋体"/>
          <w:bCs/>
          <w:color w:val="000000" w:themeColor="text1"/>
          <w:kern w:val="0"/>
          <w:szCs w:val="21"/>
          <w:highlight w:val="none"/>
          <w14:textFill>
            <w14:solidFill>
              <w14:schemeClr w14:val="tx1"/>
            </w14:solidFill>
          </w14:textFill>
        </w:rPr>
        <w:t>18.7 通知义务</w:t>
      </w:r>
      <w:bookmarkEnd w:id="563"/>
    </w:p>
    <w:bookmarkEnd w:id="564"/>
    <w:p w14:paraId="5DAC885A">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3EF7D65D">
      <w:pPr>
        <w:spacing w:line="356"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44E77651">
      <w:pPr>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65" w:name="_Toc351203620"/>
      <w:bookmarkStart w:id="566" w:name="_Toc296503140"/>
      <w:bookmarkStart w:id="567" w:name="_Toc337558835"/>
      <w:bookmarkStart w:id="568" w:name="_Toc296346641"/>
      <w:r>
        <w:rPr>
          <w:rFonts w:hint="eastAsia" w:ascii="宋体" w:hAnsi="宋体" w:cs="宋体"/>
          <w:bCs/>
          <w:color w:val="000000" w:themeColor="text1"/>
          <w:kern w:val="0"/>
          <w:szCs w:val="21"/>
          <w:highlight w:val="none"/>
          <w14:textFill>
            <w14:solidFill>
              <w14:schemeClr w14:val="tx1"/>
            </w14:solidFill>
          </w14:textFill>
        </w:rPr>
        <w:t>19. 索赔</w:t>
      </w:r>
      <w:bookmarkEnd w:id="565"/>
    </w:p>
    <w:bookmarkEnd w:id="566"/>
    <w:bookmarkEnd w:id="567"/>
    <w:bookmarkEnd w:id="568"/>
    <w:p w14:paraId="7EB2D4AB">
      <w:pPr>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69" w:name="_Toc351203621"/>
      <w:bookmarkStart w:id="570" w:name="_Toc337558836"/>
      <w:bookmarkStart w:id="571" w:name="_Toc296346642"/>
      <w:bookmarkStart w:id="572" w:name="_Toc296503141"/>
      <w:r>
        <w:rPr>
          <w:rFonts w:hint="eastAsia" w:ascii="宋体" w:hAnsi="宋体" w:cs="宋体"/>
          <w:bCs/>
          <w:color w:val="000000" w:themeColor="text1"/>
          <w:kern w:val="0"/>
          <w:szCs w:val="21"/>
          <w:highlight w:val="none"/>
          <w14:textFill>
            <w14:solidFill>
              <w14:schemeClr w14:val="tx1"/>
            </w14:solidFill>
          </w14:textFill>
        </w:rPr>
        <w:t>19.1承包人的索赔</w:t>
      </w:r>
      <w:bookmarkEnd w:id="569"/>
    </w:p>
    <w:bookmarkEnd w:id="570"/>
    <w:bookmarkEnd w:id="571"/>
    <w:bookmarkEnd w:id="572"/>
    <w:p w14:paraId="2D959CC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根据合同约定，承包人认为有权得到追加付款和（或）延长工期的，应按以下程序向发包人提出索赔：</w:t>
      </w:r>
    </w:p>
    <w:p w14:paraId="5FAB830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51CED1D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0654788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71A0839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35E55308">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73" w:name="_Toc351203622"/>
      <w:bookmarkStart w:id="574" w:name="_Toc296503142"/>
      <w:bookmarkStart w:id="575" w:name="_Toc337558837"/>
      <w:bookmarkStart w:id="576" w:name="_Toc296346643"/>
      <w:r>
        <w:rPr>
          <w:rFonts w:hint="eastAsia" w:ascii="宋体" w:hAnsi="宋体" w:cs="宋体"/>
          <w:bCs/>
          <w:color w:val="000000" w:themeColor="text1"/>
          <w:kern w:val="0"/>
          <w:szCs w:val="21"/>
          <w:highlight w:val="none"/>
          <w14:textFill>
            <w14:solidFill>
              <w14:schemeClr w14:val="tx1"/>
            </w14:solidFill>
          </w14:textFill>
        </w:rPr>
        <w:t>19.2 对承包人索赔的处理</w:t>
      </w:r>
      <w:bookmarkEnd w:id="573"/>
    </w:p>
    <w:bookmarkEnd w:id="574"/>
    <w:bookmarkEnd w:id="575"/>
    <w:bookmarkEnd w:id="576"/>
    <w:p w14:paraId="39AF3AA4">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对承包人索赔的处理如下：</w:t>
      </w:r>
    </w:p>
    <w:p w14:paraId="12696C2A">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71673EC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20E048F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575CCC94">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77" w:name="_Toc351203623"/>
      <w:bookmarkStart w:id="578" w:name="_Toc296346644"/>
      <w:bookmarkStart w:id="579" w:name="_Toc337558838"/>
      <w:bookmarkStart w:id="580" w:name="_Toc296503143"/>
      <w:r>
        <w:rPr>
          <w:rFonts w:hint="eastAsia" w:ascii="宋体" w:hAnsi="宋体" w:cs="宋体"/>
          <w:bCs/>
          <w:color w:val="000000" w:themeColor="text1"/>
          <w:kern w:val="0"/>
          <w:szCs w:val="21"/>
          <w:highlight w:val="none"/>
          <w14:textFill>
            <w14:solidFill>
              <w14:schemeClr w14:val="tx1"/>
            </w14:solidFill>
          </w14:textFill>
        </w:rPr>
        <w:t>19.3发包人的索赔</w:t>
      </w:r>
      <w:bookmarkEnd w:id="577"/>
    </w:p>
    <w:bookmarkEnd w:id="578"/>
    <w:bookmarkEnd w:id="579"/>
    <w:bookmarkEnd w:id="580"/>
    <w:p w14:paraId="1E212C3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根据合同约定，发包人认为有权得到赔付金额和（或）延长缺陷责任期的，监理人应向承包人发出通知并附有详细的证明。</w:t>
      </w:r>
    </w:p>
    <w:p w14:paraId="79AA541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16698201">
      <w:pPr>
        <w:keepLines/>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81" w:name="_Toc351203624"/>
      <w:bookmarkStart w:id="582" w:name="_Toc296503144"/>
      <w:bookmarkStart w:id="583" w:name="_Toc337558839"/>
      <w:bookmarkStart w:id="584" w:name="_Toc296346645"/>
      <w:r>
        <w:rPr>
          <w:rFonts w:hint="eastAsia" w:ascii="宋体" w:hAnsi="宋体" w:cs="宋体"/>
          <w:bCs/>
          <w:color w:val="000000" w:themeColor="text1"/>
          <w:kern w:val="0"/>
          <w:szCs w:val="21"/>
          <w:highlight w:val="none"/>
          <w14:textFill>
            <w14:solidFill>
              <w14:schemeClr w14:val="tx1"/>
            </w14:solidFill>
          </w14:textFill>
        </w:rPr>
        <w:t>19.4 对发包人索赔的处理</w:t>
      </w:r>
      <w:bookmarkEnd w:id="581"/>
    </w:p>
    <w:bookmarkEnd w:id="582"/>
    <w:bookmarkEnd w:id="583"/>
    <w:bookmarkEnd w:id="584"/>
    <w:p w14:paraId="68AD0CF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对发包人索赔的处理如下：</w:t>
      </w:r>
    </w:p>
    <w:p w14:paraId="51D67CAD">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（1）承包人收到发包人提交的索赔报告后，应及时审查索赔报告的内容、查验发包人证明材料；</w:t>
      </w:r>
    </w:p>
    <w:p w14:paraId="2C79CDB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57D6C425">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652F9C47">
      <w:pPr>
        <w:keepLines/>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85" w:name="_Toc351203625"/>
      <w:r>
        <w:rPr>
          <w:rFonts w:hint="eastAsia" w:ascii="宋体" w:hAnsi="宋体" w:cs="宋体"/>
          <w:bCs/>
          <w:color w:val="000000" w:themeColor="text1"/>
          <w:kern w:val="0"/>
          <w:szCs w:val="21"/>
          <w:highlight w:val="none"/>
          <w14:textFill>
            <w14:solidFill>
              <w14:schemeClr w14:val="tx1"/>
            </w14:solidFill>
          </w14:textFill>
        </w:rPr>
        <w:t>19.5 提出索赔的期限</w:t>
      </w:r>
      <w:bookmarkEnd w:id="585"/>
    </w:p>
    <w:p w14:paraId="6E8B2BA7">
      <w:pPr>
        <w:spacing w:line="356"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（1）承包人按第14.2款〔竣工结算审核〕约定接收竣工付款证书后，应被视为已无权再提出在工程接收证书颁发前所发生的任何索赔。</w:t>
      </w:r>
    </w:p>
    <w:p w14:paraId="6C169A07">
      <w:pPr>
        <w:spacing w:line="356"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3A200231">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86" w:name="_Toc351203626"/>
      <w:r>
        <w:rPr>
          <w:rFonts w:hint="eastAsia" w:ascii="宋体" w:hAnsi="宋体" w:cs="宋体"/>
          <w:bCs/>
          <w:color w:val="000000" w:themeColor="text1"/>
          <w:kern w:val="0"/>
          <w:szCs w:val="21"/>
          <w:highlight w:val="none"/>
          <w14:textFill>
            <w14:solidFill>
              <w14:schemeClr w14:val="tx1"/>
            </w14:solidFill>
          </w14:textFill>
        </w:rPr>
        <w:t>20</w:t>
      </w:r>
      <w:bookmarkStart w:id="587" w:name="_Toc296503146"/>
      <w:bookmarkStart w:id="588" w:name="_Toc337558840"/>
      <w:bookmarkStart w:id="589" w:name="_Toc296346647"/>
      <w:r>
        <w:rPr>
          <w:rFonts w:hint="eastAsia" w:ascii="宋体" w:hAnsi="宋体" w:cs="宋体"/>
          <w:bCs/>
          <w:color w:val="000000" w:themeColor="text1"/>
          <w:kern w:val="0"/>
          <w:szCs w:val="21"/>
          <w:highlight w:val="none"/>
          <w14:textFill>
            <w14:solidFill>
              <w14:schemeClr w14:val="tx1"/>
            </w14:solidFill>
          </w14:textFill>
        </w:rPr>
        <w:t>. 争议解决</w:t>
      </w:r>
      <w:bookmarkEnd w:id="586"/>
    </w:p>
    <w:bookmarkEnd w:id="587"/>
    <w:bookmarkEnd w:id="588"/>
    <w:bookmarkEnd w:id="589"/>
    <w:p w14:paraId="7900F12E">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90" w:name="_Toc351203627"/>
      <w:bookmarkStart w:id="591" w:name="_Toc337558841"/>
      <w:bookmarkStart w:id="592" w:name="_Toc296346648"/>
      <w:bookmarkStart w:id="593" w:name="_Toc296503147"/>
      <w:r>
        <w:rPr>
          <w:rFonts w:hint="eastAsia" w:ascii="宋体" w:hAnsi="宋体" w:cs="宋体"/>
          <w:bCs/>
          <w:color w:val="000000" w:themeColor="text1"/>
          <w:kern w:val="0"/>
          <w:szCs w:val="21"/>
          <w:highlight w:val="none"/>
          <w14:textFill>
            <w14:solidFill>
              <w14:schemeClr w14:val="tx1"/>
            </w14:solidFill>
          </w14:textFill>
        </w:rPr>
        <w:t>20.1和解</w:t>
      </w:r>
      <w:bookmarkEnd w:id="590"/>
    </w:p>
    <w:bookmarkEnd w:id="591"/>
    <w:bookmarkEnd w:id="592"/>
    <w:bookmarkEnd w:id="593"/>
    <w:p w14:paraId="34317AA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合同当事人可以就争议自行和解，自行和解达成协议的经双方签字并盖章后作为合同补充文件，双方均应遵照执行。</w:t>
      </w:r>
    </w:p>
    <w:p w14:paraId="693C408C">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94" w:name="_Toc351203628"/>
      <w:r>
        <w:rPr>
          <w:rFonts w:hint="eastAsia" w:ascii="宋体" w:hAnsi="宋体" w:cs="宋体"/>
          <w:bCs/>
          <w:color w:val="000000" w:themeColor="text1"/>
          <w:kern w:val="0"/>
          <w:szCs w:val="21"/>
          <w:highlight w:val="none"/>
          <w14:textFill>
            <w14:solidFill>
              <w14:schemeClr w14:val="tx1"/>
            </w14:solidFill>
          </w14:textFill>
        </w:rPr>
        <w:t>20</w:t>
      </w:r>
      <w:bookmarkStart w:id="595" w:name="_Toc296346649"/>
      <w:bookmarkStart w:id="596" w:name="_Toc296503148"/>
      <w:bookmarkStart w:id="597" w:name="_Toc337558842"/>
      <w:r>
        <w:rPr>
          <w:rFonts w:hint="eastAsia" w:ascii="宋体" w:hAnsi="宋体" w:cs="宋体"/>
          <w:bCs/>
          <w:color w:val="000000" w:themeColor="text1"/>
          <w:kern w:val="0"/>
          <w:szCs w:val="21"/>
          <w:highlight w:val="none"/>
          <w14:textFill>
            <w14:solidFill>
              <w14:schemeClr w14:val="tx1"/>
            </w14:solidFill>
          </w14:textFill>
        </w:rPr>
        <w:t>.2调解</w:t>
      </w:r>
      <w:bookmarkEnd w:id="594"/>
    </w:p>
    <w:bookmarkEnd w:id="595"/>
    <w:bookmarkEnd w:id="596"/>
    <w:bookmarkEnd w:id="597"/>
    <w:p w14:paraId="478524C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59E1ECE5">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598" w:name="_Toc351203629"/>
      <w:bookmarkStart w:id="599" w:name="_Toc337558843"/>
      <w:bookmarkStart w:id="600" w:name="_Toc296346650"/>
      <w:bookmarkStart w:id="601" w:name="_Toc296503149"/>
      <w:r>
        <w:rPr>
          <w:rFonts w:hint="eastAsia" w:ascii="宋体" w:hAnsi="宋体" w:cs="宋体"/>
          <w:bCs/>
          <w:color w:val="000000" w:themeColor="text1"/>
          <w:kern w:val="0"/>
          <w:szCs w:val="21"/>
          <w:highlight w:val="none"/>
          <w14:textFill>
            <w14:solidFill>
              <w14:schemeClr w14:val="tx1"/>
            </w14:solidFill>
          </w14:textFill>
        </w:rPr>
        <w:t>20.3争议评审</w:t>
      </w:r>
      <w:bookmarkEnd w:id="598"/>
    </w:p>
    <w:bookmarkEnd w:id="599"/>
    <w:bookmarkEnd w:id="600"/>
    <w:bookmarkEnd w:id="601"/>
    <w:p w14:paraId="4B49E2E9">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合同当事人在专用合同条款中约定采取争议评审方式解决争议以及评审规则，并按下列约定执行： </w:t>
      </w:r>
    </w:p>
    <w:p w14:paraId="6C92D6B0">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20.3.1 争议评审小组的确定</w:t>
      </w:r>
    </w:p>
    <w:p w14:paraId="58431A2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合同当事人可以共同选择一名或三名争议评审员，组成争议评审小组。除专用合同条款另有约定外，合同当事人应当自合同签订后28天内，或者争议发生后14天内，选定争议评审员。</w:t>
      </w:r>
    </w:p>
    <w:p w14:paraId="214FC3C2">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0C159EA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除专用合同条款另有约定外，评审员报酬由发包人和承包人各承担一半。</w:t>
      </w:r>
    </w:p>
    <w:p w14:paraId="34752B5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20.3.2 争议评审小组的决定</w:t>
      </w:r>
    </w:p>
    <w:p w14:paraId="0E0C6FF1">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0E2F2108">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20.3.3 争议评审小组决定的效力</w:t>
      </w:r>
    </w:p>
    <w:p w14:paraId="4112F763">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争议评审小组作出的书面决定经合同当事人签字确认后，对双方具有约束力，双方应遵照执行。</w:t>
      </w:r>
    </w:p>
    <w:p w14:paraId="0FA975B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任何一方当事人不接受争议评审小组决定或不履行争议评审小组决定的，双方可选择采用其他争议解决方式。</w:t>
      </w:r>
    </w:p>
    <w:p w14:paraId="7316DFA0">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602" w:name="_Toc351203630"/>
      <w:bookmarkStart w:id="603" w:name="_Toc337558844"/>
      <w:bookmarkStart w:id="604" w:name="_Toc296503150"/>
      <w:bookmarkStart w:id="605" w:name="_Toc296346651"/>
      <w:r>
        <w:rPr>
          <w:rFonts w:hint="eastAsia" w:ascii="宋体" w:hAnsi="宋体" w:cs="宋体"/>
          <w:bCs/>
          <w:color w:val="000000" w:themeColor="text1"/>
          <w:kern w:val="0"/>
          <w:szCs w:val="21"/>
          <w:highlight w:val="none"/>
          <w14:textFill>
            <w14:solidFill>
              <w14:schemeClr w14:val="tx1"/>
            </w14:solidFill>
          </w14:textFill>
        </w:rPr>
        <w:t>20.4仲裁或诉讼</w:t>
      </w:r>
      <w:bookmarkEnd w:id="602"/>
    </w:p>
    <w:bookmarkEnd w:id="603"/>
    <w:bookmarkEnd w:id="604"/>
    <w:bookmarkEnd w:id="605"/>
    <w:p w14:paraId="4F8DE2A7">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因合同及合同有关事项产生的争议，合同当事人可以在专用合同条款中约定以下一种方式解决争议：</w:t>
      </w:r>
    </w:p>
    <w:p w14:paraId="113CFF4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（1）向约定的仲裁委员会申请仲裁；</w:t>
      </w:r>
    </w:p>
    <w:p w14:paraId="6C1B169F">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（2）向有管辖权的人民法院起诉。</w:t>
      </w:r>
    </w:p>
    <w:p w14:paraId="663FAFF2">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bookmarkStart w:id="606" w:name="_Toc351203631"/>
      <w:bookmarkStart w:id="607" w:name="_Toc296346653"/>
      <w:bookmarkStart w:id="608" w:name="_Toc296503152"/>
      <w:bookmarkStart w:id="609" w:name="_Toc337558845"/>
      <w:r>
        <w:rPr>
          <w:rFonts w:hint="eastAsia" w:ascii="宋体" w:hAnsi="宋体" w:cs="宋体"/>
          <w:bCs/>
          <w:color w:val="000000" w:themeColor="text1"/>
          <w:kern w:val="0"/>
          <w:szCs w:val="21"/>
          <w:highlight w:val="none"/>
          <w14:textFill>
            <w14:solidFill>
              <w14:schemeClr w14:val="tx1"/>
            </w14:solidFill>
          </w14:textFill>
        </w:rPr>
        <w:t>20.5争议解决条款效力</w:t>
      </w:r>
      <w:bookmarkEnd w:id="606"/>
    </w:p>
    <w:bookmarkEnd w:id="607"/>
    <w:bookmarkEnd w:id="608"/>
    <w:bookmarkEnd w:id="609"/>
    <w:p w14:paraId="344DBD31">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合同有关争议解决的条款独立存在，合同的变更、解除、终止、无效或者被撤销均不影响其效力。</w:t>
      </w:r>
    </w:p>
    <w:p w14:paraId="255FD852">
      <w:pPr>
        <w:widowControl/>
        <w:spacing w:line="356" w:lineRule="auto"/>
        <w:jc w:val="left"/>
        <w:rPr>
          <w:rFonts w:hint="eastAsia" w:ascii="宋体" w:hAnsi="宋体" w:cs="宋体"/>
          <w:color w:val="000000" w:themeColor="text1"/>
          <w:kern w:val="0"/>
          <w:szCs w:val="21"/>
          <w:highlight w:val="none"/>
          <w14:textFill>
            <w14:solidFill>
              <w14:schemeClr w14:val="tx1"/>
            </w14:solidFill>
          </w14:textFill>
        </w:rPr>
      </w:pPr>
      <w:r>
        <w:rPr>
          <w:rFonts w:ascii="宋体" w:hAnsi="宋体" w:cs="宋体"/>
          <w:color w:val="000000" w:themeColor="text1"/>
          <w:kern w:val="0"/>
          <w:szCs w:val="21"/>
          <w:highlight w:val="none"/>
          <w14:textFill>
            <w14:solidFill>
              <w14:schemeClr w14:val="tx1"/>
            </w14:solidFill>
          </w14:textFill>
        </w:rPr>
        <w:br w:type="page"/>
      </w:r>
    </w:p>
    <w:p w14:paraId="68FA7B42">
      <w:pPr>
        <w:widowControl/>
        <w:spacing w:line="356" w:lineRule="auto"/>
        <w:jc w:val="center"/>
        <w:rPr>
          <w:rFonts w:hint="eastAsia" w:ascii="黑体" w:hAnsi="黑体" w:eastAsia="黑体" w:cs="宋体"/>
          <w:bCs/>
          <w:color w:val="000000" w:themeColor="text1"/>
          <w:kern w:val="0"/>
          <w:sz w:val="36"/>
          <w:szCs w:val="36"/>
          <w:highlight w:val="none"/>
          <w14:textFill>
            <w14:solidFill>
              <w14:schemeClr w14:val="tx1"/>
            </w14:solidFill>
          </w14:textFill>
        </w:rPr>
      </w:pPr>
      <w:r>
        <w:rPr>
          <w:rFonts w:hint="eastAsia" w:ascii="黑体" w:hAnsi="黑体" w:eastAsia="黑体" w:cs="宋体"/>
          <w:bCs/>
          <w:color w:val="000000" w:themeColor="text1"/>
          <w:kern w:val="0"/>
          <w:sz w:val="36"/>
          <w:szCs w:val="36"/>
          <w:highlight w:val="none"/>
          <w14:textFill>
            <w14:solidFill>
              <w14:schemeClr w14:val="tx1"/>
            </w14:solidFill>
          </w14:textFill>
        </w:rPr>
        <w:t>第三部分</w:t>
      </w:r>
      <w:r>
        <w:rPr>
          <w:rFonts w:ascii="黑体" w:hAnsi="黑体" w:eastAsia="黑体" w:cs="宋体"/>
          <w:bCs/>
          <w:color w:val="000000" w:themeColor="text1"/>
          <w:kern w:val="0"/>
          <w:sz w:val="36"/>
          <w:szCs w:val="36"/>
          <w:highlight w:val="none"/>
          <w14:textFill>
            <w14:solidFill>
              <w14:schemeClr w14:val="tx1"/>
            </w14:solidFill>
          </w14:textFill>
        </w:rPr>
        <w:t xml:space="preserve">  </w:t>
      </w:r>
      <w:r>
        <w:rPr>
          <w:rFonts w:hint="eastAsia" w:ascii="黑体" w:hAnsi="黑体" w:eastAsia="黑体" w:cs="宋体"/>
          <w:bCs/>
          <w:color w:val="000000" w:themeColor="text1"/>
          <w:kern w:val="0"/>
          <w:sz w:val="36"/>
          <w:szCs w:val="36"/>
          <w:highlight w:val="none"/>
          <w14:textFill>
            <w14:solidFill>
              <w14:schemeClr w14:val="tx1"/>
            </w14:solidFill>
          </w14:textFill>
        </w:rPr>
        <w:t>专用合同条款</w:t>
      </w:r>
    </w:p>
    <w:p w14:paraId="6C577907">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610" w:name="_Toc351203633"/>
      <w:r>
        <w:rPr>
          <w:rFonts w:hint="eastAsia" w:ascii="黑体" w:hAnsi="黑体" w:cs="黑体"/>
          <w:color w:val="000000" w:themeColor="text1"/>
          <w:sz w:val="21"/>
          <w:szCs w:val="21"/>
          <w:highlight w:val="none"/>
          <w14:textFill>
            <w14:solidFill>
              <w14:schemeClr w14:val="tx1"/>
            </w14:solidFill>
          </w14:textFill>
        </w:rPr>
        <w:t>1</w:t>
      </w:r>
      <w:bookmarkStart w:id="611" w:name="_Toc296346657"/>
      <w:bookmarkStart w:id="612" w:name="_Toc296890984"/>
      <w:bookmarkStart w:id="613" w:name="_Toc296347155"/>
      <w:bookmarkStart w:id="614" w:name="_Toc297120456"/>
      <w:bookmarkStart w:id="615" w:name="_Toc292559866"/>
      <w:bookmarkStart w:id="616" w:name="_Toc296891196"/>
      <w:bookmarkStart w:id="617" w:name="_Toc296503156"/>
      <w:bookmarkStart w:id="618" w:name="_Toc296944495"/>
      <w:bookmarkStart w:id="619" w:name="_Toc297048342"/>
      <w:bookmarkStart w:id="620" w:name="_Toc292559361"/>
      <w:r>
        <w:rPr>
          <w:rFonts w:hint="eastAsia" w:ascii="黑体" w:hAnsi="黑体" w:cs="黑体"/>
          <w:color w:val="000000" w:themeColor="text1"/>
          <w:sz w:val="21"/>
          <w:szCs w:val="21"/>
          <w:highlight w:val="none"/>
          <w14:textFill>
            <w14:solidFill>
              <w14:schemeClr w14:val="tx1"/>
            </w14:solidFill>
          </w14:textFill>
        </w:rPr>
        <w:t>. 一般约定</w:t>
      </w:r>
      <w:bookmarkEnd w:id="610"/>
    </w:p>
    <w:bookmarkEnd w:id="611"/>
    <w:bookmarkEnd w:id="612"/>
    <w:bookmarkEnd w:id="613"/>
    <w:bookmarkEnd w:id="614"/>
    <w:bookmarkEnd w:id="615"/>
    <w:bookmarkEnd w:id="616"/>
    <w:bookmarkEnd w:id="617"/>
    <w:bookmarkEnd w:id="618"/>
    <w:bookmarkEnd w:id="619"/>
    <w:bookmarkEnd w:id="620"/>
    <w:p w14:paraId="72CAEA84">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 词语定义</w:t>
      </w:r>
    </w:p>
    <w:p w14:paraId="6D93B639">
      <w:pPr>
        <w:spacing w:line="356" w:lineRule="auto"/>
        <w:ind w:firstLine="420" w:firstLineChars="200"/>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1.1.1合同</w:t>
      </w:r>
    </w:p>
    <w:p w14:paraId="56C294AD">
      <w:pPr>
        <w:spacing w:line="356" w:lineRule="auto"/>
        <w:ind w:firstLine="411" w:firstLineChars="196"/>
        <w:rPr>
          <w:color w:val="000000" w:themeColor="text1"/>
          <w:szCs w:val="21"/>
          <w:highlight w:val="none"/>
          <w:u w:val="singl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1.1.1.10其他合同文件包括：</w:t>
      </w:r>
      <w:r>
        <w:rPr>
          <w:rFonts w:hint="eastAsia"/>
          <w:color w:val="000000" w:themeColor="text1"/>
          <w:szCs w:val="21"/>
          <w:highlight w:val="none"/>
          <w:u w:val="single"/>
          <w14:textFill>
            <w14:solidFill>
              <w14:schemeClr w14:val="tx1"/>
            </w14:solidFill>
          </w14:textFill>
        </w:rPr>
        <w:t>1、合同签署及履行中承发包双方之间澄清、洽商、变更等明确双方权利义务的纪要、补充协议2、本合同协议书3、中标通知书4、本合同专用条款5、本合同通用条款6、施工招标文件及附件7、标准、规范及有关技术文件8、投标文件及附件9、工程量清单10、工程报价单或预算书。</w:t>
      </w:r>
    </w:p>
    <w:p w14:paraId="01CEA75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1.1.3 工程和设备</w:t>
      </w:r>
    </w:p>
    <w:p w14:paraId="6FF56234">
      <w:pPr>
        <w:spacing w:line="356"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1.1.3.7 作为施工现场组成部分的其他场所包括：</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33C5634C">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1.1.3.9 永久占地包括：</w:t>
      </w:r>
      <w:r>
        <w:rPr>
          <w:rFonts w:ascii="宋体" w:hAnsi="宋体"/>
          <w:color w:val="000000" w:themeColor="text1"/>
          <w:szCs w:val="21"/>
          <w:highlight w:val="none"/>
          <w:u w:val="single"/>
          <w14:textFill>
            <w14:solidFill>
              <w14:schemeClr w14:val="tx1"/>
            </w14:solidFill>
          </w14:textFill>
        </w:rPr>
        <w:t xml:space="preserve">     </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kern w:val="0"/>
          <w:szCs w:val="21"/>
          <w:highlight w:val="none"/>
          <w14:textFill>
            <w14:solidFill>
              <w14:schemeClr w14:val="tx1"/>
            </w14:solidFill>
          </w14:textFill>
        </w:rPr>
        <w:t>。</w:t>
      </w:r>
    </w:p>
    <w:p w14:paraId="367F3580">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1.1.3.10 临时占地包括：</w:t>
      </w:r>
      <w:r>
        <w:rPr>
          <w:rFonts w:hint="eastAsia" w:ascii="宋体" w:hAnsi="宋体"/>
          <w:color w:val="000000" w:themeColor="text1"/>
          <w:szCs w:val="21"/>
          <w:highlight w:val="none"/>
          <w:u w:val="single"/>
          <w14:textFill>
            <w14:solidFill>
              <w14:schemeClr w14:val="tx1"/>
            </w14:solidFill>
          </w14:textFill>
        </w:rPr>
        <w:t>施工过程中的临时用房，生产用地等</w:t>
      </w:r>
      <w:r>
        <w:rPr>
          <w:rFonts w:ascii="宋体" w:hAnsi="宋体"/>
          <w:color w:val="000000" w:themeColor="text1"/>
          <w:kern w:val="0"/>
          <w:szCs w:val="21"/>
          <w:highlight w:val="none"/>
          <w14:textFill>
            <w14:solidFill>
              <w14:schemeClr w14:val="tx1"/>
            </w14:solidFill>
          </w14:textFill>
        </w:rPr>
        <w:t>。</w:t>
      </w:r>
    </w:p>
    <w:p w14:paraId="49342FA3">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1.3法律 </w:t>
      </w:r>
    </w:p>
    <w:p w14:paraId="72146CA2">
      <w:pPr>
        <w:autoSpaceDE w:val="0"/>
        <w:autoSpaceDN w:val="0"/>
        <w:adjustRightInd w:val="0"/>
        <w:spacing w:line="356" w:lineRule="auto"/>
        <w:ind w:firstLine="594" w:firstLineChars="283"/>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适用于合同的其他规范性文件：</w:t>
      </w:r>
      <w:r>
        <w:rPr>
          <w:rFonts w:hint="eastAsia" w:ascii="宋体" w:hAnsi="宋体" w:cs="宋体"/>
          <w:color w:val="000000" w:themeColor="text1"/>
          <w:szCs w:val="21"/>
          <w:highlight w:val="none"/>
          <w:u w:val="single"/>
          <w14:textFill>
            <w14:solidFill>
              <w14:schemeClr w14:val="tx1"/>
            </w14:solidFill>
          </w14:textFill>
        </w:rPr>
        <w:t>《中华人民共和国建筑法》、《中华人民共和国民法典》、《中华人民共和国招标投标法》、国务院《建设工程质量管理条例》、国务院《建设工程安全生产管理条例》、建设部《房屋建筑工程和市政基础设施工程竣工验收备案管理暂行办法》、建设部《房屋建筑工程质量保修办法》、《陕西省建设工程工程量清单计价规则》（2025版）、中华人民共和国《工程建设标准强制性条文》、现行《建筑工程质量验收统一标准》、《建筑工程施工及验收规范》等国家、部门及地方现行及后续的有关</w:t>
      </w:r>
      <w:r>
        <w:rPr>
          <w:rFonts w:hint="eastAsia" w:ascii="宋体" w:hAnsi="宋体" w:cs="宋体"/>
          <w:color w:val="000000" w:themeColor="text1"/>
          <w:szCs w:val="21"/>
          <w:highlight w:val="none"/>
          <w:u w:val="single"/>
          <w:lang w:eastAsia="zh-CN"/>
          <w14:textFill>
            <w14:solidFill>
              <w14:schemeClr w14:val="tx1"/>
            </w14:solidFill>
          </w14:textFill>
        </w:rPr>
        <w:t>法律法规</w:t>
      </w:r>
      <w:r>
        <w:rPr>
          <w:rFonts w:hint="eastAsia" w:ascii="宋体" w:hAnsi="宋体" w:cs="宋体"/>
          <w:color w:val="000000" w:themeColor="text1"/>
          <w:szCs w:val="21"/>
          <w:highlight w:val="none"/>
          <w:u w:val="single"/>
          <w14:textFill>
            <w14:solidFill>
              <w14:schemeClr w14:val="tx1"/>
            </w14:solidFill>
          </w14:textFill>
        </w:rPr>
        <w:t>、规章、规范性文件等</w:t>
      </w:r>
      <w:r>
        <w:rPr>
          <w:rFonts w:hint="eastAsia" w:ascii="宋体" w:hAnsi="宋体" w:cs="宋体"/>
          <w:color w:val="000000" w:themeColor="text1"/>
          <w:szCs w:val="21"/>
          <w:highlight w:val="none"/>
          <w:u w:val="single"/>
          <w:lang w:eastAsia="zh-CN"/>
          <w14:textFill>
            <w14:solidFill>
              <w14:schemeClr w14:val="tx1"/>
            </w14:solidFill>
          </w14:textFill>
        </w:rPr>
        <w:t>。</w:t>
      </w:r>
    </w:p>
    <w:p w14:paraId="14987CB0">
      <w:pPr>
        <w:autoSpaceDE w:val="0"/>
        <w:autoSpaceDN w:val="0"/>
        <w:adjustRightInd w:val="0"/>
        <w:spacing w:line="356" w:lineRule="auto"/>
        <w:ind w:firstLine="594" w:firstLineChars="283"/>
        <w:jc w:val="lef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本合同同时适用国家与工程所在地的有关建筑质量安全、环境保护等方面的</w:t>
      </w:r>
      <w:r>
        <w:rPr>
          <w:rFonts w:hint="eastAsia" w:ascii="宋体" w:hAnsi="宋体" w:cs="宋体"/>
          <w:color w:val="000000" w:themeColor="text1"/>
          <w:szCs w:val="21"/>
          <w:highlight w:val="none"/>
          <w:u w:val="single"/>
          <w:lang w:eastAsia="zh-CN"/>
          <w14:textFill>
            <w14:solidFill>
              <w14:schemeClr w14:val="tx1"/>
            </w14:solidFill>
          </w14:textFill>
        </w:rPr>
        <w:t>法律法规</w:t>
      </w:r>
      <w:r>
        <w:rPr>
          <w:rFonts w:hint="eastAsia" w:ascii="宋体" w:hAnsi="宋体" w:cs="宋体"/>
          <w:color w:val="000000" w:themeColor="text1"/>
          <w:szCs w:val="21"/>
          <w:highlight w:val="none"/>
          <w:u w:val="single"/>
          <w14:textFill>
            <w14:solidFill>
              <w14:schemeClr w14:val="tx1"/>
            </w14:solidFill>
          </w14:textFill>
        </w:rPr>
        <w:t>、规章。</w:t>
      </w:r>
    </w:p>
    <w:p w14:paraId="38F42CE7">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1.4 标准和规范</w:t>
      </w:r>
    </w:p>
    <w:p w14:paraId="0A6B5FE8">
      <w:pPr>
        <w:spacing w:line="356" w:lineRule="auto"/>
        <w:ind w:firstLine="420" w:firstLineChars="200"/>
        <w:rPr>
          <w:rFonts w:hint="eastAsia" w:ascii="MingLiU_HKSCS" w:hAnsi="MingLiU_HKSCS" w:eastAsia="MingLiU_HKSCS" w:cs="MingLiU_HKSCS"/>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1.4.1适用于工程的标准规范包括：</w:t>
      </w:r>
      <w:r>
        <w:rPr>
          <w:rFonts w:hint="eastAsia" w:ascii="MingLiU_HKSCS" w:hAnsi="MingLiU_HKSCS" w:cs="MingLiU_HKSCS"/>
          <w:color w:val="000000" w:themeColor="text1"/>
          <w:szCs w:val="21"/>
          <w:highlight w:val="none"/>
          <w:u w:val="single"/>
          <w14:textFill>
            <w14:solidFill>
              <w14:schemeClr w14:val="tx1"/>
            </w14:solidFill>
          </w14:textFill>
        </w:rPr>
        <w:t>执行国家现行的技术标准、施工验收规范及质量检验评定标准，以及材料、设备所涉及的现行国家、省、市或行业的工程建设标准、规范的要求</w:t>
      </w:r>
      <w:r>
        <w:rPr>
          <w:rFonts w:ascii="宋体" w:hAnsi="宋体"/>
          <w:color w:val="000000" w:themeColor="text1"/>
          <w:szCs w:val="21"/>
          <w:highlight w:val="none"/>
          <w14:textFill>
            <w14:solidFill>
              <w14:schemeClr w14:val="tx1"/>
            </w14:solidFill>
          </w14:textFill>
        </w:rPr>
        <w:t>。</w:t>
      </w:r>
    </w:p>
    <w:p w14:paraId="544AED6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1.5 合同文件的优先顺序</w:t>
      </w:r>
    </w:p>
    <w:p w14:paraId="59830D2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合同文件组成及优先顺序为：</w:t>
      </w:r>
      <w:r>
        <w:rPr>
          <w:rFonts w:hint="eastAsia" w:ascii="宋体" w:hAnsi="宋体"/>
          <w:color w:val="000000" w:themeColor="text1"/>
          <w:szCs w:val="21"/>
          <w:highlight w:val="none"/>
          <w:u w:val="single"/>
          <w14:textFill>
            <w14:solidFill>
              <w14:schemeClr w14:val="tx1"/>
            </w14:solidFill>
          </w14:textFill>
        </w:rPr>
        <w:t>1、合同签署及履行中承发包双方之间澄清、洽商、变更等明确双方权利义务的纪要、补充协议；2、本合同协议书；3、中标通知书；4、本合同专用条款及其附件；5、本合同通用条款；6、施工招标文件及附件；7、标准、规范及有关技术文件；8、投标文件及附件；9、工程量清单；10、工程报价单或预算书，以及其他合同文件</w:t>
      </w:r>
      <w:r>
        <w:rPr>
          <w:rFonts w:ascii="宋体" w:hAnsi="宋体"/>
          <w:color w:val="000000" w:themeColor="text1"/>
          <w:szCs w:val="21"/>
          <w:highlight w:val="none"/>
          <w14:textFill>
            <w14:solidFill>
              <w14:schemeClr w14:val="tx1"/>
            </w14:solidFill>
          </w14:textFill>
        </w:rPr>
        <w:t>。</w:t>
      </w:r>
    </w:p>
    <w:p w14:paraId="139D08A9">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1.6 图纸和承包人文件</w:t>
      </w:r>
      <w:r>
        <w:rPr>
          <w:rFonts w:ascii="宋体" w:hAnsi="宋体"/>
          <w:color w:val="000000" w:themeColor="text1"/>
          <w:szCs w:val="21"/>
          <w:highlight w:val="none"/>
          <w14:textFill>
            <w14:solidFill>
              <w14:schemeClr w14:val="tx1"/>
            </w14:solidFill>
          </w14:textFill>
        </w:rPr>
        <w:tab/>
      </w:r>
    </w:p>
    <w:p w14:paraId="0A61ED4D">
      <w:pPr>
        <w:spacing w:line="356"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1.6.1 图纸的提供</w:t>
      </w:r>
      <w:r>
        <w:rPr>
          <w:rFonts w:hint="eastAsia" w:ascii="宋体" w:hAnsi="宋体"/>
          <w:color w:val="000000" w:themeColor="text1"/>
          <w:szCs w:val="21"/>
          <w:highlight w:val="none"/>
          <w14:textFill>
            <w14:solidFill>
              <w14:schemeClr w14:val="tx1"/>
            </w14:solidFill>
          </w14:textFill>
        </w:rPr>
        <w:t>：</w:t>
      </w:r>
    </w:p>
    <w:p w14:paraId="69D95566">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发包人向承包人提供图纸的期限：</w:t>
      </w:r>
      <w:r>
        <w:rPr>
          <w:rFonts w:hint="eastAsia" w:ascii="宋体" w:hAnsi="宋体"/>
          <w:color w:val="000000" w:themeColor="text1"/>
          <w:szCs w:val="21"/>
          <w:highlight w:val="none"/>
          <w:u w:val="single"/>
          <w14:textFill>
            <w14:solidFill>
              <w14:schemeClr w14:val="tx1"/>
            </w14:solidFill>
          </w14:textFill>
        </w:rPr>
        <w:t>在合同签订后5日内；</w:t>
      </w:r>
    </w:p>
    <w:p w14:paraId="51AE0D42">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发包人向承包人提供图纸的数量：</w:t>
      </w:r>
      <w:r>
        <w:rPr>
          <w:rFonts w:hint="eastAsia" w:ascii="宋体" w:hAnsi="宋体"/>
          <w:color w:val="000000" w:themeColor="text1"/>
          <w:szCs w:val="21"/>
          <w:highlight w:val="none"/>
          <w:u w:val="single"/>
          <w14:textFill>
            <w14:solidFill>
              <w14:schemeClr w14:val="tx1"/>
            </w14:solidFill>
          </w14:textFill>
        </w:rPr>
        <w:t>四套，标准图由承包人自备；</w:t>
      </w:r>
    </w:p>
    <w:p w14:paraId="1D3F89B3">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发包人向承包人提供图纸的内容：</w:t>
      </w:r>
      <w:r>
        <w:rPr>
          <w:rFonts w:hint="eastAsia" w:ascii="宋体" w:hAnsi="宋体"/>
          <w:color w:val="000000" w:themeColor="text1"/>
          <w:szCs w:val="21"/>
          <w:highlight w:val="none"/>
          <w:u w:val="single"/>
          <w14:textFill>
            <w14:solidFill>
              <w14:schemeClr w14:val="tx1"/>
            </w14:solidFill>
          </w14:textFill>
        </w:rPr>
        <w:t>施工图（包括水、电、暖、结构、建筑等）。</w:t>
      </w:r>
    </w:p>
    <w:p w14:paraId="29926102">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1.6.4 承包人文件</w:t>
      </w:r>
    </w:p>
    <w:p w14:paraId="6FA0606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需要由承包人提供的文件，包括：</w:t>
      </w:r>
      <w:r>
        <w:rPr>
          <w:rFonts w:hint="eastAsia" w:ascii="宋体" w:hAnsi="宋体"/>
          <w:color w:val="000000" w:themeColor="text1"/>
          <w:szCs w:val="21"/>
          <w:highlight w:val="none"/>
          <w:u w:val="single"/>
          <w14:textFill>
            <w14:solidFill>
              <w14:schemeClr w14:val="tx1"/>
            </w14:solidFill>
          </w14:textFill>
        </w:rPr>
        <w:t>施工组织设计（施工方案）、工期进度计划、安全文明施工措施、人员安排等</w:t>
      </w:r>
      <w:r>
        <w:rPr>
          <w:rFonts w:ascii="宋体" w:hAnsi="宋体"/>
          <w:color w:val="000000" w:themeColor="text1"/>
          <w:szCs w:val="21"/>
          <w:highlight w:val="none"/>
          <w14:textFill>
            <w14:solidFill>
              <w14:schemeClr w14:val="tx1"/>
            </w14:solidFill>
          </w14:textFill>
        </w:rPr>
        <w:t>；</w:t>
      </w:r>
    </w:p>
    <w:p w14:paraId="769FC8C7">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承包人提供的文件的期限为：</w:t>
      </w:r>
      <w:r>
        <w:rPr>
          <w:rFonts w:hint="eastAsia"/>
          <w:color w:val="000000" w:themeColor="text1"/>
          <w:szCs w:val="21"/>
          <w:highlight w:val="none"/>
          <w:u w:val="single"/>
          <w14:textFill>
            <w14:solidFill>
              <w14:schemeClr w14:val="tx1"/>
            </w14:solidFill>
          </w14:textFill>
        </w:rPr>
        <w:t>开工前5日内</w:t>
      </w:r>
      <w:r>
        <w:rPr>
          <w:rFonts w:ascii="宋体" w:hAnsi="宋体"/>
          <w:color w:val="000000" w:themeColor="text1"/>
          <w:szCs w:val="21"/>
          <w:highlight w:val="none"/>
          <w14:textFill>
            <w14:solidFill>
              <w14:schemeClr w14:val="tx1"/>
            </w14:solidFill>
          </w14:textFill>
        </w:rPr>
        <w:t>；</w:t>
      </w:r>
    </w:p>
    <w:p w14:paraId="6AE6675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承包人提供的文件的数量为：</w:t>
      </w:r>
      <w:r>
        <w:rPr>
          <w:rFonts w:hint="eastAsia" w:ascii="宋体" w:hAnsi="宋体"/>
          <w:color w:val="000000" w:themeColor="text1"/>
          <w:szCs w:val="21"/>
          <w:highlight w:val="none"/>
          <w:u w:val="single"/>
          <w14:textFill>
            <w14:solidFill>
              <w14:schemeClr w14:val="tx1"/>
            </w14:solidFill>
          </w14:textFill>
        </w:rPr>
        <w:t>不少于5份</w:t>
      </w:r>
      <w:r>
        <w:rPr>
          <w:rFonts w:ascii="宋体" w:hAnsi="宋体"/>
          <w:color w:val="000000" w:themeColor="text1"/>
          <w:szCs w:val="21"/>
          <w:highlight w:val="none"/>
          <w14:textFill>
            <w14:solidFill>
              <w14:schemeClr w14:val="tx1"/>
            </w14:solidFill>
          </w14:textFill>
        </w:rPr>
        <w:t>；</w:t>
      </w:r>
    </w:p>
    <w:p w14:paraId="24164CFE">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承包人提供的文件的形式为：</w:t>
      </w:r>
      <w:r>
        <w:rPr>
          <w:rFonts w:hint="eastAsia" w:ascii="宋体" w:hAnsi="宋体"/>
          <w:color w:val="000000" w:themeColor="text1"/>
          <w:szCs w:val="21"/>
          <w:highlight w:val="none"/>
          <w:u w:val="single"/>
          <w14:textFill>
            <w14:solidFill>
              <w14:schemeClr w14:val="tx1"/>
            </w14:solidFill>
          </w14:textFill>
        </w:rPr>
        <w:t>纸质文件及电子文档</w:t>
      </w:r>
      <w:r>
        <w:rPr>
          <w:rFonts w:ascii="宋体" w:hAnsi="宋体"/>
          <w:color w:val="000000" w:themeColor="text1"/>
          <w:szCs w:val="21"/>
          <w:highlight w:val="none"/>
          <w14:textFill>
            <w14:solidFill>
              <w14:schemeClr w14:val="tx1"/>
            </w14:solidFill>
          </w14:textFill>
        </w:rPr>
        <w:t>；</w:t>
      </w:r>
    </w:p>
    <w:p w14:paraId="06947987">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w:t>
      </w:r>
      <w:r>
        <w:rPr>
          <w:rFonts w:hint="eastAsia" w:ascii="宋体" w:hAnsi="宋体"/>
          <w:color w:val="000000" w:themeColor="text1"/>
          <w:szCs w:val="21"/>
          <w:highlight w:val="none"/>
          <w14:textFill>
            <w14:solidFill>
              <w14:schemeClr w14:val="tx1"/>
            </w14:solidFill>
          </w14:textFill>
        </w:rPr>
        <w:t>审批</w:t>
      </w:r>
      <w:r>
        <w:rPr>
          <w:rFonts w:ascii="宋体" w:hAnsi="宋体"/>
          <w:color w:val="000000" w:themeColor="text1"/>
          <w:szCs w:val="21"/>
          <w:highlight w:val="none"/>
          <w14:textFill>
            <w14:solidFill>
              <w14:schemeClr w14:val="tx1"/>
            </w14:solidFill>
          </w14:textFill>
        </w:rPr>
        <w:t>承包人文件的期限：</w:t>
      </w:r>
      <w:r>
        <w:rPr>
          <w:rFonts w:hint="eastAsia" w:ascii="MingLiU_HKSCS" w:hAnsi="MingLiU_HKSCS" w:cs="MingLiU_HKSCS"/>
          <w:color w:val="000000" w:themeColor="text1"/>
          <w:szCs w:val="21"/>
          <w:highlight w:val="none"/>
          <w:u w:val="single"/>
          <w14:textFill>
            <w14:solidFill>
              <w14:schemeClr w14:val="tx1"/>
            </w14:solidFill>
          </w14:textFill>
        </w:rPr>
        <w:t>接到</w:t>
      </w:r>
      <w:r>
        <w:rPr>
          <w:rFonts w:hint="eastAsia" w:ascii="宋体" w:hAnsi="宋体"/>
          <w:color w:val="000000" w:themeColor="text1"/>
          <w:szCs w:val="21"/>
          <w:highlight w:val="none"/>
          <w:u w:val="single"/>
          <w14:textFill>
            <w14:solidFill>
              <w14:schemeClr w14:val="tx1"/>
            </w14:solidFill>
          </w14:textFill>
        </w:rPr>
        <w:t>承包人文件后7日内</w:t>
      </w:r>
      <w:r>
        <w:rPr>
          <w:rFonts w:ascii="宋体" w:hAnsi="宋体"/>
          <w:color w:val="000000" w:themeColor="text1"/>
          <w:szCs w:val="21"/>
          <w:highlight w:val="none"/>
          <w14:textFill>
            <w14:solidFill>
              <w14:schemeClr w14:val="tx1"/>
            </w14:solidFill>
          </w14:textFill>
        </w:rPr>
        <w:t>。</w:t>
      </w:r>
    </w:p>
    <w:p w14:paraId="0906EDF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1.6.5 现场图纸准备</w:t>
      </w:r>
    </w:p>
    <w:p w14:paraId="69E2C502">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关于现场图纸准备的约定：</w:t>
      </w:r>
      <w:r>
        <w:rPr>
          <w:rFonts w:hint="eastAsia" w:ascii="宋体" w:hAnsi="宋体"/>
          <w:color w:val="000000" w:themeColor="text1"/>
          <w:szCs w:val="21"/>
          <w:highlight w:val="none"/>
          <w:u w:val="single"/>
          <w14:textFill>
            <w14:solidFill>
              <w14:schemeClr w14:val="tx1"/>
            </w14:solidFill>
          </w14:textFill>
        </w:rPr>
        <w:t>执行通用条款。</w:t>
      </w:r>
    </w:p>
    <w:p w14:paraId="3BACE01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1.7 联络</w:t>
      </w:r>
    </w:p>
    <w:p w14:paraId="721E2161">
      <w:pPr>
        <w:spacing w:line="356" w:lineRule="auto"/>
        <w:ind w:firstLine="420" w:firstLineChars="200"/>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1.7.1发包人和承包人应当在</w:t>
      </w:r>
      <w:r>
        <w:rPr>
          <w:rFonts w:hint="eastAsia" w:ascii="宋体" w:hAnsi="宋体"/>
          <w:color w:val="000000" w:themeColor="text1"/>
          <w:szCs w:val="21"/>
          <w:highlight w:val="none"/>
          <w:u w:val="single"/>
          <w14:textFill>
            <w14:solidFill>
              <w14:schemeClr w14:val="tx1"/>
            </w14:solidFill>
          </w14:textFill>
        </w:rPr>
        <w:t>7</w:t>
      </w:r>
      <w:r>
        <w:rPr>
          <w:rFonts w:ascii="宋体" w:hAnsi="宋体"/>
          <w:color w:val="000000" w:themeColor="text1"/>
          <w:kern w:val="0"/>
          <w:szCs w:val="21"/>
          <w:highlight w:val="none"/>
          <w14:textFill>
            <w14:solidFill>
              <w14:schemeClr w14:val="tx1"/>
            </w14:solidFill>
          </w14:textFill>
        </w:rPr>
        <w:t>天内将与合同有关的通知、批准、证明、证书、指示、指令、要求、请求、同意、意见、确定和决定等书面函件送达对方当事人</w:t>
      </w:r>
      <w:r>
        <w:rPr>
          <w:rFonts w:hint="eastAsia" w:ascii="宋体" w:hAnsi="宋体"/>
          <w:color w:val="000000" w:themeColor="text1"/>
          <w:kern w:val="0"/>
          <w:szCs w:val="21"/>
          <w:highlight w:val="none"/>
          <w14:textFill>
            <w14:solidFill>
              <w14:schemeClr w14:val="tx1"/>
            </w14:solidFill>
          </w14:textFill>
        </w:rPr>
        <w:t>。</w:t>
      </w:r>
    </w:p>
    <w:p w14:paraId="08F38193">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1.10 交通运输</w:t>
      </w:r>
    </w:p>
    <w:p w14:paraId="00BE9748">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bookmarkStart w:id="621" w:name="_Toc300934943"/>
      <w:bookmarkStart w:id="622" w:name="_Toc304295521"/>
      <w:bookmarkStart w:id="623" w:name="_Toc312677986"/>
      <w:bookmarkStart w:id="624" w:name="_Toc318581155"/>
      <w:bookmarkStart w:id="625" w:name="_Toc303539100"/>
      <w:r>
        <w:rPr>
          <w:rFonts w:ascii="宋体" w:hAnsi="宋体"/>
          <w:color w:val="000000" w:themeColor="text1"/>
          <w:szCs w:val="21"/>
          <w:highlight w:val="none"/>
          <w14:textFill>
            <w14:solidFill>
              <w14:schemeClr w14:val="tx1"/>
            </w14:solidFill>
          </w14:textFill>
        </w:rPr>
        <w:t>.10.1 出入现场的权利</w:t>
      </w:r>
    </w:p>
    <w:p w14:paraId="2ABE6572">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关于出入现场的权利的约定：</w:t>
      </w:r>
      <w:r>
        <w:rPr>
          <w:rFonts w:hint="eastAsia" w:ascii="宋体" w:hAnsi="宋体" w:cs="MingLiU_HKSCS"/>
          <w:color w:val="000000" w:themeColor="text1"/>
          <w:szCs w:val="21"/>
          <w:highlight w:val="none"/>
          <w:u w:val="single"/>
          <w14:textFill>
            <w14:solidFill>
              <w14:schemeClr w14:val="tx1"/>
            </w14:solidFill>
          </w14:textFill>
        </w:rPr>
        <w:t>承包人负责现场管理，发包人遵守承包人现场管理的规定</w:t>
      </w:r>
      <w:r>
        <w:rPr>
          <w:rFonts w:ascii="宋体" w:hAnsi="宋体"/>
          <w:color w:val="000000" w:themeColor="text1"/>
          <w:szCs w:val="21"/>
          <w:highlight w:val="none"/>
          <w14:textFill>
            <w14:solidFill>
              <w14:schemeClr w14:val="tx1"/>
            </w14:solidFill>
          </w14:textFill>
        </w:rPr>
        <w:t>。</w:t>
      </w:r>
    </w:p>
    <w:bookmarkEnd w:id="621"/>
    <w:bookmarkEnd w:id="622"/>
    <w:bookmarkEnd w:id="623"/>
    <w:bookmarkEnd w:id="624"/>
    <w:bookmarkEnd w:id="625"/>
    <w:p w14:paraId="65469A68">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bookmarkStart w:id="626" w:name="_Toc304295522"/>
      <w:bookmarkStart w:id="627" w:name="_Toc312677987"/>
      <w:bookmarkStart w:id="628" w:name="_Toc300934944"/>
      <w:bookmarkStart w:id="629" w:name="_Toc318581156"/>
      <w:bookmarkStart w:id="630" w:name="_Toc303539101"/>
      <w:r>
        <w:rPr>
          <w:rFonts w:ascii="宋体" w:hAnsi="宋体"/>
          <w:color w:val="000000" w:themeColor="text1"/>
          <w:szCs w:val="21"/>
          <w:highlight w:val="none"/>
          <w14:textFill>
            <w14:solidFill>
              <w14:schemeClr w14:val="tx1"/>
            </w14:solidFill>
          </w14:textFill>
        </w:rPr>
        <w:t>.10.3 场内交通</w:t>
      </w:r>
    </w:p>
    <w:p w14:paraId="609E84DF">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关于场外交通和场内交通的边界的约定：</w:t>
      </w:r>
      <w:r>
        <w:rPr>
          <w:rFonts w:hint="eastAsia" w:ascii="宋体" w:hAnsi="宋体"/>
          <w:color w:val="000000" w:themeColor="text1"/>
          <w:szCs w:val="21"/>
          <w:highlight w:val="none"/>
          <w:u w:val="single"/>
          <w14:textFill>
            <w14:solidFill>
              <w14:schemeClr w14:val="tx1"/>
            </w14:solidFill>
          </w14:textFill>
        </w:rPr>
        <w:t>施工围墙以外为场外交通，施工围墙以内为场内交通，但施工大门至公共道路处为场内交通</w:t>
      </w:r>
      <w:r>
        <w:rPr>
          <w:rFonts w:ascii="宋体" w:hAnsi="宋体"/>
          <w:color w:val="000000" w:themeColor="text1"/>
          <w:szCs w:val="21"/>
          <w:highlight w:val="none"/>
          <w14:textFill>
            <w14:solidFill>
              <w14:schemeClr w14:val="tx1"/>
            </w14:solidFill>
          </w14:textFill>
        </w:rPr>
        <w:t>。</w:t>
      </w:r>
    </w:p>
    <w:p w14:paraId="3C5C558C">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关于发包人向承包人免费提供满足工程施工需要的场内道路和交通设施的约定：</w:t>
      </w:r>
      <w:r>
        <w:rPr>
          <w:rFonts w:hint="eastAsia" w:ascii="宋体" w:hAnsi="宋体"/>
          <w:color w:val="000000" w:themeColor="text1"/>
          <w:szCs w:val="21"/>
          <w:highlight w:val="none"/>
          <w:u w:val="single"/>
          <w14:textFill>
            <w14:solidFill>
              <w14:schemeClr w14:val="tx1"/>
            </w14:solidFill>
          </w14:textFill>
        </w:rPr>
        <w:t>场内道路的施工及交通设施由承包人负责，场外道路设施由发包人承担</w:t>
      </w:r>
      <w:r>
        <w:rPr>
          <w:rFonts w:ascii="宋体" w:hAnsi="宋体"/>
          <w:color w:val="000000" w:themeColor="text1"/>
          <w:szCs w:val="21"/>
          <w:highlight w:val="none"/>
          <w:u w:val="single"/>
          <w14:textFill>
            <w14:solidFill>
              <w14:schemeClr w14:val="tx1"/>
            </w14:solidFill>
          </w14:textFill>
        </w:rPr>
        <w:t>。</w:t>
      </w:r>
      <w:bookmarkEnd w:id="626"/>
      <w:bookmarkEnd w:id="627"/>
      <w:bookmarkEnd w:id="628"/>
      <w:bookmarkEnd w:id="629"/>
      <w:bookmarkEnd w:id="630"/>
      <w:bookmarkStart w:id="631" w:name="_Toc318581157"/>
    </w:p>
    <w:p w14:paraId="3D4AC356">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1.10.4超大件和超重件的运输</w:t>
      </w:r>
    </w:p>
    <w:p w14:paraId="78348E29">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运输超大件或超重件所需的道路和桥梁临时加固改造费用和其他有关费用由</w:t>
      </w:r>
      <w:r>
        <w:rPr>
          <w:rFonts w:hint="eastAsia" w:ascii="宋体" w:hAnsi="宋体"/>
          <w:color w:val="000000" w:themeColor="text1"/>
          <w:szCs w:val="21"/>
          <w:highlight w:val="none"/>
          <w:u w:val="single"/>
          <w14:textFill>
            <w14:solidFill>
              <w14:schemeClr w14:val="tx1"/>
            </w14:solidFill>
          </w14:textFill>
        </w:rPr>
        <w:t>承包人</w:t>
      </w:r>
      <w:r>
        <w:rPr>
          <w:rFonts w:ascii="宋体" w:hAnsi="宋体"/>
          <w:color w:val="000000" w:themeColor="text1"/>
          <w:szCs w:val="21"/>
          <w:highlight w:val="none"/>
          <w14:textFill>
            <w14:solidFill>
              <w14:schemeClr w14:val="tx1"/>
            </w14:solidFill>
          </w14:textFill>
        </w:rPr>
        <w:t>承担。</w:t>
      </w:r>
    </w:p>
    <w:bookmarkEnd w:id="631"/>
    <w:p w14:paraId="133EA58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1.11 知识产权</w:t>
      </w:r>
    </w:p>
    <w:p w14:paraId="6560A513">
      <w:pPr>
        <w:spacing w:line="356" w:lineRule="auto"/>
        <w:ind w:firstLine="420" w:firstLineChars="200"/>
        <w:rPr>
          <w:rFonts w:hint="eastAsia" w:ascii="宋体" w:hAnsi="宋体" w:cs="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themeColor="text1"/>
          <w:szCs w:val="21"/>
          <w:highlight w:val="none"/>
          <w:u w:val="single"/>
          <w14:textFill>
            <w14:solidFill>
              <w14:schemeClr w14:val="tx1"/>
            </w14:solidFill>
          </w14:textFill>
        </w:rPr>
        <w:t>发包人</w:t>
      </w:r>
      <w:r>
        <w:rPr>
          <w:rFonts w:ascii="宋体" w:hAnsi="宋体"/>
          <w:color w:val="000000" w:themeColor="text1"/>
          <w:szCs w:val="21"/>
          <w:highlight w:val="none"/>
          <w14:textFill>
            <w14:solidFill>
              <w14:schemeClr w14:val="tx1"/>
            </w14:solidFill>
          </w14:textFill>
        </w:rPr>
        <w:t>。</w:t>
      </w:r>
    </w:p>
    <w:p w14:paraId="47A9A7DD">
      <w:pPr>
        <w:spacing w:line="356" w:lineRule="auto"/>
        <w:ind w:firstLine="594" w:firstLineChars="283"/>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关于发包人提供的上述文件的使用限制的要求：</w:t>
      </w:r>
      <w:r>
        <w:rPr>
          <w:rFonts w:hint="eastAsia" w:ascii="宋体" w:hAnsi="宋体"/>
          <w:color w:val="000000" w:themeColor="text1"/>
          <w:szCs w:val="21"/>
          <w:highlight w:val="none"/>
          <w:u w:val="single"/>
          <w14:textFill>
            <w14:solidFill>
              <w14:schemeClr w14:val="tx1"/>
            </w14:solidFill>
          </w14:textFill>
        </w:rPr>
        <w:t>承包人对上述文件复制应经发包人同意并记录，按受控文件要求进行管理，不得外传、外借。</w:t>
      </w:r>
    </w:p>
    <w:p w14:paraId="52999A9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1.11.2 关于承包人为实施工程所编制文件的著作权的归属：</w:t>
      </w:r>
      <w:r>
        <w:rPr>
          <w:rFonts w:hint="eastAsia" w:ascii="宋体" w:hAnsi="宋体"/>
          <w:color w:val="000000" w:themeColor="text1"/>
          <w:szCs w:val="21"/>
          <w:highlight w:val="none"/>
          <w:u w:val="single"/>
          <w14:textFill>
            <w14:solidFill>
              <w14:schemeClr w14:val="tx1"/>
            </w14:solidFill>
          </w14:textFill>
        </w:rPr>
        <w:t>发包人</w:t>
      </w:r>
      <w:r>
        <w:rPr>
          <w:rFonts w:ascii="宋体" w:hAnsi="宋体"/>
          <w:color w:val="000000" w:themeColor="text1"/>
          <w:szCs w:val="21"/>
          <w:highlight w:val="none"/>
          <w14:textFill>
            <w14:solidFill>
              <w14:schemeClr w14:val="tx1"/>
            </w14:solidFill>
          </w14:textFill>
        </w:rPr>
        <w:t>。</w:t>
      </w:r>
    </w:p>
    <w:p w14:paraId="69CC230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关于承包人提供的上述文件的使用限制的要求：</w:t>
      </w:r>
      <w:r>
        <w:rPr>
          <w:rFonts w:hint="eastAsia" w:ascii="宋体" w:hAnsi="宋体"/>
          <w:color w:val="000000" w:themeColor="text1"/>
          <w:szCs w:val="21"/>
          <w:highlight w:val="none"/>
          <w:u w:val="single"/>
          <w14:textFill>
            <w14:solidFill>
              <w14:schemeClr w14:val="tx1"/>
            </w14:solidFill>
          </w14:textFill>
        </w:rPr>
        <w:t>承包人对上述文件复制应经发包人同意并记录，按受控文件要求进行管理，不得外传、外借</w:t>
      </w:r>
      <w:r>
        <w:rPr>
          <w:rFonts w:ascii="宋体" w:hAnsi="宋体"/>
          <w:color w:val="000000" w:themeColor="text1"/>
          <w:szCs w:val="21"/>
          <w:highlight w:val="none"/>
          <w14:textFill>
            <w14:solidFill>
              <w14:schemeClr w14:val="tx1"/>
            </w14:solidFill>
          </w14:textFill>
        </w:rPr>
        <w:t>。</w:t>
      </w:r>
    </w:p>
    <w:p w14:paraId="57691976">
      <w:pPr>
        <w:spacing w:line="356" w:lineRule="auto"/>
        <w:ind w:firstLine="420" w:firstLineChars="200"/>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1.11.4 承包人在施工过程中所采用的专利、专有技术、技术秘密的使用费的承担方式：</w:t>
      </w:r>
      <w:r>
        <w:rPr>
          <w:rFonts w:hint="eastAsia" w:ascii="MingLiU_HKSCS" w:hAnsi="MingLiU_HKSCS" w:cs="MingLiU_HKSCS"/>
          <w:color w:val="000000" w:themeColor="text1"/>
          <w:szCs w:val="21"/>
          <w:highlight w:val="none"/>
          <w:u w:val="single"/>
          <w14:textFill>
            <w14:solidFill>
              <w14:schemeClr w14:val="tx1"/>
            </w14:solidFill>
          </w14:textFill>
        </w:rPr>
        <w:t>承包人自行承担</w:t>
      </w:r>
      <w:r>
        <w:rPr>
          <w:rFonts w:ascii="宋体" w:hAnsi="宋体"/>
          <w:color w:val="000000" w:themeColor="text1"/>
          <w:kern w:val="0"/>
          <w:szCs w:val="21"/>
          <w:highlight w:val="none"/>
          <w14:textFill>
            <w14:solidFill>
              <w14:schemeClr w14:val="tx1"/>
            </w14:solidFill>
          </w14:textFill>
        </w:rPr>
        <w:t>。</w:t>
      </w:r>
    </w:p>
    <w:p w14:paraId="7602B41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1.13工程量清单错误的修正</w:t>
      </w:r>
    </w:p>
    <w:p w14:paraId="60C473C1">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出现工程量清单错误时，是否调整合同价格：</w:t>
      </w:r>
      <w:r>
        <w:rPr>
          <w:rFonts w:hint="eastAsia" w:ascii="MingLiU_HKSCS" w:hAnsi="MingLiU_HKSCS" w:cs="MingLiU_HKSCS"/>
          <w:color w:val="000000" w:themeColor="text1"/>
          <w:szCs w:val="21"/>
          <w:highlight w:val="none"/>
          <w:u w:val="single"/>
          <w14:textFill>
            <w14:solidFill>
              <w14:schemeClr w14:val="tx1"/>
            </w14:solidFill>
          </w14:textFill>
        </w:rPr>
        <w:t>是</w:t>
      </w:r>
      <w:r>
        <w:rPr>
          <w:rFonts w:ascii="宋体" w:hAnsi="宋体"/>
          <w:color w:val="000000" w:themeColor="text1"/>
          <w:kern w:val="0"/>
          <w:szCs w:val="21"/>
          <w:highlight w:val="none"/>
          <w14:textFill>
            <w14:solidFill>
              <w14:schemeClr w14:val="tx1"/>
            </w14:solidFill>
          </w14:textFill>
        </w:rPr>
        <w:t>。</w:t>
      </w:r>
    </w:p>
    <w:p w14:paraId="6B99AE5E">
      <w:pPr>
        <w:spacing w:line="356" w:lineRule="auto"/>
        <w:ind w:firstLine="420" w:firstLineChars="200"/>
        <w:rPr>
          <w:rFonts w:hint="eastAsia" w:ascii="宋体" w:hAnsi="宋体" w:cs="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允许调整合同价格的工程量偏差范围：</w:t>
      </w:r>
      <w:r>
        <w:rPr>
          <w:rFonts w:hint="eastAsia" w:ascii="宋体" w:hAnsi="宋体" w:cs="宋体"/>
          <w:color w:val="000000" w:themeColor="text1"/>
          <w:szCs w:val="21"/>
          <w:highlight w:val="none"/>
          <w:u w:val="single"/>
          <w14:textFill>
            <w14:solidFill>
              <w14:schemeClr w14:val="tx1"/>
            </w14:solidFill>
          </w14:textFill>
        </w:rPr>
        <w:t>工程量据实调整。</w:t>
      </w:r>
    </w:p>
    <w:p w14:paraId="01C344A3">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632" w:name="_Toc351203634"/>
      <w:r>
        <w:rPr>
          <w:rFonts w:hint="eastAsia" w:ascii="黑体" w:hAnsi="黑体" w:cs="黑体"/>
          <w:color w:val="000000" w:themeColor="text1"/>
          <w:sz w:val="21"/>
          <w:szCs w:val="21"/>
          <w:highlight w:val="none"/>
          <w14:textFill>
            <w14:solidFill>
              <w14:schemeClr w14:val="tx1"/>
            </w14:solidFill>
          </w14:textFill>
        </w:rPr>
        <w:t>2</w:t>
      </w:r>
      <w:bookmarkStart w:id="633" w:name="_Toc292559867"/>
      <w:bookmarkStart w:id="634" w:name="_Toc296890985"/>
      <w:bookmarkStart w:id="635" w:name="_Toc296503157"/>
      <w:bookmarkStart w:id="636" w:name="_Toc296347156"/>
      <w:bookmarkStart w:id="637" w:name="_Toc296944496"/>
      <w:bookmarkStart w:id="638" w:name="_Toc292559362"/>
      <w:bookmarkStart w:id="639" w:name="_Toc296891197"/>
      <w:bookmarkStart w:id="640" w:name="_Toc296346658"/>
      <w:bookmarkStart w:id="641" w:name="_Toc297120457"/>
      <w:bookmarkStart w:id="642" w:name="_Toc297048343"/>
      <w:r>
        <w:rPr>
          <w:rFonts w:hint="eastAsia" w:ascii="黑体" w:hAnsi="黑体" w:cs="黑体"/>
          <w:color w:val="000000" w:themeColor="text1"/>
          <w:sz w:val="21"/>
          <w:szCs w:val="21"/>
          <w:highlight w:val="none"/>
          <w14:textFill>
            <w14:solidFill>
              <w14:schemeClr w14:val="tx1"/>
            </w14:solidFill>
          </w14:textFill>
        </w:rPr>
        <w:t>. 发包人</w:t>
      </w:r>
      <w:bookmarkEnd w:id="632"/>
    </w:p>
    <w:bookmarkEnd w:id="633"/>
    <w:bookmarkEnd w:id="634"/>
    <w:bookmarkEnd w:id="635"/>
    <w:bookmarkEnd w:id="636"/>
    <w:bookmarkEnd w:id="637"/>
    <w:bookmarkEnd w:id="638"/>
    <w:bookmarkEnd w:id="639"/>
    <w:bookmarkEnd w:id="640"/>
    <w:bookmarkEnd w:id="641"/>
    <w:bookmarkEnd w:id="642"/>
    <w:p w14:paraId="3B2CD7B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2.2 发包人代表</w:t>
      </w:r>
    </w:p>
    <w:p w14:paraId="425B56CD">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发包人代表：</w:t>
      </w:r>
    </w:p>
    <w:p w14:paraId="451DDB7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    名：</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2579AB77">
      <w:pPr>
        <w:spacing w:line="356"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发包人对发包人代表的授权范围如下：</w:t>
      </w:r>
      <w:r>
        <w:rPr>
          <w:rFonts w:hint="eastAsia" w:ascii="宋体" w:hAnsi="宋体"/>
          <w:color w:val="000000" w:themeColor="text1"/>
          <w:szCs w:val="21"/>
          <w:highlight w:val="none"/>
          <w:u w:val="single"/>
          <w14:textFill>
            <w14:solidFill>
              <w14:schemeClr w14:val="tx1"/>
            </w14:solidFill>
          </w14:textFill>
        </w:rPr>
        <w:t>负责施工全过程的安全、进度、质量及现场费用控制管理、协调现场各种关系等。</w:t>
      </w:r>
    </w:p>
    <w:p w14:paraId="47B3CD6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2.4 施工现场、施工条件和基础资料的提供</w:t>
      </w:r>
    </w:p>
    <w:p w14:paraId="57DB7B6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2.4.1 提供施工现场</w:t>
      </w:r>
    </w:p>
    <w:p w14:paraId="1A18E9FE">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关于发包人移交施工现场的期限要求：</w:t>
      </w:r>
      <w:r>
        <w:rPr>
          <w:rFonts w:hint="eastAsia" w:ascii="宋体" w:hAnsi="宋体"/>
          <w:color w:val="000000" w:themeColor="text1"/>
          <w:szCs w:val="21"/>
          <w:highlight w:val="none"/>
          <w:u w:val="single"/>
          <w14:textFill>
            <w14:solidFill>
              <w14:schemeClr w14:val="tx1"/>
            </w14:solidFill>
          </w14:textFill>
        </w:rPr>
        <w:t>按通用条款执行</w:t>
      </w:r>
      <w:r>
        <w:rPr>
          <w:rFonts w:ascii="宋体" w:hAnsi="宋体"/>
          <w:color w:val="000000" w:themeColor="text1"/>
          <w:szCs w:val="21"/>
          <w:highlight w:val="none"/>
          <w14:textFill>
            <w14:solidFill>
              <w14:schemeClr w14:val="tx1"/>
            </w14:solidFill>
          </w14:textFill>
        </w:rPr>
        <w:t>。</w:t>
      </w:r>
    </w:p>
    <w:p w14:paraId="48D5802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2.4.2 提供施工条件</w:t>
      </w:r>
    </w:p>
    <w:p w14:paraId="41A13713">
      <w:pPr>
        <w:spacing w:line="356" w:lineRule="auto"/>
        <w:ind w:firstLine="420" w:firstLineChars="200"/>
        <w:rPr>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关于发包人应负责提供施工</w:t>
      </w:r>
      <w:r>
        <w:rPr>
          <w:rFonts w:hint="eastAsia" w:ascii="宋体" w:hAnsi="宋体"/>
          <w:color w:val="000000" w:themeColor="text1"/>
          <w:szCs w:val="21"/>
          <w:highlight w:val="none"/>
          <w14:textFill>
            <w14:solidFill>
              <w14:schemeClr w14:val="tx1"/>
            </w14:solidFill>
          </w14:textFill>
        </w:rPr>
        <w:t>所需要的条件，</w:t>
      </w:r>
      <w:r>
        <w:rPr>
          <w:rFonts w:ascii="宋体" w:hAnsi="宋体"/>
          <w:color w:val="000000" w:themeColor="text1"/>
          <w:szCs w:val="21"/>
          <w:highlight w:val="none"/>
          <w14:textFill>
            <w14:solidFill>
              <w14:schemeClr w14:val="tx1"/>
            </w14:solidFill>
          </w14:textFill>
        </w:rPr>
        <w:t>包括：</w:t>
      </w:r>
      <w:r>
        <w:rPr>
          <w:color w:val="000000" w:themeColor="text1"/>
          <w:szCs w:val="21"/>
          <w:highlight w:val="none"/>
          <w:u w:val="single"/>
          <w14:textFill>
            <w14:solidFill>
              <w14:schemeClr w14:val="tx1"/>
            </w14:solidFill>
          </w14:textFill>
        </w:rPr>
        <w:t>通讯线路和设备由</w:t>
      </w:r>
      <w:r>
        <w:rPr>
          <w:rFonts w:hint="eastAsia"/>
          <w:color w:val="000000" w:themeColor="text1"/>
          <w:szCs w:val="21"/>
          <w:highlight w:val="none"/>
          <w:u w:val="single"/>
          <w14:textFill>
            <w14:solidFill>
              <w14:schemeClr w14:val="tx1"/>
            </w14:solidFill>
          </w14:textFill>
        </w:rPr>
        <w:t>承包人</w:t>
      </w:r>
      <w:r>
        <w:rPr>
          <w:color w:val="000000" w:themeColor="text1"/>
          <w:szCs w:val="21"/>
          <w:highlight w:val="none"/>
          <w:u w:val="single"/>
          <w14:textFill>
            <w14:solidFill>
              <w14:schemeClr w14:val="tx1"/>
            </w14:solidFill>
          </w14:textFill>
        </w:rPr>
        <w:t>自行解决并承担其费用。</w:t>
      </w:r>
    </w:p>
    <w:p w14:paraId="60CA9982">
      <w:pPr>
        <w:keepNext/>
        <w:keepLines/>
        <w:widowControl/>
        <w:spacing w:line="356" w:lineRule="auto"/>
        <w:ind w:firstLine="420"/>
        <w:jc w:val="left"/>
        <w:rPr>
          <w:rFonts w:hint="eastAsia"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2.5 资金来源证明及支付担保:</w:t>
      </w:r>
      <w:r>
        <w:rPr>
          <w:rFonts w:hint="eastAsia" w:ascii="宋体" w:hAnsi="宋体" w:cs="宋体"/>
          <w:bCs/>
          <w:color w:val="000000" w:themeColor="text1"/>
          <w:kern w:val="0"/>
          <w:szCs w:val="21"/>
          <w:highlight w:val="none"/>
          <w:u w:val="single"/>
          <w14:textFill>
            <w14:solidFill>
              <w14:schemeClr w14:val="tx1"/>
            </w14:solidFill>
          </w14:textFill>
        </w:rPr>
        <w:t>/</w:t>
      </w:r>
      <w:r>
        <w:rPr>
          <w:rFonts w:hint="eastAsia" w:ascii="宋体" w:hAnsi="宋体" w:cs="宋体"/>
          <w:bCs/>
          <w:color w:val="000000" w:themeColor="text1"/>
          <w:kern w:val="0"/>
          <w:szCs w:val="21"/>
          <w:highlight w:val="none"/>
          <w14:textFill>
            <w14:solidFill>
              <w14:schemeClr w14:val="tx1"/>
            </w14:solidFill>
          </w14:textFill>
        </w:rPr>
        <w:t>。</w:t>
      </w:r>
    </w:p>
    <w:p w14:paraId="5770069D">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643" w:name="_Toc351203635"/>
      <w:r>
        <w:rPr>
          <w:rFonts w:hint="eastAsia" w:ascii="黑体" w:hAnsi="黑体" w:cs="黑体"/>
          <w:color w:val="000000" w:themeColor="text1"/>
          <w:sz w:val="21"/>
          <w:szCs w:val="21"/>
          <w:highlight w:val="none"/>
          <w14:textFill>
            <w14:solidFill>
              <w14:schemeClr w14:val="tx1"/>
            </w14:solidFill>
          </w14:textFill>
        </w:rPr>
        <w:t>3</w:t>
      </w:r>
      <w:bookmarkStart w:id="644" w:name="_Toc296503158"/>
      <w:bookmarkStart w:id="645" w:name="_Toc297120458"/>
      <w:bookmarkStart w:id="646" w:name="_Toc296347157"/>
      <w:bookmarkStart w:id="647" w:name="_Toc292559363"/>
      <w:bookmarkStart w:id="648" w:name="_Toc292559868"/>
      <w:bookmarkStart w:id="649" w:name="_Toc297048344"/>
      <w:bookmarkStart w:id="650" w:name="_Toc296346659"/>
      <w:bookmarkStart w:id="651" w:name="_Toc296890986"/>
      <w:bookmarkStart w:id="652" w:name="_Toc296944497"/>
      <w:bookmarkStart w:id="653" w:name="_Toc296891198"/>
      <w:r>
        <w:rPr>
          <w:rFonts w:hint="eastAsia" w:ascii="黑体" w:hAnsi="黑体" w:cs="黑体"/>
          <w:color w:val="000000" w:themeColor="text1"/>
          <w:sz w:val="21"/>
          <w:szCs w:val="21"/>
          <w:highlight w:val="none"/>
          <w14:textFill>
            <w14:solidFill>
              <w14:schemeClr w14:val="tx1"/>
            </w14:solidFill>
          </w14:textFill>
        </w:rPr>
        <w:t>. 承包人</w:t>
      </w:r>
      <w:bookmarkEnd w:id="643"/>
    </w:p>
    <w:bookmarkEnd w:id="644"/>
    <w:bookmarkEnd w:id="645"/>
    <w:bookmarkEnd w:id="646"/>
    <w:bookmarkEnd w:id="647"/>
    <w:bookmarkEnd w:id="648"/>
    <w:bookmarkEnd w:id="649"/>
    <w:bookmarkEnd w:id="650"/>
    <w:bookmarkEnd w:id="651"/>
    <w:bookmarkEnd w:id="652"/>
    <w:bookmarkEnd w:id="653"/>
    <w:p w14:paraId="7FBA8E92">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3.1 承包人的一般义务</w:t>
      </w:r>
    </w:p>
    <w:p w14:paraId="32FC7991">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3.1.1</w:t>
      </w:r>
      <w:r>
        <w:rPr>
          <w:rFonts w:ascii="宋体" w:hAnsi="宋体"/>
          <w:color w:val="000000" w:themeColor="text1"/>
          <w:szCs w:val="21"/>
          <w:highlight w:val="none"/>
          <w14:textFill>
            <w14:solidFill>
              <w14:schemeClr w14:val="tx1"/>
            </w14:solidFill>
          </w14:textFill>
        </w:rPr>
        <w:t>承包人提交的竣工资料的内容：</w:t>
      </w:r>
      <w:r>
        <w:rPr>
          <w:color w:val="000000" w:themeColor="text1"/>
          <w:szCs w:val="21"/>
          <w:highlight w:val="none"/>
          <w:u w:val="single"/>
          <w14:textFill>
            <w14:solidFill>
              <w14:schemeClr w14:val="tx1"/>
            </w14:solidFill>
          </w14:textFill>
        </w:rPr>
        <w:t>竣工验收后一个月内，</w:t>
      </w:r>
      <w:r>
        <w:rPr>
          <w:rFonts w:hint="eastAsia"/>
          <w:color w:val="000000" w:themeColor="text1"/>
          <w:szCs w:val="21"/>
          <w:highlight w:val="none"/>
          <w:u w:val="single"/>
          <w14:textFill>
            <w14:solidFill>
              <w14:schemeClr w14:val="tx1"/>
            </w14:solidFill>
          </w14:textFill>
        </w:rPr>
        <w:t>提交竣工图及完整资料文件。</w:t>
      </w:r>
    </w:p>
    <w:p w14:paraId="1AD07357">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承包人需要提交的竣工资料套数：</w:t>
      </w:r>
      <w:r>
        <w:rPr>
          <w:rFonts w:hint="eastAsia" w:ascii="宋体" w:hAnsi="宋体"/>
          <w:color w:val="000000" w:themeColor="text1"/>
          <w:szCs w:val="21"/>
          <w:highlight w:val="none"/>
          <w:u w:val="single"/>
          <w14:textFill>
            <w14:solidFill>
              <w14:schemeClr w14:val="tx1"/>
            </w14:solidFill>
          </w14:textFill>
        </w:rPr>
        <w:t>不少于4套</w:t>
      </w:r>
      <w:r>
        <w:rPr>
          <w:rFonts w:ascii="宋体" w:hAnsi="宋体"/>
          <w:color w:val="000000" w:themeColor="text1"/>
          <w:szCs w:val="21"/>
          <w:highlight w:val="none"/>
          <w14:textFill>
            <w14:solidFill>
              <w14:schemeClr w14:val="tx1"/>
            </w14:solidFill>
          </w14:textFill>
        </w:rPr>
        <w:t>。</w:t>
      </w:r>
    </w:p>
    <w:p w14:paraId="49E584E8">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承包人提交的竣工资料的费用承担：</w:t>
      </w:r>
      <w:r>
        <w:rPr>
          <w:rFonts w:hint="eastAsia" w:ascii="宋体" w:hAnsi="宋体"/>
          <w:color w:val="000000" w:themeColor="text1"/>
          <w:szCs w:val="21"/>
          <w:highlight w:val="none"/>
          <w:u w:val="single"/>
          <w14:textFill>
            <w14:solidFill>
              <w14:schemeClr w14:val="tx1"/>
            </w14:solidFill>
          </w14:textFill>
        </w:rPr>
        <w:t>承包人承担</w:t>
      </w:r>
      <w:r>
        <w:rPr>
          <w:rFonts w:ascii="宋体" w:hAnsi="宋体"/>
          <w:color w:val="000000" w:themeColor="text1"/>
          <w:szCs w:val="21"/>
          <w:highlight w:val="none"/>
          <w14:textFill>
            <w14:solidFill>
              <w14:schemeClr w14:val="tx1"/>
            </w14:solidFill>
          </w14:textFill>
        </w:rPr>
        <w:t>。</w:t>
      </w:r>
    </w:p>
    <w:p w14:paraId="052889E2">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承包人提交的竣工资料移交时间：</w:t>
      </w:r>
      <w:r>
        <w:rPr>
          <w:color w:val="000000" w:themeColor="text1"/>
          <w:szCs w:val="21"/>
          <w:highlight w:val="none"/>
          <w:u w:val="single"/>
          <w14:textFill>
            <w14:solidFill>
              <w14:schemeClr w14:val="tx1"/>
            </w14:solidFill>
          </w14:textFill>
        </w:rPr>
        <w:t>竣工验收后一个月内</w:t>
      </w:r>
      <w:r>
        <w:rPr>
          <w:rFonts w:ascii="宋体" w:hAnsi="宋体"/>
          <w:color w:val="000000" w:themeColor="text1"/>
          <w:szCs w:val="21"/>
          <w:highlight w:val="none"/>
          <w14:textFill>
            <w14:solidFill>
              <w14:schemeClr w14:val="tx1"/>
            </w14:solidFill>
          </w14:textFill>
        </w:rPr>
        <w:t>。</w:t>
      </w:r>
    </w:p>
    <w:p w14:paraId="7F3E4F28">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承包人提交的竣工资料形式要求：</w:t>
      </w:r>
      <w:r>
        <w:rPr>
          <w:rFonts w:hint="eastAsia" w:ascii="宋体" w:hAnsi="宋体"/>
          <w:color w:val="000000" w:themeColor="text1"/>
          <w:szCs w:val="21"/>
          <w:highlight w:val="none"/>
          <w:u w:val="single"/>
          <w14:textFill>
            <w14:solidFill>
              <w14:schemeClr w14:val="tx1"/>
            </w14:solidFill>
          </w14:textFill>
        </w:rPr>
        <w:t>纸质文件及电子文档</w:t>
      </w:r>
      <w:r>
        <w:rPr>
          <w:rFonts w:ascii="宋体" w:hAnsi="宋体"/>
          <w:color w:val="000000" w:themeColor="text1"/>
          <w:szCs w:val="21"/>
          <w:highlight w:val="none"/>
          <w14:textFill>
            <w14:solidFill>
              <w14:schemeClr w14:val="tx1"/>
            </w14:solidFill>
          </w14:textFill>
        </w:rPr>
        <w:t>。</w:t>
      </w:r>
    </w:p>
    <w:p w14:paraId="146FAA3E">
      <w:pPr>
        <w:spacing w:line="356" w:lineRule="auto"/>
        <w:ind w:firstLine="420" w:firstLineChars="200"/>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3.1.2</w:t>
      </w:r>
      <w:r>
        <w:rPr>
          <w:rFonts w:ascii="宋体" w:hAnsi="宋体"/>
          <w:color w:val="000000" w:themeColor="text1"/>
          <w:kern w:val="0"/>
          <w:szCs w:val="21"/>
          <w:highlight w:val="none"/>
          <w14:textFill>
            <w14:solidFill>
              <w14:schemeClr w14:val="tx1"/>
            </w14:solidFill>
          </w14:textFill>
        </w:rPr>
        <w:t>承包人应履行的其他义务：</w:t>
      </w:r>
    </w:p>
    <w:p w14:paraId="1AE2D7FB">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3.1.2.1施工过程中所用水电按工程总价的3‰由乙方向水电供应部门交纳费用。施工过程中管理不当造成的浪费，由承包人承担。</w:t>
      </w:r>
    </w:p>
    <w:p w14:paraId="0B84684B">
      <w:pPr>
        <w:spacing w:line="356" w:lineRule="auto"/>
        <w:ind w:firstLine="403" w:firstLineChars="192"/>
        <w:rPr>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3.1.2.2</w:t>
      </w:r>
      <w:r>
        <w:rPr>
          <w:rFonts w:hint="eastAsia"/>
          <w:color w:val="000000" w:themeColor="text1"/>
          <w:szCs w:val="21"/>
          <w:highlight w:val="none"/>
          <w14:textFill>
            <w14:solidFill>
              <w14:schemeClr w14:val="tx1"/>
            </w14:solidFill>
          </w14:textFill>
        </w:rPr>
        <w:t>承担施工安全保卫工作及非夜间施工照明的责任和要求：</w:t>
      </w:r>
      <w:r>
        <w:rPr>
          <w:rFonts w:hint="eastAsia"/>
          <w:color w:val="000000" w:themeColor="text1"/>
          <w:szCs w:val="21"/>
          <w:highlight w:val="none"/>
          <w:u w:val="single"/>
          <w14:textFill>
            <w14:solidFill>
              <w14:schemeClr w14:val="tx1"/>
            </w14:solidFill>
          </w14:textFill>
        </w:rPr>
        <w:t>承包人应提供场区的安全保卫及交通、巡查等必要的照明、危险物的警示、围栏设施等，并负责施工现场的防火、防盗及施工安全保卫工作，相关费用已包含在本合同价款中。提供和维修夜间施工使用的照明、围栏设施，负责施工区域内的安全保卫，制定相应的施工安全措施，承担由自身安全防护措施不力造成的经济损失和责任，费用在措施费已计取。</w:t>
      </w:r>
    </w:p>
    <w:p w14:paraId="71A1A9E2">
      <w:pPr>
        <w:spacing w:line="356" w:lineRule="auto"/>
        <w:ind w:firstLine="403" w:firstLineChars="192"/>
        <w:rPr>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3.1.2.3</w:t>
      </w:r>
      <w:r>
        <w:rPr>
          <w:rFonts w:hint="eastAsia"/>
          <w:color w:val="000000" w:themeColor="text1"/>
          <w:szCs w:val="21"/>
          <w:highlight w:val="none"/>
          <w14:textFill>
            <w14:solidFill>
              <w14:schemeClr w14:val="tx1"/>
            </w14:solidFill>
          </w14:textFill>
        </w:rPr>
        <w:t>需承包人办理的有关施工场地交通、环卫和施工噪音管理等手续：</w:t>
      </w:r>
      <w:r>
        <w:rPr>
          <w:rFonts w:hint="eastAsia"/>
          <w:color w:val="000000" w:themeColor="text1"/>
          <w:szCs w:val="21"/>
          <w:highlight w:val="none"/>
          <w:u w:val="single"/>
          <w14:textFill>
            <w14:solidFill>
              <w14:schemeClr w14:val="tx1"/>
            </w14:solidFill>
          </w14:textFill>
        </w:rPr>
        <w:t>按照政府部门相关规定办理并承担办理手续及政府部门规定由承包人缴纳的费用，由发包人提供协助，相关费用已包含在本合同价款中。如因承包人未及时办理上述手续，导致的罚款、费用和法律责任，由承包人自行承担。</w:t>
      </w:r>
    </w:p>
    <w:p w14:paraId="61FF3C7C">
      <w:pPr>
        <w:spacing w:line="356" w:lineRule="auto"/>
        <w:ind w:firstLine="403" w:firstLineChars="192"/>
        <w:rPr>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3.1.2.4</w:t>
      </w:r>
      <w:r>
        <w:rPr>
          <w:rFonts w:hint="eastAsia"/>
          <w:color w:val="000000" w:themeColor="text1"/>
          <w:szCs w:val="21"/>
          <w:highlight w:val="none"/>
          <w14:textFill>
            <w14:solidFill>
              <w14:schemeClr w14:val="tx1"/>
            </w14:solidFill>
          </w14:textFill>
        </w:rPr>
        <w:t>已完工程成品保护的特殊要求及费用承担：</w:t>
      </w:r>
      <w:r>
        <w:rPr>
          <w:rFonts w:hint="eastAsia"/>
          <w:color w:val="000000" w:themeColor="text1"/>
          <w:szCs w:val="21"/>
          <w:highlight w:val="none"/>
          <w:u w:val="single"/>
          <w14:textFill>
            <w14:solidFill>
              <w14:schemeClr w14:val="tx1"/>
            </w14:solidFill>
          </w14:textFill>
        </w:rPr>
        <w:t>已完成工程未正式向发包人移交之前，承包人应当按照专用条款约定负责对已完工程的保护工作（包括发包人对工程某些特殊部位和部分设施、设备保护提出的特殊要求），费用由承包人承担。在此期间发生的损坏由承包人自费负责予以修复。</w:t>
      </w:r>
    </w:p>
    <w:p w14:paraId="17C044C7">
      <w:pPr>
        <w:spacing w:line="356" w:lineRule="auto"/>
        <w:ind w:firstLine="403" w:firstLineChars="192"/>
        <w:rPr>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3.1.2.5</w:t>
      </w:r>
      <w:r>
        <w:rPr>
          <w:rFonts w:hint="eastAsia"/>
          <w:color w:val="000000" w:themeColor="text1"/>
          <w:szCs w:val="21"/>
          <w:highlight w:val="none"/>
          <w14:textFill>
            <w14:solidFill>
              <w14:schemeClr w14:val="tx1"/>
            </w14:solidFill>
          </w14:textFill>
        </w:rPr>
        <w:t>施工场地周围以下管线和邻近建筑物、构筑物（含文物保护建筑）、古树名木的保护要求及费用承担：</w:t>
      </w:r>
      <w:r>
        <w:rPr>
          <w:rFonts w:hint="eastAsia"/>
          <w:color w:val="000000" w:themeColor="text1"/>
          <w:szCs w:val="21"/>
          <w:highlight w:val="none"/>
          <w:u w:val="single"/>
          <w14:textFill>
            <w14:solidFill>
              <w14:schemeClr w14:val="tx1"/>
            </w14:solidFill>
          </w14:textFill>
        </w:rPr>
        <w:t>工程竣工移交前由承包人负责。由于施工方法不当造成损失、损坏发生的费用由承包方承担。</w:t>
      </w:r>
    </w:p>
    <w:p w14:paraId="461B5711">
      <w:pPr>
        <w:spacing w:line="356" w:lineRule="auto"/>
        <w:ind w:firstLine="403" w:firstLineChars="192"/>
        <w:rPr>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3.1.2.6</w:t>
      </w:r>
      <w:r>
        <w:rPr>
          <w:rFonts w:hint="eastAsia"/>
          <w:color w:val="000000" w:themeColor="text1"/>
          <w:szCs w:val="21"/>
          <w:highlight w:val="none"/>
          <w14:textFill>
            <w14:solidFill>
              <w14:schemeClr w14:val="tx1"/>
            </w14:solidFill>
          </w14:textFill>
        </w:rPr>
        <w:t>施工场地清洁卫生的要求：</w:t>
      </w:r>
      <w:r>
        <w:rPr>
          <w:rFonts w:hint="eastAsia"/>
          <w:color w:val="000000" w:themeColor="text1"/>
          <w:szCs w:val="21"/>
          <w:highlight w:val="none"/>
          <w:u w:val="single"/>
          <w14:textFill>
            <w14:solidFill>
              <w14:schemeClr w14:val="tx1"/>
            </w14:solidFill>
          </w14:textFill>
        </w:rPr>
        <w:t>达到文明工地要求并符合创卫标准，做到工完场清、构件、材料、设施分类堆放，做好标志、道路清洁、给排水畅通。</w:t>
      </w:r>
    </w:p>
    <w:p w14:paraId="21E7F9AD">
      <w:pPr>
        <w:spacing w:line="356" w:lineRule="auto"/>
        <w:ind w:firstLine="420" w:firstLineChars="200"/>
        <w:rPr>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3.1.2.7</w:t>
      </w:r>
      <w:r>
        <w:rPr>
          <w:rFonts w:hint="eastAsia"/>
          <w:color w:val="000000" w:themeColor="text1"/>
          <w:szCs w:val="21"/>
          <w:highlight w:val="none"/>
          <w14:textFill>
            <w14:solidFill>
              <w14:schemeClr w14:val="tx1"/>
            </w14:solidFill>
          </w14:textFill>
        </w:rPr>
        <w:t>双方约定承包人应做的其他工作：</w:t>
      </w:r>
      <w:r>
        <w:rPr>
          <w:rFonts w:hint="eastAsia"/>
          <w:color w:val="000000" w:themeColor="text1"/>
          <w:szCs w:val="21"/>
          <w:highlight w:val="none"/>
          <w:u w:val="single"/>
          <w14:textFill>
            <w14:solidFill>
              <w14:schemeClr w14:val="tx1"/>
            </w14:solidFill>
          </w14:textFill>
        </w:rPr>
        <w:t>办理施工许可证等有关手续的工作。按时足额支付农民工工资。</w:t>
      </w:r>
    </w:p>
    <w:p w14:paraId="5B6214CC">
      <w:pPr>
        <w:spacing w:line="356" w:lineRule="auto"/>
        <w:ind w:firstLine="420" w:firstLineChars="200"/>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3.1.2.8</w:t>
      </w:r>
      <w:r>
        <w:rPr>
          <w:rFonts w:hint="eastAsia" w:ascii="宋体" w:hAnsi="宋体" w:cs="宋体"/>
          <w:color w:val="000000" w:themeColor="text1"/>
          <w:spacing w:val="-2"/>
          <w:szCs w:val="21"/>
          <w:highlight w:val="none"/>
          <w14:textFill>
            <w14:solidFill>
              <w14:schemeClr w14:val="tx1"/>
            </w14:solidFill>
          </w14:textFill>
        </w:rPr>
        <w:t>承包人应遵守工程所在地政府有关部门的管理规定，做好工程的安全防护、文明施工措施。在执行《通用条款》相关规定时，如由承包人行为给发包人带来的负面影响和经济损失，全部由承包人承担。</w:t>
      </w:r>
    </w:p>
    <w:p w14:paraId="5CC4C3BA">
      <w:pPr>
        <w:widowControl/>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3.1.2.9</w:t>
      </w:r>
      <w:r>
        <w:rPr>
          <w:rFonts w:hint="eastAsia" w:ascii="宋体" w:hAnsi="宋体" w:cs="宋体"/>
          <w:color w:val="000000" w:themeColor="text1"/>
          <w:spacing w:val="5"/>
          <w:szCs w:val="21"/>
          <w:highlight w:val="none"/>
          <w14:textFill>
            <w14:solidFill>
              <w14:schemeClr w14:val="tx1"/>
            </w14:solidFill>
          </w14:textFill>
        </w:rPr>
        <w:t>承包人应严格按照《施工现场临时用电安全技术规范</w:t>
      </w:r>
      <w:r>
        <w:rPr>
          <w:rFonts w:hint="eastAsia" w:ascii="宋体" w:hAnsi="宋体" w:cs="宋体"/>
          <w:color w:val="000000" w:themeColor="text1"/>
          <w:szCs w:val="21"/>
          <w:highlight w:val="none"/>
          <w14:textFill>
            <w14:solidFill>
              <w14:schemeClr w14:val="tx1"/>
            </w14:solidFill>
          </w14:textFill>
        </w:rPr>
        <w:t>JGJ</w:t>
      </w:r>
      <w:r>
        <w:rPr>
          <w:rFonts w:hint="eastAsia" w:ascii="宋体" w:hAnsi="宋体" w:cs="宋体"/>
          <w:color w:val="000000" w:themeColor="text1"/>
          <w:spacing w:val="5"/>
          <w:szCs w:val="21"/>
          <w:highlight w:val="none"/>
          <w14:textFill>
            <w14:solidFill>
              <w14:schemeClr w14:val="tx1"/>
            </w14:solidFill>
          </w14:textFill>
        </w:rPr>
        <w:t>46-2005》和《建设工程施工现</w:t>
      </w:r>
      <w:r>
        <w:rPr>
          <w:rFonts w:hint="eastAsia" w:ascii="宋体" w:hAnsi="宋体" w:cs="宋体"/>
          <w:color w:val="000000" w:themeColor="text1"/>
          <w:spacing w:val="-6"/>
          <w:szCs w:val="21"/>
          <w:highlight w:val="none"/>
          <w14:textFill>
            <w14:solidFill>
              <w14:schemeClr w14:val="tx1"/>
            </w14:solidFill>
          </w14:textFill>
        </w:rPr>
        <w:t>场供用电安</w:t>
      </w:r>
      <w:r>
        <w:rPr>
          <w:rFonts w:hint="eastAsia" w:ascii="宋体" w:hAnsi="宋体" w:cs="宋体"/>
          <w:color w:val="000000" w:themeColor="text1"/>
          <w:spacing w:val="-4"/>
          <w:szCs w:val="21"/>
          <w:highlight w:val="none"/>
          <w14:textFill>
            <w14:solidFill>
              <w14:schemeClr w14:val="tx1"/>
            </w14:solidFill>
          </w14:textFill>
        </w:rPr>
        <w:t>全</w:t>
      </w:r>
      <w:r>
        <w:rPr>
          <w:rFonts w:hint="eastAsia" w:ascii="宋体" w:hAnsi="宋体" w:cs="宋体"/>
          <w:color w:val="000000" w:themeColor="text1"/>
          <w:spacing w:val="-3"/>
          <w:szCs w:val="21"/>
          <w:highlight w:val="none"/>
          <w14:textFill>
            <w14:solidFill>
              <w14:schemeClr w14:val="tx1"/>
            </w14:solidFill>
          </w14:textFill>
        </w:rPr>
        <w:t>规范GB50194-2014》组织施工，所产生的相关费用已包含在本合同价款中。</w:t>
      </w:r>
    </w:p>
    <w:p w14:paraId="0395ACD0">
      <w:pPr>
        <w:widowControl/>
        <w:spacing w:line="356" w:lineRule="auto"/>
        <w:ind w:firstLine="420" w:firstLineChars="200"/>
        <w:rPr>
          <w:rFonts w:hint="eastAsia" w:ascii="宋体" w:hAnsi="宋体" w:cs="宋体"/>
          <w:color w:val="000000" w:themeColor="text1"/>
          <w:spacing w:val="-3"/>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3.1.2.10</w:t>
      </w:r>
      <w:r>
        <w:rPr>
          <w:rFonts w:hint="eastAsia" w:ascii="宋体" w:hAnsi="宋体" w:cs="宋体"/>
          <w:color w:val="000000" w:themeColor="text1"/>
          <w:spacing w:val="-3"/>
          <w:szCs w:val="21"/>
          <w:highlight w:val="none"/>
          <w14:textFill>
            <w14:solidFill>
              <w14:schemeClr w14:val="tx1"/>
            </w14:solidFill>
          </w14:textFill>
        </w:rPr>
        <w:t>承包人必须充分考虑施工区域内的各种外界干扰因素，包括负责协调解决与相关使用方的关系，不得以使用方阻挠影响施工为由要求顺延工期或增加工程费用。</w:t>
      </w:r>
    </w:p>
    <w:p w14:paraId="20134CCE">
      <w:pPr>
        <w:widowControl/>
        <w:spacing w:line="356" w:lineRule="auto"/>
        <w:ind w:firstLine="420" w:firstLineChars="200"/>
        <w:rPr>
          <w:rFonts w:hint="eastAsia" w:ascii="宋体" w:hAnsi="宋体" w:cs="宋体"/>
          <w:color w:val="000000" w:themeColor="text1"/>
          <w:spacing w:val="-3"/>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3.1.2.11</w:t>
      </w:r>
      <w:r>
        <w:rPr>
          <w:rFonts w:hint="eastAsia" w:ascii="宋体" w:hAnsi="宋体" w:cs="宋体"/>
          <w:color w:val="000000" w:themeColor="text1"/>
          <w:spacing w:val="-3"/>
          <w:szCs w:val="21"/>
          <w:highlight w:val="none"/>
          <w14:textFill>
            <w14:solidFill>
              <w14:schemeClr w14:val="tx1"/>
            </w14:solidFill>
          </w14:textFill>
        </w:rPr>
        <w:t>工程竣工验收交付使用前，现场建筑垃圾及其临建房需全部拆除、做到工完场清，交付完备工程资料，如有违反，发包人可安排第三方实施，费用从承包人工程款中直接予以扣除，同时因承包人未履行本条约定，由此引发的费用、违约金及法律责任均由承包人承担 。</w:t>
      </w:r>
    </w:p>
    <w:p w14:paraId="1F7638E1">
      <w:pPr>
        <w:widowControl/>
        <w:spacing w:line="356"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3.1.2.12</w:t>
      </w:r>
      <w:r>
        <w:rPr>
          <w:rFonts w:hint="eastAsia" w:ascii="宋体" w:hAnsi="宋体" w:cs="宋体"/>
          <w:color w:val="000000" w:themeColor="text1"/>
          <w:spacing w:val="3"/>
          <w:szCs w:val="21"/>
          <w:highlight w:val="none"/>
          <w14:textFill>
            <w14:solidFill>
              <w14:schemeClr w14:val="tx1"/>
            </w14:solidFill>
          </w14:textFill>
        </w:rPr>
        <w:t>双方约定承包人应做的其他工作：</w:t>
      </w:r>
    </w:p>
    <w:p w14:paraId="1570D281">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（1）承包人在投标文件中填写的资料，属于合同文本的组成部分，承包人应</w:t>
      </w:r>
      <w:r>
        <w:rPr>
          <w:rFonts w:hint="eastAsia" w:ascii="宋体" w:hAnsi="宋体" w:cs="宋体"/>
          <w:color w:val="000000" w:themeColor="text1"/>
          <w:szCs w:val="21"/>
          <w:highlight w:val="none"/>
          <w14:textFill>
            <w14:solidFill>
              <w14:schemeClr w14:val="tx1"/>
            </w14:solidFill>
          </w14:textFill>
        </w:rPr>
        <w:t>全面履行其所作</w:t>
      </w:r>
      <w:r>
        <w:rPr>
          <w:rFonts w:hint="eastAsia" w:ascii="宋体" w:hAnsi="宋体" w:cs="宋体"/>
          <w:color w:val="000000" w:themeColor="text1"/>
          <w:spacing w:val="-8"/>
          <w:szCs w:val="21"/>
          <w:highlight w:val="none"/>
          <w14:textFill>
            <w14:solidFill>
              <w14:schemeClr w14:val="tx1"/>
            </w14:solidFill>
          </w14:textFill>
        </w:rPr>
        <w:t>的承诺，否</w:t>
      </w:r>
      <w:r>
        <w:rPr>
          <w:rFonts w:hint="eastAsia" w:ascii="宋体" w:hAnsi="宋体" w:cs="宋体"/>
          <w:color w:val="000000" w:themeColor="text1"/>
          <w:spacing w:val="-4"/>
          <w:szCs w:val="21"/>
          <w:highlight w:val="none"/>
          <w14:textFill>
            <w14:solidFill>
              <w14:schemeClr w14:val="tx1"/>
            </w14:solidFill>
          </w14:textFill>
        </w:rPr>
        <w:t>则属于承包人违约，承包人应向发包人承担违约责任。</w:t>
      </w:r>
    </w:p>
    <w:p w14:paraId="24484C46">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w:t>
      </w:r>
      <w:r>
        <w:rPr>
          <w:rFonts w:hint="eastAsia" w:ascii="宋体" w:hAnsi="宋体" w:cs="宋体"/>
          <w:color w:val="000000" w:themeColor="text1"/>
          <w:spacing w:val="6"/>
          <w:szCs w:val="21"/>
          <w:highlight w:val="none"/>
          <w14:textFill>
            <w14:solidFill>
              <w14:schemeClr w14:val="tx1"/>
            </w14:solidFill>
          </w14:textFill>
        </w:rPr>
        <w:t>2）</w:t>
      </w:r>
      <w:r>
        <w:rPr>
          <w:rFonts w:hint="eastAsia" w:ascii="宋体" w:hAnsi="宋体" w:cs="宋体"/>
          <w:color w:val="000000" w:themeColor="text1"/>
          <w:spacing w:val="1"/>
          <w:szCs w:val="21"/>
          <w:highlight w:val="none"/>
          <w14:textFill>
            <w14:solidFill>
              <w14:schemeClr w14:val="tx1"/>
            </w14:solidFill>
          </w14:textFill>
        </w:rPr>
        <w:t>承包人应制定相关的门卫制度，人员、车辆、材料等出入应经承包人批准</w:t>
      </w:r>
      <w:r>
        <w:rPr>
          <w:rFonts w:hint="eastAsia" w:ascii="宋体" w:hAnsi="宋体" w:cs="宋体"/>
          <w:color w:val="000000" w:themeColor="text1"/>
          <w:szCs w:val="21"/>
          <w:highlight w:val="none"/>
          <w14:textFill>
            <w14:solidFill>
              <w14:schemeClr w14:val="tx1"/>
            </w14:solidFill>
          </w14:textFill>
        </w:rPr>
        <w:t>，并做好相</w:t>
      </w:r>
      <w:r>
        <w:rPr>
          <w:rFonts w:hint="eastAsia" w:ascii="宋体" w:hAnsi="宋体" w:cs="宋体"/>
          <w:color w:val="000000" w:themeColor="text1"/>
          <w:spacing w:val="-1"/>
          <w:szCs w:val="21"/>
          <w:highlight w:val="none"/>
          <w14:textFill>
            <w14:solidFill>
              <w14:schemeClr w14:val="tx1"/>
            </w14:solidFill>
          </w14:textFill>
        </w:rPr>
        <w:t>关防控</w:t>
      </w:r>
      <w:r>
        <w:rPr>
          <w:rFonts w:hint="eastAsia" w:ascii="宋体" w:hAnsi="宋体" w:cs="宋体"/>
          <w:color w:val="000000" w:themeColor="text1"/>
          <w:szCs w:val="21"/>
          <w:highlight w:val="none"/>
          <w14:textFill>
            <w14:solidFill>
              <w14:schemeClr w14:val="tx1"/>
            </w14:solidFill>
          </w14:textFill>
        </w:rPr>
        <w:t>措施，否则由此产生的法律和经济责任均由承包人承担。</w:t>
      </w:r>
    </w:p>
    <w:p w14:paraId="04A2CFC2">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（3）</w:t>
      </w:r>
      <w:r>
        <w:rPr>
          <w:rFonts w:hint="eastAsia" w:ascii="宋体" w:hAnsi="宋体" w:cs="宋体"/>
          <w:color w:val="000000" w:themeColor="text1"/>
          <w:spacing w:val="-1"/>
          <w:szCs w:val="21"/>
          <w:highlight w:val="none"/>
          <w14:textFill>
            <w14:solidFill>
              <w14:schemeClr w14:val="tx1"/>
            </w14:solidFill>
          </w14:textFill>
        </w:rPr>
        <w:t>遵守发包人制定的各类项目管</w:t>
      </w:r>
      <w:r>
        <w:rPr>
          <w:rFonts w:hint="eastAsia" w:ascii="宋体" w:hAnsi="宋体" w:cs="宋体"/>
          <w:color w:val="000000" w:themeColor="text1"/>
          <w:szCs w:val="21"/>
          <w:highlight w:val="none"/>
          <w14:textFill>
            <w14:solidFill>
              <w14:schemeClr w14:val="tx1"/>
            </w14:solidFill>
          </w14:textFill>
        </w:rPr>
        <w:t>理制度、办法及发包人单位相关管理制度。</w:t>
      </w:r>
    </w:p>
    <w:p w14:paraId="7508ED09">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w:t>
      </w:r>
      <w:r>
        <w:rPr>
          <w:rFonts w:hint="eastAsia" w:ascii="宋体" w:hAnsi="宋体" w:cs="宋体"/>
          <w:color w:val="000000" w:themeColor="text1"/>
          <w:spacing w:val="-1"/>
          <w:szCs w:val="21"/>
          <w:highlight w:val="none"/>
          <w14:textFill>
            <w14:solidFill>
              <w14:schemeClr w14:val="tx1"/>
            </w14:solidFill>
          </w14:textFill>
        </w:rPr>
        <w:t>4）</w:t>
      </w:r>
      <w:r>
        <w:rPr>
          <w:rFonts w:hint="eastAsia" w:ascii="宋体" w:hAnsi="宋体" w:cs="宋体"/>
          <w:color w:val="000000" w:themeColor="text1"/>
          <w:spacing w:val="1"/>
          <w:szCs w:val="21"/>
          <w:highlight w:val="none"/>
          <w14:textFill>
            <w14:solidFill>
              <w14:schemeClr w14:val="tx1"/>
            </w14:solidFill>
          </w14:textFill>
        </w:rPr>
        <w:t>发包人需要时，由于创卫、区内检查及大型庆典活动和政府性规定等</w:t>
      </w:r>
      <w:r>
        <w:rPr>
          <w:rFonts w:hint="eastAsia" w:ascii="宋体" w:hAnsi="宋体" w:cs="宋体"/>
          <w:color w:val="000000" w:themeColor="text1"/>
          <w:szCs w:val="21"/>
          <w:highlight w:val="none"/>
          <w14:textFill>
            <w14:solidFill>
              <w14:schemeClr w14:val="tx1"/>
            </w14:solidFill>
          </w14:textFill>
        </w:rPr>
        <w:t>对施工做出某些</w:t>
      </w:r>
      <w:r>
        <w:rPr>
          <w:rFonts w:hint="eastAsia" w:ascii="宋体" w:hAnsi="宋体" w:cs="宋体"/>
          <w:color w:val="000000" w:themeColor="text1"/>
          <w:spacing w:val="1"/>
          <w:szCs w:val="21"/>
          <w:highlight w:val="none"/>
          <w14:textFill>
            <w14:solidFill>
              <w14:schemeClr w14:val="tx1"/>
            </w14:solidFill>
          </w14:textFill>
        </w:rPr>
        <w:t>限制和配合要求，承包人应按照要求做出配合，并</w:t>
      </w:r>
      <w:r>
        <w:rPr>
          <w:rFonts w:hint="eastAsia" w:ascii="宋体" w:hAnsi="宋体" w:cs="宋体"/>
          <w:color w:val="000000" w:themeColor="text1"/>
          <w:szCs w:val="21"/>
          <w:highlight w:val="none"/>
          <w14:textFill>
            <w14:solidFill>
              <w14:schemeClr w14:val="tx1"/>
            </w14:solidFill>
          </w14:textFill>
        </w:rPr>
        <w:t>承担因此而引起工效降低需增加的</w:t>
      </w:r>
      <w:r>
        <w:rPr>
          <w:rFonts w:hint="eastAsia" w:ascii="宋体" w:hAnsi="宋体" w:cs="宋体"/>
          <w:color w:val="000000" w:themeColor="text1"/>
          <w:spacing w:val="-2"/>
          <w:szCs w:val="21"/>
          <w:highlight w:val="none"/>
          <w14:textFill>
            <w14:solidFill>
              <w14:schemeClr w14:val="tx1"/>
            </w14:solidFill>
          </w14:textFill>
        </w:rPr>
        <w:t>费用以及工期延</w:t>
      </w:r>
      <w:r>
        <w:rPr>
          <w:rFonts w:hint="eastAsia" w:ascii="宋体" w:hAnsi="宋体" w:cs="宋体"/>
          <w:color w:val="000000" w:themeColor="text1"/>
          <w:spacing w:val="-1"/>
          <w:szCs w:val="21"/>
          <w:highlight w:val="none"/>
          <w14:textFill>
            <w14:solidFill>
              <w14:schemeClr w14:val="tx1"/>
            </w14:solidFill>
          </w14:textFill>
        </w:rPr>
        <w:t>误风险。</w:t>
      </w:r>
    </w:p>
    <w:p w14:paraId="727A6EDF">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w:t>
      </w:r>
      <w:r>
        <w:rPr>
          <w:rFonts w:hint="eastAsia" w:ascii="宋体" w:hAnsi="宋体" w:cs="宋体"/>
          <w:color w:val="000000" w:themeColor="text1"/>
          <w:spacing w:val="-2"/>
          <w:szCs w:val="21"/>
          <w:highlight w:val="none"/>
          <w14:textFill>
            <w14:solidFill>
              <w14:schemeClr w14:val="tx1"/>
            </w14:solidFill>
          </w14:textFill>
        </w:rPr>
        <w:t>5）</w:t>
      </w:r>
      <w:r>
        <w:rPr>
          <w:rFonts w:hint="eastAsia" w:ascii="宋体" w:hAnsi="宋体" w:cs="宋体"/>
          <w:color w:val="000000" w:themeColor="text1"/>
          <w:spacing w:val="-1"/>
          <w:szCs w:val="21"/>
          <w:highlight w:val="none"/>
          <w14:textFill>
            <w14:solidFill>
              <w14:schemeClr w14:val="tx1"/>
            </w14:solidFill>
          </w14:textFill>
        </w:rPr>
        <w:t>图纸交底前及施工过程中，承包人须</w:t>
      </w:r>
      <w:r>
        <w:rPr>
          <w:rFonts w:hint="eastAsia" w:ascii="宋体" w:hAnsi="宋体" w:cs="宋体"/>
          <w:color w:val="000000" w:themeColor="text1"/>
          <w:szCs w:val="21"/>
          <w:highlight w:val="none"/>
          <w14:textFill>
            <w14:solidFill>
              <w14:schemeClr w14:val="tx1"/>
            </w14:solidFill>
          </w14:textFill>
        </w:rPr>
        <w:t>配齐专业人员仔细阅读图纸，对各专业图纸进行</w:t>
      </w:r>
      <w:r>
        <w:rPr>
          <w:rFonts w:hint="eastAsia" w:ascii="宋体" w:hAnsi="宋体" w:cs="宋体"/>
          <w:color w:val="000000" w:themeColor="text1"/>
          <w:spacing w:val="-4"/>
          <w:szCs w:val="21"/>
          <w:highlight w:val="none"/>
          <w14:textFill>
            <w14:solidFill>
              <w14:schemeClr w14:val="tx1"/>
            </w14:solidFill>
          </w14:textFill>
        </w:rPr>
        <w:t>核对，对图纸</w:t>
      </w:r>
      <w:r>
        <w:rPr>
          <w:rFonts w:hint="eastAsia" w:ascii="宋体" w:hAnsi="宋体" w:cs="宋体"/>
          <w:color w:val="000000" w:themeColor="text1"/>
          <w:spacing w:val="-2"/>
          <w:szCs w:val="21"/>
          <w:highlight w:val="none"/>
          <w14:textFill>
            <w14:solidFill>
              <w14:schemeClr w14:val="tx1"/>
            </w14:solidFill>
          </w14:textFill>
        </w:rPr>
        <w:t>中存在</w:t>
      </w:r>
      <w:r>
        <w:rPr>
          <w:rFonts w:hint="eastAsia" w:ascii="宋体" w:hAnsi="宋体" w:cs="宋体"/>
          <w:color w:val="000000" w:themeColor="text1"/>
          <w:spacing w:val="-3"/>
          <w:szCs w:val="21"/>
          <w:highlight w:val="none"/>
          <w14:textFill>
            <w14:solidFill>
              <w14:schemeClr w14:val="tx1"/>
            </w14:solidFill>
          </w14:textFill>
        </w:rPr>
        <w:t>问题应及时向发包人书面提出，经发包人书面答复后方可施工，</w:t>
      </w:r>
      <w:r>
        <w:rPr>
          <w:rFonts w:hint="eastAsia" w:ascii="宋体" w:hAnsi="宋体" w:cs="宋体"/>
          <w:color w:val="000000" w:themeColor="text1"/>
          <w:spacing w:val="6"/>
          <w:szCs w:val="21"/>
          <w:highlight w:val="none"/>
          <w14:textFill>
            <w14:solidFill>
              <w14:schemeClr w14:val="tx1"/>
            </w14:solidFill>
          </w14:textFill>
        </w:rPr>
        <w:t>否则因此返工而造</w:t>
      </w:r>
      <w:r>
        <w:rPr>
          <w:rFonts w:hint="eastAsia" w:ascii="宋体" w:hAnsi="宋体" w:cs="宋体"/>
          <w:color w:val="000000" w:themeColor="text1"/>
          <w:spacing w:val="3"/>
          <w:szCs w:val="21"/>
          <w:highlight w:val="none"/>
          <w14:textFill>
            <w14:solidFill>
              <w14:schemeClr w14:val="tx1"/>
            </w14:solidFill>
          </w14:textFill>
        </w:rPr>
        <w:t>成的一切损失(包括直接损失、间接损失、律师费、诉讼费、保全</w:t>
      </w:r>
      <w:r>
        <w:rPr>
          <w:rFonts w:hint="eastAsia" w:ascii="宋体" w:hAnsi="宋体" w:cs="宋体"/>
          <w:color w:val="000000" w:themeColor="text1"/>
          <w:spacing w:val="6"/>
          <w:szCs w:val="21"/>
          <w:highlight w:val="none"/>
          <w14:textFill>
            <w14:solidFill>
              <w14:schemeClr w14:val="tx1"/>
            </w14:solidFill>
          </w14:textFill>
        </w:rPr>
        <w:t>费、保函费以</w:t>
      </w:r>
      <w:r>
        <w:rPr>
          <w:rFonts w:hint="eastAsia" w:ascii="宋体" w:hAnsi="宋体" w:cs="宋体"/>
          <w:color w:val="000000" w:themeColor="text1"/>
          <w:spacing w:val="3"/>
          <w:szCs w:val="21"/>
          <w:highlight w:val="none"/>
          <w14:textFill>
            <w14:solidFill>
              <w14:schemeClr w14:val="tx1"/>
            </w14:solidFill>
          </w14:textFill>
        </w:rPr>
        <w:t>及其他实现债权的费用等)均由承包人承担，该费用已包含在合同价款</w:t>
      </w:r>
      <w:r>
        <w:rPr>
          <w:rFonts w:hint="eastAsia" w:ascii="宋体" w:hAnsi="宋体" w:cs="宋体"/>
          <w:color w:val="000000" w:themeColor="text1"/>
          <w:spacing w:val="-10"/>
          <w:szCs w:val="21"/>
          <w:highlight w:val="none"/>
          <w14:textFill>
            <w14:solidFill>
              <w14:schemeClr w14:val="tx1"/>
            </w14:solidFill>
          </w14:textFill>
        </w:rPr>
        <w:t>中</w:t>
      </w:r>
      <w:r>
        <w:rPr>
          <w:rFonts w:hint="eastAsia" w:ascii="宋体" w:hAnsi="宋体" w:cs="宋体"/>
          <w:color w:val="000000" w:themeColor="text1"/>
          <w:spacing w:val="-9"/>
          <w:szCs w:val="21"/>
          <w:highlight w:val="none"/>
          <w14:textFill>
            <w14:solidFill>
              <w14:schemeClr w14:val="tx1"/>
            </w14:solidFill>
          </w14:textFill>
        </w:rPr>
        <w:t>。</w:t>
      </w:r>
    </w:p>
    <w:p w14:paraId="5DFC63E9">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（6）承包人应对整个现场操作和施工方法的完备性、稳定性和安全性负全</w:t>
      </w:r>
      <w:r>
        <w:rPr>
          <w:rFonts w:hint="eastAsia" w:ascii="宋体" w:hAnsi="宋体" w:cs="宋体"/>
          <w:color w:val="000000" w:themeColor="text1"/>
          <w:szCs w:val="21"/>
          <w:highlight w:val="none"/>
          <w14:textFill>
            <w14:solidFill>
              <w14:schemeClr w14:val="tx1"/>
            </w14:solidFill>
          </w14:textFill>
        </w:rPr>
        <w:t>责。承包人自行</w:t>
      </w:r>
      <w:r>
        <w:rPr>
          <w:rFonts w:hint="eastAsia" w:ascii="宋体" w:hAnsi="宋体" w:cs="宋体"/>
          <w:color w:val="000000" w:themeColor="text1"/>
          <w:spacing w:val="-1"/>
          <w:szCs w:val="21"/>
          <w:highlight w:val="none"/>
          <w14:textFill>
            <w14:solidFill>
              <w14:schemeClr w14:val="tx1"/>
            </w14:solidFill>
          </w14:textFill>
        </w:rPr>
        <w:t>承担</w:t>
      </w:r>
      <w:r>
        <w:rPr>
          <w:rFonts w:hint="eastAsia" w:ascii="宋体" w:hAnsi="宋体" w:cs="宋体"/>
          <w:color w:val="000000" w:themeColor="text1"/>
          <w:szCs w:val="21"/>
          <w:highlight w:val="none"/>
          <w14:textFill>
            <w14:solidFill>
              <w14:schemeClr w14:val="tx1"/>
            </w14:solidFill>
          </w14:textFill>
        </w:rPr>
        <w:t>施工过程中发生的一切人身、财产纠纷、损失和法律责任。</w:t>
      </w:r>
    </w:p>
    <w:p w14:paraId="3691C813">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w:t>
      </w:r>
      <w:r>
        <w:rPr>
          <w:rFonts w:hint="eastAsia" w:ascii="宋体" w:hAnsi="宋体" w:cs="宋体"/>
          <w:color w:val="000000" w:themeColor="text1"/>
          <w:spacing w:val="-2"/>
          <w:szCs w:val="21"/>
          <w:highlight w:val="none"/>
          <w14:textFill>
            <w14:solidFill>
              <w14:schemeClr w14:val="tx1"/>
            </w14:solidFill>
          </w14:textFill>
        </w:rPr>
        <w:t>7）承包人、发包人及监管现场产生的建筑垃圾</w:t>
      </w:r>
      <w:r>
        <w:rPr>
          <w:rFonts w:hint="eastAsia" w:ascii="宋体" w:hAnsi="宋体" w:cs="宋体"/>
          <w:color w:val="000000" w:themeColor="text1"/>
          <w:spacing w:val="-1"/>
          <w:szCs w:val="21"/>
          <w:highlight w:val="none"/>
          <w14:textFill>
            <w14:solidFill>
              <w14:schemeClr w14:val="tx1"/>
            </w14:solidFill>
          </w14:textFill>
        </w:rPr>
        <w:t>和生活垃圾由承包人负责清运并承担费用，该费用已包含在合同</w:t>
      </w:r>
      <w:r>
        <w:rPr>
          <w:rFonts w:hint="eastAsia" w:ascii="宋体" w:hAnsi="宋体" w:cs="宋体"/>
          <w:color w:val="000000" w:themeColor="text1"/>
          <w:szCs w:val="21"/>
          <w:highlight w:val="none"/>
          <w14:textFill>
            <w14:solidFill>
              <w14:schemeClr w14:val="tx1"/>
            </w14:solidFill>
          </w14:textFill>
        </w:rPr>
        <w:t>价款中。</w:t>
      </w:r>
    </w:p>
    <w:p w14:paraId="11B53FFF">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w:t>
      </w:r>
      <w:r>
        <w:rPr>
          <w:rFonts w:hint="eastAsia" w:ascii="宋体" w:hAnsi="宋体" w:cs="宋体"/>
          <w:color w:val="000000" w:themeColor="text1"/>
          <w:spacing w:val="-1"/>
          <w:szCs w:val="21"/>
          <w:highlight w:val="none"/>
          <w14:textFill>
            <w14:solidFill>
              <w14:schemeClr w14:val="tx1"/>
            </w14:solidFill>
          </w14:textFill>
        </w:rPr>
        <w:t>8）</w:t>
      </w:r>
      <w:r>
        <w:rPr>
          <w:rFonts w:hint="eastAsia" w:ascii="宋体" w:hAnsi="宋体" w:cs="宋体"/>
          <w:color w:val="000000" w:themeColor="text1"/>
          <w:spacing w:val="-2"/>
          <w:szCs w:val="21"/>
          <w:highlight w:val="none"/>
          <w14:textFill>
            <w14:solidFill>
              <w14:schemeClr w14:val="tx1"/>
            </w14:solidFill>
          </w14:textFill>
        </w:rPr>
        <w:t>承包人应在本合同生效后3天内及时</w:t>
      </w:r>
      <w:r>
        <w:rPr>
          <w:rFonts w:hint="eastAsia" w:ascii="宋体" w:hAnsi="宋体" w:cs="宋体"/>
          <w:color w:val="000000" w:themeColor="text1"/>
          <w:spacing w:val="-1"/>
          <w:szCs w:val="21"/>
          <w:highlight w:val="none"/>
          <w14:textFill>
            <w14:solidFill>
              <w14:schemeClr w14:val="tx1"/>
            </w14:solidFill>
          </w14:textFill>
        </w:rPr>
        <w:t>调遣人员和调配施工设备、材料进入工地，按施</w:t>
      </w:r>
      <w:r>
        <w:rPr>
          <w:rFonts w:hint="eastAsia" w:ascii="宋体" w:hAnsi="宋体" w:cs="宋体"/>
          <w:color w:val="000000" w:themeColor="text1"/>
          <w:spacing w:val="1"/>
          <w:szCs w:val="21"/>
          <w:highlight w:val="none"/>
          <w14:textFill>
            <w14:solidFill>
              <w14:schemeClr w14:val="tx1"/>
            </w14:solidFill>
          </w14:textFill>
        </w:rPr>
        <w:t>工总进度要求完成施工准备工作。因承包人不及时进场进行施工准备或不办</w:t>
      </w:r>
      <w:r>
        <w:rPr>
          <w:rFonts w:hint="eastAsia" w:ascii="宋体" w:hAnsi="宋体" w:cs="宋体"/>
          <w:color w:val="000000" w:themeColor="text1"/>
          <w:szCs w:val="21"/>
          <w:highlight w:val="none"/>
          <w14:textFill>
            <w14:solidFill>
              <w14:schemeClr w14:val="tx1"/>
            </w14:solidFill>
          </w14:textFill>
        </w:rPr>
        <w:t>理相关施</w:t>
      </w:r>
      <w:r>
        <w:rPr>
          <w:rFonts w:hint="eastAsia" w:ascii="宋体" w:hAnsi="宋体" w:cs="宋体"/>
          <w:color w:val="000000" w:themeColor="text1"/>
          <w:spacing w:val="-8"/>
          <w:szCs w:val="21"/>
          <w:highlight w:val="none"/>
          <w14:textFill>
            <w14:solidFill>
              <w14:schemeClr w14:val="tx1"/>
            </w14:solidFill>
          </w14:textFill>
        </w:rPr>
        <w:t>工手续，</w:t>
      </w:r>
      <w:r>
        <w:rPr>
          <w:rFonts w:hint="eastAsia" w:ascii="宋体" w:hAnsi="宋体" w:cs="宋体"/>
          <w:color w:val="000000" w:themeColor="text1"/>
          <w:spacing w:val="-15"/>
          <w:szCs w:val="21"/>
          <w:highlight w:val="none"/>
          <w14:textFill>
            <w14:solidFill>
              <w14:schemeClr w14:val="tx1"/>
            </w14:solidFill>
          </w14:textFill>
        </w:rPr>
        <w:t>发</w:t>
      </w:r>
      <w:r>
        <w:rPr>
          <w:rFonts w:hint="eastAsia" w:ascii="宋体" w:hAnsi="宋体" w:cs="宋体"/>
          <w:color w:val="000000" w:themeColor="text1"/>
          <w:spacing w:val="-8"/>
          <w:szCs w:val="21"/>
          <w:highlight w:val="none"/>
          <w14:textFill>
            <w14:solidFill>
              <w14:schemeClr w14:val="tx1"/>
            </w14:solidFill>
          </w14:textFill>
        </w:rPr>
        <w:t>包人将按每延误一天向承包人收取5000元的违约金</w:t>
      </w:r>
      <w:r>
        <w:rPr>
          <w:rFonts w:hint="eastAsia" w:ascii="宋体" w:hAnsi="宋体" w:cs="宋体"/>
          <w:color w:val="000000" w:themeColor="text1"/>
          <w:spacing w:val="-6"/>
          <w:szCs w:val="21"/>
          <w:highlight w:val="none"/>
          <w14:textFill>
            <w14:solidFill>
              <w14:schemeClr w14:val="tx1"/>
            </w14:solidFill>
          </w14:textFill>
        </w:rPr>
        <w:t>。</w:t>
      </w:r>
    </w:p>
    <w:p w14:paraId="7164CADD">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（9）合同期内，承包人必须保证其项目负责人参加由发包人召集的</w:t>
      </w:r>
      <w:r>
        <w:rPr>
          <w:rFonts w:hint="eastAsia" w:ascii="宋体" w:hAnsi="宋体" w:cs="宋体"/>
          <w:color w:val="000000" w:themeColor="text1"/>
          <w:szCs w:val="21"/>
          <w:highlight w:val="none"/>
          <w14:textFill>
            <w14:solidFill>
              <w14:schemeClr w14:val="tx1"/>
            </w14:solidFill>
          </w14:textFill>
        </w:rPr>
        <w:t>每周定时举行的</w:t>
      </w:r>
      <w:r>
        <w:rPr>
          <w:rFonts w:hint="eastAsia" w:ascii="宋体" w:hAnsi="宋体" w:cs="宋体"/>
          <w:color w:val="000000" w:themeColor="text1"/>
          <w:spacing w:val="-10"/>
          <w:szCs w:val="21"/>
          <w:highlight w:val="none"/>
          <w14:textFill>
            <w14:solidFill>
              <w14:schemeClr w14:val="tx1"/>
            </w14:solidFill>
          </w14:textFill>
        </w:rPr>
        <w:t>工地</w:t>
      </w:r>
      <w:r>
        <w:rPr>
          <w:rFonts w:hint="eastAsia" w:ascii="宋体" w:hAnsi="宋体" w:cs="宋体"/>
          <w:color w:val="000000" w:themeColor="text1"/>
          <w:spacing w:val="-6"/>
          <w:szCs w:val="21"/>
          <w:highlight w:val="none"/>
          <w14:textFill>
            <w14:solidFill>
              <w14:schemeClr w14:val="tx1"/>
            </w14:solidFill>
          </w14:textFill>
        </w:rPr>
        <w:t>例</w:t>
      </w:r>
      <w:r>
        <w:rPr>
          <w:rFonts w:hint="eastAsia" w:ascii="宋体" w:hAnsi="宋体" w:cs="宋体"/>
          <w:color w:val="000000" w:themeColor="text1"/>
          <w:spacing w:val="-5"/>
          <w:szCs w:val="21"/>
          <w:highlight w:val="none"/>
          <w14:textFill>
            <w14:solidFill>
              <w14:schemeClr w14:val="tx1"/>
            </w14:solidFill>
          </w14:textFill>
        </w:rPr>
        <w:t>会。项目负责人离开工地超过一日的，必须事先以书面形式通知发包人。</w:t>
      </w:r>
      <w:r>
        <w:rPr>
          <w:rFonts w:hint="eastAsia" w:ascii="宋体" w:hAnsi="宋体" w:cs="宋体"/>
          <w:color w:val="000000" w:themeColor="text1"/>
          <w:spacing w:val="-2"/>
          <w:szCs w:val="21"/>
          <w:highlight w:val="none"/>
          <w14:textFill>
            <w14:solidFill>
              <w14:schemeClr w14:val="tx1"/>
            </w14:solidFill>
          </w14:textFill>
        </w:rPr>
        <w:t>无故不参加工地例会承包人按2000元/日(次</w:t>
      </w:r>
      <w:r>
        <w:rPr>
          <w:rFonts w:hint="eastAsia" w:ascii="宋体" w:hAnsi="宋体" w:cs="宋体"/>
          <w:color w:val="000000" w:themeColor="text1"/>
          <w:spacing w:val="-1"/>
          <w:szCs w:val="21"/>
          <w:highlight w:val="none"/>
          <w14:textFill>
            <w14:solidFill>
              <w14:schemeClr w14:val="tx1"/>
            </w14:solidFill>
          </w14:textFill>
        </w:rPr>
        <w:t>)向发包人支付违约金，否则发包人有权</w:t>
      </w:r>
      <w:r>
        <w:rPr>
          <w:rFonts w:hint="eastAsia" w:ascii="宋体" w:hAnsi="宋体" w:cs="宋体"/>
          <w:color w:val="000000" w:themeColor="text1"/>
          <w:szCs w:val="21"/>
          <w:highlight w:val="none"/>
          <w14:textFill>
            <w14:solidFill>
              <w14:schemeClr w14:val="tx1"/>
            </w14:solidFill>
          </w14:textFill>
        </w:rPr>
        <w:t>做出扣减承包人管理费的决定，并有权要求撤换项目负责人。</w:t>
      </w:r>
    </w:p>
    <w:p w14:paraId="42C76716">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（10）竣工验收时，承包人应从施工现场清除并运出承包人装备、剩余材料</w:t>
      </w:r>
      <w:r>
        <w:rPr>
          <w:rFonts w:hint="eastAsia" w:ascii="宋体" w:hAnsi="宋体" w:cs="宋体"/>
          <w:color w:val="000000" w:themeColor="text1"/>
          <w:szCs w:val="21"/>
          <w:highlight w:val="none"/>
          <w14:textFill>
            <w14:solidFill>
              <w14:schemeClr w14:val="tx1"/>
            </w14:solidFill>
          </w14:textFill>
        </w:rPr>
        <w:t>、各种临时设施</w:t>
      </w:r>
      <w:r>
        <w:rPr>
          <w:rFonts w:hint="eastAsia" w:ascii="宋体" w:hAnsi="宋体" w:cs="宋体"/>
          <w:color w:val="000000" w:themeColor="text1"/>
          <w:spacing w:val="1"/>
          <w:szCs w:val="21"/>
          <w:highlight w:val="none"/>
          <w14:textFill>
            <w14:solidFill>
              <w14:schemeClr w14:val="tx1"/>
            </w14:solidFill>
          </w14:textFill>
        </w:rPr>
        <w:t>和垃圾等，并保持整个现场及工程整洁</w:t>
      </w:r>
      <w:r>
        <w:rPr>
          <w:rFonts w:hint="eastAsia" w:ascii="宋体" w:hAnsi="宋体" w:cs="宋体"/>
          <w:color w:val="000000" w:themeColor="text1"/>
          <w:spacing w:val="-9"/>
          <w:szCs w:val="21"/>
          <w:highlight w:val="none"/>
          <w14:textFill>
            <w14:solidFill>
              <w14:schemeClr w14:val="tx1"/>
            </w14:solidFill>
          </w14:textFill>
        </w:rPr>
        <w:t>。</w:t>
      </w:r>
    </w:p>
    <w:p w14:paraId="76CA98EC">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pacing w:val="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（11）承包人应采取一切合理措施保护现场内外的环境，避免由于施工操作</w:t>
      </w:r>
      <w:r>
        <w:rPr>
          <w:rFonts w:hint="eastAsia" w:ascii="宋体" w:hAnsi="宋体" w:cs="宋体"/>
          <w:color w:val="000000" w:themeColor="text1"/>
          <w:szCs w:val="21"/>
          <w:highlight w:val="none"/>
          <w14:textFill>
            <w14:solidFill>
              <w14:schemeClr w14:val="tx1"/>
            </w14:solidFill>
          </w14:textFill>
        </w:rPr>
        <w:t>引起的粉尘、有</w:t>
      </w:r>
      <w:r>
        <w:rPr>
          <w:rFonts w:hint="eastAsia" w:ascii="宋体" w:hAnsi="宋体" w:cs="宋体"/>
          <w:color w:val="000000" w:themeColor="text1"/>
          <w:spacing w:val="1"/>
          <w:szCs w:val="21"/>
          <w:highlight w:val="none"/>
          <w14:textFill>
            <w14:solidFill>
              <w14:schemeClr w14:val="tx1"/>
            </w14:solidFill>
          </w14:textFill>
        </w:rPr>
        <w:t>害气体、</w:t>
      </w:r>
      <w:r>
        <w:rPr>
          <w:rFonts w:hint="eastAsia" w:ascii="宋体" w:hAnsi="宋体" w:cs="宋体"/>
          <w:color w:val="000000" w:themeColor="text1"/>
          <w:spacing w:val="1"/>
          <w:szCs w:val="21"/>
          <w:highlight w:val="none"/>
          <w:lang w:eastAsia="zh-CN"/>
          <w14:textFill>
            <w14:solidFill>
              <w14:schemeClr w14:val="tx1"/>
            </w14:solidFill>
          </w14:textFill>
        </w:rPr>
        <w:t>噪声</w:t>
      </w:r>
      <w:r>
        <w:rPr>
          <w:rFonts w:hint="eastAsia" w:ascii="宋体" w:hAnsi="宋体" w:cs="宋体"/>
          <w:color w:val="000000" w:themeColor="text1"/>
          <w:spacing w:val="1"/>
          <w:szCs w:val="21"/>
          <w:highlight w:val="none"/>
          <w14:textFill>
            <w14:solidFill>
              <w14:schemeClr w14:val="tx1"/>
            </w14:solidFill>
          </w14:textFill>
        </w:rPr>
        <w:t>等对环境的污染或其他原因造成的人身伤害或财产损失。</w:t>
      </w:r>
      <w:r>
        <w:rPr>
          <w:rFonts w:hint="eastAsia" w:ascii="宋体" w:hAnsi="宋体" w:cs="宋体"/>
          <w:color w:val="000000" w:themeColor="text1"/>
          <w:szCs w:val="21"/>
          <w:highlight w:val="none"/>
          <w14:textFill>
            <w14:solidFill>
              <w14:schemeClr w14:val="tx1"/>
            </w14:solidFill>
          </w14:textFill>
        </w:rPr>
        <w:t>因承包人原因</w:t>
      </w:r>
      <w:r>
        <w:rPr>
          <w:rFonts w:hint="eastAsia" w:ascii="宋体" w:hAnsi="宋体" w:cs="宋体"/>
          <w:color w:val="000000" w:themeColor="text1"/>
          <w:spacing w:val="1"/>
          <w:szCs w:val="21"/>
          <w:highlight w:val="none"/>
          <w14:textFill>
            <w14:solidFill>
              <w14:schemeClr w14:val="tx1"/>
            </w14:solidFill>
          </w14:textFill>
        </w:rPr>
        <w:t>造成现场内外的粉尘、有害气体、</w:t>
      </w:r>
      <w:r>
        <w:rPr>
          <w:rFonts w:hint="eastAsia" w:ascii="宋体" w:hAnsi="宋体" w:cs="宋体"/>
          <w:color w:val="000000" w:themeColor="text1"/>
          <w:spacing w:val="1"/>
          <w:szCs w:val="21"/>
          <w:highlight w:val="none"/>
          <w:lang w:eastAsia="zh-CN"/>
          <w14:textFill>
            <w14:solidFill>
              <w14:schemeClr w14:val="tx1"/>
            </w14:solidFill>
          </w14:textFill>
        </w:rPr>
        <w:t>噪声</w:t>
      </w:r>
      <w:r>
        <w:rPr>
          <w:rFonts w:hint="eastAsia" w:ascii="宋体" w:hAnsi="宋体" w:cs="宋体"/>
          <w:color w:val="000000" w:themeColor="text1"/>
          <w:spacing w:val="1"/>
          <w:szCs w:val="21"/>
          <w:highlight w:val="none"/>
          <w14:textFill>
            <w14:solidFill>
              <w14:schemeClr w14:val="tx1"/>
            </w14:solidFill>
          </w14:textFill>
        </w:rPr>
        <w:t>等环境污染或其他原因造成的人身伤害或财产损失，应由承包人负责解决并承担全部经济、法律责任，并对承包人处以10</w:t>
      </w:r>
      <w:r>
        <w:rPr>
          <w:rFonts w:hint="eastAsia" w:ascii="宋体" w:hAnsi="宋体" w:cs="宋体"/>
          <w:color w:val="000000" w:themeColor="text1"/>
          <w:szCs w:val="21"/>
          <w:highlight w:val="none"/>
          <w14:textFill>
            <w14:solidFill>
              <w14:schemeClr w14:val="tx1"/>
            </w14:solidFill>
          </w14:textFill>
        </w:rPr>
        <w:t>000元/</w:t>
      </w:r>
      <w:r>
        <w:rPr>
          <w:rFonts w:hint="eastAsia" w:ascii="宋体" w:hAnsi="宋体" w:cs="宋体"/>
          <w:color w:val="000000" w:themeColor="text1"/>
          <w:spacing w:val="-4"/>
          <w:szCs w:val="21"/>
          <w:highlight w:val="none"/>
          <w14:textFill>
            <w14:solidFill>
              <w14:schemeClr w14:val="tx1"/>
            </w14:solidFill>
          </w14:textFill>
        </w:rPr>
        <w:t>次的违约金；由此给发包人造成损失的，应由承包人全部承担</w:t>
      </w:r>
      <w:r>
        <w:rPr>
          <w:rFonts w:hint="eastAsia" w:ascii="宋体" w:hAnsi="宋体" w:cs="宋体"/>
          <w:color w:val="000000" w:themeColor="text1"/>
          <w:spacing w:val="-1"/>
          <w:szCs w:val="21"/>
          <w:highlight w:val="none"/>
          <w14:textFill>
            <w14:solidFill>
              <w14:schemeClr w14:val="tx1"/>
            </w14:solidFill>
          </w14:textFill>
        </w:rPr>
        <w:t>。</w:t>
      </w:r>
    </w:p>
    <w:p w14:paraId="55597F15">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（12）承包人有义务按照相关政策法规及地方要求进行环境、安全、文明施</w:t>
      </w:r>
      <w:r>
        <w:rPr>
          <w:rFonts w:hint="eastAsia" w:ascii="宋体" w:hAnsi="宋体" w:cs="宋体"/>
          <w:color w:val="000000" w:themeColor="text1"/>
          <w:szCs w:val="21"/>
          <w:highlight w:val="none"/>
          <w14:textFill>
            <w14:solidFill>
              <w14:schemeClr w14:val="tx1"/>
            </w14:solidFill>
          </w14:textFill>
        </w:rPr>
        <w:t>工，未按照要求</w:t>
      </w:r>
      <w:r>
        <w:rPr>
          <w:rFonts w:hint="eastAsia" w:ascii="宋体" w:hAnsi="宋体" w:cs="宋体"/>
          <w:color w:val="000000" w:themeColor="text1"/>
          <w:spacing w:val="1"/>
          <w:szCs w:val="21"/>
          <w:highlight w:val="none"/>
          <w14:textFill>
            <w14:solidFill>
              <w14:schemeClr w14:val="tx1"/>
            </w14:solidFill>
          </w14:textFill>
        </w:rPr>
        <w:t>导致的相关部门罚款或其他形式处罚，由承包人自行承担该部分费用</w:t>
      </w:r>
      <w:r>
        <w:rPr>
          <w:rFonts w:hint="eastAsia" w:ascii="宋体" w:hAnsi="宋体" w:cs="宋体"/>
          <w:color w:val="000000" w:themeColor="text1"/>
          <w:szCs w:val="21"/>
          <w:highlight w:val="none"/>
          <w14:textFill>
            <w14:solidFill>
              <w14:schemeClr w14:val="tx1"/>
            </w14:solidFill>
          </w14:textFill>
        </w:rPr>
        <w:t>及处罚，且发包</w:t>
      </w:r>
      <w:bookmarkStart w:id="654" w:name="_bookmark505"/>
      <w:bookmarkEnd w:id="654"/>
      <w:bookmarkStart w:id="655" w:name="_bookmark503"/>
      <w:bookmarkEnd w:id="655"/>
      <w:r>
        <w:rPr>
          <w:rFonts w:hint="eastAsia" w:ascii="宋体" w:hAnsi="宋体" w:cs="宋体"/>
          <w:color w:val="000000" w:themeColor="text1"/>
          <w:spacing w:val="1"/>
          <w:szCs w:val="21"/>
          <w:highlight w:val="none"/>
          <w14:textFill>
            <w14:solidFill>
              <w14:schemeClr w14:val="tx1"/>
            </w14:solidFill>
          </w14:textFill>
        </w:rPr>
        <w:t>人有权利对该行为进行处罚，造成严重社会影响的，发包人有权利单方面终止</w:t>
      </w:r>
      <w:r>
        <w:rPr>
          <w:rFonts w:hint="eastAsia" w:ascii="宋体" w:hAnsi="宋体" w:cs="宋体"/>
          <w:color w:val="000000" w:themeColor="text1"/>
          <w:szCs w:val="21"/>
          <w:highlight w:val="none"/>
          <w14:textFill>
            <w14:solidFill>
              <w14:schemeClr w14:val="tx1"/>
            </w14:solidFill>
          </w14:textFill>
        </w:rPr>
        <w:t>合同且</w:t>
      </w:r>
      <w:r>
        <w:rPr>
          <w:rFonts w:hint="eastAsia" w:ascii="宋体" w:hAnsi="宋体" w:cs="宋体"/>
          <w:color w:val="000000" w:themeColor="text1"/>
          <w:spacing w:val="-2"/>
          <w:szCs w:val="21"/>
          <w:highlight w:val="none"/>
          <w14:textFill>
            <w14:solidFill>
              <w14:schemeClr w14:val="tx1"/>
            </w14:solidFill>
          </w14:textFill>
        </w:rPr>
        <w:t>对造成的影响提出索</w:t>
      </w:r>
      <w:r>
        <w:rPr>
          <w:rFonts w:hint="eastAsia" w:ascii="宋体" w:hAnsi="宋体" w:cs="宋体"/>
          <w:color w:val="000000" w:themeColor="text1"/>
          <w:spacing w:val="-1"/>
          <w:szCs w:val="21"/>
          <w:highlight w:val="none"/>
          <w14:textFill>
            <w14:solidFill>
              <w14:schemeClr w14:val="tx1"/>
            </w14:solidFill>
          </w14:textFill>
        </w:rPr>
        <w:t>赔。</w:t>
      </w:r>
    </w:p>
    <w:p w14:paraId="656D3174">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（13）承包人有义务配合发包人全面接受上级单位的审计工作，并遵</w:t>
      </w:r>
      <w:r>
        <w:rPr>
          <w:rFonts w:hint="eastAsia" w:ascii="宋体" w:hAnsi="宋体" w:cs="宋体"/>
          <w:color w:val="000000" w:themeColor="text1"/>
          <w:szCs w:val="21"/>
          <w:highlight w:val="none"/>
          <w14:textFill>
            <w14:solidFill>
              <w14:schemeClr w14:val="tx1"/>
            </w14:solidFill>
          </w14:textFill>
        </w:rPr>
        <w:t>守政府、发包人</w:t>
      </w:r>
      <w:r>
        <w:rPr>
          <w:rFonts w:hint="eastAsia" w:ascii="宋体" w:hAnsi="宋体" w:cs="宋体"/>
          <w:color w:val="000000" w:themeColor="text1"/>
          <w:spacing w:val="-2"/>
          <w:szCs w:val="21"/>
          <w:highlight w:val="none"/>
          <w14:textFill>
            <w14:solidFill>
              <w14:schemeClr w14:val="tx1"/>
            </w14:solidFill>
          </w14:textFill>
        </w:rPr>
        <w:t>上级单</w:t>
      </w:r>
      <w:r>
        <w:rPr>
          <w:rFonts w:hint="eastAsia" w:ascii="宋体" w:hAnsi="宋体" w:cs="宋体"/>
          <w:color w:val="000000" w:themeColor="text1"/>
          <w:spacing w:val="-1"/>
          <w:szCs w:val="21"/>
          <w:highlight w:val="none"/>
          <w14:textFill>
            <w14:solidFill>
              <w14:schemeClr w14:val="tx1"/>
            </w14:solidFill>
          </w14:textFill>
        </w:rPr>
        <w:t>位及发包人相关管理制度和规定。</w:t>
      </w:r>
    </w:p>
    <w:p w14:paraId="290F0D67">
      <w:pPr>
        <w:spacing w:line="356" w:lineRule="auto"/>
        <w:ind w:firstLine="424" w:firstLineChars="200"/>
        <w:rPr>
          <w:rFonts w:hint="eastAsia" w:ascii="宋体" w:hAnsi="宋体" w:cs="宋体"/>
          <w:color w:val="000000" w:themeColor="text1"/>
          <w:spacing w:val="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w:t>
      </w:r>
      <w:r>
        <w:rPr>
          <w:rFonts w:hint="eastAsia" w:ascii="宋体" w:hAnsi="宋体" w:cs="宋体"/>
          <w:color w:val="000000" w:themeColor="text1"/>
          <w:spacing w:val="6"/>
          <w:szCs w:val="21"/>
          <w:highlight w:val="none"/>
          <w14:textFill>
            <w14:solidFill>
              <w14:schemeClr w14:val="tx1"/>
            </w14:solidFill>
          </w14:textFill>
        </w:rPr>
        <w:t>14）</w:t>
      </w:r>
      <w:r>
        <w:rPr>
          <w:rFonts w:hint="eastAsia" w:ascii="宋体" w:hAnsi="宋体" w:cs="宋体"/>
          <w:color w:val="000000" w:themeColor="text1"/>
          <w:spacing w:val="1"/>
          <w:szCs w:val="21"/>
          <w:highlight w:val="none"/>
          <w14:textFill>
            <w14:solidFill>
              <w14:schemeClr w14:val="tx1"/>
            </w14:solidFill>
          </w14:textFill>
        </w:rPr>
        <w:t>承包人负责办理有关施工场地交通、施工噪音、污水排放、环境卫生</w:t>
      </w:r>
      <w:r>
        <w:rPr>
          <w:rFonts w:hint="eastAsia" w:ascii="宋体" w:hAnsi="宋体" w:cs="宋体"/>
          <w:color w:val="000000" w:themeColor="text1"/>
          <w:szCs w:val="21"/>
          <w:highlight w:val="none"/>
          <w14:textFill>
            <w14:solidFill>
              <w14:schemeClr w14:val="tx1"/>
            </w14:solidFill>
          </w14:textFill>
        </w:rPr>
        <w:t>、垃圾处理、环</w:t>
      </w:r>
      <w:r>
        <w:rPr>
          <w:rFonts w:hint="eastAsia" w:ascii="宋体" w:hAnsi="宋体" w:cs="宋体"/>
          <w:color w:val="000000" w:themeColor="text1"/>
          <w:spacing w:val="1"/>
          <w:szCs w:val="21"/>
          <w:highlight w:val="none"/>
          <w14:textFill>
            <w14:solidFill>
              <w14:schemeClr w14:val="tx1"/>
            </w14:solidFill>
          </w14:textFill>
        </w:rPr>
        <w:t>境保护、扬尘治理、市政绿地占用、安全生产等管理的手续</w:t>
      </w:r>
      <w:r>
        <w:rPr>
          <w:rFonts w:hint="eastAsia" w:ascii="宋体" w:hAnsi="宋体" w:cs="宋体"/>
          <w:color w:val="000000" w:themeColor="text1"/>
          <w:spacing w:val="-7"/>
          <w:szCs w:val="21"/>
          <w:highlight w:val="none"/>
          <w14:textFill>
            <w14:solidFill>
              <w14:schemeClr w14:val="tx1"/>
            </w14:solidFill>
          </w14:textFill>
        </w:rPr>
        <w:t>。</w:t>
      </w:r>
      <w:r>
        <w:rPr>
          <w:rFonts w:hint="eastAsia"/>
          <w:color w:val="000000" w:themeColor="text1"/>
          <w:szCs w:val="21"/>
          <w:highlight w:val="none"/>
          <w:u w:val="single"/>
          <w14:textFill>
            <w14:solidFill>
              <w14:schemeClr w14:val="tx1"/>
            </w14:solidFill>
          </w14:textFill>
        </w:rPr>
        <w:t>及办理施工许可证、二次消防</w:t>
      </w:r>
      <w:r>
        <w:rPr>
          <w:rFonts w:hint="eastAsia" w:ascii="宋体" w:hAnsi="宋体" w:cs="宋体"/>
          <w:color w:val="000000" w:themeColor="text1"/>
          <w:spacing w:val="1"/>
          <w:szCs w:val="21"/>
          <w:highlight w:val="none"/>
          <w14:textFill>
            <w14:solidFill>
              <w14:schemeClr w14:val="tx1"/>
            </w14:solidFill>
          </w14:textFill>
        </w:rPr>
        <w:t>审批等有关手续的工作。</w:t>
      </w:r>
    </w:p>
    <w:p w14:paraId="4181EF3A">
      <w:pPr>
        <w:pStyle w:val="29"/>
        <w:spacing w:line="356" w:lineRule="auto"/>
        <w:ind w:firstLine="426" w:firstLineChars="200"/>
        <w:rPr>
          <w:rFonts w:hint="eastAsia"/>
          <w:color w:val="000000" w:themeColor="text1"/>
          <w:sz w:val="21"/>
          <w:szCs w:val="21"/>
          <w:highlight w:val="none"/>
          <w14:textFill>
            <w14:solidFill>
              <w14:schemeClr w14:val="tx1"/>
            </w14:solidFill>
          </w14:textFill>
        </w:rPr>
      </w:pPr>
      <w:r>
        <w:rPr>
          <w:rFonts w:hint="eastAsia" w:ascii="宋体" w:cs="宋体"/>
          <w:color w:val="000000" w:themeColor="text1"/>
          <w:spacing w:val="1"/>
          <w:sz w:val="21"/>
          <w:szCs w:val="24"/>
          <w:highlight w:val="none"/>
          <w14:textFill>
            <w14:solidFill>
              <w14:schemeClr w14:val="tx1"/>
            </w14:solidFill>
          </w14:textFill>
        </w:rPr>
        <w:t>（15）承担施工安全保卫工作及夜间施工照明的责任和要求：提供和维修夜间施工使用的照</w:t>
      </w:r>
      <w:bookmarkStart w:id="656" w:name="_bookmark475"/>
      <w:bookmarkEnd w:id="656"/>
      <w:bookmarkStart w:id="657" w:name="_bookmark523"/>
      <w:bookmarkEnd w:id="657"/>
      <w:bookmarkStart w:id="658" w:name="_bookmark477"/>
      <w:bookmarkEnd w:id="658"/>
      <w:bookmarkStart w:id="659" w:name="_bookmark473"/>
      <w:bookmarkEnd w:id="659"/>
      <w:r>
        <w:rPr>
          <w:rFonts w:hint="eastAsia" w:ascii="宋体" w:cs="宋体"/>
          <w:color w:val="000000" w:themeColor="text1"/>
          <w:spacing w:val="1"/>
          <w:sz w:val="21"/>
          <w:szCs w:val="24"/>
          <w:highlight w:val="none"/>
          <w14:textFill>
            <w14:solidFill>
              <w14:schemeClr w14:val="tx1"/>
            </w14:solidFill>
          </w14:textFill>
        </w:rPr>
        <w:t>明、围栏设施，负责施工区域内的安全保卫，制定相应的施工安全措施，承担由自身安全防护措施不力造成的经济损失和责任，费用在措施费已计取。</w:t>
      </w:r>
    </w:p>
    <w:p w14:paraId="30C3508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3.2 项目经理</w:t>
      </w:r>
    </w:p>
    <w:p w14:paraId="4FF3FC77">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 xml:space="preserve">3.2.1 </w:t>
      </w:r>
      <w:r>
        <w:rPr>
          <w:rFonts w:ascii="宋体" w:hAnsi="宋体"/>
          <w:color w:val="000000" w:themeColor="text1"/>
          <w:szCs w:val="21"/>
          <w:highlight w:val="none"/>
          <w14:textFill>
            <w14:solidFill>
              <w14:schemeClr w14:val="tx1"/>
            </w14:solidFill>
          </w14:textFill>
        </w:rPr>
        <w:t>项目经理：</w:t>
      </w:r>
    </w:p>
    <w:p w14:paraId="5E294363">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    名：</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700B04D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身份证号：</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71C621DE">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建造师执业资格等级：</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590E397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建造师注册证书号：</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11BF286E">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建造师执业印章号：</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6D7EBF27">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安全生产考核合格证书号：</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3278280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联系电话：</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46A4DEA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电子信箱：</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3DFD758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通信地址：</w:t>
      </w:r>
      <w:r>
        <w:rPr>
          <w:rFonts w:hint="eastAsia" w:ascii="MingLiU_HKSCS" w:hAnsi="MingLiU_HKSCS" w:cs="MingLiU_HKSCS"/>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p w14:paraId="3F933208">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承包人对项目经理的授权范围如下：</w:t>
      </w:r>
      <w:r>
        <w:rPr>
          <w:rFonts w:hint="eastAsia" w:ascii="宋体" w:hAnsi="宋体"/>
          <w:color w:val="000000" w:themeColor="text1"/>
          <w:szCs w:val="21"/>
          <w:highlight w:val="none"/>
          <w:u w:val="single"/>
          <w14:textFill>
            <w14:solidFill>
              <w14:schemeClr w14:val="tx1"/>
            </w14:solidFill>
          </w14:textFill>
        </w:rPr>
        <w:t>包括但不限于与本合同执行的有关技术、工程进度、现场质量及安全管理、周围协调工作、质量检验、结算与支付等方面工作</w:t>
      </w:r>
      <w:r>
        <w:rPr>
          <w:rFonts w:ascii="宋体" w:hAnsi="宋体"/>
          <w:color w:val="000000" w:themeColor="text1"/>
          <w:szCs w:val="21"/>
          <w:highlight w:val="none"/>
          <w:u w:val="single"/>
          <w14:textFill>
            <w14:solidFill>
              <w14:schemeClr w14:val="tx1"/>
            </w14:solidFill>
          </w14:textFill>
        </w:rPr>
        <w:t>。</w:t>
      </w:r>
    </w:p>
    <w:p w14:paraId="0CF34343">
      <w:pPr>
        <w:spacing w:line="356" w:lineRule="auto"/>
        <w:ind w:firstLine="420" w:firstLineChars="200"/>
        <w:jc w:val="left"/>
        <w:rPr>
          <w:color w:val="000000" w:themeColor="text1"/>
          <w:szCs w:val="21"/>
          <w:highlight w:val="none"/>
          <w:u w:val="singl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关于项目经理每月在施工现场的时间要求：</w:t>
      </w:r>
      <w:r>
        <w:rPr>
          <w:rFonts w:hint="eastAsia" w:ascii="宋体" w:hAnsi="宋体"/>
          <w:color w:val="000000" w:themeColor="text1"/>
          <w:kern w:val="0"/>
          <w:szCs w:val="21"/>
          <w:highlight w:val="none"/>
          <w:u w:val="single"/>
          <w14:textFill>
            <w14:solidFill>
              <w14:schemeClr w14:val="tx1"/>
            </w14:solidFill>
          </w14:textFill>
        </w:rPr>
        <w:t>项目经理每月驻场不少于26日，缺勤按2000元/日标准向发包人支付违约金。项目经理需要离开工地时必须向发包人以书面形式请假，获批准后方可离开工地，否则按缺勤处理。每次请假时间不超过1日，施工期间累计离场时间不得超过4日。</w:t>
      </w:r>
    </w:p>
    <w:p w14:paraId="6B681975">
      <w:pPr>
        <w:spacing w:line="356" w:lineRule="auto"/>
        <w:ind w:firstLine="420" w:firstLineChars="200"/>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承包人未提交劳动合同，以及没有为项目经理缴纳社会保险证明的违约责任：</w:t>
      </w:r>
      <w:r>
        <w:rPr>
          <w:rFonts w:hint="eastAsia" w:ascii="宋体" w:hAnsi="宋体"/>
          <w:color w:val="000000" w:themeColor="text1"/>
          <w:szCs w:val="21"/>
          <w:highlight w:val="none"/>
          <w:u w:val="single"/>
          <w14:textFill>
            <w14:solidFill>
              <w14:schemeClr w14:val="tx1"/>
            </w14:solidFill>
          </w14:textFill>
        </w:rPr>
        <w:t>由承包人自行承担。</w:t>
      </w:r>
    </w:p>
    <w:p w14:paraId="13A59F95">
      <w:pPr>
        <w:spacing w:line="356"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项目经理未经批准，擅自离开施工现场的违约责任：</w:t>
      </w:r>
      <w:r>
        <w:rPr>
          <w:rFonts w:hint="eastAsia" w:ascii="宋体" w:hAnsi="宋体"/>
          <w:color w:val="000000" w:themeColor="text1"/>
          <w:szCs w:val="21"/>
          <w:highlight w:val="none"/>
          <w:u w:val="single"/>
          <w14:textFill>
            <w14:solidFill>
              <w14:schemeClr w14:val="tx1"/>
            </w14:solidFill>
          </w14:textFill>
        </w:rPr>
        <w:t>发包人有权按照2000元</w:t>
      </w:r>
      <w:r>
        <w:rPr>
          <w:rFonts w:ascii="宋体" w:hAnsi="宋体"/>
          <w:color w:val="000000" w:themeColor="text1"/>
          <w:szCs w:val="21"/>
          <w:highlight w:val="none"/>
          <w:u w:val="singl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天进行处罚。</w:t>
      </w:r>
    </w:p>
    <w:p w14:paraId="53E7D731">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3.2.3 承包人擅自更换项目经理的违约责任：</w:t>
      </w:r>
      <w:r>
        <w:rPr>
          <w:rFonts w:hint="eastAsia" w:ascii="宋体" w:hAnsi="宋体"/>
          <w:color w:val="000000" w:themeColor="text1"/>
          <w:szCs w:val="21"/>
          <w:highlight w:val="none"/>
          <w:u w:val="single"/>
          <w14:textFill>
            <w14:solidFill>
              <w14:schemeClr w14:val="tx1"/>
            </w14:solidFill>
          </w14:textFill>
        </w:rPr>
        <w:t>视为承包人违约，发包人有权取消合同，承包人应向发包人支付合同总价款30%的违约金</w:t>
      </w:r>
      <w:r>
        <w:rPr>
          <w:rFonts w:ascii="宋体" w:hAnsi="宋体"/>
          <w:color w:val="000000" w:themeColor="text1"/>
          <w:szCs w:val="21"/>
          <w:highlight w:val="none"/>
          <w14:textFill>
            <w14:solidFill>
              <w14:schemeClr w14:val="tx1"/>
            </w14:solidFill>
          </w14:textFill>
        </w:rPr>
        <w:t>。</w:t>
      </w:r>
    </w:p>
    <w:p w14:paraId="00375842">
      <w:pPr>
        <w:spacing w:line="356"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3.2.4 承包人无正当理由拒绝更换项目经理的违约责任：</w:t>
      </w:r>
      <w:r>
        <w:rPr>
          <w:rFonts w:hint="eastAsia" w:ascii="宋体" w:hAnsi="宋体"/>
          <w:color w:val="000000" w:themeColor="text1"/>
          <w:szCs w:val="21"/>
          <w:highlight w:val="none"/>
          <w:u w:val="single"/>
          <w14:textFill>
            <w14:solidFill>
              <w14:schemeClr w14:val="tx1"/>
            </w14:solidFill>
          </w14:textFill>
        </w:rPr>
        <w:t>视为承包人违约，发包人有权取消合同，承包人应向发包人支付合同总价款30%的违约金</w:t>
      </w:r>
      <w:r>
        <w:rPr>
          <w:rFonts w:ascii="宋体" w:hAnsi="宋体"/>
          <w:color w:val="000000" w:themeColor="text1"/>
          <w:szCs w:val="21"/>
          <w:highlight w:val="none"/>
          <w14:textFill>
            <w14:solidFill>
              <w14:schemeClr w14:val="tx1"/>
            </w14:solidFill>
          </w14:textFill>
        </w:rPr>
        <w:t>。</w:t>
      </w:r>
    </w:p>
    <w:p w14:paraId="66418D34">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3.3 承包人人员</w:t>
      </w:r>
    </w:p>
    <w:p w14:paraId="7BD2EAB1">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3.3.1 承包人提交项目管理机构及施工现场管理人员安排报告的期限：</w:t>
      </w:r>
      <w:r>
        <w:rPr>
          <w:rFonts w:hint="eastAsia" w:ascii="宋体" w:hAnsi="宋体"/>
          <w:color w:val="000000" w:themeColor="text1"/>
          <w:szCs w:val="21"/>
          <w:highlight w:val="none"/>
          <w:u w:val="single"/>
          <w14:textFill>
            <w14:solidFill>
              <w14:schemeClr w14:val="tx1"/>
            </w14:solidFill>
          </w14:textFill>
        </w:rPr>
        <w:t>合同签订后7日内</w:t>
      </w:r>
      <w:r>
        <w:rPr>
          <w:rFonts w:ascii="宋体" w:hAnsi="宋体"/>
          <w:color w:val="000000" w:themeColor="text1"/>
          <w:szCs w:val="21"/>
          <w:highlight w:val="none"/>
          <w14:textFill>
            <w14:solidFill>
              <w14:schemeClr w14:val="tx1"/>
            </w14:solidFill>
          </w14:textFill>
        </w:rPr>
        <w:t>。</w:t>
      </w:r>
    </w:p>
    <w:p w14:paraId="6582789E">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3.3.3 承包人无正当理由拒绝撤换主要施工管理人员的违约责任：</w:t>
      </w:r>
      <w:r>
        <w:rPr>
          <w:rFonts w:hint="eastAsia" w:ascii="宋体" w:hAnsi="宋体"/>
          <w:color w:val="000000" w:themeColor="text1"/>
          <w:szCs w:val="21"/>
          <w:highlight w:val="none"/>
          <w:u w:val="single"/>
          <w14:textFill>
            <w14:solidFill>
              <w14:schemeClr w14:val="tx1"/>
            </w14:solidFill>
          </w14:textFill>
        </w:rPr>
        <w:t>视为承包人违约，发包人有权解除合同，</w:t>
      </w:r>
      <w:r>
        <w:rPr>
          <w:rFonts w:hint="eastAsia" w:ascii="宋体" w:hAnsi="宋体" w:cs="宋体"/>
          <w:color w:val="000000" w:themeColor="text1"/>
          <w:spacing w:val="1"/>
          <w:szCs w:val="21"/>
          <w:highlight w:val="none"/>
          <w:u w:val="single"/>
          <w14:textFill>
            <w14:solidFill>
              <w14:schemeClr w14:val="tx1"/>
            </w14:solidFill>
          </w14:textFill>
        </w:rPr>
        <w:t>承包人应向发包人支付合同总价款30%</w:t>
      </w:r>
      <w:r>
        <w:rPr>
          <w:rFonts w:hint="eastAsia" w:ascii="宋体" w:hAnsi="宋体" w:cs="宋体"/>
          <w:color w:val="000000" w:themeColor="text1"/>
          <w:szCs w:val="21"/>
          <w:highlight w:val="none"/>
          <w:u w:val="single"/>
          <w14:textFill>
            <w14:solidFill>
              <w14:schemeClr w14:val="tx1"/>
            </w14:solidFill>
          </w14:textFill>
        </w:rPr>
        <w:t>的违约金</w:t>
      </w:r>
      <w:r>
        <w:rPr>
          <w:rFonts w:ascii="宋体" w:hAnsi="宋体"/>
          <w:color w:val="000000" w:themeColor="text1"/>
          <w:szCs w:val="21"/>
          <w:highlight w:val="none"/>
          <w14:textFill>
            <w14:solidFill>
              <w14:schemeClr w14:val="tx1"/>
            </w14:solidFill>
          </w14:textFill>
        </w:rPr>
        <w:t>。</w:t>
      </w:r>
    </w:p>
    <w:p w14:paraId="595A2A07">
      <w:pPr>
        <w:spacing w:line="356"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3.3.4 承包人主要施工管理人员离开施工现场的批准要求：</w:t>
      </w:r>
      <w:r>
        <w:rPr>
          <w:rFonts w:ascii="宋体" w:hAnsi="宋体"/>
          <w:color w:val="000000" w:themeColor="text1"/>
          <w:szCs w:val="21"/>
          <w:highlight w:val="none"/>
          <w:u w:val="single"/>
          <w14:textFill>
            <w14:solidFill>
              <w14:schemeClr w14:val="tx1"/>
            </w14:solidFill>
          </w14:textFill>
        </w:rPr>
        <w:t>必须</w:t>
      </w:r>
      <w:r>
        <w:rPr>
          <w:rFonts w:hint="eastAsia" w:ascii="宋体" w:hAnsi="宋体"/>
          <w:color w:val="000000" w:themeColor="text1"/>
          <w:szCs w:val="21"/>
          <w:highlight w:val="none"/>
          <w:u w:val="single"/>
          <w14:textFill>
            <w14:solidFill>
              <w14:schemeClr w14:val="tx1"/>
            </w14:solidFill>
          </w14:textFill>
        </w:rPr>
        <w:t>事先</w:t>
      </w:r>
      <w:r>
        <w:rPr>
          <w:rFonts w:ascii="宋体" w:hAnsi="宋体"/>
          <w:color w:val="000000" w:themeColor="text1"/>
          <w:szCs w:val="21"/>
          <w:highlight w:val="none"/>
          <w:u w:val="single"/>
          <w14:textFill>
            <w14:solidFill>
              <w14:schemeClr w14:val="tx1"/>
            </w14:solidFill>
          </w14:textFill>
        </w:rPr>
        <w:t>取得发包人的许可</w:t>
      </w:r>
      <w:r>
        <w:rPr>
          <w:rFonts w:ascii="宋体" w:hAnsi="宋体"/>
          <w:color w:val="000000" w:themeColor="text1"/>
          <w:szCs w:val="21"/>
          <w:highlight w:val="none"/>
          <w14:textFill>
            <w14:solidFill>
              <w14:schemeClr w14:val="tx1"/>
            </w14:solidFill>
          </w14:textFill>
        </w:rPr>
        <w:t>。</w:t>
      </w:r>
    </w:p>
    <w:p w14:paraId="730B263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3.3.5承包人擅自更换主要施工管理人员的违约责任：</w:t>
      </w:r>
      <w:r>
        <w:rPr>
          <w:rFonts w:hint="eastAsia" w:ascii="宋体" w:hAnsi="宋体"/>
          <w:color w:val="000000" w:themeColor="text1"/>
          <w:szCs w:val="21"/>
          <w:highlight w:val="none"/>
          <w:u w:val="single"/>
          <w14:textFill>
            <w14:solidFill>
              <w14:schemeClr w14:val="tx1"/>
            </w14:solidFill>
          </w14:textFill>
        </w:rPr>
        <w:t>视为承包人违约，发包人有权根据情况扣除承包人5000元-10000元/人违约金</w:t>
      </w:r>
      <w:r>
        <w:rPr>
          <w:rFonts w:ascii="宋体" w:hAnsi="宋体"/>
          <w:color w:val="000000" w:themeColor="text1"/>
          <w:szCs w:val="21"/>
          <w:highlight w:val="none"/>
          <w14:textFill>
            <w14:solidFill>
              <w14:schemeClr w14:val="tx1"/>
            </w14:solidFill>
          </w14:textFill>
        </w:rPr>
        <w:t>。</w:t>
      </w:r>
    </w:p>
    <w:p w14:paraId="0DC5AD07">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承包人主要施工管理人员擅自离开施工现场的违约责任：</w:t>
      </w:r>
      <w:r>
        <w:rPr>
          <w:rFonts w:hint="eastAsia" w:ascii="宋体" w:hAnsi="宋体"/>
          <w:color w:val="000000" w:themeColor="text1"/>
          <w:szCs w:val="21"/>
          <w:highlight w:val="none"/>
          <w:u w:val="single"/>
          <w14:textFill>
            <w14:solidFill>
              <w14:schemeClr w14:val="tx1"/>
            </w14:solidFill>
          </w14:textFill>
        </w:rPr>
        <w:t>发包人有权按照500元</w:t>
      </w:r>
      <w:r>
        <w:rPr>
          <w:rFonts w:ascii="宋体" w:hAnsi="宋体"/>
          <w:color w:val="000000" w:themeColor="text1"/>
          <w:szCs w:val="21"/>
          <w:highlight w:val="none"/>
          <w:u w:val="singl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人/天进行处罚</w:t>
      </w:r>
      <w:r>
        <w:rPr>
          <w:rFonts w:ascii="宋体" w:hAnsi="宋体"/>
          <w:color w:val="000000" w:themeColor="text1"/>
          <w:szCs w:val="21"/>
          <w:highlight w:val="none"/>
          <w14:textFill>
            <w14:solidFill>
              <w14:schemeClr w14:val="tx1"/>
            </w14:solidFill>
          </w14:textFill>
        </w:rPr>
        <w:t>。</w:t>
      </w:r>
    </w:p>
    <w:p w14:paraId="738B9D10">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pacing w:val="1"/>
          <w:szCs w:val="21"/>
          <w:highlight w:val="none"/>
          <w:u w:val="single"/>
          <w14:textFill>
            <w14:solidFill>
              <w14:schemeClr w14:val="tx1"/>
            </w14:solidFill>
          </w14:textFill>
        </w:rPr>
      </w:pPr>
      <w:r>
        <w:rPr>
          <w:rFonts w:hint="eastAsia" w:ascii="宋体" w:hAnsi="宋体" w:cs="宋体"/>
          <w:color w:val="000000" w:themeColor="text1"/>
          <w:spacing w:val="1"/>
          <w:szCs w:val="21"/>
          <w:highlight w:val="none"/>
          <w:u w:val="single"/>
          <w14:textFill>
            <w14:solidFill>
              <w14:schemeClr w14:val="tx1"/>
            </w14:solidFill>
          </w14:textFill>
        </w:rPr>
        <w:t xml:space="preserve">3.3.6 如果发包人(或发包人)认为已委派的项目经理、专业技术人员等主要人员的工作能力和业务水平不称职，经发包人同意而需要撤换时，承包人应在接到通知后，尽快撤回原委派的主要人员，同时委派经发包人与发包人同意的新的相应人选，否则将视为承包人违约，发包人有权解除合同，承包人应向发包人支付合同总价款30%的违约金；因此给发包人造成的损失(包括直接、间接损失、诉讼费、律师费、保全费、保函费以及其他实现债权的费用等)数额高于前述违约金的数额，应按损失数额赔偿。 </w:t>
      </w:r>
    </w:p>
    <w:p w14:paraId="4E155F81">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pacing w:val="1"/>
          <w:szCs w:val="21"/>
          <w:highlight w:val="none"/>
          <w:u w:val="single"/>
          <w14:textFill>
            <w14:solidFill>
              <w14:schemeClr w14:val="tx1"/>
            </w14:solidFill>
          </w14:textFill>
        </w:rPr>
      </w:pPr>
      <w:r>
        <w:rPr>
          <w:rFonts w:hint="eastAsia" w:ascii="宋体" w:hAnsi="宋体" w:cs="宋体"/>
          <w:color w:val="000000" w:themeColor="text1"/>
          <w:spacing w:val="1"/>
          <w:szCs w:val="21"/>
          <w:highlight w:val="none"/>
          <w:u w:val="single"/>
          <w14:textFill>
            <w14:solidFill>
              <w14:schemeClr w14:val="tx1"/>
            </w14:solidFill>
          </w14:textFill>
        </w:rPr>
        <w:t>3.3.7 承包人原则上在本项目实施期间不得更换项目经理。承包人确实因特殊原因需要更换项目经理的(发包人提出要求更换的情况除外)，需符合变更项目经理变更条件，应至少提前 10 日内以书面形式通知发包人，未经发包人书面同意，承包人不得擅自更换；发包人同意的，也应进行全面详细的交接工作，发包人对后任项目经理满意后，才能进行正式更换；同时承包人需进行变更备案，执行西安市《关于进一步加强房屋建筑和市政工程项目经理(总监)变更管理的通知》。否则，发包人有权解除合同，承包人应向发包人支付合同总价款 30%的违约金；因此给发包人造成的损失(包括直接、间接损失、诉讼费、律师费、保全费、保函费以及其他实现债权的费用等)数额高于前述违约金的数额，应按损失数额赔偿。</w:t>
      </w:r>
    </w:p>
    <w:p w14:paraId="24FDB8E6">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pacing w:val="1"/>
          <w:szCs w:val="21"/>
          <w:highlight w:val="none"/>
          <w:u w:val="single"/>
          <w14:textFill>
            <w14:solidFill>
              <w14:schemeClr w14:val="tx1"/>
            </w14:solidFill>
          </w14:textFill>
        </w:rPr>
      </w:pPr>
      <w:r>
        <w:rPr>
          <w:rFonts w:hint="eastAsia" w:ascii="宋体" w:hAnsi="宋体" w:cs="宋体"/>
          <w:color w:val="000000" w:themeColor="text1"/>
          <w:spacing w:val="1"/>
          <w:szCs w:val="21"/>
          <w:highlight w:val="none"/>
          <w:u w:val="single"/>
          <w14:textFill>
            <w14:solidFill>
              <w14:schemeClr w14:val="tx1"/>
            </w14:solidFill>
          </w14:textFill>
        </w:rPr>
        <w:t>3.3.8项目经理同时担任两个及以上在建项目负责人的违约责任：</w:t>
      </w:r>
    </w:p>
    <w:p w14:paraId="34AB0BA6">
      <w:pPr>
        <w:widowControl/>
        <w:kinsoku w:val="0"/>
        <w:autoSpaceDE w:val="0"/>
        <w:autoSpaceDN w:val="0"/>
        <w:adjustRightInd w:val="0"/>
        <w:snapToGrid w:val="0"/>
        <w:spacing w:line="356" w:lineRule="auto"/>
        <w:ind w:firstLine="424" w:firstLineChars="200"/>
        <w:textAlignment w:val="baseline"/>
        <w:rPr>
          <w:rFonts w:hint="eastAsia" w:ascii="宋体" w:hAnsi="宋体" w:cs="宋体"/>
          <w:color w:val="000000" w:themeColor="text1"/>
          <w:spacing w:val="1"/>
          <w:szCs w:val="21"/>
          <w:highlight w:val="none"/>
          <w:u w:val="single"/>
          <w14:textFill>
            <w14:solidFill>
              <w14:schemeClr w14:val="tx1"/>
            </w14:solidFill>
          </w14:textFill>
        </w:rPr>
      </w:pPr>
      <w:r>
        <w:rPr>
          <w:rFonts w:hint="eastAsia" w:ascii="宋体" w:hAnsi="宋体" w:cs="宋体"/>
          <w:color w:val="000000" w:themeColor="text1"/>
          <w:spacing w:val="1"/>
          <w:szCs w:val="21"/>
          <w:highlight w:val="none"/>
          <w:u w:val="single"/>
          <w14:textFill>
            <w14:solidFill>
              <w14:schemeClr w14:val="tx1"/>
            </w14:solidFill>
          </w14:textFill>
        </w:rPr>
        <w:t>若在合同执行过程中，发现承包人项目经理同时担任两个及以上在建项目的项目负责人，则承包人违约，应向发包人支付合同总价款10%的违约金。</w:t>
      </w:r>
    </w:p>
    <w:p w14:paraId="20EAACB5">
      <w:pPr>
        <w:widowControl/>
        <w:kinsoku w:val="0"/>
        <w:autoSpaceDE w:val="0"/>
        <w:autoSpaceDN w:val="0"/>
        <w:adjustRightInd w:val="0"/>
        <w:snapToGrid w:val="0"/>
        <w:spacing w:line="356" w:lineRule="auto"/>
        <w:ind w:firstLine="424" w:firstLineChars="200"/>
        <w:textAlignment w:val="baseline"/>
        <w:rPr>
          <w:color w:val="000000" w:themeColor="text1"/>
          <w:highlight w:val="none"/>
          <w:u w:val="single"/>
          <w14:textFill>
            <w14:solidFill>
              <w14:schemeClr w14:val="tx1"/>
            </w14:solidFill>
          </w14:textFill>
        </w:rPr>
      </w:pPr>
      <w:r>
        <w:rPr>
          <w:rFonts w:hint="eastAsia" w:ascii="宋体" w:hAnsi="宋体" w:cs="宋体"/>
          <w:color w:val="000000" w:themeColor="text1"/>
          <w:spacing w:val="1"/>
          <w:szCs w:val="21"/>
          <w:highlight w:val="none"/>
          <w:u w:val="single"/>
          <w14:textFill>
            <w14:solidFill>
              <w14:schemeClr w14:val="tx1"/>
            </w14:solidFill>
          </w14:textFill>
        </w:rPr>
        <w:t>3.3.9 承包人应执行国家、地方现行的有关农民工工资的管理规定及发包人关于农民工工资的相关管理办法。如发生因承包人拖欠农民工工资导致农民工到政府部门或发包人处索要工资的情况，则每发生 1 次，发包人将向承包人收取 100,000.00 元违约金。</w:t>
      </w:r>
    </w:p>
    <w:p w14:paraId="65F06794">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bookmarkStart w:id="660" w:name="_Toc304295523"/>
      <w:bookmarkStart w:id="661" w:name="_Toc297123492"/>
      <w:bookmarkStart w:id="662" w:name="_Toc296890987"/>
      <w:bookmarkStart w:id="663" w:name="_Toc297120459"/>
      <w:bookmarkStart w:id="664" w:name="_Toc292559364"/>
      <w:bookmarkStart w:id="665" w:name="_Toc292559869"/>
      <w:bookmarkStart w:id="666" w:name="_Toc297048345"/>
      <w:bookmarkStart w:id="667" w:name="_Toc296891199"/>
      <w:bookmarkStart w:id="668" w:name="_Toc312677988"/>
      <w:bookmarkStart w:id="669" w:name="_Toc296944498"/>
      <w:bookmarkStart w:id="670" w:name="_Toc296346660"/>
      <w:bookmarkStart w:id="671" w:name="_Toc300934945"/>
      <w:bookmarkStart w:id="672" w:name="_Toc296503159"/>
      <w:bookmarkStart w:id="673" w:name="_Toc297216151"/>
      <w:bookmarkStart w:id="674" w:name="_Toc296347158"/>
      <w:bookmarkStart w:id="675" w:name="_Toc303539102"/>
      <w:r>
        <w:rPr>
          <w:rFonts w:ascii="宋体" w:hAnsi="宋体"/>
          <w:color w:val="000000" w:themeColor="text1"/>
          <w:szCs w:val="21"/>
          <w:highlight w:val="none"/>
          <w14:textFill>
            <w14:solidFill>
              <w14:schemeClr w14:val="tx1"/>
            </w14:solidFill>
          </w14:textFill>
        </w:rPr>
        <w:t>.5 分包</w:t>
      </w:r>
    </w:p>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52C29213">
      <w:pPr>
        <w:spacing w:line="356" w:lineRule="auto"/>
        <w:ind w:firstLine="420"/>
        <w:rPr>
          <w:rFonts w:hint="eastAsia" w:ascii="宋体" w:hAnsi="宋体" w:cs="宋体"/>
          <w:color w:val="000000" w:themeColor="text1"/>
          <w:szCs w:val="21"/>
          <w:highlight w:val="none"/>
          <w14:textFill>
            <w14:solidFill>
              <w14:schemeClr w14:val="tx1"/>
            </w14:solidFill>
          </w14:textFill>
        </w:rPr>
      </w:pPr>
      <w:bookmarkStart w:id="676" w:name="_Toc297123494"/>
      <w:bookmarkStart w:id="677" w:name="_Toc297216153"/>
      <w:bookmarkStart w:id="678" w:name="_Toc297048347"/>
      <w:bookmarkStart w:id="679" w:name="_Toc296347160"/>
      <w:bookmarkStart w:id="680" w:name="_Toc296503161"/>
      <w:bookmarkStart w:id="681" w:name="_Toc296944500"/>
      <w:bookmarkStart w:id="682" w:name="_Toc297120461"/>
      <w:bookmarkStart w:id="683" w:name="_Toc300934947"/>
      <w:bookmarkStart w:id="684" w:name="_Toc296890989"/>
      <w:bookmarkStart w:id="685" w:name="_Toc304295525"/>
      <w:bookmarkStart w:id="686" w:name="_Toc296891201"/>
      <w:bookmarkStart w:id="687" w:name="_Toc303539104"/>
      <w:bookmarkStart w:id="688" w:name="_Toc296346662"/>
      <w:r>
        <w:rPr>
          <w:rFonts w:hint="eastAsia" w:ascii="宋体" w:hAnsi="宋体" w:cs="宋体"/>
          <w:color w:val="000000" w:themeColor="text1"/>
          <w:szCs w:val="21"/>
          <w:highlight w:val="none"/>
          <w14:textFill>
            <w14:solidFill>
              <w14:schemeClr w14:val="tx1"/>
            </w14:solidFill>
          </w14:textFill>
        </w:rPr>
        <w:t>3</w:t>
      </w:r>
      <w:bookmarkStart w:id="689" w:name="_Toc297216152"/>
      <w:bookmarkStart w:id="690" w:name="_Toc297123493"/>
      <w:bookmarkStart w:id="691" w:name="_Toc296891200"/>
      <w:bookmarkStart w:id="692" w:name="_Toc296347159"/>
      <w:bookmarkStart w:id="693" w:name="_Toc297120460"/>
      <w:bookmarkStart w:id="694" w:name="_Toc312677989"/>
      <w:bookmarkStart w:id="695" w:name="_Toc297048346"/>
      <w:bookmarkStart w:id="696" w:name="_Toc303539103"/>
      <w:bookmarkStart w:id="697" w:name="_Toc296944499"/>
      <w:bookmarkStart w:id="698" w:name="_Toc296346661"/>
      <w:bookmarkStart w:id="699" w:name="_Toc300934946"/>
      <w:bookmarkStart w:id="700" w:name="_Toc318581158"/>
      <w:bookmarkStart w:id="701" w:name="_Toc304295524"/>
      <w:bookmarkStart w:id="702" w:name="_Toc292559365"/>
      <w:bookmarkStart w:id="703" w:name="_Toc296503160"/>
      <w:bookmarkStart w:id="704" w:name="_Toc296890988"/>
      <w:bookmarkStart w:id="705" w:name="_Toc292559870"/>
      <w:r>
        <w:rPr>
          <w:rFonts w:hint="eastAsia" w:ascii="宋体" w:hAnsi="宋体" w:cs="宋体"/>
          <w:color w:val="000000" w:themeColor="text1"/>
          <w:szCs w:val="21"/>
          <w:highlight w:val="none"/>
          <w14:textFill>
            <w14:solidFill>
              <w14:schemeClr w14:val="tx1"/>
            </w14:solidFill>
          </w14:textFill>
        </w:rPr>
        <w:t>.5.1 分包的一般约定</w:t>
      </w:r>
    </w:p>
    <w:p w14:paraId="0D6ABFAB">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禁止分包的工程包括：</w:t>
      </w:r>
      <w:r>
        <w:rPr>
          <w:rFonts w:hint="eastAsia" w:ascii="宋体" w:hAnsi="宋体" w:cs="宋体"/>
          <w:color w:val="000000" w:themeColor="text1"/>
          <w:szCs w:val="21"/>
          <w:highlight w:val="none"/>
          <w:u w:val="single"/>
          <w14:textFill>
            <w14:solidFill>
              <w14:schemeClr w14:val="tx1"/>
            </w14:solidFill>
          </w14:textFill>
        </w:rPr>
        <w:t>执行国家法律法规相关规定。</w:t>
      </w:r>
    </w:p>
    <w:p w14:paraId="5347B1A7">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主体结构、关键性工作的范围：</w:t>
      </w:r>
      <w:r>
        <w:rPr>
          <w:rFonts w:hint="eastAsia" w:ascii="宋体" w:hAnsi="宋体" w:cs="宋体"/>
          <w:color w:val="000000" w:themeColor="text1"/>
          <w:szCs w:val="21"/>
          <w:highlight w:val="none"/>
          <w:u w:val="single"/>
          <w14:textFill>
            <w14:solidFill>
              <w14:schemeClr w14:val="tx1"/>
            </w14:solidFill>
          </w14:textFill>
        </w:rPr>
        <w:t>以法律法规的规定及现场确定为准。</w:t>
      </w:r>
    </w:p>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14:paraId="007725CB">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3.5.2分包的确定</w:t>
      </w:r>
    </w:p>
    <w:p w14:paraId="75F19337">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允许分包的专业工程包括：</w:t>
      </w:r>
      <w:r>
        <w:rPr>
          <w:rFonts w:hint="eastAsia" w:ascii="宋体" w:hAnsi="宋体" w:cs="宋体"/>
          <w:color w:val="000000" w:themeColor="text1"/>
          <w:szCs w:val="21"/>
          <w:highlight w:val="none"/>
          <w:u w:val="single"/>
          <w14:textFill>
            <w14:solidFill>
              <w14:schemeClr w14:val="tx1"/>
            </w14:solidFill>
          </w14:textFill>
        </w:rPr>
        <w:t>电梯设备采购安装。</w:t>
      </w:r>
    </w:p>
    <w:p w14:paraId="4FA9A735">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其他关于分包的约定：</w:t>
      </w:r>
      <w:r>
        <w:rPr>
          <w:rFonts w:hint="eastAsia" w:ascii="宋体" w:hAnsi="宋体" w:cs="宋体"/>
          <w:color w:val="000000" w:themeColor="text1"/>
          <w:szCs w:val="21"/>
          <w:highlight w:val="none"/>
          <w:u w:val="single"/>
          <w14:textFill>
            <w14:solidFill>
              <w14:schemeClr w14:val="tx1"/>
            </w14:solidFill>
          </w14:textFill>
        </w:rPr>
        <w:t>承包方不得将工程转包给其他施工单位。承包方如对部分单项工程需分包给专业施工单位施工时（专业施工单位</w:t>
      </w:r>
      <w:r>
        <w:rPr>
          <w:rFonts w:hint="eastAsia"/>
          <w:color w:val="000000" w:themeColor="text1"/>
          <w:highlight w:val="none"/>
          <w:u w:val="single"/>
          <w14:textFill>
            <w14:solidFill>
              <w14:schemeClr w14:val="tx1"/>
            </w14:solidFill>
          </w14:textFill>
        </w:rPr>
        <w:t>须具备相应资质</w:t>
      </w:r>
      <w:r>
        <w:rPr>
          <w:rFonts w:hint="eastAsia" w:ascii="宋体" w:hAnsi="宋体" w:cs="宋体"/>
          <w:color w:val="000000" w:themeColor="text1"/>
          <w:szCs w:val="21"/>
          <w:highlight w:val="none"/>
          <w:u w:val="single"/>
          <w14:textFill>
            <w14:solidFill>
              <w14:schemeClr w14:val="tx1"/>
            </w14:solidFill>
          </w14:textFill>
        </w:rPr>
        <w:t>），应事先经发包方认可才能签订分包合同，并将分包合同报送发包方一份备案。分包合同不能解除承包方任何义务与责任，承包人和分包人就分包工程向发包人承担连带责任。承包方应派相应监督管理人员，保证分包合同的履行，分包单位的任何违约或疏忽均视为承包方违约或疏忽。电梯设备采购安装专业待甲方确定后实施，总承包服务费不超过分包合同总价的2%（含）计取。</w:t>
      </w:r>
    </w:p>
    <w:p w14:paraId="3A8075CB">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3.5.4 分包合同价款</w:t>
      </w:r>
    </w:p>
    <w:p w14:paraId="6D33C8E8">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关于分包合同价款支付的约定：</w:t>
      </w:r>
      <w:r>
        <w:rPr>
          <w:rFonts w:hint="eastAsia" w:ascii="宋体" w:hAnsi="宋体" w:cs="宋体"/>
          <w:color w:val="000000" w:themeColor="text1"/>
          <w:szCs w:val="21"/>
          <w:highlight w:val="none"/>
          <w:u w:val="single"/>
          <w14:textFill>
            <w14:solidFill>
              <w14:schemeClr w14:val="tx1"/>
            </w14:solidFill>
          </w14:textFill>
        </w:rPr>
        <w:t>在分包合同中双方另行规定。</w:t>
      </w:r>
    </w:p>
    <w:bookmarkEnd w:id="676"/>
    <w:bookmarkEnd w:id="677"/>
    <w:bookmarkEnd w:id="678"/>
    <w:bookmarkEnd w:id="679"/>
    <w:bookmarkEnd w:id="680"/>
    <w:bookmarkEnd w:id="681"/>
    <w:bookmarkEnd w:id="682"/>
    <w:bookmarkEnd w:id="683"/>
    <w:bookmarkEnd w:id="684"/>
    <w:bookmarkEnd w:id="685"/>
    <w:bookmarkEnd w:id="686"/>
    <w:bookmarkEnd w:id="687"/>
    <w:bookmarkEnd w:id="688"/>
    <w:p w14:paraId="76AF5627">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3.6 工程照管与成品、半成品保护</w:t>
      </w:r>
    </w:p>
    <w:p w14:paraId="3F890955">
      <w:pPr>
        <w:spacing w:line="356" w:lineRule="auto"/>
        <w:ind w:firstLine="420" w:firstLineChars="200"/>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承包人负责照管工程及工程相关的材料、工程设备的起始时间：</w:t>
      </w:r>
      <w:r>
        <w:rPr>
          <w:rFonts w:ascii="宋体" w:hAnsi="宋体"/>
          <w:color w:val="000000" w:themeColor="text1"/>
          <w:kern w:val="0"/>
          <w:szCs w:val="21"/>
          <w:highlight w:val="none"/>
          <w:u w:val="single"/>
          <w14:textFill>
            <w14:solidFill>
              <w14:schemeClr w14:val="tx1"/>
            </w14:solidFill>
          </w14:textFill>
        </w:rPr>
        <w:t>项目正式开工至项目移交</w:t>
      </w:r>
      <w:r>
        <w:rPr>
          <w:rFonts w:hint="eastAsia" w:ascii="宋体" w:hAnsi="宋体"/>
          <w:color w:val="000000" w:themeColor="text1"/>
          <w:kern w:val="0"/>
          <w:szCs w:val="21"/>
          <w:highlight w:val="none"/>
          <w:u w:val="single"/>
          <w14:textFill>
            <w14:solidFill>
              <w14:schemeClr w14:val="tx1"/>
            </w14:solidFill>
          </w14:textFill>
        </w:rPr>
        <w:t>竣工验收并交付使用</w:t>
      </w:r>
      <w:r>
        <w:rPr>
          <w:rFonts w:ascii="宋体" w:hAnsi="宋体"/>
          <w:color w:val="000000" w:themeColor="text1"/>
          <w:kern w:val="0"/>
          <w:szCs w:val="21"/>
          <w:highlight w:val="none"/>
          <w14:textFill>
            <w14:solidFill>
              <w14:schemeClr w14:val="tx1"/>
            </w14:solidFill>
          </w14:textFill>
        </w:rPr>
        <w:t>。</w:t>
      </w:r>
    </w:p>
    <w:p w14:paraId="0737E2C4">
      <w:pPr>
        <w:spacing w:line="356"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3.7 履约担保</w:t>
      </w:r>
    </w:p>
    <w:p w14:paraId="0603275D">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承包人是否提供履约担保：</w:t>
      </w:r>
      <w:r>
        <w:rPr>
          <w:rFonts w:hint="eastAsia" w:ascii="宋体" w:hAnsi="宋体" w:cs="宋体"/>
          <w:color w:val="000000" w:themeColor="text1"/>
          <w:szCs w:val="21"/>
          <w:highlight w:val="none"/>
          <w:u w:val="single"/>
          <w14:textFill>
            <w14:solidFill>
              <w14:schemeClr w14:val="tx1"/>
            </w14:solidFill>
          </w14:textFill>
        </w:rPr>
        <w:t>是。</w:t>
      </w:r>
    </w:p>
    <w:p w14:paraId="4209CA11">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承包人提供履约担保的期限、金额及形式：</w:t>
      </w:r>
      <w:r>
        <w:rPr>
          <w:rFonts w:hint="eastAsia" w:ascii="宋体" w:hAnsi="宋体" w:cs="宋体"/>
          <w:color w:val="000000" w:themeColor="text1"/>
          <w:szCs w:val="21"/>
          <w:highlight w:val="none"/>
          <w:u w:val="single"/>
          <w14:textFill>
            <w14:solidFill>
              <w14:schemeClr w14:val="tx1"/>
            </w14:solidFill>
          </w14:textFill>
        </w:rPr>
        <w:t>正式合同签订前5日，中标人向采购人提交100000元的履约担保，以</w:t>
      </w:r>
      <w:r>
        <w:rPr>
          <w:rFonts w:hint="eastAsia"/>
          <w:color w:val="FF0000"/>
          <w:sz w:val="21"/>
          <w:szCs w:val="21"/>
          <w:highlight w:val="none"/>
          <w:u w:val="single"/>
          <w:lang w:val="zh-CN"/>
        </w:rPr>
        <w:t>支票、汇票、本票或者金融机构、担保机构出具的保函等形式提交</w:t>
      </w:r>
      <w:r>
        <w:rPr>
          <w:rFonts w:hint="eastAsia" w:ascii="宋体" w:hAnsi="宋体" w:cs="宋体"/>
          <w:color w:val="000000" w:themeColor="text1"/>
          <w:szCs w:val="21"/>
          <w:highlight w:val="none"/>
          <w:u w:val="single"/>
          <w14:textFill>
            <w14:solidFill>
              <w14:schemeClr w14:val="tx1"/>
            </w14:solidFill>
          </w14:textFill>
        </w:rPr>
        <w:t>。</w:t>
      </w:r>
    </w:p>
    <w:p w14:paraId="0C99B942">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履约保证金返还：工程竣工验收合格，且整改项目完成并验收合格，同时按发包人要求整改工作全部完成，并验收合格后30日内，一次性无息退还承包人履约保证金。</w:t>
      </w:r>
    </w:p>
    <w:p w14:paraId="0064CC9B">
      <w:pPr>
        <w:spacing w:line="356" w:lineRule="auto"/>
        <w:ind w:firstLine="422"/>
        <w:rPr>
          <w:rFonts w:hint="eastAsia" w:ascii="宋体" w:hAnsi="宋体" w:cs="宋体"/>
          <w:b/>
          <w:color w:val="000000" w:themeColor="text1"/>
          <w:szCs w:val="21"/>
          <w:highlight w:val="none"/>
          <w14:textFill>
            <w14:solidFill>
              <w14:schemeClr w14:val="tx1"/>
            </w14:solidFill>
          </w14:textFill>
        </w:rPr>
      </w:pPr>
      <w:bookmarkStart w:id="706" w:name="_Toc351203636"/>
      <w:r>
        <w:rPr>
          <w:rFonts w:hint="eastAsia" w:ascii="宋体" w:hAnsi="宋体" w:cs="宋体"/>
          <w:b/>
          <w:color w:val="000000" w:themeColor="text1"/>
          <w:szCs w:val="21"/>
          <w:highlight w:val="none"/>
          <w14:textFill>
            <w14:solidFill>
              <w14:schemeClr w14:val="tx1"/>
            </w14:solidFill>
          </w14:textFill>
        </w:rPr>
        <w:t>4</w:t>
      </w:r>
      <w:bookmarkStart w:id="707" w:name="_Toc292559871"/>
      <w:bookmarkStart w:id="708" w:name="_Toc292559366"/>
      <w:bookmarkStart w:id="709" w:name="_Toc267251413"/>
      <w:bookmarkStart w:id="710" w:name="_Toc296944501"/>
      <w:bookmarkStart w:id="711" w:name="_Toc297120462"/>
      <w:bookmarkStart w:id="712" w:name="_Toc296503162"/>
      <w:bookmarkStart w:id="713" w:name="_Toc296891202"/>
      <w:bookmarkStart w:id="714" w:name="_Toc296347161"/>
      <w:bookmarkStart w:id="715" w:name="_Toc296890990"/>
      <w:bookmarkStart w:id="716" w:name="_Toc297048348"/>
      <w:bookmarkStart w:id="717" w:name="_Toc296346663"/>
      <w:r>
        <w:rPr>
          <w:rFonts w:hint="eastAsia" w:ascii="宋体" w:hAnsi="宋体" w:cs="宋体"/>
          <w:b/>
          <w:color w:val="000000" w:themeColor="text1"/>
          <w:szCs w:val="21"/>
          <w:highlight w:val="none"/>
          <w14:textFill>
            <w14:solidFill>
              <w14:schemeClr w14:val="tx1"/>
            </w14:solidFill>
          </w14:textFill>
        </w:rPr>
        <w:t>. 监</w:t>
      </w:r>
      <w:bookmarkEnd w:id="707"/>
      <w:bookmarkEnd w:id="708"/>
      <w:bookmarkEnd w:id="709"/>
      <w:bookmarkEnd w:id="710"/>
      <w:bookmarkEnd w:id="711"/>
      <w:bookmarkEnd w:id="712"/>
      <w:bookmarkEnd w:id="713"/>
      <w:bookmarkEnd w:id="714"/>
      <w:bookmarkEnd w:id="715"/>
      <w:bookmarkEnd w:id="716"/>
      <w:bookmarkEnd w:id="717"/>
      <w:r>
        <w:rPr>
          <w:rFonts w:hint="eastAsia" w:ascii="宋体" w:hAnsi="宋体" w:cs="宋体"/>
          <w:b/>
          <w:color w:val="000000" w:themeColor="text1"/>
          <w:szCs w:val="21"/>
          <w:highlight w:val="none"/>
          <w14:textFill>
            <w14:solidFill>
              <w14:schemeClr w14:val="tx1"/>
            </w14:solidFill>
          </w14:textFill>
        </w:rPr>
        <w:t>理人</w:t>
      </w:r>
      <w:bookmarkEnd w:id="706"/>
    </w:p>
    <w:p w14:paraId="360A0F8E">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4.1监理人的一般规定</w:t>
      </w:r>
    </w:p>
    <w:p w14:paraId="3B038BBC">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关于监理人的监理内容:</w:t>
      </w:r>
      <w:r>
        <w:rPr>
          <w:rFonts w:hint="eastAsia" w:ascii="宋体" w:hAnsi="宋体" w:cs="宋体"/>
          <w:color w:val="000000" w:themeColor="text1"/>
          <w:szCs w:val="21"/>
          <w:highlight w:val="none"/>
          <w:u w:val="single"/>
          <w14:textFill>
            <w14:solidFill>
              <w14:schemeClr w14:val="tx1"/>
            </w14:solidFill>
          </w14:textFill>
        </w:rPr>
        <w:t>/</w:t>
      </w:r>
    </w:p>
    <w:p w14:paraId="121488A9">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关于监理人的监理权限:</w:t>
      </w:r>
      <w:r>
        <w:rPr>
          <w:rFonts w:hint="eastAsia" w:ascii="宋体" w:hAnsi="宋体" w:cs="宋体"/>
          <w:color w:val="000000" w:themeColor="text1"/>
          <w:szCs w:val="21"/>
          <w:highlight w:val="none"/>
          <w:u w:val="single"/>
          <w14:textFill>
            <w14:solidFill>
              <w14:schemeClr w14:val="tx1"/>
            </w14:solidFill>
          </w14:textFill>
        </w:rPr>
        <w:t xml:space="preserve">/ </w:t>
      </w:r>
    </w:p>
    <w:p w14:paraId="38CB7B4F">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Cs w:val="21"/>
          <w:highlight w:val="none"/>
          <w:u w:val="single"/>
          <w14:textFill>
            <w14:solidFill>
              <w14:schemeClr w14:val="tx1"/>
            </w14:solidFill>
          </w14:textFill>
        </w:rPr>
        <w:t>/</w:t>
      </w:r>
    </w:p>
    <w:p w14:paraId="71465D36">
      <w:pPr>
        <w:pStyle w:val="15"/>
        <w:spacing w:line="356" w:lineRule="auto"/>
        <w:ind w:firstLine="843" w:firstLineChars="400"/>
        <w:rPr>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4.2 监理人员:</w:t>
      </w:r>
      <w:r>
        <w:rPr>
          <w:rFonts w:hint="eastAsia" w:ascii="宋体" w:hAnsi="宋体" w:cs="宋体"/>
          <w:color w:val="000000" w:themeColor="text1"/>
          <w:szCs w:val="21"/>
          <w:highlight w:val="none"/>
          <w:u w:val="single"/>
          <w14:textFill>
            <w14:solidFill>
              <w14:schemeClr w14:val="tx1"/>
            </w14:solidFill>
          </w14:textFill>
        </w:rPr>
        <w:t>/</w:t>
      </w:r>
    </w:p>
    <w:p w14:paraId="3372E6D1">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718" w:name="_Toc267251418"/>
      <w:bookmarkStart w:id="719" w:name="_Toc351203637"/>
      <w:r>
        <w:rPr>
          <w:rFonts w:hint="eastAsia" w:ascii="黑体" w:hAnsi="黑体" w:cs="黑体"/>
          <w:color w:val="000000" w:themeColor="text1"/>
          <w:sz w:val="21"/>
          <w:szCs w:val="21"/>
          <w:highlight w:val="none"/>
          <w14:textFill>
            <w14:solidFill>
              <w14:schemeClr w14:val="tx1"/>
            </w14:solidFill>
          </w14:textFill>
        </w:rPr>
        <w:t>5</w:t>
      </w:r>
      <w:bookmarkEnd w:id="718"/>
      <w:bookmarkStart w:id="720" w:name="_Toc297120463"/>
      <w:bookmarkStart w:id="721" w:name="_Toc296944502"/>
      <w:bookmarkStart w:id="722" w:name="_Toc296347162"/>
      <w:bookmarkStart w:id="723" w:name="_Toc296890991"/>
      <w:bookmarkStart w:id="724" w:name="_Toc296891203"/>
      <w:bookmarkStart w:id="725" w:name="_Toc297048349"/>
      <w:bookmarkStart w:id="726" w:name="_Toc292559872"/>
      <w:bookmarkStart w:id="727" w:name="_Toc296346664"/>
      <w:bookmarkStart w:id="728" w:name="_Toc296503163"/>
      <w:bookmarkStart w:id="729" w:name="_Toc292559367"/>
      <w:r>
        <w:rPr>
          <w:rFonts w:hint="eastAsia" w:ascii="黑体" w:hAnsi="黑体" w:cs="黑体"/>
          <w:color w:val="000000" w:themeColor="text1"/>
          <w:sz w:val="21"/>
          <w:szCs w:val="21"/>
          <w:highlight w:val="none"/>
          <w14:textFill>
            <w14:solidFill>
              <w14:schemeClr w14:val="tx1"/>
            </w14:solidFill>
          </w14:textFill>
        </w:rPr>
        <w:t>. 工程质量</w:t>
      </w:r>
      <w:bookmarkEnd w:id="719"/>
    </w:p>
    <w:p w14:paraId="5A0D9FB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5.1 质量要求</w:t>
      </w:r>
    </w:p>
    <w:p w14:paraId="57B412E1">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bookmarkStart w:id="730" w:name="_Toc303539106"/>
      <w:bookmarkStart w:id="731" w:name="_Toc300934949"/>
      <w:bookmarkStart w:id="732" w:name="_Toc297123496"/>
      <w:bookmarkStart w:id="733" w:name="_Toc297216155"/>
      <w:bookmarkStart w:id="734" w:name="_Toc304295527"/>
      <w:bookmarkStart w:id="735" w:name="_Toc318581164"/>
      <w:bookmarkStart w:id="736" w:name="_Toc312677997"/>
      <w:r>
        <w:rPr>
          <w:rFonts w:ascii="宋体" w:hAnsi="宋体"/>
          <w:color w:val="000000" w:themeColor="text1"/>
          <w:szCs w:val="21"/>
          <w:highlight w:val="none"/>
          <w14:textFill>
            <w14:solidFill>
              <w14:schemeClr w14:val="tx1"/>
            </w14:solidFill>
          </w14:textFill>
        </w:rPr>
        <w:t>5.1.1 特殊质量标准和要求：</w:t>
      </w:r>
      <w:r>
        <w:rPr>
          <w:rFonts w:hint="eastAsia" w:ascii="宋体" w:hAnsi="宋体"/>
          <w:color w:val="000000" w:themeColor="text1"/>
          <w:szCs w:val="21"/>
          <w:highlight w:val="none"/>
          <w:u w:val="single"/>
          <w14:textFill>
            <w14:solidFill>
              <w14:schemeClr w14:val="tx1"/>
            </w14:solidFill>
          </w14:textFill>
        </w:rPr>
        <w:t>达到国家现行施工验收规范“合格”标准，达到文明工地标准。</w:t>
      </w:r>
    </w:p>
    <w:p w14:paraId="324529D1">
      <w:pPr>
        <w:pStyle w:val="15"/>
        <w:spacing w:line="356" w:lineRule="auto"/>
        <w:ind w:left="0" w:leftChars="0" w:firstLine="420"/>
        <w:rPr>
          <w:rFonts w:hint="eastAsia" w:ascii="宋体" w:hAnsi="宋体" w:cs="Courier New"/>
          <w:color w:val="000000" w:themeColor="text1"/>
          <w:sz w:val="21"/>
          <w:szCs w:val="21"/>
          <w:highlight w:val="none"/>
          <w:u w:val="single"/>
          <w14:textFill>
            <w14:solidFill>
              <w14:schemeClr w14:val="tx1"/>
            </w14:solidFill>
          </w14:textFill>
        </w:rPr>
      </w:pPr>
      <w:r>
        <w:rPr>
          <w:rFonts w:hint="eastAsia" w:ascii="宋体" w:hAnsi="宋体" w:cs="Courier New"/>
          <w:color w:val="000000" w:themeColor="text1"/>
          <w:sz w:val="21"/>
          <w:szCs w:val="21"/>
          <w:highlight w:val="none"/>
          <w:u w:val="single"/>
          <w14:textFill>
            <w14:solidFill>
              <w14:schemeClr w14:val="tx1"/>
            </w14:solidFill>
          </w14:textFill>
        </w:rPr>
        <w:t>5.1.1.1 双方对工程质量有争议，由双方同意的工程质量检测机构鉴定，所需费用及因此造成的损失，由责任方承担。双方均有责任，由双方根据其责任分别承担。</w:t>
      </w:r>
    </w:p>
    <w:p w14:paraId="2261F5DE">
      <w:pPr>
        <w:pStyle w:val="15"/>
        <w:spacing w:line="356" w:lineRule="auto"/>
        <w:ind w:left="0" w:leftChars="0" w:firstLine="420"/>
        <w:rPr>
          <w:rFonts w:hint="eastAsia" w:ascii="宋体" w:hAnsi="宋体" w:cs="Courier New"/>
          <w:color w:val="000000" w:themeColor="text1"/>
          <w:sz w:val="21"/>
          <w:szCs w:val="21"/>
          <w:highlight w:val="none"/>
          <w:u w:val="single"/>
          <w14:textFill>
            <w14:solidFill>
              <w14:schemeClr w14:val="tx1"/>
            </w14:solidFill>
          </w14:textFill>
        </w:rPr>
      </w:pPr>
      <w:r>
        <w:rPr>
          <w:rFonts w:hint="eastAsia" w:ascii="宋体" w:hAnsi="宋体" w:cs="Courier New"/>
          <w:color w:val="000000" w:themeColor="text1"/>
          <w:sz w:val="21"/>
          <w:szCs w:val="21"/>
          <w:highlight w:val="none"/>
          <w:u w:val="single"/>
          <w14:textFill>
            <w14:solidFill>
              <w14:schemeClr w14:val="tx1"/>
            </w14:solidFill>
          </w14:textFill>
        </w:rPr>
        <w:t>5.1.3 因承包人原因出现质量事故，承包人应对工程进行修复。且除按国家、地方有关法律法规处罚外，同时按本合同相关条款进行处罚。若出现重大质量事故，发包人有权终止合同。</w:t>
      </w:r>
    </w:p>
    <w:p w14:paraId="23220F4E">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5.3.2检查程序</w:t>
      </w:r>
    </w:p>
    <w:p w14:paraId="6CB1EC04">
      <w:pPr>
        <w:pStyle w:val="15"/>
        <w:spacing w:line="356" w:lineRule="auto"/>
        <w:ind w:left="0" w:leftChars="0" w:firstLine="420"/>
        <w:rPr>
          <w:rFonts w:hint="eastAsia" w:ascii="宋体" w:hAnsi="宋体" w:cs="Courier New"/>
          <w:color w:val="000000" w:themeColor="text1"/>
          <w:sz w:val="21"/>
          <w:szCs w:val="21"/>
          <w:highlight w:val="none"/>
          <w:u w:val="single"/>
          <w14:textFill>
            <w14:solidFill>
              <w14:schemeClr w14:val="tx1"/>
            </w14:solidFill>
          </w14:textFill>
        </w:rPr>
      </w:pPr>
      <w:r>
        <w:rPr>
          <w:rFonts w:hint="eastAsia" w:ascii="宋体" w:hAnsi="宋体" w:cs="Courier New"/>
          <w:color w:val="000000" w:themeColor="text1"/>
          <w:sz w:val="21"/>
          <w:szCs w:val="21"/>
          <w:highlight w:val="none"/>
          <w:u w:val="single"/>
          <w14:textFill>
            <w14:solidFill>
              <w14:schemeClr w14:val="tx1"/>
            </w14:solidFill>
          </w14:textFill>
        </w:rPr>
        <w:t>需要质检的隐蔽工程和中间验收部位的分类、部位、质检内容、标准、表格和参检方的约定：执行国家现行建设工程施工质量验收规范的规定和要求。除按规定进行正常隐蔽工程验收外，中间验收部分为：若发包人书面通知增加中间验收部分，承包人必须遵守。</w:t>
      </w:r>
    </w:p>
    <w:p w14:paraId="00B836A4">
      <w:pPr>
        <w:pStyle w:val="15"/>
        <w:spacing w:line="356" w:lineRule="auto"/>
        <w:ind w:left="0" w:leftChars="0" w:firstLine="420"/>
        <w:rPr>
          <w:rFonts w:hint="eastAsia" w:ascii="宋体" w:hAnsi="宋体" w:cs="Courier New"/>
          <w:color w:val="000000" w:themeColor="text1"/>
          <w:sz w:val="21"/>
          <w:szCs w:val="21"/>
          <w:highlight w:val="none"/>
          <w:u w:val="single"/>
          <w14:textFill>
            <w14:solidFill>
              <w14:schemeClr w14:val="tx1"/>
            </w14:solidFill>
          </w14:textFill>
        </w:rPr>
      </w:pPr>
      <w:r>
        <w:rPr>
          <w:rFonts w:hint="eastAsia" w:ascii="宋体" w:hAnsi="宋体" w:cs="Courier New"/>
          <w:color w:val="000000" w:themeColor="text1"/>
          <w:sz w:val="21"/>
          <w:szCs w:val="21"/>
          <w:highlight w:val="none"/>
          <w:u w:val="single"/>
          <w14:textFill>
            <w14:solidFill>
              <w14:schemeClr w14:val="tx1"/>
            </w14:solidFill>
          </w14:textFill>
        </w:rPr>
        <w:t>本工程所有隐蔽工程均需要留存影像资料，作为隐蔽工程计价原始资料，如隐蔽工程影像资料丢失，发包人有权不予计价此部分隐蔽工程费用。承包人须提前 24 小时通知发包人代表隐蔽工程检查。承包人自检并在隐蔽验收前，以书面形式通知发包人代表。防水等重要部位的施工先做样板，经发包人验收后方可进行施工。</w:t>
      </w:r>
    </w:p>
    <w:p w14:paraId="3614D552">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5.3.3重新检查</w:t>
      </w:r>
    </w:p>
    <w:p w14:paraId="584876EB">
      <w:pPr>
        <w:pStyle w:val="15"/>
        <w:spacing w:line="356" w:lineRule="auto"/>
        <w:ind w:left="0" w:leftChars="0" w:firstLine="420"/>
        <w:rPr>
          <w:rFonts w:hint="eastAsia" w:ascii="宋体" w:hAnsi="宋体" w:cs="Courier New"/>
          <w:color w:val="000000" w:themeColor="text1"/>
          <w:sz w:val="21"/>
          <w:szCs w:val="21"/>
          <w:highlight w:val="none"/>
          <w:u w:val="single"/>
          <w14:textFill>
            <w14:solidFill>
              <w14:schemeClr w14:val="tx1"/>
            </w14:solidFill>
          </w14:textFill>
        </w:rPr>
      </w:pPr>
      <w:r>
        <w:rPr>
          <w:rFonts w:hint="eastAsia" w:ascii="宋体" w:hAnsi="宋体" w:cs="Courier New"/>
          <w:color w:val="000000" w:themeColor="text1"/>
          <w:sz w:val="21"/>
          <w:szCs w:val="21"/>
          <w:highlight w:val="none"/>
          <w:u w:val="single"/>
          <w14:textFill>
            <w14:solidFill>
              <w14:schemeClr w14:val="tx1"/>
            </w14:solidFill>
          </w14:textFill>
        </w:rPr>
        <w:t>发包人可随意抽选或对工程质量存在异议的隐蔽工程，由发包人委托第三方检测机构对该部分工程质量进行检测，承包人应予以积极配合，检测合格，检测费用由发包人承担；检测不合格，检测费用由承包人承担。（费用标准按照发包人与第三方检测机构签订合同价款为准）。</w:t>
      </w:r>
    </w:p>
    <w:p w14:paraId="6F06E94A">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737" w:name="_Toc351203638"/>
      <w:r>
        <w:rPr>
          <w:rFonts w:hint="eastAsia" w:ascii="黑体" w:hAnsi="黑体" w:cs="黑体"/>
          <w:color w:val="000000" w:themeColor="text1"/>
          <w:sz w:val="21"/>
          <w:szCs w:val="21"/>
          <w:highlight w:val="none"/>
          <w14:textFill>
            <w14:solidFill>
              <w14:schemeClr w14:val="tx1"/>
            </w14:solidFill>
          </w14:textFill>
        </w:rPr>
        <w:t>6. 安全文明施工与环境保护</w:t>
      </w:r>
      <w:bookmarkEnd w:id="737"/>
    </w:p>
    <w:p w14:paraId="7730A681">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6.1安全文明施工</w:t>
      </w:r>
    </w:p>
    <w:p w14:paraId="20708EFD">
      <w:pPr>
        <w:pStyle w:val="16"/>
        <w:snapToGrid w:val="0"/>
        <w:spacing w:line="356" w:lineRule="auto"/>
        <w:ind w:firstLine="420" w:firstLineChars="200"/>
        <w:rPr>
          <w:rFonts w:hint="eastAsia"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6.1.1 项目安全生产的达标目标及相应事项的约定：</w:t>
      </w:r>
      <w:r>
        <w:rPr>
          <w:rFonts w:hAnsi="宋体"/>
          <w:color w:val="000000" w:themeColor="text1"/>
          <w:highlight w:val="none"/>
          <w:u w:val="single"/>
          <w14:textFill>
            <w14:solidFill>
              <w14:schemeClr w14:val="tx1"/>
            </w14:solidFill>
          </w14:textFill>
        </w:rPr>
        <w:t>执行《通用条款》全部条款、</w:t>
      </w:r>
      <w:r>
        <w:rPr>
          <w:rFonts w:hint="eastAsia" w:hAnsi="宋体"/>
          <w:color w:val="000000" w:themeColor="text1"/>
          <w:highlight w:val="none"/>
          <w:u w:val="single"/>
          <w14:textFill>
            <w14:solidFill>
              <w14:schemeClr w14:val="tx1"/>
            </w14:solidFill>
          </w14:textFill>
        </w:rPr>
        <w:t>达到</w:t>
      </w:r>
      <w:r>
        <w:rPr>
          <w:rFonts w:hAnsi="宋体"/>
          <w:color w:val="000000" w:themeColor="text1"/>
          <w:highlight w:val="none"/>
          <w:u w:val="single"/>
          <w14:textFill>
            <w14:solidFill>
              <w14:schemeClr w14:val="tx1"/>
            </w14:solidFill>
          </w14:textFill>
        </w:rPr>
        <w:t>安全文明施工的要求规定和创卫标准，因承包方原因达不到安全文明施工的要求规定和创卫标准时，承包人应切实整改达到此要求，所需费用均由承包人承担。</w:t>
      </w:r>
      <w:r>
        <w:rPr>
          <w:rFonts w:hint="eastAsia" w:hAnsi="宋体"/>
          <w:color w:val="000000" w:themeColor="text1"/>
          <w:highlight w:val="none"/>
          <w:u w:val="single"/>
          <w14:textFill>
            <w14:solidFill>
              <w14:schemeClr w14:val="tx1"/>
            </w14:solidFill>
          </w14:textFill>
        </w:rPr>
        <w:t>达到</w:t>
      </w:r>
      <w:r>
        <w:rPr>
          <w:color w:val="000000" w:themeColor="text1"/>
          <w:highlight w:val="none"/>
          <w:u w:val="single"/>
          <w14:textFill>
            <w14:solidFill>
              <w14:schemeClr w14:val="tx1"/>
            </w14:solidFill>
          </w14:textFill>
        </w:rPr>
        <w:t>文明工地标准。</w:t>
      </w:r>
      <w:r>
        <w:rPr>
          <w:rFonts w:hAnsi="宋体"/>
          <w:color w:val="000000" w:themeColor="text1"/>
          <w:highlight w:val="none"/>
          <w:u w:val="single"/>
          <w14:textFill>
            <w14:solidFill>
              <w14:schemeClr w14:val="tx1"/>
            </w14:solidFill>
          </w14:textFill>
        </w:rPr>
        <w:t>承包人应建立安全防护和文明施工制度，严格按照安全防护和文明施工的规定组织施工，并做好下列工作：在施工出入口处、临时用电设施、脚手架、出入通道口、楼梯口电梯井口</w:t>
      </w:r>
      <w:r>
        <w:rPr>
          <w:rFonts w:hint="eastAsia" w:hAnsi="宋体"/>
          <w:color w:val="000000" w:themeColor="text1"/>
          <w:highlight w:val="none"/>
          <w:u w:val="single"/>
          <w14:textFill>
            <w14:solidFill>
              <w14:schemeClr w14:val="tx1"/>
            </w14:solidFill>
          </w14:textFill>
        </w:rPr>
        <w:t>、</w:t>
      </w:r>
      <w:r>
        <w:rPr>
          <w:rFonts w:hAnsi="宋体"/>
          <w:color w:val="000000" w:themeColor="text1"/>
          <w:highlight w:val="none"/>
          <w:u w:val="single"/>
          <w14:textFill>
            <w14:solidFill>
              <w14:schemeClr w14:val="tx1"/>
            </w14:solidFill>
          </w14:textFill>
        </w:rPr>
        <w:t>孔洞口、爆破物及有害危险气体和液体存放处等危险部位，设置明显的安全警示标志；保持现场道路畅通、排水及排水设施通畅，</w:t>
      </w:r>
      <w:r>
        <w:rPr>
          <w:rFonts w:hint="eastAsia" w:hAnsi="宋体"/>
          <w:color w:val="000000" w:themeColor="text1"/>
          <w:highlight w:val="none"/>
          <w:u w:val="single"/>
          <w14:textFill>
            <w14:solidFill>
              <w14:schemeClr w14:val="tx1"/>
            </w14:solidFill>
          </w14:textFill>
        </w:rPr>
        <w:t>做好</w:t>
      </w:r>
      <w:r>
        <w:rPr>
          <w:rFonts w:hAnsi="宋体"/>
          <w:color w:val="000000" w:themeColor="text1"/>
          <w:highlight w:val="none"/>
          <w:u w:val="single"/>
          <w14:textFill>
            <w14:solidFill>
              <w14:schemeClr w14:val="tx1"/>
            </w14:solidFill>
          </w14:textFill>
        </w:rPr>
        <w:t>必要的现场地面硬化处理；妥善存放和处理材料设备和施工机械，水泥和其他易飞扬细颗粒的建筑材料应密闭存放或采取覆盖等措施，易燃易爆和有毒有害气体应分类存放；现场设置消防通道、配置消防设施和灭火器材，保证施工现场安全；施工垃圾、生活垃圾应分类存放，并及时从现场清运。</w:t>
      </w:r>
    </w:p>
    <w:p w14:paraId="192A3796">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6.1.4 关于治安保卫的特别约定：</w:t>
      </w:r>
      <w:r>
        <w:rPr>
          <w:rFonts w:hint="eastAsia" w:ascii="宋体" w:hAnsi="宋体"/>
          <w:color w:val="000000" w:themeColor="text1"/>
          <w:szCs w:val="21"/>
          <w:highlight w:val="none"/>
          <w:u w:val="single"/>
          <w14:textFill>
            <w14:solidFill>
              <w14:schemeClr w14:val="tx1"/>
            </w14:solidFill>
          </w14:textFill>
        </w:rPr>
        <w:t>（1）施工现场内外由本项目承包人提供的生产区、办公区、生活区治安保卫工作由承包人全面负责；（2）上述区域内若发生群殴、械斗等群体性突发治安事件的，每发生一起承包人对发包人支付违约金50000元。</w:t>
      </w:r>
    </w:p>
    <w:p w14:paraId="03A32766">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关于编制施工场地治安管理计划的约定：</w:t>
      </w:r>
      <w:r>
        <w:rPr>
          <w:rFonts w:hint="eastAsia" w:ascii="宋体" w:hAnsi="宋体"/>
          <w:color w:val="000000" w:themeColor="text1"/>
          <w:szCs w:val="21"/>
          <w:highlight w:val="none"/>
          <w:u w:val="single"/>
          <w14:textFill>
            <w14:solidFill>
              <w14:schemeClr w14:val="tx1"/>
            </w14:solidFill>
          </w14:textFill>
        </w:rPr>
        <w:t>由承包人在工程开工后3天内编制施工场地治安管理计划</w:t>
      </w:r>
      <w:r>
        <w:rPr>
          <w:rFonts w:ascii="宋体" w:hAnsi="宋体"/>
          <w:color w:val="000000" w:themeColor="text1"/>
          <w:szCs w:val="21"/>
          <w:highlight w:val="none"/>
          <w14:textFill>
            <w14:solidFill>
              <w14:schemeClr w14:val="tx1"/>
            </w14:solidFill>
          </w14:textFill>
        </w:rPr>
        <w:t>。</w:t>
      </w:r>
    </w:p>
    <w:p w14:paraId="252B267C">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6.1.5 文明施工</w:t>
      </w:r>
    </w:p>
    <w:p w14:paraId="03701FE5">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合同当事人对文明施工的要求：</w:t>
      </w:r>
      <w:r>
        <w:rPr>
          <w:rFonts w:hint="eastAsia" w:ascii="宋体" w:hAnsi="宋体"/>
          <w:color w:val="000000" w:themeColor="text1"/>
          <w:szCs w:val="21"/>
          <w:highlight w:val="none"/>
          <w:u w:val="single"/>
          <w14:textFill>
            <w14:solidFill>
              <w14:schemeClr w14:val="tx1"/>
            </w14:solidFill>
          </w14:textFill>
        </w:rPr>
        <w:t>达到文明工地的要求</w:t>
      </w:r>
      <w:r>
        <w:rPr>
          <w:rFonts w:hAnsi="宋体"/>
          <w:color w:val="000000" w:themeColor="text1"/>
          <w:highlight w:val="none"/>
          <w:u w:val="single"/>
          <w14:textFill>
            <w14:solidFill>
              <w14:schemeClr w14:val="tx1"/>
            </w14:solidFill>
          </w14:textFill>
        </w:rPr>
        <w:t>和创卫标准</w:t>
      </w:r>
      <w:r>
        <w:rPr>
          <w:rFonts w:hint="eastAsia" w:ascii="宋体" w:hAnsi="宋体"/>
          <w:color w:val="000000" w:themeColor="text1"/>
          <w:szCs w:val="21"/>
          <w:highlight w:val="none"/>
          <w:u w:val="single"/>
          <w14:textFill>
            <w14:solidFill>
              <w14:schemeClr w14:val="tx1"/>
            </w14:solidFill>
          </w14:textFill>
        </w:rPr>
        <w:t>。</w:t>
      </w:r>
    </w:p>
    <w:p w14:paraId="7F84342F">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6.1.6 关于安全文明施工费支付比例和支付期限的约定：</w:t>
      </w:r>
      <w:r>
        <w:rPr>
          <w:rFonts w:hint="eastAsia" w:ascii="宋体" w:hAnsi="宋体"/>
          <w:color w:val="000000" w:themeColor="text1"/>
          <w:szCs w:val="21"/>
          <w:highlight w:val="none"/>
          <w:u w:val="single"/>
          <w14:textFill>
            <w14:solidFill>
              <w14:schemeClr w14:val="tx1"/>
            </w14:solidFill>
          </w14:textFill>
        </w:rPr>
        <w:t>在开工前一次性100%足额给付承包方，承包方应当确保安全文明施工措施费专款专用，在财务管理中单独列出安全文明施工措施项目费用清单，承包方不得挪用安全文明施工措施项目费</w:t>
      </w:r>
      <w:r>
        <w:rPr>
          <w:rFonts w:ascii="宋体" w:hAnsi="宋体"/>
          <w:color w:val="000000" w:themeColor="text1"/>
          <w:szCs w:val="21"/>
          <w:highlight w:val="none"/>
          <w:u w:val="single"/>
          <w14:textFill>
            <w14:solidFill>
              <w14:schemeClr w14:val="tx1"/>
            </w14:solidFill>
          </w14:textFill>
        </w:rPr>
        <w:t>。</w:t>
      </w:r>
    </w:p>
    <w:p w14:paraId="0DD2DE6C">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6.1.9安全生产责任：</w:t>
      </w:r>
      <w:r>
        <w:rPr>
          <w:rFonts w:hint="eastAsia" w:ascii="宋体" w:hAnsi="宋体"/>
          <w:color w:val="000000" w:themeColor="text1"/>
          <w:szCs w:val="21"/>
          <w:highlight w:val="none"/>
          <w:u w:val="single"/>
          <w14:textFill>
            <w14:solidFill>
              <w14:schemeClr w14:val="tx1"/>
            </w14:solidFill>
          </w14:textFill>
        </w:rPr>
        <w:t>施工现场发生的一切安全事故由承包人承担全部责任及损失。</w:t>
      </w:r>
    </w:p>
    <w:p w14:paraId="6DAB85B6">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6.1.10承包人的安全责任增加内容如下：</w:t>
      </w:r>
    </w:p>
    <w:p w14:paraId="683584F6">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6.1.10.1承包人应按合同约定履行安全职责，执行发包人有关安全工作的指示，并接到开工通知 3 日内，编制施工安全措施计划报送发包人审批。</w:t>
      </w:r>
    </w:p>
    <w:p w14:paraId="683AB64B">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6.1.11 环境保护</w:t>
      </w:r>
    </w:p>
    <w:p w14:paraId="2F704EC9">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6.1.11.1承包人在夜间施工应遵循相关规定。若施工单位违反有关安全文明施工、扬尘治理的有关规定，每发现一次，发包人对承包人收取 50,00.00元的违约金。</w:t>
      </w:r>
    </w:p>
    <w:p w14:paraId="028B524F">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6.1.11.2承包人应保持施工区和生活区的环境卫生，及时清除垃圾和废弃物，并运至指定的地点堆放和处理。进入现场的材料、设备必须置放有序，防止任意堆放器材、杂物阻塞工作场地周围的通道和破坏环境。</w:t>
      </w:r>
    </w:p>
    <w:p w14:paraId="35E159A5">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6.1.11.3 废气排放、</w:t>
      </w:r>
      <w:r>
        <w:rPr>
          <w:rFonts w:hint="eastAsia" w:ascii="宋体" w:cs="Courier New"/>
          <w:b w:val="0"/>
          <w:bCs/>
          <w:color w:val="000000" w:themeColor="text1"/>
          <w:sz w:val="21"/>
          <w:szCs w:val="21"/>
          <w:highlight w:val="none"/>
          <w:lang w:eastAsia="zh-CN"/>
          <w14:textFill>
            <w14:solidFill>
              <w14:schemeClr w14:val="tx1"/>
            </w14:solidFill>
          </w14:textFill>
        </w:rPr>
        <w:t>噪声</w:t>
      </w:r>
      <w:r>
        <w:rPr>
          <w:rFonts w:hint="eastAsia" w:ascii="宋体" w:cs="Courier New"/>
          <w:b w:val="0"/>
          <w:bCs/>
          <w:color w:val="000000" w:themeColor="text1"/>
          <w:sz w:val="21"/>
          <w:szCs w:val="21"/>
          <w:highlight w:val="none"/>
          <w14:textFill>
            <w14:solidFill>
              <w14:schemeClr w14:val="tx1"/>
            </w14:solidFill>
          </w14:textFill>
        </w:rPr>
        <w:t>超标、固体废物排放、危险废物排放等施工期间排污、建筑垃圾处置等承包人应按国家及地方相关部门要求进行排放和处理，该部分费用含在合同总价内。</w:t>
      </w:r>
    </w:p>
    <w:p w14:paraId="2138EA95">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6.1.11.4 治污减霾措施严格按照《西安市扬尘污染防治条例》、《西安市 2016 城市治理专项工作实施方案》、《西安市建设工程施工现场围挡及出入口管理规定》、《西安市建设工地和两类企业扬尘治理措施》、《西安市 2017 年“铁腕治霾•保卫蓝天”“1+1+9”组合方案(办法)的通知》执行。</w:t>
      </w:r>
    </w:p>
    <w:p w14:paraId="1F8C263B">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6.1.11.5 严格执行《绿色建筑评价标准》(GB∕T50378-2019)。</w:t>
      </w:r>
    </w:p>
    <w:p w14:paraId="5EA35F94">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6.1.12 事故处理</w:t>
      </w:r>
    </w:p>
    <w:p w14:paraId="3C9688CF">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6.1.12 人员工伤事故</w:t>
      </w:r>
    </w:p>
    <w:p w14:paraId="760B3115">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6.1.12.1承包人应为其执行本合同所雇用的全部人员(包括分包人的人员)承担工伤事故责任。承包人可要求其分包人自行承担自己雇用人员的工伤事故责任，但发包人只向承包人追索其工伤事故责任。</w:t>
      </w:r>
    </w:p>
    <w:p w14:paraId="2666E233">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6.1.12.2发包人应为其现场机构雇用的全部人员(包括发包人员)承担工伤事故责任， 但由于承包人过失造成在承包人责任区内工作的发包人的人员伤亡，则应由承包人承担其工伤事故责任。</w:t>
      </w:r>
    </w:p>
    <w:p w14:paraId="540083D6">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6.1.13文明施工</w:t>
      </w:r>
    </w:p>
    <w:p w14:paraId="32CE8342">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承包人按照《中华人民共和国安全生产法》，《建设工程安全生产管理条例》和建设部建办〔2005〕89 号《建筑工程安全防护、文明施工措施费用及使用管理规定》及陕西省、项目所在地相关要求中关于创建安全文明施工作业环境的规定执行，所需全部费用已包含在发包人支付的安全防护、文明施工措施费中，发包人无需另行支付。承包人承担由自身措施不力造成事故的全部责任和费用。</w:t>
      </w:r>
    </w:p>
    <w:p w14:paraId="378E3EA3">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6.1.13.1承包人必须按规定做好工程的安全管理、文明施工工作，落实职业健康管理，必须达到文明工地标准和创卫标准。</w:t>
      </w:r>
    </w:p>
    <w:p w14:paraId="6705CDE0">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6.1.13.2严格按文明工地和创卫标准，设立专用、分类垃圾场(箱)，不得在施工区内任意堆放或乱倒垃圾，定期将垃圾清理外运。工程竣工后，所有临建设施(包括现场临建房屋、硬化路面、塔吊基础等)需在接到发包人通知后 20 日内全部拆除清理，施工现场周围和承包人生活区周围 100 米范围内施工现场清除干净，应做到无建筑材料、无建筑设备、无临时垃圾、无坑池渠沟、无掩埋的硬化道路和垃圾，场地整洁。以上费用已包含在合同价款中，不另行计取。若承包人不能按发包人要求的时间清理，造成后期工程无法实施，发包人有权委托第三方清理，所有费用均由承包人承担，发包人在工程款中直接扣除支付第三方，承包人无条件接受 。</w:t>
      </w:r>
    </w:p>
    <w:p w14:paraId="64B80255">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6.1.13.3因承包人原因造成的安全文明施工问题， 由承包人承担一切损失 。</w:t>
      </w:r>
    </w:p>
    <w:p w14:paraId="023E6FAB">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6.1.13.4严格按照绿色施工标准组织施工，最大限度地节约资源与减少对环境负面影响的施工活动，实现四节一环保(节能、节地、节水、节材和环境保护)。</w:t>
      </w:r>
    </w:p>
    <w:p w14:paraId="304E9F1B">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6.1.13.5由于承包人在施工生产过程中违反有关安全规程、消防条例和有关防火设计规范，导致发生安全或火灾事故，承包人应承担由此引发的一切经济损失，并赔偿发包人的损失。</w:t>
      </w:r>
    </w:p>
    <w:p w14:paraId="533A9A30">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6.1.13.6承包人应遵守工程所在地政府有关部门的管理规定，做好工程的安全防护、文明施工措施。在执行《通用条款》相关规定时，如由承包人行为给发包人带来的负面影响和经济损失，全部由承包人承担。</w:t>
      </w:r>
    </w:p>
    <w:p w14:paraId="0A3A09F1">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6.1.13.7施工期间，施工场地需配置的消防设备由承包人自备(消防机具包括但不限于消防灭火弹/设备)。配量的标准和要求应符合有关规定，若发包人发现不符合标准，则承包人需在 3 日内整改，同时处 1000 元违约金。</w:t>
      </w:r>
    </w:p>
    <w:p w14:paraId="6F9C289B">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6.1.13.8施工期间承包人因自身原因，收到政府部门关于安全文明施工方面相关通报，发包人按照每次对承包人处以扣除 2 万元的违约金， 此违约金在竣工结算扣除。</w:t>
      </w:r>
    </w:p>
    <w:p w14:paraId="54CEBC24">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6.1.13.9自承包人接收施工现场起，到工程竣工验收合格、移交发包人止。整个施工现场的安全管理及必要的安全投入，均由承包人承担。</w:t>
      </w:r>
    </w:p>
    <w:p w14:paraId="1A149868">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6.1.13.10治污减霾措施严格按照《西安市建筑垃圾管理条例》、《西安市扬尘污染防治条例》、《西安市 2016 城市治理专项工作实施方案》、《西安市建设工地施工扬尘治理“六个百分百”指导图例》的通知、《西安市建设工程施工现场围挡及出入口管理规定》、《西安市建设工地和两类企业扬尘 治理措施》、《西安市 2017 年“铁腕治霾•保卫蓝天”“1+1+9”组合方案(办法) 的通知》执行， 工地“七个到位”标准、西安市建设工程施工现场围挡及出入口图册等要求，承包人要负责承担 为达到以上标准所投入的费用。若承包人未按照上述规定执行，则对发包人产生的所有损失及因违 反规定产生的费用均由承包人负责承担。</w:t>
      </w:r>
    </w:p>
    <w:p w14:paraId="232793C4">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6.1.13.11现场用电必须按照施工验收相关规范要求，三相五线制，一机一闸必须带漏电保护，不许用电炉、电热褥、“热得快”等其他影响安全的不合格电器。如施工现场出现用电漏电或短路跳闸，每次由承包人向发包人承担 2000 元的违约金。</w:t>
      </w:r>
    </w:p>
    <w:p w14:paraId="405C92B5">
      <w:pPr>
        <w:pStyle w:val="29"/>
        <w:spacing w:line="356" w:lineRule="auto"/>
        <w:ind w:firstLine="420" w:firstLineChars="200"/>
        <w:rPr>
          <w:rFonts w:hint="eastAsia" w:ascii="宋体" w:cs="Courier New"/>
          <w:b w:val="0"/>
          <w:bCs/>
          <w:color w:val="000000" w:themeColor="text1"/>
          <w:sz w:val="21"/>
          <w:szCs w:val="21"/>
          <w:highlight w:val="none"/>
          <w14:textFill>
            <w14:solidFill>
              <w14:schemeClr w14:val="tx1"/>
            </w14:solidFill>
          </w14:textFill>
        </w:rPr>
      </w:pPr>
      <w:r>
        <w:rPr>
          <w:rFonts w:hint="eastAsia" w:ascii="宋体" w:cs="Courier New"/>
          <w:b w:val="0"/>
          <w:bCs/>
          <w:color w:val="000000" w:themeColor="text1"/>
          <w:sz w:val="21"/>
          <w:szCs w:val="21"/>
          <w:highlight w:val="none"/>
          <w14:textFill>
            <w14:solidFill>
              <w14:schemeClr w14:val="tx1"/>
            </w14:solidFill>
          </w14:textFill>
        </w:rPr>
        <w:t>6.1.13.12承包人按照《中华人民共和国安全生产法》，《建设工程安全生产管理条例》和建设部建办〔2005〕89号《建筑工程安全防护、文明施工措施费用及使用管理规定》及陕西省、项目所在地相关要求中关于创建安全文明施工作业环境的规定执行，所需全部费用已包含在发包人支付的安全防护、文明施工措施费中，发包人无需另行支付。承包人承担由自身措施不力造成事故的全部责任和费用。</w:t>
      </w:r>
    </w:p>
    <w:bookmarkEnd w:id="730"/>
    <w:bookmarkEnd w:id="731"/>
    <w:bookmarkEnd w:id="732"/>
    <w:bookmarkEnd w:id="733"/>
    <w:bookmarkEnd w:id="734"/>
    <w:bookmarkEnd w:id="735"/>
    <w:bookmarkEnd w:id="736"/>
    <w:p w14:paraId="3A74EEB0">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738" w:name="_Toc351203639"/>
      <w:r>
        <w:rPr>
          <w:rFonts w:hint="eastAsia" w:ascii="黑体" w:hAnsi="黑体" w:cs="黑体"/>
          <w:color w:val="000000" w:themeColor="text1"/>
          <w:sz w:val="21"/>
          <w:szCs w:val="21"/>
          <w:highlight w:val="none"/>
          <w14:textFill>
            <w14:solidFill>
              <w14:schemeClr w14:val="tx1"/>
            </w14:solidFill>
          </w14:textFill>
        </w:rPr>
        <w:t>7. 工期和进度</w:t>
      </w:r>
      <w:bookmarkEnd w:id="738"/>
    </w:p>
    <w:p w14:paraId="32F5B3F9">
      <w:pPr>
        <w:autoSpaceDE w:val="0"/>
        <w:autoSpaceDN w:val="0"/>
        <w:adjustRightInd w:val="0"/>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7.1.2 </w:t>
      </w:r>
      <w:r>
        <w:rPr>
          <w:rFonts w:ascii="宋体" w:hAnsi="宋体"/>
          <w:color w:val="000000" w:themeColor="text1"/>
          <w:kern w:val="0"/>
          <w:szCs w:val="21"/>
          <w:highlight w:val="none"/>
          <w14:textFill>
            <w14:solidFill>
              <w14:schemeClr w14:val="tx1"/>
            </w14:solidFill>
          </w14:textFill>
        </w:rPr>
        <w:t>施工组织设计的提交和修改</w:t>
      </w:r>
    </w:p>
    <w:p w14:paraId="17062FBA">
      <w:pPr>
        <w:autoSpaceDE w:val="0"/>
        <w:autoSpaceDN w:val="0"/>
        <w:adjustRightInd w:val="0"/>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承包人提交详细施工组织设计的</w:t>
      </w:r>
      <w:r>
        <w:rPr>
          <w:rFonts w:hint="eastAsia" w:ascii="宋体" w:hAnsi="宋体"/>
          <w:color w:val="000000" w:themeColor="text1"/>
          <w:kern w:val="0"/>
          <w:szCs w:val="21"/>
          <w:highlight w:val="none"/>
          <w14:textFill>
            <w14:solidFill>
              <w14:schemeClr w14:val="tx1"/>
            </w14:solidFill>
          </w14:textFill>
        </w:rPr>
        <w:t>期限</w:t>
      </w:r>
      <w:r>
        <w:rPr>
          <w:rFonts w:ascii="宋体" w:hAnsi="宋体"/>
          <w:color w:val="000000" w:themeColor="text1"/>
          <w:kern w:val="0"/>
          <w:szCs w:val="21"/>
          <w:highlight w:val="none"/>
          <w14:textFill>
            <w14:solidFill>
              <w14:schemeClr w14:val="tx1"/>
            </w14:solidFill>
          </w14:textFill>
        </w:rPr>
        <w:t>约定：</w:t>
      </w:r>
      <w:r>
        <w:rPr>
          <w:rFonts w:hint="eastAsia" w:ascii="宋体" w:hAnsi="宋体"/>
          <w:color w:val="000000" w:themeColor="text1"/>
          <w:szCs w:val="21"/>
          <w:highlight w:val="none"/>
          <w:u w:val="single"/>
          <w14:textFill>
            <w14:solidFill>
              <w14:schemeClr w14:val="tx1"/>
            </w14:solidFill>
          </w14:textFill>
        </w:rPr>
        <w:t>合同签订7天内</w:t>
      </w:r>
      <w:r>
        <w:rPr>
          <w:rFonts w:ascii="宋体" w:hAnsi="宋体"/>
          <w:color w:val="000000" w:themeColor="text1"/>
          <w:szCs w:val="21"/>
          <w:highlight w:val="none"/>
          <w14:textFill>
            <w14:solidFill>
              <w14:schemeClr w14:val="tx1"/>
            </w14:solidFill>
          </w14:textFill>
        </w:rPr>
        <w:t>。</w:t>
      </w:r>
    </w:p>
    <w:p w14:paraId="6361A4FF">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发包人在收到</w:t>
      </w:r>
      <w:r>
        <w:rPr>
          <w:rFonts w:hint="eastAsia" w:ascii="宋体" w:hAnsi="宋体"/>
          <w:color w:val="000000" w:themeColor="text1"/>
          <w:szCs w:val="21"/>
          <w:highlight w:val="none"/>
          <w14:textFill>
            <w14:solidFill>
              <w14:schemeClr w14:val="tx1"/>
            </w14:solidFill>
          </w14:textFill>
        </w:rPr>
        <w:t>详细的施工组织设计</w:t>
      </w:r>
      <w:r>
        <w:rPr>
          <w:rFonts w:ascii="宋体" w:hAnsi="宋体"/>
          <w:color w:val="000000" w:themeColor="text1"/>
          <w:szCs w:val="21"/>
          <w:highlight w:val="none"/>
          <w14:textFill>
            <w14:solidFill>
              <w14:schemeClr w14:val="tx1"/>
            </w14:solidFill>
          </w14:textFill>
        </w:rPr>
        <w:t>后确认或提出修改意见的期限：</w:t>
      </w:r>
      <w:r>
        <w:rPr>
          <w:rFonts w:hint="eastAsia" w:ascii="宋体" w:hAnsi="宋体"/>
          <w:color w:val="000000" w:themeColor="text1"/>
          <w:szCs w:val="21"/>
          <w:highlight w:val="none"/>
          <w:u w:val="single"/>
          <w14:textFill>
            <w14:solidFill>
              <w14:schemeClr w14:val="tx1"/>
            </w14:solidFill>
          </w14:textFill>
        </w:rPr>
        <w:t>执行通用条款</w:t>
      </w:r>
      <w:r>
        <w:rPr>
          <w:rFonts w:ascii="宋体" w:hAnsi="宋体"/>
          <w:color w:val="000000" w:themeColor="text1"/>
          <w:szCs w:val="21"/>
          <w:highlight w:val="none"/>
          <w14:textFill>
            <w14:solidFill>
              <w14:schemeClr w14:val="tx1"/>
            </w14:solidFill>
          </w14:textFill>
        </w:rPr>
        <w:t>。</w:t>
      </w:r>
    </w:p>
    <w:p w14:paraId="3403ADD8">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bookmarkStart w:id="739" w:name="_Toc297123514"/>
      <w:bookmarkStart w:id="740" w:name="_Toc304295541"/>
      <w:bookmarkStart w:id="741" w:name="_Toc297216173"/>
      <w:bookmarkStart w:id="742" w:name="_Toc312677479"/>
      <w:bookmarkStart w:id="743" w:name="_Toc312678005"/>
      <w:bookmarkStart w:id="744" w:name="_Toc303539123"/>
      <w:bookmarkStart w:id="745" w:name="_Toc300934966"/>
      <w:r>
        <w:rPr>
          <w:rFonts w:ascii="宋体" w:hAnsi="宋体"/>
          <w:color w:val="000000" w:themeColor="text1"/>
          <w:szCs w:val="21"/>
          <w:highlight w:val="none"/>
          <w14:textFill>
            <w14:solidFill>
              <w14:schemeClr w14:val="tx1"/>
            </w14:solidFill>
          </w14:textFill>
        </w:rPr>
        <w:t>.2 施工进度计划</w:t>
      </w:r>
    </w:p>
    <w:p w14:paraId="0C30FDD4">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7.2.2 施工进度计划的修订</w:t>
      </w:r>
    </w:p>
    <w:p w14:paraId="4E8676FF">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发包人在收到修订的施工进度计划后确认或提出修改意见的期限：</w:t>
      </w:r>
      <w:r>
        <w:rPr>
          <w:rFonts w:hint="eastAsia" w:ascii="宋体" w:hAnsi="宋体"/>
          <w:color w:val="000000" w:themeColor="text1"/>
          <w:szCs w:val="21"/>
          <w:highlight w:val="none"/>
          <w:u w:val="single"/>
          <w14:textFill>
            <w14:solidFill>
              <w14:schemeClr w14:val="tx1"/>
            </w14:solidFill>
          </w14:textFill>
        </w:rPr>
        <w:t>执行通用条款</w:t>
      </w:r>
      <w:r>
        <w:rPr>
          <w:rFonts w:ascii="宋体" w:hAnsi="宋体"/>
          <w:color w:val="000000" w:themeColor="text1"/>
          <w:szCs w:val="21"/>
          <w:highlight w:val="none"/>
          <w14:textFill>
            <w14:solidFill>
              <w14:schemeClr w14:val="tx1"/>
            </w14:solidFill>
          </w14:textFill>
        </w:rPr>
        <w:t>。</w:t>
      </w:r>
    </w:p>
    <w:p w14:paraId="178FEB5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7.3 开工</w:t>
      </w:r>
    </w:p>
    <w:p w14:paraId="0743D56D">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7.3.1 开工准备</w:t>
      </w:r>
    </w:p>
    <w:p w14:paraId="505F7D41">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关于承包人提交</w:t>
      </w:r>
      <w:r>
        <w:rPr>
          <w:rFonts w:ascii="宋体" w:hAnsi="宋体"/>
          <w:color w:val="000000" w:themeColor="text1"/>
          <w:kern w:val="0"/>
          <w:szCs w:val="21"/>
          <w:highlight w:val="none"/>
          <w14:textFill>
            <w14:solidFill>
              <w14:schemeClr w14:val="tx1"/>
            </w14:solidFill>
          </w14:textFill>
        </w:rPr>
        <w:t>工程开工报审表的期限：</w:t>
      </w:r>
      <w:r>
        <w:rPr>
          <w:rFonts w:hint="eastAsia" w:ascii="宋体" w:hAnsi="宋体"/>
          <w:color w:val="000000" w:themeColor="text1"/>
          <w:szCs w:val="21"/>
          <w:highlight w:val="none"/>
          <w:u w:val="single"/>
          <w14:textFill>
            <w14:solidFill>
              <w14:schemeClr w14:val="tx1"/>
            </w14:solidFill>
          </w14:textFill>
        </w:rPr>
        <w:t>合同签订后5天内，但不得晚于通用条款7.3.2项[开工通知]载明的开工日期前10天</w:t>
      </w:r>
      <w:r>
        <w:rPr>
          <w:rFonts w:ascii="宋体" w:hAnsi="宋体"/>
          <w:color w:val="000000" w:themeColor="text1"/>
          <w:szCs w:val="21"/>
          <w:highlight w:val="none"/>
          <w14:textFill>
            <w14:solidFill>
              <w14:schemeClr w14:val="tx1"/>
            </w14:solidFill>
          </w14:textFill>
        </w:rPr>
        <w:t>。</w:t>
      </w:r>
    </w:p>
    <w:p w14:paraId="7A550B77">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关于承包人应完成的其他开工准备工作及期限：</w:t>
      </w:r>
      <w:r>
        <w:rPr>
          <w:rFonts w:hint="eastAsia" w:ascii="宋体" w:hAnsi="宋体"/>
          <w:color w:val="000000" w:themeColor="text1"/>
          <w:szCs w:val="21"/>
          <w:highlight w:val="none"/>
          <w:u w:val="single"/>
          <w14:textFill>
            <w14:solidFill>
              <w14:schemeClr w14:val="tx1"/>
            </w14:solidFill>
          </w14:textFill>
        </w:rPr>
        <w:t>治污减霾专项方案、安全生产专项方案、文明施工专项方案、突发应急事件处理专项方案等，开工前7天内。</w:t>
      </w:r>
    </w:p>
    <w:bookmarkEnd w:id="739"/>
    <w:bookmarkEnd w:id="740"/>
    <w:bookmarkEnd w:id="741"/>
    <w:bookmarkEnd w:id="742"/>
    <w:bookmarkEnd w:id="743"/>
    <w:bookmarkEnd w:id="744"/>
    <w:bookmarkEnd w:id="745"/>
    <w:p w14:paraId="2BA5C0CE">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bookmarkStart w:id="746" w:name="_Toc312677484"/>
      <w:bookmarkStart w:id="747" w:name="_Toc300934968"/>
      <w:bookmarkStart w:id="748" w:name="_Toc312678010"/>
      <w:bookmarkStart w:id="749" w:name="_Toc297216175"/>
      <w:bookmarkStart w:id="750" w:name="_Toc303539125"/>
      <w:bookmarkStart w:id="751" w:name="_Toc304295546"/>
      <w:bookmarkStart w:id="752" w:name="_Toc297123516"/>
      <w:r>
        <w:rPr>
          <w:rFonts w:ascii="宋体" w:hAnsi="宋体"/>
          <w:color w:val="000000" w:themeColor="text1"/>
          <w:szCs w:val="21"/>
          <w:highlight w:val="none"/>
          <w14:textFill>
            <w14:solidFill>
              <w14:schemeClr w14:val="tx1"/>
            </w14:solidFill>
          </w14:textFill>
        </w:rPr>
        <w:t>.5 工期延误</w:t>
      </w:r>
    </w:p>
    <w:bookmarkEnd w:id="746"/>
    <w:bookmarkEnd w:id="747"/>
    <w:bookmarkEnd w:id="748"/>
    <w:bookmarkEnd w:id="749"/>
    <w:bookmarkEnd w:id="750"/>
    <w:bookmarkEnd w:id="751"/>
    <w:bookmarkEnd w:id="752"/>
    <w:p w14:paraId="10E259F5">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bookmarkStart w:id="753" w:name="_Toc312678014"/>
      <w:bookmarkStart w:id="754" w:name="_Toc318581171"/>
      <w:r>
        <w:rPr>
          <w:rFonts w:ascii="宋体" w:hAnsi="宋体"/>
          <w:color w:val="000000" w:themeColor="text1"/>
          <w:szCs w:val="21"/>
          <w:highlight w:val="none"/>
          <w14:textFill>
            <w14:solidFill>
              <w14:schemeClr w14:val="tx1"/>
            </w14:solidFill>
          </w14:textFill>
        </w:rPr>
        <w:t>7.5.1 因发包人原因导致工期延误</w:t>
      </w:r>
    </w:p>
    <w:p w14:paraId="56A1CB8B">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（7）因发包人原因导致工期延误的其他情形：</w:t>
      </w:r>
      <w:r>
        <w:rPr>
          <w:rFonts w:ascii="宋体" w:hAnsi="宋体"/>
          <w:color w:val="000000" w:themeColor="text1"/>
          <w:szCs w:val="21"/>
          <w:highlight w:val="none"/>
          <w:u w:val="single"/>
          <w14:textFill>
            <w14:solidFill>
              <w14:schemeClr w14:val="tx1"/>
            </w14:solidFill>
          </w14:textFill>
        </w:rPr>
        <w:t>不可抗力，此延误工期须在</w:t>
      </w:r>
      <w:r>
        <w:rPr>
          <w:rFonts w:hint="eastAsia" w:ascii="宋体" w:hAnsi="宋体"/>
          <w:color w:val="000000" w:themeColor="text1"/>
          <w:szCs w:val="21"/>
          <w:highlight w:val="none"/>
          <w:u w:val="single"/>
          <w14:textFill>
            <w14:solidFill>
              <w14:schemeClr w14:val="tx1"/>
            </w14:solidFill>
          </w14:textFill>
        </w:rPr>
        <w:t>发生</w:t>
      </w:r>
      <w:r>
        <w:rPr>
          <w:rFonts w:ascii="宋体" w:hAnsi="宋体"/>
          <w:color w:val="000000" w:themeColor="text1"/>
          <w:szCs w:val="21"/>
          <w:highlight w:val="none"/>
          <w:u w:val="single"/>
          <w14:textFill>
            <w14:solidFill>
              <w14:schemeClr w14:val="tx1"/>
            </w14:solidFill>
          </w14:textFill>
        </w:rPr>
        <w:t>后</w:t>
      </w:r>
      <w:r>
        <w:rPr>
          <w:rFonts w:hint="eastAsia" w:ascii="宋体" w:hAnsi="宋体"/>
          <w:color w:val="000000" w:themeColor="text1"/>
          <w:szCs w:val="21"/>
          <w:highlight w:val="none"/>
          <w:u w:val="single"/>
          <w14:textFill>
            <w14:solidFill>
              <w14:schemeClr w14:val="tx1"/>
            </w14:solidFill>
          </w14:textFill>
        </w:rPr>
        <w:t>7</w:t>
      </w:r>
      <w:r>
        <w:rPr>
          <w:rFonts w:ascii="宋体" w:hAnsi="宋体"/>
          <w:color w:val="000000" w:themeColor="text1"/>
          <w:szCs w:val="21"/>
          <w:highlight w:val="none"/>
          <w:u w:val="single"/>
          <w14:textFill>
            <w14:solidFill>
              <w14:schemeClr w14:val="tx1"/>
            </w14:solidFill>
          </w14:textFill>
        </w:rPr>
        <w:t>天内办理</w:t>
      </w:r>
      <w:r>
        <w:rPr>
          <w:rFonts w:hint="eastAsia" w:ascii="宋体" w:hAnsi="宋体"/>
          <w:color w:val="000000" w:themeColor="text1"/>
          <w:szCs w:val="21"/>
          <w:highlight w:val="none"/>
          <w:u w:val="single"/>
          <w14:textFill>
            <w14:solidFill>
              <w14:schemeClr w14:val="tx1"/>
            </w14:solidFill>
          </w14:textFill>
        </w:rPr>
        <w:t>延期申请</w:t>
      </w:r>
      <w:r>
        <w:rPr>
          <w:rFonts w:ascii="宋体" w:hAnsi="宋体"/>
          <w:color w:val="000000" w:themeColor="text1"/>
          <w:szCs w:val="21"/>
          <w:highlight w:val="none"/>
          <w:u w:val="single"/>
          <w14:textFill>
            <w14:solidFill>
              <w14:schemeClr w14:val="tx1"/>
            </w14:solidFill>
          </w14:textFill>
        </w:rPr>
        <w:t>，逾期不予认可</w:t>
      </w:r>
      <w:r>
        <w:rPr>
          <w:rFonts w:ascii="宋体" w:hAnsi="宋体"/>
          <w:color w:val="000000" w:themeColor="text1"/>
          <w:szCs w:val="21"/>
          <w:highlight w:val="none"/>
          <w14:textFill>
            <w14:solidFill>
              <w14:schemeClr w14:val="tx1"/>
            </w14:solidFill>
          </w14:textFill>
        </w:rPr>
        <w:t>。</w:t>
      </w:r>
    </w:p>
    <w:p w14:paraId="180A6E89">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bookmarkStart w:id="755" w:name="_Toc318581169"/>
      <w:bookmarkStart w:id="756" w:name="_Toc312677486"/>
      <w:bookmarkStart w:id="757" w:name="_Toc312678012"/>
      <w:bookmarkStart w:id="758" w:name="_Toc304295548"/>
      <w:bookmarkStart w:id="759" w:name="_Toc303539127"/>
      <w:bookmarkStart w:id="760" w:name="_Toc300934970"/>
      <w:bookmarkStart w:id="761" w:name="_Toc297123518"/>
      <w:bookmarkStart w:id="762" w:name="_Toc297216177"/>
      <w:r>
        <w:rPr>
          <w:rFonts w:ascii="宋体" w:hAnsi="宋体"/>
          <w:color w:val="000000" w:themeColor="text1"/>
          <w:szCs w:val="21"/>
          <w:highlight w:val="none"/>
          <w14:textFill>
            <w14:solidFill>
              <w14:schemeClr w14:val="tx1"/>
            </w14:solidFill>
          </w14:textFill>
        </w:rPr>
        <w:t>.5.2 因承包人原因导致工期延误</w:t>
      </w:r>
    </w:p>
    <w:bookmarkEnd w:id="755"/>
    <w:bookmarkEnd w:id="756"/>
    <w:bookmarkEnd w:id="757"/>
    <w:p w14:paraId="633F4BD8">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因</w:t>
      </w:r>
      <w:bookmarkStart w:id="763" w:name="_Toc312678013"/>
      <w:bookmarkStart w:id="764" w:name="_Toc312677487"/>
      <w:bookmarkStart w:id="765" w:name="_Toc318581170"/>
      <w:r>
        <w:rPr>
          <w:rFonts w:ascii="宋体" w:hAnsi="宋体"/>
          <w:color w:val="000000" w:themeColor="text1"/>
          <w:szCs w:val="21"/>
          <w:highlight w:val="none"/>
          <w14:textFill>
            <w14:solidFill>
              <w14:schemeClr w14:val="tx1"/>
            </w14:solidFill>
          </w14:textFill>
        </w:rPr>
        <w:t>承包人原因造成工期延误，逾期竣工违约金的计算方法为：</w:t>
      </w:r>
      <w:bookmarkEnd w:id="758"/>
      <w:bookmarkEnd w:id="759"/>
      <w:bookmarkEnd w:id="760"/>
      <w:bookmarkEnd w:id="761"/>
      <w:bookmarkEnd w:id="762"/>
      <w:bookmarkEnd w:id="763"/>
      <w:bookmarkEnd w:id="764"/>
      <w:r>
        <w:rPr>
          <w:rFonts w:hint="eastAsia"/>
          <w:color w:val="000000" w:themeColor="text1"/>
          <w:szCs w:val="21"/>
          <w:highlight w:val="none"/>
          <w:u w:val="single"/>
          <w14:textFill>
            <w14:solidFill>
              <w14:schemeClr w14:val="tx1"/>
            </w14:solidFill>
          </w14:textFill>
        </w:rPr>
        <w:t>按投标</w:t>
      </w:r>
      <w:r>
        <w:rPr>
          <w:color w:val="000000" w:themeColor="text1"/>
          <w:szCs w:val="21"/>
          <w:highlight w:val="none"/>
          <w:u w:val="single"/>
          <w14:textFill>
            <w14:solidFill>
              <w14:schemeClr w14:val="tx1"/>
            </w14:solidFill>
          </w14:textFill>
        </w:rPr>
        <w:t>工期提前无奖励。</w:t>
      </w:r>
      <w:r>
        <w:rPr>
          <w:rFonts w:hint="eastAsia"/>
          <w:color w:val="000000" w:themeColor="text1"/>
          <w:szCs w:val="21"/>
          <w:highlight w:val="none"/>
          <w:u w:val="single"/>
          <w14:textFill>
            <w14:solidFill>
              <w14:schemeClr w14:val="tx1"/>
            </w14:solidFill>
          </w14:textFill>
        </w:rPr>
        <w:t>承包人工期每推迟一天除按合同价的万分之二处罚外，若影响发包人使用时，还应按合同总价的5‰向发包人支付使用违约金。</w:t>
      </w:r>
    </w:p>
    <w:bookmarkEnd w:id="765"/>
    <w:p w14:paraId="0E4D81A7">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因承包人原因造成工期延误，逾期竣工违约金的上限：</w:t>
      </w:r>
      <w:r>
        <w:rPr>
          <w:rFonts w:hint="eastAsia"/>
          <w:color w:val="000000" w:themeColor="text1"/>
          <w:szCs w:val="21"/>
          <w:highlight w:val="none"/>
          <w:u w:val="single"/>
          <w14:textFill>
            <w14:solidFill>
              <w14:schemeClr w14:val="tx1"/>
            </w14:solidFill>
          </w14:textFill>
        </w:rPr>
        <w:t>无上限</w:t>
      </w:r>
      <w:r>
        <w:rPr>
          <w:rFonts w:ascii="宋体" w:hAnsi="宋体"/>
          <w:color w:val="000000" w:themeColor="text1"/>
          <w:szCs w:val="21"/>
          <w:highlight w:val="none"/>
          <w14:textFill>
            <w14:solidFill>
              <w14:schemeClr w14:val="tx1"/>
            </w14:solidFill>
          </w14:textFill>
        </w:rPr>
        <w:t>。</w:t>
      </w:r>
    </w:p>
    <w:bookmarkEnd w:id="753"/>
    <w:bookmarkEnd w:id="754"/>
    <w:p w14:paraId="4E739186">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766" w:name="_Toc351203640"/>
      <w:r>
        <w:rPr>
          <w:rFonts w:hint="eastAsia" w:ascii="黑体" w:hAnsi="黑体" w:cs="黑体"/>
          <w:color w:val="000000" w:themeColor="text1"/>
          <w:sz w:val="21"/>
          <w:szCs w:val="21"/>
          <w:highlight w:val="none"/>
          <w14:textFill>
            <w14:solidFill>
              <w14:schemeClr w14:val="tx1"/>
            </w14:solidFill>
          </w14:textFill>
        </w:rPr>
        <w:t>8. 材料与设备</w:t>
      </w:r>
      <w:bookmarkEnd w:id="766"/>
    </w:p>
    <w:bookmarkEnd w:id="720"/>
    <w:bookmarkEnd w:id="721"/>
    <w:bookmarkEnd w:id="722"/>
    <w:bookmarkEnd w:id="723"/>
    <w:bookmarkEnd w:id="724"/>
    <w:bookmarkEnd w:id="725"/>
    <w:bookmarkEnd w:id="726"/>
    <w:bookmarkEnd w:id="727"/>
    <w:bookmarkEnd w:id="728"/>
    <w:bookmarkEnd w:id="729"/>
    <w:p w14:paraId="42A2A1D0">
      <w:pPr>
        <w:spacing w:line="356" w:lineRule="auto"/>
        <w:ind w:firstLine="403" w:firstLineChars="192"/>
        <w:rPr>
          <w:color w:val="000000" w:themeColor="text1"/>
          <w:szCs w:val="21"/>
          <w:highlight w:val="none"/>
          <w14:textFill>
            <w14:solidFill>
              <w14:schemeClr w14:val="tx1"/>
            </w14:solidFill>
          </w14:textFill>
        </w:rPr>
      </w:pPr>
      <w:bookmarkStart w:id="767" w:name="_Toc296346669"/>
      <w:bookmarkStart w:id="768" w:name="_Toc300934980"/>
      <w:bookmarkStart w:id="769" w:name="_Toc303539137"/>
      <w:bookmarkStart w:id="770" w:name="_Toc280868655"/>
      <w:bookmarkStart w:id="771" w:name="_Toc304295557"/>
      <w:bookmarkStart w:id="772" w:name="_Toc267251424"/>
      <w:bookmarkStart w:id="773" w:name="_Toc312677494"/>
      <w:bookmarkStart w:id="774" w:name="_Toc297216187"/>
      <w:bookmarkStart w:id="775" w:name="_Toc297120468"/>
      <w:bookmarkStart w:id="776" w:name="_Toc296891208"/>
      <w:bookmarkStart w:id="777" w:name="_Toc318581173"/>
      <w:bookmarkStart w:id="778" w:name="_Toc312678020"/>
      <w:bookmarkStart w:id="779" w:name="_Toc296944507"/>
      <w:bookmarkStart w:id="780" w:name="_Toc296347167"/>
      <w:bookmarkStart w:id="781" w:name="_Toc297123528"/>
      <w:bookmarkStart w:id="782" w:name="_Toc280868656"/>
      <w:bookmarkStart w:id="783" w:name="_Toc296890996"/>
      <w:bookmarkStart w:id="784" w:name="_Toc296503168"/>
      <w:bookmarkStart w:id="785" w:name="_Toc297048354"/>
      <w:r>
        <w:rPr>
          <w:rFonts w:hint="eastAsia" w:ascii="宋体" w:hAnsi="宋体"/>
          <w:color w:val="000000" w:themeColor="text1"/>
          <w:szCs w:val="21"/>
          <w:highlight w:val="none"/>
          <w14:textFill>
            <w14:solidFill>
              <w14:schemeClr w14:val="tx1"/>
            </w14:solidFill>
          </w14:textFill>
        </w:rPr>
        <w:t>8.2</w:t>
      </w:r>
      <w:r>
        <w:rPr>
          <w:rFonts w:hint="eastAsia"/>
          <w:color w:val="000000" w:themeColor="text1"/>
          <w:szCs w:val="21"/>
          <w:highlight w:val="none"/>
          <w14:textFill>
            <w14:solidFill>
              <w14:schemeClr w14:val="tx1"/>
            </w14:solidFill>
          </w14:textFill>
        </w:rPr>
        <w:t>承包人采购材料与工程设备：</w:t>
      </w:r>
    </w:p>
    <w:p w14:paraId="7426841F">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8.2.1由发包人暂定价的材料设备必须经发包人认质认价后承包人方可采购，发包人认定的价格与暂定价差额计算材料价差，其差价部分只计取安全文明施工费和税金。发包人暂定价或需认质认价的材料设备单价已包含全部费用（为工地出库价）。</w:t>
      </w:r>
    </w:p>
    <w:p w14:paraId="04A7981F">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8.2.2承包人采购的所有材料、设备，除满足招标文件要求外，且应达到国家规范或设计要求的“合格”及以上标准，且应符合国家、省市关于健康、节能、环保以及强制性认证等要求。由承包人自购的主要材料、设备必须经发包方认质审批后，方可采购。如因材料、设备质量造成的工程损失由承包人负全部责任。</w:t>
      </w:r>
    </w:p>
    <w:p w14:paraId="2C837E4E">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8.2.3承包人应在施工前所需材料的采购计划(包括材料品种、数量和采购时间)以书面形式提交给发包人。由于承包人未按时提供材料采购计划而造成的一切后果均应由承包人自行承担。</w:t>
      </w:r>
    </w:p>
    <w:p w14:paraId="4B915425">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8.2.4发包人对承包人提供的主要材料和工程设备或认为有必要的材料和工程设备，有权进行质量抽检，材料、设备等质量抽检的费用由承包人承担。</w:t>
      </w:r>
    </w:p>
    <w:p w14:paraId="2155F92B">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8.2.5发包人或发包人发现承包人使用不合格的材料，每发现 1 次，承包人将向发包人支付 10,000.00元整的违约金。</w:t>
      </w:r>
    </w:p>
    <w:p w14:paraId="7A44A568">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8.2.6招标文件和方案设计中未明确的材料、设备等参数要求，承包人所提供所有材料和设备不低于国标要求，其质量等级按照一线品牌确定；特种材料和设备按照发包人要求确定；最终按照施工图设计要求执行。</w:t>
      </w:r>
    </w:p>
    <w:p w14:paraId="368A8F3A">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8.2.7本项目的电梯设备价格及品牌须经发包人认可后方能用于工程。</w:t>
      </w:r>
    </w:p>
    <w:p w14:paraId="7CA57510">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8.2.8承包人采购材料设备的约定：</w:t>
      </w:r>
    </w:p>
    <w:p w14:paraId="7288F493">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（1）承包人在施工阶段严格按照所送样本施工，如发包人发现有质量问题导致返工、延误工期，一切后果及费用由承包人承担，发包人有要求整改、赔偿等权利。</w:t>
      </w:r>
    </w:p>
    <w:p w14:paraId="0B1B9EB8">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2）若在现场由发包人或工程师发现不合格材料或假冒伪劣产品，出现货不对板、以次充好、实际供货与封样材料不一致等问题时，承包人应按发包人要求的时间运出施工场地，重新采购符合要求的产品，发包人有权按材料款的 3 倍进行索赔，由此延误的工期不予顺延。</w:t>
      </w:r>
    </w:p>
    <w:p w14:paraId="3DA4C14D">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（3）所有的材料设备应符合国家民用建筑室内环境污染控制的有关规范要求，因不符合要求而造成发包人损失，由承包人承担一切损失，期限不限于质量保修期。</w:t>
      </w:r>
    </w:p>
    <w:p w14:paraId="7498733F">
      <w:pPr>
        <w:spacing w:line="356" w:lineRule="auto"/>
        <w:ind w:firstLine="403" w:firstLineChars="192"/>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4）本工程严禁使用一切有毒材料(包括但不限于含铅、油漆、石棉、甲醛或含多氯聚苯的物料等)进行施工。承包人必须确保所使用的设备材料符合环境卫生有关规定；禁止使用含铅油漆、含易碎石棉或含多氯聚苯等任何对人有害的设备材料。</w:t>
      </w:r>
    </w:p>
    <w:p w14:paraId="178A34A5">
      <w:pPr>
        <w:adjustRightInd w:val="0"/>
        <w:snapToGrid w:val="0"/>
        <w:spacing w:line="356" w:lineRule="auto"/>
        <w:ind w:firstLine="436" w:firstLineChars="20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其他主要材料价格调整约定：</w:t>
      </w:r>
    </w:p>
    <w:p w14:paraId="2C12620E">
      <w:pPr>
        <w:adjustRightInd w:val="0"/>
        <w:snapToGrid w:val="0"/>
        <w:spacing w:line="356" w:lineRule="auto"/>
        <w:ind w:firstLine="436" w:firstLineChars="20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商品砼市场价中已含运费、泵送费、抗渗费及其它所需添加剂等一切费用。</w:t>
      </w:r>
    </w:p>
    <w:p w14:paraId="58486AD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bookmarkStart w:id="786" w:name="_Toc292559877"/>
      <w:bookmarkStart w:id="787" w:name="_Toc297216186"/>
      <w:bookmarkStart w:id="788" w:name="_Toc297120467"/>
      <w:bookmarkStart w:id="789" w:name="_Toc297048353"/>
      <w:bookmarkStart w:id="790" w:name="_Toc303539136"/>
      <w:bookmarkStart w:id="791" w:name="_Toc296890995"/>
      <w:bookmarkStart w:id="792" w:name="_Toc304295556"/>
      <w:bookmarkStart w:id="793" w:name="_Toc312678019"/>
      <w:bookmarkStart w:id="794" w:name="_Toc312677493"/>
      <w:bookmarkStart w:id="795" w:name="_Toc296347166"/>
      <w:bookmarkStart w:id="796" w:name="_Toc297123527"/>
      <w:bookmarkStart w:id="797" w:name="_Toc296891207"/>
      <w:bookmarkStart w:id="798" w:name="_Toc280868654"/>
      <w:bookmarkStart w:id="799" w:name="_Toc292559372"/>
      <w:bookmarkStart w:id="800" w:name="_Toc296503167"/>
      <w:bookmarkStart w:id="801" w:name="_Toc296944506"/>
      <w:bookmarkStart w:id="802" w:name="_Toc296346668"/>
      <w:bookmarkStart w:id="803" w:name="_Toc300934979"/>
      <w:r>
        <w:rPr>
          <w:rFonts w:ascii="宋体" w:hAnsi="宋体"/>
          <w:color w:val="000000" w:themeColor="text1"/>
          <w:szCs w:val="21"/>
          <w:highlight w:val="none"/>
          <w14:textFill>
            <w14:solidFill>
              <w14:schemeClr w14:val="tx1"/>
            </w14:solidFill>
          </w14:textFill>
        </w:rPr>
        <w:t>.4材料与工程设备的保管与使用</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本项目采购材料与工程设备由承包人保管。</w:t>
      </w:r>
    </w:p>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14:paraId="6D374C9C">
      <w:pPr>
        <w:spacing w:line="356" w:lineRule="auto"/>
        <w:ind w:firstLine="403" w:firstLineChars="192"/>
        <w:rPr>
          <w:rFonts w:hint="eastAsia" w:hAnsi="宋体"/>
          <w:color w:val="000000" w:themeColor="text1"/>
          <w:szCs w:val="21"/>
          <w:highlight w:val="none"/>
          <w:u w:val="single"/>
          <w14:textFill>
            <w14:solidFill>
              <w14:schemeClr w14:val="tx1"/>
            </w14:solidFill>
          </w14:textFill>
        </w:rPr>
      </w:pPr>
      <w:bookmarkStart w:id="804" w:name="_Toc292559878"/>
      <w:bookmarkStart w:id="805" w:name="_Toc292559373"/>
      <w:r>
        <w:rPr>
          <w:rFonts w:ascii="宋体" w:hAnsi="宋体"/>
          <w:color w:val="000000" w:themeColor="text1"/>
          <w:szCs w:val="21"/>
          <w:highlight w:val="none"/>
          <w14:textFill>
            <w14:solidFill>
              <w14:schemeClr w14:val="tx1"/>
            </w14:solidFill>
          </w14:textFill>
        </w:rPr>
        <w:t>8.4.2</w:t>
      </w:r>
      <w:r>
        <w:rPr>
          <w:color w:val="000000" w:themeColor="text1"/>
          <w:kern w:val="0"/>
          <w:szCs w:val="21"/>
          <w:highlight w:val="none"/>
          <w14:textFill>
            <w14:solidFill>
              <w14:schemeClr w14:val="tx1"/>
            </w14:solidFill>
          </w14:textFill>
        </w:rPr>
        <w:t xml:space="preserve"> </w:t>
      </w:r>
      <w:r>
        <w:rPr>
          <w:rFonts w:hAnsi="宋体"/>
          <w:color w:val="000000" w:themeColor="text1"/>
          <w:kern w:val="0"/>
          <w:szCs w:val="21"/>
          <w:highlight w:val="none"/>
          <w14:textFill>
            <w14:solidFill>
              <w14:schemeClr w14:val="tx1"/>
            </w14:solidFill>
          </w14:textFill>
        </w:rPr>
        <w:t>承包人采购</w:t>
      </w:r>
      <w:r>
        <w:rPr>
          <w:rFonts w:hAnsi="宋体"/>
          <w:color w:val="000000" w:themeColor="text1"/>
          <w:szCs w:val="21"/>
          <w:highlight w:val="none"/>
          <w14:textFill>
            <w14:solidFill>
              <w14:schemeClr w14:val="tx1"/>
            </w14:solidFill>
          </w14:textFill>
        </w:rPr>
        <w:t>材料与</w:t>
      </w:r>
      <w:r>
        <w:rPr>
          <w:rFonts w:hAnsi="宋体"/>
          <w:color w:val="000000" w:themeColor="text1"/>
          <w:kern w:val="0"/>
          <w:szCs w:val="21"/>
          <w:highlight w:val="none"/>
          <w14:textFill>
            <w14:solidFill>
              <w14:schemeClr w14:val="tx1"/>
            </w14:solidFill>
          </w14:textFill>
        </w:rPr>
        <w:t>工程</w:t>
      </w:r>
      <w:r>
        <w:rPr>
          <w:rFonts w:hAnsi="宋体"/>
          <w:color w:val="000000" w:themeColor="text1"/>
          <w:szCs w:val="21"/>
          <w:highlight w:val="none"/>
          <w14:textFill>
            <w14:solidFill>
              <w14:schemeClr w14:val="tx1"/>
            </w14:solidFill>
          </w14:textFill>
        </w:rPr>
        <w:t>设备的保管与使用：</w:t>
      </w:r>
      <w:bookmarkEnd w:id="804"/>
      <w:bookmarkEnd w:id="805"/>
      <w:r>
        <w:rPr>
          <w:rFonts w:hAnsi="宋体"/>
          <w:color w:val="000000" w:themeColor="text1"/>
          <w:szCs w:val="21"/>
          <w:highlight w:val="none"/>
          <w:u w:val="single"/>
          <w14:textFill>
            <w14:solidFill>
              <w14:schemeClr w14:val="tx1"/>
            </w14:solidFill>
          </w14:textFill>
        </w:rPr>
        <w:t>执行通用条款。</w:t>
      </w:r>
    </w:p>
    <w:p w14:paraId="7D82F7B3">
      <w:pPr>
        <w:spacing w:line="356" w:lineRule="auto"/>
        <w:rPr>
          <w:rFonts w:hint="eastAsia" w:ascii="宋体" w:hAnsi="宋体" w:cs="宋体"/>
          <w:b/>
          <w:color w:val="000000" w:themeColor="text1"/>
          <w:szCs w:val="21"/>
          <w:highlight w:val="none"/>
          <w14:textFill>
            <w14:solidFill>
              <w14:schemeClr w14:val="tx1"/>
            </w14:solidFill>
          </w14:textFill>
        </w:rPr>
      </w:pPr>
      <w:bookmarkStart w:id="806" w:name="_Toc351203641"/>
      <w:r>
        <w:rPr>
          <w:rFonts w:hint="eastAsia" w:ascii="宋体" w:hAnsi="宋体" w:cs="宋体"/>
          <w:b/>
          <w:color w:val="000000" w:themeColor="text1"/>
          <w:szCs w:val="21"/>
          <w:highlight w:val="none"/>
          <w14:textFill>
            <w14:solidFill>
              <w14:schemeClr w14:val="tx1"/>
            </w14:solidFill>
          </w14:textFill>
        </w:rPr>
        <w:t>9</w:t>
      </w:r>
      <w:bookmarkStart w:id="807" w:name="_Toc303539139"/>
      <w:bookmarkStart w:id="808" w:name="_Toc304295559"/>
      <w:bookmarkStart w:id="809" w:name="_Toc312678021"/>
      <w:bookmarkStart w:id="810" w:name="_Toc300934982"/>
      <w:bookmarkStart w:id="811" w:name="_Toc297123533"/>
      <w:bookmarkStart w:id="812" w:name="_Toc312677495"/>
      <w:bookmarkStart w:id="813" w:name="_Toc297216192"/>
      <w:r>
        <w:rPr>
          <w:rFonts w:hint="eastAsia" w:ascii="宋体" w:hAnsi="宋体" w:cs="宋体"/>
          <w:b/>
          <w:color w:val="000000" w:themeColor="text1"/>
          <w:szCs w:val="21"/>
          <w:highlight w:val="none"/>
          <w14:textFill>
            <w14:solidFill>
              <w14:schemeClr w14:val="tx1"/>
            </w14:solidFill>
          </w14:textFill>
        </w:rPr>
        <w:t>. 试验与检验</w:t>
      </w:r>
      <w:bookmarkEnd w:id="806"/>
    </w:p>
    <w:bookmarkEnd w:id="807"/>
    <w:bookmarkEnd w:id="808"/>
    <w:bookmarkEnd w:id="809"/>
    <w:bookmarkEnd w:id="810"/>
    <w:bookmarkEnd w:id="811"/>
    <w:bookmarkEnd w:id="812"/>
    <w:bookmarkEnd w:id="813"/>
    <w:p w14:paraId="2465981F">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9.1试验设备与试验人员</w:t>
      </w:r>
    </w:p>
    <w:p w14:paraId="6889AE1B">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9.1.2 试验设备</w:t>
      </w:r>
    </w:p>
    <w:p w14:paraId="04E941A4">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施工现场需要配置的试验场所：</w:t>
      </w:r>
      <w:r>
        <w:rPr>
          <w:rFonts w:hint="eastAsia" w:ascii="宋体" w:hAnsi="宋体" w:cs="宋体"/>
          <w:color w:val="000000" w:themeColor="text1"/>
          <w:szCs w:val="21"/>
          <w:highlight w:val="none"/>
          <w:u w:val="single"/>
          <w14:textFill>
            <w14:solidFill>
              <w14:schemeClr w14:val="tx1"/>
            </w14:solidFill>
          </w14:textFill>
        </w:rPr>
        <w:t>按照发包人的指示配置，费用由承包人自行承担。</w:t>
      </w:r>
    </w:p>
    <w:p w14:paraId="0387DF6A">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施工现场需要配备的试验设备：</w:t>
      </w:r>
      <w:r>
        <w:rPr>
          <w:rFonts w:hint="eastAsia" w:ascii="宋体" w:hAnsi="宋体" w:cs="宋体"/>
          <w:color w:val="000000" w:themeColor="text1"/>
          <w:szCs w:val="21"/>
          <w:highlight w:val="none"/>
          <w:u w:val="single"/>
          <w14:textFill>
            <w14:solidFill>
              <w14:schemeClr w14:val="tx1"/>
            </w14:solidFill>
          </w14:textFill>
        </w:rPr>
        <w:t>按照发包人的指示配置，费用由承包人自行承担。</w:t>
      </w:r>
    </w:p>
    <w:p w14:paraId="0E9286C8">
      <w:pPr>
        <w:spacing w:line="356" w:lineRule="auto"/>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施工现场需要具备的其他试验条件：</w:t>
      </w:r>
      <w:r>
        <w:rPr>
          <w:rFonts w:hint="eastAsia" w:ascii="宋体" w:hAnsi="宋体" w:cs="宋体"/>
          <w:color w:val="000000" w:themeColor="text1"/>
          <w:szCs w:val="21"/>
          <w:highlight w:val="none"/>
          <w:u w:val="single"/>
          <w14:textFill>
            <w14:solidFill>
              <w14:schemeClr w14:val="tx1"/>
            </w14:solidFill>
          </w14:textFill>
        </w:rPr>
        <w:t>按照发包人的指示配置，费用由承包人自行承担。</w:t>
      </w:r>
    </w:p>
    <w:p w14:paraId="26494CA6">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9.3材料、工程设备和工程的试验和检验</w:t>
      </w:r>
    </w:p>
    <w:p w14:paraId="650E334D">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承包人负责采购的材料和工程设备到达施工现场后，承包人应通知发包人共同进行检验和开箱验收，验收时应同时查验材质证明和产品合格证书。</w:t>
      </w:r>
    </w:p>
    <w:p w14:paraId="6CD2F73F">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还应按国家规范的规定进行材料的抽样检验和工程设备的检验测试，并将检验结果提交发包人，其所需费用由承包人承担。发包人应按合同规定参加交货验收，承包人应为发包人进行交货验收的监督检查提供一切方便。发包人参加交货验收不免除承包人在检验和交货验收中应负的责任。</w:t>
      </w:r>
    </w:p>
    <w:p w14:paraId="746429C3">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 现场工艺试验 </w:t>
      </w:r>
    </w:p>
    <w:p w14:paraId="41A32409">
      <w:pPr>
        <w:pStyle w:val="15"/>
        <w:spacing w:line="356" w:lineRule="auto"/>
        <w:ind w:left="0" w:leftChars="0" w:firstLine="420"/>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现场工艺试验的有关约定：</w:t>
      </w:r>
      <w:r>
        <w:rPr>
          <w:rFonts w:hint="eastAsia" w:ascii="宋体" w:hAnsi="宋体" w:cs="宋体"/>
          <w:color w:val="000000" w:themeColor="text1"/>
          <w:sz w:val="21"/>
          <w:szCs w:val="21"/>
          <w:highlight w:val="none"/>
          <w:u w:val="single"/>
          <w14:textFill>
            <w14:solidFill>
              <w14:schemeClr w14:val="tx1"/>
            </w14:solidFill>
          </w14:textFill>
        </w:rPr>
        <w:t>钢结构焊接、拉拔试验、施工图上要求的试验、通水、防雷接地、设备调试以及根据规范要求和试验方案所做的一切现场工艺试验和运行调试均由承包人自行解决。</w:t>
      </w:r>
    </w:p>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14:paraId="2AAA5366">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814" w:name="_Toc297048359"/>
      <w:bookmarkStart w:id="815" w:name="_Toc267251427"/>
      <w:bookmarkStart w:id="816" w:name="_Toc297120473"/>
      <w:bookmarkStart w:id="817" w:name="_Toc296891213"/>
      <w:bookmarkStart w:id="818" w:name="_Toc292559378"/>
      <w:bookmarkStart w:id="819" w:name="_Toc296891001"/>
      <w:bookmarkStart w:id="820" w:name="_Toc292559883"/>
      <w:bookmarkStart w:id="821" w:name="_Toc296346674"/>
      <w:bookmarkStart w:id="822" w:name="_Toc296944512"/>
      <w:bookmarkStart w:id="823" w:name="_Toc296503173"/>
      <w:bookmarkStart w:id="824" w:name="_Toc296347172"/>
      <w:bookmarkStart w:id="825" w:name="_Toc267251428"/>
      <w:bookmarkStart w:id="826" w:name="_Toc351203642"/>
      <w:r>
        <w:rPr>
          <w:rFonts w:hint="eastAsia" w:ascii="黑体" w:hAnsi="黑体" w:cs="黑体"/>
          <w:color w:val="000000" w:themeColor="text1"/>
          <w:sz w:val="21"/>
          <w:szCs w:val="21"/>
          <w:highlight w:val="none"/>
          <w14:textFill>
            <w14:solidFill>
              <w14:schemeClr w14:val="tx1"/>
            </w14:solidFill>
          </w14:textFill>
        </w:rPr>
        <w:t>1</w:t>
      </w:r>
      <w:bookmarkEnd w:id="814"/>
      <w:bookmarkEnd w:id="815"/>
      <w:bookmarkEnd w:id="816"/>
      <w:bookmarkEnd w:id="817"/>
      <w:bookmarkEnd w:id="818"/>
      <w:bookmarkEnd w:id="819"/>
      <w:bookmarkEnd w:id="820"/>
      <w:bookmarkEnd w:id="821"/>
      <w:bookmarkEnd w:id="822"/>
      <w:bookmarkEnd w:id="823"/>
      <w:bookmarkEnd w:id="824"/>
      <w:bookmarkEnd w:id="825"/>
      <w:bookmarkStart w:id="827" w:name="_Toc300934989"/>
      <w:bookmarkStart w:id="828" w:name="_Toc296891021"/>
      <w:bookmarkStart w:id="829" w:name="_Toc297123540"/>
      <w:bookmarkStart w:id="830" w:name="_Toc296891233"/>
      <w:bookmarkStart w:id="831" w:name="_Toc297216199"/>
      <w:bookmarkStart w:id="832" w:name="_Toc296347192"/>
      <w:bookmarkStart w:id="833" w:name="_Toc296503193"/>
      <w:bookmarkStart w:id="834" w:name="_Toc292559398"/>
      <w:bookmarkStart w:id="835" w:name="_Toc296944532"/>
      <w:bookmarkStart w:id="836" w:name="_Toc297120493"/>
      <w:bookmarkStart w:id="837" w:name="_Toc303539146"/>
      <w:bookmarkStart w:id="838" w:name="_Toc297048379"/>
      <w:bookmarkStart w:id="839" w:name="_Toc296346694"/>
      <w:bookmarkStart w:id="840" w:name="_Toc304295566"/>
      <w:bookmarkStart w:id="841" w:name="_Toc292559903"/>
      <w:bookmarkStart w:id="842" w:name="_Toc312677499"/>
      <w:bookmarkStart w:id="843" w:name="_Toc312678025"/>
      <w:bookmarkStart w:id="844" w:name="_Toc267251440"/>
      <w:bookmarkStart w:id="845" w:name="_Toc267251435"/>
      <w:bookmarkStart w:id="846" w:name="_Toc267251437"/>
      <w:bookmarkStart w:id="847" w:name="_Toc267251441"/>
      <w:bookmarkStart w:id="848" w:name="_Toc267251439"/>
      <w:bookmarkStart w:id="849" w:name="_Toc267251433"/>
      <w:bookmarkStart w:id="850" w:name="_Toc267251442"/>
      <w:r>
        <w:rPr>
          <w:rFonts w:hint="eastAsia" w:ascii="黑体" w:hAnsi="黑体" w:cs="黑体"/>
          <w:color w:val="000000" w:themeColor="text1"/>
          <w:sz w:val="21"/>
          <w:szCs w:val="21"/>
          <w:highlight w:val="none"/>
          <w14:textFill>
            <w14:solidFill>
              <w14:schemeClr w14:val="tx1"/>
            </w14:solidFill>
          </w14:textFill>
        </w:rPr>
        <w:t>0. 变更</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bookmarkEnd w:id="842"/>
    <w:bookmarkEnd w:id="843"/>
    <w:p w14:paraId="634E39A2">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bookmarkStart w:id="851" w:name="_Toc297048380"/>
      <w:bookmarkStart w:id="852" w:name="_Toc303539147"/>
      <w:bookmarkStart w:id="853" w:name="_Toc300934990"/>
      <w:bookmarkStart w:id="854" w:name="_Toc312678026"/>
      <w:bookmarkStart w:id="855" w:name="_Toc297123541"/>
      <w:bookmarkStart w:id="856" w:name="_Toc292559904"/>
      <w:bookmarkStart w:id="857" w:name="_Toc304295567"/>
      <w:bookmarkStart w:id="858" w:name="_Toc312677500"/>
      <w:bookmarkStart w:id="859" w:name="_Toc292559399"/>
      <w:bookmarkStart w:id="860" w:name="_Toc296347193"/>
      <w:bookmarkStart w:id="861" w:name="_Toc297120494"/>
      <w:bookmarkStart w:id="862" w:name="_Toc296944533"/>
      <w:bookmarkStart w:id="863" w:name="_Toc296346695"/>
      <w:bookmarkStart w:id="864" w:name="_Toc296503194"/>
      <w:bookmarkStart w:id="865" w:name="_Toc296891234"/>
      <w:bookmarkStart w:id="866" w:name="_Toc296891022"/>
      <w:bookmarkStart w:id="867" w:name="_Toc297216200"/>
      <w:r>
        <w:rPr>
          <w:rFonts w:ascii="宋体" w:hAnsi="宋体"/>
          <w:color w:val="000000" w:themeColor="text1"/>
          <w:szCs w:val="21"/>
          <w:highlight w:val="none"/>
          <w14:textFill>
            <w14:solidFill>
              <w14:schemeClr w14:val="tx1"/>
            </w14:solidFill>
          </w14:textFill>
        </w:rPr>
        <w:t>10.1变更的范围</w:t>
      </w:r>
    </w:p>
    <w:p w14:paraId="4B05E3ED">
      <w:pPr>
        <w:spacing w:line="356" w:lineRule="auto"/>
        <w:ind w:firstLine="600"/>
        <w:jc w:val="left"/>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关于变更的范围的约定</w:t>
      </w:r>
      <w:r>
        <w:rPr>
          <w:rFonts w:ascii="宋体" w:hAnsi="宋体"/>
          <w:color w:val="000000" w:themeColor="text1"/>
          <w:szCs w:val="21"/>
          <w:highlight w:val="none"/>
          <w:u w:val="singl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除通用条款外，承包人在施工中提出的合理化建议涉及对设计图纸或施工组织设计的更改及对材料、设备的换用，须经报发包人批准后以设计变更单的形式通知承包人实施，否则不作为工程设计变更对待。</w:t>
      </w:r>
    </w:p>
    <w:p w14:paraId="3C05E067">
      <w:pPr>
        <w:spacing w:line="356" w:lineRule="auto"/>
        <w:ind w:firstLine="6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任何变更的提出都应当依据合同或国家有关规范和标准提出。任何变更都必须取得发包人的确认。</w:t>
      </w:r>
    </w:p>
    <w:p w14:paraId="487E9913">
      <w:pPr>
        <w:spacing w:line="356" w:lineRule="auto"/>
        <w:ind w:firstLine="6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本工程如确需工程变更及签证时，应提前10天报送发包人履行审批程序，未经发包人批准的工程变更及签证不得施工，乙方擅自施工的工程变更及签证发包人不予认可，属于承包人免费施工不得进入工程结算。</w:t>
      </w:r>
    </w:p>
    <w:p w14:paraId="3BC3369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10.4 变更估价</w:t>
      </w:r>
    </w:p>
    <w:p w14:paraId="4B11D350">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10.4.1 变更估价原则</w:t>
      </w:r>
    </w:p>
    <w:p w14:paraId="05E46E18">
      <w:pPr>
        <w:widowControl/>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关于变更估价的约定</w:t>
      </w:r>
      <w:r>
        <w:rPr>
          <w:rFonts w:hint="eastAsia" w:ascii="宋体" w:hAnsi="宋体"/>
          <w:color w:val="000000" w:themeColor="text1"/>
          <w:szCs w:val="21"/>
          <w:highlight w:val="none"/>
          <w14:textFill>
            <w14:solidFill>
              <w14:schemeClr w14:val="tx1"/>
            </w14:solidFill>
          </w14:textFill>
        </w:rPr>
        <w:t>：</w:t>
      </w:r>
    </w:p>
    <w:p w14:paraId="276053E1">
      <w:pPr>
        <w:widowControl/>
        <w:spacing w:line="356" w:lineRule="auto"/>
        <w:ind w:firstLine="420" w:firstLineChars="200"/>
        <w:jc w:val="left"/>
        <w:rPr>
          <w:color w:val="000000" w:themeColor="text1"/>
          <w:szCs w:val="21"/>
          <w:highlight w:val="none"/>
          <w:u w:val="single"/>
          <w14:textFill>
            <w14:solidFill>
              <w14:schemeClr w14:val="tx1"/>
            </w14:solidFill>
          </w14:textFill>
        </w:rPr>
      </w:pPr>
      <w:r>
        <w:rPr>
          <w:rFonts w:hint="eastAsia"/>
          <w:color w:val="000000" w:themeColor="text1"/>
          <w:szCs w:val="21"/>
          <w:highlight w:val="none"/>
          <w:u w:val="single"/>
          <w14:textFill>
            <w14:solidFill>
              <w14:schemeClr w14:val="tx1"/>
            </w14:solidFill>
          </w14:textFill>
        </w:rPr>
        <w:t>（1）</w:t>
      </w:r>
      <w:r>
        <w:rPr>
          <w:color w:val="000000" w:themeColor="text1"/>
          <w:szCs w:val="21"/>
          <w:highlight w:val="none"/>
          <w:u w:val="single"/>
          <w14:textFill>
            <w14:solidFill>
              <w14:schemeClr w14:val="tx1"/>
            </w14:solidFill>
          </w14:textFill>
        </w:rPr>
        <w:t>为避免不平衡报价</w:t>
      </w:r>
      <w:r>
        <w:rPr>
          <w:rFonts w:hint="eastAsia"/>
          <w:color w:val="000000" w:themeColor="text1"/>
          <w:szCs w:val="21"/>
          <w:highlight w:val="none"/>
          <w:u w:val="single"/>
          <w14:textFill>
            <w14:solidFill>
              <w14:schemeClr w14:val="tx1"/>
            </w14:solidFill>
          </w14:textFill>
        </w:rPr>
        <w:t>，</w:t>
      </w:r>
      <w:r>
        <w:rPr>
          <w:color w:val="000000" w:themeColor="text1"/>
          <w:szCs w:val="21"/>
          <w:highlight w:val="none"/>
          <w:u w:val="single"/>
          <w14:textFill>
            <w14:solidFill>
              <w14:schemeClr w14:val="tx1"/>
            </w14:solidFill>
          </w14:textFill>
        </w:rPr>
        <w:t>本项目同一类型的工程量清单投标报价应基本一致</w:t>
      </w:r>
      <w:r>
        <w:rPr>
          <w:rFonts w:hint="eastAsia"/>
          <w:color w:val="000000" w:themeColor="text1"/>
          <w:szCs w:val="21"/>
          <w:highlight w:val="none"/>
          <w:u w:val="single"/>
          <w14:textFill>
            <w14:solidFill>
              <w14:schemeClr w14:val="tx1"/>
            </w14:solidFill>
          </w14:textFill>
        </w:rPr>
        <w:t>，</w:t>
      </w:r>
      <w:r>
        <w:rPr>
          <w:color w:val="000000" w:themeColor="text1"/>
          <w:szCs w:val="21"/>
          <w:highlight w:val="none"/>
          <w:u w:val="single"/>
          <w14:textFill>
            <w14:solidFill>
              <w14:schemeClr w14:val="tx1"/>
            </w14:solidFill>
          </w14:textFill>
        </w:rPr>
        <w:t>若出现重大偏离</w:t>
      </w:r>
      <w:r>
        <w:rPr>
          <w:rFonts w:hint="eastAsia"/>
          <w:color w:val="000000" w:themeColor="text1"/>
          <w:szCs w:val="21"/>
          <w:highlight w:val="none"/>
          <w:u w:val="single"/>
          <w14:textFill>
            <w14:solidFill>
              <w14:schemeClr w14:val="tx1"/>
            </w14:solidFill>
          </w14:textFill>
        </w:rPr>
        <w:t>，</w:t>
      </w:r>
      <w:r>
        <w:rPr>
          <w:color w:val="000000" w:themeColor="text1"/>
          <w:szCs w:val="21"/>
          <w:highlight w:val="none"/>
          <w:u w:val="single"/>
          <w14:textFill>
            <w14:solidFill>
              <w14:schemeClr w14:val="tx1"/>
            </w14:solidFill>
          </w14:textFill>
        </w:rPr>
        <w:t>在施工过程中</w:t>
      </w:r>
      <w:r>
        <w:rPr>
          <w:rFonts w:hint="eastAsia"/>
          <w:color w:val="000000" w:themeColor="text1"/>
          <w:szCs w:val="21"/>
          <w:highlight w:val="none"/>
          <w:u w:val="single"/>
          <w14:textFill>
            <w14:solidFill>
              <w14:schemeClr w14:val="tx1"/>
            </w14:solidFill>
          </w14:textFill>
        </w:rPr>
        <w:t>，发包人</w:t>
      </w:r>
      <w:r>
        <w:rPr>
          <w:color w:val="000000" w:themeColor="text1"/>
          <w:szCs w:val="21"/>
          <w:highlight w:val="none"/>
          <w:u w:val="single"/>
          <w14:textFill>
            <w14:solidFill>
              <w14:schemeClr w14:val="tx1"/>
            </w14:solidFill>
          </w14:textFill>
        </w:rPr>
        <w:t>有权按照报价低的投标报价进行调整</w:t>
      </w:r>
      <w:r>
        <w:rPr>
          <w:rFonts w:hint="eastAsia"/>
          <w:color w:val="000000" w:themeColor="text1"/>
          <w:szCs w:val="21"/>
          <w:highlight w:val="none"/>
          <w:u w:val="single"/>
          <w14:textFill>
            <w14:solidFill>
              <w14:schemeClr w14:val="tx1"/>
            </w14:solidFill>
          </w14:textFill>
        </w:rPr>
        <w:t>。</w:t>
      </w:r>
    </w:p>
    <w:p w14:paraId="357EAB51">
      <w:pPr>
        <w:spacing w:line="356" w:lineRule="auto"/>
        <w:ind w:firstLine="403" w:firstLineChars="192"/>
        <w:rPr>
          <w:color w:val="000000" w:themeColor="text1"/>
          <w:szCs w:val="21"/>
          <w:highlight w:val="none"/>
          <w:u w:val="single"/>
          <w14:textFill>
            <w14:solidFill>
              <w14:schemeClr w14:val="tx1"/>
            </w14:solidFill>
          </w14:textFill>
        </w:rPr>
      </w:pPr>
      <w:r>
        <w:rPr>
          <w:rFonts w:hint="eastAsia"/>
          <w:color w:val="000000" w:themeColor="text1"/>
          <w:szCs w:val="21"/>
          <w:highlight w:val="none"/>
          <w:u w:val="single"/>
          <w14:textFill>
            <w14:solidFill>
              <w14:schemeClr w14:val="tx1"/>
            </w14:solidFill>
          </w14:textFill>
        </w:rPr>
        <w:t>（2）</w:t>
      </w:r>
      <w:r>
        <w:rPr>
          <w:color w:val="000000" w:themeColor="text1"/>
          <w:szCs w:val="21"/>
          <w:highlight w:val="none"/>
          <w:u w:val="single"/>
          <w14:textFill>
            <w14:solidFill>
              <w14:schemeClr w14:val="tx1"/>
            </w14:solidFill>
          </w14:textFill>
        </w:rPr>
        <w:t>在本工程施工过程中，若发生设计变更，清单中</w:t>
      </w:r>
      <w:r>
        <w:rPr>
          <w:rFonts w:hint="eastAsia"/>
          <w:color w:val="000000" w:themeColor="text1"/>
          <w:szCs w:val="21"/>
          <w:highlight w:val="none"/>
          <w:u w:val="single"/>
          <w14:textFill>
            <w14:solidFill>
              <w14:schemeClr w14:val="tx1"/>
            </w14:solidFill>
          </w14:textFill>
        </w:rPr>
        <w:t>工程量偏差，漏项及新增变更项目</w:t>
      </w:r>
      <w:r>
        <w:rPr>
          <w:color w:val="000000" w:themeColor="text1"/>
          <w:szCs w:val="21"/>
          <w:highlight w:val="none"/>
          <w:u w:val="single"/>
          <w14:textFill>
            <w14:solidFill>
              <w14:schemeClr w14:val="tx1"/>
            </w14:solidFill>
          </w14:textFill>
        </w:rPr>
        <w:t>发生时，工程量以实际签证量为准</w:t>
      </w:r>
      <w:r>
        <w:rPr>
          <w:rFonts w:hint="eastAsia"/>
          <w:color w:val="000000" w:themeColor="text1"/>
          <w:szCs w:val="21"/>
          <w:highlight w:val="none"/>
          <w:u w:val="single"/>
          <w14:textFill>
            <w14:solidFill>
              <w14:schemeClr w14:val="tx1"/>
            </w14:solidFill>
          </w14:textFill>
        </w:rPr>
        <w:t>，所</w:t>
      </w:r>
      <w:r>
        <w:rPr>
          <w:color w:val="000000" w:themeColor="text1"/>
          <w:szCs w:val="21"/>
          <w:highlight w:val="none"/>
          <w:u w:val="single"/>
          <w14:textFill>
            <w14:solidFill>
              <w14:schemeClr w14:val="tx1"/>
            </w14:solidFill>
          </w14:textFill>
        </w:rPr>
        <w:t>发生的工程量按</w:t>
      </w:r>
      <w:r>
        <w:rPr>
          <w:rFonts w:hint="eastAsia"/>
          <w:color w:val="000000" w:themeColor="text1"/>
          <w:szCs w:val="21"/>
          <w:highlight w:val="none"/>
          <w:u w:val="single"/>
          <w14:textFill>
            <w14:solidFill>
              <w14:schemeClr w14:val="tx1"/>
            </w14:solidFill>
          </w14:textFill>
        </w:rPr>
        <w:t>合同授予时双方确认的综合单价进行</w:t>
      </w:r>
      <w:r>
        <w:rPr>
          <w:color w:val="000000" w:themeColor="text1"/>
          <w:szCs w:val="21"/>
          <w:highlight w:val="none"/>
          <w:u w:val="single"/>
          <w14:textFill>
            <w14:solidFill>
              <w14:schemeClr w14:val="tx1"/>
            </w14:solidFill>
          </w14:textFill>
        </w:rPr>
        <w:t>结算。</w:t>
      </w:r>
    </w:p>
    <w:p w14:paraId="577F0E54">
      <w:pPr>
        <w:spacing w:line="356" w:lineRule="auto"/>
        <w:ind w:firstLine="403" w:firstLineChars="192"/>
        <w:rPr>
          <w:color w:val="000000" w:themeColor="text1"/>
          <w:szCs w:val="21"/>
          <w:highlight w:val="none"/>
          <w:u w:val="single"/>
          <w14:textFill>
            <w14:solidFill>
              <w14:schemeClr w14:val="tx1"/>
            </w14:solidFill>
          </w14:textFill>
        </w:rPr>
      </w:pPr>
      <w:r>
        <w:rPr>
          <w:rFonts w:hint="eastAsia"/>
          <w:color w:val="000000" w:themeColor="text1"/>
          <w:szCs w:val="21"/>
          <w:highlight w:val="none"/>
          <w:u w:val="single"/>
          <w14:textFill>
            <w14:solidFill>
              <w14:schemeClr w14:val="tx1"/>
            </w14:solidFill>
          </w14:textFill>
        </w:rPr>
        <w:t>（3）变更合同价款其对应的综合单价按下列方法进行调整：</w:t>
      </w:r>
    </w:p>
    <w:p w14:paraId="4055866E">
      <w:pPr>
        <w:spacing w:line="356" w:lineRule="auto"/>
        <w:ind w:firstLine="403" w:firstLineChars="192"/>
        <w:rPr>
          <w:color w:val="000000" w:themeColor="text1"/>
          <w:szCs w:val="21"/>
          <w:highlight w:val="none"/>
          <w:u w:val="single"/>
          <w14:textFill>
            <w14:solidFill>
              <w14:schemeClr w14:val="tx1"/>
            </w14:solidFill>
          </w14:textFill>
        </w:rPr>
      </w:pPr>
      <w:r>
        <w:rPr>
          <w:rFonts w:hint="eastAsia"/>
          <w:color w:val="000000" w:themeColor="text1"/>
          <w:szCs w:val="21"/>
          <w:highlight w:val="none"/>
          <w:u w:val="single"/>
          <w14:textFill>
            <w14:solidFill>
              <w14:schemeClr w14:val="tx1"/>
            </w14:solidFill>
          </w14:textFill>
        </w:rPr>
        <w:t>①合同中已有适用于变更工程的价格，按相应项目合同已确认的综合单价办理结算；</w:t>
      </w:r>
    </w:p>
    <w:p w14:paraId="2C13029A">
      <w:pPr>
        <w:spacing w:line="356" w:lineRule="auto"/>
        <w:ind w:firstLine="403" w:firstLineChars="192"/>
        <w:rPr>
          <w:color w:val="000000" w:themeColor="text1"/>
          <w:szCs w:val="21"/>
          <w:highlight w:val="none"/>
          <w:u w:val="single"/>
          <w14:textFill>
            <w14:solidFill>
              <w14:schemeClr w14:val="tx1"/>
            </w14:solidFill>
          </w14:textFill>
        </w:rPr>
      </w:pPr>
      <w:r>
        <w:rPr>
          <w:rFonts w:hint="eastAsia"/>
          <w:color w:val="000000" w:themeColor="text1"/>
          <w:szCs w:val="21"/>
          <w:highlight w:val="none"/>
          <w:u w:val="single"/>
          <w14:textFill>
            <w14:solidFill>
              <w14:schemeClr w14:val="tx1"/>
            </w14:solidFill>
          </w14:textFill>
        </w:rPr>
        <w:t>②合同中只有类似于变更工程的价格，只调整相应的主材费，主材单价按投标文件主材价格计算，若投标文件中无相同主材单价时，按当期信息价执行，差价只计取税金，在类似工程价格的基础上组成新的单价，按新的单价办理结算；</w:t>
      </w:r>
    </w:p>
    <w:p w14:paraId="7057A336">
      <w:pPr>
        <w:spacing w:line="356" w:lineRule="auto"/>
        <w:ind w:firstLine="403" w:firstLineChars="192"/>
        <w:rPr>
          <w:color w:val="000000" w:themeColor="text1"/>
          <w:szCs w:val="21"/>
          <w:highlight w:val="none"/>
          <w:u w:val="single"/>
          <w14:textFill>
            <w14:solidFill>
              <w14:schemeClr w14:val="tx1"/>
            </w14:solidFill>
          </w14:textFill>
        </w:rPr>
      </w:pPr>
      <w:r>
        <w:rPr>
          <w:rFonts w:hint="eastAsia"/>
          <w:color w:val="000000" w:themeColor="text1"/>
          <w:szCs w:val="21"/>
          <w:highlight w:val="none"/>
          <w:u w:val="single"/>
          <w14:textFill>
            <w14:solidFill>
              <w14:schemeClr w14:val="tx1"/>
            </w14:solidFill>
          </w14:textFill>
        </w:rPr>
        <w:t>③合同中没有适用或类似于工程变更的价格，</w:t>
      </w:r>
      <w:r>
        <w:rPr>
          <w:color w:val="000000" w:themeColor="text1"/>
          <w:szCs w:val="21"/>
          <w:highlight w:val="none"/>
          <w:u w:val="single"/>
          <w14:textFill>
            <w14:solidFill>
              <w14:schemeClr w14:val="tx1"/>
            </w14:solidFill>
          </w14:textFill>
        </w:rPr>
        <w:t>按</w:t>
      </w:r>
      <w:r>
        <w:rPr>
          <w:rFonts w:hint="eastAsia"/>
          <w:color w:val="000000" w:themeColor="text1"/>
          <w:szCs w:val="21"/>
          <w:highlight w:val="none"/>
          <w:u w:val="single"/>
          <w14:textFill>
            <w14:solidFill>
              <w14:schemeClr w14:val="tx1"/>
            </w14:solidFill>
          </w14:textFill>
        </w:rPr>
        <w:t>招标</w:t>
      </w:r>
      <w:r>
        <w:rPr>
          <w:color w:val="000000" w:themeColor="text1"/>
          <w:szCs w:val="21"/>
          <w:highlight w:val="none"/>
          <w:u w:val="single"/>
          <w14:textFill>
            <w14:solidFill>
              <w14:schemeClr w14:val="tx1"/>
            </w14:solidFill>
          </w14:textFill>
        </w:rPr>
        <w:t>文件编制</w:t>
      </w:r>
      <w:r>
        <w:rPr>
          <w:rFonts w:hint="eastAsia"/>
          <w:color w:val="000000" w:themeColor="text1"/>
          <w:szCs w:val="21"/>
          <w:highlight w:val="none"/>
          <w:u w:val="single"/>
          <w14:textFill>
            <w14:solidFill>
              <w14:schemeClr w14:val="tx1"/>
            </w14:solidFill>
          </w14:textFill>
        </w:rPr>
        <w:t>招标最高投标限价</w:t>
      </w:r>
      <w:r>
        <w:rPr>
          <w:color w:val="000000" w:themeColor="text1"/>
          <w:szCs w:val="21"/>
          <w:highlight w:val="none"/>
          <w:u w:val="single"/>
          <w14:textFill>
            <w14:solidFill>
              <w14:schemeClr w14:val="tx1"/>
            </w14:solidFill>
          </w14:textFill>
        </w:rPr>
        <w:t>综合单价的原则</w:t>
      </w:r>
      <w:r>
        <w:rPr>
          <w:rFonts w:hint="eastAsia"/>
          <w:color w:val="000000" w:themeColor="text1"/>
          <w:szCs w:val="21"/>
          <w:highlight w:val="none"/>
          <w:u w:val="single"/>
          <w14:textFill>
            <w14:solidFill>
              <w14:schemeClr w14:val="tx1"/>
            </w14:solidFill>
          </w14:textFill>
        </w:rPr>
        <w:t>组</w:t>
      </w:r>
      <w:r>
        <w:rPr>
          <w:color w:val="000000" w:themeColor="text1"/>
          <w:szCs w:val="21"/>
          <w:highlight w:val="none"/>
          <w:u w:val="single"/>
          <w14:textFill>
            <w14:solidFill>
              <w14:schemeClr w14:val="tx1"/>
            </w14:solidFill>
          </w14:textFill>
        </w:rPr>
        <w:t>价，并按原中标价同原</w:t>
      </w:r>
      <w:r>
        <w:rPr>
          <w:rFonts w:hint="eastAsia"/>
          <w:color w:val="000000" w:themeColor="text1"/>
          <w:szCs w:val="21"/>
          <w:highlight w:val="none"/>
          <w:u w:val="single"/>
          <w14:textFill>
            <w14:solidFill>
              <w14:schemeClr w14:val="tx1"/>
            </w14:solidFill>
          </w14:textFill>
        </w:rPr>
        <w:t>最高投标限价</w:t>
      </w:r>
      <w:r>
        <w:rPr>
          <w:color w:val="000000" w:themeColor="text1"/>
          <w:szCs w:val="21"/>
          <w:highlight w:val="none"/>
          <w:u w:val="single"/>
          <w14:textFill>
            <w14:solidFill>
              <w14:schemeClr w14:val="tx1"/>
            </w14:solidFill>
          </w14:textFill>
        </w:rPr>
        <w:t>相比下浮相同比例确定结算单价</w:t>
      </w:r>
      <w:r>
        <w:rPr>
          <w:rFonts w:hint="eastAsia"/>
          <w:color w:val="000000" w:themeColor="text1"/>
          <w:szCs w:val="21"/>
          <w:highlight w:val="none"/>
          <w:u w:val="single"/>
          <w14:textFill>
            <w14:solidFill>
              <w14:schemeClr w14:val="tx1"/>
            </w14:solidFill>
          </w14:textFill>
        </w:rPr>
        <w:t>，按确认的结算单价办理结算。</w:t>
      </w:r>
    </w:p>
    <w:p w14:paraId="6D1D4394">
      <w:pPr>
        <w:spacing w:line="356" w:lineRule="auto"/>
        <w:ind w:firstLine="403" w:firstLineChars="192"/>
        <w:rPr>
          <w:color w:val="000000" w:themeColor="text1"/>
          <w:szCs w:val="21"/>
          <w:highlight w:val="none"/>
          <w:u w:val="single"/>
          <w14:textFill>
            <w14:solidFill>
              <w14:schemeClr w14:val="tx1"/>
            </w14:solidFill>
          </w14:textFill>
        </w:rPr>
      </w:pPr>
      <w:r>
        <w:rPr>
          <w:rFonts w:hint="eastAsia"/>
          <w:color w:val="000000" w:themeColor="text1"/>
          <w:szCs w:val="21"/>
          <w:highlight w:val="none"/>
          <w:u w:val="single"/>
          <w14:textFill>
            <w14:solidFill>
              <w14:schemeClr w14:val="tx1"/>
            </w14:solidFill>
          </w14:textFill>
        </w:rPr>
        <w:t>（4）新增工程量相应</w:t>
      </w:r>
      <w:r>
        <w:rPr>
          <w:color w:val="000000" w:themeColor="text1"/>
          <w:szCs w:val="21"/>
          <w:highlight w:val="none"/>
          <w:u w:val="single"/>
          <w14:textFill>
            <w14:solidFill>
              <w14:schemeClr w14:val="tx1"/>
            </w14:solidFill>
          </w14:textFill>
        </w:rPr>
        <w:t>措施项目费按以下</w:t>
      </w:r>
      <w:r>
        <w:rPr>
          <w:rFonts w:hint="eastAsia"/>
          <w:color w:val="000000" w:themeColor="text1"/>
          <w:szCs w:val="21"/>
          <w:highlight w:val="none"/>
          <w:u w:val="single"/>
          <w14:textFill>
            <w14:solidFill>
              <w14:schemeClr w14:val="tx1"/>
            </w14:solidFill>
          </w14:textFill>
        </w:rPr>
        <w:t>办法</w:t>
      </w:r>
      <w:r>
        <w:rPr>
          <w:color w:val="000000" w:themeColor="text1"/>
          <w:szCs w:val="21"/>
          <w:highlight w:val="none"/>
          <w:u w:val="single"/>
          <w14:textFill>
            <w14:solidFill>
              <w14:schemeClr w14:val="tx1"/>
            </w14:solidFill>
          </w14:textFill>
        </w:rPr>
        <w:t>调整：</w:t>
      </w:r>
      <w:r>
        <w:rPr>
          <w:rFonts w:hint="eastAsia"/>
          <w:color w:val="000000" w:themeColor="text1"/>
          <w:szCs w:val="21"/>
          <w:highlight w:val="none"/>
          <w:u w:val="single"/>
          <w14:textFill>
            <w14:solidFill>
              <w14:schemeClr w14:val="tx1"/>
            </w14:solidFill>
          </w14:textFill>
        </w:rPr>
        <w:t>除原合同承包价中所含已完工程及设备保护费、大型机械安拆及进出场费不变外，承包人原中标价以综合单价计算的措施项目按上述第（2）条综合单价调整方法办理；承包人原中标价以系数计算的措施项目，按原中标系数计算。</w:t>
      </w:r>
    </w:p>
    <w:p w14:paraId="16B67370">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（5）发包人认可的变更项目的工程量以及新增工程量超过原工程量15％时，在经过发包人审核确认后，依据合同约定的支付原则按已完成工程量支付至该部分款项的60％，其余部分待工程竣工审计完成后支付。</w:t>
      </w:r>
    </w:p>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14:paraId="70774E1A">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bookmarkStart w:id="868" w:name="_Toc312677504"/>
      <w:bookmarkStart w:id="869" w:name="_Toc292559914"/>
      <w:bookmarkStart w:id="870" w:name="_Toc297120504"/>
      <w:bookmarkStart w:id="871" w:name="_Toc297216205"/>
      <w:bookmarkStart w:id="872" w:name="_Toc304295571"/>
      <w:bookmarkStart w:id="873" w:name="_Toc296891244"/>
      <w:bookmarkStart w:id="874" w:name="_Toc318581175"/>
      <w:bookmarkStart w:id="875" w:name="_Toc300934995"/>
      <w:bookmarkStart w:id="876" w:name="_Toc296944543"/>
      <w:bookmarkStart w:id="877" w:name="_Toc296891032"/>
      <w:bookmarkStart w:id="878" w:name="_Toc296347203"/>
      <w:bookmarkStart w:id="879" w:name="_Toc297048390"/>
      <w:bookmarkStart w:id="880" w:name="_Toc296346705"/>
      <w:bookmarkStart w:id="881" w:name="_Toc296503204"/>
      <w:bookmarkStart w:id="882" w:name="_Toc312678030"/>
      <w:bookmarkStart w:id="883" w:name="_Toc297123546"/>
      <w:bookmarkStart w:id="884" w:name="_Toc292559409"/>
      <w:bookmarkStart w:id="885" w:name="_Toc303539152"/>
      <w:r>
        <w:rPr>
          <w:rFonts w:hint="eastAsia" w:ascii="宋体" w:hAnsi="宋体" w:cs="宋体"/>
          <w:color w:val="000000" w:themeColor="text1"/>
          <w:szCs w:val="21"/>
          <w:highlight w:val="none"/>
          <w14:textFill>
            <w14:solidFill>
              <w14:schemeClr w14:val="tx1"/>
            </w14:solidFill>
          </w14:textFill>
        </w:rPr>
        <w:t>10.7.2</w:t>
      </w:r>
      <w:r>
        <w:rPr>
          <w:rFonts w:hint="eastAsia" w:ascii="宋体" w:hAnsi="宋体" w:cs="宋体"/>
          <w:color w:val="000000" w:themeColor="text1"/>
          <w:kern w:val="0"/>
          <w:szCs w:val="21"/>
          <w:highlight w:val="none"/>
          <w14:textFill>
            <w14:solidFill>
              <w14:schemeClr w14:val="tx1"/>
            </w14:solidFill>
          </w14:textFill>
        </w:rPr>
        <w:t>不属于依法必须招标的暂估价项目</w:t>
      </w:r>
    </w:p>
    <w:p w14:paraId="2BFC210D">
      <w:pPr>
        <w:spacing w:line="356" w:lineRule="auto"/>
        <w:ind w:firstLine="42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 xml:space="preserve">对于不属于依法必须招标的暂估价项目，采取以下第1种方式确定： </w:t>
      </w:r>
    </w:p>
    <w:p w14:paraId="028CAEE4">
      <w:pPr>
        <w:spacing w:line="356" w:lineRule="auto"/>
        <w:ind w:firstLine="42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第1种方式：对于不属于依法必须招标的暂估价项目，按本项约定确认和批准：</w:t>
      </w:r>
    </w:p>
    <w:p w14:paraId="6A1E1906">
      <w:pPr>
        <w:spacing w:line="356" w:lineRule="auto"/>
        <w:ind w:firstLine="42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（1）应根据施工进度计划</w:t>
      </w:r>
      <w:r>
        <w:rPr>
          <w:rFonts w:hint="eastAsia" w:ascii="宋体" w:hAnsi="宋体" w:cs="宋体"/>
          <w:color w:val="000000" w:themeColor="text1"/>
          <w:kern w:val="0"/>
          <w:szCs w:val="21"/>
          <w:highlight w:val="none"/>
          <w:u w:val="single"/>
          <w:lang w:eastAsia="zh-CN"/>
          <w14:textFill>
            <w14:solidFill>
              <w14:schemeClr w14:val="tx1"/>
            </w14:solidFill>
          </w14:textFill>
        </w:rPr>
        <w:t>，由</w:t>
      </w:r>
      <w:r>
        <w:rPr>
          <w:rFonts w:hint="eastAsia" w:ascii="宋体" w:hAnsi="宋体" w:cs="宋体"/>
          <w:color w:val="000000" w:themeColor="text1"/>
          <w:kern w:val="0"/>
          <w:szCs w:val="21"/>
          <w:highlight w:val="none"/>
          <w:u w:val="single"/>
          <w14:textFill>
            <w14:solidFill>
              <w14:schemeClr w14:val="tx1"/>
            </w14:solidFill>
          </w14:textFill>
        </w:rPr>
        <w:t>承包人牵头发包人、监理人共同组织邀请供应商报价，经发包人同意后确定供应商；</w:t>
      </w:r>
    </w:p>
    <w:p w14:paraId="1FB2DDDD">
      <w:pPr>
        <w:spacing w:line="356" w:lineRule="auto"/>
        <w:ind w:firstLine="42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（2）发包人认为承包人确定的供应商、分包人无法满足工程质量或合同要求的，发包人可以要求承包人重新确定暂估价项目的供应商、分包人；</w:t>
      </w:r>
    </w:p>
    <w:p w14:paraId="2BF63A3B">
      <w:pPr>
        <w:spacing w:line="356" w:lineRule="auto"/>
        <w:ind w:firstLine="42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第2种方式：承包人按照第10.7.1项〔依法必须招标的暂估价项目〕约定的第1种方式确定暂估价项目。</w:t>
      </w:r>
    </w:p>
    <w:p w14:paraId="2024C632">
      <w:pPr>
        <w:spacing w:line="356" w:lineRule="auto"/>
        <w:ind w:firstLine="42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第3种方式：</w:t>
      </w:r>
      <w:r>
        <w:rPr>
          <w:rFonts w:hint="eastAsia" w:ascii="宋体" w:hAnsi="宋体" w:cs="宋体"/>
          <w:color w:val="000000" w:themeColor="text1"/>
          <w:kern w:val="0"/>
          <w:szCs w:val="21"/>
          <w:highlight w:val="none"/>
          <w:u w:val="single"/>
          <w14:textFill>
            <w14:solidFill>
              <w14:schemeClr w14:val="tx1"/>
            </w14:solidFill>
          </w14:textFill>
        </w:rPr>
        <w:t>承包人直接实施的暂估价项目</w:t>
      </w:r>
    </w:p>
    <w:p w14:paraId="3DD4410F">
      <w:pPr>
        <w:spacing w:line="356" w:lineRule="auto"/>
        <w:ind w:firstLine="42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承包人具备实施暂估价项目的资格和条件的，经发包人和承包人协商一致后，可由承包人自行实施暂估价项目，合同当事人可以在专用合同条款中约定具体事项。</w:t>
      </w:r>
    </w:p>
    <w:p w14:paraId="12D0AE93">
      <w:pPr>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10.7.3 因发包人原因导致暂估价合同订立和履行迟延的，由此增加的费用和（或）延误的工期由发包人承担。因承包人原因导致暂估价合同订立和履行迟延的，由此增加的费用和（或）延误的工期由承包人承担。</w:t>
      </w:r>
    </w:p>
    <w:p w14:paraId="6AC5F3DF">
      <w:pPr>
        <w:spacing w:line="356"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10.8 暂列金额</w:t>
      </w:r>
    </w:p>
    <w:p w14:paraId="4729B43D">
      <w:pPr>
        <w:spacing w:line="356" w:lineRule="auto"/>
        <w:ind w:firstLine="42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合同当事人关于暂列金额使用的约定：</w:t>
      </w:r>
      <w:r>
        <w:rPr>
          <w:rFonts w:hint="eastAsia" w:ascii="宋体" w:hAnsi="宋体" w:cs="宋体"/>
          <w:color w:val="000000" w:themeColor="text1"/>
          <w:kern w:val="0"/>
          <w:szCs w:val="21"/>
          <w:highlight w:val="none"/>
          <w:u w:val="single"/>
          <w14:textFill>
            <w14:solidFill>
              <w14:schemeClr w14:val="tx1"/>
            </w14:solidFill>
          </w14:textFill>
        </w:rPr>
        <w:t>暂列金额是发包人为工程实施过程中的不可预见的变更和索赔、调价、材料采购等所设，不应视为承包人所有，当工程发生以上事项时，依据合同相关条款据实结算。</w:t>
      </w:r>
    </w:p>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14:paraId="25F45650">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886" w:name="_Toc351203643"/>
      <w:r>
        <w:rPr>
          <w:rFonts w:hint="eastAsia" w:ascii="黑体" w:hAnsi="黑体" w:cs="黑体"/>
          <w:color w:val="000000" w:themeColor="text1"/>
          <w:sz w:val="21"/>
          <w:szCs w:val="21"/>
          <w:highlight w:val="none"/>
          <w14:textFill>
            <w14:solidFill>
              <w14:schemeClr w14:val="tx1"/>
            </w14:solidFill>
          </w14:textFill>
        </w:rPr>
        <w:t>11. 价格调整</w:t>
      </w:r>
      <w:bookmarkEnd w:id="886"/>
    </w:p>
    <w:bookmarkEnd w:id="844"/>
    <w:bookmarkEnd w:id="845"/>
    <w:bookmarkEnd w:id="846"/>
    <w:bookmarkEnd w:id="847"/>
    <w:bookmarkEnd w:id="848"/>
    <w:bookmarkEnd w:id="849"/>
    <w:p w14:paraId="299FFFD9">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bookmarkStart w:id="887" w:name="_Toc296346702"/>
      <w:bookmarkStart w:id="888" w:name="_Toc297123550"/>
      <w:bookmarkStart w:id="889" w:name="_Toc292559406"/>
      <w:bookmarkStart w:id="890" w:name="_Toc296944540"/>
      <w:bookmarkStart w:id="891" w:name="_Toc303539157"/>
      <w:bookmarkStart w:id="892" w:name="_Toc296891241"/>
      <w:bookmarkStart w:id="893" w:name="_Toc297048387"/>
      <w:bookmarkStart w:id="894" w:name="_Toc297120501"/>
      <w:bookmarkStart w:id="895" w:name="_Toc296503201"/>
      <w:bookmarkStart w:id="896" w:name="_Toc296347200"/>
      <w:bookmarkStart w:id="897" w:name="_Toc304295577"/>
      <w:bookmarkStart w:id="898" w:name="_Toc312678039"/>
      <w:bookmarkStart w:id="899" w:name="_Toc297216209"/>
      <w:bookmarkStart w:id="900" w:name="_Toc296891029"/>
      <w:bookmarkStart w:id="901" w:name="_Toc300935000"/>
      <w:bookmarkStart w:id="902" w:name="_Toc292559911"/>
      <w:bookmarkStart w:id="903" w:name="_Toc296944544"/>
      <w:bookmarkStart w:id="904" w:name="_Toc297048391"/>
      <w:bookmarkStart w:id="905" w:name="_Toc296891033"/>
      <w:bookmarkStart w:id="906" w:name="_Toc296346706"/>
      <w:bookmarkStart w:id="907" w:name="_Toc296347204"/>
      <w:bookmarkStart w:id="908" w:name="_Toc292559915"/>
      <w:bookmarkStart w:id="909" w:name="_Toc297120505"/>
      <w:bookmarkStart w:id="910" w:name="_Toc296891245"/>
      <w:bookmarkStart w:id="911" w:name="_Toc296503205"/>
      <w:bookmarkStart w:id="912" w:name="_Toc292559410"/>
      <w:bookmarkStart w:id="913" w:name="_Toc351203644"/>
      <w:bookmarkStart w:id="914" w:name="_Toc297216211"/>
      <w:bookmarkStart w:id="915" w:name="_Toc297123552"/>
      <w:bookmarkStart w:id="916" w:name="_Toc312678040"/>
      <w:bookmarkStart w:id="917" w:name="_Toc304295579"/>
      <w:bookmarkStart w:id="918" w:name="_Toc303539159"/>
      <w:bookmarkStart w:id="919" w:name="_Toc300935002"/>
      <w:r>
        <w:rPr>
          <w:rFonts w:ascii="宋体" w:hAnsi="宋体"/>
          <w:color w:val="000000" w:themeColor="text1"/>
          <w:szCs w:val="21"/>
          <w:highlight w:val="none"/>
          <w14:textFill>
            <w14:solidFill>
              <w14:schemeClr w14:val="tx1"/>
            </w14:solidFill>
          </w14:textFill>
        </w:rPr>
        <w:t>11.1 市场价格波动引起的调整</w:t>
      </w:r>
    </w:p>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p w14:paraId="7A26F7ED">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市场价格波动是否调整合同价格的约定：</w:t>
      </w:r>
      <w:r>
        <w:rPr>
          <w:rFonts w:hint="eastAsia" w:ascii="宋体" w:hAnsi="宋体"/>
          <w:color w:val="000000" w:themeColor="text1"/>
          <w:szCs w:val="21"/>
          <w:highlight w:val="none"/>
          <w:u w:val="single"/>
          <w14:textFill>
            <w14:solidFill>
              <w14:schemeClr w14:val="tx1"/>
            </w14:solidFill>
          </w14:textFill>
        </w:rPr>
        <w:t>不调整</w:t>
      </w:r>
      <w:r>
        <w:rPr>
          <w:rFonts w:ascii="宋体" w:hAnsi="宋体"/>
          <w:color w:val="000000" w:themeColor="text1"/>
          <w:szCs w:val="21"/>
          <w:highlight w:val="none"/>
          <w:u w:val="single"/>
          <w14:textFill>
            <w14:solidFill>
              <w14:schemeClr w14:val="tx1"/>
            </w14:solidFill>
          </w14:textFill>
        </w:rPr>
        <w:t>。</w:t>
      </w:r>
    </w:p>
    <w:bookmarkEnd w:id="903"/>
    <w:bookmarkEnd w:id="904"/>
    <w:bookmarkEnd w:id="905"/>
    <w:bookmarkEnd w:id="906"/>
    <w:bookmarkEnd w:id="907"/>
    <w:bookmarkEnd w:id="908"/>
    <w:bookmarkEnd w:id="909"/>
    <w:bookmarkEnd w:id="910"/>
    <w:bookmarkEnd w:id="911"/>
    <w:bookmarkEnd w:id="912"/>
    <w:p w14:paraId="440245F8">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r>
        <w:rPr>
          <w:rFonts w:hint="eastAsia" w:ascii="黑体" w:hAnsi="黑体" w:cs="黑体"/>
          <w:color w:val="000000" w:themeColor="text1"/>
          <w:sz w:val="21"/>
          <w:szCs w:val="21"/>
          <w:highlight w:val="none"/>
          <w14:textFill>
            <w14:solidFill>
              <w14:schemeClr w14:val="tx1"/>
            </w14:solidFill>
          </w14:textFill>
        </w:rPr>
        <w:t>12.合同价格、计量与支付</w:t>
      </w:r>
      <w:bookmarkEnd w:id="913"/>
    </w:p>
    <w:p w14:paraId="26431323">
      <w:pPr>
        <w:spacing w:line="356" w:lineRule="auto"/>
        <w:ind w:firstLine="420" w:firstLineChars="200"/>
        <w:jc w:val="left"/>
        <w:rPr>
          <w:rFonts w:hint="eastAsia" w:ascii="黑体" w:hAnsi="黑体" w:cs="黑体"/>
          <w:color w:val="000000" w:themeColor="text1"/>
          <w:szCs w:val="21"/>
          <w:highlight w:val="none"/>
          <w14:textFill>
            <w14:solidFill>
              <w14:schemeClr w14:val="tx1"/>
            </w14:solidFill>
          </w14:textFill>
        </w:rPr>
      </w:pPr>
      <w:bookmarkStart w:id="920" w:name="_Toc267251461"/>
      <w:bookmarkStart w:id="921" w:name="_Toc292559411"/>
      <w:bookmarkStart w:id="922" w:name="_Toc292559916"/>
      <w:bookmarkStart w:id="923" w:name="_Toc297120506"/>
      <w:bookmarkStart w:id="924" w:name="_Toc296944545"/>
      <w:bookmarkStart w:id="925" w:name="_Toc296347205"/>
      <w:bookmarkStart w:id="926" w:name="_Toc296891034"/>
      <w:bookmarkStart w:id="927" w:name="_Toc296891246"/>
      <w:bookmarkStart w:id="928" w:name="_Toc297048392"/>
      <w:bookmarkStart w:id="929" w:name="_Toc296346707"/>
      <w:bookmarkStart w:id="930" w:name="_Toc296503206"/>
      <w:r>
        <w:rPr>
          <w:rFonts w:ascii="宋体" w:hAnsi="宋体"/>
          <w:color w:val="000000" w:themeColor="text1"/>
          <w:szCs w:val="21"/>
          <w:highlight w:val="none"/>
          <w14:textFill>
            <w14:solidFill>
              <w14:schemeClr w14:val="tx1"/>
            </w14:solidFill>
          </w14:textFill>
        </w:rPr>
        <w:t>12.1 合</w:t>
      </w:r>
      <w:bookmarkEnd w:id="920"/>
      <w:bookmarkEnd w:id="921"/>
      <w:bookmarkEnd w:id="922"/>
      <w:r>
        <w:rPr>
          <w:rFonts w:ascii="宋体" w:hAnsi="宋体"/>
          <w:color w:val="000000" w:themeColor="text1"/>
          <w:szCs w:val="21"/>
          <w:highlight w:val="none"/>
          <w14:textFill>
            <w14:solidFill>
              <w14:schemeClr w14:val="tx1"/>
            </w14:solidFill>
          </w14:textFill>
        </w:rPr>
        <w:t>同价</w:t>
      </w:r>
      <w:bookmarkEnd w:id="923"/>
      <w:bookmarkEnd w:id="924"/>
      <w:bookmarkEnd w:id="925"/>
      <w:bookmarkEnd w:id="926"/>
      <w:bookmarkEnd w:id="927"/>
      <w:bookmarkEnd w:id="928"/>
      <w:bookmarkEnd w:id="929"/>
      <w:bookmarkEnd w:id="930"/>
      <w:r>
        <w:rPr>
          <w:rFonts w:ascii="宋体" w:hAnsi="宋体"/>
          <w:color w:val="000000" w:themeColor="text1"/>
          <w:szCs w:val="21"/>
          <w:highlight w:val="none"/>
          <w14:textFill>
            <w14:solidFill>
              <w14:schemeClr w14:val="tx1"/>
            </w14:solidFill>
          </w14:textFill>
        </w:rPr>
        <w:t>格形式</w:t>
      </w:r>
    </w:p>
    <w:bookmarkEnd w:id="850"/>
    <w:bookmarkEnd w:id="914"/>
    <w:bookmarkEnd w:id="915"/>
    <w:bookmarkEnd w:id="916"/>
    <w:bookmarkEnd w:id="917"/>
    <w:bookmarkEnd w:id="918"/>
    <w:bookmarkEnd w:id="919"/>
    <w:p w14:paraId="7641E999">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bookmarkStart w:id="931" w:name="_Toc296891247"/>
      <w:bookmarkStart w:id="932" w:name="_Toc292559917"/>
      <w:bookmarkStart w:id="933" w:name="_Toc296891035"/>
      <w:bookmarkStart w:id="934" w:name="_Toc296944546"/>
      <w:bookmarkStart w:id="935" w:name="_Toc297120507"/>
      <w:bookmarkStart w:id="936" w:name="_Toc296347206"/>
      <w:bookmarkStart w:id="937" w:name="_Toc296503207"/>
      <w:bookmarkStart w:id="938" w:name="_Toc292559412"/>
      <w:bookmarkStart w:id="939" w:name="_Toc296346708"/>
      <w:bookmarkStart w:id="940" w:name="_Toc297048393"/>
      <w:bookmarkStart w:id="941" w:name="_Toc351203645"/>
      <w:bookmarkStart w:id="942" w:name="_Toc297216223"/>
      <w:bookmarkStart w:id="943" w:name="_Toc296346720"/>
      <w:bookmarkStart w:id="944" w:name="_Toc297123564"/>
      <w:bookmarkStart w:id="945" w:name="_Toc296944558"/>
      <w:bookmarkStart w:id="946" w:name="_Toc296503219"/>
      <w:bookmarkStart w:id="947" w:name="_Toc300935015"/>
      <w:bookmarkStart w:id="948" w:name="_Toc304295593"/>
      <w:bookmarkStart w:id="949" w:name="_Toc292559424"/>
      <w:bookmarkStart w:id="950" w:name="_Toc296347218"/>
      <w:bookmarkStart w:id="951" w:name="_Toc303539172"/>
      <w:bookmarkStart w:id="952" w:name="_Toc296891259"/>
      <w:bookmarkStart w:id="953" w:name="_Toc297048405"/>
      <w:bookmarkStart w:id="954" w:name="_Toc312678053"/>
      <w:bookmarkStart w:id="955" w:name="_Toc296891047"/>
      <w:bookmarkStart w:id="956" w:name="_Toc292559929"/>
      <w:bookmarkStart w:id="957" w:name="_Toc297120519"/>
      <w:r>
        <w:rPr>
          <w:rFonts w:hint="eastAsia" w:ascii="宋体" w:hAnsi="宋体"/>
          <w:color w:val="000000" w:themeColor="text1"/>
          <w:szCs w:val="21"/>
          <w:highlight w:val="none"/>
          <w14:textFill>
            <w14:solidFill>
              <w14:schemeClr w14:val="tx1"/>
            </w14:solidFill>
          </w14:textFill>
        </w:rPr>
        <w:t>12.1.1单价合同。</w:t>
      </w:r>
    </w:p>
    <w:p w14:paraId="59AB8226">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综合</w:t>
      </w:r>
      <w:r>
        <w:rPr>
          <w:rFonts w:hint="eastAsia" w:ascii="宋体" w:hAnsi="宋体"/>
          <w:color w:val="000000" w:themeColor="text1"/>
          <w:szCs w:val="21"/>
          <w:highlight w:val="none"/>
          <w14:textFill>
            <w14:solidFill>
              <w14:schemeClr w14:val="tx1"/>
            </w14:solidFill>
          </w14:textFill>
        </w:rPr>
        <w:t>单价</w:t>
      </w:r>
      <w:r>
        <w:rPr>
          <w:rFonts w:ascii="宋体" w:hAnsi="宋体"/>
          <w:color w:val="000000" w:themeColor="text1"/>
          <w:szCs w:val="21"/>
          <w:highlight w:val="none"/>
          <w14:textFill>
            <w14:solidFill>
              <w14:schemeClr w14:val="tx1"/>
            </w14:solidFill>
          </w14:textFill>
        </w:rPr>
        <w:t>包含的风险范围：</w:t>
      </w:r>
      <w:r>
        <w:rPr>
          <w:rFonts w:hint="eastAsia" w:ascii="宋体" w:hAnsi="宋体" w:cs="宋体"/>
          <w:color w:val="000000" w:themeColor="text1"/>
          <w:szCs w:val="21"/>
          <w:highlight w:val="none"/>
          <w:u w:val="single"/>
          <w14:textFill>
            <w14:solidFill>
              <w14:schemeClr w14:val="tx1"/>
            </w14:solidFill>
          </w14:textFill>
        </w:rPr>
        <w:t>除国家政策及不可抗力以外的所有风险。</w:t>
      </w:r>
    </w:p>
    <w:p w14:paraId="23ACD77B">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风险费用的计算方法：</w:t>
      </w:r>
      <w:r>
        <w:rPr>
          <w:rFonts w:hint="eastAsia" w:ascii="宋体" w:hAnsi="宋体"/>
          <w:color w:val="000000" w:themeColor="text1"/>
          <w:szCs w:val="21"/>
          <w:highlight w:val="none"/>
          <w:u w:val="single"/>
          <w14:textFill>
            <w14:solidFill>
              <w14:schemeClr w14:val="tx1"/>
            </w14:solidFill>
          </w14:textFill>
        </w:rPr>
        <w:t>应由承包人承担的风险费用已由承包人根据自身经验作了充分估计并已计入合同协议确定的合同价款中，风险费用未单独计列的，应认为已经包含在合同价款中。</w:t>
      </w:r>
    </w:p>
    <w:p w14:paraId="38D33DD6">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风险范围以外合同价格的调整方法：</w:t>
      </w:r>
      <w:r>
        <w:rPr>
          <w:rFonts w:hint="eastAsia"/>
          <w:color w:val="000000" w:themeColor="text1"/>
          <w:szCs w:val="21"/>
          <w:highlight w:val="none"/>
          <w:u w:val="single"/>
          <w14:textFill>
            <w14:solidFill>
              <w14:schemeClr w14:val="tx1"/>
            </w14:solidFill>
          </w14:textFill>
        </w:rPr>
        <w:t>1、暂定价材料按实际购买价与暂定价的差价据实调整；2、本合同实施期间因招标文件分部分项工程量清单漏项或工程量偏差、设计变更及相关签证等非承包人原因引起工程项目、工程量变化，其工程量按实际发生并经发包人签证认可，变更合同价款按下列方法进行：（1）清单或合同中已有适用于新工程量清单项目的价格，按已有价格变更合同价款；（2）清单或合同中只有类似（施工工艺相同）于新工程量清单项目的价格，可以参照类似价格变更合同价款；（3）清单或合同中没有类似于新工程量清单项目的价格，由承包人按招标最高投标限价计算办法计算的价格乘以中标价与最高投标限价的比率进行计价（其中主要材料按当期信息价执行），并报发包人审核，经承、发包双方确认后执行。</w:t>
      </w:r>
    </w:p>
    <w:p w14:paraId="1AF7FE68">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12.1.2合同价款调整：</w:t>
      </w:r>
    </w:p>
    <w:p w14:paraId="36E79015">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（1）双方约定合同价款的其他调整因素：以按中标条件签订的施工合同为依据进行结算。</w:t>
      </w:r>
    </w:p>
    <w:p w14:paraId="6C8F4739">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（2）在本工程施工过程中，若发生变更，以设计变更、签证为依据，以发包人审核为准，价款调整办法参照12.1.1条。</w:t>
      </w:r>
    </w:p>
    <w:p w14:paraId="4FAC4E7E">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（3）本工程量按实结算。</w:t>
      </w:r>
    </w:p>
    <w:p w14:paraId="204C0A1F">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（4）材料市场价格波动引起的价款调整：不予调整。</w:t>
      </w:r>
    </w:p>
    <w:p w14:paraId="202D12A4">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（5）暂定价的材料由发包人认质认价，差额以差价形式调整总价，暂定单价的材料或设备由发、承包人协商确认实际单价，实际单价与暂定价的差额以差价形式调整总价。 </w:t>
      </w:r>
    </w:p>
    <w:p w14:paraId="7C30ED13">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ascii="宋体" w:hAnsi="宋体"/>
          <w:color w:val="000000" w:themeColor="text1"/>
          <w:szCs w:val="21"/>
          <w:highlight w:val="none"/>
          <w14:textFill>
            <w14:solidFill>
              <w14:schemeClr w14:val="tx1"/>
            </w14:solidFill>
          </w14:textFill>
        </w:rPr>
        <w:t>人工费根据政府部门公布的最新文件进行调整，调整办法：最新文件工日单价与</w:t>
      </w:r>
      <w:r>
        <w:rPr>
          <w:rFonts w:hint="eastAsia" w:ascii="宋体" w:hAnsi="宋体"/>
          <w:color w:val="000000" w:themeColor="text1"/>
          <w:szCs w:val="21"/>
          <w:highlight w:val="none"/>
          <w14:textFill>
            <w14:solidFill>
              <w14:schemeClr w14:val="tx1"/>
            </w14:solidFill>
          </w14:textFill>
        </w:rPr>
        <w:t>最高投标限价</w:t>
      </w:r>
      <w:r>
        <w:rPr>
          <w:rFonts w:ascii="宋体" w:hAnsi="宋体"/>
          <w:color w:val="000000" w:themeColor="text1"/>
          <w:szCs w:val="21"/>
          <w:highlight w:val="none"/>
          <w14:textFill>
            <w14:solidFill>
              <w14:schemeClr w14:val="tx1"/>
            </w14:solidFill>
          </w14:textFill>
        </w:rPr>
        <w:t>编制工日单价进行调差计入</w:t>
      </w:r>
      <w:r>
        <w:rPr>
          <w:rFonts w:hint="eastAsia" w:ascii="宋体" w:hAnsi="宋体"/>
          <w:color w:val="000000" w:themeColor="text1"/>
          <w:szCs w:val="21"/>
          <w:highlight w:val="none"/>
          <w14:textFill>
            <w14:solidFill>
              <w14:schemeClr w14:val="tx1"/>
            </w14:solidFill>
          </w14:textFill>
        </w:rPr>
        <w:t>。</w:t>
      </w:r>
    </w:p>
    <w:p w14:paraId="7C03E763">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（7）其他项目费用以现场签证的事项和金额结算。</w:t>
      </w:r>
    </w:p>
    <w:p w14:paraId="3CD0B9F9">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（8）工程结算价＝合同价±设计变更价款±现场签证。</w:t>
      </w:r>
    </w:p>
    <w:p w14:paraId="2E7B6CC9">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12.1.3合同价款中包含以下费用：</w:t>
      </w:r>
    </w:p>
    <w:p w14:paraId="50092100">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12.1.3.1社保费用、安全文明施工措施费、增值税为不可竞争费，</w:t>
      </w:r>
      <w:r>
        <w:rPr>
          <w:rFonts w:ascii="宋体" w:hAnsi="宋体"/>
          <w:color w:val="000000" w:themeColor="text1"/>
          <w:szCs w:val="21"/>
          <w:highlight w:val="none"/>
          <w14:textFill>
            <w14:solidFill>
              <w14:schemeClr w14:val="tx1"/>
            </w14:solidFill>
          </w14:textFill>
        </w:rPr>
        <w:t>必须按照计价规则的规定计取，不得优惠，不得浮动。</w:t>
      </w:r>
    </w:p>
    <w:p w14:paraId="0943EFDE">
      <w:pPr>
        <w:autoSpaceDE w:val="0"/>
        <w:autoSpaceDN w:val="0"/>
        <w:adjustRightInd w:val="0"/>
        <w:spacing w:line="356" w:lineRule="auto"/>
        <w:ind w:firstLine="42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12.1.3.2</w:t>
      </w:r>
      <w:r>
        <w:rPr>
          <w:rFonts w:hint="eastAsia" w:ascii="宋体" w:hAnsi="宋体" w:cs="宋体"/>
          <w:color w:val="000000" w:themeColor="text1"/>
          <w:kern w:val="0"/>
          <w:szCs w:val="21"/>
          <w:highlight w:val="none"/>
          <w14:textFill>
            <w14:solidFill>
              <w14:schemeClr w14:val="tx1"/>
            </w14:solidFill>
          </w14:textFill>
        </w:rPr>
        <w:t>施工过程中所用水电按工程总价的3‰由乙方向水电供应部门交纳费用。施工过程中管理不当造成的浪费，由承包人承担。</w:t>
      </w:r>
    </w:p>
    <w:p w14:paraId="0E55DC96">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12.1.3.3</w:t>
      </w:r>
      <w:r>
        <w:rPr>
          <w:rFonts w:ascii="宋体" w:hAnsi="宋体"/>
          <w:color w:val="000000" w:themeColor="text1"/>
          <w:szCs w:val="21"/>
          <w:highlight w:val="none"/>
          <w14:textFill>
            <w14:solidFill>
              <w14:schemeClr w14:val="tx1"/>
            </w14:solidFill>
          </w14:textFill>
        </w:rPr>
        <w:t>本工程工期最终以发包人要求为准,不因政府部门及发包人原因对工期要求所产生赶工费用或相关的费用不予增加,发包人视同综合考虑在合同价款中。</w:t>
      </w:r>
    </w:p>
    <w:p w14:paraId="0EFC1E2B">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12.1.3.4</w:t>
      </w:r>
      <w:r>
        <w:rPr>
          <w:rFonts w:ascii="宋体" w:hAnsi="宋体"/>
          <w:color w:val="000000" w:themeColor="text1"/>
          <w:szCs w:val="21"/>
          <w:highlight w:val="none"/>
          <w14:textFill>
            <w14:solidFill>
              <w14:schemeClr w14:val="tx1"/>
            </w14:solidFill>
          </w14:textFill>
        </w:rPr>
        <w:t>自行解决与其他专业穿插施工引起的人员机械停滞窝工费用，各专业穿插施工引起的修复、损毁、返工等费用。</w:t>
      </w:r>
    </w:p>
    <w:p w14:paraId="791E0985">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12.1.3.5</w:t>
      </w:r>
      <w:r>
        <w:rPr>
          <w:rFonts w:ascii="宋体" w:hAnsi="宋体"/>
          <w:color w:val="000000" w:themeColor="text1"/>
          <w:szCs w:val="21"/>
          <w:highlight w:val="none"/>
          <w14:textFill>
            <w14:solidFill>
              <w14:schemeClr w14:val="tx1"/>
            </w14:solidFill>
          </w14:textFill>
        </w:rPr>
        <w:t>若工地现场不具备设置工人宿舍或生活区的条件，在场外集中租住的费用以及场外租用堆放材料场地的所有费用由承包方承担。</w:t>
      </w:r>
    </w:p>
    <w:p w14:paraId="10603279">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12.1.3.6</w:t>
      </w:r>
      <w:r>
        <w:rPr>
          <w:rFonts w:ascii="宋体" w:hAnsi="宋体"/>
          <w:color w:val="000000" w:themeColor="text1"/>
          <w:szCs w:val="21"/>
          <w:highlight w:val="none"/>
          <w14:textFill>
            <w14:solidFill>
              <w14:schemeClr w14:val="tx1"/>
            </w14:solidFill>
          </w14:textFill>
        </w:rPr>
        <w:t>承包人应充分考虑停电、停水、二次搬运或多次搬运、施工场地不足、赶工措施、成品保护等所需措施的一切费用和工期，并已考虑了各种可能因素影响施工所增加的费用</w:t>
      </w:r>
    </w:p>
    <w:p w14:paraId="557D08DF">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12.1.3.7</w:t>
      </w:r>
      <w:r>
        <w:rPr>
          <w:rFonts w:ascii="宋体" w:hAnsi="宋体"/>
          <w:color w:val="000000" w:themeColor="text1"/>
          <w:szCs w:val="21"/>
          <w:highlight w:val="none"/>
          <w14:textFill>
            <w14:solidFill>
              <w14:schemeClr w14:val="tx1"/>
            </w14:solidFill>
          </w14:textFill>
        </w:rPr>
        <w:t>遵守地方政府和有关部门对环境治理、扬尘控制、治污减霾、施工噪音等的管理规定,按规定承担相应的费用。</w:t>
      </w:r>
    </w:p>
    <w:p w14:paraId="38CA46B4">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12.1.3.8</w:t>
      </w:r>
      <w:r>
        <w:rPr>
          <w:rFonts w:ascii="宋体" w:hAnsi="宋体"/>
          <w:color w:val="000000" w:themeColor="text1"/>
          <w:szCs w:val="21"/>
          <w:highlight w:val="none"/>
          <w14:textFill>
            <w14:solidFill>
              <w14:schemeClr w14:val="tx1"/>
            </w14:solidFill>
          </w14:textFill>
        </w:rPr>
        <w:t>承担已完工项目交验前的成品保护费及保护措施包括但不限于特殊保护措施，竣工验收之前及交付使用前的多次保洁、清洁、开荒、打蜡、饰面层防护等费用支出，包括但不限于外立面、室内装修、设备、管道等部位的清洁。</w:t>
      </w:r>
    </w:p>
    <w:p w14:paraId="43072C40">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12.1.3.9材料试验检验费等包含于本次合同范围内，费用由承包人承担。除了国家强制规定由建设单位自行委托的各种检测，其他均在本次合同中包含。</w:t>
      </w:r>
    </w:p>
    <w:p w14:paraId="05396A52">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12.1.3.10承包人负责每户开门、门洞修补、刮白、门洞周边小面积瓷砖修补，除前款所述情形外，如室内瓷砖购买、大面积贴砖及改造等均由住户自行负责。</w:t>
      </w:r>
    </w:p>
    <w:p w14:paraId="06B081D1">
      <w:pPr>
        <w:spacing w:line="356" w:lineRule="auto"/>
        <w:ind w:firstLine="403" w:firstLineChars="19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12.1.3.11承包人负责每户空调室外机挪移、收氟，冷凝水管统一引入集水管，除前款所述情形外，如空调管子更换、加长等费用均由住户承担。</w:t>
      </w:r>
    </w:p>
    <w:p w14:paraId="3C70E0F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12.2 预付款</w:t>
      </w:r>
    </w:p>
    <w:bookmarkEnd w:id="931"/>
    <w:bookmarkEnd w:id="932"/>
    <w:bookmarkEnd w:id="933"/>
    <w:bookmarkEnd w:id="934"/>
    <w:bookmarkEnd w:id="935"/>
    <w:bookmarkEnd w:id="936"/>
    <w:bookmarkEnd w:id="937"/>
    <w:bookmarkEnd w:id="938"/>
    <w:bookmarkEnd w:id="939"/>
    <w:bookmarkEnd w:id="940"/>
    <w:p w14:paraId="5173BD8C">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12.2.1 预付款的支付</w:t>
      </w:r>
    </w:p>
    <w:p w14:paraId="603B7ED2">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预付款支付比例或金额：</w:t>
      </w:r>
      <w:r>
        <w:rPr>
          <w:rFonts w:hint="eastAsia" w:ascii="宋体" w:hAnsi="宋体"/>
          <w:color w:val="000000" w:themeColor="text1"/>
          <w:szCs w:val="21"/>
          <w:highlight w:val="none"/>
          <w:u w:val="single"/>
          <w14:textFill>
            <w14:solidFill>
              <w14:schemeClr w14:val="tx1"/>
            </w14:solidFill>
          </w14:textFill>
        </w:rPr>
        <w:t>本合同签订后承包人提供正规等额发票，发包人向承包人支付合同总价（扣除暂列金额、专业工程暂估价和安全文明施工措施费）20%的工程预付款，</w:t>
      </w:r>
      <w:r>
        <w:rPr>
          <w:rFonts w:ascii="宋体" w:hAnsi="宋体"/>
          <w:color w:val="000000" w:themeColor="text1"/>
          <w:szCs w:val="21"/>
          <w:highlight w:val="none"/>
          <w:u w:val="single"/>
          <w14:textFill>
            <w14:solidFill>
              <w14:schemeClr w14:val="tx1"/>
            </w14:solidFill>
          </w14:textFill>
        </w:rPr>
        <w:t>承包人不得将该</w:t>
      </w:r>
      <w:r>
        <w:rPr>
          <w:rFonts w:hint="eastAsia" w:ascii="宋体" w:hAnsi="宋体"/>
          <w:color w:val="000000" w:themeColor="text1"/>
          <w:szCs w:val="21"/>
          <w:highlight w:val="none"/>
          <w:u w:val="single"/>
          <w14:textFill>
            <w14:solidFill>
              <w14:schemeClr w14:val="tx1"/>
            </w14:solidFill>
          </w14:textFill>
        </w:rPr>
        <w:t>预付</w:t>
      </w:r>
      <w:r>
        <w:rPr>
          <w:rFonts w:ascii="宋体" w:hAnsi="宋体"/>
          <w:color w:val="000000" w:themeColor="text1"/>
          <w:szCs w:val="21"/>
          <w:highlight w:val="none"/>
          <w:u w:val="single"/>
          <w14:textFill>
            <w14:solidFill>
              <w14:schemeClr w14:val="tx1"/>
            </w14:solidFill>
          </w14:textFill>
        </w:rPr>
        <w:t>款用于与本工程无关的支付，</w:t>
      </w:r>
      <w:r>
        <w:rPr>
          <w:rFonts w:hint="eastAsia" w:ascii="宋体" w:hAnsi="宋体"/>
          <w:color w:val="000000" w:themeColor="text1"/>
          <w:szCs w:val="21"/>
          <w:highlight w:val="none"/>
          <w:u w:val="single"/>
          <w14:textFill>
            <w14:solidFill>
              <w14:schemeClr w14:val="tx1"/>
            </w14:solidFill>
          </w14:textFill>
        </w:rPr>
        <w:t>发包人有权</w:t>
      </w:r>
      <w:r>
        <w:rPr>
          <w:rFonts w:ascii="宋体" w:hAnsi="宋体"/>
          <w:color w:val="000000" w:themeColor="text1"/>
          <w:szCs w:val="21"/>
          <w:highlight w:val="none"/>
          <w:u w:val="single"/>
          <w14:textFill>
            <w14:solidFill>
              <w14:schemeClr w14:val="tx1"/>
            </w14:solidFill>
          </w14:textFill>
        </w:rPr>
        <w:t>监督承包人对该项费用的使用，如经查实承包人滥用工程</w:t>
      </w:r>
      <w:r>
        <w:rPr>
          <w:rFonts w:hint="eastAsia" w:ascii="宋体" w:hAnsi="宋体"/>
          <w:color w:val="000000" w:themeColor="text1"/>
          <w:szCs w:val="21"/>
          <w:highlight w:val="none"/>
          <w:u w:val="single"/>
          <w14:textFill>
            <w14:solidFill>
              <w14:schemeClr w14:val="tx1"/>
            </w14:solidFill>
          </w14:textFill>
        </w:rPr>
        <w:t>预付</w:t>
      </w:r>
      <w:r>
        <w:rPr>
          <w:rFonts w:ascii="宋体" w:hAnsi="宋体"/>
          <w:color w:val="000000" w:themeColor="text1"/>
          <w:szCs w:val="21"/>
          <w:highlight w:val="none"/>
          <w:u w:val="single"/>
          <w14:textFill>
            <w14:solidFill>
              <w14:schemeClr w14:val="tx1"/>
            </w14:solidFill>
          </w14:textFill>
        </w:rPr>
        <w:t>款，</w:t>
      </w:r>
      <w:r>
        <w:rPr>
          <w:rFonts w:hint="eastAsia" w:ascii="宋体" w:hAnsi="宋体"/>
          <w:color w:val="000000" w:themeColor="text1"/>
          <w:szCs w:val="21"/>
          <w:highlight w:val="none"/>
          <w:u w:val="single"/>
          <w14:textFill>
            <w14:solidFill>
              <w14:schemeClr w14:val="tx1"/>
            </w14:solidFill>
          </w14:textFill>
        </w:rPr>
        <w:t>发包人</w:t>
      </w:r>
      <w:r>
        <w:rPr>
          <w:rFonts w:ascii="宋体" w:hAnsi="宋体"/>
          <w:color w:val="000000" w:themeColor="text1"/>
          <w:szCs w:val="21"/>
          <w:highlight w:val="none"/>
          <w:u w:val="single"/>
          <w14:textFill>
            <w14:solidFill>
              <w14:schemeClr w14:val="tx1"/>
            </w14:solidFill>
          </w14:textFill>
        </w:rPr>
        <w:t>有权立即收回工程</w:t>
      </w:r>
      <w:r>
        <w:rPr>
          <w:rFonts w:hint="eastAsia" w:ascii="宋体" w:hAnsi="宋体"/>
          <w:color w:val="000000" w:themeColor="text1"/>
          <w:szCs w:val="21"/>
          <w:highlight w:val="none"/>
          <w:u w:val="single"/>
          <w14:textFill>
            <w14:solidFill>
              <w14:schemeClr w14:val="tx1"/>
            </w14:solidFill>
          </w14:textFill>
        </w:rPr>
        <w:t>预付</w:t>
      </w:r>
      <w:r>
        <w:rPr>
          <w:rFonts w:ascii="宋体" w:hAnsi="宋体"/>
          <w:color w:val="000000" w:themeColor="text1"/>
          <w:szCs w:val="21"/>
          <w:highlight w:val="none"/>
          <w:u w:val="single"/>
          <w14:textFill>
            <w14:solidFill>
              <w14:schemeClr w14:val="tx1"/>
            </w14:solidFill>
          </w14:textFill>
        </w:rPr>
        <w:t>款。</w:t>
      </w:r>
    </w:p>
    <w:p w14:paraId="657D2BC2">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安全及文明施工措施费开工前一次性支付100%，即          元。施工单位应当确保安全防护、文明施工措施费专款专用，不得挪用安全防护、文明施工措施费。在财务管理中应单独核算列出安全防护、文明施工措施费用。</w:t>
      </w:r>
    </w:p>
    <w:p w14:paraId="0E0499C8">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预付款支付期限：</w:t>
      </w:r>
      <w:r>
        <w:rPr>
          <w:rFonts w:hint="eastAsia" w:ascii="宋体" w:hAnsi="宋体"/>
          <w:color w:val="000000" w:themeColor="text1"/>
          <w:szCs w:val="21"/>
          <w:highlight w:val="none"/>
          <w:u w:val="single"/>
          <w14:textFill>
            <w14:solidFill>
              <w14:schemeClr w14:val="tx1"/>
            </w14:solidFill>
          </w14:textFill>
        </w:rPr>
        <w:t>合同签订后7个工作日内或不迟于约定的开工日期前7天、待承包人进场后</w:t>
      </w:r>
      <w:r>
        <w:rPr>
          <w:rFonts w:ascii="宋体" w:hAnsi="宋体"/>
          <w:color w:val="000000" w:themeColor="text1"/>
          <w:szCs w:val="21"/>
          <w:highlight w:val="none"/>
          <w14:textFill>
            <w14:solidFill>
              <w14:schemeClr w14:val="tx1"/>
            </w14:solidFill>
          </w14:textFill>
        </w:rPr>
        <w:t>。</w:t>
      </w:r>
    </w:p>
    <w:p w14:paraId="618C3B23">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预付款扣回的方式：</w:t>
      </w:r>
      <w:r>
        <w:rPr>
          <w:rFonts w:hint="eastAsia" w:ascii="宋体" w:hAnsi="宋体"/>
          <w:color w:val="000000" w:themeColor="text1"/>
          <w:szCs w:val="21"/>
          <w:highlight w:val="none"/>
          <w:u w:val="single"/>
          <w14:textFill>
            <w14:solidFill>
              <w14:schemeClr w14:val="tx1"/>
            </w14:solidFill>
          </w14:textFill>
        </w:rPr>
        <w:t>开工后即从进度款中扣回工程预付款，直至扣完为止。</w:t>
      </w:r>
    </w:p>
    <w:p w14:paraId="5BC5915E">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12.2.2 预付款担保</w:t>
      </w:r>
    </w:p>
    <w:p w14:paraId="4566B351">
      <w:pPr>
        <w:spacing w:line="356" w:lineRule="auto"/>
        <w:ind w:firstLine="420" w:firstLineChars="200"/>
        <w:jc w:val="left"/>
        <w:rPr>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承包人提交预付款担保的</w:t>
      </w:r>
      <w:r>
        <w:rPr>
          <w:rFonts w:hint="eastAsia" w:ascii="宋体" w:hAnsi="宋体"/>
          <w:color w:val="000000" w:themeColor="text1"/>
          <w:szCs w:val="21"/>
          <w:highlight w:val="none"/>
          <w14:textFill>
            <w14:solidFill>
              <w14:schemeClr w14:val="tx1"/>
            </w14:solidFill>
          </w14:textFill>
        </w:rPr>
        <w:t>期限及比例</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w:t>
      </w:r>
    </w:p>
    <w:p w14:paraId="0FFA010C">
      <w:pPr>
        <w:tabs>
          <w:tab w:val="left" w:pos="3686"/>
        </w:tabs>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担保时效：</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0506DBF1">
      <w:pPr>
        <w:tabs>
          <w:tab w:val="left" w:pos="3686"/>
        </w:tabs>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预付款担保的形式为：</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733050F7">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12.3 计量</w:t>
      </w:r>
    </w:p>
    <w:p w14:paraId="1F9EF836">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12.3.1 计量原则</w:t>
      </w:r>
    </w:p>
    <w:p w14:paraId="30A4F96C">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（1）工程量依据陕西测绘地理信息局既有住宅加装电梯项目（三期）首批7#楼3单元、30#楼2单元、29#楼5单元6单元项目各专业施工图及答疑回复；</w:t>
      </w:r>
    </w:p>
    <w:p w14:paraId="44017ADA">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（2）《关于批准发布《绿色生态小区建设评价标准》等7项陕西省工程建设标准的通告》陕建标发〔2025〕2号，《建设工程工程量清单计价标准》（DB 61/T5126-2025）、《房屋建筑与装饰工程工程量计算标准》（DB 61/T5129-2025）、《通用安装工程工程量计算标准》（DB 61/T5130-2025）；</w:t>
      </w:r>
    </w:p>
    <w:p w14:paraId="07D2D624">
      <w:pPr>
        <w:spacing w:line="356" w:lineRule="auto"/>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陕西省住房和城乡建设厅关于印发2025陕西省建设工程费用规则等计价依据的通知》（陕建管发〔2025〕10号），《陕西省建设工程费用规则》（2025）；《陕西省房屋建筑与装饰工程消耗量定额》（2025）、《陕西省通用安装工程消耗量定额》（2025）；与定额相配套使用的基价表《陕西省房屋建筑与装饰工程基价表》（2025）、《陕西省通用安装工程基价表》（2025）；《陕西省建设工程施工机械台班费用定额》（2025）、《陕西省建设工程施工仪器仪表台班费用定额》（2025）及其他相关的计价依据和办法；</w:t>
      </w:r>
    </w:p>
    <w:p w14:paraId="3E6DC77E">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（3）工程特点及常规施工方案，现行施工规范；</w:t>
      </w:r>
    </w:p>
    <w:p w14:paraId="148B1141">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（4）与建设工程项目有关的标准、规范、图集、技术资料；</w:t>
      </w:r>
    </w:p>
    <w:p w14:paraId="3621B458">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（5）图纸问题答疑回复；</w:t>
      </w:r>
    </w:p>
    <w:p w14:paraId="4610639E">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（6）主要材料价格参照2026年最新期《陕西工程造价信息》，结合市场价进行编制。</w:t>
      </w:r>
    </w:p>
    <w:p w14:paraId="7DCA8175">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12.3.2 计量周期</w:t>
      </w:r>
    </w:p>
    <w:p w14:paraId="5CD55645">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关于计量周期的约定：</w:t>
      </w:r>
      <w:r>
        <w:rPr>
          <w:rFonts w:hint="eastAsia" w:ascii="宋体" w:hAnsi="宋体"/>
          <w:color w:val="000000" w:themeColor="text1"/>
          <w:szCs w:val="21"/>
          <w:highlight w:val="none"/>
          <w:u w:val="single"/>
          <w14:textFill>
            <w14:solidFill>
              <w14:schemeClr w14:val="tx1"/>
            </w14:solidFill>
          </w14:textFill>
        </w:rPr>
        <w:t>按周计量</w:t>
      </w:r>
      <w:r>
        <w:rPr>
          <w:rFonts w:ascii="宋体" w:hAnsi="宋体"/>
          <w:color w:val="000000" w:themeColor="text1"/>
          <w:szCs w:val="21"/>
          <w:highlight w:val="none"/>
          <w14:textFill>
            <w14:solidFill>
              <w14:schemeClr w14:val="tx1"/>
            </w14:solidFill>
          </w14:textFill>
        </w:rPr>
        <w:t>。</w:t>
      </w:r>
    </w:p>
    <w:p w14:paraId="7F5B7D23">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12.3.3 单价合同的计量</w:t>
      </w:r>
    </w:p>
    <w:p w14:paraId="73DCB361">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关于单价合同计量的约定：</w:t>
      </w:r>
      <w:r>
        <w:rPr>
          <w:rFonts w:hint="eastAsia" w:ascii="宋体" w:hAnsi="宋体"/>
          <w:color w:val="000000" w:themeColor="text1"/>
          <w:szCs w:val="21"/>
          <w:highlight w:val="none"/>
          <w:u w:val="single"/>
          <w14:textFill>
            <w14:solidFill>
              <w14:schemeClr w14:val="tx1"/>
            </w14:solidFill>
          </w14:textFill>
        </w:rPr>
        <w:t>执行通用条款</w:t>
      </w:r>
      <w:r>
        <w:rPr>
          <w:rFonts w:ascii="宋体" w:hAnsi="宋体"/>
          <w:color w:val="000000" w:themeColor="text1"/>
          <w:szCs w:val="21"/>
          <w:highlight w:val="none"/>
          <w14:textFill>
            <w14:solidFill>
              <w14:schemeClr w14:val="tx1"/>
            </w14:solidFill>
          </w14:textFill>
        </w:rPr>
        <w:t>。</w:t>
      </w:r>
    </w:p>
    <w:p w14:paraId="74DA8041">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bookmarkStart w:id="958" w:name="_Toc303539163"/>
      <w:bookmarkStart w:id="959" w:name="_Toc296891039"/>
      <w:bookmarkStart w:id="960" w:name="_Toc296503211"/>
      <w:bookmarkStart w:id="961" w:name="_Toc296944550"/>
      <w:bookmarkStart w:id="962" w:name="_Toc297120511"/>
      <w:bookmarkStart w:id="963" w:name="_Toc297216215"/>
      <w:bookmarkStart w:id="964" w:name="_Toc296891251"/>
      <w:bookmarkStart w:id="965" w:name="_Toc296346712"/>
      <w:bookmarkStart w:id="966" w:name="_Toc297123556"/>
      <w:bookmarkStart w:id="967" w:name="_Toc296347210"/>
      <w:bookmarkStart w:id="968" w:name="_Toc300935006"/>
      <w:bookmarkStart w:id="969" w:name="_Toc292559921"/>
      <w:bookmarkStart w:id="970" w:name="_Toc297048397"/>
      <w:bookmarkStart w:id="971" w:name="_Toc292559416"/>
      <w:r>
        <w:rPr>
          <w:rFonts w:ascii="宋体" w:hAnsi="宋体"/>
          <w:color w:val="000000" w:themeColor="text1"/>
          <w:szCs w:val="21"/>
          <w:highlight w:val="none"/>
          <w14:textFill>
            <w14:solidFill>
              <w14:schemeClr w14:val="tx1"/>
            </w14:solidFill>
          </w14:textFill>
        </w:rPr>
        <w:t>12.4 工程进度款支付</w:t>
      </w:r>
    </w:p>
    <w:p w14:paraId="7D772CBB">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12.4.1 付款周期</w:t>
      </w:r>
    </w:p>
    <w:p w14:paraId="5FFBEA28">
      <w:pPr>
        <w:spacing w:line="356" w:lineRule="auto"/>
        <w:ind w:firstLine="420" w:firstLineChars="200"/>
        <w:rPr>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关于付款周期的约定：</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p w14:paraId="5E52F3D8">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（1）预付款支付比例或金额：本合同签订后承包人提供正规等额发票，发包人向承包人支付合同总价（扣除暂列金额、专业工程暂估价和安全文明施工措施费）20%的工程预付款，</w:t>
      </w:r>
      <w:r>
        <w:rPr>
          <w:rFonts w:ascii="宋体" w:hAnsi="宋体"/>
          <w:color w:val="000000" w:themeColor="text1"/>
          <w:szCs w:val="21"/>
          <w:highlight w:val="none"/>
          <w:u w:val="single"/>
          <w14:textFill>
            <w14:solidFill>
              <w14:schemeClr w14:val="tx1"/>
            </w14:solidFill>
          </w14:textFill>
        </w:rPr>
        <w:t>承包人不得将该</w:t>
      </w:r>
      <w:r>
        <w:rPr>
          <w:rFonts w:hint="eastAsia" w:ascii="宋体" w:hAnsi="宋体"/>
          <w:color w:val="000000" w:themeColor="text1"/>
          <w:szCs w:val="21"/>
          <w:highlight w:val="none"/>
          <w:u w:val="single"/>
          <w14:textFill>
            <w14:solidFill>
              <w14:schemeClr w14:val="tx1"/>
            </w14:solidFill>
          </w14:textFill>
        </w:rPr>
        <w:t>预付</w:t>
      </w:r>
      <w:r>
        <w:rPr>
          <w:rFonts w:ascii="宋体" w:hAnsi="宋体"/>
          <w:color w:val="000000" w:themeColor="text1"/>
          <w:szCs w:val="21"/>
          <w:highlight w:val="none"/>
          <w:u w:val="single"/>
          <w14:textFill>
            <w14:solidFill>
              <w14:schemeClr w14:val="tx1"/>
            </w14:solidFill>
          </w14:textFill>
        </w:rPr>
        <w:t>款用于与本工程无关的支付，</w:t>
      </w:r>
      <w:r>
        <w:rPr>
          <w:rFonts w:hint="eastAsia" w:ascii="宋体" w:hAnsi="宋体"/>
          <w:color w:val="000000" w:themeColor="text1"/>
          <w:szCs w:val="21"/>
          <w:highlight w:val="none"/>
          <w:u w:val="single"/>
          <w14:textFill>
            <w14:solidFill>
              <w14:schemeClr w14:val="tx1"/>
            </w14:solidFill>
          </w14:textFill>
        </w:rPr>
        <w:t>发包人有权</w:t>
      </w:r>
      <w:r>
        <w:rPr>
          <w:rFonts w:ascii="宋体" w:hAnsi="宋体"/>
          <w:color w:val="000000" w:themeColor="text1"/>
          <w:szCs w:val="21"/>
          <w:highlight w:val="none"/>
          <w:u w:val="single"/>
          <w14:textFill>
            <w14:solidFill>
              <w14:schemeClr w14:val="tx1"/>
            </w14:solidFill>
          </w14:textFill>
        </w:rPr>
        <w:t>监督承包人对该项费用的使用，如经查实承包人滥用工程</w:t>
      </w:r>
      <w:r>
        <w:rPr>
          <w:rFonts w:hint="eastAsia" w:ascii="宋体" w:hAnsi="宋体"/>
          <w:color w:val="000000" w:themeColor="text1"/>
          <w:szCs w:val="21"/>
          <w:highlight w:val="none"/>
          <w:u w:val="single"/>
          <w14:textFill>
            <w14:solidFill>
              <w14:schemeClr w14:val="tx1"/>
            </w14:solidFill>
          </w14:textFill>
        </w:rPr>
        <w:t>预付</w:t>
      </w:r>
      <w:r>
        <w:rPr>
          <w:rFonts w:ascii="宋体" w:hAnsi="宋体"/>
          <w:color w:val="000000" w:themeColor="text1"/>
          <w:szCs w:val="21"/>
          <w:highlight w:val="none"/>
          <w:u w:val="single"/>
          <w14:textFill>
            <w14:solidFill>
              <w14:schemeClr w14:val="tx1"/>
            </w14:solidFill>
          </w14:textFill>
        </w:rPr>
        <w:t>款，</w:t>
      </w:r>
      <w:r>
        <w:rPr>
          <w:rFonts w:hint="eastAsia" w:ascii="宋体" w:hAnsi="宋体"/>
          <w:color w:val="000000" w:themeColor="text1"/>
          <w:szCs w:val="21"/>
          <w:highlight w:val="none"/>
          <w:u w:val="single"/>
          <w14:textFill>
            <w14:solidFill>
              <w14:schemeClr w14:val="tx1"/>
            </w14:solidFill>
          </w14:textFill>
        </w:rPr>
        <w:t>发包人</w:t>
      </w:r>
      <w:r>
        <w:rPr>
          <w:rFonts w:ascii="宋体" w:hAnsi="宋体"/>
          <w:color w:val="000000" w:themeColor="text1"/>
          <w:szCs w:val="21"/>
          <w:highlight w:val="none"/>
          <w:u w:val="single"/>
          <w14:textFill>
            <w14:solidFill>
              <w14:schemeClr w14:val="tx1"/>
            </w14:solidFill>
          </w14:textFill>
        </w:rPr>
        <w:t>有权立即收回工程</w:t>
      </w:r>
      <w:r>
        <w:rPr>
          <w:rFonts w:hint="eastAsia" w:ascii="宋体" w:hAnsi="宋体"/>
          <w:color w:val="000000" w:themeColor="text1"/>
          <w:szCs w:val="21"/>
          <w:highlight w:val="none"/>
          <w:u w:val="single"/>
          <w14:textFill>
            <w14:solidFill>
              <w14:schemeClr w14:val="tx1"/>
            </w14:solidFill>
          </w14:textFill>
        </w:rPr>
        <w:t>预付</w:t>
      </w:r>
      <w:r>
        <w:rPr>
          <w:rFonts w:ascii="宋体" w:hAnsi="宋体"/>
          <w:color w:val="000000" w:themeColor="text1"/>
          <w:szCs w:val="21"/>
          <w:highlight w:val="none"/>
          <w:u w:val="single"/>
          <w14:textFill>
            <w14:solidFill>
              <w14:schemeClr w14:val="tx1"/>
            </w14:solidFill>
          </w14:textFill>
        </w:rPr>
        <w:t>款。</w:t>
      </w:r>
    </w:p>
    <w:p w14:paraId="2F619437">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2）本工程按施工进度阶段支付工程进度款，每阶段付款前5日承包人报送实际完成并经验收合格的工程量和进度款报表，发包人支付该阶段已完合格工程量的80%（抵扣预付款）；工程竣工验收合格后工程进度款付至合同价的85%。最终工程费用在工程竣工验收合格后、经发包人审计完成，并出具的正式审计报告为准，承包人向发包人缴纳审计结算价的3%作为工程质量保证金，剩余结算款项一次付清。</w:t>
      </w:r>
    </w:p>
    <w:p w14:paraId="4D7FC74A">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（3）在施工过程中出现的零用工，乙方以签证单形式递交甲方签字，人工价格为：大工280元每天，小工200元每天。</w:t>
      </w:r>
    </w:p>
    <w:p w14:paraId="3A0D3C66">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（4）承包人每次支付进度款前，承包人应按经发包人审核确认后的工程款全额开具增值税发票。</w:t>
      </w:r>
    </w:p>
    <w:p w14:paraId="28D2D8B7">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（5）支付方式为：银行转账、电汇或支票。</w:t>
      </w:r>
    </w:p>
    <w:p w14:paraId="3BD0BF25">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6）承包人应按照发包人要求尽快进行工程量与预算核对工作，否则发包人有权按照有利于发包人的原则进行定量定价。承包人应书面出具授权委派专人进行预算核对工作，若调整人员需经发包人同意批准，核对时间要求应按照发包人要求执行。</w:t>
      </w:r>
    </w:p>
    <w:p w14:paraId="5241C00A">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r>
        <w:rPr>
          <w:rFonts w:hint="eastAsia" w:ascii="黑体" w:hAnsi="黑体" w:cs="黑体"/>
          <w:color w:val="000000" w:themeColor="text1"/>
          <w:sz w:val="21"/>
          <w:szCs w:val="21"/>
          <w:highlight w:val="none"/>
          <w14:textFill>
            <w14:solidFill>
              <w14:schemeClr w14:val="tx1"/>
            </w14:solidFill>
          </w14:textFill>
        </w:rPr>
        <w:t>13. 验收和工程试车</w:t>
      </w:r>
      <w:bookmarkEnd w:id="941"/>
    </w:p>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p w14:paraId="3F71120E">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bookmarkStart w:id="972" w:name="_Toc296503223"/>
      <w:bookmarkStart w:id="973" w:name="_Toc297123565"/>
      <w:bookmarkStart w:id="974" w:name="_Toc297216224"/>
      <w:bookmarkStart w:id="975" w:name="_Toc296346724"/>
      <w:bookmarkStart w:id="976" w:name="_Toc297048409"/>
      <w:bookmarkStart w:id="977" w:name="_Toc296347222"/>
      <w:bookmarkStart w:id="978" w:name="_Toc292559428"/>
      <w:bookmarkStart w:id="979" w:name="_Toc300935016"/>
      <w:bookmarkStart w:id="980" w:name="_Toc296944562"/>
      <w:bookmarkStart w:id="981" w:name="_Toc296891051"/>
      <w:bookmarkStart w:id="982" w:name="_Toc296891263"/>
      <w:bookmarkStart w:id="983" w:name="_Toc303539173"/>
      <w:bookmarkStart w:id="984" w:name="_Toc304295596"/>
      <w:bookmarkStart w:id="985" w:name="_Toc297120523"/>
      <w:bookmarkStart w:id="986" w:name="_Toc292559933"/>
      <w:bookmarkStart w:id="987" w:name="_Toc312678056"/>
      <w:bookmarkStart w:id="988" w:name="_Toc267251471"/>
      <w:bookmarkStart w:id="989" w:name="_Toc267251475"/>
      <w:bookmarkStart w:id="990" w:name="_Toc267251473"/>
      <w:bookmarkStart w:id="991" w:name="_Toc267251476"/>
      <w:bookmarkStart w:id="992" w:name="_Toc267251472"/>
      <w:bookmarkStart w:id="993" w:name="_Toc267251474"/>
      <w:bookmarkStart w:id="994" w:name="_Toc267251470"/>
      <w:r>
        <w:rPr>
          <w:rFonts w:ascii="宋体" w:hAnsi="宋体"/>
          <w:color w:val="000000" w:themeColor="text1"/>
          <w:szCs w:val="21"/>
          <w:highlight w:val="none"/>
          <w14:textFill>
            <w14:solidFill>
              <w14:schemeClr w14:val="tx1"/>
            </w14:solidFill>
          </w14:textFill>
        </w:rPr>
        <w:t>13.2 竣工验收</w:t>
      </w:r>
    </w:p>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14:paraId="6FCE756E">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bookmarkStart w:id="995" w:name="_Toc280868704"/>
      <w:bookmarkStart w:id="996" w:name="_Toc280868705"/>
      <w:bookmarkStart w:id="997" w:name="_Toc280868706"/>
      <w:bookmarkStart w:id="998" w:name="_Toc280868707"/>
      <w:bookmarkStart w:id="999" w:name="_Toc280868708"/>
      <w:bookmarkStart w:id="1000" w:name="_Toc280868709"/>
      <w:r>
        <w:rPr>
          <w:rFonts w:ascii="宋体" w:hAnsi="宋体"/>
          <w:color w:val="000000" w:themeColor="text1"/>
          <w:szCs w:val="21"/>
          <w:highlight w:val="none"/>
          <w14:textFill>
            <w14:solidFill>
              <w14:schemeClr w14:val="tx1"/>
            </w14:solidFill>
          </w14:textFill>
        </w:rPr>
        <w:t>13.2.2竣工验收程序</w:t>
      </w:r>
    </w:p>
    <w:bookmarkEnd w:id="995"/>
    <w:p w14:paraId="5E7BEEB3">
      <w:pPr>
        <w:spacing w:line="356" w:lineRule="auto"/>
        <w:ind w:firstLine="420" w:firstLineChars="200"/>
        <w:jc w:val="left"/>
        <w:rPr>
          <w:color w:val="000000" w:themeColor="text1"/>
          <w:szCs w:val="21"/>
          <w:highlight w:val="none"/>
          <w:u w:val="singl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关于竣工验收程序的约定：</w:t>
      </w:r>
      <w:r>
        <w:rPr>
          <w:rFonts w:hint="eastAsia" w:ascii="宋体" w:hAnsi="宋体" w:cs="宋体"/>
          <w:color w:val="000000" w:themeColor="text1"/>
          <w:szCs w:val="21"/>
          <w:highlight w:val="none"/>
          <w:u w:val="single"/>
          <w14:textFill>
            <w14:solidFill>
              <w14:schemeClr w14:val="tx1"/>
            </w14:solidFill>
          </w14:textFill>
        </w:rPr>
        <w:t>承包人按国家、陕西省、西安市相关规定，完成验收后，进行工程竣工验收。</w:t>
      </w:r>
      <w:r>
        <w:rPr>
          <w:color w:val="000000" w:themeColor="text1"/>
          <w:szCs w:val="21"/>
          <w:highlight w:val="none"/>
          <w:u w:val="single"/>
          <w14:textFill>
            <w14:solidFill>
              <w14:schemeClr w14:val="tx1"/>
            </w14:solidFill>
          </w14:textFill>
        </w:rPr>
        <w:t>竣工验收后一个月内，</w:t>
      </w:r>
      <w:r>
        <w:rPr>
          <w:rFonts w:hint="eastAsia"/>
          <w:color w:val="000000" w:themeColor="text1"/>
          <w:szCs w:val="21"/>
          <w:highlight w:val="none"/>
          <w:u w:val="single"/>
          <w14:textFill>
            <w14:solidFill>
              <w14:schemeClr w14:val="tx1"/>
            </w14:solidFill>
          </w14:textFill>
        </w:rPr>
        <w:t>提交竣工图及完整资料文件四套。</w:t>
      </w:r>
    </w:p>
    <w:p w14:paraId="53813F0A">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发包人不按照本项约定组织竣工验收、颁发工程接收证书的违约金的计算方法：</w:t>
      </w:r>
      <w:r>
        <w:rPr>
          <w:rFonts w:hint="eastAsia" w:ascii="宋体" w:hAnsi="宋体"/>
          <w:color w:val="000000" w:themeColor="text1"/>
          <w:szCs w:val="21"/>
          <w:highlight w:val="none"/>
          <w:u w:val="single"/>
          <w14:textFill>
            <w14:solidFill>
              <w14:schemeClr w14:val="tx1"/>
            </w14:solidFill>
          </w14:textFill>
        </w:rPr>
        <w:t>无</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p>
    <w:bookmarkEnd w:id="996"/>
    <w:p w14:paraId="205C3FB2">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13.2.5移交、接收全部与部分工程</w:t>
      </w:r>
    </w:p>
    <w:bookmarkEnd w:id="997"/>
    <w:p w14:paraId="0E045A12">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承包人向发包人移交工程的期限：</w:t>
      </w:r>
      <w:r>
        <w:rPr>
          <w:rFonts w:ascii="宋体" w:hAnsi="宋体"/>
          <w:color w:val="000000" w:themeColor="text1"/>
          <w:kern w:val="0"/>
          <w:szCs w:val="21"/>
          <w:highlight w:val="none"/>
          <w:u w:val="single"/>
          <w14:textFill>
            <w14:solidFill>
              <w14:schemeClr w14:val="tx1"/>
            </w14:solidFill>
          </w14:textFill>
        </w:rPr>
        <w:t>颁发工程接收证书</w:t>
      </w:r>
      <w:r>
        <w:rPr>
          <w:rFonts w:hint="eastAsia" w:ascii="宋体" w:hAnsi="宋体"/>
          <w:color w:val="000000" w:themeColor="text1"/>
          <w:kern w:val="0"/>
          <w:szCs w:val="21"/>
          <w:highlight w:val="none"/>
          <w:u w:val="single"/>
          <w14:textFill>
            <w14:solidFill>
              <w14:schemeClr w14:val="tx1"/>
            </w14:solidFill>
          </w14:textFill>
        </w:rPr>
        <w:t>后7天内</w:t>
      </w:r>
      <w:r>
        <w:rPr>
          <w:rFonts w:hint="eastAsia" w:ascii="宋体" w:hAnsi="宋体"/>
          <w:color w:val="000000" w:themeColor="text1"/>
          <w:szCs w:val="21"/>
          <w:highlight w:val="none"/>
          <w14:textFill>
            <w14:solidFill>
              <w14:schemeClr w14:val="tx1"/>
            </w14:solidFill>
          </w14:textFill>
        </w:rPr>
        <w:t>。</w:t>
      </w:r>
    </w:p>
    <w:p w14:paraId="5800262D">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发包人未按本合同约定接收全部或部分工程的，违约金的计算方法为：</w:t>
      </w:r>
      <w:r>
        <w:rPr>
          <w:rFonts w:hint="eastAsia" w:ascii="宋体" w:hAnsi="宋体"/>
          <w:color w:val="000000" w:themeColor="text1"/>
          <w:szCs w:val="21"/>
          <w:highlight w:val="none"/>
          <w:u w:val="single"/>
          <w14:textFill>
            <w14:solidFill>
              <w14:schemeClr w14:val="tx1"/>
            </w14:solidFill>
          </w14:textFill>
        </w:rPr>
        <w:t>无</w:t>
      </w:r>
      <w:r>
        <w:rPr>
          <w:rFonts w:ascii="宋体" w:hAnsi="宋体"/>
          <w:color w:val="000000" w:themeColor="text1"/>
          <w:szCs w:val="21"/>
          <w:highlight w:val="none"/>
          <w14:textFill>
            <w14:solidFill>
              <w14:schemeClr w14:val="tx1"/>
            </w14:solidFill>
          </w14:textFill>
        </w:rPr>
        <w:t>。</w:t>
      </w:r>
    </w:p>
    <w:bookmarkEnd w:id="998"/>
    <w:p w14:paraId="18C56AAF">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承包人未按时移交工程的，违约金的计算方法为：</w:t>
      </w:r>
      <w:r>
        <w:rPr>
          <w:rFonts w:hint="eastAsia" w:ascii="宋体" w:hAnsi="宋体"/>
          <w:color w:val="000000" w:themeColor="text1"/>
          <w:szCs w:val="21"/>
          <w:highlight w:val="none"/>
          <w:u w:val="single"/>
          <w14:textFill>
            <w14:solidFill>
              <w14:schemeClr w14:val="tx1"/>
            </w14:solidFill>
          </w14:textFill>
        </w:rPr>
        <w:t>按专用条款7.5.2条执行</w:t>
      </w:r>
      <w:r>
        <w:rPr>
          <w:rFonts w:ascii="宋体" w:hAnsi="宋体"/>
          <w:color w:val="000000" w:themeColor="text1"/>
          <w:szCs w:val="21"/>
          <w:highlight w:val="none"/>
          <w14:textFill>
            <w14:solidFill>
              <w14:schemeClr w14:val="tx1"/>
            </w14:solidFill>
          </w14:textFill>
        </w:rPr>
        <w:t>。</w:t>
      </w:r>
    </w:p>
    <w:bookmarkEnd w:id="999"/>
    <w:p w14:paraId="689A8959">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13.6 竣工退场</w:t>
      </w:r>
    </w:p>
    <w:p w14:paraId="0B940A01">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13.6.1 竣工退场</w:t>
      </w:r>
    </w:p>
    <w:p w14:paraId="495086B4">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承包人完成竣工退场的期限：</w:t>
      </w:r>
      <w:r>
        <w:rPr>
          <w:rFonts w:ascii="宋体" w:hAnsi="宋体"/>
          <w:color w:val="000000" w:themeColor="text1"/>
          <w:szCs w:val="21"/>
          <w:highlight w:val="none"/>
          <w:u w:val="single"/>
          <w14:textFill>
            <w14:solidFill>
              <w14:schemeClr w14:val="tx1"/>
            </w14:solidFill>
          </w14:textFill>
        </w:rPr>
        <w:t>工程竣工移交后</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u w:val="single"/>
          <w14:textFill>
            <w14:solidFill>
              <w14:schemeClr w14:val="tx1"/>
            </w14:solidFill>
          </w14:textFill>
        </w:rPr>
        <w:t>以发包人书面指令为准</w:t>
      </w:r>
      <w:r>
        <w:rPr>
          <w:rFonts w:ascii="宋体" w:hAnsi="宋体"/>
          <w:color w:val="000000" w:themeColor="text1"/>
          <w:kern w:val="0"/>
          <w:szCs w:val="21"/>
          <w:highlight w:val="none"/>
          <w14:textFill>
            <w14:solidFill>
              <w14:schemeClr w14:val="tx1"/>
            </w14:solidFill>
          </w14:textFill>
        </w:rPr>
        <w:t>。</w:t>
      </w:r>
    </w:p>
    <w:p w14:paraId="314C8607">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1001" w:name="_Toc351203646"/>
      <w:r>
        <w:rPr>
          <w:rFonts w:hint="eastAsia" w:ascii="黑体" w:hAnsi="黑体" w:cs="黑体"/>
          <w:color w:val="000000" w:themeColor="text1"/>
          <w:sz w:val="21"/>
          <w:szCs w:val="21"/>
          <w:highlight w:val="none"/>
          <w14:textFill>
            <w14:solidFill>
              <w14:schemeClr w14:val="tx1"/>
            </w14:solidFill>
          </w14:textFill>
        </w:rPr>
        <w:t>14. 竣工结算</w:t>
      </w:r>
      <w:bookmarkEnd w:id="1001"/>
    </w:p>
    <w:p w14:paraId="5FBE7DD4">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14.1工程竣工验收合格、出具验收证书后30 天内，承包人向发包人递交全部工程结算报告及完整的结算资料报送发包人，发包人应在30日内对所送结算资料的完整性、正确性审核无误并对价款进行初审后报送审计部门，审计部门自接收完整结算资料之日起 90 天内(不包括因发生异议双方咨询相关主管部门的时间)审核完毕，或提出审核意见；并按照本专用条款中第12条约定支付结算款；若承包人未按规定将已完工程整体移交给发包人，则发包人有权拒绝结算。</w:t>
      </w:r>
    </w:p>
    <w:p w14:paraId="29EE0C34">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14.2承包人在竣工后 90 天内不报送结算，发包人有权要求承包人承担违约责任。</w:t>
      </w:r>
    </w:p>
    <w:p w14:paraId="2C56E6BB">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14.3承包人应认真编制工程结算书，不得高估冒算，为了避免给发包人造成不必要的额外损失，工程审计的审减率超出5%时，将按发包人与审计单位签订合同规定，超额部分的基础审计费和审减审计费由承包人向审计单位另行支付。（注：审减率=（送审额-审定额）/送审额*100%，此项是为了约束承包方夸大的上报项目送审金额而给发包人带来不必要的损失。）</w:t>
      </w:r>
    </w:p>
    <w:bookmarkEnd w:id="988"/>
    <w:bookmarkEnd w:id="989"/>
    <w:bookmarkEnd w:id="990"/>
    <w:bookmarkEnd w:id="991"/>
    <w:bookmarkEnd w:id="992"/>
    <w:bookmarkEnd w:id="993"/>
    <w:bookmarkEnd w:id="994"/>
    <w:bookmarkEnd w:id="1000"/>
    <w:p w14:paraId="1CDE647C">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1002" w:name="_Toc351203647"/>
      <w:bookmarkStart w:id="1003" w:name="_Toc267251482"/>
      <w:bookmarkStart w:id="1004" w:name="_Toc267251490"/>
      <w:bookmarkStart w:id="1005" w:name="_Toc267251483"/>
      <w:bookmarkStart w:id="1006" w:name="_Toc267251489"/>
      <w:bookmarkStart w:id="1007" w:name="_Toc267251484"/>
      <w:bookmarkStart w:id="1008" w:name="_Toc267251486"/>
      <w:bookmarkStart w:id="1009" w:name="_Toc267251485"/>
      <w:bookmarkStart w:id="1010" w:name="_Toc267251488"/>
      <w:bookmarkStart w:id="1011" w:name="_Toc267251496"/>
      <w:bookmarkStart w:id="1012" w:name="_Toc267251493"/>
      <w:bookmarkStart w:id="1013" w:name="_Toc267251502"/>
      <w:bookmarkStart w:id="1014" w:name="_Toc267251491"/>
      <w:bookmarkStart w:id="1015" w:name="_Toc267251499"/>
      <w:bookmarkStart w:id="1016" w:name="_Toc267251501"/>
      <w:bookmarkStart w:id="1017" w:name="_Toc267251495"/>
      <w:bookmarkStart w:id="1018" w:name="_Toc267251492"/>
      <w:bookmarkStart w:id="1019" w:name="_Toc267251497"/>
      <w:bookmarkStart w:id="1020" w:name="_Toc267251503"/>
      <w:bookmarkStart w:id="1021" w:name="_Toc267251494"/>
      <w:bookmarkStart w:id="1022" w:name="_Toc267251498"/>
      <w:bookmarkStart w:id="1023" w:name="_Toc267251507"/>
      <w:bookmarkStart w:id="1024" w:name="_Toc267251504"/>
      <w:bookmarkStart w:id="1025" w:name="_Toc267251506"/>
      <w:bookmarkStart w:id="1026" w:name="_Toc267251508"/>
      <w:bookmarkStart w:id="1027" w:name="_Toc267251515"/>
      <w:bookmarkStart w:id="1028" w:name="_Toc267251511"/>
      <w:bookmarkStart w:id="1029" w:name="_Toc267251510"/>
      <w:bookmarkStart w:id="1030" w:name="_Toc267251509"/>
      <w:bookmarkStart w:id="1031" w:name="_Toc267251513"/>
      <w:bookmarkStart w:id="1032" w:name="_Toc267251514"/>
      <w:r>
        <w:rPr>
          <w:rFonts w:hint="eastAsia" w:ascii="黑体" w:hAnsi="黑体" w:cs="黑体"/>
          <w:color w:val="000000" w:themeColor="text1"/>
          <w:sz w:val="21"/>
          <w:szCs w:val="21"/>
          <w:highlight w:val="none"/>
          <w14:textFill>
            <w14:solidFill>
              <w14:schemeClr w14:val="tx1"/>
            </w14:solidFill>
          </w14:textFill>
        </w:rPr>
        <w:t>15. 缺陷责任期与保修</w:t>
      </w:r>
      <w:bookmarkEnd w:id="1002"/>
    </w:p>
    <w:bookmarkEnd w:id="1003"/>
    <w:bookmarkEnd w:id="1004"/>
    <w:bookmarkEnd w:id="1005"/>
    <w:bookmarkEnd w:id="1006"/>
    <w:bookmarkEnd w:id="1007"/>
    <w:bookmarkEnd w:id="1008"/>
    <w:bookmarkEnd w:id="1009"/>
    <w:bookmarkEnd w:id="1010"/>
    <w:p w14:paraId="1AC1A6A4">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bookmarkStart w:id="1033" w:name="_Toc351203648"/>
      <w:bookmarkStart w:id="1034" w:name="_Toc280868717"/>
      <w:bookmarkStart w:id="1035" w:name="_Toc280868718"/>
      <w:r>
        <w:rPr>
          <w:rFonts w:ascii="宋体" w:hAnsi="宋体"/>
          <w:color w:val="000000" w:themeColor="text1"/>
          <w:szCs w:val="21"/>
          <w:highlight w:val="none"/>
          <w14:textFill>
            <w14:solidFill>
              <w14:schemeClr w14:val="tx1"/>
            </w14:solidFill>
          </w14:textFill>
        </w:rPr>
        <w:t>15.2缺陷责任期</w:t>
      </w:r>
    </w:p>
    <w:p w14:paraId="1222A0E5">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缺陷责任期的具体期限：</w:t>
      </w:r>
      <w:r>
        <w:rPr>
          <w:rFonts w:hint="eastAsia" w:ascii="宋体" w:hAnsi="宋体"/>
          <w:color w:val="000000" w:themeColor="text1"/>
          <w:szCs w:val="21"/>
          <w:highlight w:val="none"/>
          <w:u w:val="single"/>
          <w14:textFill>
            <w14:solidFill>
              <w14:schemeClr w14:val="tx1"/>
            </w14:solidFill>
          </w14:textFill>
        </w:rPr>
        <w:t>2年</w:t>
      </w:r>
      <w:r>
        <w:rPr>
          <w:rFonts w:ascii="宋体" w:hAnsi="宋体"/>
          <w:color w:val="000000" w:themeColor="text1"/>
          <w:szCs w:val="21"/>
          <w:highlight w:val="none"/>
          <w14:textFill>
            <w14:solidFill>
              <w14:schemeClr w14:val="tx1"/>
            </w14:solidFill>
          </w14:textFill>
        </w:rPr>
        <w:t>。</w:t>
      </w:r>
    </w:p>
    <w:p w14:paraId="55833753">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15.3 质量保证金</w:t>
      </w:r>
    </w:p>
    <w:p w14:paraId="25EE4598">
      <w:pPr>
        <w:spacing w:line="356" w:lineRule="auto"/>
        <w:ind w:firstLine="420" w:firstLineChars="200"/>
        <w:jc w:val="lef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关于</w:t>
      </w:r>
      <w:r>
        <w:rPr>
          <w:rFonts w:hint="eastAsia" w:ascii="宋体" w:hAnsi="宋体"/>
          <w:color w:val="000000" w:themeColor="text1"/>
          <w:kern w:val="0"/>
          <w:szCs w:val="21"/>
          <w:highlight w:val="none"/>
          <w14:textFill>
            <w14:solidFill>
              <w14:schemeClr w14:val="tx1"/>
            </w14:solidFill>
          </w14:textFill>
        </w:rPr>
        <w:t>是否</w:t>
      </w:r>
      <w:r>
        <w:rPr>
          <w:rFonts w:hint="eastAsia" w:ascii="宋体" w:hAnsi="宋体"/>
          <w:color w:val="000000" w:themeColor="text1"/>
          <w:szCs w:val="21"/>
          <w:highlight w:val="none"/>
          <w14:textFill>
            <w14:solidFill>
              <w14:schemeClr w14:val="tx1"/>
            </w14:solidFill>
          </w14:textFill>
        </w:rPr>
        <w:t>扣留质量保证金的约定：</w:t>
      </w:r>
      <w:r>
        <w:rPr>
          <w:rFonts w:hint="eastAsia" w:ascii="宋体" w:hAnsi="宋体"/>
          <w:color w:val="000000" w:themeColor="text1"/>
          <w:szCs w:val="21"/>
          <w:highlight w:val="none"/>
          <w:u w:val="single"/>
          <w14:textFill>
            <w14:solidFill>
              <w14:schemeClr w14:val="tx1"/>
            </w14:solidFill>
          </w14:textFill>
        </w:rPr>
        <w:t>承包人向发包人缴纳审计的结算价3%作为工程质量保证金</w:t>
      </w:r>
      <w:r>
        <w:rPr>
          <w:rFonts w:hint="eastAsia"/>
          <w:color w:val="000000" w:themeColor="text1"/>
          <w:szCs w:val="21"/>
          <w:highlight w:val="none"/>
          <w:u w:val="single"/>
          <w14:textFill>
            <w14:solidFill>
              <w14:schemeClr w14:val="tx1"/>
            </w14:solidFill>
          </w14:textFill>
        </w:rPr>
        <w:t>，质保函可采用保函或支票等方式。待项目质保期结束后，向乙方退还质保函。</w:t>
      </w:r>
    </w:p>
    <w:p w14:paraId="40F094E9">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15.4保修</w:t>
      </w:r>
    </w:p>
    <w:p w14:paraId="688D8D6D">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15.4.1 保修责任</w:t>
      </w:r>
    </w:p>
    <w:p w14:paraId="1977863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工程保修期为：</w:t>
      </w:r>
      <w:r>
        <w:rPr>
          <w:rFonts w:hint="eastAsia" w:ascii="宋体" w:hAnsi="宋体"/>
          <w:color w:val="000000" w:themeColor="text1"/>
          <w:szCs w:val="21"/>
          <w:highlight w:val="none"/>
          <w:u w:val="single"/>
          <w14:textFill>
            <w14:solidFill>
              <w14:schemeClr w14:val="tx1"/>
            </w14:solidFill>
          </w14:textFill>
        </w:rPr>
        <w:t>2年</w:t>
      </w:r>
      <w:r>
        <w:rPr>
          <w:rFonts w:ascii="宋体" w:hAnsi="宋体"/>
          <w:color w:val="000000" w:themeColor="text1"/>
          <w:szCs w:val="21"/>
          <w:highlight w:val="none"/>
          <w14:textFill>
            <w14:solidFill>
              <w14:schemeClr w14:val="tx1"/>
            </w14:solidFill>
          </w14:textFill>
        </w:rPr>
        <w:t>。</w:t>
      </w:r>
    </w:p>
    <w:p w14:paraId="19638F0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部分工程的质量保修期根据《建设工程质量管理条例》及有关规定执行。</w:t>
      </w:r>
    </w:p>
    <w:p w14:paraId="1B727368">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15.4.3 修复通知</w:t>
      </w:r>
    </w:p>
    <w:p w14:paraId="10C2264A">
      <w:pPr>
        <w:spacing w:line="356" w:lineRule="auto"/>
        <w:ind w:firstLine="420" w:firstLineChars="200"/>
        <w:rPr>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承包人收到保修通知并到达工程现场的合理时间：</w:t>
      </w:r>
      <w:r>
        <w:rPr>
          <w:rFonts w:hint="eastAsia" w:ascii="宋体" w:hAnsi="宋体"/>
          <w:color w:val="000000" w:themeColor="text1"/>
          <w:szCs w:val="21"/>
          <w:highlight w:val="none"/>
          <w:u w:val="single"/>
          <w14:textFill>
            <w14:solidFill>
              <w14:schemeClr w14:val="tx1"/>
            </w14:solidFill>
          </w14:textFill>
        </w:rPr>
        <w:t>响应时间为正常工作日2小时内答复，12小时内到现场处理。节假日及法定休息日6小时内答复，24小时内到现场处理</w:t>
      </w:r>
      <w:r>
        <w:rPr>
          <w:rFonts w:ascii="宋体" w:hAnsi="宋体"/>
          <w:color w:val="000000" w:themeColor="text1"/>
          <w:szCs w:val="21"/>
          <w:highlight w:val="none"/>
          <w:u w:val="singl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如果承包人未能及时响应，发包人有权另行委托第三方进行修复，并按照发包人与第三方商定修复费用在保证金中扣除，承包人不得有任何异议，该费用超出保证金额的，发包人可向承包人进行索赔。</w:t>
      </w:r>
    </w:p>
    <w:p w14:paraId="03439FA1">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r>
        <w:rPr>
          <w:rFonts w:hint="eastAsia" w:ascii="黑体" w:hAnsi="黑体" w:cs="黑体"/>
          <w:color w:val="000000" w:themeColor="text1"/>
          <w:sz w:val="21"/>
          <w:szCs w:val="21"/>
          <w:highlight w:val="none"/>
          <w14:textFill>
            <w14:solidFill>
              <w14:schemeClr w14:val="tx1"/>
            </w14:solidFill>
          </w14:textFill>
        </w:rPr>
        <w:t>16. 违约</w:t>
      </w:r>
      <w:bookmarkEnd w:id="1033"/>
    </w:p>
    <w:p w14:paraId="544FA68C">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16.1 发包人违约</w:t>
      </w:r>
    </w:p>
    <w:p w14:paraId="0EB53882">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16.1.1发包人违约的情形</w:t>
      </w:r>
    </w:p>
    <w:p w14:paraId="59459011">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发包人违约的其他情形：</w:t>
      </w:r>
      <w:r>
        <w:rPr>
          <w:rFonts w:hint="eastAsia" w:ascii="宋体" w:hAnsi="宋体"/>
          <w:color w:val="000000" w:themeColor="text1"/>
          <w:kern w:val="0"/>
          <w:szCs w:val="21"/>
          <w:highlight w:val="none"/>
          <w:u w:val="single"/>
          <w14:textFill>
            <w14:solidFill>
              <w14:schemeClr w14:val="tx1"/>
            </w14:solidFill>
          </w14:textFill>
        </w:rPr>
        <w:t>/</w:t>
      </w:r>
      <w:r>
        <w:rPr>
          <w:rFonts w:ascii="宋体" w:hAnsi="宋体"/>
          <w:color w:val="000000" w:themeColor="text1"/>
          <w:kern w:val="0"/>
          <w:szCs w:val="21"/>
          <w:highlight w:val="none"/>
          <w14:textFill>
            <w14:solidFill>
              <w14:schemeClr w14:val="tx1"/>
            </w14:solidFill>
          </w14:textFill>
        </w:rPr>
        <w:t>。</w:t>
      </w:r>
    </w:p>
    <w:p w14:paraId="5CB4C8E5">
      <w:pPr>
        <w:spacing w:line="356" w:lineRule="auto"/>
        <w:ind w:left="1050" w:hanging="1050" w:hangingChars="5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 xml:space="preserve">    16.1.2 发包人违约的责任</w:t>
      </w:r>
    </w:p>
    <w:p w14:paraId="1E8BE88A">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发包人违约责任的承担方式和计算方法：</w:t>
      </w:r>
    </w:p>
    <w:p w14:paraId="7864A675">
      <w:pPr>
        <w:spacing w:line="356" w:lineRule="auto"/>
        <w:ind w:firstLine="420" w:firstLineChars="200"/>
        <w:jc w:val="left"/>
        <w:rPr>
          <w:rFonts w:hint="eastAsia" w:ascii="宋体" w:hAnsi="宋体"/>
          <w:color w:val="000000" w:themeColor="text1"/>
          <w:kern w:val="0"/>
          <w:szCs w:val="21"/>
          <w:highlight w:val="none"/>
          <w:u w:val="singl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（1）因发包人原因未能在计划开工日期前</w:t>
      </w:r>
      <w:r>
        <w:rPr>
          <w:rFonts w:hint="eastAsia" w:ascii="宋体" w:hAnsi="宋体"/>
          <w:color w:val="000000" w:themeColor="text1"/>
          <w:kern w:val="0"/>
          <w:szCs w:val="21"/>
          <w:highlight w:val="none"/>
          <w14:textFill>
            <w14:solidFill>
              <w14:schemeClr w14:val="tx1"/>
            </w14:solidFill>
          </w14:textFill>
        </w:rPr>
        <w:t>15</w:t>
      </w:r>
      <w:r>
        <w:rPr>
          <w:rFonts w:ascii="宋体" w:hAnsi="宋体"/>
          <w:color w:val="000000" w:themeColor="text1"/>
          <w:kern w:val="0"/>
          <w:szCs w:val="21"/>
          <w:highlight w:val="none"/>
          <w14:textFill>
            <w14:solidFill>
              <w14:schemeClr w14:val="tx1"/>
            </w14:solidFill>
          </w14:textFill>
        </w:rPr>
        <w:t>天内下达开工通知的违约责任：</w:t>
      </w:r>
      <w:r>
        <w:rPr>
          <w:rFonts w:hint="eastAsia" w:ascii="宋体" w:hAnsi="宋体"/>
          <w:color w:val="000000" w:themeColor="text1"/>
          <w:kern w:val="0"/>
          <w:szCs w:val="21"/>
          <w:highlight w:val="none"/>
          <w:u w:val="single"/>
          <w14:textFill>
            <w14:solidFill>
              <w14:schemeClr w14:val="tx1"/>
            </w14:solidFill>
          </w14:textFill>
        </w:rPr>
        <w:t>工期顺延</w:t>
      </w:r>
      <w:r>
        <w:rPr>
          <w:rFonts w:ascii="宋体" w:hAnsi="宋体"/>
          <w:color w:val="000000" w:themeColor="text1"/>
          <w:kern w:val="0"/>
          <w:szCs w:val="21"/>
          <w:highlight w:val="none"/>
          <w14:textFill>
            <w14:solidFill>
              <w14:schemeClr w14:val="tx1"/>
            </w14:solidFill>
          </w14:textFill>
        </w:rPr>
        <w:t>。</w:t>
      </w:r>
    </w:p>
    <w:p w14:paraId="4852DCC6">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（2）因发包人原因未能按合同约定支付合同价款的</w:t>
      </w:r>
      <w:r>
        <w:rPr>
          <w:rFonts w:hint="eastAsia" w:ascii="宋体" w:hAnsi="宋体"/>
          <w:color w:val="000000" w:themeColor="text1"/>
          <w:kern w:val="0"/>
          <w:szCs w:val="21"/>
          <w:highlight w:val="none"/>
          <w14:textFill>
            <w14:solidFill>
              <w14:schemeClr w14:val="tx1"/>
            </w14:solidFill>
          </w14:textFill>
        </w:rPr>
        <w:t>承担</w:t>
      </w:r>
      <w:r>
        <w:rPr>
          <w:rFonts w:ascii="宋体" w:hAnsi="宋体"/>
          <w:color w:val="000000" w:themeColor="text1"/>
          <w:kern w:val="0"/>
          <w:szCs w:val="21"/>
          <w:highlight w:val="none"/>
          <w14:textFill>
            <w14:solidFill>
              <w14:schemeClr w14:val="tx1"/>
            </w14:solidFill>
          </w14:textFill>
        </w:rPr>
        <w:t>违约责任。</w:t>
      </w:r>
    </w:p>
    <w:p w14:paraId="2DEC84F4">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（3）发包人违反第10.1款</w:t>
      </w:r>
      <w:r>
        <w:rPr>
          <w:rFonts w:hint="eastAsia" w:ascii="宋体" w:hAnsi="宋体"/>
          <w:color w:val="000000" w:themeColor="text1"/>
          <w:kern w:val="0"/>
          <w:szCs w:val="21"/>
          <w:highlight w:val="none"/>
          <w14:textFill>
            <w14:solidFill>
              <w14:schemeClr w14:val="tx1"/>
            </w14:solidFill>
          </w14:textFill>
        </w:rPr>
        <w:t>〔</w:t>
      </w:r>
      <w:r>
        <w:rPr>
          <w:rFonts w:ascii="宋体" w:hAnsi="宋体"/>
          <w:color w:val="000000" w:themeColor="text1"/>
          <w:kern w:val="0"/>
          <w:szCs w:val="21"/>
          <w:highlight w:val="none"/>
          <w14:textFill>
            <w14:solidFill>
              <w14:schemeClr w14:val="tx1"/>
            </w14:solidFill>
          </w14:textFill>
        </w:rPr>
        <w:t>变更的范围</w:t>
      </w:r>
      <w:r>
        <w:rPr>
          <w:rFonts w:hint="eastAsia" w:ascii="宋体" w:hAnsi="宋体"/>
          <w:color w:val="000000" w:themeColor="text1"/>
          <w:kern w:val="0"/>
          <w:szCs w:val="21"/>
          <w:highlight w:val="none"/>
          <w14:textFill>
            <w14:solidFill>
              <w14:schemeClr w14:val="tx1"/>
            </w14:solidFill>
          </w14:textFill>
        </w:rPr>
        <w:t>〕</w:t>
      </w:r>
      <w:r>
        <w:rPr>
          <w:rFonts w:ascii="宋体" w:hAnsi="宋体"/>
          <w:color w:val="000000" w:themeColor="text1"/>
          <w:kern w:val="0"/>
          <w:szCs w:val="21"/>
          <w:highlight w:val="none"/>
          <w14:textFill>
            <w14:solidFill>
              <w14:schemeClr w14:val="tx1"/>
            </w14:solidFill>
          </w14:textFill>
        </w:rPr>
        <w:t>第（2）项约定，自行实施被取消的工作或转由他人实施的违约责任：</w:t>
      </w:r>
      <w:r>
        <w:rPr>
          <w:rFonts w:hint="eastAsia" w:ascii="宋体" w:hAnsi="宋体"/>
          <w:color w:val="000000" w:themeColor="text1"/>
          <w:kern w:val="0"/>
          <w:szCs w:val="21"/>
          <w:highlight w:val="none"/>
          <w:u w:val="single"/>
          <w14:textFill>
            <w14:solidFill>
              <w14:schemeClr w14:val="tx1"/>
            </w14:solidFill>
          </w14:textFill>
        </w:rPr>
        <w:t>双方另行协商</w:t>
      </w:r>
      <w:r>
        <w:rPr>
          <w:rFonts w:ascii="宋体" w:hAnsi="宋体"/>
          <w:color w:val="000000" w:themeColor="text1"/>
          <w:kern w:val="0"/>
          <w:szCs w:val="21"/>
          <w:highlight w:val="none"/>
          <w14:textFill>
            <w14:solidFill>
              <w14:schemeClr w14:val="tx1"/>
            </w14:solidFill>
          </w14:textFill>
        </w:rPr>
        <w:t>。</w:t>
      </w:r>
    </w:p>
    <w:p w14:paraId="65B54321">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4</w:t>
      </w:r>
      <w:r>
        <w:rPr>
          <w:rFonts w:ascii="宋体" w:hAnsi="宋体"/>
          <w:color w:val="000000" w:themeColor="text1"/>
          <w:kern w:val="0"/>
          <w:szCs w:val="21"/>
          <w:highlight w:val="none"/>
          <w14:textFill>
            <w14:solidFill>
              <w14:schemeClr w14:val="tx1"/>
            </w14:solidFill>
          </w14:textFill>
        </w:rPr>
        <w:t>）因发包人违反合同约定造成暂停施工的违约责任：</w:t>
      </w:r>
      <w:r>
        <w:rPr>
          <w:rFonts w:hint="eastAsia" w:ascii="宋体" w:hAnsi="宋体"/>
          <w:color w:val="000000" w:themeColor="text1"/>
          <w:kern w:val="0"/>
          <w:szCs w:val="21"/>
          <w:highlight w:val="none"/>
          <w:u w:val="single"/>
          <w14:textFill>
            <w14:solidFill>
              <w14:schemeClr w14:val="tx1"/>
            </w14:solidFill>
          </w14:textFill>
        </w:rPr>
        <w:t>若影响工期的，工期予以顺延</w:t>
      </w:r>
      <w:r>
        <w:rPr>
          <w:rFonts w:ascii="宋体" w:hAnsi="宋体"/>
          <w:color w:val="000000" w:themeColor="text1"/>
          <w:kern w:val="0"/>
          <w:szCs w:val="21"/>
          <w:highlight w:val="none"/>
          <w14:textFill>
            <w14:solidFill>
              <w14:schemeClr w14:val="tx1"/>
            </w14:solidFill>
          </w14:textFill>
        </w:rPr>
        <w:t>。</w:t>
      </w:r>
    </w:p>
    <w:p w14:paraId="75DD358E">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5</w:t>
      </w:r>
      <w:r>
        <w:rPr>
          <w:rFonts w:ascii="宋体" w:hAnsi="宋体"/>
          <w:color w:val="000000" w:themeColor="text1"/>
          <w:kern w:val="0"/>
          <w:szCs w:val="21"/>
          <w:highlight w:val="none"/>
          <w14:textFill>
            <w14:solidFill>
              <w14:schemeClr w14:val="tx1"/>
            </w14:solidFill>
          </w14:textFill>
        </w:rPr>
        <w:t>）发包人无正当理由没有在约定期限内发出复工指示，导致承包人无法复工的违约责任：</w:t>
      </w:r>
      <w:r>
        <w:rPr>
          <w:rFonts w:hint="eastAsia" w:ascii="宋体" w:hAnsi="宋体"/>
          <w:color w:val="000000" w:themeColor="text1"/>
          <w:kern w:val="0"/>
          <w:szCs w:val="21"/>
          <w:highlight w:val="none"/>
          <w:u w:val="single"/>
          <w14:textFill>
            <w14:solidFill>
              <w14:schemeClr w14:val="tx1"/>
            </w14:solidFill>
          </w14:textFill>
        </w:rPr>
        <w:t>若影响工期的，工期予以顺延</w:t>
      </w:r>
      <w:r>
        <w:rPr>
          <w:rFonts w:ascii="宋体" w:hAnsi="宋体"/>
          <w:color w:val="000000" w:themeColor="text1"/>
          <w:kern w:val="0"/>
          <w:szCs w:val="21"/>
          <w:highlight w:val="none"/>
          <w14:textFill>
            <w14:solidFill>
              <w14:schemeClr w14:val="tx1"/>
            </w14:solidFill>
          </w14:textFill>
        </w:rPr>
        <w:t>。</w:t>
      </w:r>
    </w:p>
    <w:p w14:paraId="425C905B">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（6）</w:t>
      </w:r>
      <w:r>
        <w:rPr>
          <w:rFonts w:hint="eastAsia" w:ascii="宋体" w:hAnsi="宋体"/>
          <w:color w:val="000000" w:themeColor="text1"/>
          <w:kern w:val="0"/>
          <w:szCs w:val="21"/>
          <w:highlight w:val="none"/>
          <w:lang w:val="zh-CN"/>
          <w14:textFill>
            <w14:solidFill>
              <w14:schemeClr w14:val="tx1"/>
            </w14:solidFill>
          </w14:textFill>
        </w:rPr>
        <w:t>发包人不履行合同义务或不按合同约定履行义务的其他情况。</w:t>
      </w:r>
    </w:p>
    <w:p w14:paraId="741AD1FD">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发包人承担违约责任，并赔偿因其违约给承包人造成的经济损失，顺延延误的工期。双方在专用条款内约定发包人赔偿承包人损失的计算方法或者发包人应当支付违约金的数额和计算方法。</w:t>
      </w:r>
    </w:p>
    <w:p w14:paraId="43F6DC6F">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16.1.3 因发包人违约解除合同</w:t>
      </w:r>
    </w:p>
    <w:p w14:paraId="70735C2C">
      <w:pPr>
        <w:autoSpaceDE w:val="0"/>
        <w:autoSpaceDN w:val="0"/>
        <w:adjustRightInd w:val="0"/>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承包人按16.1.1项</w:t>
      </w:r>
      <w:r>
        <w:rPr>
          <w:rFonts w:hint="eastAsia" w:ascii="宋体" w:hAnsi="宋体"/>
          <w:color w:val="000000" w:themeColor="text1"/>
          <w:kern w:val="0"/>
          <w:szCs w:val="21"/>
          <w:highlight w:val="none"/>
          <w14:textFill>
            <w14:solidFill>
              <w14:schemeClr w14:val="tx1"/>
            </w14:solidFill>
          </w14:textFill>
        </w:rPr>
        <w:t>〔</w:t>
      </w:r>
      <w:r>
        <w:rPr>
          <w:rFonts w:ascii="宋体" w:hAnsi="宋体"/>
          <w:color w:val="000000" w:themeColor="text1"/>
          <w:kern w:val="0"/>
          <w:szCs w:val="21"/>
          <w:highlight w:val="none"/>
          <w14:textFill>
            <w14:solidFill>
              <w14:schemeClr w14:val="tx1"/>
            </w14:solidFill>
          </w14:textFill>
        </w:rPr>
        <w:t>发包人违约的情形</w:t>
      </w:r>
      <w:r>
        <w:rPr>
          <w:rFonts w:hint="eastAsia" w:ascii="宋体" w:hAnsi="宋体"/>
          <w:color w:val="000000" w:themeColor="text1"/>
          <w:kern w:val="0"/>
          <w:szCs w:val="21"/>
          <w:highlight w:val="none"/>
          <w14:textFill>
            <w14:solidFill>
              <w14:schemeClr w14:val="tx1"/>
            </w14:solidFill>
          </w14:textFill>
        </w:rPr>
        <w:t>〕</w:t>
      </w:r>
      <w:r>
        <w:rPr>
          <w:rFonts w:ascii="宋体" w:hAnsi="宋体"/>
          <w:color w:val="000000" w:themeColor="text1"/>
          <w:kern w:val="0"/>
          <w:szCs w:val="21"/>
          <w:highlight w:val="none"/>
          <w14:textFill>
            <w14:solidFill>
              <w14:schemeClr w14:val="tx1"/>
            </w14:solidFill>
          </w14:textFill>
        </w:rPr>
        <w:t>约定暂停施工满</w:t>
      </w:r>
      <w:r>
        <w:rPr>
          <w:rFonts w:hint="eastAsia" w:ascii="宋体" w:hAnsi="宋体"/>
          <w:color w:val="000000" w:themeColor="text1"/>
          <w:kern w:val="0"/>
          <w:szCs w:val="21"/>
          <w:highlight w:val="none"/>
          <w:u w:val="single"/>
          <w14:textFill>
            <w14:solidFill>
              <w14:schemeClr w14:val="tx1"/>
            </w14:solidFill>
          </w14:textFill>
        </w:rPr>
        <w:t>/</w:t>
      </w:r>
      <w:r>
        <w:rPr>
          <w:rFonts w:ascii="宋体" w:hAnsi="宋体"/>
          <w:color w:val="000000" w:themeColor="text1"/>
          <w:kern w:val="0"/>
          <w:szCs w:val="21"/>
          <w:highlight w:val="none"/>
          <w14:textFill>
            <w14:solidFill>
              <w14:schemeClr w14:val="tx1"/>
            </w14:solidFill>
          </w14:textFill>
        </w:rPr>
        <w:t>天后发包人仍不纠正其违约行为并致使合同目的不能实现的，承包人有权解除合同。</w:t>
      </w:r>
    </w:p>
    <w:p w14:paraId="14A3F9A0">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16.2 承包人违约</w:t>
      </w:r>
    </w:p>
    <w:p w14:paraId="71AC297E">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16.2.1 承包人违约的情形</w:t>
      </w:r>
    </w:p>
    <w:p w14:paraId="74C0B3B7">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承包人违约的其他情形：</w:t>
      </w:r>
      <w:r>
        <w:rPr>
          <w:rFonts w:hint="eastAsia" w:ascii="宋体" w:hAnsi="宋体"/>
          <w:color w:val="000000" w:themeColor="text1"/>
          <w:kern w:val="0"/>
          <w:szCs w:val="21"/>
          <w:highlight w:val="none"/>
          <w:u w:val="single"/>
          <w14:textFill>
            <w14:solidFill>
              <w14:schemeClr w14:val="tx1"/>
            </w14:solidFill>
          </w14:textFill>
        </w:rPr>
        <w:t>1）擅自更换项目经理的；2）未经发包人许可，擅自采购材料设备表以外设备及材料的或未经准用批准使用的</w:t>
      </w:r>
      <w:r>
        <w:rPr>
          <w:rFonts w:hint="eastAsia" w:ascii="宋体" w:hAnsi="宋体"/>
          <w:color w:val="000000" w:themeColor="text1"/>
          <w:kern w:val="0"/>
          <w:szCs w:val="21"/>
          <w:highlight w:val="none"/>
          <w14:textFill>
            <w14:solidFill>
              <w14:schemeClr w14:val="tx1"/>
            </w14:solidFill>
          </w14:textFill>
        </w:rPr>
        <w:t>。</w:t>
      </w:r>
    </w:p>
    <w:p w14:paraId="1FBB77E2">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在履行合同过程中发生的下列情况属承包人违约：</w:t>
      </w:r>
    </w:p>
    <w:p w14:paraId="75F2CB13">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16.2</w:t>
      </w:r>
      <w:r>
        <w:rPr>
          <w:rFonts w:hint="eastAsia" w:ascii="宋体" w:hAnsi="宋体"/>
          <w:color w:val="000000" w:themeColor="text1"/>
          <w:kern w:val="0"/>
          <w:szCs w:val="21"/>
          <w:highlight w:val="none"/>
          <w:lang w:val="zh-CN"/>
          <w14:textFill>
            <w14:solidFill>
              <w14:schemeClr w14:val="tx1"/>
            </w14:solidFill>
          </w14:textFill>
        </w:rPr>
        <w:t>.1.1.项目部管理制度</w:t>
      </w:r>
    </w:p>
    <w:p w14:paraId="7E659E05">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1</w:t>
      </w:r>
      <w:r>
        <w:rPr>
          <w:rFonts w:hint="eastAsia" w:ascii="宋体" w:hAnsi="宋体"/>
          <w:color w:val="000000" w:themeColor="text1"/>
          <w:kern w:val="0"/>
          <w:szCs w:val="21"/>
          <w:highlight w:val="none"/>
          <w:lang w:val="zh-CN"/>
          <w14:textFill>
            <w14:solidFill>
              <w14:schemeClr w14:val="tx1"/>
            </w14:solidFill>
          </w14:textFill>
        </w:rPr>
        <w:t>）投标文件或合同文件约定的项目负责人必须驻场，且每周不少于 6 天，缺勤一天者处罚</w:t>
      </w:r>
      <w:r>
        <w:rPr>
          <w:rFonts w:hint="eastAsia" w:ascii="宋体" w:hAnsi="宋体"/>
          <w:color w:val="000000" w:themeColor="text1"/>
          <w:kern w:val="0"/>
          <w:szCs w:val="21"/>
          <w:highlight w:val="none"/>
          <w14:textFill>
            <w14:solidFill>
              <w14:schemeClr w14:val="tx1"/>
            </w14:solidFill>
          </w14:textFill>
        </w:rPr>
        <w:t>2</w:t>
      </w:r>
      <w:r>
        <w:rPr>
          <w:rFonts w:hint="eastAsia" w:ascii="宋体" w:hAnsi="宋体"/>
          <w:color w:val="000000" w:themeColor="text1"/>
          <w:kern w:val="0"/>
          <w:szCs w:val="21"/>
          <w:highlight w:val="none"/>
          <w:lang w:val="zh-CN"/>
          <w14:textFill>
            <w14:solidFill>
              <w14:schemeClr w14:val="tx1"/>
            </w14:solidFill>
          </w14:textFill>
        </w:rPr>
        <w:t>,000.00元； 项目经理外出的必须向业主请假，经同意后方可离开，擅自脱岗每次处罚2,000.00元。</w:t>
      </w:r>
    </w:p>
    <w:p w14:paraId="1B6C2B6B">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2</w:t>
      </w:r>
      <w:r>
        <w:rPr>
          <w:rFonts w:hint="eastAsia" w:ascii="宋体" w:hAnsi="宋体"/>
          <w:color w:val="000000" w:themeColor="text1"/>
          <w:kern w:val="0"/>
          <w:szCs w:val="21"/>
          <w:highlight w:val="none"/>
          <w:lang w:val="zh-CN"/>
          <w14:textFill>
            <w14:solidFill>
              <w14:schemeClr w14:val="tx1"/>
            </w14:solidFill>
          </w14:textFill>
        </w:rPr>
        <w:t>）每次例会参加人员必须按时到会并签名(有事提前向业主请假),无故不到者罚款200.00元，迟到、早退者罚款100.00元。</w:t>
      </w:r>
    </w:p>
    <w:p w14:paraId="1FCA5641">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3</w:t>
      </w:r>
      <w:r>
        <w:rPr>
          <w:rFonts w:hint="eastAsia" w:ascii="宋体" w:hAnsi="宋体"/>
          <w:color w:val="000000" w:themeColor="text1"/>
          <w:kern w:val="0"/>
          <w:szCs w:val="21"/>
          <w:highlight w:val="none"/>
          <w:lang w:val="zh-CN"/>
          <w14:textFill>
            <w14:solidFill>
              <w14:schemeClr w14:val="tx1"/>
            </w14:solidFill>
          </w14:textFill>
        </w:rPr>
        <w:t>）业主发出的整改通知单，施工方必须在 3 日内书面回复整改情况，书面回复每超过一日处罚1,000.00-2,000.00元。</w:t>
      </w:r>
    </w:p>
    <w:p w14:paraId="305BBFCD">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16.2.1.2</w:t>
      </w:r>
      <w:r>
        <w:rPr>
          <w:rFonts w:hint="eastAsia" w:ascii="宋体" w:hAnsi="宋体"/>
          <w:color w:val="000000" w:themeColor="text1"/>
          <w:kern w:val="0"/>
          <w:szCs w:val="21"/>
          <w:highlight w:val="none"/>
          <w:lang w:val="zh-CN"/>
          <w14:textFill>
            <w14:solidFill>
              <w14:schemeClr w14:val="tx1"/>
            </w14:solidFill>
          </w14:textFill>
        </w:rPr>
        <w:t>文明施工管理制度</w:t>
      </w:r>
    </w:p>
    <w:p w14:paraId="4AD9DA30">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1</w:t>
      </w:r>
      <w:r>
        <w:rPr>
          <w:rFonts w:hint="eastAsia" w:ascii="宋体" w:hAnsi="宋体"/>
          <w:color w:val="000000" w:themeColor="text1"/>
          <w:kern w:val="0"/>
          <w:szCs w:val="21"/>
          <w:highlight w:val="none"/>
          <w:lang w:val="zh-CN"/>
          <w14:textFill>
            <w14:solidFill>
              <w14:schemeClr w14:val="tx1"/>
            </w14:solidFill>
          </w14:textFill>
        </w:rPr>
        <w:t>）承包人安全文明施工、扬尘治理等未达到省、市的有关规定要求，发包人有权暂不支付安全文明施工增加费，并按国家、地方有关安全法规处罚；上述行为被行政主管部门查处，或被市民、媒体举报属实，每发现一次，承包人须向发包人支付违约金10,000-20,000元。</w:t>
      </w:r>
    </w:p>
    <w:p w14:paraId="22943E8D">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2</w:t>
      </w:r>
      <w:r>
        <w:rPr>
          <w:rFonts w:hint="eastAsia" w:ascii="宋体" w:hAnsi="宋体"/>
          <w:color w:val="000000" w:themeColor="text1"/>
          <w:kern w:val="0"/>
          <w:szCs w:val="21"/>
          <w:highlight w:val="none"/>
          <w:lang w:val="zh-CN"/>
          <w14:textFill>
            <w14:solidFill>
              <w14:schemeClr w14:val="tx1"/>
            </w14:solidFill>
          </w14:textFill>
        </w:rPr>
        <w:t>）施工现场没有设置封闭式垃圾站，随意倾倒生产、生活垃圾，愿接受每次罚款 500.00-2,000.00元。</w:t>
      </w:r>
    </w:p>
    <w:p w14:paraId="2C307C45">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16.2.1.3</w:t>
      </w:r>
      <w:r>
        <w:rPr>
          <w:rFonts w:hint="eastAsia" w:ascii="宋体" w:hAnsi="宋体"/>
          <w:color w:val="000000" w:themeColor="text1"/>
          <w:kern w:val="0"/>
          <w:szCs w:val="21"/>
          <w:highlight w:val="none"/>
          <w:lang w:val="zh-CN"/>
          <w14:textFill>
            <w14:solidFill>
              <w14:schemeClr w14:val="tx1"/>
            </w14:solidFill>
          </w14:textFill>
        </w:rPr>
        <w:t>进度控制</w:t>
      </w:r>
    </w:p>
    <w:p w14:paraId="5B1C1CC3">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1</w:t>
      </w:r>
      <w:r>
        <w:rPr>
          <w:rFonts w:hint="eastAsia" w:ascii="宋体" w:hAnsi="宋体"/>
          <w:color w:val="000000" w:themeColor="text1"/>
          <w:kern w:val="0"/>
          <w:szCs w:val="21"/>
          <w:highlight w:val="none"/>
          <w:lang w:val="zh-CN"/>
          <w14:textFill>
            <w14:solidFill>
              <w14:schemeClr w14:val="tx1"/>
            </w14:solidFill>
          </w14:textFill>
        </w:rPr>
        <w:t>）施工进度的周计划由于施工方原因没有完成的给予5,000.00元罚款，连续两周没有完成计划的罚款10,000.00元，同时，由施工单位负责查明原因，拿出切实可行的措施，报甲方备案，若在下一节点时间赶上进度计划，经发包人同意，则取消罚款。</w:t>
      </w:r>
    </w:p>
    <w:p w14:paraId="6088396F">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2</w:t>
      </w:r>
      <w:r>
        <w:rPr>
          <w:rFonts w:hint="eastAsia" w:ascii="宋体" w:hAnsi="宋体"/>
          <w:color w:val="000000" w:themeColor="text1"/>
          <w:kern w:val="0"/>
          <w:szCs w:val="21"/>
          <w:highlight w:val="none"/>
          <w:lang w:val="zh-CN"/>
          <w14:textFill>
            <w14:solidFill>
              <w14:schemeClr w14:val="tx1"/>
            </w14:solidFill>
          </w14:textFill>
        </w:rPr>
        <w:t>）施工单位制定的下周计划应当在本周五之前报甲方，否则，每延误一天，罚款 2000.00元。</w:t>
      </w:r>
    </w:p>
    <w:p w14:paraId="651033EF">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4</w:t>
      </w:r>
      <w:r>
        <w:rPr>
          <w:rFonts w:hint="eastAsia" w:ascii="宋体" w:hAnsi="宋体"/>
          <w:color w:val="000000" w:themeColor="text1"/>
          <w:kern w:val="0"/>
          <w:szCs w:val="21"/>
          <w:highlight w:val="none"/>
          <w:lang w:val="zh-CN"/>
          <w14:textFill>
            <w14:solidFill>
              <w14:schemeClr w14:val="tx1"/>
            </w14:solidFill>
          </w14:textFill>
        </w:rPr>
        <w:t>）工程例会所要求报的报验资料、计划不能按时完成，拖后一天，罚款2,000.00元。</w:t>
      </w:r>
    </w:p>
    <w:p w14:paraId="39A54525">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16.2.1.4</w:t>
      </w:r>
      <w:r>
        <w:rPr>
          <w:rFonts w:hint="eastAsia" w:ascii="宋体" w:hAnsi="宋体"/>
          <w:color w:val="000000" w:themeColor="text1"/>
          <w:kern w:val="0"/>
          <w:szCs w:val="21"/>
          <w:highlight w:val="none"/>
          <w:lang w:val="zh-CN"/>
          <w14:textFill>
            <w14:solidFill>
              <w14:schemeClr w14:val="tx1"/>
            </w14:solidFill>
          </w14:textFill>
        </w:rPr>
        <w:t>质量管理</w:t>
      </w:r>
    </w:p>
    <w:p w14:paraId="145A76CF">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1</w:t>
      </w:r>
      <w:r>
        <w:rPr>
          <w:rFonts w:hint="eastAsia" w:ascii="宋体" w:hAnsi="宋体"/>
          <w:color w:val="000000" w:themeColor="text1"/>
          <w:kern w:val="0"/>
          <w:szCs w:val="21"/>
          <w:highlight w:val="none"/>
          <w:lang w:val="zh-CN"/>
          <w14:textFill>
            <w14:solidFill>
              <w14:schemeClr w14:val="tx1"/>
            </w14:solidFill>
          </w14:textFill>
        </w:rPr>
        <w:t>）上道工序未经验收而进行下道工序施工的给予5,000.00元罚款。并责令重做。</w:t>
      </w:r>
    </w:p>
    <w:p w14:paraId="6D8C98EC">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2</w:t>
      </w:r>
      <w:r>
        <w:rPr>
          <w:rFonts w:hint="eastAsia" w:ascii="宋体" w:hAnsi="宋体"/>
          <w:color w:val="000000" w:themeColor="text1"/>
          <w:kern w:val="0"/>
          <w:szCs w:val="21"/>
          <w:highlight w:val="none"/>
          <w:lang w:val="zh-CN"/>
          <w14:textFill>
            <w14:solidFill>
              <w14:schemeClr w14:val="tx1"/>
            </w14:solidFill>
          </w14:textFill>
        </w:rPr>
        <w:t>）建设单位与发包人员巡视现场时，发现施工中偷工减料的，要求其立即返工和停工整改，并给予每次20,000.00元罚款。</w:t>
      </w:r>
    </w:p>
    <w:p w14:paraId="45D378A4">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3</w:t>
      </w:r>
      <w:r>
        <w:rPr>
          <w:rFonts w:hint="eastAsia" w:ascii="宋体" w:hAnsi="宋体"/>
          <w:color w:val="000000" w:themeColor="text1"/>
          <w:kern w:val="0"/>
          <w:szCs w:val="21"/>
          <w:highlight w:val="none"/>
          <w:lang w:val="zh-CN"/>
          <w14:textFill>
            <w14:solidFill>
              <w14:schemeClr w14:val="tx1"/>
            </w14:solidFill>
          </w14:textFill>
        </w:rPr>
        <w:t>）施工单位专职质检人员要认真履行职责，分项工程必须自检合格后方能报发包人员检查验收，未经检查验收的，未经施工方“三检”合格或达不到合同要求的，每次罚款 2,000.00元。</w:t>
      </w:r>
    </w:p>
    <w:p w14:paraId="5CC7FC6D">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4</w:t>
      </w:r>
      <w:r>
        <w:rPr>
          <w:rFonts w:hint="eastAsia" w:ascii="宋体" w:hAnsi="宋体"/>
          <w:color w:val="000000" w:themeColor="text1"/>
          <w:kern w:val="0"/>
          <w:szCs w:val="21"/>
          <w:highlight w:val="none"/>
          <w:lang w:val="zh-CN"/>
          <w14:textFill>
            <w14:solidFill>
              <w14:schemeClr w14:val="tx1"/>
            </w14:solidFill>
          </w14:textFill>
        </w:rPr>
        <w:t>）对甲方下达的通知，置之不理或不执行、不回复的，给予2,000.00-5,000.00元罚款。</w:t>
      </w:r>
    </w:p>
    <w:p w14:paraId="7F2BBB0F">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5</w:t>
      </w:r>
      <w:r>
        <w:rPr>
          <w:rFonts w:hint="eastAsia" w:ascii="宋体" w:hAnsi="宋体"/>
          <w:color w:val="000000" w:themeColor="text1"/>
          <w:kern w:val="0"/>
          <w:szCs w:val="21"/>
          <w:highlight w:val="none"/>
          <w:lang w:val="zh-CN"/>
          <w14:textFill>
            <w14:solidFill>
              <w14:schemeClr w14:val="tx1"/>
            </w14:solidFill>
          </w14:textFill>
        </w:rPr>
        <w:t>）承包人在施工中偷工减料， 使用不合格的建筑材料，建筑构配件和设备的，或者未按照工程设计图纸或者施工技术标准施工的，处罚10,000.00元-20,000元。</w:t>
      </w:r>
    </w:p>
    <w:p w14:paraId="4BB42A01">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6</w:t>
      </w:r>
      <w:r>
        <w:rPr>
          <w:rFonts w:hint="eastAsia" w:ascii="宋体" w:hAnsi="宋体"/>
          <w:color w:val="000000" w:themeColor="text1"/>
          <w:kern w:val="0"/>
          <w:szCs w:val="21"/>
          <w:highlight w:val="none"/>
          <w:lang w:val="zh-CN"/>
          <w14:textFill>
            <w14:solidFill>
              <w14:schemeClr w14:val="tx1"/>
            </w14:solidFill>
          </w14:textFill>
        </w:rPr>
        <w:t>）未按照约定使用材料，处以合同约定材料与自行变更材料价差的 10 倍罚款，且不少于10,000.00元以上的经济处罚。必须进行重新检测，承包人承担全部检测费用。</w:t>
      </w:r>
    </w:p>
    <w:p w14:paraId="59BC566F">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16.2.1.5</w:t>
      </w:r>
      <w:r>
        <w:rPr>
          <w:rFonts w:hint="eastAsia" w:ascii="宋体" w:hAnsi="宋体"/>
          <w:color w:val="000000" w:themeColor="text1"/>
          <w:kern w:val="0"/>
          <w:szCs w:val="21"/>
          <w:highlight w:val="none"/>
          <w:lang w:val="zh-CN"/>
          <w14:textFill>
            <w14:solidFill>
              <w14:schemeClr w14:val="tx1"/>
            </w14:solidFill>
          </w14:textFill>
        </w:rPr>
        <w:t>安全管理制度</w:t>
      </w:r>
    </w:p>
    <w:p w14:paraId="294CB3A5">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1</w:t>
      </w:r>
      <w:r>
        <w:rPr>
          <w:rFonts w:hint="eastAsia" w:ascii="宋体" w:hAnsi="宋体"/>
          <w:color w:val="000000" w:themeColor="text1"/>
          <w:kern w:val="0"/>
          <w:szCs w:val="21"/>
          <w:highlight w:val="none"/>
          <w:lang w:val="zh-CN"/>
          <w14:textFill>
            <w14:solidFill>
              <w14:schemeClr w14:val="tx1"/>
            </w14:solidFill>
          </w14:textFill>
        </w:rPr>
        <w:t>）无安全保证体系或保证体系不健全的罚款5,000.00元。</w:t>
      </w:r>
    </w:p>
    <w:p w14:paraId="7E949A2D">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2</w:t>
      </w:r>
      <w:r>
        <w:rPr>
          <w:rFonts w:hint="eastAsia" w:ascii="宋体" w:hAnsi="宋体"/>
          <w:color w:val="000000" w:themeColor="text1"/>
          <w:kern w:val="0"/>
          <w:szCs w:val="21"/>
          <w:highlight w:val="none"/>
          <w:lang w:val="zh-CN"/>
          <w14:textFill>
            <w14:solidFill>
              <w14:schemeClr w14:val="tx1"/>
            </w14:solidFill>
          </w14:textFill>
        </w:rPr>
        <w:t>）无安全管理制度，制度不上墙的罚款3,000.00元。</w:t>
      </w:r>
    </w:p>
    <w:p w14:paraId="25EBBD5D">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3</w:t>
      </w:r>
      <w:r>
        <w:rPr>
          <w:rFonts w:hint="eastAsia" w:ascii="宋体" w:hAnsi="宋体"/>
          <w:color w:val="000000" w:themeColor="text1"/>
          <w:kern w:val="0"/>
          <w:szCs w:val="21"/>
          <w:highlight w:val="none"/>
          <w:lang w:val="zh-CN"/>
          <w14:textFill>
            <w14:solidFill>
              <w14:schemeClr w14:val="tx1"/>
            </w14:solidFill>
          </w14:textFill>
        </w:rPr>
        <w:t>）工人进场无安全交底，无书面材料报甲方的，罚款5,000.00元。</w:t>
      </w:r>
    </w:p>
    <w:p w14:paraId="5FCC6CEE">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4</w:t>
      </w:r>
      <w:r>
        <w:rPr>
          <w:rFonts w:hint="eastAsia" w:ascii="宋体" w:hAnsi="宋体"/>
          <w:color w:val="000000" w:themeColor="text1"/>
          <w:kern w:val="0"/>
          <w:szCs w:val="21"/>
          <w:highlight w:val="none"/>
          <w:lang w:val="zh-CN"/>
          <w14:textFill>
            <w14:solidFill>
              <w14:schemeClr w14:val="tx1"/>
            </w14:solidFill>
          </w14:textFill>
        </w:rPr>
        <w:t>）特殊岗位无操作证，罚款10,000.00元。</w:t>
      </w:r>
    </w:p>
    <w:p w14:paraId="407BBFA0">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6</w:t>
      </w:r>
      <w:r>
        <w:rPr>
          <w:rFonts w:hint="eastAsia" w:ascii="宋体" w:hAnsi="宋体"/>
          <w:color w:val="000000" w:themeColor="text1"/>
          <w:kern w:val="0"/>
          <w:szCs w:val="21"/>
          <w:highlight w:val="none"/>
          <w:lang w:val="zh-CN"/>
          <w14:textFill>
            <w14:solidFill>
              <w14:schemeClr w14:val="tx1"/>
            </w14:solidFill>
          </w14:textFill>
        </w:rPr>
        <w:t>）例会纪要中要求施工单位完成的有关事项必须按期完成，否则，每延误一天罚款1,000.00元-5,000.00元。</w:t>
      </w:r>
    </w:p>
    <w:p w14:paraId="66733CCE">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7</w:t>
      </w:r>
      <w:r>
        <w:rPr>
          <w:rFonts w:hint="eastAsia" w:ascii="宋体" w:hAnsi="宋体"/>
          <w:color w:val="000000" w:themeColor="text1"/>
          <w:kern w:val="0"/>
          <w:szCs w:val="21"/>
          <w:highlight w:val="none"/>
          <w:lang w:val="zh-CN"/>
          <w14:textFill>
            <w14:solidFill>
              <w14:schemeClr w14:val="tx1"/>
            </w14:solidFill>
          </w14:textFill>
        </w:rPr>
        <w:t>）下列情况之一者，从重处罚：</w:t>
      </w:r>
    </w:p>
    <w:p w14:paraId="6DF0A950">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① 有5处及以上一般安全隐患或有1处及以上重大安全隐患，罚款5,000.00元，每发生一人重伤事故，罚款50,000.00元，发生一人死亡事故负责缴纳上级有关部门的处罚，包括但不限于事故处理费用，伤亡赔偿费用等其他与事故有关的费用。</w:t>
      </w:r>
    </w:p>
    <w:p w14:paraId="449C5347">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② 不进行三级安全教育的项目经理部，罚款2,000.00 元-5,000.00元，造成安全事故的，要加倍处罚。</w:t>
      </w:r>
    </w:p>
    <w:p w14:paraId="3C33B651">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③发生重伤以上安全事故不保护事故现场，隐瞒不报或不按“四不放过”原则处理的，给予罚款5,000.00 元-100,000.00元；</w:t>
      </w:r>
    </w:p>
    <w:p w14:paraId="26E60E01">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16.2.1.6</w:t>
      </w:r>
      <w:r>
        <w:rPr>
          <w:rFonts w:hint="eastAsia" w:ascii="宋体" w:hAnsi="宋体"/>
          <w:color w:val="000000" w:themeColor="text1"/>
          <w:kern w:val="0"/>
          <w:szCs w:val="21"/>
          <w:highlight w:val="none"/>
          <w:lang w:val="zh-CN"/>
          <w14:textFill>
            <w14:solidFill>
              <w14:schemeClr w14:val="tx1"/>
            </w14:solidFill>
          </w14:textFill>
        </w:rPr>
        <w:t>治污减霾</w:t>
      </w:r>
    </w:p>
    <w:p w14:paraId="62B40844">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1</w:t>
      </w:r>
      <w:r>
        <w:rPr>
          <w:rFonts w:hint="eastAsia" w:ascii="宋体" w:hAnsi="宋体"/>
          <w:color w:val="000000" w:themeColor="text1"/>
          <w:kern w:val="0"/>
          <w:szCs w:val="21"/>
          <w:highlight w:val="none"/>
          <w:lang w:val="zh-CN"/>
          <w14:textFill>
            <w14:solidFill>
              <w14:schemeClr w14:val="tx1"/>
            </w14:solidFill>
          </w14:textFill>
        </w:rPr>
        <w:t>）未按规定设置各类环境保护牌(建筑垃圾监管公示牌、扬尘防治包抓监管公示牌、重污染天气应急响应公告牌)或设置不规范，在要求时间内整改不达标的处罚2,000.00-5,000.00元 ；</w:t>
      </w:r>
    </w:p>
    <w:p w14:paraId="2FADF29E">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2</w:t>
      </w:r>
      <w:r>
        <w:rPr>
          <w:rFonts w:hint="eastAsia" w:ascii="宋体" w:hAnsi="宋体"/>
          <w:color w:val="000000" w:themeColor="text1"/>
          <w:kern w:val="0"/>
          <w:szCs w:val="21"/>
          <w:highlight w:val="none"/>
          <w:lang w:val="zh-CN"/>
          <w14:textFill>
            <w14:solidFill>
              <w14:schemeClr w14:val="tx1"/>
            </w14:solidFill>
          </w14:textFill>
        </w:rPr>
        <w:t>）施工区域未按要求 100%标准围挡的，围挡有安全隐患、破损、不完整、围挡擦洗不到位、脏乱差(含贴有小广告未清理)等在要求时间内整改不达标的处罚2,000.00-5,000.00元 ；</w:t>
      </w:r>
    </w:p>
    <w:p w14:paraId="3F41700A">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3</w:t>
      </w:r>
      <w:r>
        <w:rPr>
          <w:rFonts w:hint="eastAsia" w:ascii="宋体" w:hAnsi="宋体"/>
          <w:color w:val="000000" w:themeColor="text1"/>
          <w:kern w:val="0"/>
          <w:szCs w:val="21"/>
          <w:highlight w:val="none"/>
          <w:lang w:val="zh-CN"/>
          <w14:textFill>
            <w14:solidFill>
              <w14:schemeClr w14:val="tx1"/>
            </w14:solidFill>
          </w14:textFill>
        </w:rPr>
        <w:t>）坚持施工便道洒水降尘，气温在 30℃以上，每 2~3 小时洒水一次，气温在 30℃以下，每天洒水不少于三次，冬季气温在 5℃以下及雨雪天不洒水。未按要求洒水作业或无洒水作业记录的 处罚1,000.00-5,000.00元；</w:t>
      </w:r>
    </w:p>
    <w:p w14:paraId="4C7404E7">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4</w:t>
      </w:r>
      <w:r>
        <w:rPr>
          <w:rFonts w:hint="eastAsia" w:ascii="宋体" w:hAnsi="宋体"/>
          <w:color w:val="000000" w:themeColor="text1"/>
          <w:kern w:val="0"/>
          <w:szCs w:val="21"/>
          <w:highlight w:val="none"/>
          <w:lang w:val="zh-CN"/>
          <w14:textFill>
            <w14:solidFill>
              <w14:schemeClr w14:val="tx1"/>
            </w14:solidFill>
          </w14:textFill>
        </w:rPr>
        <w:t>）其他未达到六个百分百、七个到位要求的，在要求时间内整改不到位的处罚2,000.00-5,000.00元；</w:t>
      </w:r>
    </w:p>
    <w:p w14:paraId="19ECE085">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5</w:t>
      </w:r>
      <w:r>
        <w:rPr>
          <w:rFonts w:hint="eastAsia" w:ascii="宋体" w:hAnsi="宋体"/>
          <w:color w:val="000000" w:themeColor="text1"/>
          <w:kern w:val="0"/>
          <w:szCs w:val="21"/>
          <w:highlight w:val="none"/>
          <w:lang w:val="zh-CN"/>
          <w14:textFill>
            <w14:solidFill>
              <w14:schemeClr w14:val="tx1"/>
            </w14:solidFill>
          </w14:textFill>
        </w:rPr>
        <w:t>）对省、市、区等上级单位检查发现问题给予通报、督办、处罚等情况的考核施工单位2,000.00~5,000.00元(与上级单位下达的处罚不冲突)；</w:t>
      </w:r>
    </w:p>
    <w:p w14:paraId="2F6E168C">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16.2.1.7</w:t>
      </w:r>
      <w:r>
        <w:rPr>
          <w:rFonts w:hint="eastAsia" w:ascii="宋体" w:hAnsi="宋体"/>
          <w:color w:val="000000" w:themeColor="text1"/>
          <w:kern w:val="0"/>
          <w:szCs w:val="21"/>
          <w:highlight w:val="none"/>
          <w:lang w:val="zh-CN"/>
          <w14:textFill>
            <w14:solidFill>
              <w14:schemeClr w14:val="tx1"/>
            </w14:solidFill>
          </w14:textFill>
        </w:rPr>
        <w:t>突发事件配合与管控责任</w:t>
      </w:r>
    </w:p>
    <w:p w14:paraId="2D63D699">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承包人在本项目实施期间，如遇像SAS、新型冠状病毒或者其他不可预见的突发事件，应立即建立健全的管理制度、制定严格的管控方案，并按照政府及发包人(包括发包人关联单位)的要求进行开工、施工、复工、停工，并做好相应的宣传教育工作；否则，承包人及其工作人员或关联方一旦因非发包人原因被政府及相关单位点名、批评、处罚或要求整改(含口头、书面、新闻媒体)的，视为违约，承包人须向发包人支付每人次100000元的违约金，给发包人造成的损失(包括直接、间接损失以及实现债权的费用)数额高于前述违约金，应按损失数额赔偿。</w:t>
      </w:r>
    </w:p>
    <w:p w14:paraId="6A2C67F9">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16.2.1.8</w:t>
      </w:r>
      <w:r>
        <w:rPr>
          <w:rFonts w:hint="eastAsia" w:ascii="宋体" w:hAnsi="宋体"/>
          <w:color w:val="000000" w:themeColor="text1"/>
          <w:kern w:val="0"/>
          <w:szCs w:val="21"/>
          <w:highlight w:val="none"/>
          <w:lang w:val="zh-CN"/>
          <w14:textFill>
            <w14:solidFill>
              <w14:schemeClr w14:val="tx1"/>
            </w14:solidFill>
          </w14:textFill>
        </w:rPr>
        <w:t>农民工工资</w:t>
      </w:r>
    </w:p>
    <w:p w14:paraId="449DA4BB">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在发包人按时向承包人支付工程款的情况下，如因承包人延迟或推迟支付工人的工资而导致下列事件：工人要求发包人支付工资；媒体披露欠薪的情况；工人因欠薪而有组织的上访；工人因欠薪而引起的有组织的集会以及其他事件。则承包人应立即向工人支付工资，并承担处理上述事件的责任和费用，以及赔偿发包人；对发包人的最低赔偿限额为：20万元人民币。如果类似事件不止一次发生，除支付处理事件的费用以及赔偿发包人20 万元的最低赔偿额外，发包人有权解除合同，并取消承包人承接发包人以后其他工程的资格。以上处罚即时生效，罚款于支付当期工程进度款时扣除。</w:t>
      </w:r>
    </w:p>
    <w:p w14:paraId="6EC57BA3">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16.2.1.9</w:t>
      </w:r>
      <w:r>
        <w:rPr>
          <w:rFonts w:hint="eastAsia" w:ascii="宋体" w:hAnsi="宋体"/>
          <w:color w:val="000000" w:themeColor="text1"/>
          <w:kern w:val="0"/>
          <w:szCs w:val="21"/>
          <w:highlight w:val="none"/>
          <w:lang w:val="zh-CN"/>
          <w14:textFill>
            <w14:solidFill>
              <w14:schemeClr w14:val="tx1"/>
            </w14:solidFill>
          </w14:textFill>
        </w:rPr>
        <w:t>组织机构人员违约</w:t>
      </w:r>
    </w:p>
    <w:p w14:paraId="29251706">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1</w:t>
      </w:r>
      <w:r>
        <w:rPr>
          <w:rFonts w:hint="eastAsia" w:ascii="宋体" w:hAnsi="宋体"/>
          <w:color w:val="000000" w:themeColor="text1"/>
          <w:kern w:val="0"/>
          <w:szCs w:val="21"/>
          <w:highlight w:val="none"/>
          <w:lang w:val="zh-CN"/>
          <w14:textFill>
            <w14:solidFill>
              <w14:schemeClr w14:val="tx1"/>
            </w14:solidFill>
          </w14:textFill>
        </w:rPr>
        <w:t>）如果承包人未经发包人同意，任意更换项目</w:t>
      </w:r>
      <w:r>
        <w:rPr>
          <w:rFonts w:hint="eastAsia" w:ascii="宋体" w:hAnsi="宋体"/>
          <w:color w:val="000000" w:themeColor="text1"/>
          <w:kern w:val="0"/>
          <w:szCs w:val="21"/>
          <w:highlight w:val="none"/>
          <w14:textFill>
            <w14:solidFill>
              <w14:schemeClr w14:val="tx1"/>
            </w14:solidFill>
          </w14:textFill>
        </w:rPr>
        <w:t>经理</w:t>
      </w:r>
      <w:r>
        <w:rPr>
          <w:rFonts w:hint="eastAsia" w:ascii="宋体" w:hAnsi="宋体"/>
          <w:color w:val="000000" w:themeColor="text1"/>
          <w:kern w:val="0"/>
          <w:szCs w:val="21"/>
          <w:highlight w:val="none"/>
          <w:lang w:val="zh-CN"/>
          <w14:textFill>
            <w14:solidFill>
              <w14:schemeClr w14:val="tx1"/>
            </w14:solidFill>
          </w14:textFill>
        </w:rPr>
        <w:t>视为违约。承包人须向发包人支付每人次30,000元的违约金。</w:t>
      </w:r>
    </w:p>
    <w:p w14:paraId="0EF10FEF">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2</w:t>
      </w:r>
      <w:r>
        <w:rPr>
          <w:rFonts w:hint="eastAsia" w:ascii="宋体" w:hAnsi="宋体"/>
          <w:color w:val="000000" w:themeColor="text1"/>
          <w:kern w:val="0"/>
          <w:szCs w:val="21"/>
          <w:highlight w:val="none"/>
          <w:lang w:val="zh-CN"/>
          <w14:textFill>
            <w14:solidFill>
              <w14:schemeClr w14:val="tx1"/>
            </w14:solidFill>
          </w14:textFill>
        </w:rPr>
        <w:t>）如承包人安排在工地的主要管理人员和专业技术骨干被发包人要求更换，承包人必须在24小时以内将被要求更换的人员调离本工程范围，并在48小时以内用发包人批准的合格人员更换。否则，承包人须向发包人支付每人次20,000元的违约金。</w:t>
      </w:r>
    </w:p>
    <w:p w14:paraId="50FCF3A1">
      <w:pPr>
        <w:spacing w:line="356" w:lineRule="auto"/>
        <w:ind w:firstLine="420" w:firstLineChars="200"/>
        <w:jc w:val="left"/>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16.2.2承包人违约的责任</w:t>
      </w:r>
    </w:p>
    <w:p w14:paraId="131B3CFC">
      <w:pPr>
        <w:spacing w:line="356"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承包人违约责任的承担方式和计算方法：</w:t>
      </w:r>
      <w:r>
        <w:rPr>
          <w:rFonts w:hint="eastAsia" w:ascii="宋体" w:hAnsi="宋体"/>
          <w:color w:val="000000" w:themeColor="text1"/>
          <w:kern w:val="0"/>
          <w:szCs w:val="21"/>
          <w:highlight w:val="none"/>
          <w14:textFill>
            <w14:solidFill>
              <w14:schemeClr w14:val="tx1"/>
            </w14:solidFill>
          </w14:textFill>
        </w:rPr>
        <w:t>（1）</w:t>
      </w:r>
      <w:r>
        <w:rPr>
          <w:rFonts w:hint="eastAsia" w:ascii="宋体" w:hAnsi="宋体"/>
          <w:b/>
          <w:color w:val="000000" w:themeColor="text1"/>
          <w:szCs w:val="21"/>
          <w:highlight w:val="none"/>
          <w:u w:val="single"/>
          <w14:textFill>
            <w14:solidFill>
              <w14:schemeClr w14:val="tx1"/>
            </w14:solidFill>
          </w14:textFill>
        </w:rPr>
        <w:t>建设过程中分部分项工程质量</w:t>
      </w:r>
      <w:r>
        <w:rPr>
          <w:rFonts w:hint="eastAsia" w:ascii="宋体" w:hAnsi="宋体"/>
          <w:color w:val="000000" w:themeColor="text1"/>
          <w:szCs w:val="21"/>
          <w:highlight w:val="none"/>
          <w:u w:val="single"/>
          <w14:textFill>
            <w14:solidFill>
              <w14:schemeClr w14:val="tx1"/>
            </w14:solidFill>
          </w14:textFill>
        </w:rPr>
        <w:t>若达不到合格标准，承包人应按要求整改至合格（整改费用由承包人自行承担），并承担1000-5000元/次的违约金。</w:t>
      </w:r>
    </w:p>
    <w:p w14:paraId="16FF4CB1">
      <w:pPr>
        <w:spacing w:line="356" w:lineRule="auto"/>
        <w:ind w:firstLine="420" w:firstLineChars="200"/>
        <w:rPr>
          <w:rFonts w:hint="eastAsia" w:ascii="宋体" w:hAnsi="宋体"/>
          <w:color w:val="000000" w:themeColor="text1"/>
          <w:kern w:val="0"/>
          <w:szCs w:val="21"/>
          <w:highlight w:val="none"/>
          <w:u w:val="singl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w:t>
      </w:r>
      <w:r>
        <w:rPr>
          <w:rFonts w:hint="eastAsia" w:ascii="宋体" w:hAnsi="宋体"/>
          <w:color w:val="000000" w:themeColor="text1"/>
          <w:kern w:val="0"/>
          <w:szCs w:val="21"/>
          <w:highlight w:val="none"/>
          <w:u w:val="single"/>
          <w14:textFill>
            <w14:solidFill>
              <w14:schemeClr w14:val="tx1"/>
            </w14:solidFill>
          </w14:textFill>
        </w:rPr>
        <w:t>确保现场劳务人员基本权益，保证劳务工资按月发放，若发生讨薪投诉事件，承包人承担30000元/次的违约金。</w:t>
      </w:r>
    </w:p>
    <w:p w14:paraId="5B2DDE2B">
      <w:pPr>
        <w:spacing w:line="356" w:lineRule="auto"/>
        <w:ind w:firstLine="420" w:firstLineChars="200"/>
        <w:rPr>
          <w:rFonts w:hint="eastAsia" w:ascii="宋体" w:hAnsi="宋体"/>
          <w:color w:val="000000" w:themeColor="text1"/>
          <w:kern w:val="0"/>
          <w:szCs w:val="21"/>
          <w:highlight w:val="none"/>
          <w:u w:val="single"/>
          <w14:textFill>
            <w14:solidFill>
              <w14:schemeClr w14:val="tx1"/>
            </w14:solidFill>
          </w14:textFill>
        </w:rPr>
      </w:pPr>
      <w:r>
        <w:rPr>
          <w:rFonts w:hint="eastAsia" w:ascii="宋体" w:hAnsi="宋体"/>
          <w:color w:val="000000" w:themeColor="text1"/>
          <w:kern w:val="0"/>
          <w:szCs w:val="21"/>
          <w:highlight w:val="none"/>
          <w:u w:val="single"/>
          <w14:textFill>
            <w14:solidFill>
              <w14:schemeClr w14:val="tx1"/>
            </w14:solidFill>
          </w14:textFill>
        </w:rPr>
        <w:t>（3）工程建设过程中，承包人没有按照发包人要求进度实施工程建设的，发包人有权对承包人收取1000-5000元/天的违约金。</w:t>
      </w:r>
    </w:p>
    <w:p w14:paraId="09B0F67C">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kern w:val="0"/>
          <w:szCs w:val="21"/>
          <w:highlight w:val="none"/>
          <w:u w:val="single"/>
          <w14:textFill>
            <w14:solidFill>
              <w14:schemeClr w14:val="tx1"/>
            </w14:solidFill>
          </w14:textFill>
        </w:rPr>
        <w:t>（4）以上违约金应在承包人当期进度款中扣除。</w:t>
      </w:r>
      <w:r>
        <w:rPr>
          <w:rFonts w:ascii="宋体" w:hAnsi="宋体"/>
          <w:color w:val="000000" w:themeColor="text1"/>
          <w:szCs w:val="21"/>
          <w:highlight w:val="none"/>
          <w14:textFill>
            <w14:solidFill>
              <w14:schemeClr w14:val="tx1"/>
            </w14:solidFill>
          </w14:textFill>
        </w:rPr>
        <w:t xml:space="preserve">    </w:t>
      </w:r>
    </w:p>
    <w:p w14:paraId="64ECA4DF">
      <w:pPr>
        <w:spacing w:line="356" w:lineRule="auto"/>
        <w:ind w:firstLine="420" w:firstLineChars="200"/>
        <w:jc w:val="left"/>
        <w:rPr>
          <w:color w:val="000000" w:themeColor="text1"/>
          <w:szCs w:val="21"/>
          <w:highlight w:val="none"/>
          <w:u w:val="single"/>
          <w14:textFill>
            <w14:solidFill>
              <w14:schemeClr w14:val="tx1"/>
            </w14:solidFill>
          </w14:textFill>
        </w:rPr>
      </w:pPr>
      <w:r>
        <w:rPr>
          <w:rFonts w:hint="eastAsia"/>
          <w:color w:val="000000" w:themeColor="text1"/>
          <w:szCs w:val="21"/>
          <w:highlight w:val="none"/>
          <w:u w:val="single"/>
          <w14:textFill>
            <w14:solidFill>
              <w14:schemeClr w14:val="tx1"/>
            </w14:solidFill>
          </w14:textFill>
        </w:rPr>
        <w:t>（5）本工程要求工程质量达到国家规定的合格标准，竣工验收达不到合格标准的，除按国家规定对承包人予以处罚外，承包方按合同价的20%向发包人支付质量违约金并修复至达到验收合格标准。中间验收时如果出现局部或分部或分项质量不合格，承包人除免费立即纠正、修复外，还要按该局部或分部或分项工程的合同价的20%向发包人支付质量违约金。</w:t>
      </w:r>
    </w:p>
    <w:p w14:paraId="657DF732">
      <w:pPr>
        <w:spacing w:line="356" w:lineRule="auto"/>
        <w:ind w:firstLine="420" w:firstLineChars="200"/>
        <w:jc w:val="left"/>
        <w:rPr>
          <w:rFonts w:hint="eastAsia" w:hAnsi="宋体"/>
          <w:color w:val="000000" w:themeColor="text1"/>
          <w:szCs w:val="21"/>
          <w:highlight w:val="none"/>
          <w:lang w:val="zh-CN"/>
          <w14:textFill>
            <w14:solidFill>
              <w14:schemeClr w14:val="tx1"/>
            </w14:solidFill>
          </w14:textFill>
        </w:rPr>
      </w:pPr>
      <w:r>
        <w:rPr>
          <w:rFonts w:hint="eastAsia"/>
          <w:color w:val="000000" w:themeColor="text1"/>
          <w:szCs w:val="21"/>
          <w:highlight w:val="none"/>
          <w14:textFill>
            <w14:solidFill>
              <w14:schemeClr w14:val="tx1"/>
            </w14:solidFill>
          </w14:textFill>
        </w:rPr>
        <w:t>（6）</w:t>
      </w:r>
      <w:r>
        <w:rPr>
          <w:rFonts w:hint="eastAsia" w:hAnsi="宋体"/>
          <w:color w:val="000000" w:themeColor="text1"/>
          <w:szCs w:val="21"/>
          <w:highlight w:val="none"/>
          <w:lang w:val="zh-CN"/>
          <w14:textFill>
            <w14:solidFill>
              <w14:schemeClr w14:val="tx1"/>
            </w14:solidFill>
          </w14:textFill>
        </w:rPr>
        <w:t>因承包人原因不能按照协议书约定的竣工日期或工程师同意顺延的工期竣工；</w:t>
      </w:r>
    </w:p>
    <w:p w14:paraId="2C81207E">
      <w:pPr>
        <w:spacing w:line="356" w:lineRule="auto"/>
        <w:ind w:firstLine="420" w:firstLineChars="200"/>
        <w:jc w:val="left"/>
        <w:rPr>
          <w:rFonts w:hint="eastAsia" w:hAnsi="宋体"/>
          <w:color w:val="000000" w:themeColor="text1"/>
          <w:szCs w:val="21"/>
          <w:highlight w:val="none"/>
          <w:lang w:val="zh-CN"/>
          <w14:textFill>
            <w14:solidFill>
              <w14:schemeClr w14:val="tx1"/>
            </w14:solidFill>
          </w14:textFill>
        </w:rPr>
      </w:pPr>
      <w:r>
        <w:rPr>
          <w:rFonts w:hint="eastAsia" w:hAnsi="宋体"/>
          <w:color w:val="000000" w:themeColor="text1"/>
          <w:szCs w:val="21"/>
          <w:highlight w:val="none"/>
          <w:lang w:val="zh-CN"/>
          <w14:textFill>
            <w14:solidFill>
              <w14:schemeClr w14:val="tx1"/>
            </w14:solidFill>
          </w14:textFill>
        </w:rPr>
        <w:t>（</w:t>
      </w:r>
      <w:r>
        <w:rPr>
          <w:rFonts w:hint="eastAsia" w:hAnsi="宋体"/>
          <w:color w:val="000000" w:themeColor="text1"/>
          <w:szCs w:val="21"/>
          <w:highlight w:val="none"/>
          <w14:textFill>
            <w14:solidFill>
              <w14:schemeClr w14:val="tx1"/>
            </w14:solidFill>
          </w14:textFill>
        </w:rPr>
        <w:t>7</w:t>
      </w:r>
      <w:r>
        <w:rPr>
          <w:rFonts w:hint="eastAsia" w:hAnsi="宋体"/>
          <w:color w:val="000000" w:themeColor="text1"/>
          <w:szCs w:val="21"/>
          <w:highlight w:val="none"/>
          <w:lang w:val="zh-CN"/>
          <w14:textFill>
            <w14:solidFill>
              <w14:schemeClr w14:val="tx1"/>
            </w14:solidFill>
          </w14:textFill>
        </w:rPr>
        <w:t>）承包人不履行合同义务或不按合同约定履行义务的其他情况。承包人承担违约责任，并赔偿因其违约给发包人造成的损失。双方在专用条款内约定承包人赔偿发包人损失的计算方法或者承包人应当支付违约金的数额和计算方法。</w:t>
      </w:r>
    </w:p>
    <w:p w14:paraId="70C847C1">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16.2.3 因承包人违约解除合同</w:t>
      </w:r>
    </w:p>
    <w:p w14:paraId="4E75A9FA">
      <w:pPr>
        <w:spacing w:line="356" w:lineRule="auto"/>
        <w:ind w:firstLine="420" w:firstLineChars="200"/>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关于承包人违约解除合同的特别约定：</w:t>
      </w:r>
      <w:r>
        <w:rPr>
          <w:rFonts w:hint="eastAsia" w:ascii="宋体" w:hAnsi="宋体"/>
          <w:color w:val="000000" w:themeColor="text1"/>
          <w:szCs w:val="21"/>
          <w:highlight w:val="none"/>
          <w:u w:val="single"/>
          <w14:textFill>
            <w14:solidFill>
              <w14:schemeClr w14:val="tx1"/>
            </w14:solidFill>
          </w14:textFill>
        </w:rPr>
        <w:t>（1）承包人未按双方确认的施工计划组织施工；（2）承包人所施工的分部分项工程经两次验收均不合格；（3）承包人擅自更换本工程项目经理；（4）承包人未按照本合同约定及时移交工程和满足备案要求的完整竣工资料，逾期超过30天；（5）承包人欠付农民工工资、劳务费、材料款等，导致相关人员围堵发包人工地5天或办公经营场所3次或办公经营场所单次一天以上；（6）项目经理不胜任本职工作，发包人和工程师可提前</w:t>
      </w:r>
      <w:r>
        <w:rPr>
          <w:rFonts w:ascii="宋体" w:hAnsi="宋体"/>
          <w:color w:val="000000" w:themeColor="text1"/>
          <w:szCs w:val="21"/>
          <w:highlight w:val="none"/>
          <w:u w:val="single"/>
          <w14:textFill>
            <w14:solidFill>
              <w14:schemeClr w14:val="tx1"/>
            </w14:solidFill>
          </w14:textFill>
        </w:rPr>
        <w:t>7</w:t>
      </w:r>
      <w:r>
        <w:rPr>
          <w:rFonts w:hint="eastAsia" w:ascii="宋体" w:hAnsi="宋体"/>
          <w:color w:val="000000" w:themeColor="text1"/>
          <w:szCs w:val="21"/>
          <w:highlight w:val="none"/>
          <w:u w:val="single"/>
          <w14:textFill>
            <w14:solidFill>
              <w14:schemeClr w14:val="tx1"/>
            </w14:solidFill>
          </w14:textFill>
        </w:rPr>
        <w:t>天以书面形式通知承包人更换合格的项目经理，如更换后的项目经理仍旧不能胜任本职工作，发包人有解除合同的权利；（7）承包人违反本合同约定义务，经发包人催告后在限期内未改正的</w:t>
      </w:r>
      <w:r>
        <w:rPr>
          <w:rFonts w:hint="eastAsia" w:ascii="宋体" w:hAnsi="宋体"/>
          <w:color w:val="000000" w:themeColor="text1"/>
          <w:kern w:val="0"/>
          <w:szCs w:val="21"/>
          <w:highlight w:val="none"/>
          <w:u w:val="single"/>
          <w14:textFill>
            <w14:solidFill>
              <w14:schemeClr w14:val="tx1"/>
            </w14:solidFill>
          </w14:textFill>
        </w:rPr>
        <w:t>。</w:t>
      </w:r>
    </w:p>
    <w:p w14:paraId="1306C732">
      <w:pPr>
        <w:spacing w:line="356" w:lineRule="auto"/>
        <w:ind w:firstLine="420" w:firstLineChars="200"/>
        <w:rPr>
          <w:rFonts w:hint="eastAsia"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发包人</w:t>
      </w:r>
      <w:r>
        <w:rPr>
          <w:rFonts w:hint="eastAsia" w:ascii="宋体" w:hAnsi="宋体"/>
          <w:color w:val="000000" w:themeColor="text1"/>
          <w:kern w:val="0"/>
          <w:szCs w:val="21"/>
          <w:highlight w:val="none"/>
          <w14:textFill>
            <w14:solidFill>
              <w14:schemeClr w14:val="tx1"/>
            </w14:solidFill>
          </w14:textFill>
        </w:rPr>
        <w:t>继续</w:t>
      </w:r>
      <w:r>
        <w:rPr>
          <w:rFonts w:ascii="宋体" w:hAnsi="宋体"/>
          <w:color w:val="000000" w:themeColor="text1"/>
          <w:kern w:val="0"/>
          <w:szCs w:val="21"/>
          <w:highlight w:val="none"/>
          <w14:textFill>
            <w14:solidFill>
              <w14:schemeClr w14:val="tx1"/>
            </w14:solidFill>
          </w14:textFill>
        </w:rPr>
        <w:t>使用承包人在施工现场的材料、设备、临时工程、承包人文件和由承包人或以其名义编制的其他文件</w:t>
      </w:r>
      <w:r>
        <w:rPr>
          <w:rFonts w:hint="eastAsia" w:ascii="宋体" w:hAnsi="宋体"/>
          <w:color w:val="000000" w:themeColor="text1"/>
          <w:kern w:val="0"/>
          <w:szCs w:val="21"/>
          <w:highlight w:val="none"/>
          <w14:textFill>
            <w14:solidFill>
              <w14:schemeClr w14:val="tx1"/>
            </w14:solidFill>
          </w14:textFill>
        </w:rPr>
        <w:t>的费用承担方式</w:t>
      </w:r>
      <w:r>
        <w:rPr>
          <w:rFonts w:ascii="宋体" w:hAnsi="宋体"/>
          <w:color w:val="000000" w:themeColor="text1"/>
          <w:kern w:val="0"/>
          <w:szCs w:val="21"/>
          <w:highlight w:val="none"/>
          <w14:textFill>
            <w14:solidFill>
              <w14:schemeClr w14:val="tx1"/>
            </w14:solidFill>
          </w14:textFill>
        </w:rPr>
        <w:t>：</w:t>
      </w:r>
      <w:r>
        <w:rPr>
          <w:rFonts w:hint="eastAsia" w:ascii="宋体" w:hAnsi="宋体"/>
          <w:color w:val="000000" w:themeColor="text1"/>
          <w:kern w:val="0"/>
          <w:szCs w:val="21"/>
          <w:highlight w:val="none"/>
          <w:u w:val="single"/>
          <w14:textFill>
            <w14:solidFill>
              <w14:schemeClr w14:val="tx1"/>
            </w14:solidFill>
          </w14:textFill>
        </w:rPr>
        <w:t>工程材料设备由发包人按照承包人的采购价使用，但不得高于承包人投标报价中的材料单价；施工设备、临时工程、承包人文件和由承包人或以其名义编制的其他文件的由发包人免费使用，由承包人负责维护、拆除及退场并承担费用</w:t>
      </w:r>
      <w:r>
        <w:rPr>
          <w:rFonts w:hint="eastAsia" w:ascii="宋体" w:hAnsi="宋体"/>
          <w:color w:val="000000" w:themeColor="text1"/>
          <w:kern w:val="0"/>
          <w:szCs w:val="21"/>
          <w:highlight w:val="none"/>
          <w14:textFill>
            <w14:solidFill>
              <w14:schemeClr w14:val="tx1"/>
            </w14:solidFill>
          </w14:textFill>
        </w:rPr>
        <w:t>。</w:t>
      </w:r>
    </w:p>
    <w:p w14:paraId="061487CF">
      <w:pPr>
        <w:spacing w:line="356" w:lineRule="auto"/>
        <w:ind w:firstLine="420" w:firstLineChars="200"/>
        <w:rPr>
          <w:rFonts w:hint="eastAsia"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16.3 一方违约后，另一方要求违约方继续履行合同时，违约方承担上述违约责任后仍应继续履行合同。</w:t>
      </w:r>
    </w:p>
    <w:p w14:paraId="5CAABDFB">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1036" w:name="_Toc351203649"/>
      <w:r>
        <w:rPr>
          <w:rFonts w:hint="eastAsia" w:ascii="黑体" w:hAnsi="黑体" w:cs="黑体"/>
          <w:color w:val="000000" w:themeColor="text1"/>
          <w:sz w:val="21"/>
          <w:szCs w:val="21"/>
          <w:highlight w:val="none"/>
          <w14:textFill>
            <w14:solidFill>
              <w14:schemeClr w14:val="tx1"/>
            </w14:solidFill>
          </w14:textFill>
        </w:rPr>
        <w:t>17. 不可抗力</w:t>
      </w:r>
      <w:bookmarkEnd w:id="1036"/>
      <w:r>
        <w:rPr>
          <w:rFonts w:hint="eastAsia" w:ascii="黑体" w:hAnsi="黑体" w:cs="黑体"/>
          <w:color w:val="000000" w:themeColor="text1"/>
          <w:sz w:val="21"/>
          <w:szCs w:val="21"/>
          <w:highlight w:val="none"/>
          <w14:textFill>
            <w14:solidFill>
              <w14:schemeClr w14:val="tx1"/>
            </w14:solidFill>
          </w14:textFill>
        </w:rPr>
        <w:t xml:space="preserve"> </w:t>
      </w:r>
      <w:bookmarkEnd w:id="1034"/>
    </w:p>
    <w:p w14:paraId="1D471F5A">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17.1 不可抗力的确认</w:t>
      </w:r>
    </w:p>
    <w:p w14:paraId="4C8A7904">
      <w:pPr>
        <w:spacing w:line="356" w:lineRule="auto"/>
        <w:ind w:firstLine="420" w:firstLineChars="200"/>
        <w:jc w:val="left"/>
        <w:rPr>
          <w:rFonts w:hint="eastAsia" w:ascii="宋体" w:hAnsi="宋体"/>
          <w:color w:val="000000" w:themeColor="text1"/>
          <w:kern w:val="0"/>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除通用合同条款约定的不可抗力事件之外，视为不可抗力的其他情形：</w:t>
      </w:r>
      <w:r>
        <w:rPr>
          <w:rFonts w:hint="eastAsia"/>
          <w:color w:val="000000" w:themeColor="text1"/>
          <w:szCs w:val="21"/>
          <w:highlight w:val="none"/>
          <w:u w:val="single"/>
          <w14:textFill>
            <w14:solidFill>
              <w14:schemeClr w14:val="tx1"/>
            </w14:solidFill>
          </w14:textFill>
        </w:rPr>
        <w:t>按通用条款执行。其中正常年份的风、雨、雪、雾天气不属于不可抗力；承包人应当能够估计到的自然气候、环境（制约）变化的影响原则上也不作为不可抗力事件对待；高考、中考、运动会以及政府部门发出的有碍于施工的临时性指令均不作为不可抗力事件对待。由于发生30年以上一遇的降雨引起的洪水灾害、雪灾造成对工程的影响，经国家有关部门鉴定后可按不可抗力对待；发生破坏性地震的属于不可抗力事件</w:t>
      </w:r>
      <w:r>
        <w:rPr>
          <w:rFonts w:ascii="宋体" w:hAnsi="宋体"/>
          <w:color w:val="000000" w:themeColor="text1"/>
          <w:kern w:val="0"/>
          <w:szCs w:val="21"/>
          <w:highlight w:val="none"/>
          <w14:textFill>
            <w14:solidFill>
              <w14:schemeClr w14:val="tx1"/>
            </w14:solidFill>
          </w14:textFill>
        </w:rPr>
        <w:t>。</w:t>
      </w:r>
    </w:p>
    <w:p w14:paraId="77516691">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17.4 因不可抗力解除合同</w:t>
      </w:r>
    </w:p>
    <w:p w14:paraId="08D8B9E5">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合同解除后，发包人应在商定或确定发包人应支付款项后</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100</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天内完成款项的支付。</w:t>
      </w:r>
    </w:p>
    <w:bookmarkEnd w:id="1011"/>
    <w:bookmarkEnd w:id="1012"/>
    <w:bookmarkEnd w:id="1013"/>
    <w:bookmarkEnd w:id="1014"/>
    <w:bookmarkEnd w:id="1015"/>
    <w:bookmarkEnd w:id="1016"/>
    <w:bookmarkEnd w:id="1017"/>
    <w:bookmarkEnd w:id="1018"/>
    <w:bookmarkEnd w:id="1019"/>
    <w:bookmarkEnd w:id="1020"/>
    <w:bookmarkEnd w:id="1021"/>
    <w:bookmarkEnd w:id="1022"/>
    <w:bookmarkEnd w:id="1035"/>
    <w:p w14:paraId="7D604B59">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bookmarkStart w:id="1037" w:name="_Toc351203651"/>
      <w:r>
        <w:rPr>
          <w:rFonts w:hint="eastAsia" w:ascii="黑体" w:hAnsi="黑体" w:cs="黑体"/>
          <w:color w:val="000000" w:themeColor="text1"/>
          <w:sz w:val="21"/>
          <w:szCs w:val="21"/>
          <w:highlight w:val="none"/>
          <w14:textFill>
            <w14:solidFill>
              <w14:schemeClr w14:val="tx1"/>
            </w14:solidFill>
          </w14:textFill>
        </w:rPr>
        <w:t>20. 争议解决</w:t>
      </w:r>
      <w:bookmarkEnd w:id="1037"/>
    </w:p>
    <w:bookmarkEnd w:id="1023"/>
    <w:bookmarkEnd w:id="1024"/>
    <w:bookmarkEnd w:id="1025"/>
    <w:p w14:paraId="72378845">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20.4仲裁或诉讼</w:t>
      </w:r>
      <w:bookmarkEnd w:id="1026"/>
    </w:p>
    <w:p w14:paraId="5773B17B">
      <w:pPr>
        <w:spacing w:line="356"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因合同及合同有关事项发生的争议，按下列第</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2</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种方式</w:t>
      </w:r>
      <w:r>
        <w:rPr>
          <w:rFonts w:hint="eastAsia" w:ascii="宋体" w:hAnsi="宋体"/>
          <w:color w:val="000000" w:themeColor="text1"/>
          <w:szCs w:val="21"/>
          <w:highlight w:val="none"/>
          <w14:textFill>
            <w14:solidFill>
              <w14:schemeClr w14:val="tx1"/>
            </w14:solidFill>
          </w14:textFill>
        </w:rPr>
        <w:t>解</w:t>
      </w:r>
      <w:r>
        <w:rPr>
          <w:rFonts w:ascii="宋体" w:hAnsi="宋体"/>
          <w:color w:val="000000" w:themeColor="text1"/>
          <w:szCs w:val="21"/>
          <w:highlight w:val="none"/>
          <w14:textFill>
            <w14:solidFill>
              <w14:schemeClr w14:val="tx1"/>
            </w14:solidFill>
          </w14:textFill>
        </w:rPr>
        <w:t>决：</w:t>
      </w:r>
    </w:p>
    <w:p w14:paraId="0C6CA39D">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（1）向</w:t>
      </w:r>
      <w:r>
        <w:rPr>
          <w:rFonts w:hint="eastAsia" w:ascii="宋体" w:hAnsi="宋体"/>
          <w:color w:val="000000" w:themeColor="text1"/>
          <w:szCs w:val="21"/>
          <w:highlight w:val="none"/>
          <w:u w:val="single"/>
          <w14:textFill>
            <w14:solidFill>
              <w14:schemeClr w14:val="tx1"/>
            </w14:solidFill>
          </w14:textFill>
        </w:rPr>
        <w:t>西安</w:t>
      </w:r>
      <w:r>
        <w:rPr>
          <w:rFonts w:ascii="宋体" w:hAnsi="宋体"/>
          <w:color w:val="000000" w:themeColor="text1"/>
          <w:szCs w:val="21"/>
          <w:highlight w:val="none"/>
          <w14:textFill>
            <w14:solidFill>
              <w14:schemeClr w14:val="tx1"/>
            </w14:solidFill>
          </w14:textFill>
        </w:rPr>
        <w:t>仲裁委员会申请仲裁；</w:t>
      </w:r>
    </w:p>
    <w:p w14:paraId="3ECD6F0A">
      <w:pPr>
        <w:spacing w:line="356"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（2）向</w:t>
      </w:r>
      <w:r>
        <w:rPr>
          <w:rFonts w:hint="eastAsia" w:ascii="宋体" w:hAnsi="宋体"/>
          <w:color w:val="000000" w:themeColor="text1"/>
          <w:szCs w:val="21"/>
          <w:highlight w:val="none"/>
          <w:u w:val="single"/>
          <w14:textFill>
            <w14:solidFill>
              <w14:schemeClr w14:val="tx1"/>
            </w14:solidFill>
          </w14:textFill>
        </w:rPr>
        <w:t>工程所在地</w:t>
      </w:r>
      <w:r>
        <w:rPr>
          <w:rFonts w:ascii="宋体" w:hAnsi="宋体"/>
          <w:color w:val="000000" w:themeColor="text1"/>
          <w:szCs w:val="21"/>
          <w:highlight w:val="none"/>
          <w14:textFill>
            <w14:solidFill>
              <w14:schemeClr w14:val="tx1"/>
            </w14:solidFill>
          </w14:textFill>
        </w:rPr>
        <w:t>人民法院起诉。</w:t>
      </w:r>
      <w:bookmarkEnd w:id="1027"/>
      <w:bookmarkEnd w:id="1028"/>
      <w:bookmarkEnd w:id="1029"/>
      <w:bookmarkEnd w:id="1030"/>
      <w:bookmarkEnd w:id="1031"/>
      <w:bookmarkEnd w:id="1032"/>
    </w:p>
    <w:p w14:paraId="6A29A487">
      <w:pPr>
        <w:pStyle w:val="4"/>
        <w:spacing w:before="0" w:after="0" w:line="356" w:lineRule="auto"/>
        <w:rPr>
          <w:rFonts w:hint="eastAsia" w:ascii="黑体" w:hAnsi="黑体" w:cs="黑体"/>
          <w:color w:val="000000" w:themeColor="text1"/>
          <w:sz w:val="21"/>
          <w:szCs w:val="21"/>
          <w:highlight w:val="none"/>
          <w14:textFill>
            <w14:solidFill>
              <w14:schemeClr w14:val="tx1"/>
            </w14:solidFill>
          </w14:textFill>
        </w:rPr>
      </w:pPr>
      <w:r>
        <w:rPr>
          <w:rFonts w:hint="eastAsia" w:ascii="黑体" w:hAnsi="黑体" w:cs="黑体"/>
          <w:color w:val="000000" w:themeColor="text1"/>
          <w:sz w:val="21"/>
          <w:szCs w:val="21"/>
          <w:highlight w:val="none"/>
          <w14:textFill>
            <w14:solidFill>
              <w14:schemeClr w14:val="tx1"/>
            </w14:solidFill>
          </w14:textFill>
        </w:rPr>
        <w:t>21. 补充条款：</w:t>
      </w:r>
    </w:p>
    <w:p w14:paraId="5A99BD56">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1承包人在施工期间应服从、遵守发包人和当地政府职能部门的管理制度。</w:t>
      </w:r>
    </w:p>
    <w:p w14:paraId="57017477">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2关于安全防护、文明施工措施费的其他约定如下：</w:t>
      </w:r>
    </w:p>
    <w:p w14:paraId="6DDDEC78">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①承包人需提供安全防护、文明施工措施费的支付计划和落实情况，不得挪用。否则发包人有权扣除相应费用。</w:t>
      </w:r>
    </w:p>
    <w:p w14:paraId="75C59F5E">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②发包人对承包人落实安全防护、文明施工措施情况进行现场监管。若发现承包人未落实安全防护、文明施工措施的，有权责令其立即整改。</w:t>
      </w:r>
    </w:p>
    <w:p w14:paraId="397FC904">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3严格按文明工地施工，设立专用垃圾场，不得在施工区内任意堆放或乱倒垃圾，定期将建筑垃圾清理外运。</w:t>
      </w:r>
    </w:p>
    <w:p w14:paraId="764F7FA2">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4现场用电必须按照施工验收相关规范要求，三相五线制，一机一闸必须带漏电保护，不许用电炉、电热褥、“热得快”等其他影响安全的不合格电器。如施工现场出现用电漏电或短路跳闸，每次由承包人向发包人支付 5000 元的违约金。</w:t>
      </w:r>
    </w:p>
    <w:p w14:paraId="62E05A3E">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5承包人必须按照国务院第 724 号《保障农民工工资支付条例》、《西安市农民工工资保障办法》及《工程建设领域农民工工资专用账户管理暂行办法》(人社部 2021-53 号文)《西安市农民工工资支付保证金实施细则》规定及时支付缴纳保证金并按合同约定支付工资。如承包人未按上述要求执行，发包人有权要求承包人按照不高于合同价款的 20%向发包人支付违约金。</w:t>
      </w:r>
    </w:p>
    <w:p w14:paraId="53F2E80B">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6暂列金额属于发包人发生的预估费用，归发包人所有，在工程付款和结算时扣除。</w:t>
      </w:r>
    </w:p>
    <w:p w14:paraId="28BCE0F0">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7施工过程中，资料和工程进度必须同步。每月发包人管理人员对施工进度和资料进行检查，出现问题限期整改，否则由承包人向发包人支付 1000 元的违约金。</w:t>
      </w:r>
    </w:p>
    <w:p w14:paraId="710E2316">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8承包人须遵守地方政府和有关部门对施工扬尘治霾、施工噪音等的管理规定，切实做好现场裸露地面覆盖工作，降尘措施到位，并配备专门的清洗设备和人员，承包人负责承担违反上述规定所发生的费用。因承包人治污减霾工作不力，受到地方政府职能部门通报，视为承包人违约，支付违约金 3 万元/次，并从当期进度款中扣除。因治污减霾、施工降噪等受到政府职能部门的任何处罚,后果均由承包人承担。</w:t>
      </w:r>
    </w:p>
    <w:p w14:paraId="46650345">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9对于发包人发出的工作通知单，承包人必须于整改完成后书面回复，并经甲方确认其整改结果，若不能满足质量验收规范或施工规范的，将继续整改直至满足规范要求，必要时通报发包人，否则，发包人有权对承包人进行罚款。</w:t>
      </w:r>
    </w:p>
    <w:p w14:paraId="2C3B46B5">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10承包人对发包人的安全部门所发出的安全隐患整改指令必须无条件服从，并进行整改，整改完成后报安全主管或甲方工程师复查。</w:t>
      </w:r>
    </w:p>
    <w:p w14:paraId="79146305">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11承包人承担在其承包工程正式交付发包人前的成品保护责任。</w:t>
      </w:r>
    </w:p>
    <w:p w14:paraId="1E27ABC8">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12承包人必须按投标文件进度时间要求节点完成施工，若承包人未能按节点时间完成，每延迟一日，承包人向发包人支付1万元违约金。</w:t>
      </w:r>
    </w:p>
    <w:p w14:paraId="72F5DFF6">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13未经发包人同意，承包人不得将工程的任何部分进行转包或分包。发包人发现承包人违反规定转包或者分包，有权立即解除合同。承包人除比照本合同质量、工期相应处罚条款承担责任外，还应当承担不少于合同价款 30%的违约金。造成发包人损失的，承包人还应承担由于解除合同迫使发包人重新招标引起的信誉受损带来的直接、间接经济、名誉赔偿责任。</w:t>
      </w:r>
    </w:p>
    <w:p w14:paraId="5D9DC512">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14承包人按照建设部门或发包人要求，在施工中采用新技术、新工艺时，不得另行向发包人提出增加费用的要求，由此产生的经济效益也不在合同价款调整范围内。承包人也不得据此提出变更 设计。</w:t>
      </w:r>
    </w:p>
    <w:p w14:paraId="089E222D">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15承包人安全管理人员必须持证上岗，严格按照“三标”管理体系运行管理，负责检查现场和施工人员安全情况。如发包人管理人员发现有不安全因素存在且未采取预防保护的，支付违约金5000元/项。</w:t>
      </w:r>
    </w:p>
    <w:p w14:paraId="3591DBA2">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16承包人进场后应承担办理有关环保、卫生、城管、噪声等有关手续，并承担相应费用。</w:t>
      </w:r>
    </w:p>
    <w:p w14:paraId="37A3B40A">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17承包人所采购的材料必须符合认价单规定的各项要求，每批次材料都应附上合格证书，经发包人确认后方可使用，如果在检查中发现以次充好等情况，除了按要求调换之外，由承包人向发包人支付10000元/次的违约金。</w:t>
      </w:r>
    </w:p>
    <w:p w14:paraId="1E3EA379">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18承包人不得以任何理由拒绝或拖延发包人指派的新增任务(包括变更和合同外项目)，否则发包人另行安排，且承包人向发包人支付合同价款1%的违约金。</w:t>
      </w:r>
    </w:p>
    <w:p w14:paraId="64122981">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19如发包人或使用方要求提前投入使用，承包人应该予以配合，并不排除承包人承担的保修维护责任。</w:t>
      </w:r>
    </w:p>
    <w:p w14:paraId="27CF1DD2">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20承包人不因施工组织设计调整或为了赶工采取的相关补救措施或发包人为保证合同要求提出的达到既定质量及进度要求而另行增加费用。</w:t>
      </w:r>
    </w:p>
    <w:p w14:paraId="4FB7C09A">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21承包人在工程进度、质量、安全等方面出现下列情况时，发包人有权终止合同：</w:t>
      </w:r>
    </w:p>
    <w:p w14:paraId="5764C071">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(1) 进度方面：工程关键节点进度不能按计划完成。延误工期超过该节点计划工期的10%时，并且不能采取令发包人信服的赶工补救措施。</w:t>
      </w:r>
    </w:p>
    <w:p w14:paraId="4F37897D">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(2) 质量方面：①出现重大质量问题，经发包人单位提出，没有采取有效措施进行补救；②被建设行政主管部门因为质量问题通报两次者。</w:t>
      </w:r>
    </w:p>
    <w:p w14:paraId="20A26378">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(3) 安全问题：①出现重大隐患，经发包人提出，在限期内没有得到整改；②被建设行政部门因为安全问题进行通报两次者。</w:t>
      </w:r>
    </w:p>
    <w:p w14:paraId="10CEAB05">
      <w:pPr>
        <w:spacing w:line="356" w:lineRule="auto"/>
        <w:ind w:firstLine="420" w:firstLineChars="200"/>
        <w:jc w:val="left"/>
        <w:rPr>
          <w:rFonts w:hint="eastAsia" w:ascii="宋体" w:hAnsi="宋体"/>
          <w:color w:val="000000" w:themeColor="text1"/>
          <w:kern w:val="0"/>
          <w:szCs w:val="21"/>
          <w:highlight w:val="none"/>
          <w:lang w:val="zh-CN"/>
          <w14:textFill>
            <w14:solidFill>
              <w14:schemeClr w14:val="tx1"/>
            </w14:solidFill>
          </w14:textFill>
        </w:rPr>
      </w:pPr>
      <w:r>
        <w:rPr>
          <w:rFonts w:hint="eastAsia" w:ascii="宋体" w:hAnsi="宋体"/>
          <w:color w:val="000000" w:themeColor="text1"/>
          <w:kern w:val="0"/>
          <w:szCs w:val="21"/>
          <w:highlight w:val="none"/>
          <w:lang w:val="zh-CN"/>
          <w14:textFill>
            <w14:solidFill>
              <w14:schemeClr w14:val="tx1"/>
            </w14:solidFill>
          </w14:textFill>
        </w:rPr>
        <w:t>因以上原因，除终止合同外，承包人还应按合同价款的 20%向发包人支付违约金。由于终止合同对发包人造成的损失由承包人承担。</w:t>
      </w:r>
    </w:p>
    <w:p w14:paraId="638389AC">
      <w:pPr>
        <w:spacing w:line="356" w:lineRule="auto"/>
        <w:ind w:firstLine="420" w:firstLineChars="200"/>
        <w:jc w:val="left"/>
        <w:rPr>
          <w:color w:val="000000" w:themeColor="text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21.</w:t>
      </w:r>
      <w:r>
        <w:rPr>
          <w:rFonts w:hint="eastAsia" w:ascii="宋体" w:hAnsi="宋体"/>
          <w:color w:val="000000" w:themeColor="text1"/>
          <w:kern w:val="0"/>
          <w:szCs w:val="21"/>
          <w:highlight w:val="none"/>
          <w:lang w:val="zh-CN"/>
          <w14:textFill>
            <w14:solidFill>
              <w14:schemeClr w14:val="tx1"/>
            </w14:solidFill>
          </w14:textFill>
        </w:rPr>
        <w:t>22遵守地方政府和有关部门对施工现场扬尘污染问题的规定，工地出入口道路必须硬化，必须进行净化处理，负责清除驶出施工工地运输车体和车轮的泥土，车体和车轮不带泥土驶出工地。承包人负责承担违反上述规定所发生的费用。</w:t>
      </w:r>
    </w:p>
    <w:p w14:paraId="484587CA">
      <w:pPr>
        <w:pStyle w:val="29"/>
        <w:spacing w:line="356" w:lineRule="auto"/>
        <w:ind w:firstLine="420" w:firstLineChars="200"/>
        <w:rPr>
          <w:rFonts w:hint="eastAsia" w:ascii="宋体"/>
          <w:b w:val="0"/>
          <w:bCs/>
          <w:color w:val="000000" w:themeColor="text1"/>
          <w:kern w:val="0"/>
          <w:sz w:val="21"/>
          <w:szCs w:val="21"/>
          <w:highlight w:val="none"/>
          <w:lang w:val="zh-CN"/>
          <w14:textFill>
            <w14:solidFill>
              <w14:schemeClr w14:val="tx1"/>
            </w14:solidFill>
          </w14:textFill>
        </w:rPr>
      </w:pPr>
      <w:r>
        <w:rPr>
          <w:rFonts w:hint="eastAsia" w:ascii="宋体"/>
          <w:b w:val="0"/>
          <w:bCs/>
          <w:color w:val="000000" w:themeColor="text1"/>
          <w:kern w:val="0"/>
          <w:sz w:val="21"/>
          <w:szCs w:val="21"/>
          <w:highlight w:val="none"/>
          <w:lang w:val="zh-CN"/>
          <w14:textFill>
            <w14:solidFill>
              <w14:schemeClr w14:val="tx1"/>
            </w14:solidFill>
          </w14:textFill>
        </w:rPr>
        <w:t>21.23招标文件、投标文件、答疑纪要及承包人的承诺为本合同的组成部分，与合同具有同等法律效力。若通用条款与专用条款不一致时，执行专用条款，若专用条款与补充条款或者合同中两处对同一问题描述有冲突时，按照最有利于发包人的条款执行。</w:t>
      </w:r>
    </w:p>
    <w:p w14:paraId="2E773756">
      <w:pPr>
        <w:pStyle w:val="29"/>
        <w:spacing w:line="356" w:lineRule="auto"/>
        <w:ind w:firstLine="420" w:firstLineChars="200"/>
        <w:rPr>
          <w:rFonts w:hint="eastAsia" w:ascii="宋体"/>
          <w:b w:val="0"/>
          <w:bCs/>
          <w:color w:val="000000" w:themeColor="text1"/>
          <w:kern w:val="0"/>
          <w:sz w:val="21"/>
          <w:szCs w:val="21"/>
          <w:highlight w:val="none"/>
          <w:lang w:val="zh-CN"/>
          <w14:textFill>
            <w14:solidFill>
              <w14:schemeClr w14:val="tx1"/>
            </w14:solidFill>
          </w14:textFill>
        </w:rPr>
      </w:pPr>
      <w:r>
        <w:rPr>
          <w:rFonts w:hint="eastAsia" w:ascii="宋体"/>
          <w:b w:val="0"/>
          <w:bCs/>
          <w:color w:val="000000" w:themeColor="text1"/>
          <w:kern w:val="0"/>
          <w:sz w:val="21"/>
          <w:szCs w:val="21"/>
          <w:highlight w:val="none"/>
          <w:lang w:val="zh-CN"/>
          <w14:textFill>
            <w14:solidFill>
              <w14:schemeClr w14:val="tx1"/>
            </w14:solidFill>
          </w14:textFill>
        </w:rPr>
        <w:t>21.24承包人的报批义务</w:t>
      </w:r>
    </w:p>
    <w:p w14:paraId="2E92A7C0">
      <w:pPr>
        <w:pStyle w:val="29"/>
        <w:spacing w:line="356" w:lineRule="auto"/>
        <w:ind w:firstLine="420" w:firstLineChars="200"/>
        <w:rPr>
          <w:rFonts w:hint="eastAsia" w:ascii="宋体"/>
          <w:b w:val="0"/>
          <w:bCs/>
          <w:color w:val="000000" w:themeColor="text1"/>
          <w:kern w:val="0"/>
          <w:sz w:val="21"/>
          <w:szCs w:val="21"/>
          <w:highlight w:val="none"/>
          <w:lang w:val="zh-CN"/>
          <w14:textFill>
            <w14:solidFill>
              <w14:schemeClr w14:val="tx1"/>
            </w14:solidFill>
          </w14:textFill>
        </w:rPr>
      </w:pPr>
      <w:r>
        <w:rPr>
          <w:rFonts w:hint="eastAsia" w:ascii="宋体"/>
          <w:b w:val="0"/>
          <w:bCs/>
          <w:color w:val="000000" w:themeColor="text1"/>
          <w:kern w:val="0"/>
          <w:sz w:val="21"/>
          <w:szCs w:val="21"/>
          <w:highlight w:val="none"/>
          <w:lang w:val="zh-CN"/>
          <w14:textFill>
            <w14:solidFill>
              <w14:schemeClr w14:val="tx1"/>
            </w14:solidFill>
          </w14:textFill>
        </w:rPr>
        <w:t>（1）项目竣工后，承包人应提供给发包人正式竣工蓝图 4 套，与竣工图内容相同的电子文件 2 套。</w:t>
      </w:r>
    </w:p>
    <w:p w14:paraId="4B3A2B7E">
      <w:pPr>
        <w:pStyle w:val="29"/>
        <w:spacing w:line="356" w:lineRule="auto"/>
        <w:ind w:firstLine="420" w:firstLineChars="200"/>
        <w:rPr>
          <w:rFonts w:hint="eastAsia" w:ascii="宋体"/>
          <w:b w:val="0"/>
          <w:bCs/>
          <w:color w:val="000000" w:themeColor="text1"/>
          <w:kern w:val="0"/>
          <w:sz w:val="21"/>
          <w:szCs w:val="21"/>
          <w:highlight w:val="none"/>
          <w:lang w:val="zh-CN"/>
          <w14:textFill>
            <w14:solidFill>
              <w14:schemeClr w14:val="tx1"/>
            </w14:solidFill>
          </w14:textFill>
        </w:rPr>
      </w:pPr>
      <w:r>
        <w:rPr>
          <w:rFonts w:hint="eastAsia" w:ascii="宋体"/>
          <w:b w:val="0"/>
          <w:bCs/>
          <w:color w:val="000000" w:themeColor="text1"/>
          <w:kern w:val="0"/>
          <w:sz w:val="21"/>
          <w:szCs w:val="21"/>
          <w:highlight w:val="none"/>
          <w:lang w:val="zh-CN"/>
          <w14:textFill>
            <w14:solidFill>
              <w14:schemeClr w14:val="tx1"/>
            </w14:solidFill>
          </w14:textFill>
        </w:rPr>
        <w:t>（2）承包人有义务参加配合项目的各项验收工作。在施工的各阶段，承包人应积极配合发包人完成因质检和消防等相关部门进行工程验收引起的与设计有关的技术工作，并配合完成后续验收资料的完善工作。</w:t>
      </w:r>
    </w:p>
    <w:p w14:paraId="11A36A33">
      <w:pPr>
        <w:pStyle w:val="29"/>
        <w:spacing w:line="356" w:lineRule="auto"/>
        <w:ind w:firstLine="420" w:firstLineChars="200"/>
        <w:rPr>
          <w:rFonts w:hint="eastAsia" w:ascii="宋体"/>
          <w:b w:val="0"/>
          <w:bCs/>
          <w:color w:val="000000" w:themeColor="text1"/>
          <w:kern w:val="0"/>
          <w:sz w:val="21"/>
          <w:szCs w:val="21"/>
          <w:highlight w:val="none"/>
          <w:lang w:val="zh-CN"/>
          <w14:textFill>
            <w14:solidFill>
              <w14:schemeClr w14:val="tx1"/>
            </w14:solidFill>
          </w14:textFill>
        </w:rPr>
      </w:pPr>
      <w:r>
        <w:rPr>
          <w:rFonts w:hint="eastAsia" w:ascii="宋体"/>
          <w:b w:val="0"/>
          <w:bCs/>
          <w:color w:val="000000" w:themeColor="text1"/>
          <w:kern w:val="0"/>
          <w:sz w:val="21"/>
          <w:szCs w:val="21"/>
          <w:highlight w:val="none"/>
          <w:lang w:val="zh-CN"/>
          <w14:textFill>
            <w14:solidFill>
              <w14:schemeClr w14:val="tx1"/>
            </w14:solidFill>
          </w14:textFill>
        </w:rPr>
        <w:t>（3）承包人需配备项目进行消防二次报批的专职人员，负责与相关部门对接，按照合同要求按时完成项目的消防报批手续。</w:t>
      </w:r>
    </w:p>
    <w:p w14:paraId="452DEFCF">
      <w:pPr>
        <w:pStyle w:val="29"/>
        <w:spacing w:line="356" w:lineRule="auto"/>
        <w:ind w:firstLine="420" w:firstLineChars="200"/>
        <w:rPr>
          <w:rFonts w:hint="eastAsia" w:ascii="宋体"/>
          <w:b w:val="0"/>
          <w:bCs/>
          <w:color w:val="000000" w:themeColor="text1"/>
          <w:kern w:val="0"/>
          <w:sz w:val="21"/>
          <w:szCs w:val="21"/>
          <w:highlight w:val="none"/>
          <w:lang w:val="zh-CN"/>
          <w14:textFill>
            <w14:solidFill>
              <w14:schemeClr w14:val="tx1"/>
            </w14:solidFill>
          </w14:textFill>
        </w:rPr>
      </w:pPr>
      <w:r>
        <w:rPr>
          <w:rFonts w:hint="eastAsia" w:ascii="宋体"/>
          <w:b w:val="0"/>
          <w:bCs/>
          <w:color w:val="000000" w:themeColor="text1"/>
          <w:kern w:val="0"/>
          <w:sz w:val="21"/>
          <w:szCs w:val="21"/>
          <w:highlight w:val="none"/>
          <w:lang w:val="zh-CN"/>
          <w14:textFill>
            <w14:solidFill>
              <w14:schemeClr w14:val="tx1"/>
            </w14:solidFill>
          </w14:textFill>
        </w:rPr>
        <w:t>（4）报批阶段相关专家评审费、咨询费已包含在合同价款中。</w:t>
      </w:r>
    </w:p>
    <w:p w14:paraId="0E55A468">
      <w:pPr>
        <w:pStyle w:val="29"/>
        <w:spacing w:line="356" w:lineRule="auto"/>
        <w:ind w:firstLine="420" w:firstLineChars="200"/>
        <w:rPr>
          <w:rFonts w:hint="eastAsia" w:ascii="宋体"/>
          <w:b w:val="0"/>
          <w:bCs/>
          <w:color w:val="000000" w:themeColor="text1"/>
          <w:kern w:val="0"/>
          <w:sz w:val="21"/>
          <w:szCs w:val="21"/>
          <w:highlight w:val="none"/>
          <w:lang w:val="zh-CN"/>
          <w14:textFill>
            <w14:solidFill>
              <w14:schemeClr w14:val="tx1"/>
            </w14:solidFill>
          </w14:textFill>
        </w:rPr>
      </w:pPr>
      <w:r>
        <w:rPr>
          <w:rFonts w:hint="eastAsia" w:ascii="宋体"/>
          <w:b w:val="0"/>
          <w:bCs/>
          <w:color w:val="000000" w:themeColor="text1"/>
          <w:kern w:val="0"/>
          <w:sz w:val="21"/>
          <w:szCs w:val="21"/>
          <w:highlight w:val="none"/>
          <w:lang w:val="zh-CN"/>
          <w14:textFill>
            <w14:solidFill>
              <w14:schemeClr w14:val="tx1"/>
            </w14:solidFill>
          </w14:textFill>
        </w:rPr>
        <w:t>21.25承包人为实施和完成本合同工程及缺陷修复工作中一切施工作业所需的施工场内的道路、施工临时道路(由承包人自行修建)由承包人负责养护和恢复，破坏的部分应由承包人修复至原有的等级和通行要求，由此引起的一切费用自理，并应保证发包人免于承担因上述临时道路的使用所引起的补偿费、诉讼费、损害赔偿、指控费及其它开支。</w:t>
      </w:r>
    </w:p>
    <w:p w14:paraId="0690D2D9">
      <w:pPr>
        <w:pStyle w:val="29"/>
        <w:spacing w:line="356" w:lineRule="auto"/>
        <w:ind w:firstLine="420" w:firstLineChars="200"/>
        <w:rPr>
          <w:rFonts w:hint="eastAsia" w:ascii="宋体"/>
          <w:b w:val="0"/>
          <w:bCs/>
          <w:color w:val="000000" w:themeColor="text1"/>
          <w:kern w:val="0"/>
          <w:sz w:val="21"/>
          <w:szCs w:val="21"/>
          <w:highlight w:val="none"/>
          <w:lang w:val="zh-CN"/>
          <w14:textFill>
            <w14:solidFill>
              <w14:schemeClr w14:val="tx1"/>
            </w14:solidFill>
          </w14:textFill>
        </w:rPr>
      </w:pPr>
      <w:r>
        <w:rPr>
          <w:rFonts w:hint="eastAsia" w:ascii="宋体"/>
          <w:b w:val="0"/>
          <w:bCs/>
          <w:color w:val="000000" w:themeColor="text1"/>
          <w:kern w:val="0"/>
          <w:sz w:val="21"/>
          <w:szCs w:val="21"/>
          <w:highlight w:val="none"/>
          <w:lang w:val="zh-CN"/>
          <w14:textFill>
            <w14:solidFill>
              <w14:schemeClr w14:val="tx1"/>
            </w14:solidFill>
          </w14:textFill>
        </w:rPr>
        <w:t>21.26承包人修建的临时道路应免费提供发包人和发包人指定的第三方使用。</w:t>
      </w:r>
    </w:p>
    <w:p w14:paraId="7CF5709F">
      <w:pPr>
        <w:pStyle w:val="29"/>
        <w:spacing w:line="356" w:lineRule="auto"/>
        <w:ind w:firstLine="420" w:firstLineChars="200"/>
        <w:rPr>
          <w:rFonts w:hint="eastAsia" w:ascii="宋体"/>
          <w:b w:val="0"/>
          <w:bCs/>
          <w:color w:val="000000" w:themeColor="text1"/>
          <w:kern w:val="0"/>
          <w:sz w:val="21"/>
          <w:szCs w:val="21"/>
          <w:highlight w:val="none"/>
          <w:lang w:val="zh-CN"/>
          <w14:textFill>
            <w14:solidFill>
              <w14:schemeClr w14:val="tx1"/>
            </w14:solidFill>
          </w14:textFill>
        </w:rPr>
      </w:pPr>
      <w:r>
        <w:rPr>
          <w:rFonts w:hint="eastAsia" w:ascii="宋体"/>
          <w:b w:val="0"/>
          <w:bCs/>
          <w:color w:val="000000" w:themeColor="text1"/>
          <w:kern w:val="0"/>
          <w:sz w:val="21"/>
          <w:szCs w:val="21"/>
          <w:highlight w:val="none"/>
          <w:lang w:val="zh-CN"/>
          <w14:textFill>
            <w14:solidFill>
              <w14:schemeClr w14:val="tx1"/>
            </w14:solidFill>
          </w14:textFill>
        </w:rPr>
        <w:t>21.27本工程</w:t>
      </w:r>
      <w:r>
        <w:rPr>
          <w:rFonts w:hint="eastAsia" w:ascii="宋体"/>
          <w:b w:val="0"/>
          <w:bCs/>
          <w:color w:val="000000" w:themeColor="text1"/>
          <w:kern w:val="0"/>
          <w:sz w:val="21"/>
          <w:szCs w:val="21"/>
          <w:highlight w:val="none"/>
          <w14:textFill>
            <w14:solidFill>
              <w14:schemeClr w14:val="tx1"/>
            </w14:solidFill>
          </w14:textFill>
        </w:rPr>
        <w:t>弱电</w:t>
      </w:r>
      <w:r>
        <w:rPr>
          <w:rFonts w:hint="eastAsia" w:ascii="宋体"/>
          <w:b w:val="0"/>
          <w:bCs/>
          <w:color w:val="000000" w:themeColor="text1"/>
          <w:kern w:val="0"/>
          <w:sz w:val="21"/>
          <w:szCs w:val="21"/>
          <w:highlight w:val="none"/>
          <w:lang w:val="zh-CN"/>
          <w14:textFill>
            <w14:solidFill>
              <w14:schemeClr w14:val="tx1"/>
            </w14:solidFill>
          </w14:textFill>
        </w:rPr>
        <w:t>改造工程需要与原厂家兼容（相关费用由施工方负责）。</w:t>
      </w:r>
    </w:p>
    <w:p w14:paraId="6EEE80E4">
      <w:pPr>
        <w:pStyle w:val="29"/>
        <w:spacing w:line="356" w:lineRule="auto"/>
        <w:ind w:firstLine="420" w:firstLineChars="200"/>
        <w:rPr>
          <w:rFonts w:hint="eastAsia" w:ascii="宋体"/>
          <w:b w:val="0"/>
          <w:bCs/>
          <w:color w:val="000000" w:themeColor="text1"/>
          <w:kern w:val="0"/>
          <w:sz w:val="21"/>
          <w:szCs w:val="21"/>
          <w:highlight w:val="none"/>
          <w14:textFill>
            <w14:solidFill>
              <w14:schemeClr w14:val="tx1"/>
            </w14:solidFill>
          </w14:textFill>
        </w:rPr>
      </w:pPr>
      <w:r>
        <w:rPr>
          <w:rFonts w:hint="eastAsia" w:ascii="宋体"/>
          <w:b w:val="0"/>
          <w:bCs/>
          <w:color w:val="000000" w:themeColor="text1"/>
          <w:kern w:val="0"/>
          <w:sz w:val="21"/>
          <w:szCs w:val="21"/>
          <w:highlight w:val="none"/>
          <w14:textFill>
            <w14:solidFill>
              <w14:schemeClr w14:val="tx1"/>
            </w14:solidFill>
          </w14:textFill>
        </w:rPr>
        <w:t>21.28承包人无条件配合发包人住户协调工作。</w:t>
      </w:r>
    </w:p>
    <w:p w14:paraId="4ED391DB">
      <w:pPr>
        <w:pStyle w:val="29"/>
        <w:spacing w:line="360" w:lineRule="auto"/>
        <w:ind w:firstLine="420" w:firstLineChars="200"/>
        <w:rPr>
          <w:rFonts w:hint="eastAsia" w:ascii="宋体"/>
          <w:b w:val="0"/>
          <w:bCs/>
          <w:color w:val="000000" w:themeColor="text1"/>
          <w:kern w:val="0"/>
          <w:sz w:val="21"/>
          <w:szCs w:val="21"/>
          <w:highlight w:val="none"/>
          <w:lang w:val="zh-CN"/>
          <w14:textFill>
            <w14:solidFill>
              <w14:schemeClr w14:val="tx1"/>
            </w14:solidFill>
          </w14:textFill>
        </w:rPr>
      </w:pPr>
    </w:p>
    <w:p w14:paraId="258F4F1C">
      <w:pPr>
        <w:widowControl/>
        <w:spacing w:line="360" w:lineRule="auto"/>
        <w:jc w:val="left"/>
        <w:rPr>
          <w:color w:val="000000" w:themeColor="text1"/>
          <w:szCs w:val="21"/>
          <w:highlight w:val="none"/>
          <w14:textFill>
            <w14:solidFill>
              <w14:schemeClr w14:val="tx1"/>
            </w14:solidFill>
          </w14:textFill>
        </w:rPr>
      </w:pPr>
    </w:p>
    <w:p w14:paraId="05DAA2C4">
      <w:pPr>
        <w:widowControl/>
        <w:spacing w:line="360" w:lineRule="auto"/>
        <w:jc w:val="left"/>
        <w:rPr>
          <w:color w:val="000000" w:themeColor="text1"/>
          <w:szCs w:val="21"/>
          <w:highlight w:val="none"/>
          <w14:textFill>
            <w14:solidFill>
              <w14:schemeClr w14:val="tx1"/>
            </w14:solidFill>
          </w14:textFill>
        </w:rPr>
      </w:pPr>
    </w:p>
    <w:p w14:paraId="2FA2F885">
      <w:pPr>
        <w:widowControl/>
        <w:spacing w:line="360" w:lineRule="auto"/>
        <w:jc w:val="left"/>
        <w:rPr>
          <w:color w:val="000000" w:themeColor="text1"/>
          <w:szCs w:val="21"/>
          <w:highlight w:val="none"/>
          <w14:textFill>
            <w14:solidFill>
              <w14:schemeClr w14:val="tx1"/>
            </w14:solidFill>
          </w14:textFill>
        </w:rPr>
      </w:pPr>
    </w:p>
    <w:p w14:paraId="1A24CC74">
      <w:pPr>
        <w:widowControl/>
        <w:spacing w:line="360" w:lineRule="auto"/>
        <w:jc w:val="left"/>
        <w:rPr>
          <w:color w:val="000000" w:themeColor="text1"/>
          <w:szCs w:val="21"/>
          <w:highlight w:val="none"/>
          <w14:textFill>
            <w14:solidFill>
              <w14:schemeClr w14:val="tx1"/>
            </w14:solidFill>
          </w14:textFill>
        </w:rPr>
      </w:pPr>
    </w:p>
    <w:p w14:paraId="10C43238">
      <w:pPr>
        <w:widowControl/>
        <w:spacing w:line="360" w:lineRule="auto"/>
        <w:jc w:val="left"/>
        <w:rPr>
          <w:color w:val="000000" w:themeColor="text1"/>
          <w:szCs w:val="21"/>
          <w:highlight w:val="none"/>
          <w14:textFill>
            <w14:solidFill>
              <w14:schemeClr w14:val="tx1"/>
            </w14:solidFill>
          </w14:textFill>
        </w:rPr>
      </w:pPr>
    </w:p>
    <w:p w14:paraId="51C74B09">
      <w:pPr>
        <w:widowControl/>
        <w:spacing w:line="360" w:lineRule="auto"/>
        <w:jc w:val="left"/>
        <w:rPr>
          <w:color w:val="000000" w:themeColor="text1"/>
          <w:szCs w:val="21"/>
          <w:highlight w:val="none"/>
          <w14:textFill>
            <w14:solidFill>
              <w14:schemeClr w14:val="tx1"/>
            </w14:solidFill>
          </w14:textFill>
        </w:rPr>
      </w:pPr>
    </w:p>
    <w:p w14:paraId="6596770D">
      <w:pPr>
        <w:widowControl/>
        <w:spacing w:line="360" w:lineRule="auto"/>
        <w:jc w:val="left"/>
        <w:rPr>
          <w:color w:val="000000" w:themeColor="text1"/>
          <w:szCs w:val="21"/>
          <w:highlight w:val="none"/>
          <w14:textFill>
            <w14:solidFill>
              <w14:schemeClr w14:val="tx1"/>
            </w14:solidFill>
          </w14:textFill>
        </w:rPr>
      </w:pPr>
    </w:p>
    <w:p w14:paraId="5862254F">
      <w:pPr>
        <w:widowControl/>
        <w:spacing w:line="360" w:lineRule="auto"/>
        <w:jc w:val="left"/>
        <w:rPr>
          <w:color w:val="000000" w:themeColor="text1"/>
          <w:szCs w:val="21"/>
          <w:highlight w:val="none"/>
          <w14:textFill>
            <w14:solidFill>
              <w14:schemeClr w14:val="tx1"/>
            </w14:solidFill>
          </w14:textFill>
        </w:rPr>
      </w:pPr>
    </w:p>
    <w:p w14:paraId="483E1DA4">
      <w:pPr>
        <w:widowControl/>
        <w:spacing w:line="360" w:lineRule="auto"/>
        <w:jc w:val="left"/>
        <w:rPr>
          <w:color w:val="000000" w:themeColor="text1"/>
          <w:szCs w:val="21"/>
          <w:highlight w:val="none"/>
          <w14:textFill>
            <w14:solidFill>
              <w14:schemeClr w14:val="tx1"/>
            </w14:solidFill>
          </w14:textFill>
        </w:rPr>
      </w:pPr>
    </w:p>
    <w:p w14:paraId="12040388">
      <w:pPr>
        <w:widowControl/>
        <w:spacing w:line="360" w:lineRule="auto"/>
        <w:jc w:val="left"/>
        <w:rPr>
          <w:color w:val="000000" w:themeColor="text1"/>
          <w:szCs w:val="21"/>
          <w:highlight w:val="none"/>
          <w14:textFill>
            <w14:solidFill>
              <w14:schemeClr w14:val="tx1"/>
            </w14:solidFill>
          </w14:textFill>
        </w:rPr>
      </w:pPr>
    </w:p>
    <w:p w14:paraId="3F0841E9">
      <w:pPr>
        <w:widowControl/>
        <w:spacing w:line="360" w:lineRule="auto"/>
        <w:jc w:val="left"/>
        <w:rPr>
          <w:color w:val="000000" w:themeColor="text1"/>
          <w:szCs w:val="21"/>
          <w:highlight w:val="none"/>
          <w14:textFill>
            <w14:solidFill>
              <w14:schemeClr w14:val="tx1"/>
            </w14:solidFill>
          </w14:textFill>
        </w:rPr>
      </w:pPr>
    </w:p>
    <w:p w14:paraId="3AD568C1">
      <w:pPr>
        <w:widowControl/>
        <w:spacing w:line="360" w:lineRule="auto"/>
        <w:jc w:val="left"/>
        <w:rPr>
          <w:color w:val="000000" w:themeColor="text1"/>
          <w:szCs w:val="21"/>
          <w:highlight w:val="none"/>
          <w14:textFill>
            <w14:solidFill>
              <w14:schemeClr w14:val="tx1"/>
            </w14:solidFill>
          </w14:textFill>
        </w:rPr>
      </w:pPr>
    </w:p>
    <w:p w14:paraId="2820772D">
      <w:pPr>
        <w:widowControl/>
        <w:spacing w:line="360" w:lineRule="auto"/>
        <w:jc w:val="left"/>
        <w:rPr>
          <w:color w:val="000000" w:themeColor="text1"/>
          <w:szCs w:val="21"/>
          <w:highlight w:val="none"/>
          <w14:textFill>
            <w14:solidFill>
              <w14:schemeClr w14:val="tx1"/>
            </w14:solidFill>
          </w14:textFill>
        </w:rPr>
      </w:pPr>
    </w:p>
    <w:p w14:paraId="0088C2A2">
      <w:pPr>
        <w:widowControl/>
        <w:spacing w:line="360" w:lineRule="auto"/>
        <w:jc w:val="left"/>
        <w:rPr>
          <w:color w:val="000000" w:themeColor="text1"/>
          <w:szCs w:val="21"/>
          <w:highlight w:val="none"/>
          <w14:textFill>
            <w14:solidFill>
              <w14:schemeClr w14:val="tx1"/>
            </w14:solidFill>
          </w14:textFill>
        </w:rPr>
      </w:pPr>
    </w:p>
    <w:p w14:paraId="199F66B1">
      <w:pPr>
        <w:widowControl/>
        <w:spacing w:line="360" w:lineRule="auto"/>
        <w:jc w:val="left"/>
        <w:rPr>
          <w:color w:val="000000" w:themeColor="text1"/>
          <w:szCs w:val="21"/>
          <w:highlight w:val="none"/>
          <w14:textFill>
            <w14:solidFill>
              <w14:schemeClr w14:val="tx1"/>
            </w14:solidFill>
          </w14:textFill>
        </w:rPr>
      </w:pPr>
    </w:p>
    <w:p w14:paraId="133363BB">
      <w:pPr>
        <w:widowControl/>
        <w:spacing w:line="360" w:lineRule="auto"/>
        <w:jc w:val="left"/>
        <w:rPr>
          <w:color w:val="000000" w:themeColor="text1"/>
          <w:szCs w:val="21"/>
          <w:highlight w:val="none"/>
          <w14:textFill>
            <w14:solidFill>
              <w14:schemeClr w14:val="tx1"/>
            </w14:solidFill>
          </w14:textFill>
        </w:rPr>
      </w:pPr>
    </w:p>
    <w:p w14:paraId="3585AA3B">
      <w:pPr>
        <w:widowControl/>
        <w:spacing w:line="360" w:lineRule="auto"/>
        <w:jc w:val="left"/>
        <w:rPr>
          <w:color w:val="000000" w:themeColor="text1"/>
          <w:szCs w:val="21"/>
          <w:highlight w:val="none"/>
          <w14:textFill>
            <w14:solidFill>
              <w14:schemeClr w14:val="tx1"/>
            </w14:solidFill>
          </w14:textFill>
        </w:rPr>
      </w:pPr>
    </w:p>
    <w:p w14:paraId="7017B168">
      <w:pPr>
        <w:spacing w:line="360" w:lineRule="auto"/>
        <w:jc w:val="lef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附件</w:t>
      </w:r>
    </w:p>
    <w:p w14:paraId="57FDE00F">
      <w:pPr>
        <w:spacing w:line="360" w:lineRule="auto"/>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协议书附件：</w:t>
      </w:r>
    </w:p>
    <w:p w14:paraId="41899443">
      <w:pPr>
        <w:spacing w:line="360" w:lineRule="auto"/>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专用合同条款附件：</w:t>
      </w:r>
    </w:p>
    <w:p w14:paraId="5609AEFF">
      <w:pPr>
        <w:spacing w:line="360" w:lineRule="auto"/>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附件</w:t>
      </w: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w:t>
      </w:r>
      <w:r>
        <w:rPr>
          <w:rFonts w:hint="eastAsia" w:ascii="宋体" w:hAnsi="宋体" w:cs="宋体"/>
          <w:bCs/>
          <w:color w:val="000000" w:themeColor="text1"/>
          <w:szCs w:val="28"/>
          <w:highlight w:val="none"/>
          <w14:textFill>
            <w14:solidFill>
              <w14:schemeClr w14:val="tx1"/>
            </w14:solidFill>
          </w14:textFill>
        </w:rPr>
        <w:t>安全生产责任书</w:t>
      </w:r>
    </w:p>
    <w:p w14:paraId="4C8B529D">
      <w:pPr>
        <w:spacing w:line="360" w:lineRule="auto"/>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附件</w:t>
      </w: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：工程质量保修书</w:t>
      </w:r>
    </w:p>
    <w:p w14:paraId="17ED330B">
      <w:pPr>
        <w:spacing w:line="360" w:lineRule="auto"/>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附件</w:t>
      </w:r>
      <w:r>
        <w:rPr>
          <w:rFonts w:hint="eastAsia" w:ascii="宋体" w:hAnsi="宋体"/>
          <w:color w:val="000000" w:themeColor="text1"/>
          <w:szCs w:val="21"/>
          <w:highlight w:val="none"/>
          <w14:textFill>
            <w14:solidFill>
              <w14:schemeClr w14:val="tx1"/>
            </w14:solidFill>
          </w14:textFill>
        </w:rPr>
        <w:t>3</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廉政协议书</w:t>
      </w:r>
    </w:p>
    <w:p w14:paraId="01CBF6F4">
      <w:pPr>
        <w:spacing w:line="360" w:lineRule="auto"/>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附件4：主要设备材料品牌表</w:t>
      </w:r>
    </w:p>
    <w:p w14:paraId="08CDACD6">
      <w:pPr>
        <w:pStyle w:val="29"/>
        <w:spacing w:line="360" w:lineRule="auto"/>
        <w:ind w:firstLine="361" w:firstLineChars="200"/>
        <w:rPr>
          <w:rFonts w:hint="eastAsia"/>
          <w:color w:val="000000" w:themeColor="text1"/>
          <w:szCs w:val="21"/>
          <w:highlight w:val="none"/>
          <w14:textFill>
            <w14:solidFill>
              <w14:schemeClr w14:val="tx1"/>
            </w14:solidFill>
          </w14:textFill>
        </w:rPr>
      </w:pPr>
    </w:p>
    <w:p w14:paraId="556C3814">
      <w:pPr>
        <w:widowControl/>
        <w:spacing w:line="360" w:lineRule="auto"/>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r>
    </w:p>
    <w:p w14:paraId="33B039CA">
      <w:pPr>
        <w:adjustRightInd w:val="0"/>
        <w:snapToGrid w:val="0"/>
        <w:spacing w:line="360" w:lineRule="auto"/>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附</w:t>
      </w:r>
      <w:bookmarkStart w:id="1038" w:name="_Toc267261692"/>
      <w:bookmarkStart w:id="1039" w:name="_Toc296891053"/>
      <w:bookmarkStart w:id="1040" w:name="_Toc296346726"/>
      <w:bookmarkStart w:id="1041" w:name="_Toc296503225"/>
      <w:bookmarkStart w:id="1042" w:name="_Toc296347224"/>
      <w:bookmarkStart w:id="1043" w:name="_Toc296944564"/>
      <w:bookmarkStart w:id="1044" w:name="_Toc296891265"/>
      <w:r>
        <w:rPr>
          <w:rFonts w:hint="eastAsia" w:ascii="黑体" w:hAnsi="宋体" w:eastAsia="黑体"/>
          <w:color w:val="000000" w:themeColor="text1"/>
          <w:sz w:val="28"/>
          <w:szCs w:val="28"/>
          <w:highlight w:val="none"/>
          <w14:textFill>
            <w14:solidFill>
              <w14:schemeClr w14:val="tx1"/>
            </w14:solidFill>
          </w14:textFill>
        </w:rPr>
        <w:t>件1：</w:t>
      </w:r>
    </w:p>
    <w:bookmarkEnd w:id="1038"/>
    <w:bookmarkEnd w:id="1039"/>
    <w:bookmarkEnd w:id="1040"/>
    <w:bookmarkEnd w:id="1041"/>
    <w:bookmarkEnd w:id="1042"/>
    <w:bookmarkEnd w:id="1043"/>
    <w:bookmarkEnd w:id="1044"/>
    <w:p w14:paraId="0AA5BF78">
      <w:pPr>
        <w:adjustRightInd w:val="0"/>
        <w:snapToGrid w:val="0"/>
        <w:spacing w:line="360" w:lineRule="auto"/>
        <w:jc w:val="center"/>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安全生产责任书</w:t>
      </w:r>
    </w:p>
    <w:p w14:paraId="13AF2435">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p>
    <w:p w14:paraId="410CAEEA">
      <w:pPr>
        <w:spacing w:line="360" w:lineRule="auto"/>
        <w:ind w:firstLine="420"/>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w:t>
      </w:r>
      <w:r>
        <w:rPr>
          <w:rFonts w:hint="eastAsia" w:ascii="宋体" w:hAnsi="宋体" w:cs="宋体"/>
          <w:bCs/>
          <w:color w:val="000000" w:themeColor="text1"/>
          <w:szCs w:val="21"/>
          <w:highlight w:val="none"/>
          <w:u w:val="single"/>
          <w14:textFill>
            <w14:solidFill>
              <w14:schemeClr w14:val="tx1"/>
            </w14:solidFill>
          </w14:textFill>
        </w:rPr>
        <w:t>（发包人或建设单位全称）</w:t>
      </w:r>
    </w:p>
    <w:p w14:paraId="1E9F208D">
      <w:pPr>
        <w:spacing w:line="360" w:lineRule="auto"/>
        <w:ind w:firstLine="420"/>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w:t>
      </w:r>
      <w:r>
        <w:rPr>
          <w:rFonts w:hint="eastAsia" w:ascii="宋体" w:hAnsi="宋体" w:cs="宋体"/>
          <w:color w:val="000000" w:themeColor="text1"/>
          <w:szCs w:val="21"/>
          <w:highlight w:val="none"/>
          <w:u w:val="single"/>
          <w14:textFill>
            <w14:solidFill>
              <w14:schemeClr w14:val="tx1"/>
            </w14:solidFill>
          </w14:textFill>
        </w:rPr>
        <w:t xml:space="preserve">（承包人全称）          </w:t>
      </w:r>
    </w:p>
    <w:p w14:paraId="59B07705">
      <w:pPr>
        <w:pStyle w:val="27"/>
        <w:spacing w:before="0" w:beforeAutospacing="0" w:after="0" w:afterAutospacing="0" w:line="360" w:lineRule="auto"/>
        <w:ind w:firstLine="420"/>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为加强施工安全生产管理，提高施工现场管理水平，明确和落实各级安全生产责任制，根据《中华人民共和国建筑法》、《中华人民共和国安全生产法》、《中华人民共和国劳动法》、《建设工程安全生产管理条例》、《建设工程质量管理条例》、《生产安全事故报告和调查处理条例》、《工程建设标准强制性条文》、《陕西省建设工程质量和安全生产管理条例》等相关法律法规，签订本责任书。</w:t>
      </w:r>
    </w:p>
    <w:p w14:paraId="61D2E4B0">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一、责任范围</w:t>
      </w:r>
    </w:p>
    <w:p w14:paraId="729C2706">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承包人所承建工程的全部施工生产作业及其辅助性相关工作。</w:t>
      </w:r>
    </w:p>
    <w:p w14:paraId="6B921161">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二、责任目标</w:t>
      </w:r>
    </w:p>
    <w:p w14:paraId="5DB1AE59">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1、杜绝死亡及重伤（含交通责任）事故，轻伤事故率控制在5‰以内。</w:t>
      </w:r>
    </w:p>
    <w:p w14:paraId="047A6CC5">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2、杜绝火灾、爆炸及灾害性天气造成的一般及以上责任事故。</w:t>
      </w:r>
    </w:p>
    <w:p w14:paraId="67AB6C46">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3、杜绝交通、中毒和中暑一般及以上责任事故。</w:t>
      </w:r>
    </w:p>
    <w:p w14:paraId="3665A7CD">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4、杜绝机械设备和特种设备一般及以上责任安全事故。</w:t>
      </w:r>
    </w:p>
    <w:p w14:paraId="74E32C4D">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5、杜绝环境污染事故。</w:t>
      </w:r>
    </w:p>
    <w:p w14:paraId="4A277517">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6、杜绝职工职业病责任事故。</w:t>
      </w:r>
    </w:p>
    <w:p w14:paraId="66C3DB94">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7、人员安全教育培训100%，持有效证件上岗率100%。</w:t>
      </w:r>
    </w:p>
    <w:p w14:paraId="02CBB002">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三、责任内容</w:t>
      </w:r>
    </w:p>
    <w:p w14:paraId="5B2BFE23">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1、施工单位应履行安全文明施工管理职责，严格执行建设工程安全生产</w:t>
      </w:r>
      <w:r>
        <w:rPr>
          <w:rFonts w:hint="eastAsia" w:ascii="宋体" w:hAnsi="宋体" w:cs="宋体"/>
          <w:color w:val="000000" w:themeColor="text1"/>
          <w:kern w:val="0"/>
          <w:szCs w:val="21"/>
          <w:highlight w:val="none"/>
          <w:lang w:eastAsia="zh-CN"/>
          <w14:textFill>
            <w14:solidFill>
              <w14:schemeClr w14:val="tx1"/>
            </w14:solidFill>
          </w14:textFill>
        </w:rPr>
        <w:t>法律法规</w:t>
      </w:r>
      <w:r>
        <w:rPr>
          <w:rFonts w:hint="eastAsia" w:ascii="宋体" w:hAnsi="宋体" w:cs="宋体"/>
          <w:color w:val="000000" w:themeColor="text1"/>
          <w:kern w:val="0"/>
          <w:szCs w:val="21"/>
          <w:highlight w:val="none"/>
          <w14:textFill>
            <w14:solidFill>
              <w14:schemeClr w14:val="tx1"/>
            </w14:solidFill>
          </w14:textFill>
        </w:rPr>
        <w:t>和工程建设强制性标准，对保护施工现场环境质量、施工人员身体健康、生命安全直接负责。</w:t>
      </w:r>
    </w:p>
    <w:p w14:paraId="41C17483">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2、建立健全施工安全文明管理体系和各项规章制度及操作规程，落实安全文明施工责任制。对施工人员进行必要的安全教育、安全施工要求，记录完整。</w:t>
      </w:r>
    </w:p>
    <w:p w14:paraId="359F905F">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3、为施工人员提供符合标准的生活、生产工具及个人劳动保护用品、作业环境和安全文明施工条件，施工现场有必要的安全防范提示。</w:t>
      </w:r>
    </w:p>
    <w:p w14:paraId="45724AA1">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4、采取的安全技术措施符合建设工程强制性标准，使用的特种设备及辅助性工程设施，使用前必须验收合格。</w:t>
      </w:r>
    </w:p>
    <w:p w14:paraId="4CA5CC38">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5、实施生产安全事故和环境质量破坏事件零目标管理，采取危险源识别和控制管理措施。</w:t>
      </w:r>
    </w:p>
    <w:p w14:paraId="0F984FFF">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6、施工作业前勘察作业环境和安全生产条件，符合条件方可施工；对操作人员进行安全技术交底；对存在重大安全风险的施工作业编制专项安全施工方案，按方案严格组织实施，重大施工方案必须经专家论证。</w:t>
      </w:r>
    </w:p>
    <w:p w14:paraId="6141A055">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建立检查巡视制度，组织开展安全检查活动，施工中设专人进行巡查，发现违章指挥和违章作业、事故隐患和环境质量破坏事件及时纠正制止，消除生产安全事故隐患；巡视、检查、整改进行书面记录，建立隐患台账、整改记录登记表。</w:t>
      </w:r>
    </w:p>
    <w:p w14:paraId="2DB0CDA6">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8、组织落实安全生产活动，宣传安全生产法规，</w:t>
      </w:r>
      <w:r>
        <w:rPr>
          <w:rFonts w:hint="eastAsia" w:ascii="宋体" w:hAnsi="宋体" w:cs="宋体"/>
          <w:color w:val="000000" w:themeColor="text1"/>
          <w:kern w:val="0"/>
          <w:szCs w:val="21"/>
          <w:highlight w:val="none"/>
          <w:lang w:eastAsia="zh-CN"/>
          <w14:textFill>
            <w14:solidFill>
              <w14:schemeClr w14:val="tx1"/>
            </w14:solidFill>
          </w14:textFill>
        </w:rPr>
        <w:t>增强</w:t>
      </w:r>
      <w:r>
        <w:rPr>
          <w:rFonts w:hint="eastAsia" w:ascii="宋体" w:hAnsi="宋体" w:cs="宋体"/>
          <w:color w:val="000000" w:themeColor="text1"/>
          <w:kern w:val="0"/>
          <w:szCs w:val="21"/>
          <w:highlight w:val="none"/>
          <w14:textFill>
            <w14:solidFill>
              <w14:schemeClr w14:val="tx1"/>
            </w14:solidFill>
          </w14:textFill>
        </w:rPr>
        <w:t>全体员工安全生产意识。</w:t>
      </w:r>
    </w:p>
    <w:p w14:paraId="72CE1AF0">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9、组织参建人员进行安全教育和特种工教育培训工作，确保从业人员教育培训合格，特种工持证上岗，管理人员资质符合要求。</w:t>
      </w:r>
    </w:p>
    <w:p w14:paraId="67EC6DE2">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10、制定生产安全事故应急救援预案，建立应急救援组织、配备应急救援人员、配备必要的应急救援器材和设备，并组织进行演练。</w:t>
      </w:r>
    </w:p>
    <w:p w14:paraId="74406B50">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11、落实安全生产事故上报制度，及时、如实上报发生的安全生产事故，并组织进行救援，配合进行安全生产事故的调查处理。</w:t>
      </w:r>
    </w:p>
    <w:p w14:paraId="6661D1B3">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保证安全生产措施经费及时到位，专款专用，安全经费使用符合《中华人民共和国安全生产法》等有关法律法规及财政部和安全监管总局联合下发的“关于印发《企业安全生产费用提取和使用管理办法》的通知”（财企〔2012〕16号）要求。</w:t>
      </w:r>
    </w:p>
    <w:p w14:paraId="51B6A0C2">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13、建立健全职业病管理制度，落实职业病防治措施。</w:t>
      </w:r>
    </w:p>
    <w:p w14:paraId="66421F6C">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14、履行落实承包合同中其他相关条款。</w:t>
      </w:r>
    </w:p>
    <w:p w14:paraId="11BC501F">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四、处罚办法</w:t>
      </w:r>
    </w:p>
    <w:p w14:paraId="005A7F98">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1、发生安全事故虽未造成人员伤亡但造成5万元以上30万元以下直接经济损失或足以导致重大伤亡后果的，约谈事故单位企业法人，并责成事故单位主管领导现场落实整改。</w:t>
      </w:r>
    </w:p>
    <w:p w14:paraId="2ADDA4E4">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2、发生一般及以上事故的（一般事故指造成3人以下死亡，或者10人以下重伤，或者1000万元以下直接经济损失的事故），同时进行如下处理：</w:t>
      </w:r>
    </w:p>
    <w:p w14:paraId="140B7AED">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（1）将事故单位报建设工程质量安全监督站及相关建设管理部门，列入施工单位诚信系统黑名单，禁止企业在本区域内再次承揽工程。</w:t>
      </w:r>
    </w:p>
    <w:p w14:paraId="17778B86">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（2）更换事故单位项目经理。</w:t>
      </w:r>
    </w:p>
    <w:p w14:paraId="60305AB6">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本责任书未涉及的其他有关安全质量责任追究和处罚内容按国家《建设工程安全生产管理条例》、《生产安全事故报告和调查处理条例》、《建设工程质量管理条例》、《陕西省建设工程质量和安全生产管理条例》等相关法律法规执行。</w:t>
      </w:r>
    </w:p>
    <w:p w14:paraId="3A14D973">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五、责任期限</w:t>
      </w:r>
    </w:p>
    <w:p w14:paraId="4CE6E8BE">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本责任书有效期自</w:t>
      </w:r>
      <w:r>
        <w:rPr>
          <w:rFonts w:hint="eastAsia" w:ascii="宋体" w:hAnsi="宋体" w:cs="宋体"/>
          <w:color w:val="000000" w:themeColor="text1"/>
          <w:kern w:val="0"/>
          <w:szCs w:val="21"/>
          <w:highlight w:val="none"/>
          <w:lang w:eastAsia="zh-CN"/>
          <w14:textFill>
            <w14:solidFill>
              <w14:schemeClr w14:val="tx1"/>
            </w14:solidFill>
          </w14:textFill>
        </w:rPr>
        <w:t>签订之日起</w:t>
      </w:r>
      <w:r>
        <w:rPr>
          <w:rFonts w:hint="eastAsia" w:ascii="宋体" w:hAnsi="宋体" w:cs="宋体"/>
          <w:color w:val="000000" w:themeColor="text1"/>
          <w:kern w:val="0"/>
          <w:szCs w:val="21"/>
          <w:highlight w:val="none"/>
          <w14:textFill>
            <w14:solidFill>
              <w14:schemeClr w14:val="tx1"/>
            </w14:solidFill>
          </w14:textFill>
        </w:rPr>
        <w:t>工程竣工验收合格之日止。</w:t>
      </w:r>
    </w:p>
    <w:p w14:paraId="517BA44D">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六、其他内容</w:t>
      </w:r>
    </w:p>
    <w:p w14:paraId="0F5B11AA">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因不可抗力自然灾害造成的事故不追究责任。</w:t>
      </w:r>
    </w:p>
    <w:p w14:paraId="33C16B9E">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p>
    <w:p w14:paraId="1E4A6378">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p>
    <w:p w14:paraId="26D6A89E">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                           承包人：</w:t>
      </w:r>
    </w:p>
    <w:p w14:paraId="140F8DD1">
      <w:pPr>
        <w:spacing w:line="360" w:lineRule="auto"/>
        <w:ind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发包人代表：                       承包人代表：</w:t>
      </w:r>
    </w:p>
    <w:p w14:paraId="33C04B4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时间：                             时间：</w:t>
      </w:r>
    </w:p>
    <w:p w14:paraId="731530D8">
      <w:pPr>
        <w:widowControl/>
        <w:spacing w:line="360" w:lineRule="auto"/>
        <w:rPr>
          <w:rFonts w:hint="eastAsia" w:ascii="宋体" w:hAnsi="宋体" w:cs="宋体"/>
          <w:color w:val="000000" w:themeColor="text1"/>
          <w:kern w:val="0"/>
          <w:szCs w:val="21"/>
          <w:highlight w:val="none"/>
          <w14:textFill>
            <w14:solidFill>
              <w14:schemeClr w14:val="tx1"/>
            </w14:solidFill>
          </w14:textFill>
        </w:rPr>
      </w:pPr>
    </w:p>
    <w:p w14:paraId="0EFFBBF1">
      <w:pPr>
        <w:widowControl/>
        <w:spacing w:line="360" w:lineRule="auto"/>
        <w:jc w:val="left"/>
        <w:rPr>
          <w:rFonts w:ascii="黑体" w:eastAsia="黑体"/>
          <w:color w:val="000000" w:themeColor="text1"/>
          <w:sz w:val="36"/>
          <w:szCs w:val="36"/>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附件2：</w:t>
      </w:r>
    </w:p>
    <w:p w14:paraId="03D9CE91">
      <w:pPr>
        <w:adjustRightInd w:val="0"/>
        <w:snapToGrid w:val="0"/>
        <w:spacing w:line="360" w:lineRule="auto"/>
        <w:jc w:val="center"/>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工程质量保修书</w:t>
      </w:r>
    </w:p>
    <w:p w14:paraId="55D64520">
      <w:pPr>
        <w:adjustRightInd w:val="0"/>
        <w:snapToGrid w:val="0"/>
        <w:spacing w:line="360"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w:t>
      </w:r>
      <w:r>
        <w:rPr>
          <w:rFonts w:hint="eastAsia" w:ascii="宋体" w:hAnsi="宋体"/>
          <w:color w:val="000000" w:themeColor="text1"/>
          <w:szCs w:val="21"/>
          <w:highlight w:val="none"/>
          <w14:textFill>
            <w14:solidFill>
              <w14:schemeClr w14:val="tx1"/>
            </w14:solidFill>
          </w14:textFill>
        </w:rPr>
        <w:t>采购人</w:t>
      </w:r>
      <w:r>
        <w:rPr>
          <w:rFonts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u w:val="single"/>
          <w14:textFill>
            <w14:solidFill>
              <w14:schemeClr w14:val="tx1"/>
            </w14:solidFill>
          </w14:textFill>
        </w:rPr>
        <w:t xml:space="preserve">                                  </w:t>
      </w:r>
    </w:p>
    <w:p w14:paraId="1826BC29">
      <w:pPr>
        <w:adjustRightInd w:val="0"/>
        <w:snapToGrid w:val="0"/>
        <w:spacing w:line="360"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w:t>
      </w:r>
      <w:r>
        <w:rPr>
          <w:rFonts w:hint="eastAsia" w:ascii="宋体" w:hAnsi="宋体"/>
          <w:color w:val="000000" w:themeColor="text1"/>
          <w:szCs w:val="21"/>
          <w:highlight w:val="none"/>
          <w14:textFill>
            <w14:solidFill>
              <w14:schemeClr w14:val="tx1"/>
            </w14:solidFill>
          </w14:textFill>
        </w:rPr>
        <w:t>投标人</w:t>
      </w:r>
      <w:r>
        <w:rPr>
          <w:rFonts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p>
    <w:p w14:paraId="210D3B13">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为保证</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（工程名称）</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在合理使用期限内正常使用，发包人和承包人根据</w:t>
      </w:r>
      <w:r>
        <w:rPr>
          <w:rFonts w:hint="eastAsia" w:ascii="宋体" w:hAnsi="宋体"/>
          <w:color w:val="000000" w:themeColor="text1"/>
          <w:szCs w:val="21"/>
          <w:highlight w:val="none"/>
          <w14:textFill>
            <w14:solidFill>
              <w14:schemeClr w14:val="tx1"/>
            </w14:solidFill>
          </w14:textFill>
        </w:rPr>
        <w:t>《中华人民共和国政府采购法》</w:t>
      </w:r>
      <w:r>
        <w:rPr>
          <w:rFonts w:ascii="宋体" w:hAnsi="宋体"/>
          <w:color w:val="000000" w:themeColor="text1"/>
          <w:szCs w:val="21"/>
          <w:highlight w:val="none"/>
          <w14:textFill>
            <w14:solidFill>
              <w14:schemeClr w14:val="tx1"/>
            </w14:solidFill>
          </w14:textFill>
        </w:rPr>
        <w:t>《中华人民共和国建筑法》《建设工程质量管理条例》，经协商一致，签订工程质量保修书，承包人在质量保修期内应按照有关规定及双方约定承担工程质量保修责任。</w:t>
      </w:r>
    </w:p>
    <w:p w14:paraId="13A01B00">
      <w:pPr>
        <w:adjustRightInd w:val="0"/>
        <w:snapToGrid w:val="0"/>
        <w:spacing w:line="360" w:lineRule="auto"/>
        <w:ind w:firstLine="422"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1.质量保修范围</w:t>
      </w:r>
    </w:p>
    <w:p w14:paraId="00389357">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范围包括地基基础工程、主体结构工程、屋面防水工程、有防水要求的卫生间、房间、外墙面的防渗漏工程、电气管线工程、给排水管道工程、设备安装工程、供热、供冷系统工程、装饰装修工程以及双方约定其他项目。具体质量保修范围，双方约定如下：</w:t>
      </w:r>
    </w:p>
    <w:p w14:paraId="157916E6">
      <w:pPr>
        <w:adjustRightInd w:val="0"/>
        <w:snapToGrid w:val="0"/>
        <w:spacing w:line="360"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u w:val="single"/>
          <w14:textFill>
            <w14:solidFill>
              <w14:schemeClr w14:val="tx1"/>
            </w14:solidFill>
          </w14:textFill>
        </w:rPr>
        <w:t xml:space="preserve">                                           </w:t>
      </w:r>
    </w:p>
    <w:p w14:paraId="61702210">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u w:val="single"/>
          <w14:textFill>
            <w14:solidFill>
              <w14:schemeClr w14:val="tx1"/>
            </w14:solidFill>
          </w14:textFill>
        </w:rPr>
        <w:t xml:space="preserve">                                           </w:t>
      </w:r>
    </w:p>
    <w:p w14:paraId="25D7A3FA">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u w:val="single"/>
          <w14:textFill>
            <w14:solidFill>
              <w14:schemeClr w14:val="tx1"/>
            </w14:solidFill>
          </w14:textFill>
        </w:rPr>
        <w:t xml:space="preserve">                                           </w:t>
      </w:r>
    </w:p>
    <w:p w14:paraId="5CBA638B">
      <w:pPr>
        <w:adjustRightInd w:val="0"/>
        <w:snapToGrid w:val="0"/>
        <w:spacing w:line="360" w:lineRule="auto"/>
        <w:ind w:firstLine="422"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 质量保修期</w:t>
      </w:r>
    </w:p>
    <w:p w14:paraId="7589AE66">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双方根据《建设工程质量管理条例》及有关规定，约定本工程质量保修期如下：</w:t>
      </w:r>
    </w:p>
    <w:p w14:paraId="3DF47644">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（1）地基基础工程、主体结构工程为设计文件规定的合理使用年限；</w:t>
      </w:r>
    </w:p>
    <w:p w14:paraId="6669E83E">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（2）屋面防水工程、有防水要求的卫生间、房间和外墙面的防渗漏工程为：</w:t>
      </w:r>
      <w:r>
        <w:rPr>
          <w:rFonts w:hint="eastAsia" w:ascii="宋体" w:hAnsi="宋体"/>
          <w:color w:val="000000" w:themeColor="text1"/>
          <w:szCs w:val="21"/>
          <w:highlight w:val="none"/>
          <w:u w:val="single"/>
          <w14:textFill>
            <w14:solidFill>
              <w14:schemeClr w14:val="tx1"/>
            </w14:solidFill>
          </w14:textFill>
        </w:rPr>
        <w:t>5</w:t>
      </w:r>
      <w:r>
        <w:rPr>
          <w:rFonts w:ascii="宋体" w:hAnsi="宋体"/>
          <w:color w:val="000000" w:themeColor="text1"/>
          <w:szCs w:val="21"/>
          <w:highlight w:val="none"/>
          <w14:textFill>
            <w14:solidFill>
              <w14:schemeClr w14:val="tx1"/>
            </w14:solidFill>
          </w14:textFill>
        </w:rPr>
        <w:t>年；</w:t>
      </w:r>
    </w:p>
    <w:p w14:paraId="07FF6EB0">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（3）电气管线工程、</w:t>
      </w:r>
      <w:r>
        <w:rPr>
          <w:rFonts w:hint="eastAsia" w:ascii="宋体" w:hAnsi="宋体"/>
          <w:color w:val="000000" w:themeColor="text1"/>
          <w:szCs w:val="21"/>
          <w:highlight w:val="none"/>
          <w14:textFill>
            <w14:solidFill>
              <w14:schemeClr w14:val="tx1"/>
            </w14:solidFill>
          </w14:textFill>
        </w:rPr>
        <w:t>给排水管道</w:t>
      </w:r>
      <w:r>
        <w:rPr>
          <w:rFonts w:ascii="宋体" w:hAnsi="宋体"/>
          <w:color w:val="000000" w:themeColor="text1"/>
          <w:szCs w:val="21"/>
          <w:highlight w:val="none"/>
          <w14:textFill>
            <w14:solidFill>
              <w14:schemeClr w14:val="tx1"/>
            </w14:solidFill>
          </w14:textFill>
        </w:rPr>
        <w:t>、设备安装工程为：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2</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p>
    <w:p w14:paraId="6D461972">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（4）供热、供冷系统工程为：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2</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个采暖期、供冷期；</w:t>
      </w:r>
    </w:p>
    <w:p w14:paraId="354B1D81">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（5）装饰装修工程为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2</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p>
    <w:p w14:paraId="1DB7B7B4">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（6）其他项目</w:t>
      </w:r>
      <w:r>
        <w:rPr>
          <w:rFonts w:hint="eastAsia" w:ascii="宋体" w:hAnsi="宋体"/>
          <w:color w:val="000000" w:themeColor="text1"/>
          <w:szCs w:val="21"/>
          <w:highlight w:val="none"/>
          <w14:textFill>
            <w14:solidFill>
              <w14:schemeClr w14:val="tx1"/>
            </w14:solidFill>
          </w14:textFill>
        </w:rPr>
        <w:t>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2</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p>
    <w:p w14:paraId="2C0F4610">
      <w:pPr>
        <w:adjustRightInd w:val="0"/>
        <w:snapToGrid w:val="0"/>
        <w:spacing w:line="360" w:lineRule="auto"/>
        <w:ind w:firstLine="422"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3. 质量保修责任</w:t>
      </w:r>
    </w:p>
    <w:p w14:paraId="60FFAD33">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3.1 属于保修范围的项目，承包人应在接到通知后的7天内派人保修，承包人不在约定期限内派人保修，发包人可自行或指派第三方保修。</w:t>
      </w:r>
    </w:p>
    <w:p w14:paraId="4BA4721E">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3.2 发生紧急抢修事故的，承包人在接到通知后，应立即到达事故现场抢修。</w:t>
      </w:r>
    </w:p>
    <w:p w14:paraId="7EBAB4A6">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3.3 在国家规定的工程合理使用期限内，承包人应确保地基基础工程和主体结构的安全和质量。凡</w:t>
      </w:r>
      <w:r>
        <w:rPr>
          <w:rFonts w:hint="eastAsia" w:ascii="宋体" w:hAnsi="宋体"/>
          <w:color w:val="000000" w:themeColor="text1"/>
          <w:szCs w:val="21"/>
          <w:highlight w:val="none"/>
          <w14:textFill>
            <w14:solidFill>
              <w14:schemeClr w14:val="tx1"/>
            </w14:solidFill>
          </w14:textFill>
        </w:rPr>
        <w:t>出现</w:t>
      </w:r>
      <w:r>
        <w:rPr>
          <w:rFonts w:ascii="宋体" w:hAnsi="宋体"/>
          <w:color w:val="000000" w:themeColor="text1"/>
          <w:szCs w:val="21"/>
          <w:highlight w:val="none"/>
          <w14:textFill>
            <w14:solidFill>
              <w14:schemeClr w14:val="tx1"/>
            </w14:solidFill>
          </w14:textFill>
        </w:rPr>
        <w:t>质量问题，应立即报告当地建设行政主管部门，由设计单位提出保修方案，承包人应立即实施保修。</w:t>
      </w:r>
    </w:p>
    <w:p w14:paraId="5BB136A5">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3.4 质量保修完成后，由发包人组织验收。</w:t>
      </w:r>
    </w:p>
    <w:p w14:paraId="388A38F9">
      <w:pPr>
        <w:adjustRightInd w:val="0"/>
        <w:snapToGrid w:val="0"/>
        <w:spacing w:line="360" w:lineRule="auto"/>
        <w:ind w:firstLine="422"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4. 质量保修费用</w:t>
      </w:r>
    </w:p>
    <w:p w14:paraId="29B88AEA">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质量保修费用及相关的损害赔偿费，由造成质量缺陷的责任方承担。</w:t>
      </w:r>
    </w:p>
    <w:p w14:paraId="27B60069">
      <w:pPr>
        <w:adjustRightInd w:val="0"/>
        <w:snapToGrid w:val="0"/>
        <w:spacing w:line="360" w:lineRule="auto"/>
        <w:ind w:firstLine="422"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5. 质量保证金</w:t>
      </w:r>
    </w:p>
    <w:p w14:paraId="0C3A87FA">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质量保证金的使用、约定、支付、返还与本合同的质量保证金赋予的约定一致。</w:t>
      </w:r>
    </w:p>
    <w:p w14:paraId="3C7F2E67">
      <w:pPr>
        <w:adjustRightInd w:val="0"/>
        <w:snapToGrid w:val="0"/>
        <w:spacing w:line="360" w:lineRule="auto"/>
        <w:ind w:firstLine="422" w:firstLineChars="20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6 .其他</w:t>
      </w:r>
    </w:p>
    <w:p w14:paraId="7624022D">
      <w:pPr>
        <w:adjustRightInd w:val="0"/>
        <w:snapToGrid w:val="0"/>
        <w:spacing w:line="360"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6.1 双方约定的</w:t>
      </w:r>
      <w:r>
        <w:rPr>
          <w:rFonts w:hint="eastAsia" w:ascii="宋体" w:hAnsi="宋体"/>
          <w:color w:val="000000" w:themeColor="text1"/>
          <w:szCs w:val="21"/>
          <w:highlight w:val="none"/>
          <w14:textFill>
            <w14:solidFill>
              <w14:schemeClr w14:val="tx1"/>
            </w14:solidFill>
          </w14:textFill>
        </w:rPr>
        <w:t>其他</w:t>
      </w:r>
      <w:r>
        <w:rPr>
          <w:rFonts w:ascii="宋体" w:hAnsi="宋体"/>
          <w:color w:val="000000" w:themeColor="text1"/>
          <w:szCs w:val="21"/>
          <w:highlight w:val="none"/>
          <w14:textFill>
            <w14:solidFill>
              <w14:schemeClr w14:val="tx1"/>
            </w14:solidFill>
          </w14:textFill>
        </w:rPr>
        <w:t>工程质量保修事项：</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p>
    <w:p w14:paraId="5E74739A">
      <w:pPr>
        <w:adjustRightInd w:val="0"/>
        <w:snapToGri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6.2 本工程质量保修书，由发包人承包人在工程竣工验收前签署，作为合同附件，其有效期限至保修期满。</w:t>
      </w:r>
    </w:p>
    <w:p w14:paraId="3483D382">
      <w:pPr>
        <w:adjustRightInd w:val="0"/>
        <w:snapToGrid w:val="0"/>
        <w:spacing w:line="360" w:lineRule="auto"/>
        <w:ind w:firstLine="480"/>
        <w:rPr>
          <w:rFonts w:hint="eastAsia" w:ascii="宋体" w:hAnsi="宋体"/>
          <w:color w:val="000000" w:themeColor="text1"/>
          <w:szCs w:val="21"/>
          <w:highlight w:val="none"/>
          <w14:textFill>
            <w14:solidFill>
              <w14:schemeClr w14:val="tx1"/>
            </w14:solidFill>
          </w14:textFill>
        </w:rPr>
      </w:pPr>
    </w:p>
    <w:p w14:paraId="4055DFAB">
      <w:pPr>
        <w:adjustRightInd w:val="0"/>
        <w:snapToGrid w:val="0"/>
        <w:spacing w:line="360" w:lineRule="auto"/>
        <w:ind w:firstLine="480"/>
        <w:rPr>
          <w:rFonts w:hint="eastAsia" w:ascii="宋体" w:hAnsi="宋体"/>
          <w:color w:val="000000" w:themeColor="text1"/>
          <w:szCs w:val="21"/>
          <w:highlight w:val="none"/>
          <w14:textFill>
            <w14:solidFill>
              <w14:schemeClr w14:val="tx1"/>
            </w14:solidFill>
          </w14:textFill>
        </w:rPr>
      </w:pPr>
    </w:p>
    <w:p w14:paraId="39727ADD">
      <w:pPr>
        <w:adjustRightInd w:val="0"/>
        <w:snapToGrid w:val="0"/>
        <w:spacing w:line="360"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发包人（公章）：</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承包人（公章）：</w:t>
      </w:r>
      <w:r>
        <w:rPr>
          <w:rFonts w:hint="eastAsia" w:ascii="宋体" w:hAnsi="宋体"/>
          <w:color w:val="000000" w:themeColor="text1"/>
          <w:szCs w:val="21"/>
          <w:highlight w:val="none"/>
          <w:u w:val="single"/>
          <w14:textFill>
            <w14:solidFill>
              <w14:schemeClr w14:val="tx1"/>
            </w14:solidFill>
          </w14:textFill>
        </w:rPr>
        <w:t xml:space="preserve">                    </w:t>
      </w:r>
    </w:p>
    <w:p w14:paraId="77E03EA8">
      <w:pPr>
        <w:adjustRightInd w:val="0"/>
        <w:snapToGrid w:val="0"/>
        <w:spacing w:line="360"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法定代表人（签名）：</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法定代表人（签名）：</w:t>
      </w:r>
      <w:r>
        <w:rPr>
          <w:rFonts w:hint="eastAsia" w:ascii="宋体" w:hAnsi="宋体"/>
          <w:color w:val="000000" w:themeColor="text1"/>
          <w:szCs w:val="21"/>
          <w:highlight w:val="none"/>
          <w:u w:val="single"/>
          <w14:textFill>
            <w14:solidFill>
              <w14:schemeClr w14:val="tx1"/>
            </w14:solidFill>
          </w14:textFill>
        </w:rPr>
        <w:t xml:space="preserve">                   </w:t>
      </w:r>
    </w:p>
    <w:p w14:paraId="70D0B315">
      <w:pPr>
        <w:adjustRightInd w:val="0"/>
        <w:snapToGrid w:val="0"/>
        <w:spacing w:line="360" w:lineRule="auto"/>
        <w:ind w:firstLine="420" w:firstLineChars="200"/>
        <w:rPr>
          <w:rFonts w:hint="eastAsia"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月</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日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月</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日</w:t>
      </w:r>
    </w:p>
    <w:p w14:paraId="117316CE">
      <w:pPr>
        <w:widowControl/>
        <w:spacing w:line="360" w:lineRule="auto"/>
        <w:jc w:val="left"/>
        <w:rPr>
          <w:rFonts w:hint="eastAsia" w:ascii="宋体" w:hAnsi="宋体" w:cs="宋体"/>
          <w:color w:val="000000" w:themeColor="text1"/>
          <w:kern w:val="0"/>
          <w:szCs w:val="21"/>
          <w:highlight w:val="none"/>
          <w14:textFill>
            <w14:solidFill>
              <w14:schemeClr w14:val="tx1"/>
            </w14:solidFill>
          </w14:textFill>
        </w:rPr>
      </w:pPr>
      <w:r>
        <w:rPr>
          <w:rFonts w:ascii="宋体" w:hAnsi="宋体" w:cs="宋体"/>
          <w:color w:val="000000" w:themeColor="text1"/>
          <w:kern w:val="0"/>
          <w:szCs w:val="21"/>
          <w:highlight w:val="none"/>
          <w14:textFill>
            <w14:solidFill>
              <w14:schemeClr w14:val="tx1"/>
            </w14:solidFill>
          </w14:textFill>
        </w:rPr>
        <w:br w:type="page"/>
      </w:r>
    </w:p>
    <w:p w14:paraId="073E9F27">
      <w:pPr>
        <w:spacing w:line="360" w:lineRule="auto"/>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附件3：</w:t>
      </w:r>
    </w:p>
    <w:p w14:paraId="086C4522">
      <w:pPr>
        <w:adjustRightInd w:val="0"/>
        <w:snapToGrid w:val="0"/>
        <w:spacing w:line="360" w:lineRule="auto"/>
        <w:jc w:val="center"/>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廉政协议书</w:t>
      </w:r>
    </w:p>
    <w:p w14:paraId="3CA4D20A">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为促进甲乙双方廉洁高效合作，促使甲乙双方工作人员廉洁从业，不断推动党风廉政建设工作，共同营造风清气正的市场氛围，根据党中央、国务院《关于实行党风廉政建设责任制的规定》和建设部、监察部《关于在工程建设中深入开展反对腐败和反对不正当竞争的通知》等文件精神，签订以下廉洁合同，本廉洁合同作为项目主合同的构成要件之一。</w:t>
      </w:r>
    </w:p>
    <w:p w14:paraId="1A1A9550">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甲方：陕西测绘地理信息局后勤服务中心。</w:t>
      </w:r>
    </w:p>
    <w:p w14:paraId="08DEE313">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乙方：                              。</w:t>
      </w:r>
    </w:p>
    <w:p w14:paraId="69BA0E8A">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第一条： 甲乙双方的权利和义务</w:t>
      </w:r>
    </w:p>
    <w:p w14:paraId="21CCBEA5">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（一）严格遵守党和国家有关法律法规及党风廉政建设各项规定。</w:t>
      </w:r>
    </w:p>
    <w:p w14:paraId="46BA72BE">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（二）严格履行本合同的各项约定，杜绝违约行为的发生。</w:t>
      </w:r>
    </w:p>
    <w:p w14:paraId="79D0C2B4">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（三）双方的业务活动坚持公开、公平、公正、诚信的原则（除法律认定的商业秘密和合同文件另有规定之外），严禁损害国家和集体利益，违反法律法规及规章制度的行为。</w:t>
      </w:r>
    </w:p>
    <w:p w14:paraId="58CA71DE">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（四）遵守健全党风廉政建设制度，开展党风廉政建设宣传教育，加强对本方工作人员的监督检查。</w:t>
      </w:r>
    </w:p>
    <w:p w14:paraId="697F42DD">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（五）发现对方在业务活动中有违反廉政规定和本合同约定的行为时，不予支持或配合，有及时提醒和督促对方纠正的权利和义务。</w:t>
      </w:r>
    </w:p>
    <w:p w14:paraId="523503BB">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（六）发现对方在业务活动中有违反廉政规定和本合同约定 的行为时，有向对方主管部门或有关机构检举、揭发并要求告知处理结果的权利。</w:t>
      </w:r>
    </w:p>
    <w:p w14:paraId="56DD08E7">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第二条：甲方在廉政建设方面的义务</w:t>
      </w:r>
    </w:p>
    <w:p w14:paraId="78AB7C4D">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（一）甲方工作人员不得以任何理由要挟乙方从事不属于乙方义务的工作。</w:t>
      </w:r>
    </w:p>
    <w:p w14:paraId="65CC95E0">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（二）甲方工作人员不得索要或接受乙方的礼金（各类名义的回扣、感谢费等）、有价证券、支付凭证、各类物品等财物。</w:t>
      </w:r>
    </w:p>
    <w:p w14:paraId="749E8E9C">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（三）甲方工作人员不得在乙方报销应由甲方或个人支付的任何费用。</w:t>
      </w:r>
    </w:p>
    <w:p w14:paraId="01D1E785">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（四）甲方工作人员不得参加乙方提供的宴请、娱乐活动、高档消费；不得要求或接受乙方提供交通工具、通讯工具、高档办公用品等。</w:t>
      </w:r>
    </w:p>
    <w:p w14:paraId="6CAB7BB5">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（五）甲方工作人员不得要求或者接受乙方为其及配偶、子女、亲友住房装修、婚丧嫁娶、出国（境）旅游等相关活动提供方便。</w:t>
      </w:r>
    </w:p>
    <w:p w14:paraId="09B5B6E9">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（六）甲方工作人员不得要求乙方为其配偶、子女及有利害 关系的人员安排工作或劳务；不得违反规定从事与甲方施工项目有关的材料设备供应、工程分包等经济活动。</w:t>
      </w:r>
    </w:p>
    <w:p w14:paraId="1B36BF45">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第三条：乙方在履行采购项目主合同的事前、事中、事后廉政建设方面义务</w:t>
      </w:r>
    </w:p>
    <w:p w14:paraId="1E547D81">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（一）乙方不得以任何理由、任何形式向甲方赠送礼金（回扣、感谢费等）、有价证券、支付凭证、各类物品等财物。</w:t>
      </w:r>
    </w:p>
    <w:p w14:paraId="2A5F83A0">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（二）乙方不得以任何名义为甲方报销应由甲方或个人支付的任何费用。</w:t>
      </w:r>
    </w:p>
    <w:p w14:paraId="2D4948B9">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（三）乙方不得以任何理由邀请甲方参加宴请及健身、娱乐 和旅游等活动；不得为其提供或者购置通讯工具、交通工具、高档办公用品等。</w:t>
      </w:r>
    </w:p>
    <w:p w14:paraId="6F77B280">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（四）乙方不得为甲方及其配偶、子女、亲友在住房装修、婚丧嫁娶、出国（境）旅游方面提供方便；不得为甲方配偶、子女及有利害关系的人员安排工作或劳务。</w:t>
      </w:r>
    </w:p>
    <w:p w14:paraId="5E07DBC6">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（五）乙方不得与监理单位串通，违反有关规定和程序，损害甲方利益。</w:t>
      </w:r>
    </w:p>
    <w:p w14:paraId="6E871DC2">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（六）不得有其他违反法律法规、党纪政纪行为。</w:t>
      </w:r>
    </w:p>
    <w:p w14:paraId="508D8BB8">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第四条：违约责任</w:t>
      </w:r>
    </w:p>
    <w:p w14:paraId="6135EF94">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（一）甲方工作人员若违反本《经济项目廉洁合同》有关规 定的，乙方可通过各类途径向甲方相关部门举报，对违法违纪人员，由甲方主管部门核实后依据有关规定查处。</w:t>
      </w:r>
    </w:p>
    <w:p w14:paraId="6D34E385">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（二）甲方工作人员向乙方索贿或有其他受贿行为的，经检举被司法机关立案查处的，酌情给予检举人一定的奖励，奖励由甲方承担。</w:t>
      </w:r>
    </w:p>
    <w:p w14:paraId="21094E98">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（三）乙方违反本合同规定义务的，除须向甲方承担经济合 同总额 5%的经济违约责任外， 由此给甲方单位造成的一切经济 损失均由乙方承担，违约金和赔偿金甲方有权在工程款中予以扣除。</w:t>
      </w:r>
    </w:p>
    <w:p w14:paraId="7D18D8A2">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（四）乙方发生一次违反本《经济项目廉洁合同》约定内容 的，甲方有权将乙方列入黑名单，5年内禁止与甲方有任何项目 方面的合作。乙方及其工作人员涉嫌犯罪的，由执法机关依法处理。</w:t>
      </w:r>
    </w:p>
    <w:p w14:paraId="3D3BC0A1">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第五条：检查方式</w:t>
      </w:r>
    </w:p>
    <w:p w14:paraId="3859AB0B">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本合同的履约情况由甲乙双方共同派员监督，检查方式为座 谈、问卷调查、查看资料或由双方约定的其他方式等。检查时间、次数、方式、检查结论等由双方协商确定。工程竣工验收时，甲乙双方应出具执行《经济项目廉洁合同》的情况总结和相互鉴定报告，未按规定作出该报告的，甲方有权不与乙方办理结算手续。</w:t>
      </w:r>
    </w:p>
    <w:p w14:paraId="63039491">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本项目监督人员信息：</w:t>
      </w:r>
    </w:p>
    <w:p w14:paraId="1B677B22">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 xml:space="preserve">甲方：                 电话：               </w:t>
      </w:r>
    </w:p>
    <w:p w14:paraId="6BEB95E0">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 xml:space="preserve">乙方：                 电话：               </w:t>
      </w:r>
    </w:p>
    <w:p w14:paraId="47E19A00">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举报箱设置位置：局大院19号楼西头公告栏侧。举报邮箱：hqjw123@163.com</w:t>
      </w:r>
    </w:p>
    <w:p w14:paraId="34DDD3EF">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第六条：乙方如将部分辅助项目合法分包的，乙方有责任告 知分包方本合同的具体内容，并严格执行本合同之约定。若分包 方违反该合同约定的，视为乙方违约，甲方有权按照本合同第四条追究乙方的违约责任及赔偿责任。</w:t>
      </w:r>
    </w:p>
    <w:p w14:paraId="3D183AD0">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第七条：本合同的有效期为双方签署之日起至该项目竣工验收合格、项目资金结清时止。</w:t>
      </w:r>
    </w:p>
    <w:p w14:paraId="6594FFDF">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第八条：本合同为经济合同的附件，与主合同具有同等法律效力，甲乙双方签署后生效。</w:t>
      </w:r>
    </w:p>
    <w:p w14:paraId="202904B3">
      <w:pPr>
        <w:pStyle w:val="29"/>
        <w:spacing w:line="360" w:lineRule="auto"/>
        <w:ind w:firstLine="361" w:firstLineChars="200"/>
        <w:rPr>
          <w:rFonts w:hint="eastAsia" w:ascii="宋体" w:cs="宋体"/>
          <w:color w:val="000000" w:themeColor="text1"/>
          <w:highlight w:val="none"/>
          <w14:textFill>
            <w14:solidFill>
              <w14:schemeClr w14:val="tx1"/>
            </w14:solidFill>
          </w14:textFill>
        </w:rPr>
      </w:pPr>
    </w:p>
    <w:p w14:paraId="60A61613">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甲方单位（盖章）：            乙方单位（盖章）：</w:t>
      </w:r>
    </w:p>
    <w:p w14:paraId="5EA9C8F1">
      <w:pPr>
        <w:pStyle w:val="29"/>
        <w:spacing w:line="360" w:lineRule="auto"/>
        <w:ind w:firstLine="420" w:firstLineChars="20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监督负责人（签名）：          监督负责人（签名）：</w:t>
      </w:r>
    </w:p>
    <w:p w14:paraId="328EB0ED">
      <w:pPr>
        <w:pStyle w:val="29"/>
        <w:spacing w:line="360" w:lineRule="auto"/>
        <w:ind w:firstLine="420" w:firstLineChars="200"/>
        <w:jc w:val="right"/>
        <w:rPr>
          <w:rFonts w:hint="eastAsia"/>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签订时间：      年    月    日</w:t>
      </w:r>
    </w:p>
    <w:p w14:paraId="272632BD">
      <w:pPr>
        <w:pStyle w:val="7"/>
        <w:spacing w:before="240" w:beforeLines="100" w:line="360" w:lineRule="auto"/>
        <w:ind w:firstLine="0"/>
        <w:jc w:val="center"/>
        <w:outlineLvl w:val="0"/>
        <w:rPr>
          <w:rFonts w:hint="eastAsia" w:ascii="黑体" w:hAnsi="宋体" w:eastAsia="黑体"/>
          <w:b/>
          <w:color w:val="000000" w:themeColor="text1"/>
          <w:kern w:val="44"/>
          <w:sz w:val="44"/>
          <w:szCs w:val="44"/>
          <w:highlight w:val="none"/>
          <w14:textFill>
            <w14:solidFill>
              <w14:schemeClr w14:val="tx1"/>
            </w14:solidFill>
          </w14:textFill>
        </w:rPr>
      </w:pPr>
    </w:p>
    <w:p w14:paraId="7F7550CD">
      <w:pPr>
        <w:pStyle w:val="7"/>
        <w:spacing w:before="240" w:beforeLines="100" w:line="360" w:lineRule="auto"/>
        <w:ind w:firstLine="0"/>
        <w:jc w:val="center"/>
        <w:outlineLvl w:val="0"/>
        <w:rPr>
          <w:rFonts w:hint="eastAsia" w:ascii="黑体" w:hAnsi="宋体" w:eastAsia="黑体"/>
          <w:b/>
          <w:color w:val="000000" w:themeColor="text1"/>
          <w:kern w:val="44"/>
          <w:sz w:val="44"/>
          <w:szCs w:val="44"/>
          <w:highlight w:val="none"/>
          <w14:textFill>
            <w14:solidFill>
              <w14:schemeClr w14:val="tx1"/>
            </w14:solidFill>
          </w14:textFill>
        </w:rPr>
      </w:pPr>
      <w:r>
        <w:rPr>
          <w:rFonts w:hint="eastAsia" w:ascii="黑体" w:hAnsi="宋体" w:eastAsia="黑体"/>
          <w:b/>
          <w:color w:val="000000" w:themeColor="text1"/>
          <w:kern w:val="44"/>
          <w:sz w:val="44"/>
          <w:szCs w:val="44"/>
          <w:highlight w:val="none"/>
          <w14:textFill>
            <w14:solidFill>
              <w14:schemeClr w14:val="tx1"/>
            </w14:solidFill>
          </w14:textFill>
        </w:rPr>
        <w:t>第六章  投标文件格式</w:t>
      </w:r>
      <w:bookmarkEnd w:id="132"/>
      <w:bookmarkEnd w:id="165"/>
      <w:bookmarkEnd w:id="167"/>
    </w:p>
    <w:p w14:paraId="52A9C800">
      <w:pPr>
        <w:spacing w:line="520" w:lineRule="exact"/>
        <w:jc w:val="center"/>
        <w:rPr>
          <w:rFonts w:ascii="仿宋_GB2312" w:eastAsia="仿宋_GB2312"/>
          <w:b/>
          <w:color w:val="000000" w:themeColor="text1"/>
          <w:sz w:val="32"/>
          <w:szCs w:val="32"/>
          <w:highlight w:val="none"/>
          <w14:textFill>
            <w14:solidFill>
              <w14:schemeClr w14:val="tx1"/>
            </w14:solidFill>
          </w14:textFill>
        </w:rPr>
      </w:pPr>
    </w:p>
    <w:p w14:paraId="566A87D5">
      <w:pPr>
        <w:spacing w:line="400" w:lineRule="exact"/>
        <w:jc w:val="center"/>
        <w:rPr>
          <w:rFonts w:ascii="仿宋_GB2312" w:eastAsia="仿宋_GB2312"/>
          <w:b/>
          <w:color w:val="000000" w:themeColor="text1"/>
          <w:sz w:val="32"/>
          <w:szCs w:val="32"/>
          <w:highlight w:val="none"/>
          <w14:textFill>
            <w14:solidFill>
              <w14:schemeClr w14:val="tx1"/>
            </w14:solidFill>
          </w14:textFill>
        </w:rPr>
      </w:pPr>
    </w:p>
    <w:p w14:paraId="4FE9DC6E">
      <w:pPr>
        <w:spacing w:line="360" w:lineRule="auto"/>
        <w:ind w:firstLine="411" w:firstLineChars="19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投标文件格式是投标人的部分投标文件格式，投标人应按照这些格式编制投标文件。编制投标文件前，请详细阅读招标文件，理解文件中的每一项要求，做出逐一实质性响应，认为有必要，可</w:t>
      </w:r>
      <w:r>
        <w:rPr>
          <w:rFonts w:hint="eastAsia" w:ascii="宋体" w:hAnsi="宋体"/>
          <w:color w:val="000000" w:themeColor="text1"/>
          <w:szCs w:val="21"/>
          <w:highlight w:val="none"/>
          <w:lang w:eastAsia="zh-CN"/>
          <w14:textFill>
            <w14:solidFill>
              <w14:schemeClr w14:val="tx1"/>
            </w14:solidFill>
          </w14:textFill>
        </w:rPr>
        <w:t>作补充说明</w:t>
      </w:r>
      <w:r>
        <w:rPr>
          <w:rFonts w:hint="eastAsia" w:ascii="宋体" w:hAnsi="宋体"/>
          <w:color w:val="000000" w:themeColor="text1"/>
          <w:szCs w:val="21"/>
          <w:highlight w:val="none"/>
          <w14:textFill>
            <w14:solidFill>
              <w14:schemeClr w14:val="tx1"/>
            </w14:solidFill>
          </w14:textFill>
        </w:rPr>
        <w:t>。</w:t>
      </w:r>
    </w:p>
    <w:p w14:paraId="59BA50EF">
      <w:pPr>
        <w:spacing w:line="400" w:lineRule="exact"/>
        <w:jc w:val="center"/>
        <w:rPr>
          <w:rFonts w:hint="eastAsia" w:ascii="仿宋_GB2312" w:hAnsi="宋体" w:eastAsia="仿宋_GB2312"/>
          <w:b/>
          <w:color w:val="000000" w:themeColor="text1"/>
          <w:sz w:val="28"/>
          <w:szCs w:val="28"/>
          <w:highlight w:val="none"/>
          <w14:textFill>
            <w14:solidFill>
              <w14:schemeClr w14:val="tx1"/>
            </w14:solidFill>
          </w14:textFill>
        </w:rPr>
      </w:pPr>
    </w:p>
    <w:p w14:paraId="5BBFCD05">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68291DBE">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0C66F591">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64E77299">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1E2436E5">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6E5AA477">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266448B1">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704571A9">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3326458D">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5E46EE17">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6228C737">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516F612C">
      <w:pPr>
        <w:spacing w:line="400" w:lineRule="exact"/>
        <w:ind w:firstLine="570"/>
        <w:rPr>
          <w:rFonts w:hint="eastAsia" w:ascii="仿宋_GB2312" w:hAnsi="宋体" w:eastAsia="仿宋_GB2312"/>
          <w:color w:val="000000" w:themeColor="text1"/>
          <w:sz w:val="28"/>
          <w:szCs w:val="28"/>
          <w:highlight w:val="none"/>
          <w14:textFill>
            <w14:solidFill>
              <w14:schemeClr w14:val="tx1"/>
            </w14:solidFill>
          </w14:textFill>
        </w:rPr>
      </w:pPr>
    </w:p>
    <w:p w14:paraId="38EFA6CF">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5CDF1429">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7515553D">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4E73F806">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51FEE98D">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3B52AB3A">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6D7FA436">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54CBAB25">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24718A47">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32D2857C">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5157A8A8">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2AEE213B">
      <w:pPr>
        <w:spacing w:line="400" w:lineRule="exact"/>
        <w:ind w:firstLine="570"/>
        <w:rPr>
          <w:rFonts w:hint="eastAsia" w:ascii="仿宋_GB2312" w:hAnsi="宋体" w:eastAsia="仿宋_GB2312"/>
          <w:b/>
          <w:color w:val="000000" w:themeColor="text1"/>
          <w:sz w:val="28"/>
          <w:szCs w:val="28"/>
          <w:highlight w:val="none"/>
          <w14:textFill>
            <w14:solidFill>
              <w14:schemeClr w14:val="tx1"/>
            </w14:solidFill>
          </w14:textFill>
        </w:rPr>
      </w:pPr>
    </w:p>
    <w:p w14:paraId="0C7D9301">
      <w:pPr>
        <w:widowControl/>
        <w:jc w:val="left"/>
        <w:rPr>
          <w:rFonts w:hint="eastAsia" w:ascii="仿宋_GB2312" w:hAnsi="宋体" w:eastAsia="仿宋_GB2312"/>
          <w:b/>
          <w:color w:val="000000" w:themeColor="text1"/>
          <w:sz w:val="28"/>
          <w:szCs w:val="28"/>
          <w:highlight w:val="none"/>
          <w14:textFill>
            <w14:solidFill>
              <w14:schemeClr w14:val="tx1"/>
            </w14:solidFill>
          </w14:textFill>
        </w:rPr>
      </w:pPr>
      <w:bookmarkStart w:id="1045" w:name="_Toc217446082"/>
      <w:r>
        <w:rPr>
          <w:rFonts w:ascii="仿宋_GB2312" w:hAnsi="宋体" w:eastAsia="仿宋_GB2312"/>
          <w:b/>
          <w:color w:val="000000" w:themeColor="text1"/>
          <w:sz w:val="28"/>
          <w:szCs w:val="28"/>
          <w:highlight w:val="none"/>
          <w14:textFill>
            <w14:solidFill>
              <w14:schemeClr w14:val="tx1"/>
            </w14:solidFill>
          </w14:textFill>
        </w:rPr>
        <w:br w:type="page"/>
      </w:r>
    </w:p>
    <w:p w14:paraId="487D342D">
      <w:pPr>
        <w:spacing w:line="400" w:lineRule="exact"/>
        <w:ind w:right="840"/>
        <w:jc w:val="right"/>
        <w:outlineLvl w:val="0"/>
        <w:rPr>
          <w:rFonts w:ascii="仿宋_GB2312" w:eastAsia="仿宋_GB2312"/>
          <w:b/>
          <w:bCs/>
          <w:color w:val="000000" w:themeColor="text1"/>
          <w:sz w:val="28"/>
          <w:szCs w:val="40"/>
          <w:highlight w:val="none"/>
          <w14:textFill>
            <w14:solidFill>
              <w14:schemeClr w14:val="tx1"/>
            </w14:solidFill>
          </w14:textFill>
        </w:rPr>
      </w:pPr>
      <w:bookmarkStart w:id="1046" w:name="_Toc1465"/>
      <w:bookmarkStart w:id="1047" w:name="_Toc2017049850"/>
      <w:r>
        <w:rPr>
          <w:rFonts w:hint="eastAsia" w:ascii="宋体" w:hAnsi="宋体"/>
          <w:b/>
          <w:bCs/>
          <w:color w:val="000000" w:themeColor="text1"/>
          <w:sz w:val="28"/>
          <w:szCs w:val="40"/>
          <w:highlight w:val="none"/>
          <w14:textFill>
            <w14:solidFill>
              <w14:schemeClr w14:val="tx1"/>
            </w14:solidFill>
          </w14:textFill>
        </w:rPr>
        <w:t>正本/副本</w:t>
      </w:r>
      <w:bookmarkEnd w:id="1046"/>
      <w:bookmarkEnd w:id="1047"/>
    </w:p>
    <w:p w14:paraId="06477FA3">
      <w:pPr>
        <w:spacing w:line="400" w:lineRule="exact"/>
        <w:outlineLvl w:val="1"/>
        <w:rPr>
          <w:rFonts w:hint="eastAsia" w:ascii="宋体" w:hAnsi="宋体"/>
          <w:b/>
          <w:bCs/>
          <w:color w:val="000000" w:themeColor="text1"/>
          <w:sz w:val="24"/>
          <w:szCs w:val="36"/>
          <w:highlight w:val="none"/>
          <w14:textFill>
            <w14:solidFill>
              <w14:schemeClr w14:val="tx1"/>
            </w14:solidFill>
          </w14:textFill>
        </w:rPr>
      </w:pPr>
      <w:bookmarkStart w:id="1048" w:name="_Toc12073"/>
      <w:bookmarkStart w:id="1049" w:name="_Toc379977408"/>
      <w:r>
        <w:rPr>
          <w:rFonts w:hint="eastAsia" w:ascii="宋体" w:hAnsi="宋体"/>
          <w:b/>
          <w:bCs/>
          <w:color w:val="000000" w:themeColor="text1"/>
          <w:sz w:val="24"/>
          <w:szCs w:val="36"/>
          <w:highlight w:val="none"/>
          <w14:textFill>
            <w14:solidFill>
              <w14:schemeClr w14:val="tx1"/>
            </w14:solidFill>
          </w14:textFill>
        </w:rPr>
        <w:t>政府采购项目</w:t>
      </w:r>
      <w:bookmarkEnd w:id="1048"/>
      <w:bookmarkEnd w:id="1049"/>
    </w:p>
    <w:p w14:paraId="7FF84928">
      <w:pPr>
        <w:spacing w:line="400" w:lineRule="exact"/>
        <w:outlineLvl w:val="1"/>
        <w:rPr>
          <w:rFonts w:hint="eastAsia" w:ascii="宋体" w:hAnsi="宋体"/>
          <w:b/>
          <w:bCs/>
          <w:color w:val="000000" w:themeColor="text1"/>
          <w:sz w:val="24"/>
          <w:szCs w:val="36"/>
          <w:highlight w:val="none"/>
          <w14:textFill>
            <w14:solidFill>
              <w14:schemeClr w14:val="tx1"/>
            </w14:solidFill>
          </w14:textFill>
        </w:rPr>
      </w:pPr>
      <w:bookmarkStart w:id="1050" w:name="_Toc1811413725"/>
      <w:bookmarkStart w:id="1051" w:name="_Toc25619"/>
      <w:r>
        <w:rPr>
          <w:rFonts w:hint="eastAsia" w:ascii="宋体" w:hAnsi="宋体"/>
          <w:b/>
          <w:bCs/>
          <w:color w:val="000000" w:themeColor="text1"/>
          <w:sz w:val="24"/>
          <w:szCs w:val="36"/>
          <w:highlight w:val="none"/>
          <w14:textFill>
            <w14:solidFill>
              <w14:schemeClr w14:val="tx1"/>
            </w14:solidFill>
          </w14:textFill>
        </w:rPr>
        <w:t>采购项目编号：</w:t>
      </w:r>
      <w:bookmarkEnd w:id="1050"/>
      <w:r>
        <w:rPr>
          <w:rFonts w:hint="eastAsia" w:ascii="宋体" w:hAnsi="宋体"/>
          <w:b/>
          <w:bCs/>
          <w:color w:val="000000" w:themeColor="text1"/>
          <w:sz w:val="24"/>
          <w:szCs w:val="36"/>
          <w:highlight w:val="none"/>
          <w14:textFill>
            <w14:solidFill>
              <w14:schemeClr w14:val="tx1"/>
            </w14:solidFill>
          </w14:textFill>
        </w:rPr>
        <w:t>SXLX26-01-043Z(G)</w:t>
      </w:r>
      <w:bookmarkEnd w:id="1051"/>
    </w:p>
    <w:p w14:paraId="731B8587">
      <w:pPr>
        <w:spacing w:line="400" w:lineRule="exact"/>
        <w:rPr>
          <w:rFonts w:ascii="仿宋_GB2312" w:eastAsia="仿宋_GB2312"/>
          <w:color w:val="000000" w:themeColor="text1"/>
          <w:szCs w:val="28"/>
          <w:highlight w:val="none"/>
          <w14:textFill>
            <w14:solidFill>
              <w14:schemeClr w14:val="tx1"/>
            </w14:solidFill>
          </w14:textFill>
        </w:rPr>
      </w:pPr>
      <w:r>
        <w:rPr>
          <w:rFonts w:hint="eastAsia" w:ascii="仿宋_GB2312" w:eastAsia="仿宋_GB2312"/>
          <w:color w:val="000000" w:themeColor="text1"/>
          <w:szCs w:val="28"/>
          <w:highlight w:val="none"/>
          <w14:textFill>
            <w14:solidFill>
              <w14:schemeClr w14:val="tx1"/>
            </w14:solidFill>
          </w14:textFill>
        </w:rPr>
        <w:t xml:space="preserve">                           </w:t>
      </w:r>
    </w:p>
    <w:p w14:paraId="01DE91F2">
      <w:pPr>
        <w:spacing w:line="400" w:lineRule="exact"/>
        <w:jc w:val="center"/>
        <w:rPr>
          <w:rFonts w:ascii="仿宋_GB2312" w:eastAsia="仿宋_GB2312"/>
          <w:color w:val="000000" w:themeColor="text1"/>
          <w:szCs w:val="28"/>
          <w:highlight w:val="none"/>
          <w14:textFill>
            <w14:solidFill>
              <w14:schemeClr w14:val="tx1"/>
            </w14:solidFill>
          </w14:textFill>
        </w:rPr>
      </w:pPr>
    </w:p>
    <w:p w14:paraId="529194CE">
      <w:pPr>
        <w:spacing w:line="680" w:lineRule="exact"/>
        <w:jc w:val="center"/>
        <w:rPr>
          <w:rFonts w:hint="eastAsia" w:ascii="方正小标宋简体" w:hAnsi="宋体" w:eastAsia="方正小标宋简体"/>
          <w:color w:val="000000" w:themeColor="text1"/>
          <w:sz w:val="52"/>
          <w:szCs w:val="52"/>
          <w:highlight w:val="none"/>
          <w14:textFill>
            <w14:solidFill>
              <w14:schemeClr w14:val="tx1"/>
            </w14:solidFill>
          </w14:textFill>
        </w:rPr>
      </w:pPr>
    </w:p>
    <w:p w14:paraId="36067CE7">
      <w:pPr>
        <w:spacing w:line="360" w:lineRule="auto"/>
        <w:jc w:val="center"/>
        <w:rPr>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52"/>
          <w:szCs w:val="52"/>
          <w:highlight w:val="none"/>
          <w14:textFill>
            <w14:solidFill>
              <w14:schemeClr w14:val="tx1"/>
            </w14:solidFill>
          </w14:textFill>
        </w:rPr>
        <w:t>陕西测绘地理信息局既有住宅加装电梯项目（三期）首批工程</w:t>
      </w:r>
    </w:p>
    <w:p w14:paraId="31F28123">
      <w:pPr>
        <w:spacing w:line="680" w:lineRule="exact"/>
        <w:jc w:val="center"/>
        <w:rPr>
          <w:rFonts w:hint="eastAsia" w:ascii="宋体" w:hAnsi="宋体"/>
          <w:color w:val="000000" w:themeColor="text1"/>
          <w:sz w:val="52"/>
          <w:szCs w:val="52"/>
          <w:highlight w:val="none"/>
          <w14:textFill>
            <w14:solidFill>
              <w14:schemeClr w14:val="tx1"/>
            </w14:solidFill>
          </w14:textFill>
        </w:rPr>
      </w:pPr>
      <w:r>
        <w:rPr>
          <w:rFonts w:hint="eastAsia" w:ascii="宋体" w:hAnsi="宋体"/>
          <w:color w:val="000000" w:themeColor="text1"/>
          <w:kern w:val="0"/>
          <w:sz w:val="28"/>
          <w:szCs w:val="28"/>
          <w:highlight w:val="none"/>
          <w14:textFill>
            <w14:solidFill>
              <w14:schemeClr w14:val="tx1"/>
            </w14:solidFill>
          </w14:textFill>
        </w:rPr>
        <w:t>（7号楼3单元、30号楼2单元、29号楼5、6单元）</w:t>
      </w:r>
    </w:p>
    <w:p w14:paraId="3F50DFAD">
      <w:pPr>
        <w:spacing w:line="400" w:lineRule="exact"/>
        <w:jc w:val="center"/>
        <w:rPr>
          <w:rFonts w:hint="eastAsia" w:ascii="宋体" w:hAnsi="宋体"/>
          <w:color w:val="000000" w:themeColor="text1"/>
          <w:sz w:val="44"/>
          <w:szCs w:val="44"/>
          <w:highlight w:val="none"/>
          <w14:textFill>
            <w14:solidFill>
              <w14:schemeClr w14:val="tx1"/>
            </w14:solidFill>
          </w14:textFill>
        </w:rPr>
      </w:pPr>
    </w:p>
    <w:p w14:paraId="1CA1C006">
      <w:pPr>
        <w:pStyle w:val="7"/>
        <w:ind w:firstLine="0"/>
        <w:jc w:val="center"/>
        <w:rPr>
          <w:rFonts w:hint="eastAsia" w:ascii="方正小标宋简体" w:hAnsi="宋体" w:eastAsia="方正小标宋简体"/>
          <w:color w:val="000000" w:themeColor="text1"/>
          <w:sz w:val="52"/>
          <w:szCs w:val="52"/>
          <w:highlight w:val="none"/>
          <w14:textFill>
            <w14:solidFill>
              <w14:schemeClr w14:val="tx1"/>
            </w14:solidFill>
          </w14:textFill>
        </w:rPr>
      </w:pPr>
    </w:p>
    <w:p w14:paraId="0450674C">
      <w:pPr>
        <w:spacing w:line="900" w:lineRule="exact"/>
        <w:jc w:val="center"/>
        <w:rPr>
          <w:rFonts w:hint="eastAsia" w:ascii="方正小标宋简体" w:hAnsi="宋体" w:eastAsia="方正小标宋简体"/>
          <w:color w:val="000000" w:themeColor="text1"/>
          <w:sz w:val="84"/>
          <w:szCs w:val="84"/>
          <w:highlight w:val="none"/>
          <w14:textFill>
            <w14:solidFill>
              <w14:schemeClr w14:val="tx1"/>
            </w14:solidFill>
          </w14:textFill>
        </w:rPr>
      </w:pPr>
      <w:r>
        <w:rPr>
          <w:rFonts w:hint="eastAsia" w:ascii="方正小标宋简体" w:hAnsi="宋体" w:eastAsia="方正小标宋简体"/>
          <w:color w:val="000000" w:themeColor="text1"/>
          <w:sz w:val="84"/>
          <w:szCs w:val="84"/>
          <w:highlight w:val="none"/>
          <w14:textFill>
            <w14:solidFill>
              <w14:schemeClr w14:val="tx1"/>
            </w14:solidFill>
          </w14:textFill>
        </w:rPr>
        <w:t>投标文件</w:t>
      </w:r>
    </w:p>
    <w:p w14:paraId="1B977C2B">
      <w:pPr>
        <w:pStyle w:val="7"/>
        <w:ind w:firstLine="0"/>
        <w:jc w:val="center"/>
        <w:outlineLvl w:val="1"/>
        <w:rPr>
          <w:color w:val="000000" w:themeColor="text1"/>
          <w:sz w:val="32"/>
          <w:szCs w:val="32"/>
          <w:highlight w:val="none"/>
          <w14:textFill>
            <w14:solidFill>
              <w14:schemeClr w14:val="tx1"/>
            </w14:solidFill>
          </w14:textFill>
        </w:rPr>
      </w:pPr>
      <w:bookmarkStart w:id="1052" w:name="_Toc19927"/>
      <w:bookmarkStart w:id="1053" w:name="_Toc1702296203"/>
      <w:r>
        <w:rPr>
          <w:rFonts w:hint="eastAsia"/>
          <w:color w:val="000000" w:themeColor="text1"/>
          <w:sz w:val="32"/>
          <w:szCs w:val="32"/>
          <w:highlight w:val="none"/>
          <w14:textFill>
            <w14:solidFill>
              <w14:schemeClr w14:val="tx1"/>
            </w14:solidFill>
          </w14:textFill>
        </w:rPr>
        <w:t>（资格审查文件）</w:t>
      </w:r>
      <w:bookmarkEnd w:id="1052"/>
      <w:bookmarkEnd w:id="1053"/>
    </w:p>
    <w:p w14:paraId="1D8341E2">
      <w:pPr>
        <w:pStyle w:val="7"/>
        <w:ind w:firstLine="0"/>
        <w:jc w:val="center"/>
        <w:rPr>
          <w:color w:val="000000" w:themeColor="text1"/>
          <w:sz w:val="32"/>
          <w:szCs w:val="32"/>
          <w:highlight w:val="none"/>
          <w14:textFill>
            <w14:solidFill>
              <w14:schemeClr w14:val="tx1"/>
            </w14:solidFill>
          </w14:textFill>
        </w:rPr>
      </w:pPr>
    </w:p>
    <w:p w14:paraId="4F8340C9">
      <w:pPr>
        <w:pStyle w:val="7"/>
        <w:rPr>
          <w:color w:val="000000" w:themeColor="text1"/>
          <w:sz w:val="28"/>
          <w:szCs w:val="28"/>
          <w:highlight w:val="none"/>
          <w14:textFill>
            <w14:solidFill>
              <w14:schemeClr w14:val="tx1"/>
            </w14:solidFill>
          </w14:textFill>
        </w:rPr>
      </w:pPr>
    </w:p>
    <w:p w14:paraId="79593602">
      <w:pPr>
        <w:pStyle w:val="7"/>
        <w:rPr>
          <w:color w:val="000000" w:themeColor="text1"/>
          <w:sz w:val="28"/>
          <w:szCs w:val="28"/>
          <w:highlight w:val="none"/>
          <w14:textFill>
            <w14:solidFill>
              <w14:schemeClr w14:val="tx1"/>
            </w14:solidFill>
          </w14:textFill>
        </w:rPr>
      </w:pPr>
    </w:p>
    <w:p w14:paraId="6E79E681">
      <w:pPr>
        <w:pStyle w:val="7"/>
        <w:rPr>
          <w:color w:val="000000" w:themeColor="text1"/>
          <w:sz w:val="28"/>
          <w:szCs w:val="28"/>
          <w:highlight w:val="none"/>
          <w14:textFill>
            <w14:solidFill>
              <w14:schemeClr w14:val="tx1"/>
            </w14:solidFill>
          </w14:textFill>
        </w:rPr>
      </w:pPr>
    </w:p>
    <w:p w14:paraId="558CE5C3">
      <w:pPr>
        <w:pStyle w:val="7"/>
        <w:rPr>
          <w:color w:val="000000" w:themeColor="text1"/>
          <w:sz w:val="28"/>
          <w:szCs w:val="28"/>
          <w:highlight w:val="none"/>
          <w14:textFill>
            <w14:solidFill>
              <w14:schemeClr w14:val="tx1"/>
            </w14:solidFill>
          </w14:textFill>
        </w:rPr>
      </w:pPr>
    </w:p>
    <w:p w14:paraId="19575045">
      <w:pPr>
        <w:pStyle w:val="7"/>
        <w:rPr>
          <w:color w:val="000000" w:themeColor="text1"/>
          <w:sz w:val="28"/>
          <w:szCs w:val="28"/>
          <w:highlight w:val="none"/>
          <w14:textFill>
            <w14:solidFill>
              <w14:schemeClr w14:val="tx1"/>
            </w14:solidFill>
          </w14:textFill>
        </w:rPr>
      </w:pPr>
    </w:p>
    <w:p w14:paraId="45AF2628">
      <w:pPr>
        <w:pStyle w:val="7"/>
        <w:spacing w:before="120" w:beforeLines="50"/>
        <w:ind w:firstLine="1630" w:firstLineChars="580"/>
        <w:rPr>
          <w:rFonts w:hint="eastAsia" w:ascii="宋体" w:hAnsi="宋体"/>
          <w:b/>
          <w:color w:val="000000" w:themeColor="text1"/>
          <w:sz w:val="28"/>
          <w:szCs w:val="28"/>
          <w:highlight w:val="none"/>
          <w14:textFill>
            <w14:solidFill>
              <w14:schemeClr w14:val="tx1"/>
            </w14:solidFill>
          </w14:textFill>
        </w:rPr>
      </w:pPr>
    </w:p>
    <w:p w14:paraId="6B57A41F">
      <w:pPr>
        <w:pStyle w:val="7"/>
        <w:spacing w:before="120" w:beforeLines="50"/>
        <w:ind w:firstLine="1630" w:firstLineChars="580"/>
        <w:rPr>
          <w:rFonts w:hint="eastAsia" w:ascii="宋体" w:hAnsi="宋体"/>
          <w:b/>
          <w:color w:val="000000" w:themeColor="text1"/>
          <w:sz w:val="28"/>
          <w:szCs w:val="28"/>
          <w:highlight w:val="none"/>
          <w14:textFill>
            <w14:solidFill>
              <w14:schemeClr w14:val="tx1"/>
            </w14:solidFill>
          </w14:textFill>
        </w:rPr>
      </w:pPr>
    </w:p>
    <w:p w14:paraId="1C402011">
      <w:pPr>
        <w:pStyle w:val="7"/>
        <w:spacing w:before="120" w:beforeLines="50"/>
        <w:ind w:firstLine="1630" w:firstLineChars="580"/>
        <w:outlineLvl w:val="0"/>
        <w:rPr>
          <w:rFonts w:hint="eastAsia" w:ascii="宋体" w:hAnsi="宋体"/>
          <w:b/>
          <w:color w:val="000000" w:themeColor="text1"/>
          <w:sz w:val="28"/>
          <w:szCs w:val="28"/>
          <w:highlight w:val="none"/>
          <w14:textFill>
            <w14:solidFill>
              <w14:schemeClr w14:val="tx1"/>
            </w14:solidFill>
          </w14:textFill>
        </w:rPr>
      </w:pPr>
      <w:bookmarkStart w:id="1054" w:name="_Toc1715138487"/>
      <w:bookmarkStart w:id="1055" w:name="_Toc25199"/>
      <w:r>
        <w:rPr>
          <w:rFonts w:hint="eastAsia" w:ascii="宋体" w:hAnsi="宋体"/>
          <w:b/>
          <w:color w:val="000000" w:themeColor="text1"/>
          <w:sz w:val="28"/>
          <w:szCs w:val="28"/>
          <w:highlight w:val="none"/>
          <w14:textFill>
            <w14:solidFill>
              <w14:schemeClr w14:val="tx1"/>
            </w14:solidFill>
          </w14:textFill>
        </w:rPr>
        <w:t>投标人：                           （盖单位章）</w:t>
      </w:r>
      <w:bookmarkEnd w:id="1054"/>
      <w:bookmarkEnd w:id="1055"/>
    </w:p>
    <w:p w14:paraId="631AE7BE">
      <w:pPr>
        <w:pStyle w:val="7"/>
        <w:spacing w:before="120" w:beforeLines="50"/>
        <w:ind w:firstLine="1630" w:firstLineChars="580"/>
        <w:outlineLvl w:val="0"/>
        <w:rPr>
          <w:rFonts w:hint="eastAsia" w:ascii="宋体" w:hAnsi="宋体"/>
          <w:color w:val="000000" w:themeColor="text1"/>
          <w:sz w:val="28"/>
          <w:szCs w:val="28"/>
          <w:highlight w:val="none"/>
          <w14:textFill>
            <w14:solidFill>
              <w14:schemeClr w14:val="tx1"/>
            </w14:solidFill>
          </w14:textFill>
        </w:rPr>
      </w:pPr>
      <w:bookmarkStart w:id="1056" w:name="_Toc11436"/>
      <w:bookmarkStart w:id="1057" w:name="_Toc659557328"/>
      <w:r>
        <w:rPr>
          <w:rFonts w:hint="eastAsia" w:ascii="宋体" w:hAnsi="宋体"/>
          <w:b/>
          <w:color w:val="000000" w:themeColor="text1"/>
          <w:sz w:val="28"/>
          <w:szCs w:val="28"/>
          <w:highlight w:val="none"/>
          <w14:textFill>
            <w14:solidFill>
              <w14:schemeClr w14:val="tx1"/>
            </w14:solidFill>
          </w14:textFill>
        </w:rPr>
        <w:t>法定代表人或其委托代理人：       （签名）</w:t>
      </w:r>
      <w:bookmarkEnd w:id="1056"/>
      <w:bookmarkEnd w:id="1057"/>
    </w:p>
    <w:p w14:paraId="1A394D60">
      <w:pPr>
        <w:pStyle w:val="7"/>
        <w:spacing w:before="120" w:beforeLines="50"/>
        <w:ind w:firstLine="1630" w:firstLineChars="580"/>
        <w:outlineLvl w:val="0"/>
        <w:rPr>
          <w:b/>
          <w:color w:val="000000" w:themeColor="text1"/>
          <w:sz w:val="28"/>
          <w:szCs w:val="28"/>
          <w:highlight w:val="none"/>
          <w14:textFill>
            <w14:solidFill>
              <w14:schemeClr w14:val="tx1"/>
            </w14:solidFill>
          </w14:textFill>
        </w:rPr>
      </w:pPr>
      <w:bookmarkStart w:id="1058" w:name="_Toc31958"/>
      <w:bookmarkStart w:id="1059" w:name="_Toc2016909529"/>
      <w:r>
        <w:rPr>
          <w:rFonts w:hint="eastAsia"/>
          <w:b/>
          <w:color w:val="000000" w:themeColor="text1"/>
          <w:sz w:val="28"/>
          <w:szCs w:val="28"/>
          <w:highlight w:val="none"/>
          <w14:textFill>
            <w14:solidFill>
              <w14:schemeClr w14:val="tx1"/>
            </w14:solidFill>
          </w14:textFill>
        </w:rPr>
        <w:t>时  间： 20    年  月  日</w:t>
      </w:r>
      <w:bookmarkEnd w:id="1058"/>
      <w:bookmarkEnd w:id="1059"/>
    </w:p>
    <w:p w14:paraId="235A1E30">
      <w:pPr>
        <w:pStyle w:val="7"/>
        <w:spacing w:before="120" w:beforeLines="50"/>
        <w:ind w:firstLine="0"/>
        <w:jc w:val="left"/>
        <w:rPr>
          <w:rFonts w:ascii="仿宋_GB2312" w:eastAsia="仿宋_GB2312"/>
          <w:color w:val="000000" w:themeColor="text1"/>
          <w:sz w:val="36"/>
          <w:szCs w:val="36"/>
          <w:highlight w:val="none"/>
          <w14:textFill>
            <w14:solidFill>
              <w14:schemeClr w14:val="tx1"/>
            </w14:solidFill>
          </w14:textFill>
        </w:rPr>
      </w:pPr>
    </w:p>
    <w:bookmarkEnd w:id="1045"/>
    <w:p w14:paraId="5344E7C3">
      <w:pPr>
        <w:pStyle w:val="7"/>
        <w:spacing w:before="120" w:beforeLines="50" w:after="120" w:afterLines="50"/>
        <w:ind w:firstLine="0"/>
        <w:jc w:val="center"/>
        <w:rPr>
          <w:rFonts w:ascii="方正小标宋简体" w:eastAsia="方正小标宋简体"/>
          <w:color w:val="000000" w:themeColor="text1"/>
          <w:sz w:val="44"/>
          <w:szCs w:val="44"/>
          <w:highlight w:val="none"/>
          <w14:textFill>
            <w14:solidFill>
              <w14:schemeClr w14:val="tx1"/>
            </w14:solidFill>
          </w14:textFill>
        </w:rPr>
        <w:sectPr>
          <w:headerReference r:id="rId7" w:type="first"/>
          <w:footerReference r:id="rId9" w:type="first"/>
          <w:headerReference r:id="rId6" w:type="default"/>
          <w:footerReference r:id="rId8" w:type="default"/>
          <w:pgSz w:w="11907" w:h="16840"/>
          <w:pgMar w:top="1276" w:right="1474" w:bottom="1276" w:left="1474" w:header="680" w:footer="907" w:gutter="0"/>
          <w:cols w:space="720" w:num="1"/>
          <w:titlePg/>
        </w:sectPr>
      </w:pPr>
    </w:p>
    <w:p w14:paraId="157BF2E4">
      <w:pPr>
        <w:pStyle w:val="7"/>
        <w:spacing w:before="156" w:beforeLines="50" w:after="156" w:afterLines="50"/>
        <w:ind w:firstLine="0"/>
        <w:jc w:val="center"/>
        <w:outlineLvl w:val="0"/>
        <w:rPr>
          <w:rFonts w:ascii="方正小标宋简体" w:eastAsia="方正小标宋简体"/>
          <w:color w:val="000000" w:themeColor="text1"/>
          <w:sz w:val="44"/>
          <w:szCs w:val="44"/>
          <w:highlight w:val="none"/>
          <w14:textFill>
            <w14:solidFill>
              <w14:schemeClr w14:val="tx1"/>
            </w14:solidFill>
          </w14:textFill>
        </w:rPr>
      </w:pPr>
      <w:bookmarkStart w:id="1060" w:name="_Toc27367"/>
      <w:bookmarkStart w:id="1061" w:name="_Toc169086008"/>
      <w:r>
        <w:rPr>
          <w:rFonts w:hint="eastAsia" w:ascii="方正小标宋简体" w:eastAsia="方正小标宋简体"/>
          <w:color w:val="000000" w:themeColor="text1"/>
          <w:sz w:val="44"/>
          <w:szCs w:val="44"/>
          <w:highlight w:val="none"/>
          <w14:textFill>
            <w14:solidFill>
              <w14:schemeClr w14:val="tx1"/>
            </w14:solidFill>
          </w14:textFill>
        </w:rPr>
        <w:t>目  录</w:t>
      </w:r>
      <w:bookmarkEnd w:id="1060"/>
      <w:bookmarkEnd w:id="1061"/>
    </w:p>
    <w:p w14:paraId="4F21E081">
      <w:pPr>
        <w:pStyle w:val="7"/>
        <w:spacing w:before="156" w:beforeLines="50" w:line="360" w:lineRule="auto"/>
        <w:ind w:firstLine="0"/>
        <w:rPr>
          <w:color w:val="000000" w:themeColor="text1"/>
          <w:sz w:val="24"/>
          <w:szCs w:val="24"/>
          <w:highlight w:val="none"/>
          <w14:textFill>
            <w14:solidFill>
              <w14:schemeClr w14:val="tx1"/>
            </w14:solidFill>
          </w14:textFill>
        </w:rPr>
      </w:pPr>
    </w:p>
    <w:p w14:paraId="61AEA03C">
      <w:pPr>
        <w:rPr>
          <w:color w:val="000000" w:themeColor="text1"/>
          <w:highlight w:val="none"/>
          <w14:textFill>
            <w14:solidFill>
              <w14:schemeClr w14:val="tx1"/>
            </w14:solidFill>
          </w14:textFill>
        </w:rPr>
      </w:pPr>
    </w:p>
    <w:p w14:paraId="034602CE">
      <w:pPr>
        <w:tabs>
          <w:tab w:val="left" w:pos="1701"/>
          <w:tab w:val="left" w:pos="1843"/>
        </w:tabs>
        <w:spacing w:line="360" w:lineRule="auto"/>
        <w:outlineLvl w:val="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bookmarkStart w:id="1062" w:name="_Toc892"/>
      <w:bookmarkStart w:id="1063" w:name="_Toc707671475"/>
      <w:r>
        <w:rPr>
          <w:rFonts w:hint="eastAsia"/>
          <w:b/>
          <w:color w:val="000000" w:themeColor="text1"/>
          <w:sz w:val="24"/>
          <w:highlight w:val="none"/>
          <w14:textFill>
            <w14:solidFill>
              <w14:schemeClr w14:val="tx1"/>
            </w14:solidFill>
          </w14:textFill>
        </w:rPr>
        <w:t>第一部分 投标人基本资格条件证明材料</w:t>
      </w:r>
      <w:r>
        <w:rPr>
          <w:rFonts w:hint="eastAsia" w:ascii="宋体" w:hAnsi="宋体"/>
          <w:color w:val="000000" w:themeColor="text1"/>
          <w:szCs w:val="21"/>
          <w:highlight w:val="none"/>
          <w14:textFill>
            <w14:solidFill>
              <w14:schemeClr w14:val="tx1"/>
            </w14:solidFill>
          </w14:textFill>
        </w:rPr>
        <w:t>…………………………………………页码</w:t>
      </w:r>
      <w:bookmarkEnd w:id="1062"/>
      <w:bookmarkEnd w:id="1063"/>
    </w:p>
    <w:p w14:paraId="2FE6469E">
      <w:pPr>
        <w:tabs>
          <w:tab w:val="left" w:pos="851"/>
          <w:tab w:val="left" w:pos="1701"/>
          <w:tab w:val="left" w:pos="1843"/>
        </w:tabs>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1.投标人基本情况表……………………………………………………………………</w:t>
      </w:r>
    </w:p>
    <w:p w14:paraId="302FF491">
      <w:pPr>
        <w:tabs>
          <w:tab w:val="left" w:pos="1701"/>
          <w:tab w:val="left" w:pos="1843"/>
        </w:tabs>
        <w:spacing w:line="360" w:lineRule="auto"/>
        <w:ind w:firstLine="840" w:firstLineChars="4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2.法定代表人身份证明…………………………………………………</w:t>
      </w:r>
    </w:p>
    <w:p w14:paraId="3AC62F00">
      <w:pPr>
        <w:spacing w:line="360" w:lineRule="auto"/>
        <w:ind w:firstLine="840" w:firstLineChars="4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2.法定代表人授权书……………………………………………………</w:t>
      </w:r>
    </w:p>
    <w:p w14:paraId="6005E20C">
      <w:pPr>
        <w:spacing w:line="360" w:lineRule="auto"/>
        <w:ind w:firstLine="420" w:firstLineChars="200"/>
        <w:rPr>
          <w:rFonts w:hint="eastAsia" w:ascii="宋体" w:hAnsi="宋体" w:cs="宋体"/>
          <w:color w:val="000000" w:themeColor="text1"/>
          <w:kern w:val="0"/>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3.投标人</w:t>
      </w:r>
      <w:r>
        <w:rPr>
          <w:rFonts w:hint="eastAsia" w:ascii="宋体" w:hAnsi="宋体" w:cs="宋体"/>
          <w:color w:val="000000" w:themeColor="text1"/>
          <w:kern w:val="0"/>
          <w:szCs w:val="21"/>
          <w:highlight w:val="none"/>
          <w:lang w:val="zh-CN"/>
          <w14:textFill>
            <w14:solidFill>
              <w14:schemeClr w14:val="tx1"/>
            </w14:solidFill>
          </w14:textFill>
        </w:rPr>
        <w:t>营业执照等证明文件</w:t>
      </w:r>
      <w:r>
        <w:rPr>
          <w:rFonts w:hint="eastAsia" w:ascii="宋体" w:hAnsi="宋体"/>
          <w:color w:val="000000" w:themeColor="text1"/>
          <w:szCs w:val="21"/>
          <w:highlight w:val="none"/>
          <w14:textFill>
            <w14:solidFill>
              <w14:schemeClr w14:val="tx1"/>
            </w14:solidFill>
          </w14:textFill>
        </w:rPr>
        <w:t>…………………………………………</w:t>
      </w:r>
    </w:p>
    <w:p w14:paraId="5CBDD866">
      <w:pPr>
        <w:spacing w:line="360" w:lineRule="auto"/>
        <w:ind w:firstLine="735" w:firstLineChars="3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4.财务状况报告…………………………………………………………………………</w:t>
      </w:r>
    </w:p>
    <w:p w14:paraId="7A23AC6C">
      <w:pPr>
        <w:spacing w:line="360" w:lineRule="auto"/>
        <w:ind w:firstLine="840" w:firstLineChars="4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5.税收缴纳证明…………………………………………………………………………</w:t>
      </w:r>
    </w:p>
    <w:p w14:paraId="459AB69A">
      <w:pPr>
        <w:spacing w:line="360" w:lineRule="auto"/>
        <w:ind w:firstLine="840" w:firstLineChars="4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6.社会保障资金缴纳证明………………………………………………………………</w:t>
      </w:r>
    </w:p>
    <w:p w14:paraId="5B5C0617">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7.投标声明书……………………………………………………………………………</w:t>
      </w:r>
    </w:p>
    <w:p w14:paraId="74627984">
      <w:pPr>
        <w:tabs>
          <w:tab w:val="left" w:pos="1701"/>
          <w:tab w:val="left" w:pos="1843"/>
        </w:tabs>
        <w:spacing w:line="360" w:lineRule="auto"/>
        <w:outlineLvl w:val="0"/>
        <w:rPr>
          <w:rFonts w:hint="eastAsia" w:ascii="宋体" w:hAnsi="宋体"/>
          <w:color w:val="000000" w:themeColor="text1"/>
          <w:szCs w:val="21"/>
          <w:highlight w:val="none"/>
          <w14:textFill>
            <w14:solidFill>
              <w14:schemeClr w14:val="tx1"/>
            </w14:solidFill>
          </w14:textFill>
        </w:rPr>
      </w:pPr>
      <w:bookmarkStart w:id="1064" w:name="_Toc22032"/>
      <w:bookmarkStart w:id="1065" w:name="_Toc1070043239"/>
      <w:r>
        <w:rPr>
          <w:rFonts w:hint="eastAsia"/>
          <w:b/>
          <w:color w:val="000000" w:themeColor="text1"/>
          <w:sz w:val="24"/>
          <w:highlight w:val="none"/>
          <w14:textFill>
            <w14:solidFill>
              <w14:schemeClr w14:val="tx1"/>
            </w14:solidFill>
          </w14:textFill>
        </w:rPr>
        <w:t>第二部分 投标人落实政府采购政策证明材料</w:t>
      </w:r>
      <w:r>
        <w:rPr>
          <w:rFonts w:hint="eastAsia" w:ascii="宋体" w:hAnsi="宋体"/>
          <w:color w:val="000000" w:themeColor="text1"/>
          <w:szCs w:val="21"/>
          <w:highlight w:val="none"/>
          <w14:textFill>
            <w14:solidFill>
              <w14:schemeClr w14:val="tx1"/>
            </w14:solidFill>
          </w14:textFill>
        </w:rPr>
        <w:t>…………………………………………</w:t>
      </w:r>
      <w:bookmarkEnd w:id="1064"/>
    </w:p>
    <w:p w14:paraId="00DCC301">
      <w:pPr>
        <w:tabs>
          <w:tab w:val="left" w:pos="1701"/>
          <w:tab w:val="left" w:pos="1843"/>
        </w:tabs>
        <w:spacing w:line="360" w:lineRule="auto"/>
        <w:ind w:firstLine="420" w:firstLineChars="200"/>
        <w:outlineLvl w:val="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bookmarkStart w:id="1066" w:name="_Toc31560"/>
      <w:r>
        <w:rPr>
          <w:rFonts w:hint="eastAsia" w:ascii="宋体" w:hAnsi="宋体"/>
          <w:color w:val="000000" w:themeColor="text1"/>
          <w:szCs w:val="21"/>
          <w:highlight w:val="none"/>
          <w14:textFill>
            <w14:solidFill>
              <w14:schemeClr w14:val="tx1"/>
            </w14:solidFill>
          </w14:textFill>
        </w:rPr>
        <w:t>8.中小企业声明函………………………………………………………………………</w:t>
      </w:r>
      <w:bookmarkEnd w:id="1066"/>
    </w:p>
    <w:p w14:paraId="3031AF31">
      <w:pPr>
        <w:tabs>
          <w:tab w:val="left" w:pos="1701"/>
          <w:tab w:val="left" w:pos="1843"/>
        </w:tabs>
        <w:spacing w:line="360" w:lineRule="auto"/>
        <w:ind w:firstLine="840" w:firstLineChars="400"/>
        <w:outlineLvl w:val="0"/>
        <w:rPr>
          <w:rFonts w:hint="eastAsia" w:ascii="宋体" w:hAnsi="宋体"/>
          <w:color w:val="000000" w:themeColor="text1"/>
          <w:szCs w:val="21"/>
          <w:highlight w:val="none"/>
          <w14:textFill>
            <w14:solidFill>
              <w14:schemeClr w14:val="tx1"/>
            </w14:solidFill>
          </w14:textFill>
        </w:rPr>
      </w:pPr>
      <w:bookmarkStart w:id="1067" w:name="_Toc7922"/>
      <w:r>
        <w:rPr>
          <w:rFonts w:hint="eastAsia" w:ascii="宋体" w:hAnsi="宋体"/>
          <w:color w:val="000000" w:themeColor="text1"/>
          <w:szCs w:val="21"/>
          <w:highlight w:val="none"/>
          <w14:textFill>
            <w14:solidFill>
              <w14:schemeClr w14:val="tx1"/>
            </w14:solidFill>
          </w14:textFill>
        </w:rPr>
        <w:t>9.残疾人福利性单位声明函…………………………………………………………</w:t>
      </w:r>
      <w:bookmarkEnd w:id="1067"/>
    </w:p>
    <w:p w14:paraId="7D1ABC9F">
      <w:pPr>
        <w:tabs>
          <w:tab w:val="left" w:pos="1701"/>
          <w:tab w:val="left" w:pos="1843"/>
        </w:tabs>
        <w:spacing w:line="360" w:lineRule="auto"/>
        <w:ind w:firstLine="840" w:firstLineChars="400"/>
        <w:outlineLvl w:val="0"/>
        <w:rPr>
          <w:rFonts w:hint="eastAsia" w:ascii="宋体" w:hAnsi="宋体"/>
          <w:color w:val="000000" w:themeColor="text1"/>
          <w:szCs w:val="21"/>
          <w:highlight w:val="none"/>
          <w14:textFill>
            <w14:solidFill>
              <w14:schemeClr w14:val="tx1"/>
            </w14:solidFill>
          </w14:textFill>
        </w:rPr>
      </w:pPr>
      <w:bookmarkStart w:id="1068" w:name="_Toc31601"/>
      <w:r>
        <w:rPr>
          <w:rFonts w:hint="eastAsia" w:ascii="宋体" w:hAnsi="宋体"/>
          <w:color w:val="000000" w:themeColor="text1"/>
          <w:szCs w:val="21"/>
          <w:highlight w:val="none"/>
          <w14:textFill>
            <w14:solidFill>
              <w14:schemeClr w14:val="tx1"/>
            </w14:solidFill>
          </w14:textFill>
        </w:rPr>
        <w:t>10.监狱企业证明……………………………………………………………………</w:t>
      </w:r>
      <w:bookmarkEnd w:id="1068"/>
    </w:p>
    <w:p w14:paraId="05C31298">
      <w:pPr>
        <w:tabs>
          <w:tab w:val="left" w:pos="1701"/>
          <w:tab w:val="left" w:pos="1843"/>
        </w:tabs>
        <w:spacing w:line="360" w:lineRule="auto"/>
        <w:outlineLvl w:val="0"/>
        <w:rPr>
          <w:b/>
          <w:color w:val="000000" w:themeColor="text1"/>
          <w:sz w:val="24"/>
          <w:highlight w:val="none"/>
          <w14:textFill>
            <w14:solidFill>
              <w14:schemeClr w14:val="tx1"/>
            </w14:solidFill>
          </w14:textFill>
        </w:rPr>
      </w:pPr>
      <w:bookmarkStart w:id="1069" w:name="_Toc19251"/>
      <w:r>
        <w:rPr>
          <w:rFonts w:hint="eastAsia"/>
          <w:b/>
          <w:color w:val="000000" w:themeColor="text1"/>
          <w:sz w:val="24"/>
          <w:highlight w:val="none"/>
          <w14:textFill>
            <w14:solidFill>
              <w14:schemeClr w14:val="tx1"/>
            </w14:solidFill>
          </w14:textFill>
        </w:rPr>
        <w:t>第三部分 投标人特定资格条件证明材料</w:t>
      </w:r>
      <w:r>
        <w:rPr>
          <w:rFonts w:hint="eastAsia" w:ascii="宋体" w:hAnsi="宋体"/>
          <w:color w:val="000000" w:themeColor="text1"/>
          <w:szCs w:val="21"/>
          <w:highlight w:val="none"/>
          <w14:textFill>
            <w14:solidFill>
              <w14:schemeClr w14:val="tx1"/>
            </w14:solidFill>
          </w14:textFill>
        </w:rPr>
        <w:t>………………………………………………</w:t>
      </w:r>
      <w:bookmarkEnd w:id="1065"/>
      <w:bookmarkEnd w:id="1069"/>
    </w:p>
    <w:p w14:paraId="27ACFF9A">
      <w:pPr>
        <w:spacing w:line="360" w:lineRule="auto"/>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11.行政许可证明…………………………………………………………………………</w:t>
      </w:r>
    </w:p>
    <w:p w14:paraId="32D67B22">
      <w:pPr>
        <w:rPr>
          <w:rFonts w:hint="eastAsia" w:ascii="宋体" w:hAnsi="宋体"/>
          <w:color w:val="000000" w:themeColor="text1"/>
          <w:szCs w:val="21"/>
          <w:highlight w:val="none"/>
          <w14:textFill>
            <w14:solidFill>
              <w14:schemeClr w14:val="tx1"/>
            </w14:solidFill>
          </w14:textFill>
        </w:rPr>
      </w:pPr>
    </w:p>
    <w:p w14:paraId="693E8610">
      <w:pP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1EAA154A">
      <w:pPr>
        <w:adjustRightInd w:val="0"/>
        <w:snapToGrid w:val="0"/>
        <w:spacing w:line="360" w:lineRule="auto"/>
        <w:jc w:val="center"/>
        <w:outlineLvl w:val="1"/>
        <w:rPr>
          <w:rFonts w:hint="eastAsia" w:ascii="黑体" w:hAnsi="黑体" w:eastAsia="黑体"/>
          <w:color w:val="000000" w:themeColor="text1"/>
          <w:sz w:val="44"/>
          <w:szCs w:val="44"/>
          <w:highlight w:val="none"/>
          <w14:textFill>
            <w14:solidFill>
              <w14:schemeClr w14:val="tx1"/>
            </w14:solidFill>
          </w14:textFill>
        </w:rPr>
      </w:pPr>
      <w:bookmarkStart w:id="1070" w:name="_Toc1188657895"/>
      <w:bookmarkStart w:id="1071" w:name="_Toc19320"/>
      <w:bookmarkStart w:id="1072" w:name="_Toc14626"/>
      <w:r>
        <w:rPr>
          <w:rFonts w:hint="eastAsia" w:ascii="黑体" w:hAnsi="黑体" w:eastAsia="黑体"/>
          <w:color w:val="000000" w:themeColor="text1"/>
          <w:sz w:val="44"/>
          <w:szCs w:val="44"/>
          <w:highlight w:val="none"/>
          <w14:textFill>
            <w14:solidFill>
              <w14:schemeClr w14:val="tx1"/>
            </w14:solidFill>
          </w14:textFill>
        </w:rPr>
        <w:t>一、投标人基本资格条件证明材料</w:t>
      </w:r>
      <w:bookmarkEnd w:id="1070"/>
      <w:bookmarkEnd w:id="1071"/>
      <w:bookmarkEnd w:id="1072"/>
    </w:p>
    <w:p w14:paraId="7DFF8CEC">
      <w:pPr>
        <w:adjustRightInd w:val="0"/>
        <w:snapToGrid w:val="0"/>
        <w:spacing w:line="360" w:lineRule="auto"/>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1.</w:t>
      </w:r>
      <w:r>
        <w:rPr>
          <w:rFonts w:ascii="宋体" w:hAnsi="宋体"/>
          <w:b/>
          <w:color w:val="000000" w:themeColor="text1"/>
          <w:sz w:val="36"/>
          <w:szCs w:val="36"/>
          <w:highlight w:val="none"/>
          <w14:textFill>
            <w14:solidFill>
              <w14:schemeClr w14:val="tx1"/>
            </w14:solidFill>
          </w14:textFill>
        </w:rPr>
        <w:t>投标人</w:t>
      </w:r>
      <w:r>
        <w:rPr>
          <w:rFonts w:hint="eastAsia" w:ascii="宋体" w:hAnsi="宋体"/>
          <w:b/>
          <w:color w:val="000000" w:themeColor="text1"/>
          <w:sz w:val="36"/>
          <w:szCs w:val="36"/>
          <w:highlight w:val="none"/>
          <w14:textFill>
            <w14:solidFill>
              <w14:schemeClr w14:val="tx1"/>
            </w14:solidFill>
          </w14:textFill>
        </w:rPr>
        <w:t>基本情况表</w:t>
      </w:r>
    </w:p>
    <w:tbl>
      <w:tblPr>
        <w:tblStyle w:val="31"/>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84"/>
        <w:gridCol w:w="1416"/>
        <w:gridCol w:w="208"/>
        <w:gridCol w:w="1068"/>
        <w:gridCol w:w="143"/>
        <w:gridCol w:w="1418"/>
        <w:gridCol w:w="140"/>
        <w:gridCol w:w="427"/>
        <w:gridCol w:w="814"/>
        <w:gridCol w:w="1382"/>
      </w:tblGrid>
      <w:tr w14:paraId="6A704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rPr>
        <w:tc>
          <w:tcPr>
            <w:tcW w:w="1984" w:type="dxa"/>
            <w:vAlign w:val="center"/>
          </w:tcPr>
          <w:p w14:paraId="4FCE4028">
            <w:pPr>
              <w:topLinePunct/>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投标人名称</w:t>
            </w:r>
          </w:p>
        </w:tc>
        <w:tc>
          <w:tcPr>
            <w:tcW w:w="7016" w:type="dxa"/>
            <w:gridSpan w:val="9"/>
            <w:vAlign w:val="center"/>
          </w:tcPr>
          <w:p w14:paraId="36801347">
            <w:pPr>
              <w:topLinePunct/>
              <w:spacing w:line="440" w:lineRule="exact"/>
              <w:jc w:val="center"/>
              <w:rPr>
                <w:rFonts w:hint="eastAsia" w:ascii="宋体" w:hAnsi="宋体"/>
                <w:color w:val="000000" w:themeColor="text1"/>
                <w:szCs w:val="21"/>
                <w:highlight w:val="none"/>
                <w14:textFill>
                  <w14:solidFill>
                    <w14:schemeClr w14:val="tx1"/>
                  </w14:solidFill>
                </w14:textFill>
              </w:rPr>
            </w:pPr>
          </w:p>
        </w:tc>
      </w:tr>
      <w:tr w14:paraId="4A843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1984" w:type="dxa"/>
            <w:vAlign w:val="center"/>
          </w:tcPr>
          <w:p w14:paraId="7192B1E5">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统一社会信用代码</w:t>
            </w:r>
          </w:p>
        </w:tc>
        <w:tc>
          <w:tcPr>
            <w:tcW w:w="1416" w:type="dxa"/>
            <w:vAlign w:val="center"/>
          </w:tcPr>
          <w:p w14:paraId="23BF9FAB">
            <w:pPr>
              <w:topLinePunct/>
              <w:spacing w:line="440" w:lineRule="exact"/>
              <w:jc w:val="center"/>
              <w:rPr>
                <w:rFonts w:hint="eastAsia" w:ascii="宋体" w:hAnsi="宋体"/>
                <w:color w:val="000000" w:themeColor="text1"/>
                <w:szCs w:val="21"/>
                <w:highlight w:val="none"/>
                <w14:textFill>
                  <w14:solidFill>
                    <w14:schemeClr w14:val="tx1"/>
                  </w14:solidFill>
                </w14:textFill>
              </w:rPr>
            </w:pPr>
          </w:p>
        </w:tc>
        <w:tc>
          <w:tcPr>
            <w:tcW w:w="1419" w:type="dxa"/>
            <w:gridSpan w:val="3"/>
            <w:vAlign w:val="center"/>
          </w:tcPr>
          <w:p w14:paraId="095D382B">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注册资金</w:t>
            </w:r>
          </w:p>
        </w:tc>
        <w:tc>
          <w:tcPr>
            <w:tcW w:w="1418" w:type="dxa"/>
            <w:vAlign w:val="center"/>
          </w:tcPr>
          <w:p w14:paraId="58408351">
            <w:pPr>
              <w:topLinePunct/>
              <w:jc w:val="center"/>
              <w:rPr>
                <w:rFonts w:hint="eastAsia" w:ascii="宋体" w:hAnsi="宋体"/>
                <w:color w:val="000000" w:themeColor="text1"/>
                <w:szCs w:val="21"/>
                <w:highlight w:val="none"/>
                <w14:textFill>
                  <w14:solidFill>
                    <w14:schemeClr w14:val="tx1"/>
                  </w14:solidFill>
                </w14:textFill>
              </w:rPr>
            </w:pPr>
          </w:p>
        </w:tc>
        <w:tc>
          <w:tcPr>
            <w:tcW w:w="1381" w:type="dxa"/>
            <w:gridSpan w:val="3"/>
            <w:vAlign w:val="center"/>
          </w:tcPr>
          <w:p w14:paraId="3DFA8F05">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成立时间</w:t>
            </w:r>
          </w:p>
        </w:tc>
        <w:tc>
          <w:tcPr>
            <w:tcW w:w="1382" w:type="dxa"/>
            <w:vAlign w:val="center"/>
          </w:tcPr>
          <w:p w14:paraId="504D8F6D">
            <w:pPr>
              <w:topLinePunct/>
              <w:jc w:val="center"/>
              <w:rPr>
                <w:rFonts w:hint="eastAsia" w:ascii="宋体" w:hAnsi="宋体"/>
                <w:color w:val="000000" w:themeColor="text1"/>
                <w:szCs w:val="21"/>
                <w:highlight w:val="none"/>
                <w14:textFill>
                  <w14:solidFill>
                    <w14:schemeClr w14:val="tx1"/>
                  </w14:solidFill>
                </w14:textFill>
              </w:rPr>
            </w:pPr>
          </w:p>
        </w:tc>
      </w:tr>
      <w:tr w14:paraId="42F60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984" w:type="dxa"/>
            <w:vAlign w:val="center"/>
          </w:tcPr>
          <w:p w14:paraId="4D1552BC">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注册地址</w:t>
            </w:r>
          </w:p>
        </w:tc>
        <w:tc>
          <w:tcPr>
            <w:tcW w:w="4253" w:type="dxa"/>
            <w:gridSpan w:val="5"/>
            <w:vAlign w:val="center"/>
          </w:tcPr>
          <w:p w14:paraId="4613D262">
            <w:pPr>
              <w:topLinePunct/>
              <w:spacing w:line="440" w:lineRule="exact"/>
              <w:jc w:val="center"/>
              <w:rPr>
                <w:rFonts w:hint="eastAsia" w:ascii="宋体" w:hAnsi="宋体"/>
                <w:color w:val="000000" w:themeColor="text1"/>
                <w:szCs w:val="21"/>
                <w:highlight w:val="none"/>
                <w14:textFill>
                  <w14:solidFill>
                    <w14:schemeClr w14:val="tx1"/>
                  </w14:solidFill>
                </w14:textFill>
              </w:rPr>
            </w:pPr>
          </w:p>
        </w:tc>
        <w:tc>
          <w:tcPr>
            <w:tcW w:w="1381" w:type="dxa"/>
            <w:gridSpan w:val="3"/>
            <w:vAlign w:val="center"/>
          </w:tcPr>
          <w:p w14:paraId="017ADC83">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资产总额</w:t>
            </w:r>
          </w:p>
        </w:tc>
        <w:tc>
          <w:tcPr>
            <w:tcW w:w="1382" w:type="dxa"/>
            <w:vAlign w:val="center"/>
          </w:tcPr>
          <w:p w14:paraId="616A3813">
            <w:pPr>
              <w:topLinePunct/>
              <w:jc w:val="center"/>
              <w:rPr>
                <w:rFonts w:hint="eastAsia" w:ascii="宋体" w:hAnsi="宋体"/>
                <w:color w:val="000000" w:themeColor="text1"/>
                <w:szCs w:val="21"/>
                <w:highlight w:val="none"/>
                <w14:textFill>
                  <w14:solidFill>
                    <w14:schemeClr w14:val="tx1"/>
                  </w14:solidFill>
                </w14:textFill>
              </w:rPr>
            </w:pPr>
          </w:p>
        </w:tc>
      </w:tr>
      <w:tr w14:paraId="3128F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Align w:val="center"/>
          </w:tcPr>
          <w:p w14:paraId="73F898CE">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上年营业额</w:t>
            </w:r>
          </w:p>
        </w:tc>
        <w:tc>
          <w:tcPr>
            <w:tcW w:w="1416" w:type="dxa"/>
            <w:vAlign w:val="center"/>
          </w:tcPr>
          <w:p w14:paraId="230AFCD1">
            <w:pPr>
              <w:topLinePunct/>
              <w:jc w:val="center"/>
              <w:rPr>
                <w:rFonts w:hint="eastAsia" w:ascii="宋体" w:hAnsi="宋体"/>
                <w:color w:val="000000" w:themeColor="text1"/>
                <w:szCs w:val="21"/>
                <w:highlight w:val="none"/>
                <w14:textFill>
                  <w14:solidFill>
                    <w14:schemeClr w14:val="tx1"/>
                  </w14:solidFill>
                </w14:textFill>
              </w:rPr>
            </w:pPr>
          </w:p>
        </w:tc>
        <w:tc>
          <w:tcPr>
            <w:tcW w:w="1419" w:type="dxa"/>
            <w:gridSpan w:val="3"/>
            <w:vAlign w:val="center"/>
          </w:tcPr>
          <w:p w14:paraId="779199A4">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员工总人数</w:t>
            </w:r>
          </w:p>
        </w:tc>
        <w:tc>
          <w:tcPr>
            <w:tcW w:w="1418" w:type="dxa"/>
            <w:vAlign w:val="center"/>
          </w:tcPr>
          <w:p w14:paraId="27C01FDE">
            <w:pPr>
              <w:topLinePunct/>
              <w:jc w:val="center"/>
              <w:rPr>
                <w:rFonts w:hint="eastAsia" w:ascii="宋体" w:hAnsi="宋体"/>
                <w:color w:val="000000" w:themeColor="text1"/>
                <w:szCs w:val="21"/>
                <w:highlight w:val="none"/>
                <w14:textFill>
                  <w14:solidFill>
                    <w14:schemeClr w14:val="tx1"/>
                  </w14:solidFill>
                </w14:textFill>
              </w:rPr>
            </w:pPr>
          </w:p>
        </w:tc>
        <w:tc>
          <w:tcPr>
            <w:tcW w:w="1381" w:type="dxa"/>
            <w:gridSpan w:val="3"/>
            <w:vAlign w:val="center"/>
          </w:tcPr>
          <w:p w14:paraId="109341B9">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企业类型</w:t>
            </w:r>
          </w:p>
        </w:tc>
        <w:tc>
          <w:tcPr>
            <w:tcW w:w="1382" w:type="dxa"/>
            <w:vAlign w:val="center"/>
          </w:tcPr>
          <w:p w14:paraId="7C4D00EA">
            <w:pPr>
              <w:topLinePunct/>
              <w:jc w:val="center"/>
              <w:rPr>
                <w:rFonts w:hint="eastAsia" w:ascii="宋体" w:hAnsi="宋体"/>
                <w:color w:val="000000" w:themeColor="text1"/>
                <w:szCs w:val="21"/>
                <w:highlight w:val="none"/>
                <w14:textFill>
                  <w14:solidFill>
                    <w14:schemeClr w14:val="tx1"/>
                  </w14:solidFill>
                </w14:textFill>
              </w:rPr>
            </w:pPr>
          </w:p>
        </w:tc>
      </w:tr>
      <w:tr w14:paraId="1EBB3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restart"/>
            <w:vAlign w:val="center"/>
          </w:tcPr>
          <w:p w14:paraId="0CD9F526">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p>
          <w:p w14:paraId="209E5C2B">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p>
        </w:tc>
        <w:tc>
          <w:tcPr>
            <w:tcW w:w="1416" w:type="dxa"/>
            <w:vMerge w:val="restart"/>
            <w:vAlign w:val="center"/>
          </w:tcPr>
          <w:p w14:paraId="76429B49">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姓名</w:t>
            </w:r>
          </w:p>
        </w:tc>
        <w:tc>
          <w:tcPr>
            <w:tcW w:w="1419" w:type="dxa"/>
            <w:gridSpan w:val="3"/>
            <w:vMerge w:val="restart"/>
            <w:vAlign w:val="center"/>
          </w:tcPr>
          <w:p w14:paraId="744C2C2A">
            <w:pPr>
              <w:topLinePunct/>
              <w:jc w:val="center"/>
              <w:rPr>
                <w:rFonts w:hint="eastAsia" w:ascii="宋体" w:hAnsi="宋体"/>
                <w:color w:val="000000" w:themeColor="text1"/>
                <w:szCs w:val="21"/>
                <w:highlight w:val="none"/>
                <w14:textFill>
                  <w14:solidFill>
                    <w14:schemeClr w14:val="tx1"/>
                  </w14:solidFill>
                </w14:textFill>
              </w:rPr>
            </w:pPr>
          </w:p>
        </w:tc>
        <w:tc>
          <w:tcPr>
            <w:tcW w:w="1418" w:type="dxa"/>
            <w:vMerge w:val="restart"/>
            <w:vAlign w:val="center"/>
          </w:tcPr>
          <w:p w14:paraId="29472FC9">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w:t>
            </w:r>
          </w:p>
        </w:tc>
        <w:tc>
          <w:tcPr>
            <w:tcW w:w="1381" w:type="dxa"/>
            <w:gridSpan w:val="3"/>
            <w:vAlign w:val="center"/>
          </w:tcPr>
          <w:p w14:paraId="2B00F47C">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手机</w:t>
            </w:r>
          </w:p>
        </w:tc>
        <w:tc>
          <w:tcPr>
            <w:tcW w:w="1382" w:type="dxa"/>
            <w:vAlign w:val="center"/>
          </w:tcPr>
          <w:p w14:paraId="5EAFF0F1">
            <w:pPr>
              <w:topLinePunct/>
              <w:jc w:val="center"/>
              <w:rPr>
                <w:rFonts w:hint="eastAsia" w:ascii="宋体" w:hAnsi="宋体"/>
                <w:color w:val="000000" w:themeColor="text1"/>
                <w:szCs w:val="21"/>
                <w:highlight w:val="none"/>
                <w14:textFill>
                  <w14:solidFill>
                    <w14:schemeClr w14:val="tx1"/>
                  </w14:solidFill>
                </w14:textFill>
              </w:rPr>
            </w:pPr>
          </w:p>
        </w:tc>
      </w:tr>
      <w:tr w14:paraId="7C3E8A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continue"/>
            <w:vAlign w:val="center"/>
          </w:tcPr>
          <w:p w14:paraId="0FC897A3">
            <w:pPr>
              <w:topLinePunct/>
              <w:jc w:val="center"/>
              <w:rPr>
                <w:rFonts w:hint="eastAsia" w:ascii="宋体" w:hAnsi="宋体"/>
                <w:color w:val="000000" w:themeColor="text1"/>
                <w:szCs w:val="21"/>
                <w:highlight w:val="none"/>
                <w14:textFill>
                  <w14:solidFill>
                    <w14:schemeClr w14:val="tx1"/>
                  </w14:solidFill>
                </w14:textFill>
              </w:rPr>
            </w:pPr>
          </w:p>
        </w:tc>
        <w:tc>
          <w:tcPr>
            <w:tcW w:w="1416" w:type="dxa"/>
            <w:vMerge w:val="continue"/>
            <w:vAlign w:val="center"/>
          </w:tcPr>
          <w:p w14:paraId="1D6E062F">
            <w:pPr>
              <w:topLinePunct/>
              <w:jc w:val="center"/>
              <w:rPr>
                <w:rFonts w:hint="eastAsia" w:ascii="宋体" w:hAnsi="宋体"/>
                <w:color w:val="000000" w:themeColor="text1"/>
                <w:szCs w:val="21"/>
                <w:highlight w:val="none"/>
                <w14:textFill>
                  <w14:solidFill>
                    <w14:schemeClr w14:val="tx1"/>
                  </w14:solidFill>
                </w14:textFill>
              </w:rPr>
            </w:pPr>
          </w:p>
        </w:tc>
        <w:tc>
          <w:tcPr>
            <w:tcW w:w="1419" w:type="dxa"/>
            <w:gridSpan w:val="3"/>
            <w:vMerge w:val="continue"/>
            <w:vAlign w:val="center"/>
          </w:tcPr>
          <w:p w14:paraId="20EFF4DF">
            <w:pPr>
              <w:topLinePunct/>
              <w:jc w:val="center"/>
              <w:rPr>
                <w:rFonts w:hint="eastAsia" w:ascii="宋体" w:hAnsi="宋体"/>
                <w:color w:val="000000" w:themeColor="text1"/>
                <w:szCs w:val="21"/>
                <w:highlight w:val="none"/>
                <w14:textFill>
                  <w14:solidFill>
                    <w14:schemeClr w14:val="tx1"/>
                  </w14:solidFill>
                </w14:textFill>
              </w:rPr>
            </w:pPr>
          </w:p>
        </w:tc>
        <w:tc>
          <w:tcPr>
            <w:tcW w:w="1418" w:type="dxa"/>
            <w:vMerge w:val="continue"/>
            <w:vAlign w:val="center"/>
          </w:tcPr>
          <w:p w14:paraId="3091C08A">
            <w:pPr>
              <w:topLinePunct/>
              <w:jc w:val="center"/>
              <w:rPr>
                <w:rFonts w:hint="eastAsia" w:ascii="宋体" w:hAnsi="宋体"/>
                <w:color w:val="000000" w:themeColor="text1"/>
                <w:szCs w:val="21"/>
                <w:highlight w:val="none"/>
                <w14:textFill>
                  <w14:solidFill>
                    <w14:schemeClr w14:val="tx1"/>
                  </w14:solidFill>
                </w14:textFill>
              </w:rPr>
            </w:pPr>
          </w:p>
        </w:tc>
        <w:tc>
          <w:tcPr>
            <w:tcW w:w="1381" w:type="dxa"/>
            <w:gridSpan w:val="3"/>
            <w:vAlign w:val="center"/>
          </w:tcPr>
          <w:p w14:paraId="62944A71">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办公</w:t>
            </w:r>
          </w:p>
        </w:tc>
        <w:tc>
          <w:tcPr>
            <w:tcW w:w="1382" w:type="dxa"/>
            <w:vAlign w:val="center"/>
          </w:tcPr>
          <w:p w14:paraId="6DF8C8DC">
            <w:pPr>
              <w:topLinePunct/>
              <w:jc w:val="center"/>
              <w:rPr>
                <w:rFonts w:hint="eastAsia" w:ascii="宋体" w:hAnsi="宋体"/>
                <w:color w:val="000000" w:themeColor="text1"/>
                <w:szCs w:val="21"/>
                <w:highlight w:val="none"/>
                <w14:textFill>
                  <w14:solidFill>
                    <w14:schemeClr w14:val="tx1"/>
                  </w14:solidFill>
                </w14:textFill>
              </w:rPr>
            </w:pPr>
          </w:p>
        </w:tc>
      </w:tr>
      <w:tr w14:paraId="4E8AF0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restart"/>
            <w:vAlign w:val="center"/>
          </w:tcPr>
          <w:p w14:paraId="065E824F">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联系方式</w:t>
            </w:r>
          </w:p>
        </w:tc>
        <w:tc>
          <w:tcPr>
            <w:tcW w:w="1416" w:type="dxa"/>
            <w:vMerge w:val="restart"/>
            <w:vAlign w:val="center"/>
          </w:tcPr>
          <w:p w14:paraId="72B9C2F9">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联系人</w:t>
            </w:r>
          </w:p>
        </w:tc>
        <w:tc>
          <w:tcPr>
            <w:tcW w:w="1419" w:type="dxa"/>
            <w:gridSpan w:val="3"/>
            <w:vMerge w:val="restart"/>
            <w:vAlign w:val="center"/>
          </w:tcPr>
          <w:p w14:paraId="5B79C616">
            <w:pPr>
              <w:topLinePunct/>
              <w:jc w:val="center"/>
              <w:rPr>
                <w:rFonts w:hint="eastAsia" w:ascii="宋体" w:hAnsi="宋体"/>
                <w:color w:val="000000" w:themeColor="text1"/>
                <w:szCs w:val="21"/>
                <w:highlight w:val="none"/>
                <w14:textFill>
                  <w14:solidFill>
                    <w14:schemeClr w14:val="tx1"/>
                  </w14:solidFill>
                </w14:textFill>
              </w:rPr>
            </w:pPr>
          </w:p>
        </w:tc>
        <w:tc>
          <w:tcPr>
            <w:tcW w:w="1418" w:type="dxa"/>
            <w:vAlign w:val="center"/>
          </w:tcPr>
          <w:p w14:paraId="69B12F1A">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w:t>
            </w:r>
          </w:p>
        </w:tc>
        <w:tc>
          <w:tcPr>
            <w:tcW w:w="2763" w:type="dxa"/>
            <w:gridSpan w:val="4"/>
            <w:vAlign w:val="center"/>
          </w:tcPr>
          <w:p w14:paraId="4D68F4FA">
            <w:pPr>
              <w:topLinePunct/>
              <w:spacing w:line="440" w:lineRule="exact"/>
              <w:jc w:val="center"/>
              <w:rPr>
                <w:rFonts w:hint="eastAsia" w:ascii="宋体" w:hAnsi="宋体"/>
                <w:color w:val="000000" w:themeColor="text1"/>
                <w:szCs w:val="21"/>
                <w:highlight w:val="none"/>
                <w14:textFill>
                  <w14:solidFill>
                    <w14:schemeClr w14:val="tx1"/>
                  </w14:solidFill>
                </w14:textFill>
              </w:rPr>
            </w:pPr>
          </w:p>
        </w:tc>
      </w:tr>
      <w:tr w14:paraId="7FD487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continue"/>
            <w:vAlign w:val="center"/>
          </w:tcPr>
          <w:p w14:paraId="43321091">
            <w:pPr>
              <w:topLinePunct/>
              <w:jc w:val="center"/>
              <w:rPr>
                <w:rFonts w:hint="eastAsia" w:ascii="宋体" w:hAnsi="宋体"/>
                <w:color w:val="000000" w:themeColor="text1"/>
                <w:szCs w:val="21"/>
                <w:highlight w:val="none"/>
                <w14:textFill>
                  <w14:solidFill>
                    <w14:schemeClr w14:val="tx1"/>
                  </w14:solidFill>
                </w14:textFill>
              </w:rPr>
            </w:pPr>
          </w:p>
        </w:tc>
        <w:tc>
          <w:tcPr>
            <w:tcW w:w="1416" w:type="dxa"/>
            <w:vMerge w:val="continue"/>
            <w:vAlign w:val="center"/>
          </w:tcPr>
          <w:p w14:paraId="72B26CE7">
            <w:pPr>
              <w:topLinePunct/>
              <w:jc w:val="center"/>
              <w:rPr>
                <w:rFonts w:hint="eastAsia" w:ascii="宋体" w:hAnsi="宋体"/>
                <w:color w:val="000000" w:themeColor="text1"/>
                <w:szCs w:val="21"/>
                <w:highlight w:val="none"/>
                <w14:textFill>
                  <w14:solidFill>
                    <w14:schemeClr w14:val="tx1"/>
                  </w14:solidFill>
                </w14:textFill>
              </w:rPr>
            </w:pPr>
          </w:p>
        </w:tc>
        <w:tc>
          <w:tcPr>
            <w:tcW w:w="1419" w:type="dxa"/>
            <w:gridSpan w:val="3"/>
            <w:vMerge w:val="continue"/>
            <w:vAlign w:val="center"/>
          </w:tcPr>
          <w:p w14:paraId="4208DF24">
            <w:pPr>
              <w:topLinePunct/>
              <w:jc w:val="center"/>
              <w:rPr>
                <w:rFonts w:hint="eastAsia" w:ascii="宋体" w:hAnsi="宋体"/>
                <w:color w:val="000000" w:themeColor="text1"/>
                <w:szCs w:val="21"/>
                <w:highlight w:val="none"/>
                <w14:textFill>
                  <w14:solidFill>
                    <w14:schemeClr w14:val="tx1"/>
                  </w14:solidFill>
                </w14:textFill>
              </w:rPr>
            </w:pPr>
          </w:p>
        </w:tc>
        <w:tc>
          <w:tcPr>
            <w:tcW w:w="1418" w:type="dxa"/>
            <w:vAlign w:val="center"/>
          </w:tcPr>
          <w:p w14:paraId="6965406B">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邮箱</w:t>
            </w:r>
          </w:p>
        </w:tc>
        <w:tc>
          <w:tcPr>
            <w:tcW w:w="2763" w:type="dxa"/>
            <w:gridSpan w:val="4"/>
            <w:vAlign w:val="center"/>
          </w:tcPr>
          <w:p w14:paraId="6C6528A1">
            <w:pPr>
              <w:topLinePunct/>
              <w:spacing w:line="440" w:lineRule="exact"/>
              <w:jc w:val="center"/>
              <w:rPr>
                <w:rFonts w:hint="eastAsia" w:ascii="宋体" w:hAnsi="宋体"/>
                <w:color w:val="000000" w:themeColor="text1"/>
                <w:szCs w:val="21"/>
                <w:highlight w:val="none"/>
                <w14:textFill>
                  <w14:solidFill>
                    <w14:schemeClr w14:val="tx1"/>
                  </w14:solidFill>
                </w14:textFill>
              </w:rPr>
            </w:pPr>
          </w:p>
        </w:tc>
      </w:tr>
      <w:tr w14:paraId="03C9BF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Align w:val="center"/>
          </w:tcPr>
          <w:p w14:paraId="1761D936">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基本账户开户银行</w:t>
            </w:r>
          </w:p>
        </w:tc>
        <w:tc>
          <w:tcPr>
            <w:tcW w:w="2835" w:type="dxa"/>
            <w:gridSpan w:val="4"/>
            <w:vAlign w:val="center"/>
          </w:tcPr>
          <w:p w14:paraId="1FD6B91F">
            <w:pPr>
              <w:topLinePunct/>
              <w:spacing w:line="440" w:lineRule="exact"/>
              <w:jc w:val="center"/>
              <w:rPr>
                <w:rFonts w:hint="eastAsia" w:ascii="宋体" w:hAnsi="宋体"/>
                <w:color w:val="000000" w:themeColor="text1"/>
                <w:szCs w:val="21"/>
                <w:highlight w:val="none"/>
                <w14:textFill>
                  <w14:solidFill>
                    <w14:schemeClr w14:val="tx1"/>
                  </w14:solidFill>
                </w14:textFill>
              </w:rPr>
            </w:pPr>
          </w:p>
        </w:tc>
        <w:tc>
          <w:tcPr>
            <w:tcW w:w="1985" w:type="dxa"/>
            <w:gridSpan w:val="3"/>
            <w:vAlign w:val="center"/>
          </w:tcPr>
          <w:p w14:paraId="0B889F33">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基本账户银行账号</w:t>
            </w:r>
          </w:p>
        </w:tc>
        <w:tc>
          <w:tcPr>
            <w:tcW w:w="2196" w:type="dxa"/>
            <w:gridSpan w:val="2"/>
            <w:vAlign w:val="center"/>
          </w:tcPr>
          <w:p w14:paraId="13501F34">
            <w:pPr>
              <w:topLinePunct/>
              <w:jc w:val="center"/>
              <w:rPr>
                <w:rFonts w:hint="eastAsia" w:ascii="宋体" w:hAnsi="宋体"/>
                <w:color w:val="000000" w:themeColor="text1"/>
                <w:szCs w:val="21"/>
                <w:highlight w:val="none"/>
                <w14:textFill>
                  <w14:solidFill>
                    <w14:schemeClr w14:val="tx1"/>
                  </w14:solidFill>
                </w14:textFill>
              </w:rPr>
            </w:pPr>
          </w:p>
        </w:tc>
      </w:tr>
      <w:tr w14:paraId="0B66DE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888" w:hRule="atLeast"/>
        </w:trPr>
        <w:tc>
          <w:tcPr>
            <w:tcW w:w="1984" w:type="dxa"/>
            <w:vAlign w:val="center"/>
          </w:tcPr>
          <w:p w14:paraId="6DCFA789">
            <w:pPr>
              <w:topLinePunct/>
              <w:spacing w:line="36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关联企业情况（包括但不限于与</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法定代表人为同一人或者存在控股、管理关系的不同单位）</w:t>
            </w:r>
          </w:p>
        </w:tc>
        <w:tc>
          <w:tcPr>
            <w:tcW w:w="7016" w:type="dxa"/>
            <w:gridSpan w:val="9"/>
            <w:vAlign w:val="center"/>
          </w:tcPr>
          <w:p w14:paraId="525B15F9">
            <w:pPr>
              <w:topLinePunct/>
              <w:spacing w:line="440" w:lineRule="exact"/>
              <w:jc w:val="left"/>
              <w:rPr>
                <w:rFonts w:hint="eastAsia" w:ascii="宋体" w:hAnsi="宋体"/>
                <w:color w:val="000000" w:themeColor="text1"/>
                <w:szCs w:val="21"/>
                <w:highlight w:val="none"/>
                <w14:textFill>
                  <w14:solidFill>
                    <w14:schemeClr w14:val="tx1"/>
                  </w14:solidFill>
                </w14:textFill>
              </w:rPr>
            </w:pPr>
          </w:p>
        </w:tc>
      </w:tr>
      <w:tr w14:paraId="2723D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9" w:hRule="atLeast"/>
        </w:trPr>
        <w:tc>
          <w:tcPr>
            <w:tcW w:w="3608" w:type="dxa"/>
            <w:gridSpan w:val="3"/>
            <w:vAlign w:val="center"/>
          </w:tcPr>
          <w:p w14:paraId="046653B2">
            <w:pPr>
              <w:topLinePunct/>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需具有的</w:t>
            </w:r>
            <w:r>
              <w:rPr>
                <w:rFonts w:ascii="宋体" w:hAnsi="宋体"/>
                <w:color w:val="000000" w:themeColor="text1"/>
                <w:szCs w:val="21"/>
                <w:highlight w:val="none"/>
                <w14:textFill>
                  <w14:solidFill>
                    <w14:schemeClr w14:val="tx1"/>
                  </w14:solidFill>
                </w14:textFill>
              </w:rPr>
              <w:t>资质</w:t>
            </w:r>
            <w:r>
              <w:rPr>
                <w:rFonts w:hint="eastAsia" w:ascii="宋体" w:hAnsi="宋体"/>
                <w:color w:val="000000" w:themeColor="text1"/>
                <w:szCs w:val="21"/>
                <w:highlight w:val="none"/>
                <w14:textFill>
                  <w14:solidFill>
                    <w14:schemeClr w14:val="tx1"/>
                  </w14:solidFill>
                </w14:textFill>
              </w:rPr>
              <w:t>证书</w:t>
            </w:r>
          </w:p>
        </w:tc>
        <w:tc>
          <w:tcPr>
            <w:tcW w:w="1068" w:type="dxa"/>
            <w:vAlign w:val="center"/>
          </w:tcPr>
          <w:p w14:paraId="64A583FE">
            <w:pPr>
              <w:topLinePunct/>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等级</w:t>
            </w:r>
          </w:p>
        </w:tc>
        <w:tc>
          <w:tcPr>
            <w:tcW w:w="1701" w:type="dxa"/>
            <w:gridSpan w:val="3"/>
            <w:vAlign w:val="center"/>
          </w:tcPr>
          <w:p w14:paraId="3CC5872F">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类型</w:t>
            </w:r>
          </w:p>
        </w:tc>
        <w:tc>
          <w:tcPr>
            <w:tcW w:w="2623" w:type="dxa"/>
            <w:gridSpan w:val="3"/>
            <w:vAlign w:val="center"/>
          </w:tcPr>
          <w:p w14:paraId="00DFDCBC">
            <w:pPr>
              <w:topLinePun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证书号</w:t>
            </w:r>
          </w:p>
        </w:tc>
      </w:tr>
      <w:tr w14:paraId="76B4F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74" w:hRule="atLeast"/>
        </w:trPr>
        <w:tc>
          <w:tcPr>
            <w:tcW w:w="3608" w:type="dxa"/>
            <w:gridSpan w:val="3"/>
            <w:vAlign w:val="center"/>
          </w:tcPr>
          <w:p w14:paraId="24F3C998">
            <w:pPr>
              <w:topLinePunct/>
              <w:jc w:val="center"/>
              <w:rPr>
                <w:rFonts w:hint="eastAsia" w:ascii="宋体" w:hAnsi="宋体"/>
                <w:color w:val="000000" w:themeColor="text1"/>
                <w:szCs w:val="21"/>
                <w:highlight w:val="none"/>
                <w14:textFill>
                  <w14:solidFill>
                    <w14:schemeClr w14:val="tx1"/>
                  </w14:solidFill>
                </w14:textFill>
              </w:rPr>
            </w:pPr>
          </w:p>
        </w:tc>
        <w:tc>
          <w:tcPr>
            <w:tcW w:w="1068" w:type="dxa"/>
            <w:vAlign w:val="center"/>
          </w:tcPr>
          <w:p w14:paraId="378992C4">
            <w:pPr>
              <w:topLinePunct/>
              <w:jc w:val="center"/>
              <w:rPr>
                <w:rFonts w:hint="eastAsia" w:ascii="宋体" w:hAnsi="宋体"/>
                <w:color w:val="000000" w:themeColor="text1"/>
                <w:szCs w:val="21"/>
                <w:highlight w:val="none"/>
                <w14:textFill>
                  <w14:solidFill>
                    <w14:schemeClr w14:val="tx1"/>
                  </w14:solidFill>
                </w14:textFill>
              </w:rPr>
            </w:pPr>
          </w:p>
        </w:tc>
        <w:tc>
          <w:tcPr>
            <w:tcW w:w="1701" w:type="dxa"/>
            <w:gridSpan w:val="3"/>
            <w:vAlign w:val="center"/>
          </w:tcPr>
          <w:p w14:paraId="33D0306C">
            <w:pPr>
              <w:topLinePunct/>
              <w:jc w:val="center"/>
              <w:rPr>
                <w:rFonts w:hint="eastAsia" w:ascii="宋体" w:hAnsi="宋体"/>
                <w:color w:val="000000" w:themeColor="text1"/>
                <w:szCs w:val="21"/>
                <w:highlight w:val="none"/>
                <w14:textFill>
                  <w14:solidFill>
                    <w14:schemeClr w14:val="tx1"/>
                  </w14:solidFill>
                </w14:textFill>
              </w:rPr>
            </w:pPr>
          </w:p>
        </w:tc>
        <w:tc>
          <w:tcPr>
            <w:tcW w:w="2623" w:type="dxa"/>
            <w:gridSpan w:val="3"/>
            <w:vAlign w:val="center"/>
          </w:tcPr>
          <w:p w14:paraId="54DE7ED8">
            <w:pPr>
              <w:topLinePunct/>
              <w:jc w:val="center"/>
              <w:rPr>
                <w:rFonts w:hint="eastAsia" w:ascii="宋体" w:hAnsi="宋体"/>
                <w:color w:val="000000" w:themeColor="text1"/>
                <w:szCs w:val="21"/>
                <w:highlight w:val="none"/>
                <w14:textFill>
                  <w14:solidFill>
                    <w14:schemeClr w14:val="tx1"/>
                  </w14:solidFill>
                </w14:textFill>
              </w:rPr>
            </w:pPr>
          </w:p>
        </w:tc>
      </w:tr>
      <w:tr w14:paraId="4EA777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4" w:hRule="atLeast"/>
        </w:trPr>
        <w:tc>
          <w:tcPr>
            <w:tcW w:w="3608" w:type="dxa"/>
            <w:gridSpan w:val="3"/>
            <w:vAlign w:val="center"/>
          </w:tcPr>
          <w:p w14:paraId="173F7D60">
            <w:pPr>
              <w:topLinePunct/>
              <w:jc w:val="center"/>
              <w:rPr>
                <w:rFonts w:hint="eastAsia" w:ascii="宋体" w:hAnsi="宋体"/>
                <w:color w:val="000000" w:themeColor="text1"/>
                <w:szCs w:val="21"/>
                <w:highlight w:val="none"/>
                <w14:textFill>
                  <w14:solidFill>
                    <w14:schemeClr w14:val="tx1"/>
                  </w14:solidFill>
                </w14:textFill>
              </w:rPr>
            </w:pPr>
          </w:p>
        </w:tc>
        <w:tc>
          <w:tcPr>
            <w:tcW w:w="1068" w:type="dxa"/>
            <w:vAlign w:val="center"/>
          </w:tcPr>
          <w:p w14:paraId="79B990BB">
            <w:pPr>
              <w:topLinePunct/>
              <w:jc w:val="center"/>
              <w:rPr>
                <w:rFonts w:hint="eastAsia" w:ascii="宋体" w:hAnsi="宋体"/>
                <w:color w:val="000000" w:themeColor="text1"/>
                <w:szCs w:val="21"/>
                <w:highlight w:val="none"/>
                <w14:textFill>
                  <w14:solidFill>
                    <w14:schemeClr w14:val="tx1"/>
                  </w14:solidFill>
                </w14:textFill>
              </w:rPr>
            </w:pPr>
          </w:p>
        </w:tc>
        <w:tc>
          <w:tcPr>
            <w:tcW w:w="1701" w:type="dxa"/>
            <w:gridSpan w:val="3"/>
            <w:vAlign w:val="center"/>
          </w:tcPr>
          <w:p w14:paraId="5EF2535D">
            <w:pPr>
              <w:topLinePunct/>
              <w:jc w:val="center"/>
              <w:rPr>
                <w:rFonts w:hint="eastAsia" w:ascii="宋体" w:hAnsi="宋体"/>
                <w:color w:val="000000" w:themeColor="text1"/>
                <w:szCs w:val="21"/>
                <w:highlight w:val="none"/>
                <w14:textFill>
                  <w14:solidFill>
                    <w14:schemeClr w14:val="tx1"/>
                  </w14:solidFill>
                </w14:textFill>
              </w:rPr>
            </w:pPr>
          </w:p>
        </w:tc>
        <w:tc>
          <w:tcPr>
            <w:tcW w:w="2623" w:type="dxa"/>
            <w:gridSpan w:val="3"/>
            <w:vAlign w:val="center"/>
          </w:tcPr>
          <w:p w14:paraId="1174F353">
            <w:pPr>
              <w:topLinePunct/>
              <w:jc w:val="center"/>
              <w:rPr>
                <w:rFonts w:hint="eastAsia" w:ascii="宋体" w:hAnsi="宋体"/>
                <w:color w:val="000000" w:themeColor="text1"/>
                <w:szCs w:val="21"/>
                <w:highlight w:val="none"/>
                <w14:textFill>
                  <w14:solidFill>
                    <w14:schemeClr w14:val="tx1"/>
                  </w14:solidFill>
                </w14:textFill>
              </w:rPr>
            </w:pPr>
          </w:p>
        </w:tc>
      </w:tr>
      <w:tr w14:paraId="35CB8D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8" w:hRule="atLeast"/>
        </w:trPr>
        <w:tc>
          <w:tcPr>
            <w:tcW w:w="3608" w:type="dxa"/>
            <w:gridSpan w:val="3"/>
            <w:vAlign w:val="center"/>
          </w:tcPr>
          <w:p w14:paraId="09927E91">
            <w:pPr>
              <w:topLinePunct/>
              <w:jc w:val="center"/>
              <w:rPr>
                <w:rFonts w:hint="eastAsia" w:ascii="宋体" w:hAnsi="宋体"/>
                <w:color w:val="000000" w:themeColor="text1"/>
                <w:szCs w:val="21"/>
                <w:highlight w:val="none"/>
                <w14:textFill>
                  <w14:solidFill>
                    <w14:schemeClr w14:val="tx1"/>
                  </w14:solidFill>
                </w14:textFill>
              </w:rPr>
            </w:pPr>
          </w:p>
        </w:tc>
        <w:tc>
          <w:tcPr>
            <w:tcW w:w="1068" w:type="dxa"/>
            <w:vAlign w:val="center"/>
          </w:tcPr>
          <w:p w14:paraId="540E3606">
            <w:pPr>
              <w:topLinePunct/>
              <w:jc w:val="center"/>
              <w:rPr>
                <w:rFonts w:hint="eastAsia" w:ascii="宋体" w:hAnsi="宋体"/>
                <w:color w:val="000000" w:themeColor="text1"/>
                <w:szCs w:val="21"/>
                <w:highlight w:val="none"/>
                <w14:textFill>
                  <w14:solidFill>
                    <w14:schemeClr w14:val="tx1"/>
                  </w14:solidFill>
                </w14:textFill>
              </w:rPr>
            </w:pPr>
          </w:p>
        </w:tc>
        <w:tc>
          <w:tcPr>
            <w:tcW w:w="1701" w:type="dxa"/>
            <w:gridSpan w:val="3"/>
            <w:vAlign w:val="center"/>
          </w:tcPr>
          <w:p w14:paraId="403B6A9B">
            <w:pPr>
              <w:topLinePunct/>
              <w:jc w:val="center"/>
              <w:rPr>
                <w:rFonts w:hint="eastAsia" w:ascii="宋体" w:hAnsi="宋体"/>
                <w:color w:val="000000" w:themeColor="text1"/>
                <w:szCs w:val="21"/>
                <w:highlight w:val="none"/>
                <w14:textFill>
                  <w14:solidFill>
                    <w14:schemeClr w14:val="tx1"/>
                  </w14:solidFill>
                </w14:textFill>
              </w:rPr>
            </w:pPr>
          </w:p>
        </w:tc>
        <w:tc>
          <w:tcPr>
            <w:tcW w:w="2623" w:type="dxa"/>
            <w:gridSpan w:val="3"/>
            <w:vAlign w:val="center"/>
          </w:tcPr>
          <w:p w14:paraId="4275A1C3">
            <w:pPr>
              <w:topLinePunct/>
              <w:jc w:val="center"/>
              <w:rPr>
                <w:rFonts w:hint="eastAsia" w:ascii="宋体" w:hAnsi="宋体"/>
                <w:color w:val="000000" w:themeColor="text1"/>
                <w:szCs w:val="21"/>
                <w:highlight w:val="none"/>
                <w14:textFill>
                  <w14:solidFill>
                    <w14:schemeClr w14:val="tx1"/>
                  </w14:solidFill>
                </w14:textFill>
              </w:rPr>
            </w:pPr>
          </w:p>
        </w:tc>
      </w:tr>
      <w:tr w14:paraId="029BE9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2" w:hRule="atLeast"/>
        </w:trPr>
        <w:tc>
          <w:tcPr>
            <w:tcW w:w="3608" w:type="dxa"/>
            <w:gridSpan w:val="3"/>
            <w:vAlign w:val="center"/>
          </w:tcPr>
          <w:p w14:paraId="5CFD9BC3">
            <w:pPr>
              <w:topLinePunct/>
              <w:jc w:val="center"/>
              <w:rPr>
                <w:rFonts w:hint="eastAsia" w:ascii="宋体" w:hAnsi="宋体"/>
                <w:color w:val="000000" w:themeColor="text1"/>
                <w:szCs w:val="21"/>
                <w:highlight w:val="none"/>
                <w14:textFill>
                  <w14:solidFill>
                    <w14:schemeClr w14:val="tx1"/>
                  </w14:solidFill>
                </w14:textFill>
              </w:rPr>
            </w:pPr>
          </w:p>
        </w:tc>
        <w:tc>
          <w:tcPr>
            <w:tcW w:w="1068" w:type="dxa"/>
            <w:vAlign w:val="center"/>
          </w:tcPr>
          <w:p w14:paraId="084D69C6">
            <w:pPr>
              <w:topLinePunct/>
              <w:jc w:val="center"/>
              <w:rPr>
                <w:rFonts w:hint="eastAsia" w:ascii="宋体" w:hAnsi="宋体"/>
                <w:color w:val="000000" w:themeColor="text1"/>
                <w:szCs w:val="21"/>
                <w:highlight w:val="none"/>
                <w14:textFill>
                  <w14:solidFill>
                    <w14:schemeClr w14:val="tx1"/>
                  </w14:solidFill>
                </w14:textFill>
              </w:rPr>
            </w:pPr>
          </w:p>
        </w:tc>
        <w:tc>
          <w:tcPr>
            <w:tcW w:w="1701" w:type="dxa"/>
            <w:gridSpan w:val="3"/>
            <w:vAlign w:val="center"/>
          </w:tcPr>
          <w:p w14:paraId="1CDF93EB">
            <w:pPr>
              <w:topLinePunct/>
              <w:jc w:val="center"/>
              <w:rPr>
                <w:rFonts w:hint="eastAsia" w:ascii="宋体" w:hAnsi="宋体"/>
                <w:color w:val="000000" w:themeColor="text1"/>
                <w:szCs w:val="21"/>
                <w:highlight w:val="none"/>
                <w14:textFill>
                  <w14:solidFill>
                    <w14:schemeClr w14:val="tx1"/>
                  </w14:solidFill>
                </w14:textFill>
              </w:rPr>
            </w:pPr>
          </w:p>
        </w:tc>
        <w:tc>
          <w:tcPr>
            <w:tcW w:w="2623" w:type="dxa"/>
            <w:gridSpan w:val="3"/>
            <w:vAlign w:val="center"/>
          </w:tcPr>
          <w:p w14:paraId="483A60AF">
            <w:pPr>
              <w:topLinePunct/>
              <w:jc w:val="center"/>
              <w:rPr>
                <w:rFonts w:hint="eastAsia" w:ascii="宋体" w:hAnsi="宋体"/>
                <w:color w:val="000000" w:themeColor="text1"/>
                <w:szCs w:val="21"/>
                <w:highlight w:val="none"/>
                <w14:textFill>
                  <w14:solidFill>
                    <w14:schemeClr w14:val="tx1"/>
                  </w14:solidFill>
                </w14:textFill>
              </w:rPr>
            </w:pPr>
          </w:p>
        </w:tc>
      </w:tr>
      <w:tr w14:paraId="7E3FF1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2" w:hRule="atLeast"/>
        </w:trPr>
        <w:tc>
          <w:tcPr>
            <w:tcW w:w="3608" w:type="dxa"/>
            <w:gridSpan w:val="3"/>
            <w:vAlign w:val="center"/>
          </w:tcPr>
          <w:p w14:paraId="3268EB9B">
            <w:pPr>
              <w:topLinePunct/>
              <w:jc w:val="center"/>
              <w:rPr>
                <w:rFonts w:hint="eastAsia" w:ascii="宋体" w:hAnsi="宋体"/>
                <w:color w:val="000000" w:themeColor="text1"/>
                <w:szCs w:val="21"/>
                <w:highlight w:val="none"/>
                <w14:textFill>
                  <w14:solidFill>
                    <w14:schemeClr w14:val="tx1"/>
                  </w14:solidFill>
                </w14:textFill>
              </w:rPr>
            </w:pPr>
          </w:p>
        </w:tc>
        <w:tc>
          <w:tcPr>
            <w:tcW w:w="1068" w:type="dxa"/>
            <w:vAlign w:val="center"/>
          </w:tcPr>
          <w:p w14:paraId="7E2364FC">
            <w:pPr>
              <w:topLinePunct/>
              <w:jc w:val="center"/>
              <w:rPr>
                <w:rFonts w:hint="eastAsia" w:ascii="宋体" w:hAnsi="宋体"/>
                <w:color w:val="000000" w:themeColor="text1"/>
                <w:szCs w:val="21"/>
                <w:highlight w:val="none"/>
                <w14:textFill>
                  <w14:solidFill>
                    <w14:schemeClr w14:val="tx1"/>
                  </w14:solidFill>
                </w14:textFill>
              </w:rPr>
            </w:pPr>
          </w:p>
        </w:tc>
        <w:tc>
          <w:tcPr>
            <w:tcW w:w="1701" w:type="dxa"/>
            <w:gridSpan w:val="3"/>
            <w:vAlign w:val="center"/>
          </w:tcPr>
          <w:p w14:paraId="2EE619EC">
            <w:pPr>
              <w:topLinePunct/>
              <w:jc w:val="center"/>
              <w:rPr>
                <w:rFonts w:hint="eastAsia" w:ascii="宋体" w:hAnsi="宋体"/>
                <w:color w:val="000000" w:themeColor="text1"/>
                <w:szCs w:val="21"/>
                <w:highlight w:val="none"/>
                <w14:textFill>
                  <w14:solidFill>
                    <w14:schemeClr w14:val="tx1"/>
                  </w14:solidFill>
                </w14:textFill>
              </w:rPr>
            </w:pPr>
          </w:p>
        </w:tc>
        <w:tc>
          <w:tcPr>
            <w:tcW w:w="2623" w:type="dxa"/>
            <w:gridSpan w:val="3"/>
            <w:vAlign w:val="center"/>
          </w:tcPr>
          <w:p w14:paraId="4C7D4EAC">
            <w:pPr>
              <w:topLinePunct/>
              <w:jc w:val="center"/>
              <w:rPr>
                <w:rFonts w:hint="eastAsia" w:ascii="宋体" w:hAnsi="宋体"/>
                <w:color w:val="000000" w:themeColor="text1"/>
                <w:szCs w:val="21"/>
                <w:highlight w:val="none"/>
                <w14:textFill>
                  <w14:solidFill>
                    <w14:schemeClr w14:val="tx1"/>
                  </w14:solidFill>
                </w14:textFill>
              </w:rPr>
            </w:pPr>
          </w:p>
        </w:tc>
      </w:tr>
      <w:tr w14:paraId="467DB1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2" w:hRule="atLeast"/>
        </w:trPr>
        <w:tc>
          <w:tcPr>
            <w:tcW w:w="3608" w:type="dxa"/>
            <w:gridSpan w:val="3"/>
            <w:vAlign w:val="center"/>
          </w:tcPr>
          <w:p w14:paraId="761EC83A">
            <w:pPr>
              <w:topLinePunct/>
              <w:jc w:val="center"/>
              <w:rPr>
                <w:rFonts w:hint="eastAsia" w:ascii="宋体" w:hAnsi="宋体"/>
                <w:color w:val="000000" w:themeColor="text1"/>
                <w:szCs w:val="21"/>
                <w:highlight w:val="none"/>
                <w14:textFill>
                  <w14:solidFill>
                    <w14:schemeClr w14:val="tx1"/>
                  </w14:solidFill>
                </w14:textFill>
              </w:rPr>
            </w:pPr>
          </w:p>
        </w:tc>
        <w:tc>
          <w:tcPr>
            <w:tcW w:w="1068" w:type="dxa"/>
            <w:vAlign w:val="center"/>
          </w:tcPr>
          <w:p w14:paraId="15F4583A">
            <w:pPr>
              <w:topLinePunct/>
              <w:jc w:val="center"/>
              <w:rPr>
                <w:rFonts w:hint="eastAsia" w:ascii="宋体" w:hAnsi="宋体"/>
                <w:color w:val="000000" w:themeColor="text1"/>
                <w:szCs w:val="21"/>
                <w:highlight w:val="none"/>
                <w14:textFill>
                  <w14:solidFill>
                    <w14:schemeClr w14:val="tx1"/>
                  </w14:solidFill>
                </w14:textFill>
              </w:rPr>
            </w:pPr>
          </w:p>
        </w:tc>
        <w:tc>
          <w:tcPr>
            <w:tcW w:w="1701" w:type="dxa"/>
            <w:gridSpan w:val="3"/>
            <w:vAlign w:val="center"/>
          </w:tcPr>
          <w:p w14:paraId="59E965FC">
            <w:pPr>
              <w:topLinePunct/>
              <w:jc w:val="center"/>
              <w:rPr>
                <w:rFonts w:hint="eastAsia" w:ascii="宋体" w:hAnsi="宋体"/>
                <w:color w:val="000000" w:themeColor="text1"/>
                <w:szCs w:val="21"/>
                <w:highlight w:val="none"/>
                <w14:textFill>
                  <w14:solidFill>
                    <w14:schemeClr w14:val="tx1"/>
                  </w14:solidFill>
                </w14:textFill>
              </w:rPr>
            </w:pPr>
          </w:p>
        </w:tc>
        <w:tc>
          <w:tcPr>
            <w:tcW w:w="2623" w:type="dxa"/>
            <w:gridSpan w:val="3"/>
            <w:vAlign w:val="center"/>
          </w:tcPr>
          <w:p w14:paraId="69FA683C">
            <w:pPr>
              <w:topLinePunct/>
              <w:jc w:val="center"/>
              <w:rPr>
                <w:rFonts w:hint="eastAsia" w:ascii="宋体" w:hAnsi="宋体"/>
                <w:color w:val="000000" w:themeColor="text1"/>
                <w:szCs w:val="21"/>
                <w:highlight w:val="none"/>
                <w14:textFill>
                  <w14:solidFill>
                    <w14:schemeClr w14:val="tx1"/>
                  </w14:solidFill>
                </w14:textFill>
              </w:rPr>
            </w:pPr>
          </w:p>
        </w:tc>
      </w:tr>
      <w:tr w14:paraId="615B15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20" w:hRule="atLeast"/>
        </w:trPr>
        <w:tc>
          <w:tcPr>
            <w:tcW w:w="3608" w:type="dxa"/>
            <w:gridSpan w:val="3"/>
            <w:vAlign w:val="center"/>
          </w:tcPr>
          <w:p w14:paraId="5EFCE3E2">
            <w:pPr>
              <w:topLinePunct/>
              <w:jc w:val="center"/>
              <w:rPr>
                <w:rFonts w:hint="eastAsia" w:ascii="宋体" w:hAnsi="宋体"/>
                <w:color w:val="000000" w:themeColor="text1"/>
                <w:szCs w:val="21"/>
                <w:highlight w:val="none"/>
                <w14:textFill>
                  <w14:solidFill>
                    <w14:schemeClr w14:val="tx1"/>
                  </w14:solidFill>
                </w14:textFill>
              </w:rPr>
            </w:pPr>
          </w:p>
        </w:tc>
        <w:tc>
          <w:tcPr>
            <w:tcW w:w="1068" w:type="dxa"/>
            <w:vAlign w:val="center"/>
          </w:tcPr>
          <w:p w14:paraId="26BF317D">
            <w:pPr>
              <w:topLinePunct/>
              <w:jc w:val="center"/>
              <w:rPr>
                <w:rFonts w:hint="eastAsia" w:ascii="宋体" w:hAnsi="宋体"/>
                <w:color w:val="000000" w:themeColor="text1"/>
                <w:szCs w:val="21"/>
                <w:highlight w:val="none"/>
                <w14:textFill>
                  <w14:solidFill>
                    <w14:schemeClr w14:val="tx1"/>
                  </w14:solidFill>
                </w14:textFill>
              </w:rPr>
            </w:pPr>
          </w:p>
        </w:tc>
        <w:tc>
          <w:tcPr>
            <w:tcW w:w="1701" w:type="dxa"/>
            <w:gridSpan w:val="3"/>
            <w:vAlign w:val="center"/>
          </w:tcPr>
          <w:p w14:paraId="0FDA60D4">
            <w:pPr>
              <w:topLinePunct/>
              <w:jc w:val="center"/>
              <w:rPr>
                <w:rFonts w:hint="eastAsia" w:ascii="宋体" w:hAnsi="宋体"/>
                <w:color w:val="000000" w:themeColor="text1"/>
                <w:szCs w:val="21"/>
                <w:highlight w:val="none"/>
                <w14:textFill>
                  <w14:solidFill>
                    <w14:schemeClr w14:val="tx1"/>
                  </w14:solidFill>
                </w14:textFill>
              </w:rPr>
            </w:pPr>
          </w:p>
        </w:tc>
        <w:tc>
          <w:tcPr>
            <w:tcW w:w="2623" w:type="dxa"/>
            <w:gridSpan w:val="3"/>
            <w:vAlign w:val="center"/>
          </w:tcPr>
          <w:p w14:paraId="47C16561">
            <w:pPr>
              <w:topLinePunct/>
              <w:jc w:val="center"/>
              <w:rPr>
                <w:rFonts w:hint="eastAsia" w:ascii="宋体" w:hAnsi="宋体"/>
                <w:color w:val="000000" w:themeColor="text1"/>
                <w:szCs w:val="21"/>
                <w:highlight w:val="none"/>
                <w14:textFill>
                  <w14:solidFill>
                    <w14:schemeClr w14:val="tx1"/>
                  </w14:solidFill>
                </w14:textFill>
              </w:rPr>
            </w:pPr>
          </w:p>
        </w:tc>
      </w:tr>
      <w:tr w14:paraId="590227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trPr>
        <w:tc>
          <w:tcPr>
            <w:tcW w:w="3608" w:type="dxa"/>
            <w:gridSpan w:val="3"/>
            <w:vAlign w:val="center"/>
          </w:tcPr>
          <w:p w14:paraId="7E4932FE">
            <w:pPr>
              <w:topLinePunct/>
              <w:jc w:val="center"/>
              <w:rPr>
                <w:rFonts w:hint="eastAsia" w:ascii="宋体" w:hAnsi="宋体"/>
                <w:color w:val="000000" w:themeColor="text1"/>
                <w:szCs w:val="21"/>
                <w:highlight w:val="none"/>
                <w14:textFill>
                  <w14:solidFill>
                    <w14:schemeClr w14:val="tx1"/>
                  </w14:solidFill>
                </w14:textFill>
              </w:rPr>
            </w:pPr>
          </w:p>
        </w:tc>
        <w:tc>
          <w:tcPr>
            <w:tcW w:w="1068" w:type="dxa"/>
            <w:vAlign w:val="center"/>
          </w:tcPr>
          <w:p w14:paraId="593648F0">
            <w:pPr>
              <w:topLinePunct/>
              <w:jc w:val="center"/>
              <w:rPr>
                <w:rFonts w:hint="eastAsia" w:ascii="宋体" w:hAnsi="宋体"/>
                <w:color w:val="000000" w:themeColor="text1"/>
                <w:szCs w:val="21"/>
                <w:highlight w:val="none"/>
                <w14:textFill>
                  <w14:solidFill>
                    <w14:schemeClr w14:val="tx1"/>
                  </w14:solidFill>
                </w14:textFill>
              </w:rPr>
            </w:pPr>
          </w:p>
        </w:tc>
        <w:tc>
          <w:tcPr>
            <w:tcW w:w="1701" w:type="dxa"/>
            <w:gridSpan w:val="3"/>
            <w:vAlign w:val="center"/>
          </w:tcPr>
          <w:p w14:paraId="1298F309">
            <w:pPr>
              <w:topLinePunct/>
              <w:jc w:val="center"/>
              <w:rPr>
                <w:rFonts w:hint="eastAsia" w:ascii="宋体" w:hAnsi="宋体"/>
                <w:color w:val="000000" w:themeColor="text1"/>
                <w:szCs w:val="21"/>
                <w:highlight w:val="none"/>
                <w14:textFill>
                  <w14:solidFill>
                    <w14:schemeClr w14:val="tx1"/>
                  </w14:solidFill>
                </w14:textFill>
              </w:rPr>
            </w:pPr>
          </w:p>
        </w:tc>
        <w:tc>
          <w:tcPr>
            <w:tcW w:w="2623" w:type="dxa"/>
            <w:gridSpan w:val="3"/>
            <w:vAlign w:val="center"/>
          </w:tcPr>
          <w:p w14:paraId="10B05D90">
            <w:pPr>
              <w:topLinePunct/>
              <w:jc w:val="center"/>
              <w:rPr>
                <w:rFonts w:hint="eastAsia" w:ascii="宋体" w:hAnsi="宋体"/>
                <w:color w:val="000000" w:themeColor="text1"/>
                <w:szCs w:val="21"/>
                <w:highlight w:val="none"/>
                <w14:textFill>
                  <w14:solidFill>
                    <w14:schemeClr w14:val="tx1"/>
                  </w14:solidFill>
                </w14:textFill>
              </w:rPr>
            </w:pPr>
          </w:p>
        </w:tc>
      </w:tr>
    </w:tbl>
    <w:p w14:paraId="42A38084">
      <w:pPr>
        <w:adjustRightInd w:val="0"/>
        <w:snapToGrid w:val="0"/>
        <w:spacing w:before="156" w:beforeLines="50"/>
        <w:ind w:left="630" w:hanging="630" w:hangingChars="300"/>
        <w:rPr>
          <w:rFonts w:hint="eastAsia" w:ascii="楷体" w:hAnsi="楷体" w:eastAsia="楷体"/>
          <w:color w:val="000000" w:themeColor="text1"/>
          <w:szCs w:val="21"/>
          <w:highlight w:val="none"/>
          <w14:textFill>
            <w14:solidFill>
              <w14:schemeClr w14:val="tx1"/>
            </w14:solidFill>
          </w14:textFill>
        </w:rPr>
      </w:pPr>
      <w:r>
        <w:rPr>
          <w:rFonts w:hint="eastAsia" w:ascii="楷体" w:hAnsi="楷体" w:eastAsia="楷体"/>
          <w:color w:val="000000" w:themeColor="text1"/>
          <w:szCs w:val="21"/>
          <w:highlight w:val="none"/>
          <w14:textFill>
            <w14:solidFill>
              <w14:schemeClr w14:val="tx1"/>
            </w14:solidFill>
          </w14:textFill>
        </w:rPr>
        <w:t>说明：企业类型指大型、中型、小型、微型；上年营业收入、资产总额应与财务报表中的数据一致， 金额单位为万元。</w:t>
      </w:r>
    </w:p>
    <w:p w14:paraId="158620E5">
      <w:pPr>
        <w:adjustRightInd w:val="0"/>
        <w:snapToGrid w:val="0"/>
        <w:spacing w:before="312" w:beforeLines="100" w:line="360" w:lineRule="auto"/>
        <w:ind w:firstLine="388" w:firstLineChars="185"/>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投标人：</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（盖单位章）</w:t>
      </w:r>
    </w:p>
    <w:p w14:paraId="55A8BBF8">
      <w:pPr>
        <w:adjustRightInd w:val="0"/>
        <w:spacing w:line="360" w:lineRule="auto"/>
        <w:ind w:firstLine="367" w:firstLineChars="175"/>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法定代表人或委托代理人：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（签名）</w:t>
      </w:r>
    </w:p>
    <w:p w14:paraId="453FFD93">
      <w:pPr>
        <w:adjustRightInd w:val="0"/>
        <w:spacing w:line="360" w:lineRule="auto"/>
        <w:ind w:firstLine="367" w:firstLineChars="175"/>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日      期:20</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年</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月</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日</w:t>
      </w:r>
    </w:p>
    <w:p w14:paraId="42EFBA22">
      <w:pPr>
        <w:adjustRightInd w:val="0"/>
        <w:snapToGrid w:val="0"/>
        <w:spacing w:line="360" w:lineRule="auto"/>
        <w:jc w:val="center"/>
        <w:rPr>
          <w:rFonts w:hint="eastAsia" w:ascii="宋体" w:hAnsi="宋体"/>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r>
      <w:r>
        <w:rPr>
          <w:rFonts w:hint="eastAsia" w:ascii="宋体" w:hAnsi="宋体"/>
          <w:b/>
          <w:color w:val="000000" w:themeColor="text1"/>
          <w:sz w:val="32"/>
          <w:szCs w:val="32"/>
          <w:highlight w:val="none"/>
          <w14:textFill>
            <w14:solidFill>
              <w14:schemeClr w14:val="tx1"/>
            </w14:solidFill>
          </w14:textFill>
        </w:rPr>
        <w:t>2.法定代表人身份证明</w:t>
      </w:r>
    </w:p>
    <w:p w14:paraId="01C47A01">
      <w:pPr>
        <w:snapToGrid w:val="0"/>
        <w:spacing w:line="480" w:lineRule="auto"/>
        <w:rPr>
          <w:rFonts w:hint="eastAsia" w:ascii="宋体" w:hAnsi="宋体"/>
          <w:color w:val="000000" w:themeColor="text1"/>
          <w:szCs w:val="21"/>
          <w:highlight w:val="none"/>
          <w14:textFill>
            <w14:solidFill>
              <w14:schemeClr w14:val="tx1"/>
            </w14:solidFill>
          </w14:textFill>
        </w:rPr>
      </w:pPr>
    </w:p>
    <w:p w14:paraId="69892F0F">
      <w:pPr>
        <w:autoSpaceDE w:val="0"/>
        <w:autoSpaceDN w:val="0"/>
        <w:adjustRightInd w:val="0"/>
        <w:snapToGrid w:val="0"/>
        <w:spacing w:before="156" w:beforeLines="50" w:line="360" w:lineRule="auto"/>
        <w:jc w:val="left"/>
        <w:rPr>
          <w:rFonts w:hint="eastAsia" w:ascii="宋体" w:hAnsi="宋体" w:cs="宋体"/>
          <w:color w:val="000000" w:themeColor="text1"/>
          <w:kern w:val="0"/>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投标人</w:t>
      </w:r>
      <w:r>
        <w:rPr>
          <w:rFonts w:hint="eastAsia" w:ascii="宋体" w:hAnsi="宋体" w:cs="宋体"/>
          <w:color w:val="000000" w:themeColor="text1"/>
          <w:kern w:val="0"/>
          <w:szCs w:val="21"/>
          <w:highlight w:val="none"/>
          <w14:textFill>
            <w14:solidFill>
              <w14:schemeClr w14:val="tx1"/>
            </w14:solidFill>
          </w14:textFill>
        </w:rPr>
        <w:t>名称：</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w:t>
      </w:r>
    </w:p>
    <w:p w14:paraId="4EDF4338">
      <w:pPr>
        <w:autoSpaceDE w:val="0"/>
        <w:autoSpaceDN w:val="0"/>
        <w:adjustRightInd w:val="0"/>
        <w:snapToGrid w:val="0"/>
        <w:spacing w:before="156" w:beforeLines="50" w:line="360"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统一社会信用代码：</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662293FB">
      <w:pPr>
        <w:autoSpaceDE w:val="0"/>
        <w:autoSpaceDN w:val="0"/>
        <w:adjustRightInd w:val="0"/>
        <w:snapToGrid w:val="0"/>
        <w:spacing w:before="156" w:beforeLines="50" w:line="360"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姓名：</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性别：</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年龄：</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职务：</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5793FFD0">
      <w:pPr>
        <w:autoSpaceDE w:val="0"/>
        <w:autoSpaceDN w:val="0"/>
        <w:adjustRightInd w:val="0"/>
        <w:snapToGrid w:val="0"/>
        <w:spacing w:before="156" w:beforeLines="50" w:line="360"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系</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w:t>
      </w:r>
      <w:r>
        <w:rPr>
          <w:rFonts w:ascii="宋体" w:hAnsi="宋体" w:cs="宋体"/>
          <w:color w:val="000000" w:themeColor="text1"/>
          <w:kern w:val="0"/>
          <w:szCs w:val="21"/>
          <w:highlight w:val="none"/>
          <w14:textFill>
            <w14:solidFill>
              <w14:schemeClr w14:val="tx1"/>
            </w14:solidFill>
          </w14:textFill>
        </w:rPr>
        <w:t>投标人</w:t>
      </w:r>
      <w:r>
        <w:rPr>
          <w:rFonts w:hint="eastAsia" w:ascii="宋体" w:hAnsi="宋体" w:cs="宋体"/>
          <w:color w:val="000000" w:themeColor="text1"/>
          <w:kern w:val="0"/>
          <w:szCs w:val="21"/>
          <w:highlight w:val="none"/>
          <w14:textFill>
            <w14:solidFill>
              <w14:schemeClr w14:val="tx1"/>
            </w14:solidFill>
          </w14:textFill>
        </w:rPr>
        <w:t>名称）的法定代表人（单位负责人）。</w:t>
      </w:r>
    </w:p>
    <w:p w14:paraId="63C9C386">
      <w:pPr>
        <w:autoSpaceDE w:val="0"/>
        <w:autoSpaceDN w:val="0"/>
        <w:adjustRightInd w:val="0"/>
        <w:snapToGrid w:val="0"/>
        <w:spacing w:before="156" w:beforeLines="50" w:line="360"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特此证明。</w:t>
      </w:r>
    </w:p>
    <w:p w14:paraId="4E5EDA46">
      <w:pPr>
        <w:autoSpaceDE w:val="0"/>
        <w:autoSpaceDN w:val="0"/>
        <w:adjustRightInd w:val="0"/>
        <w:snapToGrid w:val="0"/>
        <w:spacing w:before="156" w:beforeLines="50" w:line="360" w:lineRule="auto"/>
        <w:jc w:val="left"/>
        <w:rPr>
          <w:rFonts w:hint="eastAsia" w:ascii="宋体" w:hAnsi="宋体"/>
          <w:color w:val="000000" w:themeColor="text1"/>
          <w:szCs w:val="21"/>
          <w:highlight w:val="none"/>
          <w14:textFill>
            <w14:solidFill>
              <w14:schemeClr w14:val="tx1"/>
            </w14:solidFill>
          </w14:textFill>
        </w:rPr>
      </w:pPr>
    </w:p>
    <w:p w14:paraId="27E88D2B">
      <w:pPr>
        <w:autoSpaceDE w:val="0"/>
        <w:autoSpaceDN w:val="0"/>
        <w:adjustRightInd w:val="0"/>
        <w:snapToGrid w:val="0"/>
        <w:spacing w:before="156" w:beforeLines="50" w:line="360"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附：法定代表人身份证复印件</w:t>
      </w:r>
      <w:r>
        <w:rPr>
          <w:rFonts w:hint="eastAsia" w:ascii="宋体" w:hAnsi="宋体"/>
          <w:color w:val="000000" w:themeColor="text1"/>
          <w:szCs w:val="21"/>
          <w:highlight w:val="none"/>
          <w:lang w:val="zh-CN"/>
          <w14:textFill>
            <w14:solidFill>
              <w14:schemeClr w14:val="tx1"/>
            </w14:solidFill>
          </w14:textFill>
        </w:rPr>
        <w:t>（正反面）。</w:t>
      </w:r>
    </w:p>
    <w:p w14:paraId="1F7C6704">
      <w:pPr>
        <w:snapToGrid w:val="0"/>
        <w:spacing w:line="480" w:lineRule="auto"/>
        <w:rPr>
          <w:rFonts w:hint="eastAsia" w:ascii="宋体" w:hAnsi="宋体"/>
          <w:color w:val="000000" w:themeColor="text1"/>
          <w:szCs w:val="21"/>
          <w:highlight w:val="none"/>
          <w14:textFill>
            <w14:solidFill>
              <w14:schemeClr w14:val="tx1"/>
            </w14:solidFill>
          </w14:textFill>
        </w:rPr>
      </w:pPr>
    </w:p>
    <w:tbl>
      <w:tblPr>
        <w:tblStyle w:val="31"/>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6"/>
        <w:gridCol w:w="4587"/>
      </w:tblGrid>
      <w:tr w14:paraId="367B2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4586" w:type="dxa"/>
            <w:vAlign w:val="center"/>
          </w:tcPr>
          <w:p w14:paraId="0288C75E">
            <w:pPr>
              <w:snapToGrid w:val="0"/>
              <w:spacing w:line="480" w:lineRule="auto"/>
              <w:jc w:val="center"/>
              <w:rPr>
                <w:rFonts w:hint="eastAsia" w:ascii="宋体" w:hAnsi="宋体"/>
                <w:color w:val="000000" w:themeColor="text1"/>
                <w:szCs w:val="21"/>
                <w:highlight w:val="none"/>
                <w14:textFill>
                  <w14:solidFill>
                    <w14:schemeClr w14:val="tx1"/>
                  </w14:solidFill>
                </w14:textFill>
              </w:rPr>
            </w:pPr>
          </w:p>
          <w:p w14:paraId="54551C7E">
            <w:pPr>
              <w:snapToGrid w:val="0"/>
              <w:spacing w:line="480" w:lineRule="auto"/>
              <w:jc w:val="center"/>
              <w:rPr>
                <w:rFonts w:hint="eastAsia" w:ascii="宋体" w:hAnsi="宋体"/>
                <w:color w:val="000000" w:themeColor="text1"/>
                <w:szCs w:val="21"/>
                <w:highlight w:val="none"/>
                <w14:textFill>
                  <w14:solidFill>
                    <w14:schemeClr w14:val="tx1"/>
                  </w14:solidFill>
                </w14:textFill>
              </w:rPr>
            </w:pPr>
          </w:p>
          <w:p w14:paraId="6032E238">
            <w:pPr>
              <w:autoSpaceDE w:val="0"/>
              <w:autoSpaceDN w:val="0"/>
              <w:adjustRightInd w:val="0"/>
              <w:snapToGrid w:val="0"/>
              <w:spacing w:before="156" w:beforeLines="50" w:line="36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法定代表人身份证复印件</w:t>
            </w:r>
          </w:p>
          <w:p w14:paraId="1B1D6406">
            <w:pPr>
              <w:snapToGrid w:val="0"/>
              <w:spacing w:line="480" w:lineRule="auto"/>
              <w:jc w:val="center"/>
              <w:rPr>
                <w:rFonts w:hint="eastAsia" w:ascii="宋体" w:hAnsi="宋体"/>
                <w:color w:val="000000" w:themeColor="text1"/>
                <w:szCs w:val="21"/>
                <w:highlight w:val="none"/>
                <w14:textFill>
                  <w14:solidFill>
                    <w14:schemeClr w14:val="tx1"/>
                  </w14:solidFill>
                </w14:textFill>
              </w:rPr>
            </w:pPr>
          </w:p>
          <w:p w14:paraId="51930050">
            <w:pPr>
              <w:snapToGrid w:val="0"/>
              <w:spacing w:line="480" w:lineRule="auto"/>
              <w:jc w:val="center"/>
              <w:rPr>
                <w:rFonts w:hint="eastAsia" w:ascii="宋体" w:hAnsi="宋体"/>
                <w:color w:val="000000" w:themeColor="text1"/>
                <w:szCs w:val="21"/>
                <w:highlight w:val="none"/>
                <w14:textFill>
                  <w14:solidFill>
                    <w14:schemeClr w14:val="tx1"/>
                  </w14:solidFill>
                </w14:textFill>
              </w:rPr>
            </w:pPr>
          </w:p>
        </w:tc>
        <w:tc>
          <w:tcPr>
            <w:tcW w:w="4587" w:type="dxa"/>
            <w:vAlign w:val="center"/>
          </w:tcPr>
          <w:p w14:paraId="0F7FD781">
            <w:pPr>
              <w:autoSpaceDE w:val="0"/>
              <w:autoSpaceDN w:val="0"/>
              <w:adjustRightInd w:val="0"/>
              <w:snapToGrid w:val="0"/>
              <w:spacing w:before="156" w:beforeLines="50" w:line="360" w:lineRule="auto"/>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法定代表人身份证复印件</w:t>
            </w:r>
          </w:p>
        </w:tc>
      </w:tr>
    </w:tbl>
    <w:p w14:paraId="2E69225F">
      <w:pPr>
        <w:snapToGrid w:val="0"/>
        <w:spacing w:line="480" w:lineRule="auto"/>
        <w:rPr>
          <w:rFonts w:hint="eastAsia" w:ascii="宋体" w:hAnsi="宋体"/>
          <w:color w:val="000000" w:themeColor="text1"/>
          <w:szCs w:val="21"/>
          <w:highlight w:val="none"/>
          <w14:textFill>
            <w14:solidFill>
              <w14:schemeClr w14:val="tx1"/>
            </w14:solidFill>
          </w14:textFill>
        </w:rPr>
      </w:pPr>
    </w:p>
    <w:p w14:paraId="125867BD">
      <w:pPr>
        <w:snapToGrid w:val="0"/>
        <w:rPr>
          <w:rFonts w:hint="eastAsia" w:ascii="宋体" w:hAnsi="宋体"/>
          <w:color w:val="000000" w:themeColor="text1"/>
          <w:szCs w:val="21"/>
          <w:highlight w:val="none"/>
          <w14:textFill>
            <w14:solidFill>
              <w14:schemeClr w14:val="tx1"/>
            </w14:solidFill>
          </w14:textFill>
        </w:rPr>
      </w:pPr>
    </w:p>
    <w:p w14:paraId="64906D3D">
      <w:pPr>
        <w:snapToGrid w:val="0"/>
        <w:rPr>
          <w:rFonts w:hint="eastAsia" w:ascii="宋体" w:hAnsi="宋体"/>
          <w:color w:val="000000" w:themeColor="text1"/>
          <w:szCs w:val="21"/>
          <w:highlight w:val="none"/>
          <w14:textFill>
            <w14:solidFill>
              <w14:schemeClr w14:val="tx1"/>
            </w14:solidFill>
          </w14:textFill>
        </w:rPr>
      </w:pPr>
    </w:p>
    <w:p w14:paraId="13BBA41D">
      <w:pPr>
        <w:snapToGrid w:val="0"/>
        <w:rPr>
          <w:rFonts w:hint="eastAsia" w:ascii="宋体" w:hAnsi="宋体"/>
          <w:color w:val="000000" w:themeColor="text1"/>
          <w:szCs w:val="21"/>
          <w:highlight w:val="none"/>
          <w14:textFill>
            <w14:solidFill>
              <w14:schemeClr w14:val="tx1"/>
            </w14:solidFill>
          </w14:textFill>
        </w:rPr>
      </w:pPr>
    </w:p>
    <w:p w14:paraId="2093B60B">
      <w:pPr>
        <w:adjustRightInd w:val="0"/>
        <w:snapToGrid w:val="0"/>
        <w:spacing w:line="360" w:lineRule="auto"/>
        <w:ind w:right="420" w:firstLine="3255" w:firstLineChars="155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（盖单位章）</w:t>
      </w:r>
    </w:p>
    <w:p w14:paraId="5DBB7EBD">
      <w:pPr>
        <w:adjustRightInd w:val="0"/>
        <w:snapToGrid w:val="0"/>
        <w:spacing w:line="360" w:lineRule="auto"/>
        <w:ind w:right="420" w:firstLine="4830" w:firstLineChars="2300"/>
        <w:rPr>
          <w:rFonts w:hint="eastAsia" w:ascii="宋体" w:hAnsi="宋体"/>
          <w:color w:val="000000" w:themeColor="text1"/>
          <w:szCs w:val="21"/>
          <w:highlight w:val="none"/>
          <w14:textFill>
            <w14:solidFill>
              <w14:schemeClr w14:val="tx1"/>
            </w14:solidFill>
          </w14:textFill>
        </w:rPr>
      </w:pPr>
    </w:p>
    <w:p w14:paraId="7CFA0215">
      <w:pPr>
        <w:adjustRightInd w:val="0"/>
        <w:snapToGrid w:val="0"/>
        <w:spacing w:line="360" w:lineRule="auto"/>
        <w:ind w:right="420" w:firstLine="4252" w:firstLineChars="202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日期：20  年  月  日</w:t>
      </w:r>
    </w:p>
    <w:p w14:paraId="1E2ECF46">
      <w:pPr>
        <w:adjustRightInd w:val="0"/>
        <w:snapToGrid w:val="0"/>
        <w:spacing w:line="360" w:lineRule="auto"/>
        <w:ind w:right="420" w:firstLine="4252" w:firstLineChars="2025"/>
        <w:rPr>
          <w:rFonts w:hint="eastAsia" w:ascii="宋体" w:hAnsi="宋体"/>
          <w:color w:val="000000" w:themeColor="text1"/>
          <w:szCs w:val="21"/>
          <w:highlight w:val="none"/>
          <w14:textFill>
            <w14:solidFill>
              <w14:schemeClr w14:val="tx1"/>
            </w14:solidFill>
          </w14:textFill>
        </w:rPr>
      </w:pPr>
    </w:p>
    <w:p w14:paraId="04D27CC9">
      <w:pPr>
        <w:rPr>
          <w:rFonts w:hint="eastAsia" w:ascii="楷体" w:hAnsi="楷体" w:eastAsia="楷体"/>
          <w:color w:val="000000" w:themeColor="text1"/>
          <w:sz w:val="18"/>
          <w:szCs w:val="18"/>
          <w:highlight w:val="none"/>
          <w:lang w:val="zh-CN"/>
          <w14:textFill>
            <w14:solidFill>
              <w14:schemeClr w14:val="tx1"/>
            </w14:solidFill>
          </w14:textFill>
        </w:rPr>
      </w:pPr>
      <w:r>
        <w:rPr>
          <w:rFonts w:hint="eastAsia" w:ascii="楷体" w:hAnsi="楷体" w:eastAsia="楷体"/>
          <w:color w:val="000000" w:themeColor="text1"/>
          <w:sz w:val="18"/>
          <w:szCs w:val="18"/>
          <w:highlight w:val="none"/>
          <w:lang w:val="zh-CN"/>
          <w14:textFill>
            <w14:solidFill>
              <w14:schemeClr w14:val="tx1"/>
            </w14:solidFill>
          </w14:textFill>
        </w:rPr>
        <w:t>说明：（</w:t>
      </w:r>
      <w:r>
        <w:rPr>
          <w:rFonts w:hint="eastAsia" w:ascii="楷体" w:hAnsi="楷体" w:eastAsia="楷体"/>
          <w:color w:val="000000" w:themeColor="text1"/>
          <w:sz w:val="18"/>
          <w:szCs w:val="18"/>
          <w:highlight w:val="none"/>
          <w14:textFill>
            <w14:solidFill>
              <w14:schemeClr w14:val="tx1"/>
            </w14:solidFill>
          </w14:textFill>
        </w:rPr>
        <w:t>1</w:t>
      </w:r>
      <w:r>
        <w:rPr>
          <w:rFonts w:hint="eastAsia" w:ascii="楷体" w:hAnsi="楷体" w:eastAsia="楷体"/>
          <w:color w:val="000000" w:themeColor="text1"/>
          <w:sz w:val="18"/>
          <w:szCs w:val="18"/>
          <w:highlight w:val="none"/>
          <w:lang w:val="zh-CN"/>
          <w14:textFill>
            <w14:solidFill>
              <w14:schemeClr w14:val="tx1"/>
            </w14:solidFill>
          </w14:textFill>
        </w:rPr>
        <w:t>）仅限</w:t>
      </w:r>
      <w:r>
        <w:rPr>
          <w:rFonts w:hint="eastAsia" w:ascii="楷体" w:hAnsi="楷体" w:eastAsia="楷体"/>
          <w:color w:val="000000" w:themeColor="text1"/>
          <w:sz w:val="18"/>
          <w:szCs w:val="18"/>
          <w:highlight w:val="none"/>
          <w14:textFill>
            <w14:solidFill>
              <w14:schemeClr w14:val="tx1"/>
            </w14:solidFill>
          </w14:textFill>
        </w:rPr>
        <w:t>于法定代表人直接</w:t>
      </w:r>
      <w:r>
        <w:rPr>
          <w:rFonts w:hint="eastAsia" w:ascii="楷体" w:hAnsi="楷体" w:eastAsia="楷体"/>
          <w:color w:val="000000" w:themeColor="text1"/>
          <w:sz w:val="18"/>
          <w:szCs w:val="18"/>
          <w:highlight w:val="none"/>
          <w:lang w:val="zh-CN"/>
          <w14:textFill>
            <w14:solidFill>
              <w14:schemeClr w14:val="tx1"/>
            </w14:solidFill>
          </w14:textFill>
        </w:rPr>
        <w:t>参加</w:t>
      </w:r>
      <w:r>
        <w:rPr>
          <w:rFonts w:hint="eastAsia" w:ascii="楷体" w:hAnsi="楷体" w:eastAsia="楷体"/>
          <w:color w:val="000000" w:themeColor="text1"/>
          <w:sz w:val="18"/>
          <w:szCs w:val="18"/>
          <w:highlight w:val="none"/>
          <w14:textFill>
            <w14:solidFill>
              <w14:schemeClr w14:val="tx1"/>
            </w14:solidFill>
          </w14:textFill>
        </w:rPr>
        <w:t>投标</w:t>
      </w:r>
      <w:r>
        <w:rPr>
          <w:rFonts w:hint="eastAsia" w:ascii="楷体" w:hAnsi="楷体" w:eastAsia="楷体"/>
          <w:color w:val="000000" w:themeColor="text1"/>
          <w:sz w:val="18"/>
          <w:szCs w:val="18"/>
          <w:highlight w:val="none"/>
          <w:lang w:val="zh-CN"/>
          <w14:textFill>
            <w14:solidFill>
              <w14:schemeClr w14:val="tx1"/>
            </w14:solidFill>
          </w14:textFill>
        </w:rPr>
        <w:t>时提供</w:t>
      </w:r>
      <w:r>
        <w:rPr>
          <w:rFonts w:hint="eastAsia" w:ascii="楷体" w:hAnsi="楷体" w:eastAsia="楷体"/>
          <w:b/>
          <w:bCs/>
          <w:color w:val="000000" w:themeColor="text1"/>
          <w:sz w:val="18"/>
          <w:szCs w:val="18"/>
          <w:highlight w:val="none"/>
          <w:lang w:val="zh-CN"/>
          <w14:textFill>
            <w14:solidFill>
              <w14:schemeClr w14:val="tx1"/>
            </w14:solidFill>
          </w14:textFill>
        </w:rPr>
        <w:t>。</w:t>
      </w:r>
    </w:p>
    <w:p w14:paraId="1A09E205">
      <w:pPr>
        <w:rPr>
          <w:rFonts w:hint="eastAsia" w:ascii="楷体" w:hAnsi="楷体" w:eastAsia="楷体"/>
          <w:color w:val="000000" w:themeColor="text1"/>
          <w:sz w:val="18"/>
          <w:szCs w:val="18"/>
          <w:highlight w:val="none"/>
          <w:lang w:val="zh-CN"/>
          <w14:textFill>
            <w14:solidFill>
              <w14:schemeClr w14:val="tx1"/>
            </w14:solidFill>
          </w14:textFill>
        </w:rPr>
      </w:pPr>
      <w:r>
        <w:rPr>
          <w:rFonts w:hint="eastAsia" w:ascii="楷体" w:hAnsi="楷体" w:eastAsia="楷体"/>
          <w:color w:val="000000" w:themeColor="text1"/>
          <w:sz w:val="18"/>
          <w:szCs w:val="18"/>
          <w:highlight w:val="none"/>
          <w:lang w:val="zh-CN"/>
          <w14:textFill>
            <w14:solidFill>
              <w14:schemeClr w14:val="tx1"/>
            </w14:solidFill>
          </w14:textFill>
        </w:rPr>
        <w:t>（</w:t>
      </w:r>
      <w:r>
        <w:rPr>
          <w:rFonts w:hint="eastAsia" w:ascii="楷体" w:hAnsi="楷体" w:eastAsia="楷体"/>
          <w:color w:val="000000" w:themeColor="text1"/>
          <w:sz w:val="18"/>
          <w:szCs w:val="18"/>
          <w:highlight w:val="none"/>
          <w14:textFill>
            <w14:solidFill>
              <w14:schemeClr w14:val="tx1"/>
            </w14:solidFill>
          </w14:textFill>
        </w:rPr>
        <w:t>2</w:t>
      </w:r>
      <w:r>
        <w:rPr>
          <w:rFonts w:hint="eastAsia" w:ascii="楷体" w:hAnsi="楷体" w:eastAsia="楷体"/>
          <w:color w:val="000000" w:themeColor="text1"/>
          <w:sz w:val="18"/>
          <w:szCs w:val="18"/>
          <w:highlight w:val="none"/>
          <w:lang w:val="zh-CN"/>
          <w14:textFill>
            <w14:solidFill>
              <w14:schemeClr w14:val="tx1"/>
            </w14:solidFill>
          </w14:textFill>
        </w:rPr>
        <w:t>）</w:t>
      </w:r>
      <w:r>
        <w:rPr>
          <w:rFonts w:hint="eastAsia" w:ascii="楷体" w:hAnsi="楷体" w:eastAsia="楷体"/>
          <w:color w:val="000000" w:themeColor="text1"/>
          <w:sz w:val="18"/>
          <w:szCs w:val="18"/>
          <w:highlight w:val="none"/>
          <w14:textFill>
            <w14:solidFill>
              <w14:schemeClr w14:val="tx1"/>
            </w14:solidFill>
          </w14:textFill>
        </w:rPr>
        <w:t>招标</w:t>
      </w:r>
      <w:r>
        <w:rPr>
          <w:rFonts w:hint="eastAsia" w:ascii="楷体" w:hAnsi="楷体" w:eastAsia="楷体"/>
          <w:color w:val="000000" w:themeColor="text1"/>
          <w:sz w:val="18"/>
          <w:szCs w:val="18"/>
          <w:highlight w:val="none"/>
          <w:lang w:val="zh-CN"/>
          <w14:textFill>
            <w14:solidFill>
              <w14:schemeClr w14:val="tx1"/>
            </w14:solidFill>
          </w14:textFill>
        </w:rPr>
        <w:t>文件中“法定代表人”相关表述，均指“法定代表人</w:t>
      </w:r>
      <w:r>
        <w:rPr>
          <w:rFonts w:hint="eastAsia" w:ascii="楷体" w:hAnsi="楷体" w:eastAsia="楷体"/>
          <w:color w:val="000000" w:themeColor="text1"/>
          <w:sz w:val="18"/>
          <w:szCs w:val="18"/>
          <w:highlight w:val="none"/>
          <w14:textFill>
            <w14:solidFill>
              <w14:schemeClr w14:val="tx1"/>
            </w14:solidFill>
          </w14:textFill>
        </w:rPr>
        <w:t>(</w:t>
      </w:r>
      <w:r>
        <w:rPr>
          <w:rFonts w:hint="eastAsia" w:ascii="楷体" w:hAnsi="楷体" w:eastAsia="楷体"/>
          <w:color w:val="000000" w:themeColor="text1"/>
          <w:sz w:val="18"/>
          <w:szCs w:val="18"/>
          <w:highlight w:val="none"/>
          <w:lang w:val="zh-CN"/>
          <w14:textFill>
            <w14:solidFill>
              <w14:schemeClr w14:val="tx1"/>
            </w14:solidFill>
          </w14:textFill>
        </w:rPr>
        <w:t>单位负责人</w:t>
      </w:r>
      <w:r>
        <w:rPr>
          <w:rFonts w:hint="eastAsia" w:ascii="楷体" w:hAnsi="楷体" w:eastAsia="楷体"/>
          <w:color w:val="000000" w:themeColor="text1"/>
          <w:sz w:val="18"/>
          <w:szCs w:val="18"/>
          <w:highlight w:val="none"/>
          <w14:textFill>
            <w14:solidFill>
              <w14:schemeClr w14:val="tx1"/>
            </w14:solidFill>
          </w14:textFill>
        </w:rPr>
        <w:t>)</w:t>
      </w:r>
      <w:r>
        <w:rPr>
          <w:rFonts w:hint="eastAsia" w:ascii="楷体" w:hAnsi="楷体" w:eastAsia="楷体"/>
          <w:color w:val="000000" w:themeColor="text1"/>
          <w:sz w:val="18"/>
          <w:szCs w:val="18"/>
          <w:highlight w:val="none"/>
          <w:lang w:val="zh-CN"/>
          <w14:textFill>
            <w14:solidFill>
              <w14:schemeClr w14:val="tx1"/>
            </w14:solidFill>
          </w14:textFill>
        </w:rPr>
        <w:t>”；若</w:t>
      </w:r>
      <w:r>
        <w:rPr>
          <w:rFonts w:hint="eastAsia" w:ascii="楷体" w:hAnsi="楷体" w:eastAsia="楷体"/>
          <w:color w:val="000000" w:themeColor="text1"/>
          <w:sz w:val="18"/>
          <w:szCs w:val="18"/>
          <w:highlight w:val="none"/>
          <w14:textFill>
            <w14:solidFill>
              <w14:schemeClr w14:val="tx1"/>
            </w14:solidFill>
          </w14:textFill>
        </w:rPr>
        <w:t>投标人</w:t>
      </w:r>
      <w:r>
        <w:rPr>
          <w:rFonts w:hint="eastAsia" w:ascii="楷体" w:hAnsi="楷体" w:eastAsia="楷体"/>
          <w:color w:val="000000" w:themeColor="text1"/>
          <w:sz w:val="18"/>
          <w:szCs w:val="18"/>
          <w:highlight w:val="none"/>
          <w:lang w:val="zh-CN"/>
          <w14:textFill>
            <w14:solidFill>
              <w14:schemeClr w14:val="tx1"/>
            </w14:solidFill>
          </w14:textFill>
        </w:rPr>
        <w:t>为法人的分支机构或非法人组织，则</w:t>
      </w:r>
      <w:r>
        <w:rPr>
          <w:rFonts w:hint="eastAsia" w:ascii="楷体" w:hAnsi="楷体" w:eastAsia="楷体"/>
          <w:color w:val="000000" w:themeColor="text1"/>
          <w:sz w:val="18"/>
          <w:szCs w:val="18"/>
          <w:highlight w:val="none"/>
          <w14:textFill>
            <w14:solidFill>
              <w14:schemeClr w14:val="tx1"/>
            </w14:solidFill>
          </w14:textFill>
        </w:rPr>
        <w:t>投标</w:t>
      </w:r>
      <w:r>
        <w:rPr>
          <w:rFonts w:hint="eastAsia" w:ascii="楷体" w:hAnsi="楷体" w:eastAsia="楷体"/>
          <w:color w:val="000000" w:themeColor="text1"/>
          <w:sz w:val="18"/>
          <w:szCs w:val="18"/>
          <w:highlight w:val="none"/>
          <w:lang w:val="zh-CN"/>
          <w14:textFill>
            <w14:solidFill>
              <w14:schemeClr w14:val="tx1"/>
            </w14:solidFill>
          </w14:textFill>
        </w:rPr>
        <w:t>文件中法定代表人处的签署人可为单位负责人。</w:t>
      </w:r>
    </w:p>
    <w:p w14:paraId="083099BC">
      <w:pP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r>
    </w:p>
    <w:p w14:paraId="4B867273">
      <w:pPr>
        <w:jc w:val="center"/>
        <w:rPr>
          <w:rFonts w:hint="eastAsia" w:ascii="黑体" w:hAnsi="华文中宋" w:eastAsia="黑体"/>
          <w:b/>
          <w:color w:val="000000" w:themeColor="text1"/>
          <w:sz w:val="28"/>
          <w:szCs w:val="28"/>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2.法定代表人授权委托书</w:t>
      </w:r>
    </w:p>
    <w:p w14:paraId="7FE1859B">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本人</w:t>
      </w:r>
      <w:r>
        <w:rPr>
          <w:rFonts w:hint="eastAsia" w:ascii="宋体" w:hAnsi="宋体"/>
          <w:color w:val="000000" w:themeColor="text1"/>
          <w:szCs w:val="21"/>
          <w:highlight w:val="none"/>
          <w:u w:val="singl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（姓名）系</w:t>
      </w:r>
      <w:r>
        <w:rPr>
          <w:rFonts w:hint="eastAsia" w:ascii="宋体" w:hAnsi="宋体"/>
          <w:color w:val="000000" w:themeColor="text1"/>
          <w:szCs w:val="21"/>
          <w:highlight w:val="none"/>
          <w:u w:val="singl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lang w:val="zh-CN"/>
          <w14:textFill>
            <w14:solidFill>
              <w14:schemeClr w14:val="tx1"/>
            </w14:solidFill>
          </w14:textFill>
        </w:rPr>
        <w:t>名称）的法定代表人（单位负责人），现委托</w:t>
      </w:r>
      <w:r>
        <w:rPr>
          <w:rFonts w:hint="eastAsia" w:ascii="宋体" w:hAnsi="宋体"/>
          <w:color w:val="000000" w:themeColor="text1"/>
          <w:szCs w:val="21"/>
          <w:highlight w:val="none"/>
          <w:u w:val="singl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（姓名）为我方代理人。代理人根据授权，以我方的名义签署、澄清确认、递交、撤回、修改</w:t>
      </w:r>
      <w:r>
        <w:rPr>
          <w:rFonts w:hint="eastAsia" w:ascii="宋体" w:hAnsi="宋体"/>
          <w:color w:val="000000" w:themeColor="text1"/>
          <w:szCs w:val="21"/>
          <w:highlight w:val="none"/>
          <w:u w:val="singl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（采购项目）</w:t>
      </w:r>
      <w:r>
        <w:rPr>
          <w:rFonts w:hint="eastAsia" w:ascii="宋体" w:hAnsi="宋体"/>
          <w:color w:val="000000" w:themeColor="text1"/>
          <w:szCs w:val="21"/>
          <w:highlight w:val="none"/>
          <w14:textFill>
            <w14:solidFill>
              <w14:schemeClr w14:val="tx1"/>
            </w14:solidFill>
          </w14:textFill>
        </w:rPr>
        <w:t>投标</w:t>
      </w:r>
      <w:r>
        <w:rPr>
          <w:rFonts w:hint="eastAsia" w:ascii="宋体" w:hAnsi="宋体"/>
          <w:color w:val="000000" w:themeColor="text1"/>
          <w:szCs w:val="21"/>
          <w:highlight w:val="none"/>
          <w:lang w:val="zh-CN"/>
          <w14:textFill>
            <w14:solidFill>
              <w14:schemeClr w14:val="tx1"/>
            </w14:solidFill>
          </w14:textFill>
        </w:rPr>
        <w:t>文件、签订合同和全权处理一切与之有关的事宜，</w:t>
      </w:r>
      <w:r>
        <w:rPr>
          <w:rFonts w:hint="eastAsia" w:ascii="宋体" w:hAnsi="宋体" w:cs="宋体"/>
          <w:color w:val="000000" w:themeColor="text1"/>
          <w:kern w:val="0"/>
          <w:szCs w:val="21"/>
          <w:highlight w:val="none"/>
          <w14:textFill>
            <w14:solidFill>
              <w14:schemeClr w14:val="tx1"/>
            </w14:solidFill>
          </w14:textFill>
        </w:rPr>
        <w:t>其法律后果由我方承担。</w:t>
      </w:r>
    </w:p>
    <w:p w14:paraId="09CF97BA">
      <w:pPr>
        <w:spacing w:line="48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委托期限</w:t>
      </w:r>
      <w:r>
        <w:rPr>
          <w:rFonts w:hint="eastAsia" w:ascii="宋体" w:hAnsi="宋体"/>
          <w:color w:val="000000" w:themeColor="text1"/>
          <w:szCs w:val="21"/>
          <w:highlight w:val="none"/>
          <w14:textFill>
            <w14:solidFill>
              <w14:schemeClr w14:val="tx1"/>
            </w14:solidFill>
          </w14:textFill>
        </w:rPr>
        <w:t>：本授权委托书有效期自</w:t>
      </w:r>
      <w:r>
        <w:rPr>
          <w:rFonts w:ascii="宋体" w:hAnsi="宋体"/>
          <w:color w:val="000000" w:themeColor="text1"/>
          <w:szCs w:val="21"/>
          <w:highlight w:val="none"/>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截止之日起90日历天。</w:t>
      </w:r>
    </w:p>
    <w:p w14:paraId="7BFC7D54">
      <w:pPr>
        <w:spacing w:line="480" w:lineRule="auto"/>
        <w:ind w:firstLine="420" w:firstLineChars="200"/>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代理人无转委托权。</w:t>
      </w:r>
    </w:p>
    <w:p w14:paraId="2060F9A7">
      <w:pPr>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附：法定代表人身份证复印件</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zh-CN"/>
          <w14:textFill>
            <w14:solidFill>
              <w14:schemeClr w14:val="tx1"/>
            </w14:solidFill>
          </w14:textFill>
        </w:rPr>
        <w:t>委托代理人身份证复印件（正反面）。</w:t>
      </w:r>
    </w:p>
    <w:tbl>
      <w:tblPr>
        <w:tblStyle w:val="31"/>
        <w:tblW w:w="0" w:type="auto"/>
        <w:tblInd w:w="540" w:type="dxa"/>
        <w:tblLayout w:type="fixed"/>
        <w:tblCellMar>
          <w:top w:w="0" w:type="dxa"/>
          <w:left w:w="108" w:type="dxa"/>
          <w:bottom w:w="0" w:type="dxa"/>
          <w:right w:w="108" w:type="dxa"/>
        </w:tblCellMar>
      </w:tblPr>
      <w:tblGrid>
        <w:gridCol w:w="4081"/>
        <w:gridCol w:w="3915"/>
      </w:tblGrid>
      <w:tr w14:paraId="75E96D8C">
        <w:tblPrEx>
          <w:tblCellMar>
            <w:top w:w="0" w:type="dxa"/>
            <w:left w:w="108" w:type="dxa"/>
            <w:bottom w:w="0" w:type="dxa"/>
            <w:right w:w="108" w:type="dxa"/>
          </w:tblCellMar>
        </w:tblPrEx>
        <w:trPr>
          <w:trHeight w:val="2248" w:hRule="atLeast"/>
        </w:trPr>
        <w:tc>
          <w:tcPr>
            <w:tcW w:w="4081" w:type="dxa"/>
            <w:tcBorders>
              <w:top w:val="single" w:color="auto" w:sz="6" w:space="0"/>
              <w:left w:val="single" w:color="auto" w:sz="6" w:space="0"/>
              <w:bottom w:val="single" w:color="auto" w:sz="6" w:space="0"/>
              <w:right w:val="single" w:color="auto" w:sz="6" w:space="0"/>
            </w:tcBorders>
            <w:vAlign w:val="center"/>
          </w:tcPr>
          <w:p w14:paraId="43563224">
            <w:pPr>
              <w:spacing w:line="360" w:lineRule="auto"/>
              <w:jc w:val="center"/>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法定代表人身份证复印件</w:t>
            </w:r>
          </w:p>
        </w:tc>
        <w:tc>
          <w:tcPr>
            <w:tcW w:w="3915" w:type="dxa"/>
            <w:tcBorders>
              <w:top w:val="single" w:color="auto" w:sz="6" w:space="0"/>
              <w:left w:val="single" w:color="auto" w:sz="6" w:space="0"/>
              <w:bottom w:val="single" w:color="auto" w:sz="6" w:space="0"/>
              <w:right w:val="single" w:color="auto" w:sz="6" w:space="0"/>
            </w:tcBorders>
            <w:vAlign w:val="center"/>
          </w:tcPr>
          <w:p w14:paraId="5CCE6AF0">
            <w:pPr>
              <w:spacing w:line="360" w:lineRule="auto"/>
              <w:jc w:val="center"/>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委托代理人身份证复印件</w:t>
            </w:r>
          </w:p>
        </w:tc>
      </w:tr>
      <w:tr w14:paraId="3EE53A84">
        <w:tblPrEx>
          <w:tblCellMar>
            <w:top w:w="0" w:type="dxa"/>
            <w:left w:w="108" w:type="dxa"/>
            <w:bottom w:w="0" w:type="dxa"/>
            <w:right w:w="108" w:type="dxa"/>
          </w:tblCellMar>
        </w:tblPrEx>
        <w:trPr>
          <w:trHeight w:val="2330" w:hRule="atLeast"/>
        </w:trPr>
        <w:tc>
          <w:tcPr>
            <w:tcW w:w="4081" w:type="dxa"/>
            <w:tcBorders>
              <w:top w:val="single" w:color="auto" w:sz="6" w:space="0"/>
              <w:left w:val="single" w:color="auto" w:sz="6" w:space="0"/>
              <w:bottom w:val="single" w:color="auto" w:sz="6" w:space="0"/>
              <w:right w:val="single" w:color="auto" w:sz="6" w:space="0"/>
            </w:tcBorders>
            <w:vAlign w:val="center"/>
          </w:tcPr>
          <w:p w14:paraId="171C9770">
            <w:pPr>
              <w:spacing w:line="360" w:lineRule="auto"/>
              <w:jc w:val="center"/>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法定代表人身份证复印件</w:t>
            </w:r>
          </w:p>
        </w:tc>
        <w:tc>
          <w:tcPr>
            <w:tcW w:w="3915" w:type="dxa"/>
            <w:tcBorders>
              <w:top w:val="single" w:color="auto" w:sz="6" w:space="0"/>
              <w:left w:val="single" w:color="auto" w:sz="6" w:space="0"/>
              <w:bottom w:val="single" w:color="auto" w:sz="6" w:space="0"/>
              <w:right w:val="single" w:color="auto" w:sz="6" w:space="0"/>
            </w:tcBorders>
            <w:vAlign w:val="center"/>
          </w:tcPr>
          <w:p w14:paraId="3EEA55AA">
            <w:pPr>
              <w:spacing w:line="360" w:lineRule="auto"/>
              <w:jc w:val="center"/>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委托代理人身份证复印件</w:t>
            </w:r>
          </w:p>
        </w:tc>
      </w:tr>
    </w:tbl>
    <w:p w14:paraId="7B02B909">
      <w:pPr>
        <w:ind w:firstLine="2835" w:firstLineChars="1350"/>
        <w:rPr>
          <w:rFonts w:hint="eastAsia" w:ascii="宋体" w:hAnsi="宋体"/>
          <w:color w:val="000000" w:themeColor="text1"/>
          <w:szCs w:val="21"/>
          <w:highlight w:val="none"/>
          <w14:textFill>
            <w14:solidFill>
              <w14:schemeClr w14:val="tx1"/>
            </w14:solidFill>
          </w14:textFill>
        </w:rPr>
      </w:pPr>
    </w:p>
    <w:p w14:paraId="32817B5E">
      <w:pPr>
        <w:ind w:firstLine="2835" w:firstLineChars="13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标</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（盖单位章） </w:t>
      </w:r>
    </w:p>
    <w:p w14:paraId="2C668A9C">
      <w:pPr>
        <w:ind w:firstLine="420" w:firstLineChars="200"/>
        <w:rPr>
          <w:rFonts w:hint="eastAsia" w:ascii="宋体" w:hAnsi="宋体"/>
          <w:color w:val="000000" w:themeColor="text1"/>
          <w:szCs w:val="21"/>
          <w:highlight w:val="none"/>
          <w14:textFill>
            <w14:solidFill>
              <w14:schemeClr w14:val="tx1"/>
            </w14:solidFill>
          </w14:textFill>
        </w:rPr>
      </w:pPr>
    </w:p>
    <w:p w14:paraId="74E044C1">
      <w:pPr>
        <w:ind w:firstLine="2835" w:firstLineChars="13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（签名）</w:t>
      </w:r>
    </w:p>
    <w:p w14:paraId="5ABAA842">
      <w:pPr>
        <w:ind w:firstLine="3465" w:firstLineChars="1650"/>
        <w:rPr>
          <w:rFonts w:hint="eastAsia" w:ascii="宋体" w:hAnsi="宋体"/>
          <w:color w:val="000000" w:themeColor="text1"/>
          <w:szCs w:val="21"/>
          <w:highlight w:val="none"/>
          <w14:textFill>
            <w14:solidFill>
              <w14:schemeClr w14:val="tx1"/>
            </w14:solidFill>
          </w14:textFill>
        </w:rPr>
      </w:pPr>
    </w:p>
    <w:p w14:paraId="45D5C777">
      <w:pPr>
        <w:ind w:firstLine="2835" w:firstLineChars="13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委托代理人：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（姓名）     </w:t>
      </w:r>
    </w:p>
    <w:p w14:paraId="3551F1C1">
      <w:pPr>
        <w:rPr>
          <w:rFonts w:hint="eastAsia" w:ascii="宋体" w:hAnsi="宋体"/>
          <w:color w:val="000000" w:themeColor="text1"/>
          <w:szCs w:val="21"/>
          <w:highlight w:val="none"/>
          <w14:textFill>
            <w14:solidFill>
              <w14:schemeClr w14:val="tx1"/>
            </w14:solidFill>
          </w14:textFill>
        </w:rPr>
      </w:pPr>
    </w:p>
    <w:p w14:paraId="23B44491">
      <w:pPr>
        <w:ind w:firstLine="2730" w:firstLineChars="1300"/>
        <w:rPr>
          <w:rFonts w:ascii="仿宋_GB2312" w:eastAsia="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授权委托日期：20</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日</w:t>
      </w:r>
    </w:p>
    <w:p w14:paraId="55B74524">
      <w:pPr>
        <w:ind w:firstLine="420" w:firstLineChars="200"/>
        <w:rPr>
          <w:rFonts w:hint="eastAsia" w:ascii="楷体" w:hAnsi="楷体" w:eastAsia="楷体"/>
          <w:color w:val="000000" w:themeColor="text1"/>
          <w:highlight w:val="none"/>
          <w:lang w:val="zh-CN"/>
          <w14:textFill>
            <w14:solidFill>
              <w14:schemeClr w14:val="tx1"/>
            </w14:solidFill>
          </w14:textFill>
        </w:rPr>
      </w:pPr>
    </w:p>
    <w:p w14:paraId="72E46771">
      <w:pPr>
        <w:rPr>
          <w:rFonts w:hint="eastAsia" w:ascii="楷体" w:hAnsi="楷体" w:eastAsia="楷体"/>
          <w:color w:val="000000" w:themeColor="text1"/>
          <w:sz w:val="18"/>
          <w:szCs w:val="18"/>
          <w:highlight w:val="none"/>
          <w:lang w:val="zh-CN"/>
          <w14:textFill>
            <w14:solidFill>
              <w14:schemeClr w14:val="tx1"/>
            </w14:solidFill>
          </w14:textFill>
        </w:rPr>
      </w:pPr>
      <w:r>
        <w:rPr>
          <w:rFonts w:hint="eastAsia" w:ascii="楷体" w:hAnsi="楷体" w:eastAsia="楷体"/>
          <w:color w:val="000000" w:themeColor="text1"/>
          <w:sz w:val="18"/>
          <w:szCs w:val="18"/>
          <w:highlight w:val="none"/>
          <w:lang w:val="zh-CN"/>
          <w14:textFill>
            <w14:solidFill>
              <w14:schemeClr w14:val="tx1"/>
            </w14:solidFill>
          </w14:textFill>
        </w:rPr>
        <w:t>说明：（1）仅限委托代理人参加</w:t>
      </w:r>
      <w:r>
        <w:rPr>
          <w:rFonts w:hint="eastAsia" w:ascii="楷体" w:hAnsi="楷体" w:eastAsia="楷体"/>
          <w:color w:val="000000" w:themeColor="text1"/>
          <w:sz w:val="18"/>
          <w:szCs w:val="18"/>
          <w:highlight w:val="none"/>
          <w14:textFill>
            <w14:solidFill>
              <w14:schemeClr w14:val="tx1"/>
            </w14:solidFill>
          </w14:textFill>
        </w:rPr>
        <w:t>投标</w:t>
      </w:r>
      <w:r>
        <w:rPr>
          <w:rFonts w:hint="eastAsia" w:ascii="楷体" w:hAnsi="楷体" w:eastAsia="楷体"/>
          <w:color w:val="000000" w:themeColor="text1"/>
          <w:sz w:val="18"/>
          <w:szCs w:val="18"/>
          <w:highlight w:val="none"/>
          <w:lang w:val="zh-CN"/>
          <w14:textFill>
            <w14:solidFill>
              <w14:schemeClr w14:val="tx1"/>
            </w14:solidFill>
          </w14:textFill>
        </w:rPr>
        <w:t>时提供。</w:t>
      </w:r>
    </w:p>
    <w:p w14:paraId="3F61536F">
      <w:pPr>
        <w:rPr>
          <w:rFonts w:hint="eastAsia" w:ascii="楷体" w:hAnsi="楷体" w:eastAsia="楷体"/>
          <w:color w:val="000000" w:themeColor="text1"/>
          <w:sz w:val="18"/>
          <w:szCs w:val="18"/>
          <w:highlight w:val="none"/>
          <w:lang w:val="zh-CN"/>
          <w14:textFill>
            <w14:solidFill>
              <w14:schemeClr w14:val="tx1"/>
            </w14:solidFill>
          </w14:textFill>
        </w:rPr>
      </w:pPr>
      <w:r>
        <w:rPr>
          <w:rFonts w:hint="eastAsia" w:ascii="楷体" w:hAnsi="楷体" w:eastAsia="楷体"/>
          <w:color w:val="000000" w:themeColor="text1"/>
          <w:sz w:val="18"/>
          <w:szCs w:val="18"/>
          <w:highlight w:val="none"/>
          <w:lang w:val="zh-CN"/>
          <w14:textFill>
            <w14:solidFill>
              <w14:schemeClr w14:val="tx1"/>
            </w14:solidFill>
          </w14:textFill>
        </w:rPr>
        <w:t>（2）本授权委托书需由</w:t>
      </w:r>
      <w:r>
        <w:rPr>
          <w:rFonts w:hint="eastAsia" w:ascii="楷体" w:hAnsi="楷体" w:eastAsia="楷体"/>
          <w:color w:val="000000" w:themeColor="text1"/>
          <w:sz w:val="18"/>
          <w:szCs w:val="18"/>
          <w:highlight w:val="none"/>
          <w14:textFill>
            <w14:solidFill>
              <w14:schemeClr w14:val="tx1"/>
            </w14:solidFill>
          </w14:textFill>
        </w:rPr>
        <w:t>投标人</w:t>
      </w:r>
      <w:r>
        <w:rPr>
          <w:rFonts w:hint="eastAsia" w:ascii="楷体" w:hAnsi="楷体" w:eastAsia="楷体"/>
          <w:color w:val="000000" w:themeColor="text1"/>
          <w:sz w:val="18"/>
          <w:szCs w:val="18"/>
          <w:highlight w:val="none"/>
          <w:lang w:val="zh-CN"/>
          <w14:textFill>
            <w14:solidFill>
              <w14:schemeClr w14:val="tx1"/>
            </w14:solidFill>
          </w14:textFill>
        </w:rPr>
        <w:t>加盖单位公章，并由法定代表人签名，法定代表人签名处不得机打，否则为无效授权。</w:t>
      </w:r>
    </w:p>
    <w:p w14:paraId="13CAAD0F">
      <w:pPr>
        <w:rPr>
          <w:rFonts w:hint="eastAsia" w:ascii="楷体" w:hAnsi="楷体" w:eastAsia="楷体"/>
          <w:color w:val="000000" w:themeColor="text1"/>
          <w:highlight w:val="none"/>
          <w:lang w:val="zh-CN"/>
          <w14:textFill>
            <w14:solidFill>
              <w14:schemeClr w14:val="tx1"/>
            </w14:solidFill>
          </w14:textFill>
        </w:rPr>
      </w:pPr>
      <w:r>
        <w:rPr>
          <w:rFonts w:hint="eastAsia" w:ascii="楷体" w:hAnsi="楷体" w:eastAsia="楷体"/>
          <w:color w:val="000000" w:themeColor="text1"/>
          <w:sz w:val="18"/>
          <w:szCs w:val="18"/>
          <w:highlight w:val="none"/>
          <w:lang w:val="zh-CN"/>
          <w14:textFill>
            <w14:solidFill>
              <w14:schemeClr w14:val="tx1"/>
            </w14:solidFill>
          </w14:textFill>
        </w:rPr>
        <w:t>（3）</w:t>
      </w:r>
      <w:r>
        <w:rPr>
          <w:rFonts w:hint="eastAsia" w:ascii="楷体" w:hAnsi="楷体" w:eastAsia="楷体"/>
          <w:color w:val="000000" w:themeColor="text1"/>
          <w:sz w:val="18"/>
          <w:szCs w:val="18"/>
          <w:highlight w:val="none"/>
          <w14:textFill>
            <w14:solidFill>
              <w14:schemeClr w14:val="tx1"/>
            </w14:solidFill>
          </w14:textFill>
        </w:rPr>
        <w:t>招标</w:t>
      </w:r>
      <w:r>
        <w:rPr>
          <w:rFonts w:hint="eastAsia" w:ascii="楷体" w:hAnsi="楷体" w:eastAsia="楷体"/>
          <w:color w:val="000000" w:themeColor="text1"/>
          <w:sz w:val="18"/>
          <w:szCs w:val="18"/>
          <w:highlight w:val="none"/>
          <w:lang w:val="zh-CN"/>
          <w14:textFill>
            <w14:solidFill>
              <w14:schemeClr w14:val="tx1"/>
            </w14:solidFill>
          </w14:textFill>
        </w:rPr>
        <w:t>文件中“法定代表人”相关表述，均指“法定代表人(单位负责人)”；若</w:t>
      </w:r>
      <w:r>
        <w:rPr>
          <w:rFonts w:hint="eastAsia" w:ascii="楷体" w:hAnsi="楷体" w:eastAsia="楷体"/>
          <w:color w:val="000000" w:themeColor="text1"/>
          <w:sz w:val="18"/>
          <w:szCs w:val="18"/>
          <w:highlight w:val="none"/>
          <w14:textFill>
            <w14:solidFill>
              <w14:schemeClr w14:val="tx1"/>
            </w14:solidFill>
          </w14:textFill>
        </w:rPr>
        <w:t>投标人</w:t>
      </w:r>
      <w:r>
        <w:rPr>
          <w:rFonts w:hint="eastAsia" w:ascii="楷体" w:hAnsi="楷体" w:eastAsia="楷体"/>
          <w:color w:val="000000" w:themeColor="text1"/>
          <w:sz w:val="18"/>
          <w:szCs w:val="18"/>
          <w:highlight w:val="none"/>
          <w:lang w:val="zh-CN"/>
          <w14:textFill>
            <w14:solidFill>
              <w14:schemeClr w14:val="tx1"/>
            </w14:solidFill>
          </w14:textFill>
        </w:rPr>
        <w:t>为法人的分支机构或非法人组织，则</w:t>
      </w:r>
      <w:r>
        <w:rPr>
          <w:rFonts w:hint="eastAsia" w:ascii="楷体" w:hAnsi="楷体" w:eastAsia="楷体"/>
          <w:color w:val="000000" w:themeColor="text1"/>
          <w:sz w:val="18"/>
          <w:szCs w:val="18"/>
          <w:highlight w:val="none"/>
          <w14:textFill>
            <w14:solidFill>
              <w14:schemeClr w14:val="tx1"/>
            </w14:solidFill>
          </w14:textFill>
        </w:rPr>
        <w:t>投标人</w:t>
      </w:r>
      <w:r>
        <w:rPr>
          <w:rFonts w:hint="eastAsia" w:ascii="楷体" w:hAnsi="楷体" w:eastAsia="楷体"/>
          <w:color w:val="000000" w:themeColor="text1"/>
          <w:sz w:val="18"/>
          <w:szCs w:val="18"/>
          <w:highlight w:val="none"/>
          <w:lang w:val="zh-CN"/>
          <w14:textFill>
            <w14:solidFill>
              <w14:schemeClr w14:val="tx1"/>
            </w14:solidFill>
          </w14:textFill>
        </w:rPr>
        <w:t>文件中法定代表人处的签署人可为单位负责人。</w:t>
      </w:r>
      <w:r>
        <w:rPr>
          <w:rFonts w:hint="eastAsia" w:ascii="楷体" w:hAnsi="楷体" w:eastAsia="楷体"/>
          <w:color w:val="000000" w:themeColor="text1"/>
          <w:sz w:val="18"/>
          <w:szCs w:val="18"/>
          <w:highlight w:val="none"/>
          <w:lang w:val="zh-CN"/>
          <w14:textFill>
            <w14:solidFill>
              <w14:schemeClr w14:val="tx1"/>
            </w14:solidFill>
          </w14:textFill>
        </w:rPr>
        <w:br w:type="page"/>
      </w:r>
    </w:p>
    <w:p w14:paraId="615DC2DB">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3.</w:t>
      </w:r>
      <w:r>
        <w:rPr>
          <w:rFonts w:ascii="宋体" w:hAnsi="宋体" w:cs="宋体"/>
          <w:b/>
          <w:color w:val="000000" w:themeColor="text1"/>
          <w:kern w:val="0"/>
          <w:sz w:val="32"/>
          <w:szCs w:val="32"/>
          <w:highlight w:val="none"/>
          <w14:textFill>
            <w14:solidFill>
              <w14:schemeClr w14:val="tx1"/>
            </w14:solidFill>
          </w14:textFill>
        </w:rPr>
        <w:t>投标人</w:t>
      </w:r>
      <w:r>
        <w:rPr>
          <w:rFonts w:hint="eastAsia" w:ascii="宋体" w:hAnsi="宋体" w:cs="宋体"/>
          <w:b/>
          <w:color w:val="000000" w:themeColor="text1"/>
          <w:kern w:val="0"/>
          <w:sz w:val="32"/>
          <w:szCs w:val="32"/>
          <w:highlight w:val="none"/>
          <w:lang w:val="zh-CN"/>
          <w14:textFill>
            <w14:solidFill>
              <w14:schemeClr w14:val="tx1"/>
            </w14:solidFill>
          </w14:textFill>
        </w:rPr>
        <w:t>的营业执照等证明文件</w:t>
      </w:r>
    </w:p>
    <w:p w14:paraId="6509446A">
      <w:pPr>
        <w:pStyle w:val="16"/>
        <w:adjustRightInd w:val="0"/>
        <w:snapToGrid w:val="0"/>
        <w:spacing w:line="360" w:lineRule="auto"/>
        <w:jc w:val="left"/>
        <w:rPr>
          <w:rFonts w:hint="eastAsia" w:hAnsi="宋体"/>
          <w:color w:val="000000" w:themeColor="text1"/>
          <w:sz w:val="24"/>
          <w:szCs w:val="24"/>
          <w:highlight w:val="none"/>
          <w14:textFill>
            <w14:solidFill>
              <w14:schemeClr w14:val="tx1"/>
            </w14:solidFill>
          </w14:textFill>
        </w:rPr>
      </w:pPr>
    </w:p>
    <w:p w14:paraId="2F929630">
      <w:pPr>
        <w:pStyle w:val="16"/>
        <w:adjustRightInd w:val="0"/>
        <w:snapToGrid w:val="0"/>
        <w:spacing w:line="360" w:lineRule="auto"/>
        <w:ind w:firstLine="42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说明：</w:t>
      </w:r>
    </w:p>
    <w:p w14:paraId="259876B2">
      <w:pPr>
        <w:pStyle w:val="16"/>
        <w:adjustRightInd w:val="0"/>
        <w:snapToGrid w:val="0"/>
        <w:spacing w:line="360" w:lineRule="auto"/>
        <w:ind w:firstLine="42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根据投标人主体类别进行审查：</w:t>
      </w:r>
    </w:p>
    <w:p w14:paraId="650E5A89">
      <w:pPr>
        <w:pStyle w:val="16"/>
        <w:adjustRightInd w:val="0"/>
        <w:snapToGrid w:val="0"/>
        <w:spacing w:line="360" w:lineRule="auto"/>
        <w:ind w:firstLine="42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（1）属于企业的提供：营业执照（3证合1或多证合1）。</w:t>
      </w:r>
    </w:p>
    <w:p w14:paraId="72B42BBC">
      <w:pPr>
        <w:pStyle w:val="16"/>
        <w:adjustRightInd w:val="0"/>
        <w:snapToGrid w:val="0"/>
        <w:spacing w:line="360" w:lineRule="auto"/>
        <w:ind w:firstLine="42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（2）属于事业单位的提供：事业单位法人证书。</w:t>
      </w:r>
    </w:p>
    <w:p w14:paraId="04FEAFB4">
      <w:pPr>
        <w:pStyle w:val="16"/>
        <w:adjustRightInd w:val="0"/>
        <w:snapToGrid w:val="0"/>
        <w:spacing w:line="360" w:lineRule="auto"/>
        <w:ind w:firstLine="42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（3）属于其他组织的提供：登记证书。</w:t>
      </w:r>
    </w:p>
    <w:p w14:paraId="39A74F27">
      <w:pPr>
        <w:pStyle w:val="16"/>
        <w:adjustRightInd w:val="0"/>
        <w:snapToGrid w:val="0"/>
        <w:spacing w:line="360" w:lineRule="auto"/>
        <w:ind w:firstLine="42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（4）属于个体工商户的提供：个体工商户营业执照。</w:t>
      </w:r>
    </w:p>
    <w:p w14:paraId="62945EF0">
      <w:pPr>
        <w:pStyle w:val="16"/>
        <w:adjustRightInd w:val="0"/>
        <w:snapToGrid w:val="0"/>
        <w:spacing w:line="360" w:lineRule="auto"/>
        <w:ind w:firstLine="42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（5）自然人投标的提供：身份证。</w:t>
      </w:r>
    </w:p>
    <w:p w14:paraId="710AF9DF">
      <w:pPr>
        <w:pStyle w:val="16"/>
        <w:adjustRightInd w:val="0"/>
        <w:snapToGrid w:val="0"/>
        <w:spacing w:line="360" w:lineRule="auto"/>
        <w:ind w:firstLine="420" w:firstLineChars="200"/>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以上形式的资料提供任何一种即可，提供原件的扫描（复印）件或电子证照打印件。</w:t>
      </w:r>
    </w:p>
    <w:p w14:paraId="4D20D44D">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7F7D6436">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087A6E72">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5BEBC495">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7EE178AB">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2ADF3195">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4F7DE58A">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2BDBB2C1">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266564DD">
      <w:pP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r>
    </w:p>
    <w:p w14:paraId="1ADB4875">
      <w:pPr>
        <w:pStyle w:val="16"/>
        <w:adjustRightInd w:val="0"/>
        <w:snapToGrid w:val="0"/>
        <w:spacing w:line="360" w:lineRule="auto"/>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4.财务状况报告</w:t>
      </w:r>
    </w:p>
    <w:p w14:paraId="69775FA2">
      <w:pPr>
        <w:tabs>
          <w:tab w:val="left" w:pos="0"/>
        </w:tabs>
        <w:adjustRightInd w:val="0"/>
        <w:snapToGrid w:val="0"/>
        <w:rPr>
          <w:rFonts w:hint="eastAsia" w:ascii="楷体" w:hAnsi="楷体" w:eastAsia="楷体" w:cs="楷体"/>
          <w:color w:val="000000" w:themeColor="text1"/>
          <w:szCs w:val="21"/>
          <w:highlight w:val="none"/>
          <w14:textFill>
            <w14:solidFill>
              <w14:schemeClr w14:val="tx1"/>
            </w14:solidFill>
          </w14:textFill>
        </w:rPr>
      </w:pPr>
    </w:p>
    <w:p w14:paraId="239CAD5C">
      <w:pPr>
        <w:spacing w:line="360" w:lineRule="auto"/>
        <w:ind w:firstLine="420" w:firstLineChars="2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提供2025年度经审计的财务会计报告或其提交投标文件截止时间前3个月内银行出具的资信证明。（以上形式的资料提供任何一种即可）</w:t>
      </w:r>
    </w:p>
    <w:p w14:paraId="4CB35E4A">
      <w:pPr>
        <w:spacing w:line="360" w:lineRule="auto"/>
        <w:ind w:firstLine="420" w:firstLineChars="2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注：</w:t>
      </w:r>
    </w:p>
    <w:p w14:paraId="18351BBF">
      <w:pPr>
        <w:spacing w:line="360" w:lineRule="auto"/>
        <w:ind w:firstLine="420" w:firstLineChars="2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①提供审计报告的，根据《财政部关于注册会计师行业统一监管平台上线运行的通知》财办〔2022〕32号文件要求，审计报告须具有注册会计师行业统一监管平台赋予的验证码，注册会计师行业统一监管平台网址：acc.mof.gov.cn，若审计报告未赋码视为无效；</w:t>
      </w:r>
    </w:p>
    <w:p w14:paraId="48762037">
      <w:pPr>
        <w:spacing w:line="360" w:lineRule="auto"/>
        <w:ind w:firstLine="420" w:firstLineChars="2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②提供资信证明的，原则上由供应商基本账户开户银行出具。若银行基层营业网点不具备出具资信证明的业务权限，允许由该银行具备出具资信证明业务权限的其他分行或支行出具。</w:t>
      </w:r>
    </w:p>
    <w:p w14:paraId="76BEAFCD">
      <w:pPr>
        <w:spacing w:line="360" w:lineRule="auto"/>
        <w:ind w:firstLine="420" w:firstLineChars="2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要求：</w:t>
      </w:r>
    </w:p>
    <w:p w14:paraId="0C6B32CD">
      <w:pPr>
        <w:spacing w:line="360" w:lineRule="auto"/>
        <w:ind w:firstLine="420" w:firstLineChars="2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（1）投标人是企业法人的，应提供2025年全年度经审计的财务报告，包括 “四表一注”即《资产负债表》《利润表》《现金流量表》《所有者权益变动表》及其附注，或者提交投标文件截止时间前3个月内其基本账户开户银行出具的资信证明（附基本存款账户信息）；</w:t>
      </w:r>
    </w:p>
    <w:p w14:paraId="0788A889">
      <w:pPr>
        <w:spacing w:line="360" w:lineRule="auto"/>
        <w:ind w:firstLine="420" w:firstLineChars="2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（2）投标人是执行《小企业会计准则》的小微企业的，应提供2025全年度经审计的财务报告，至少包括 《资产负债表》《利润表》《现金流量表》及其附注，或者提交投标文件截止时间前3个月内其基本账户开户银行出具的资信证明（附基本存款账户信息）；</w:t>
      </w:r>
    </w:p>
    <w:p w14:paraId="20B63CE1">
      <w:pPr>
        <w:spacing w:line="360" w:lineRule="auto"/>
        <w:ind w:firstLine="420" w:firstLineChars="2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3）投标人是事业单位法人的，应提供2025年全年度经审计的财务报告，至少包括《资产负债表》《收入支出表或者收入费用表》《财政补助收入支出表》及其附注，或者提交投标文件截止时间前3个月内其基本账户开户银行出具的资信证明（附基本存款账户信息）；</w:t>
      </w:r>
    </w:p>
    <w:p w14:paraId="0A4A448E">
      <w:pPr>
        <w:spacing w:line="360" w:lineRule="auto"/>
        <w:ind w:firstLine="420" w:firstLineChars="2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（4）其他组织和自然人，提供提交投标文件截止时间前3个月内银行出具的资信证明（附账户信息）；</w:t>
      </w:r>
    </w:p>
    <w:p w14:paraId="5E34B3A1">
      <w:pPr>
        <w:spacing w:line="360" w:lineRule="auto"/>
        <w:ind w:firstLine="420" w:firstLineChars="2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（5）投标人成立不到1年（至提交投标文件截止时间）的，提供成立后任意时段的资产负债表，或提交投标文件截止时间前3个月内其基本账户开户银行出具的资信证明（附基本存款账户信息）。</w:t>
      </w:r>
    </w:p>
    <w:p w14:paraId="26DC2299">
      <w:pPr>
        <w:pStyle w:val="16"/>
        <w:adjustRightInd w:val="0"/>
        <w:snapToGrid w:val="0"/>
        <w:spacing w:line="360" w:lineRule="auto"/>
        <w:jc w:val="left"/>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br w:type="page"/>
      </w:r>
      <w:r>
        <w:rPr>
          <w:rFonts w:hint="eastAsia"/>
          <w:b/>
          <w:color w:val="000000" w:themeColor="text1"/>
          <w:sz w:val="28"/>
          <w:szCs w:val="28"/>
          <w:highlight w:val="none"/>
          <w14:textFill>
            <w14:solidFill>
              <w14:schemeClr w14:val="tx1"/>
            </w14:solidFill>
          </w14:textFill>
        </w:rPr>
        <w:t>附件</w:t>
      </w:r>
      <w:r>
        <w:rPr>
          <w:b/>
          <w:color w:val="000000" w:themeColor="text1"/>
          <w:sz w:val="28"/>
          <w:szCs w:val="28"/>
          <w:highlight w:val="none"/>
          <w14:textFill>
            <w14:solidFill>
              <w14:schemeClr w14:val="tx1"/>
            </w14:solidFill>
          </w14:textFill>
        </w:rPr>
        <w:t>1</w:t>
      </w:r>
      <w:r>
        <w:rPr>
          <w:rFonts w:hint="eastAsia"/>
          <w:b/>
          <w:color w:val="000000" w:themeColor="text1"/>
          <w:sz w:val="28"/>
          <w:szCs w:val="28"/>
          <w:highlight w:val="none"/>
          <w14:textFill>
            <w14:solidFill>
              <w14:schemeClr w14:val="tx1"/>
            </w14:solidFill>
          </w14:textFill>
        </w:rPr>
        <w:t>:</w:t>
      </w:r>
    </w:p>
    <w:p w14:paraId="66280BC4">
      <w:pPr>
        <w:pStyle w:val="16"/>
        <w:adjustRightInd w:val="0"/>
        <w:snapToGrid w:val="0"/>
        <w:spacing w:line="360" w:lineRule="auto"/>
        <w:ind w:firstLine="640" w:firstLineChars="200"/>
        <w:jc w:val="cente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基本存款</w:t>
      </w:r>
      <w:r>
        <w:rPr>
          <w:rFonts w:ascii="黑体" w:hAnsi="黑体" w:eastAsia="黑体"/>
          <w:color w:val="000000" w:themeColor="text1"/>
          <w:sz w:val="32"/>
          <w:szCs w:val="32"/>
          <w:highlight w:val="none"/>
          <w14:textFill>
            <w14:solidFill>
              <w14:schemeClr w14:val="tx1"/>
            </w14:solidFill>
          </w14:textFill>
        </w:rPr>
        <w:t>账户信息</w:t>
      </w:r>
    </w:p>
    <w:p w14:paraId="29584348">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p>
    <w:p w14:paraId="3A19FC45">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账户</w:t>
      </w:r>
      <w:r>
        <w:rPr>
          <w:rFonts w:hAnsi="宋体"/>
          <w:color w:val="000000" w:themeColor="text1"/>
          <w:highlight w:val="none"/>
          <w14:textFill>
            <w14:solidFill>
              <w14:schemeClr w14:val="tx1"/>
            </w14:solidFill>
          </w14:textFill>
        </w:rPr>
        <w:t>名称：</w:t>
      </w:r>
    </w:p>
    <w:p w14:paraId="11EFB81D">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账户</w:t>
      </w:r>
      <w:r>
        <w:rPr>
          <w:rFonts w:hAnsi="宋体"/>
          <w:color w:val="000000" w:themeColor="text1"/>
          <w:highlight w:val="none"/>
          <w14:textFill>
            <w14:solidFill>
              <w14:schemeClr w14:val="tx1"/>
            </w14:solidFill>
          </w14:textFill>
        </w:rPr>
        <w:t>号码：</w:t>
      </w:r>
    </w:p>
    <w:p w14:paraId="3476EA3B">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开户银行</w:t>
      </w:r>
      <w:r>
        <w:rPr>
          <w:rFonts w:hAnsi="宋体"/>
          <w:color w:val="000000" w:themeColor="text1"/>
          <w:highlight w:val="none"/>
          <w14:textFill>
            <w14:solidFill>
              <w14:schemeClr w14:val="tx1"/>
            </w14:solidFill>
          </w14:textFill>
        </w:rPr>
        <w:t>：</w:t>
      </w:r>
    </w:p>
    <w:p w14:paraId="5104AE07">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法定代表人：                </w:t>
      </w:r>
    </w:p>
    <w:p w14:paraId="3B951F28">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基本</w:t>
      </w:r>
      <w:r>
        <w:rPr>
          <w:rFonts w:hAnsi="宋体"/>
          <w:color w:val="000000" w:themeColor="text1"/>
          <w:highlight w:val="none"/>
          <w14:textFill>
            <w14:solidFill>
              <w14:schemeClr w14:val="tx1"/>
            </w14:solidFill>
          </w14:textFill>
        </w:rPr>
        <w:t xml:space="preserve">存款账户编号： </w:t>
      </w:r>
    </w:p>
    <w:p w14:paraId="62D9087D">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投标人</w:t>
      </w:r>
      <w:r>
        <w:rPr>
          <w:rFonts w:hint="eastAsia" w:hAnsi="宋体"/>
          <w:color w:val="000000" w:themeColor="text1"/>
          <w:highlight w:val="none"/>
          <w14:textFill>
            <w14:solidFill>
              <w14:schemeClr w14:val="tx1"/>
            </w14:solidFill>
          </w14:textFill>
        </w:rPr>
        <w:t xml:space="preserve">名称：                </w:t>
      </w:r>
      <w:r>
        <w:rPr>
          <w:rFonts w:hAnsi="宋体"/>
          <w:color w:val="000000" w:themeColor="text1"/>
          <w:highlight w:val="none"/>
          <w14:textFill>
            <w14:solidFill>
              <w14:schemeClr w14:val="tx1"/>
            </w14:solidFill>
          </w14:textFill>
        </w:rPr>
        <w:t>（盖单位章）</w:t>
      </w:r>
    </w:p>
    <w:p w14:paraId="3B277DC6">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日期：    年  月  日</w:t>
      </w:r>
    </w:p>
    <w:p w14:paraId="7510F103">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25FB095C">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2AA2DF45">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455C3388">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7D31BD99">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78438493">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5141EE1E">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6958D255">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0F89F421">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3A674305">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2682F707">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094B83B7">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3108B17D">
      <w:pPr>
        <w:pStyle w:val="16"/>
        <w:adjustRightInd w:val="0"/>
        <w:snapToGrid w:val="0"/>
        <w:spacing w:line="360" w:lineRule="auto"/>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r>
      <w:r>
        <w:rPr>
          <w:rFonts w:hint="eastAsia"/>
          <w:b/>
          <w:color w:val="000000" w:themeColor="text1"/>
          <w:sz w:val="32"/>
          <w:szCs w:val="32"/>
          <w:highlight w:val="none"/>
          <w14:textFill>
            <w14:solidFill>
              <w14:schemeClr w14:val="tx1"/>
            </w14:solidFill>
          </w14:textFill>
        </w:rPr>
        <w:t>5.税收缴纳证明</w:t>
      </w:r>
    </w:p>
    <w:p w14:paraId="358DD01E">
      <w:pPr>
        <w:spacing w:line="360" w:lineRule="auto"/>
        <w:rPr>
          <w:rFonts w:hint="eastAsia" w:ascii="楷体" w:hAnsi="楷体" w:eastAsia="楷体"/>
          <w:color w:val="000000" w:themeColor="text1"/>
          <w:szCs w:val="21"/>
          <w:highlight w:val="none"/>
          <w14:textFill>
            <w14:solidFill>
              <w14:schemeClr w14:val="tx1"/>
            </w14:solidFill>
          </w14:textFill>
        </w:rPr>
      </w:pPr>
    </w:p>
    <w:p w14:paraId="1C75E239">
      <w:pPr>
        <w:spacing w:line="360" w:lineRule="auto"/>
        <w:rPr>
          <w:rFonts w:hint="eastAsia" w:ascii="楷体" w:hAnsi="楷体" w:eastAsia="楷体"/>
          <w:color w:val="000000" w:themeColor="text1"/>
          <w:szCs w:val="21"/>
          <w:highlight w:val="none"/>
          <w14:textFill>
            <w14:solidFill>
              <w14:schemeClr w14:val="tx1"/>
            </w14:solidFill>
          </w14:textFill>
        </w:rPr>
      </w:pPr>
      <w:r>
        <w:rPr>
          <w:rFonts w:hint="eastAsia" w:ascii="楷体" w:hAnsi="楷体" w:eastAsia="楷体"/>
          <w:color w:val="000000" w:themeColor="text1"/>
          <w:szCs w:val="21"/>
          <w:highlight w:val="none"/>
          <w14:textFill>
            <w14:solidFill>
              <w14:schemeClr w14:val="tx1"/>
            </w14:solidFill>
          </w14:textFill>
        </w:rPr>
        <w:t>说明：</w:t>
      </w:r>
    </w:p>
    <w:p w14:paraId="71745795">
      <w:pPr>
        <w:spacing w:line="360" w:lineRule="auto"/>
        <w:ind w:firstLine="480"/>
        <w:rPr>
          <w:rFonts w:hint="eastAsia" w:ascii="楷体" w:hAnsi="楷体" w:eastAsia="楷体"/>
          <w:color w:val="000000" w:themeColor="text1"/>
          <w:szCs w:val="21"/>
          <w:highlight w:val="none"/>
          <w14:textFill>
            <w14:solidFill>
              <w14:schemeClr w14:val="tx1"/>
            </w14:solidFill>
          </w14:textFill>
        </w:rPr>
      </w:pPr>
      <w:r>
        <w:rPr>
          <w:rFonts w:hint="eastAsia" w:ascii="楷体" w:hAnsi="楷体" w:eastAsia="楷体"/>
          <w:color w:val="000000" w:themeColor="text1"/>
          <w:szCs w:val="21"/>
          <w:highlight w:val="none"/>
          <w14:textFill>
            <w14:solidFill>
              <w14:schemeClr w14:val="tx1"/>
            </w14:solidFill>
          </w14:textFill>
        </w:rPr>
        <w:t>提供投标人自提交投标文件截止时间前1年内已缴纳任意时段任意税种纳税凭证或税务机关开具的完税证明（税法规定的任意税种，个人所得税除外）；</w:t>
      </w:r>
    </w:p>
    <w:p w14:paraId="1750D5C9">
      <w:pPr>
        <w:spacing w:line="360" w:lineRule="auto"/>
        <w:ind w:firstLine="480"/>
        <w:rPr>
          <w:rFonts w:hint="eastAsia" w:ascii="楷体" w:hAnsi="楷体" w:eastAsia="楷体"/>
          <w:color w:val="000000" w:themeColor="text1"/>
          <w:szCs w:val="21"/>
          <w:highlight w:val="none"/>
          <w14:textFill>
            <w14:solidFill>
              <w14:schemeClr w14:val="tx1"/>
            </w14:solidFill>
          </w14:textFill>
        </w:rPr>
      </w:pPr>
      <w:r>
        <w:rPr>
          <w:rFonts w:hint="eastAsia" w:ascii="楷体" w:hAnsi="楷体" w:eastAsia="楷体"/>
          <w:color w:val="000000" w:themeColor="text1"/>
          <w:szCs w:val="21"/>
          <w:highlight w:val="none"/>
          <w14:textFill>
            <w14:solidFill>
              <w14:schemeClr w14:val="tx1"/>
            </w14:solidFill>
          </w14:textFill>
        </w:rPr>
        <w:t>要求：</w:t>
      </w:r>
    </w:p>
    <w:p w14:paraId="13262DCE">
      <w:pPr>
        <w:spacing w:line="360" w:lineRule="auto"/>
        <w:ind w:firstLine="480"/>
        <w:rPr>
          <w:rFonts w:hint="eastAsia" w:ascii="楷体" w:hAnsi="楷体" w:eastAsia="楷体"/>
          <w:color w:val="000000" w:themeColor="text1"/>
          <w:szCs w:val="21"/>
          <w:highlight w:val="none"/>
          <w14:textFill>
            <w14:solidFill>
              <w14:schemeClr w14:val="tx1"/>
            </w14:solidFill>
          </w14:textFill>
        </w:rPr>
      </w:pPr>
      <w:r>
        <w:rPr>
          <w:rFonts w:hint="eastAsia" w:ascii="楷体" w:hAnsi="楷体" w:eastAsia="楷体"/>
          <w:color w:val="000000" w:themeColor="text1"/>
          <w:szCs w:val="21"/>
          <w:highlight w:val="none"/>
          <w14:textFill>
            <w14:solidFill>
              <w14:schemeClr w14:val="tx1"/>
            </w14:solidFill>
          </w14:textFill>
        </w:rPr>
        <w:t>（1）投标人成立不到 1 年，未发生缴纳税收事项的，应提供纳税书面承诺；</w:t>
      </w:r>
    </w:p>
    <w:p w14:paraId="3AB7EAA3">
      <w:pPr>
        <w:spacing w:line="360" w:lineRule="auto"/>
        <w:ind w:firstLine="480"/>
        <w:rPr>
          <w:rFonts w:hint="eastAsia" w:ascii="楷体" w:hAnsi="楷体" w:eastAsia="楷体"/>
          <w:color w:val="000000" w:themeColor="text1"/>
          <w:szCs w:val="21"/>
          <w:highlight w:val="none"/>
          <w14:textFill>
            <w14:solidFill>
              <w14:schemeClr w14:val="tx1"/>
            </w14:solidFill>
          </w14:textFill>
        </w:rPr>
      </w:pPr>
      <w:r>
        <w:rPr>
          <w:rFonts w:hint="eastAsia" w:ascii="楷体" w:hAnsi="楷体" w:eastAsia="楷体"/>
          <w:color w:val="000000" w:themeColor="text1"/>
          <w:szCs w:val="21"/>
          <w:highlight w:val="none"/>
          <w14:textFill>
            <w14:solidFill>
              <w14:schemeClr w14:val="tx1"/>
            </w14:solidFill>
          </w14:textFill>
        </w:rPr>
        <w:t>（2）其他组织和自然人需提供缴纳税收的凭据；</w:t>
      </w:r>
    </w:p>
    <w:p w14:paraId="3CB14EE6">
      <w:pPr>
        <w:spacing w:line="360" w:lineRule="auto"/>
        <w:ind w:firstLine="480"/>
        <w:rPr>
          <w:rFonts w:hint="eastAsia" w:ascii="楷体" w:hAnsi="楷体" w:eastAsia="楷体"/>
          <w:color w:val="000000" w:themeColor="text1"/>
          <w:szCs w:val="21"/>
          <w:highlight w:val="none"/>
          <w14:textFill>
            <w14:solidFill>
              <w14:schemeClr w14:val="tx1"/>
            </w14:solidFill>
          </w14:textFill>
        </w:rPr>
      </w:pPr>
      <w:r>
        <w:rPr>
          <w:rFonts w:hint="eastAsia" w:ascii="楷体" w:hAnsi="楷体" w:eastAsia="楷体"/>
          <w:color w:val="000000" w:themeColor="text1"/>
          <w:szCs w:val="21"/>
          <w:highlight w:val="none"/>
          <w14:textFill>
            <w14:solidFill>
              <w14:schemeClr w14:val="tx1"/>
            </w14:solidFill>
          </w14:textFill>
        </w:rPr>
        <w:t>（3）若当期应纳税额为0，可提供电子税务局打印的申报成功的纳税申报表，或提供无欠税证明</w:t>
      </w:r>
    </w:p>
    <w:p w14:paraId="792CA5AB">
      <w:pPr>
        <w:spacing w:line="360" w:lineRule="auto"/>
        <w:ind w:firstLine="480"/>
        <w:rPr>
          <w:rFonts w:hint="eastAsia" w:ascii="楷体" w:hAnsi="楷体" w:eastAsia="楷体"/>
          <w:b/>
          <w:bCs/>
          <w:color w:val="000000" w:themeColor="text1"/>
          <w:highlight w:val="none"/>
          <w14:textFill>
            <w14:solidFill>
              <w14:schemeClr w14:val="tx1"/>
            </w14:solidFill>
          </w14:textFill>
        </w:rPr>
      </w:pPr>
      <w:r>
        <w:rPr>
          <w:rFonts w:hint="eastAsia" w:ascii="楷体" w:hAnsi="楷体" w:eastAsia="楷体"/>
          <w:color w:val="000000" w:themeColor="text1"/>
          <w:szCs w:val="21"/>
          <w:highlight w:val="none"/>
          <w14:textFill>
            <w14:solidFill>
              <w14:schemeClr w14:val="tx1"/>
            </w14:solidFill>
          </w14:textFill>
        </w:rPr>
        <w:t>（4）复印件需加盖投标人单位章。</w:t>
      </w:r>
    </w:p>
    <w:p w14:paraId="40DC8257">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p>
    <w:p w14:paraId="668108C3">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7F3A13C7">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7215AB8E">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446366F0">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3470E4DF">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6A091720">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79C917D7">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32A47E8E">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6B97D358">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3A93B4EE">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4F90DFE8">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03EAB222">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5DC07693">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3B91D665">
      <w:pPr>
        <w:pStyle w:val="16"/>
        <w:adjustRightInd w:val="0"/>
        <w:snapToGrid w:val="0"/>
        <w:spacing w:line="360" w:lineRule="auto"/>
        <w:jc w:val="left"/>
        <w:rPr>
          <w:color w:val="000000" w:themeColor="text1"/>
          <w:sz w:val="24"/>
          <w:szCs w:val="24"/>
          <w:highlight w:val="none"/>
          <w14:textFill>
            <w14:solidFill>
              <w14:schemeClr w14:val="tx1"/>
            </w14:solidFill>
          </w14:textFill>
        </w:rPr>
      </w:pPr>
    </w:p>
    <w:p w14:paraId="64DAB73B">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35B44AC5">
      <w:pPr>
        <w:pStyle w:val="7"/>
        <w:spacing w:before="156" w:beforeLines="50"/>
        <w:ind w:firstLine="0"/>
        <w:rPr>
          <w:rFonts w:hint="eastAsia" w:ascii="宋体" w:hAnsi="宋体"/>
          <w:b/>
          <w:color w:val="000000" w:themeColor="text1"/>
          <w:sz w:val="36"/>
          <w:szCs w:val="36"/>
          <w:highlight w:val="none"/>
          <w14:textFill>
            <w14:solidFill>
              <w14:schemeClr w14:val="tx1"/>
            </w14:solidFill>
          </w14:textFill>
        </w:rPr>
      </w:pPr>
    </w:p>
    <w:p w14:paraId="60A53677">
      <w:pPr>
        <w:pStyle w:val="16"/>
        <w:adjustRightInd w:val="0"/>
        <w:snapToGrid w:val="0"/>
        <w:spacing w:line="360" w:lineRule="auto"/>
        <w:jc w:val="left"/>
        <w:outlineLvl w:val="0"/>
        <w:rPr>
          <w:rFonts w:hint="eastAsia" w:ascii="黑体" w:hAnsi="黑体" w:eastAsia="黑体"/>
          <w:color w:val="000000" w:themeColor="text1"/>
          <w:sz w:val="28"/>
          <w:szCs w:val="28"/>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r>
      <w:bookmarkStart w:id="1073" w:name="_Toc1880356871"/>
      <w:bookmarkStart w:id="1074" w:name="_Toc3516"/>
      <w:bookmarkStart w:id="1075" w:name="_Toc1326"/>
      <w:bookmarkStart w:id="1076" w:name="_Toc28903"/>
      <w:r>
        <w:rPr>
          <w:rFonts w:hint="eastAsia" w:ascii="黑体" w:hAnsi="黑体" w:eastAsia="黑体"/>
          <w:color w:val="000000" w:themeColor="text1"/>
          <w:sz w:val="28"/>
          <w:szCs w:val="28"/>
          <w:highlight w:val="none"/>
          <w14:textFill>
            <w14:solidFill>
              <w14:schemeClr w14:val="tx1"/>
            </w14:solidFill>
          </w14:textFill>
        </w:rPr>
        <w:t>附件</w:t>
      </w:r>
      <w:bookmarkEnd w:id="1073"/>
      <w:bookmarkEnd w:id="1074"/>
      <w:bookmarkEnd w:id="1075"/>
      <w:r>
        <w:rPr>
          <w:rFonts w:ascii="黑体" w:hAnsi="黑体" w:eastAsia="黑体"/>
          <w:color w:val="000000" w:themeColor="text1"/>
          <w:sz w:val="28"/>
          <w:szCs w:val="28"/>
          <w:highlight w:val="none"/>
          <w14:textFill>
            <w14:solidFill>
              <w14:schemeClr w14:val="tx1"/>
            </w14:solidFill>
          </w14:textFill>
        </w:rPr>
        <w:t>2</w:t>
      </w:r>
      <w:bookmarkEnd w:id="1076"/>
    </w:p>
    <w:p w14:paraId="3D275756">
      <w:pPr>
        <w:pStyle w:val="3"/>
        <w:spacing w:line="560" w:lineRule="exact"/>
        <w:jc w:val="center"/>
        <w:rPr>
          <w:rFonts w:hint="eastAsia" w:ascii="黑体" w:hAnsi="黑体" w:cs="仿宋_GB2312"/>
          <w:b w:val="0"/>
          <w:color w:val="000000" w:themeColor="text1"/>
          <w:sz w:val="36"/>
          <w:szCs w:val="36"/>
          <w:highlight w:val="none"/>
          <w14:textFill>
            <w14:solidFill>
              <w14:schemeClr w14:val="tx1"/>
            </w14:solidFill>
          </w14:textFill>
        </w:rPr>
      </w:pPr>
      <w:bookmarkStart w:id="1077" w:name="_Toc788581645"/>
      <w:bookmarkStart w:id="1078" w:name="_Toc14673"/>
      <w:bookmarkStart w:id="1079" w:name="_Toc22250"/>
      <w:bookmarkStart w:id="1080" w:name="_Toc4606"/>
      <w:r>
        <w:rPr>
          <w:rFonts w:hint="eastAsia" w:ascii="黑体" w:hAnsi="黑体" w:cs="仿宋_GB2312"/>
          <w:b w:val="0"/>
          <w:color w:val="000000" w:themeColor="text1"/>
          <w:sz w:val="36"/>
          <w:szCs w:val="36"/>
          <w:highlight w:val="none"/>
          <w14:textFill>
            <w14:solidFill>
              <w14:schemeClr w14:val="tx1"/>
            </w14:solidFill>
          </w14:textFill>
        </w:rPr>
        <w:t>依法缴纳税收承诺书</w:t>
      </w:r>
      <w:bookmarkEnd w:id="1077"/>
      <w:bookmarkEnd w:id="1078"/>
      <w:bookmarkEnd w:id="1079"/>
      <w:bookmarkEnd w:id="1080"/>
    </w:p>
    <w:p w14:paraId="294E4B7F">
      <w:pPr>
        <w:pStyle w:val="7"/>
        <w:spacing w:before="936" w:beforeLines="300" w:after="156" w:afterLines="50" w:line="360" w:lineRule="auto"/>
        <w:ind w:firstLine="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陕西隆信项目管理有限公司：</w:t>
      </w:r>
      <w:r>
        <w:rPr>
          <w:rFonts w:ascii="宋体" w:hAnsi="宋体"/>
          <w:color w:val="000000" w:themeColor="text1"/>
          <w:szCs w:val="21"/>
          <w:highlight w:val="none"/>
          <w14:textFill>
            <w14:solidFill>
              <w14:schemeClr w14:val="tx1"/>
            </w14:solidFill>
          </w14:textFill>
        </w:rPr>
        <w:t xml:space="preserve"> </w:t>
      </w:r>
    </w:p>
    <w:p w14:paraId="3BB30507">
      <w:pPr>
        <w:pStyle w:val="7"/>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我方参与</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（项目名称）（项目编号：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）项目的政府采购活动，现承诺如下：</w:t>
      </w:r>
    </w:p>
    <w:p w14:paraId="5DD4B8BB">
      <w:pPr>
        <w:pStyle w:val="7"/>
        <w:spacing w:line="360" w:lineRule="auto"/>
        <w:ind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我方承诺将依法缴纳税收，并符合《中华人民共和国政府采购法》及其实施条例和采购文件资格要求的规定。</w:t>
      </w:r>
    </w:p>
    <w:p w14:paraId="44BFB9F2">
      <w:pPr>
        <w:pStyle w:val="7"/>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若我方以上承诺不实，自愿承担提供虚假材料谋取成交的法律责任。</w:t>
      </w:r>
    </w:p>
    <w:p w14:paraId="0A4D54DB">
      <w:pPr>
        <w:pStyle w:val="7"/>
        <w:spacing w:line="360" w:lineRule="auto"/>
        <w:ind w:firstLine="573"/>
        <w:rPr>
          <w:rFonts w:hint="eastAsia" w:ascii="宋体" w:hAnsi="宋体"/>
          <w:color w:val="000000" w:themeColor="text1"/>
          <w:szCs w:val="21"/>
          <w:highlight w:val="none"/>
          <w14:textFill>
            <w14:solidFill>
              <w14:schemeClr w14:val="tx1"/>
            </w14:solidFill>
          </w14:textFill>
        </w:rPr>
      </w:pPr>
    </w:p>
    <w:p w14:paraId="53BD042A">
      <w:pPr>
        <w:pStyle w:val="7"/>
        <w:spacing w:line="360" w:lineRule="auto"/>
        <w:ind w:firstLine="573"/>
        <w:rPr>
          <w:rFonts w:hint="eastAsia" w:ascii="宋体" w:hAnsi="宋体"/>
          <w:color w:val="000000" w:themeColor="text1"/>
          <w:szCs w:val="21"/>
          <w:highlight w:val="none"/>
          <w14:textFill>
            <w14:solidFill>
              <w14:schemeClr w14:val="tx1"/>
            </w14:solidFill>
          </w14:textFill>
        </w:rPr>
      </w:pPr>
    </w:p>
    <w:p w14:paraId="1555985A">
      <w:pPr>
        <w:pStyle w:val="7"/>
        <w:spacing w:line="360" w:lineRule="auto"/>
        <w:ind w:firstLine="573"/>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 诺 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名称、盖单位章）</w:t>
      </w:r>
    </w:p>
    <w:p w14:paraId="0FC2670D">
      <w:pPr>
        <w:pStyle w:val="7"/>
        <w:spacing w:line="360" w:lineRule="auto"/>
        <w:ind w:firstLine="573"/>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法定代表人或委托代理人：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（签名）</w:t>
      </w:r>
    </w:p>
    <w:p w14:paraId="2FF81399">
      <w:pPr>
        <w:pStyle w:val="7"/>
        <w:spacing w:line="360" w:lineRule="auto"/>
        <w:ind w:firstLine="573"/>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期：20</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5B149F0F">
      <w:pPr>
        <w:pStyle w:val="16"/>
        <w:adjustRightInd w:val="0"/>
        <w:snapToGrid w:val="0"/>
        <w:spacing w:line="360" w:lineRule="auto"/>
        <w:jc w:val="center"/>
        <w:rPr>
          <w:rFonts w:hint="eastAsia" w:hAnsi="宋体"/>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r>
      <w:r>
        <w:rPr>
          <w:rFonts w:hint="eastAsia"/>
          <w:b/>
          <w:color w:val="000000" w:themeColor="text1"/>
          <w:sz w:val="32"/>
          <w:szCs w:val="32"/>
          <w:highlight w:val="none"/>
          <w14:textFill>
            <w14:solidFill>
              <w14:schemeClr w14:val="tx1"/>
            </w14:solidFill>
          </w14:textFill>
        </w:rPr>
        <w:t>6.缴纳社会保障资金证明</w:t>
      </w:r>
    </w:p>
    <w:p w14:paraId="4126F16B">
      <w:pPr>
        <w:pStyle w:val="16"/>
        <w:adjustRightInd w:val="0"/>
        <w:snapToGrid w:val="0"/>
        <w:spacing w:line="360" w:lineRule="auto"/>
        <w:jc w:val="left"/>
        <w:rPr>
          <w:rFonts w:hint="eastAsia" w:hAnsi="宋体"/>
          <w:color w:val="000000" w:themeColor="text1"/>
          <w:sz w:val="24"/>
          <w:szCs w:val="24"/>
          <w:highlight w:val="none"/>
          <w14:textFill>
            <w14:solidFill>
              <w14:schemeClr w14:val="tx1"/>
            </w14:solidFill>
          </w14:textFill>
        </w:rPr>
      </w:pPr>
    </w:p>
    <w:p w14:paraId="0E087017">
      <w:pPr>
        <w:rPr>
          <w:rFonts w:hint="eastAsia" w:ascii="楷体" w:hAnsi="楷体" w:eastAsia="楷体"/>
          <w:color w:val="000000" w:themeColor="text1"/>
          <w:highlight w:val="none"/>
          <w14:textFill>
            <w14:solidFill>
              <w14:schemeClr w14:val="tx1"/>
            </w14:solidFill>
          </w14:textFill>
        </w:rPr>
      </w:pPr>
      <w:r>
        <w:rPr>
          <w:rFonts w:hint="eastAsia" w:ascii="楷体" w:hAnsi="楷体" w:eastAsia="楷体"/>
          <w:color w:val="000000" w:themeColor="text1"/>
          <w:highlight w:val="none"/>
          <w14:textFill>
            <w14:solidFill>
              <w14:schemeClr w14:val="tx1"/>
            </w14:solidFill>
          </w14:textFill>
        </w:rPr>
        <w:t>说明：</w:t>
      </w:r>
    </w:p>
    <w:p w14:paraId="74C0CA24">
      <w:pPr>
        <w:pStyle w:val="16"/>
        <w:adjustRightInd w:val="0"/>
        <w:snapToGrid w:val="0"/>
        <w:spacing w:line="360" w:lineRule="auto"/>
        <w:ind w:firstLine="482"/>
        <w:rPr>
          <w:rFonts w:hint="eastAsia" w:ascii="楷体" w:hAnsi="楷体" w:eastAsia="楷体"/>
          <w:color w:val="000000" w:themeColor="text1"/>
          <w:highlight w:val="none"/>
          <w14:textFill>
            <w14:solidFill>
              <w14:schemeClr w14:val="tx1"/>
            </w14:solidFill>
          </w14:textFill>
        </w:rPr>
      </w:pPr>
      <w:r>
        <w:rPr>
          <w:rFonts w:hint="eastAsia" w:ascii="楷体" w:hAnsi="楷体" w:eastAsia="楷体"/>
          <w:color w:val="000000" w:themeColor="text1"/>
          <w:highlight w:val="none"/>
          <w14:textFill>
            <w14:solidFill>
              <w14:schemeClr w14:val="tx1"/>
            </w14:solidFill>
          </w14:textFill>
        </w:rPr>
        <w:t>提供投标人自提交投标文件截止时间前1年内已缴纳的社会保障资金缴存单据或社保机构开具的社会保险参保缴费情况证明；</w:t>
      </w:r>
    </w:p>
    <w:p w14:paraId="2317B23A">
      <w:pPr>
        <w:pStyle w:val="16"/>
        <w:adjustRightInd w:val="0"/>
        <w:snapToGrid w:val="0"/>
        <w:spacing w:line="360" w:lineRule="auto"/>
        <w:ind w:firstLine="482"/>
        <w:rPr>
          <w:rFonts w:hint="eastAsia" w:ascii="楷体" w:hAnsi="楷体" w:eastAsia="楷体"/>
          <w:color w:val="000000" w:themeColor="text1"/>
          <w:highlight w:val="none"/>
          <w14:textFill>
            <w14:solidFill>
              <w14:schemeClr w14:val="tx1"/>
            </w14:solidFill>
          </w14:textFill>
        </w:rPr>
      </w:pPr>
      <w:r>
        <w:rPr>
          <w:rFonts w:hint="eastAsia" w:ascii="楷体" w:hAnsi="楷体" w:eastAsia="楷体"/>
          <w:color w:val="000000" w:themeColor="text1"/>
          <w:highlight w:val="none"/>
          <w14:textFill>
            <w14:solidFill>
              <w14:schemeClr w14:val="tx1"/>
            </w14:solidFill>
          </w14:textFill>
        </w:rPr>
        <w:t>要求：</w:t>
      </w:r>
    </w:p>
    <w:p w14:paraId="5F1D2B51">
      <w:pPr>
        <w:pStyle w:val="16"/>
        <w:adjustRightInd w:val="0"/>
        <w:snapToGrid w:val="0"/>
        <w:spacing w:line="360" w:lineRule="auto"/>
        <w:ind w:firstLine="482"/>
        <w:rPr>
          <w:rFonts w:hint="eastAsia" w:ascii="楷体" w:hAnsi="楷体" w:eastAsia="楷体"/>
          <w:color w:val="000000" w:themeColor="text1"/>
          <w:highlight w:val="none"/>
          <w14:textFill>
            <w14:solidFill>
              <w14:schemeClr w14:val="tx1"/>
            </w14:solidFill>
          </w14:textFill>
        </w:rPr>
      </w:pPr>
      <w:r>
        <w:rPr>
          <w:rFonts w:hint="eastAsia" w:ascii="楷体" w:hAnsi="楷体" w:eastAsia="楷体"/>
          <w:color w:val="000000" w:themeColor="text1"/>
          <w:highlight w:val="none"/>
          <w14:textFill>
            <w14:solidFill>
              <w14:schemeClr w14:val="tx1"/>
            </w14:solidFill>
          </w14:textFill>
        </w:rPr>
        <w:t>（1）投标人成立不到 1 年，未发生缴纳社保资金事项的，应提供缴纳社保资金的书面承诺；</w:t>
      </w:r>
    </w:p>
    <w:p w14:paraId="7D13B0DE">
      <w:pPr>
        <w:pStyle w:val="16"/>
        <w:adjustRightInd w:val="0"/>
        <w:snapToGrid w:val="0"/>
        <w:spacing w:line="360" w:lineRule="auto"/>
        <w:ind w:firstLine="482"/>
        <w:rPr>
          <w:rFonts w:hint="eastAsia" w:ascii="楷体" w:hAnsi="楷体" w:eastAsia="楷体"/>
          <w:color w:val="000000" w:themeColor="text1"/>
          <w:highlight w:val="none"/>
          <w14:textFill>
            <w14:solidFill>
              <w14:schemeClr w14:val="tx1"/>
            </w14:solidFill>
          </w14:textFill>
        </w:rPr>
      </w:pPr>
      <w:r>
        <w:rPr>
          <w:rFonts w:hint="eastAsia" w:ascii="楷体" w:hAnsi="楷体" w:eastAsia="楷体"/>
          <w:color w:val="000000" w:themeColor="text1"/>
          <w:highlight w:val="none"/>
          <w14:textFill>
            <w14:solidFill>
              <w14:schemeClr w14:val="tx1"/>
            </w14:solidFill>
          </w14:textFill>
        </w:rPr>
        <w:t>（2）其他组织和自然人需提供缴纳社会保险的凭据；</w:t>
      </w:r>
    </w:p>
    <w:p w14:paraId="77752ACF">
      <w:pPr>
        <w:pStyle w:val="16"/>
        <w:adjustRightInd w:val="0"/>
        <w:snapToGrid w:val="0"/>
        <w:spacing w:line="360" w:lineRule="auto"/>
        <w:ind w:firstLine="482"/>
        <w:rPr>
          <w:rFonts w:hint="eastAsia" w:ascii="楷体" w:hAnsi="楷体" w:eastAsia="楷体"/>
          <w:b/>
          <w:bCs/>
          <w:color w:val="000000" w:themeColor="text1"/>
          <w:highlight w:val="none"/>
          <w14:textFill>
            <w14:solidFill>
              <w14:schemeClr w14:val="tx1"/>
            </w14:solidFill>
          </w14:textFill>
        </w:rPr>
      </w:pPr>
      <w:r>
        <w:rPr>
          <w:rFonts w:hint="eastAsia" w:ascii="楷体" w:hAnsi="楷体" w:eastAsia="楷体"/>
          <w:color w:val="000000" w:themeColor="text1"/>
          <w:highlight w:val="none"/>
          <w14:textFill>
            <w14:solidFill>
              <w14:schemeClr w14:val="tx1"/>
            </w14:solidFill>
          </w14:textFill>
        </w:rPr>
        <w:t>（3）复印件需加盖投标人单位章。</w:t>
      </w:r>
    </w:p>
    <w:p w14:paraId="64F83245">
      <w:pPr>
        <w:pStyle w:val="16"/>
        <w:adjustRightInd w:val="0"/>
        <w:snapToGrid w:val="0"/>
        <w:spacing w:line="360" w:lineRule="auto"/>
        <w:jc w:val="left"/>
        <w:outlineLvl w:val="0"/>
        <w:rPr>
          <w:rFonts w:hint="eastAsia" w:ascii="黑体" w:hAnsi="黑体" w:eastAsia="黑体"/>
          <w:color w:val="000000" w:themeColor="text1"/>
          <w:sz w:val="28"/>
          <w:szCs w:val="28"/>
          <w:highlight w:val="none"/>
          <w14:textFill>
            <w14:solidFill>
              <w14:schemeClr w14:val="tx1"/>
            </w14:solidFill>
          </w14:textFill>
        </w:rPr>
      </w:pPr>
      <w:r>
        <w:rPr>
          <w:rFonts w:hint="eastAsia" w:ascii="楷体" w:hAnsi="楷体" w:eastAsia="楷体"/>
          <w:color w:val="000000" w:themeColor="text1"/>
          <w:highlight w:val="none"/>
          <w14:textFill>
            <w14:solidFill>
              <w14:schemeClr w14:val="tx1"/>
            </w14:solidFill>
          </w14:textFill>
        </w:rPr>
        <w:br w:type="page"/>
      </w:r>
      <w:bookmarkStart w:id="1081" w:name="_Toc21270"/>
      <w:bookmarkStart w:id="1082" w:name="_Toc1570121878"/>
      <w:bookmarkStart w:id="1083" w:name="_Toc28573"/>
      <w:bookmarkStart w:id="1084" w:name="_Toc29591"/>
      <w:r>
        <w:rPr>
          <w:rFonts w:hint="eastAsia" w:ascii="黑体" w:hAnsi="黑体" w:eastAsia="黑体"/>
          <w:color w:val="000000" w:themeColor="text1"/>
          <w:sz w:val="28"/>
          <w:szCs w:val="28"/>
          <w:highlight w:val="none"/>
          <w14:textFill>
            <w14:solidFill>
              <w14:schemeClr w14:val="tx1"/>
            </w14:solidFill>
          </w14:textFill>
        </w:rPr>
        <w:t>附件</w:t>
      </w:r>
      <w:bookmarkEnd w:id="1081"/>
      <w:bookmarkEnd w:id="1082"/>
      <w:bookmarkEnd w:id="1083"/>
      <w:r>
        <w:rPr>
          <w:rFonts w:ascii="黑体" w:hAnsi="黑体" w:eastAsia="黑体"/>
          <w:color w:val="000000" w:themeColor="text1"/>
          <w:sz w:val="28"/>
          <w:szCs w:val="28"/>
          <w:highlight w:val="none"/>
          <w14:textFill>
            <w14:solidFill>
              <w14:schemeClr w14:val="tx1"/>
            </w14:solidFill>
          </w14:textFill>
        </w:rPr>
        <w:t>3</w:t>
      </w:r>
      <w:bookmarkEnd w:id="1084"/>
    </w:p>
    <w:p w14:paraId="20AD70A3">
      <w:pPr>
        <w:pStyle w:val="3"/>
        <w:spacing w:line="560" w:lineRule="exact"/>
        <w:jc w:val="center"/>
        <w:rPr>
          <w:rFonts w:hint="eastAsia" w:ascii="黑体" w:hAnsi="黑体" w:cs="仿宋_GB2312"/>
          <w:b w:val="0"/>
          <w:color w:val="000000" w:themeColor="text1"/>
          <w:sz w:val="36"/>
          <w:szCs w:val="36"/>
          <w:highlight w:val="none"/>
          <w14:textFill>
            <w14:solidFill>
              <w14:schemeClr w14:val="tx1"/>
            </w14:solidFill>
          </w14:textFill>
        </w:rPr>
      </w:pPr>
      <w:bookmarkStart w:id="1085" w:name="_Toc8740"/>
      <w:bookmarkStart w:id="1086" w:name="_Toc759349210"/>
      <w:bookmarkStart w:id="1087" w:name="_Toc2277"/>
      <w:bookmarkStart w:id="1088" w:name="_Toc7226"/>
      <w:r>
        <w:rPr>
          <w:rFonts w:hint="eastAsia" w:ascii="黑体" w:hAnsi="黑体" w:cs="仿宋_GB2312"/>
          <w:b w:val="0"/>
          <w:color w:val="000000" w:themeColor="text1"/>
          <w:sz w:val="36"/>
          <w:szCs w:val="36"/>
          <w:highlight w:val="none"/>
          <w14:textFill>
            <w14:solidFill>
              <w14:schemeClr w14:val="tx1"/>
            </w14:solidFill>
          </w14:textFill>
        </w:rPr>
        <w:t>依法缴纳社会保障资金承诺书</w:t>
      </w:r>
      <w:bookmarkEnd w:id="1085"/>
      <w:bookmarkEnd w:id="1086"/>
      <w:bookmarkEnd w:id="1087"/>
      <w:bookmarkEnd w:id="1088"/>
    </w:p>
    <w:p w14:paraId="38C6E273">
      <w:pPr>
        <w:pStyle w:val="7"/>
        <w:spacing w:before="780" w:beforeLines="250" w:line="360" w:lineRule="auto"/>
        <w:ind w:firstLine="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陕西隆信项目管理有限公司：</w:t>
      </w:r>
      <w:r>
        <w:rPr>
          <w:rFonts w:ascii="宋体" w:hAnsi="宋体"/>
          <w:color w:val="000000" w:themeColor="text1"/>
          <w:szCs w:val="21"/>
          <w:highlight w:val="none"/>
          <w14:textFill>
            <w14:solidFill>
              <w14:schemeClr w14:val="tx1"/>
            </w14:solidFill>
          </w14:textFill>
        </w:rPr>
        <w:t xml:space="preserve"> </w:t>
      </w:r>
    </w:p>
    <w:p w14:paraId="40EA2953">
      <w:pPr>
        <w:pStyle w:val="7"/>
        <w:spacing w:before="156" w:beforeLines="50" w:line="360" w:lineRule="auto"/>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我方参与</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（项目名称）（项目编号：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）项目的政府采购活动，现承诺如下：</w:t>
      </w:r>
    </w:p>
    <w:p w14:paraId="72401CEE">
      <w:pPr>
        <w:pStyle w:val="7"/>
        <w:spacing w:line="360" w:lineRule="auto"/>
        <w:ind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我方承诺将依法缴纳社会保障资金，并符合《中华人民共和国政府采购法》及其实施条例和采购文件资格要求的规定。</w:t>
      </w:r>
    </w:p>
    <w:p w14:paraId="20A2D71D">
      <w:pPr>
        <w:pStyle w:val="7"/>
        <w:spacing w:line="360" w:lineRule="auto"/>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若我方以上承诺不实，自愿承担提供虚假材料谋取成交的法律责任。</w:t>
      </w:r>
    </w:p>
    <w:p w14:paraId="222348BB">
      <w:pPr>
        <w:pStyle w:val="7"/>
        <w:spacing w:line="360" w:lineRule="auto"/>
        <w:ind w:firstLine="573"/>
        <w:jc w:val="left"/>
        <w:rPr>
          <w:rFonts w:hint="eastAsia" w:ascii="宋体" w:hAnsi="宋体"/>
          <w:color w:val="000000" w:themeColor="text1"/>
          <w:szCs w:val="21"/>
          <w:highlight w:val="none"/>
          <w14:textFill>
            <w14:solidFill>
              <w14:schemeClr w14:val="tx1"/>
            </w14:solidFill>
          </w14:textFill>
        </w:rPr>
      </w:pPr>
    </w:p>
    <w:p w14:paraId="3EA9F591">
      <w:pPr>
        <w:pStyle w:val="7"/>
        <w:spacing w:line="360" w:lineRule="auto"/>
        <w:ind w:firstLine="573"/>
        <w:jc w:val="left"/>
        <w:rPr>
          <w:rFonts w:hint="eastAsia" w:ascii="宋体" w:hAnsi="宋体"/>
          <w:color w:val="000000" w:themeColor="text1"/>
          <w:szCs w:val="21"/>
          <w:highlight w:val="none"/>
          <w14:textFill>
            <w14:solidFill>
              <w14:schemeClr w14:val="tx1"/>
            </w14:solidFill>
          </w14:textFill>
        </w:rPr>
      </w:pPr>
    </w:p>
    <w:p w14:paraId="193E8808">
      <w:pPr>
        <w:pStyle w:val="7"/>
        <w:spacing w:line="360" w:lineRule="auto"/>
        <w:ind w:firstLine="573"/>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 诺 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名称、盖单位章）</w:t>
      </w:r>
    </w:p>
    <w:p w14:paraId="0EF551E8">
      <w:pPr>
        <w:pStyle w:val="7"/>
        <w:spacing w:line="360" w:lineRule="auto"/>
        <w:ind w:firstLine="573"/>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法定代表人或委托代理人：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（签名）</w:t>
      </w:r>
    </w:p>
    <w:p w14:paraId="7453F131">
      <w:pPr>
        <w:pStyle w:val="7"/>
        <w:spacing w:line="360" w:lineRule="auto"/>
        <w:ind w:firstLine="573"/>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期：20</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5358E2AE">
      <w:pPr>
        <w:pStyle w:val="7"/>
        <w:ind w:firstLine="0"/>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r>
    </w:p>
    <w:p w14:paraId="13FD0D0C">
      <w:pPr>
        <w:pStyle w:val="7"/>
        <w:ind w:firstLine="0"/>
        <w:jc w:val="center"/>
        <w:rPr>
          <w:rFonts w:ascii="仿宋_GB2312" w:eastAsia="仿宋_GB2312"/>
          <w:b/>
          <w:color w:val="000000" w:themeColor="text1"/>
          <w:sz w:val="36"/>
          <w:szCs w:val="36"/>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7.投标声明书</w:t>
      </w:r>
    </w:p>
    <w:p w14:paraId="6DEA450C">
      <w:pPr>
        <w:pStyle w:val="7"/>
        <w:spacing w:after="156" w:afterLines="50" w:line="360" w:lineRule="auto"/>
        <w:ind w:firstLine="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陕西隆信项目管理有限公司：</w:t>
      </w:r>
    </w:p>
    <w:p w14:paraId="4F67C655">
      <w:pPr>
        <w:pStyle w:val="7"/>
        <w:spacing w:line="360" w:lineRule="auto"/>
        <w:ind w:firstLine="57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我方</w:t>
      </w:r>
      <w:r>
        <w:rPr>
          <w:rFonts w:hint="eastAsia" w:ascii="宋体" w:hAnsi="宋体"/>
          <w:color w:val="000000" w:themeColor="text1"/>
          <w:szCs w:val="21"/>
          <w:highlight w:val="none"/>
          <w:u w:val="single"/>
          <w14:textFill>
            <w14:solidFill>
              <w14:schemeClr w14:val="tx1"/>
            </w14:solidFill>
          </w14:textFill>
        </w:rPr>
        <w:t xml:space="preserve"> （投标人名称） </w:t>
      </w:r>
      <w:r>
        <w:rPr>
          <w:rFonts w:hint="eastAsia" w:ascii="宋体" w:hAnsi="宋体"/>
          <w:color w:val="000000" w:themeColor="text1"/>
          <w:szCs w:val="21"/>
          <w:highlight w:val="none"/>
          <w14:textFill>
            <w14:solidFill>
              <w14:schemeClr w14:val="tx1"/>
            </w14:solidFill>
          </w14:textFill>
        </w:rPr>
        <w:t>就参加</w:t>
      </w:r>
      <w:r>
        <w:rPr>
          <w:rFonts w:hint="eastAsia" w:ascii="宋体" w:hAnsi="宋体" w:cs="宋体"/>
          <w:color w:val="000000" w:themeColor="text1"/>
          <w:szCs w:val="21"/>
          <w:highlight w:val="none"/>
          <w:u w:val="single"/>
          <w14:textFill>
            <w14:solidFill>
              <w14:schemeClr w14:val="tx1"/>
            </w14:solidFill>
          </w14:textFill>
        </w:rPr>
        <w:t>（项目名称）（项目编号）</w:t>
      </w:r>
      <w:r>
        <w:rPr>
          <w:rFonts w:ascii="宋体" w:hAnsi="宋体"/>
          <w:color w:val="000000" w:themeColor="text1"/>
          <w:szCs w:val="21"/>
          <w:highlight w:val="none"/>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事宜，在此郑重声明：</w:t>
      </w:r>
    </w:p>
    <w:p w14:paraId="5B309726">
      <w:pPr>
        <w:pStyle w:val="7"/>
        <w:spacing w:line="360" w:lineRule="auto"/>
        <w:ind w:firstLine="57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1.我方所提交的投标文件全部真实有效；</w:t>
      </w:r>
    </w:p>
    <w:p w14:paraId="722378B3">
      <w:pPr>
        <w:pStyle w:val="7"/>
        <w:spacing w:line="360" w:lineRule="auto"/>
        <w:ind w:firstLine="57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2.我方近3年来无因违法经营受到刑事处罚，未受到责令停产（或停止经营）、吊销生产许可证（或经营许可证）、较大数额罚款（举行听证会）等行政处罚；</w:t>
      </w:r>
    </w:p>
    <w:p w14:paraId="55DA5A72">
      <w:pPr>
        <w:pStyle w:val="7"/>
        <w:spacing w:line="360" w:lineRule="auto"/>
        <w:ind w:firstLine="57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3.我方无企业财产被查封、冻结或处于破产状态或严重亏损状态等情形存在；</w:t>
      </w:r>
    </w:p>
    <w:p w14:paraId="34CCA526">
      <w:pPr>
        <w:pStyle w:val="7"/>
        <w:spacing w:line="360" w:lineRule="auto"/>
        <w:ind w:firstLine="57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4.我方参加本次政府采购活动前3年内，在经营活动中没有重大违法记录；</w:t>
      </w:r>
    </w:p>
    <w:p w14:paraId="29E88590">
      <w:pPr>
        <w:pStyle w:val="7"/>
        <w:spacing w:line="360" w:lineRule="auto"/>
        <w:ind w:firstLine="57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5.我方在参与本次政府采购活动时，未被禁止在一至三年内参加政府采购活动；</w:t>
      </w:r>
    </w:p>
    <w:p w14:paraId="5858A839">
      <w:pPr>
        <w:pStyle w:val="7"/>
        <w:spacing w:line="360" w:lineRule="auto"/>
        <w:ind w:firstLine="57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6.我</w:t>
      </w:r>
      <w:r>
        <w:rPr>
          <w:rFonts w:hint="eastAsia" w:ascii="宋体" w:hAnsi="宋体" w:cs="宋体"/>
          <w:color w:val="000000" w:themeColor="text1"/>
          <w:szCs w:val="21"/>
          <w:highlight w:val="none"/>
          <w:lang w:val="en-US" w:eastAsia="zh-CN"/>
          <w14:textFill>
            <w14:solidFill>
              <w14:schemeClr w14:val="tx1"/>
            </w14:solidFill>
          </w14:textFill>
        </w:rPr>
        <w:t>方承</w:t>
      </w:r>
      <w:r>
        <w:rPr>
          <w:rFonts w:hint="eastAsia" w:ascii="宋体" w:hAnsi="宋体" w:cs="宋体"/>
          <w:color w:val="000000" w:themeColor="text1"/>
          <w:szCs w:val="21"/>
          <w:highlight w:val="none"/>
          <w14:textFill>
            <w14:solidFill>
              <w14:schemeClr w14:val="tx1"/>
            </w14:solidFill>
          </w14:textFill>
        </w:rPr>
        <w:t>诺具有履行合同所必需的设备和专业技术能力。</w:t>
      </w:r>
    </w:p>
    <w:p w14:paraId="5C3A746A">
      <w:pPr>
        <w:pStyle w:val="7"/>
        <w:spacing w:line="360" w:lineRule="auto"/>
        <w:ind w:firstLine="573"/>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7.我方未被“信用中国”网站(https://www.creditchina.gov.cn/ )列入重大税收违法失信主体及严重失信主体名单、未被“中国执行信息公开网”(http://zxgk.court.gov.cn/shixin/)列入失信被执行人、未处于“中国政府采购网”(http://www.ccgp.gov.cn/)政府采购严重违法失信行为信息记录中的禁止参加政府采购活动期间。</w:t>
      </w:r>
    </w:p>
    <w:p w14:paraId="4990DAF4">
      <w:pPr>
        <w:pStyle w:val="16"/>
        <w:adjustRightInd w:val="0"/>
        <w:snapToGrid w:val="0"/>
        <w:spacing w:line="336" w:lineRule="auto"/>
        <w:ind w:firstLine="42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lang w:bidi="ar"/>
          <w14:textFill>
            <w14:solidFill>
              <w14:schemeClr w14:val="tx1"/>
            </w14:solidFill>
          </w14:textFill>
        </w:rPr>
        <w:t>8.</w:t>
      </w:r>
      <w:r>
        <w:rPr>
          <w:rFonts w:hint="eastAsia" w:hAnsi="宋体" w:cs="宋体"/>
          <w:color w:val="000000" w:themeColor="text1"/>
          <w:highlight w:val="none"/>
          <w14:textFill>
            <w14:solidFill>
              <w14:schemeClr w14:val="tx1"/>
            </w14:solidFill>
          </w14:textFill>
        </w:rPr>
        <w:t>我方不存在招标文件第二章“投标人须知”第1.3.2条款规定的任何一种情形。否则，愿承担相关法律责任。</w:t>
      </w:r>
    </w:p>
    <w:p w14:paraId="552C9150">
      <w:pPr>
        <w:pStyle w:val="7"/>
        <w:spacing w:line="360" w:lineRule="auto"/>
        <w:ind w:firstLine="573"/>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以上声明若有违反，一经查实，我方愿意接受政府有关部门的相应处罚，并愿意承担由此带来的法律后果</w:t>
      </w:r>
      <w:r>
        <w:rPr>
          <w:rFonts w:hint="eastAsia" w:ascii="宋体" w:hAnsi="宋体"/>
          <w:color w:val="000000" w:themeColor="text1"/>
          <w:szCs w:val="21"/>
          <w:highlight w:val="none"/>
          <w14:textFill>
            <w14:solidFill>
              <w14:schemeClr w14:val="tx1"/>
            </w14:solidFill>
          </w14:textFill>
        </w:rPr>
        <w:t>。</w:t>
      </w:r>
    </w:p>
    <w:p w14:paraId="29CF9FA0">
      <w:pPr>
        <w:pStyle w:val="7"/>
        <w:spacing w:line="480" w:lineRule="auto"/>
        <w:ind w:firstLine="0"/>
        <w:rPr>
          <w:rFonts w:hint="eastAsia" w:ascii="宋体" w:hAnsi="宋体"/>
          <w:color w:val="000000" w:themeColor="text1"/>
          <w:szCs w:val="21"/>
          <w:highlight w:val="none"/>
          <w14:textFill>
            <w14:solidFill>
              <w14:schemeClr w14:val="tx1"/>
            </w14:solidFill>
          </w14:textFill>
        </w:rPr>
      </w:pPr>
    </w:p>
    <w:p w14:paraId="1D2B96BE">
      <w:pPr>
        <w:pStyle w:val="7"/>
        <w:spacing w:line="480" w:lineRule="auto"/>
        <w:ind w:firstLine="57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特此声明！</w:t>
      </w:r>
    </w:p>
    <w:p w14:paraId="2C42B3CB">
      <w:pPr>
        <w:pStyle w:val="7"/>
        <w:spacing w:line="480" w:lineRule="auto"/>
        <w:ind w:firstLine="630" w:firstLineChars="300"/>
        <w:rPr>
          <w:rFonts w:hint="eastAsia" w:ascii="宋体" w:hAnsi="宋体"/>
          <w:color w:val="000000" w:themeColor="text1"/>
          <w:szCs w:val="21"/>
          <w:highlight w:val="none"/>
          <w14:textFill>
            <w14:solidFill>
              <w14:schemeClr w14:val="tx1"/>
            </w14:solidFill>
          </w14:textFill>
        </w:rPr>
      </w:pPr>
    </w:p>
    <w:p w14:paraId="15F83223">
      <w:pPr>
        <w:pStyle w:val="7"/>
        <w:spacing w:line="360" w:lineRule="auto"/>
        <w:ind w:firstLine="573"/>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声 明 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名称、盖单位章）</w:t>
      </w:r>
    </w:p>
    <w:p w14:paraId="6DA835D0">
      <w:pPr>
        <w:pStyle w:val="7"/>
        <w:spacing w:line="360" w:lineRule="auto"/>
        <w:ind w:firstLine="573"/>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法定代表人或委托代理人：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（签名）</w:t>
      </w:r>
    </w:p>
    <w:p w14:paraId="6925693E">
      <w:pPr>
        <w:pStyle w:val="7"/>
        <w:spacing w:line="360" w:lineRule="auto"/>
        <w:ind w:firstLine="573"/>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期：20</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5B4352F4">
      <w:pPr>
        <w:pStyle w:val="7"/>
        <w:spacing w:line="480" w:lineRule="auto"/>
        <w:ind w:firstLine="573"/>
        <w:rPr>
          <w:rFonts w:hint="eastAsia" w:ascii="楷体" w:hAnsi="楷体" w:eastAsia="楷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p>
    <w:p w14:paraId="40D235E7">
      <w:pPr>
        <w:pStyle w:val="7"/>
        <w:ind w:firstLine="0"/>
        <w:jc w:val="center"/>
        <w:outlineLvl w:val="1"/>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br w:type="page"/>
      </w:r>
      <w:bookmarkStart w:id="1089" w:name="_Toc30553"/>
      <w:bookmarkStart w:id="1090" w:name="_Toc2034341996"/>
    </w:p>
    <w:p w14:paraId="5B6AC1E6">
      <w:pPr>
        <w:pStyle w:val="7"/>
        <w:ind w:firstLine="0"/>
        <w:jc w:val="center"/>
        <w:outlineLvl w:val="1"/>
        <w:rPr>
          <w:rFonts w:hint="eastAsia" w:ascii="黑体" w:hAnsi="宋体" w:eastAsia="黑体"/>
          <w:color w:val="000000" w:themeColor="text1"/>
          <w:sz w:val="44"/>
          <w:szCs w:val="44"/>
          <w:highlight w:val="none"/>
          <w14:textFill>
            <w14:solidFill>
              <w14:schemeClr w14:val="tx1"/>
            </w14:solidFill>
          </w14:textFill>
        </w:rPr>
      </w:pPr>
      <w:bookmarkStart w:id="1091" w:name="_Toc30348"/>
      <w:r>
        <w:rPr>
          <w:rFonts w:hint="eastAsia" w:ascii="黑体" w:hAnsi="宋体" w:eastAsia="黑体"/>
          <w:color w:val="000000" w:themeColor="text1"/>
          <w:sz w:val="44"/>
          <w:szCs w:val="44"/>
          <w:highlight w:val="none"/>
          <w14:textFill>
            <w14:solidFill>
              <w14:schemeClr w14:val="tx1"/>
            </w14:solidFill>
          </w14:textFill>
        </w:rPr>
        <w:t>二、投标人落实政府采购政策证明材料</w:t>
      </w:r>
      <w:bookmarkEnd w:id="1091"/>
    </w:p>
    <w:p w14:paraId="299D6C5F">
      <w:pPr>
        <w:pStyle w:val="16"/>
        <w:adjustRightInd w:val="0"/>
        <w:snapToGrid w:val="0"/>
        <w:spacing w:line="360" w:lineRule="auto"/>
        <w:jc w:val="center"/>
        <w:rPr>
          <w:rFonts w:hint="eastAsia" w:ascii="黑体" w:hAnsi="楷体" w:eastAsia="黑体"/>
          <w:color w:val="000000" w:themeColor="text1"/>
          <w:sz w:val="36"/>
          <w:szCs w:val="36"/>
          <w:highlight w:val="none"/>
          <w:lang w:eastAsia="zh-Hans"/>
          <w14:textFill>
            <w14:solidFill>
              <w14:schemeClr w14:val="tx1"/>
            </w14:solidFill>
          </w14:textFill>
        </w:rPr>
      </w:pPr>
      <w:r>
        <w:rPr>
          <w:rFonts w:hint="eastAsia" w:ascii="黑体" w:hAnsi="楷体" w:eastAsia="黑体"/>
          <w:color w:val="000000" w:themeColor="text1"/>
          <w:sz w:val="36"/>
          <w:szCs w:val="36"/>
          <w:highlight w:val="none"/>
          <w14:textFill>
            <w14:solidFill>
              <w14:schemeClr w14:val="tx1"/>
            </w14:solidFill>
          </w14:textFill>
        </w:rPr>
        <w:t>8.</w:t>
      </w:r>
      <w:r>
        <w:rPr>
          <w:rFonts w:hint="eastAsia" w:ascii="黑体" w:hAnsi="楷体" w:eastAsia="黑体"/>
          <w:color w:val="000000" w:themeColor="text1"/>
          <w:sz w:val="36"/>
          <w:szCs w:val="36"/>
          <w:highlight w:val="none"/>
          <w:lang w:eastAsia="zh-Hans"/>
          <w14:textFill>
            <w14:solidFill>
              <w14:schemeClr w14:val="tx1"/>
            </w14:solidFill>
          </w14:textFill>
        </w:rPr>
        <w:t>中小企业声明函</w:t>
      </w:r>
    </w:p>
    <w:p w14:paraId="17534DDC">
      <w:pPr>
        <w:spacing w:line="360" w:lineRule="auto"/>
        <w:ind w:firstLine="420" w:firstLineChars="20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本公司郑重声明，根据《政府采购促进中小企业发展管理办法》（财库﹝2020﹞46 号）的规定，本公司参加</w:t>
      </w:r>
      <w:r>
        <w:rPr>
          <w:rFonts w:hint="eastAsia" w:ascii="宋体" w:hAnsi="宋体" w:cs="宋体"/>
          <w:color w:val="000000" w:themeColor="text1"/>
          <w:kern w:val="0"/>
          <w:szCs w:val="21"/>
          <w:highlight w:val="none"/>
          <w:u w:val="single"/>
          <w:lang w:eastAsia="zh-Hans"/>
          <w14:textFill>
            <w14:solidFill>
              <w14:schemeClr w14:val="tx1"/>
            </w14:solidFill>
          </w14:textFill>
        </w:rPr>
        <w:t>（单位名称</w:t>
      </w:r>
      <w:r>
        <w:rPr>
          <w:rFonts w:hint="eastAsia" w:ascii="宋体" w:hAnsi="宋体" w:cs="宋体"/>
          <w:color w:val="000000" w:themeColor="text1"/>
          <w:kern w:val="0"/>
          <w:szCs w:val="21"/>
          <w:highlight w:val="none"/>
          <w:u w:val="single"/>
          <w:lang w:eastAsia="zh-Hans"/>
          <w14:textFill>
            <w14:solidFill>
              <w14:schemeClr w14:val="tx1"/>
            </w14:solidFill>
          </w14:textFill>
        </w:rPr>
        <w:sym w:font="Wingdings" w:char="F081"/>
      </w:r>
      <w:r>
        <w:rPr>
          <w:rFonts w:hint="eastAsia" w:ascii="宋体" w:hAnsi="宋体" w:cs="宋体"/>
          <w:color w:val="000000" w:themeColor="text1"/>
          <w:kern w:val="0"/>
          <w:szCs w:val="21"/>
          <w:highlight w:val="none"/>
          <w:u w:val="single"/>
          <w:lang w:eastAsia="zh-Hans"/>
          <w14:textFill>
            <w14:solidFill>
              <w14:schemeClr w14:val="tx1"/>
            </w14:solidFill>
          </w14:textFill>
        </w:rPr>
        <w:t>）</w:t>
      </w:r>
      <w:r>
        <w:rPr>
          <w:rFonts w:hint="eastAsia" w:ascii="宋体" w:hAnsi="宋体" w:cs="宋体"/>
          <w:color w:val="000000" w:themeColor="text1"/>
          <w:kern w:val="0"/>
          <w:szCs w:val="21"/>
          <w:highlight w:val="none"/>
          <w:lang w:eastAsia="zh-Hans"/>
          <w14:textFill>
            <w14:solidFill>
              <w14:schemeClr w14:val="tx1"/>
            </w14:solidFill>
          </w14:textFill>
        </w:rPr>
        <w:t>的</w:t>
      </w:r>
      <w:r>
        <w:rPr>
          <w:rFonts w:hint="eastAsia" w:ascii="宋体" w:hAnsi="宋体" w:cs="宋体"/>
          <w:color w:val="000000" w:themeColor="text1"/>
          <w:kern w:val="0"/>
          <w:szCs w:val="21"/>
          <w:highlight w:val="none"/>
          <w:u w:val="single"/>
          <w:lang w:eastAsia="zh-Hans"/>
          <w14:textFill>
            <w14:solidFill>
              <w14:schemeClr w14:val="tx1"/>
            </w14:solidFill>
          </w14:textFill>
        </w:rPr>
        <w:t>（项目名称</w:t>
      </w:r>
      <w:r>
        <w:rPr>
          <w:rFonts w:hint="eastAsia" w:ascii="宋体" w:hAnsi="宋体" w:cs="宋体"/>
          <w:color w:val="000000" w:themeColor="text1"/>
          <w:kern w:val="0"/>
          <w:szCs w:val="21"/>
          <w:highlight w:val="none"/>
          <w:u w:val="single"/>
          <w:lang w:eastAsia="zh-Hans"/>
          <w14:textFill>
            <w14:solidFill>
              <w14:schemeClr w14:val="tx1"/>
            </w14:solidFill>
          </w14:textFill>
        </w:rPr>
        <w:sym w:font="Wingdings" w:char="F082"/>
      </w:r>
      <w:r>
        <w:rPr>
          <w:rFonts w:hint="eastAsia" w:ascii="宋体" w:hAnsi="宋体" w:cs="宋体"/>
          <w:color w:val="000000" w:themeColor="text1"/>
          <w:kern w:val="0"/>
          <w:szCs w:val="21"/>
          <w:highlight w:val="none"/>
          <w:u w:val="single"/>
          <w:lang w:eastAsia="zh-Hans"/>
          <w14:textFill>
            <w14:solidFill>
              <w14:schemeClr w14:val="tx1"/>
            </w14:solidFill>
          </w14:textFill>
        </w:rPr>
        <w:t>）</w:t>
      </w:r>
      <w:r>
        <w:rPr>
          <w:rFonts w:hint="eastAsia" w:ascii="宋体" w:hAnsi="宋体" w:cs="宋体"/>
          <w:color w:val="000000" w:themeColor="text1"/>
          <w:kern w:val="0"/>
          <w:szCs w:val="21"/>
          <w:highlight w:val="none"/>
          <w:lang w:eastAsia="zh-Hans"/>
          <w14:textFill>
            <w14:solidFill>
              <w14:schemeClr w14:val="tx1"/>
            </w14:solidFill>
          </w14:textFill>
        </w:rPr>
        <w:t>采购活动，</w:t>
      </w:r>
      <w:r>
        <w:rPr>
          <w:rFonts w:ascii="宋体" w:hAnsi="宋体"/>
          <w:color w:val="000000" w:themeColor="text1"/>
          <w:spacing w:val="6"/>
          <w:szCs w:val="21"/>
          <w:highlight w:val="none"/>
          <w14:textFill>
            <w14:solidFill>
              <w14:schemeClr w14:val="tx1"/>
            </w14:solidFill>
          </w14:textFill>
        </w:rPr>
        <w:t>工程的施工单位全部由符合政策要求的中小企业承建。相关企业的具体情况如下:</w:t>
      </w:r>
    </w:p>
    <w:p w14:paraId="71DEA020">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1.</w:t>
      </w:r>
      <w:r>
        <w:rPr>
          <w:rFonts w:hint="eastAsia" w:ascii="宋体" w:hAnsi="宋体" w:cs="宋体"/>
          <w:color w:val="000000" w:themeColor="text1"/>
          <w:kern w:val="0"/>
          <w:szCs w:val="21"/>
          <w:highlight w:val="none"/>
          <w:u w:val="single"/>
          <w:lang w:eastAsia="zh-Hans"/>
          <w14:textFill>
            <w14:solidFill>
              <w14:schemeClr w14:val="tx1"/>
            </w14:solidFill>
          </w14:textFill>
        </w:rPr>
        <w:t>（陕西测绘地理信息局既有住宅加装电梯项目（三期）首批工程（7号楼3单元、30号楼2单元、29号楼5、6单元）</w:t>
      </w:r>
      <w:r>
        <w:rPr>
          <w:rFonts w:hint="eastAsia" w:ascii="宋体" w:hAnsi="宋体" w:cs="宋体"/>
          <w:color w:val="000000" w:themeColor="text1"/>
          <w:kern w:val="0"/>
          <w:szCs w:val="21"/>
          <w:highlight w:val="none"/>
          <w:u w:val="single"/>
          <w14:textFill>
            <w14:solidFill>
              <w14:schemeClr w14:val="tx1"/>
            </w14:solidFill>
          </w14:textFill>
        </w:rPr>
        <w:t>③</w:t>
      </w:r>
      <w:r>
        <w:rPr>
          <w:rFonts w:hint="eastAsia" w:ascii="宋体" w:hAnsi="宋体" w:cs="宋体"/>
          <w:color w:val="000000" w:themeColor="text1"/>
          <w:kern w:val="0"/>
          <w:szCs w:val="21"/>
          <w:highlight w:val="none"/>
          <w:u w:val="single"/>
          <w:lang w:eastAsia="zh-Hans"/>
          <w14:textFill>
            <w14:solidFill>
              <w14:schemeClr w14:val="tx1"/>
            </w14:solidFill>
          </w14:textFill>
        </w:rPr>
        <w:t>）</w:t>
      </w:r>
      <w:r>
        <w:rPr>
          <w:rFonts w:hint="eastAsia" w:ascii="宋体" w:hAnsi="宋体" w:cs="宋体"/>
          <w:color w:val="000000" w:themeColor="text1"/>
          <w:kern w:val="0"/>
          <w:szCs w:val="21"/>
          <w:highlight w:val="none"/>
          <w:lang w:eastAsia="zh-Hans"/>
          <w14:textFill>
            <w14:solidFill>
              <w14:schemeClr w14:val="tx1"/>
            </w14:solidFill>
          </w14:textFill>
        </w:rPr>
        <w:t>，属于</w:t>
      </w:r>
      <w:r>
        <w:rPr>
          <w:rFonts w:hint="eastAsia" w:ascii="宋体" w:hAnsi="宋体" w:cs="宋体"/>
          <w:color w:val="000000" w:themeColor="text1"/>
          <w:kern w:val="0"/>
          <w:szCs w:val="21"/>
          <w:highlight w:val="none"/>
          <w:u w:val="single"/>
          <w:lang w:eastAsia="zh-Hans"/>
          <w14:textFill>
            <w14:solidFill>
              <w14:schemeClr w14:val="tx1"/>
            </w14:solidFill>
          </w14:textFill>
        </w:rPr>
        <w:t>（</w:t>
      </w:r>
      <w:r>
        <w:rPr>
          <w:rFonts w:hint="eastAsia" w:ascii="宋体" w:hAnsi="宋体" w:cs="宋体"/>
          <w:color w:val="000000" w:themeColor="text1"/>
          <w:kern w:val="0"/>
          <w:szCs w:val="21"/>
          <w:highlight w:val="none"/>
          <w:u w:val="single"/>
          <w14:textFill>
            <w14:solidFill>
              <w14:schemeClr w14:val="tx1"/>
            </w14:solidFill>
          </w14:textFill>
        </w:rPr>
        <w:t>建筑业</w:t>
      </w:r>
      <w:r>
        <w:rPr>
          <w:rFonts w:hint="eastAsia" w:ascii="宋体" w:hAnsi="宋体" w:cs="宋体"/>
          <w:color w:val="000000" w:themeColor="text1"/>
          <w:kern w:val="0"/>
          <w:szCs w:val="21"/>
          <w:highlight w:val="none"/>
          <w:u w:val="single"/>
          <w:lang w:eastAsia="zh-Hans"/>
          <w14:textFill>
            <w14:solidFill>
              <w14:schemeClr w14:val="tx1"/>
            </w14:solidFill>
          </w14:textFill>
        </w:rPr>
        <w:t>）④</w:t>
      </w:r>
      <w:r>
        <w:rPr>
          <w:rFonts w:hint="eastAsia" w:ascii="宋体" w:hAnsi="宋体" w:cs="宋体"/>
          <w:color w:val="000000" w:themeColor="text1"/>
          <w:kern w:val="0"/>
          <w:szCs w:val="21"/>
          <w:highlight w:val="none"/>
          <w:lang w:eastAsia="zh-Hans"/>
          <w14:textFill>
            <w14:solidFill>
              <w14:schemeClr w14:val="tx1"/>
            </w14:solidFill>
          </w14:textFill>
        </w:rPr>
        <w:t>行业；承建企业为</w:t>
      </w:r>
      <w:r>
        <w:rPr>
          <w:rFonts w:hint="eastAsia" w:ascii="宋体" w:hAnsi="宋体" w:cs="宋体"/>
          <w:color w:val="000000" w:themeColor="text1"/>
          <w:kern w:val="0"/>
          <w:szCs w:val="21"/>
          <w:highlight w:val="none"/>
          <w:u w:val="single"/>
          <w:lang w:eastAsia="zh-Hans"/>
          <w14:textFill>
            <w14:solidFill>
              <w14:schemeClr w14:val="tx1"/>
            </w14:solidFill>
          </w14:textFill>
        </w:rPr>
        <w:t>（企业名称</w:t>
      </w:r>
      <w:r>
        <w:rPr>
          <w:rFonts w:hint="eastAsia" w:ascii="宋体" w:hAnsi="宋体" w:cs="宋体"/>
          <w:color w:val="000000" w:themeColor="text1"/>
          <w:kern w:val="0"/>
          <w:szCs w:val="21"/>
          <w:highlight w:val="none"/>
          <w:u w:val="single"/>
          <w:lang w:eastAsia="zh-Hans"/>
          <w14:textFill>
            <w14:solidFill>
              <w14:schemeClr w14:val="tx1"/>
            </w14:solidFill>
          </w14:textFill>
        </w:rPr>
        <w:sym w:font="Wingdings" w:char="F085"/>
      </w:r>
      <w:r>
        <w:rPr>
          <w:rFonts w:hint="eastAsia" w:ascii="宋体" w:hAnsi="宋体" w:cs="宋体"/>
          <w:color w:val="000000" w:themeColor="text1"/>
          <w:kern w:val="0"/>
          <w:szCs w:val="21"/>
          <w:highlight w:val="none"/>
          <w:u w:val="single"/>
          <w:lang w:eastAsia="zh-Hans"/>
          <w14:textFill>
            <w14:solidFill>
              <w14:schemeClr w14:val="tx1"/>
            </w14:solidFill>
          </w14:textFill>
        </w:rPr>
        <w:t>）</w:t>
      </w:r>
      <w:r>
        <w:rPr>
          <w:rFonts w:hint="eastAsia" w:ascii="宋体" w:hAnsi="宋体" w:cs="宋体"/>
          <w:color w:val="000000" w:themeColor="text1"/>
          <w:kern w:val="0"/>
          <w:szCs w:val="21"/>
          <w:highlight w:val="none"/>
          <w:lang w:eastAsia="zh-Hans"/>
          <w14:textFill>
            <w14:solidFill>
              <w14:schemeClr w14:val="tx1"/>
            </w14:solidFill>
          </w14:textFill>
        </w:rPr>
        <w:t>，从业人员</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u w:val="single"/>
          <w:lang w:eastAsia="zh-Hans"/>
          <w14:textFill>
            <w14:solidFill>
              <w14:schemeClr w14:val="tx1"/>
            </w14:solidFill>
          </w14:textFill>
        </w:rPr>
        <w:sym w:font="Wingdings" w:char="F086"/>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lang w:eastAsia="zh-Hans"/>
          <w14:textFill>
            <w14:solidFill>
              <w14:schemeClr w14:val="tx1"/>
            </w14:solidFill>
          </w14:textFill>
        </w:rPr>
        <w:t>人，营业收入为</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u w:val="single"/>
          <w:lang w:eastAsia="zh-Hans"/>
          <w14:textFill>
            <w14:solidFill>
              <w14:schemeClr w14:val="tx1"/>
            </w14:solidFill>
          </w14:textFill>
        </w:rPr>
        <w:sym w:font="Wingdings" w:char="F087"/>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lang w:eastAsia="zh-Hans"/>
          <w14:textFill>
            <w14:solidFill>
              <w14:schemeClr w14:val="tx1"/>
            </w14:solidFill>
          </w14:textFill>
        </w:rPr>
        <w:t>万元，资产总额为</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u w:val="single"/>
          <w:lang w:eastAsia="zh-Hans"/>
          <w14:textFill>
            <w14:solidFill>
              <w14:schemeClr w14:val="tx1"/>
            </w14:solidFill>
          </w14:textFill>
        </w:rPr>
        <w:sym w:font="Wingdings" w:char="F088"/>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lang w:eastAsia="zh-Hans"/>
          <w14:textFill>
            <w14:solidFill>
              <w14:schemeClr w14:val="tx1"/>
            </w14:solidFill>
          </w14:textFill>
        </w:rPr>
        <w:t>万元，属于</w:t>
      </w:r>
      <w:r>
        <w:rPr>
          <w:rFonts w:hint="eastAsia" w:ascii="宋体" w:hAnsi="宋体" w:cs="宋体"/>
          <w:color w:val="000000" w:themeColor="text1"/>
          <w:kern w:val="0"/>
          <w:szCs w:val="21"/>
          <w:highlight w:val="none"/>
          <w:u w:val="single"/>
          <w:lang w:eastAsia="zh-Hans"/>
          <w14:textFill>
            <w14:solidFill>
              <w14:schemeClr w14:val="tx1"/>
            </w14:solidFill>
          </w14:textFill>
        </w:rPr>
        <w:t>（中型企业、小型企业、微型企业</w:t>
      </w:r>
      <w:r>
        <w:rPr>
          <w:rFonts w:hint="eastAsia" w:ascii="宋体" w:hAnsi="宋体" w:cs="宋体"/>
          <w:color w:val="000000" w:themeColor="text1"/>
          <w:kern w:val="0"/>
          <w:szCs w:val="21"/>
          <w:highlight w:val="none"/>
          <w:u w:val="single"/>
          <w:lang w:eastAsia="zh-Hans"/>
          <w14:textFill>
            <w14:solidFill>
              <w14:schemeClr w14:val="tx1"/>
            </w14:solidFill>
          </w14:textFill>
        </w:rPr>
        <w:sym w:font="Wingdings" w:char="F089"/>
      </w:r>
      <w:r>
        <w:rPr>
          <w:rFonts w:hint="eastAsia" w:ascii="宋体" w:hAnsi="宋体" w:cs="宋体"/>
          <w:color w:val="000000" w:themeColor="text1"/>
          <w:kern w:val="0"/>
          <w:szCs w:val="21"/>
          <w:highlight w:val="none"/>
          <w:u w:val="single"/>
          <w:lang w:eastAsia="zh-Hans"/>
          <w14:textFill>
            <w14:solidFill>
              <w14:schemeClr w14:val="tx1"/>
            </w14:solidFill>
          </w14:textFill>
        </w:rPr>
        <w:t>）</w:t>
      </w:r>
      <w:r>
        <w:rPr>
          <w:rFonts w:hint="eastAsia" w:ascii="宋体" w:hAnsi="宋体" w:cs="宋体"/>
          <w:color w:val="000000" w:themeColor="text1"/>
          <w:kern w:val="0"/>
          <w:szCs w:val="21"/>
          <w:highlight w:val="none"/>
          <w:lang w:eastAsia="zh-Hans"/>
          <w14:textFill>
            <w14:solidFill>
              <w14:schemeClr w14:val="tx1"/>
            </w14:solidFill>
          </w14:textFill>
        </w:rPr>
        <w:t>；</w:t>
      </w:r>
    </w:p>
    <w:p w14:paraId="04B1D61A">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w:t>
      </w:r>
    </w:p>
    <w:p w14:paraId="356F5B45">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以上企业，不属于大企业的分支机构，不存在控股股东为大企业的情形，也不存在与大企业的负责人为同一人的情形。</w:t>
      </w:r>
    </w:p>
    <w:p w14:paraId="0C0D25E9">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本企业对上述声明内容的真实性负责。如有虚假，将依法承担相应责任。</w:t>
      </w:r>
    </w:p>
    <w:p w14:paraId="6F7405D4">
      <w:pPr>
        <w:spacing w:line="360" w:lineRule="auto"/>
        <w:jc w:val="right"/>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 xml:space="preserve"> 企业名称（盖章）：__</w:t>
      </w:r>
      <w:r>
        <w:rPr>
          <w:rFonts w:hint="eastAsia" w:ascii="宋体" w:hAnsi="宋体" w:cs="宋体"/>
          <w:color w:val="000000" w:themeColor="text1"/>
          <w:kern w:val="0"/>
          <w:szCs w:val="21"/>
          <w:highlight w:val="none"/>
          <w:u w:val="single"/>
          <w:lang w:eastAsia="zh-Hans"/>
          <w14:textFill>
            <w14:solidFill>
              <w14:schemeClr w14:val="tx1"/>
            </w14:solidFill>
          </w14:textFill>
        </w:rPr>
        <w:t>⑩</w:t>
      </w:r>
      <w:r>
        <w:rPr>
          <w:rFonts w:hint="eastAsia" w:ascii="宋体" w:hAnsi="宋体" w:cs="宋体"/>
          <w:color w:val="000000" w:themeColor="text1"/>
          <w:kern w:val="0"/>
          <w:szCs w:val="21"/>
          <w:highlight w:val="none"/>
          <w:lang w:eastAsia="zh-Hans"/>
          <w14:textFill>
            <w14:solidFill>
              <w14:schemeClr w14:val="tx1"/>
            </w14:solidFill>
          </w14:textFill>
        </w:rPr>
        <w:t>__</w:t>
      </w:r>
    </w:p>
    <w:p w14:paraId="511079F8">
      <w:pPr>
        <w:spacing w:line="360" w:lineRule="auto"/>
        <w:jc w:val="right"/>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日期： 年 月 日</w:t>
      </w:r>
    </w:p>
    <w:p w14:paraId="002404ED">
      <w:pPr>
        <w:spacing w:line="360" w:lineRule="auto"/>
        <w:jc w:val="right"/>
        <w:rPr>
          <w:rFonts w:hint="eastAsia" w:ascii="宋体" w:hAnsi="宋体" w:cs="宋体"/>
          <w:color w:val="000000" w:themeColor="text1"/>
          <w:kern w:val="0"/>
          <w:szCs w:val="21"/>
          <w:highlight w:val="none"/>
          <w:lang w:eastAsia="zh-Hans"/>
          <w14:textFill>
            <w14:solidFill>
              <w14:schemeClr w14:val="tx1"/>
            </w14:solidFill>
          </w14:textFill>
        </w:rPr>
      </w:pPr>
    </w:p>
    <w:p w14:paraId="00DDA5CF">
      <w:pPr>
        <w:spacing w:line="360" w:lineRule="auto"/>
        <w:jc w:val="right"/>
        <w:rPr>
          <w:rFonts w:hint="eastAsia" w:ascii="宋体" w:hAnsi="宋体" w:cs="宋体"/>
          <w:color w:val="000000" w:themeColor="text1"/>
          <w:kern w:val="0"/>
          <w:szCs w:val="21"/>
          <w:highlight w:val="none"/>
          <w:lang w:eastAsia="zh-Hans"/>
          <w14:textFill>
            <w14:solidFill>
              <w14:schemeClr w14:val="tx1"/>
            </w14:solidFill>
          </w14:textFill>
        </w:rPr>
      </w:pPr>
    </w:p>
    <w:p w14:paraId="522EA208">
      <w:pPr>
        <w:spacing w:line="360" w:lineRule="auto"/>
        <w:jc w:val="right"/>
        <w:rPr>
          <w:rFonts w:hint="eastAsia" w:ascii="宋体" w:hAnsi="宋体" w:cs="宋体"/>
          <w:color w:val="000000" w:themeColor="text1"/>
          <w:kern w:val="0"/>
          <w:szCs w:val="21"/>
          <w:highlight w:val="none"/>
          <w:lang w:eastAsia="zh-Hans"/>
          <w14:textFill>
            <w14:solidFill>
              <w14:schemeClr w14:val="tx1"/>
            </w14:solidFill>
          </w14:textFill>
        </w:rPr>
      </w:pPr>
    </w:p>
    <w:p w14:paraId="620AFF15">
      <w:pPr>
        <w:spacing w:line="360" w:lineRule="auto"/>
        <w:jc w:val="right"/>
        <w:rPr>
          <w:rFonts w:hint="eastAsia" w:ascii="宋体" w:hAnsi="宋体" w:cs="宋体"/>
          <w:color w:val="000000" w:themeColor="text1"/>
          <w:kern w:val="0"/>
          <w:szCs w:val="21"/>
          <w:highlight w:val="none"/>
          <w:lang w:eastAsia="zh-Hans"/>
          <w14:textFill>
            <w14:solidFill>
              <w14:schemeClr w14:val="tx1"/>
            </w14:solidFill>
          </w14:textFill>
        </w:rPr>
        <w:sectPr>
          <w:pgSz w:w="11906" w:h="16838"/>
          <w:pgMar w:top="1440" w:right="1800" w:bottom="1440" w:left="1800" w:header="851" w:footer="992" w:gutter="0"/>
          <w:cols w:space="425" w:num="1"/>
          <w:docGrid w:type="lines" w:linePitch="312" w:charSpace="0"/>
        </w:sectPr>
      </w:pPr>
    </w:p>
    <w:p w14:paraId="5AE8B68C">
      <w:pPr>
        <w:spacing w:line="360" w:lineRule="auto"/>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填写说明：</w:t>
      </w:r>
    </w:p>
    <w:p w14:paraId="2CB0049C">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投标人</w:t>
      </w:r>
      <w:r>
        <w:rPr>
          <w:rFonts w:hint="eastAsia" w:ascii="宋体" w:hAnsi="宋体" w:cs="宋体"/>
          <w:color w:val="000000" w:themeColor="text1"/>
          <w:kern w:val="0"/>
          <w:szCs w:val="21"/>
          <w:highlight w:val="none"/>
          <w14:textFill>
            <w14:solidFill>
              <w14:schemeClr w14:val="tx1"/>
            </w14:solidFill>
          </w14:textFill>
        </w:rPr>
        <w:t>或供应商</w:t>
      </w:r>
      <w:r>
        <w:rPr>
          <w:rFonts w:hint="eastAsia" w:ascii="宋体" w:hAnsi="宋体" w:cs="宋体"/>
          <w:color w:val="000000" w:themeColor="text1"/>
          <w:kern w:val="0"/>
          <w:szCs w:val="21"/>
          <w:highlight w:val="none"/>
          <w:lang w:eastAsia="zh-Hans"/>
          <w14:textFill>
            <w14:solidFill>
              <w14:schemeClr w14:val="tx1"/>
            </w14:solidFill>
          </w14:textFill>
        </w:rPr>
        <w:t>需根据以下要求对其出具的《中小企业声明函》的信息进行完善和规范。《中小企业声明函》应当充分、准确反映</w:t>
      </w:r>
      <w:r>
        <w:rPr>
          <w:rFonts w:hint="eastAsia" w:ascii="宋体" w:hAnsi="宋体" w:cs="宋体"/>
          <w:b/>
          <w:bCs/>
          <w:color w:val="000000" w:themeColor="text1"/>
          <w:kern w:val="0"/>
          <w:szCs w:val="21"/>
          <w:highlight w:val="none"/>
          <w:lang w:eastAsia="zh-Hans"/>
          <w14:textFill>
            <w14:solidFill>
              <w14:schemeClr w14:val="tx1"/>
            </w14:solidFill>
          </w14:textFill>
        </w:rPr>
        <w:t>投标人或供应商</w:t>
      </w:r>
      <w:r>
        <w:rPr>
          <w:rFonts w:hint="eastAsia" w:ascii="宋体" w:hAnsi="宋体" w:cs="宋体"/>
          <w:b/>
          <w:bCs/>
          <w:color w:val="000000" w:themeColor="text1"/>
          <w:kern w:val="0"/>
          <w:szCs w:val="21"/>
          <w:highlight w:val="none"/>
          <w14:textFill>
            <w14:solidFill>
              <w14:schemeClr w14:val="tx1"/>
            </w14:solidFill>
          </w14:textFill>
        </w:rPr>
        <w:t>的</w:t>
      </w:r>
      <w:r>
        <w:rPr>
          <w:rFonts w:hint="eastAsia" w:ascii="宋体" w:hAnsi="宋体" w:cs="宋体"/>
          <w:color w:val="000000" w:themeColor="text1"/>
          <w:kern w:val="0"/>
          <w:szCs w:val="21"/>
          <w:highlight w:val="none"/>
          <w:lang w:eastAsia="zh-Hans"/>
          <w14:textFill>
            <w14:solidFill>
              <w14:schemeClr w14:val="tx1"/>
            </w14:solidFill>
          </w14:textFill>
        </w:rPr>
        <w:t>相关信息，其真实性由其出具的供应商负责。</w:t>
      </w:r>
    </w:p>
    <w:p w14:paraId="77AD8FCA">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1.（单位名称</w:t>
      </w:r>
      <w:r>
        <w:rPr>
          <w:rFonts w:hint="eastAsia" w:ascii="宋体" w:hAnsi="宋体" w:cs="宋体"/>
          <w:color w:val="000000" w:themeColor="text1"/>
          <w:kern w:val="0"/>
          <w:szCs w:val="21"/>
          <w:highlight w:val="none"/>
          <w14:textFill>
            <w14:solidFill>
              <w14:schemeClr w14:val="tx1"/>
            </w14:solidFill>
          </w14:textFill>
        </w:rPr>
        <w:t>①</w:t>
      </w:r>
      <w:r>
        <w:rPr>
          <w:rFonts w:hint="eastAsia" w:ascii="宋体" w:hAnsi="宋体" w:cs="宋体"/>
          <w:color w:val="000000" w:themeColor="text1"/>
          <w:kern w:val="0"/>
          <w:szCs w:val="21"/>
          <w:highlight w:val="none"/>
          <w:lang w:eastAsia="zh-Hans"/>
          <w14:textFill>
            <w14:solidFill>
              <w14:schemeClr w14:val="tx1"/>
            </w14:solidFill>
          </w14:textFill>
        </w:rPr>
        <w:t>）：填写本项目采购人单位名称。</w:t>
      </w:r>
    </w:p>
    <w:p w14:paraId="58721E49">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2.（项目名称</w:t>
      </w:r>
      <w:r>
        <w:rPr>
          <w:rFonts w:hint="eastAsia" w:ascii="宋体" w:hAnsi="宋体" w:cs="宋体"/>
          <w:color w:val="000000" w:themeColor="text1"/>
          <w:kern w:val="0"/>
          <w:szCs w:val="21"/>
          <w:highlight w:val="none"/>
          <w14:textFill>
            <w14:solidFill>
              <w14:schemeClr w14:val="tx1"/>
            </w14:solidFill>
          </w14:textFill>
        </w:rPr>
        <w:t>②</w:t>
      </w:r>
      <w:r>
        <w:rPr>
          <w:rFonts w:hint="eastAsia" w:ascii="宋体" w:hAnsi="宋体" w:cs="宋体"/>
          <w:color w:val="000000" w:themeColor="text1"/>
          <w:kern w:val="0"/>
          <w:szCs w:val="21"/>
          <w:highlight w:val="none"/>
          <w:lang w:eastAsia="zh-Hans"/>
          <w14:textFill>
            <w14:solidFill>
              <w14:schemeClr w14:val="tx1"/>
            </w14:solidFill>
          </w14:textFill>
        </w:rPr>
        <w:t>）：填写本项目名称。</w:t>
      </w:r>
    </w:p>
    <w:p w14:paraId="2D00B18F">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3.（标的名称</w:t>
      </w:r>
      <w:r>
        <w:rPr>
          <w:rFonts w:hint="eastAsia" w:ascii="宋体" w:hAnsi="宋体" w:cs="宋体"/>
          <w:color w:val="000000" w:themeColor="text1"/>
          <w:kern w:val="0"/>
          <w:szCs w:val="21"/>
          <w:highlight w:val="none"/>
          <w14:textFill>
            <w14:solidFill>
              <w14:schemeClr w14:val="tx1"/>
            </w14:solidFill>
          </w14:textFill>
        </w:rPr>
        <w:t>③</w:t>
      </w:r>
      <w:r>
        <w:rPr>
          <w:rFonts w:hint="eastAsia" w:ascii="宋体" w:hAnsi="宋体" w:cs="宋体"/>
          <w:color w:val="000000" w:themeColor="text1"/>
          <w:kern w:val="0"/>
          <w:szCs w:val="21"/>
          <w:highlight w:val="none"/>
          <w:lang w:eastAsia="zh-Hans"/>
          <w14:textFill>
            <w14:solidFill>
              <w14:schemeClr w14:val="tx1"/>
            </w14:solidFill>
          </w14:textFill>
        </w:rPr>
        <w:t>）：填写本项目标的名称，须根据</w:t>
      </w:r>
      <w:r>
        <w:rPr>
          <w:rFonts w:hint="eastAsia" w:ascii="宋体" w:hAnsi="宋体" w:cs="宋体"/>
          <w:color w:val="000000" w:themeColor="text1"/>
          <w:kern w:val="0"/>
          <w:szCs w:val="21"/>
          <w:highlight w:val="none"/>
          <w:u w:val="single"/>
          <w:lang w:eastAsia="zh-Hans"/>
          <w14:textFill>
            <w14:solidFill>
              <w14:schemeClr w14:val="tx1"/>
            </w14:solidFill>
          </w14:textFill>
        </w:rPr>
        <w:t>“采购需求”中的标的名称</w:t>
      </w:r>
      <w:r>
        <w:rPr>
          <w:rFonts w:hint="eastAsia" w:ascii="宋体" w:hAnsi="宋体" w:cs="宋体"/>
          <w:color w:val="000000" w:themeColor="text1"/>
          <w:kern w:val="0"/>
          <w:szCs w:val="21"/>
          <w:highlight w:val="none"/>
          <w:lang w:eastAsia="zh-Hans"/>
          <w14:textFill>
            <w14:solidFill>
              <w14:schemeClr w14:val="tx1"/>
            </w14:solidFill>
          </w14:textFill>
        </w:rPr>
        <w:t>进行填写。</w:t>
      </w:r>
    </w:p>
    <w:p w14:paraId="0EA88907">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4.（采购文件中明确的所属行业④）：填写本项目采购标的所属行业。须根据</w:t>
      </w:r>
      <w:r>
        <w:rPr>
          <w:rFonts w:hint="eastAsia" w:ascii="宋体" w:hAnsi="宋体" w:cs="宋体"/>
          <w:color w:val="000000" w:themeColor="text1"/>
          <w:kern w:val="0"/>
          <w:szCs w:val="21"/>
          <w:highlight w:val="none"/>
          <w:u w:val="single"/>
          <w:lang w:eastAsia="zh-Hans"/>
          <w14:textFill>
            <w14:solidFill>
              <w14:schemeClr w14:val="tx1"/>
            </w14:solidFill>
          </w14:textFill>
        </w:rPr>
        <w:t>采购文件“采购需求”中列明的所属行业</w:t>
      </w:r>
      <w:r>
        <w:rPr>
          <w:rFonts w:hint="eastAsia" w:ascii="宋体" w:hAnsi="宋体" w:cs="宋体"/>
          <w:color w:val="000000" w:themeColor="text1"/>
          <w:kern w:val="0"/>
          <w:szCs w:val="21"/>
          <w:highlight w:val="none"/>
          <w:lang w:eastAsia="zh-Hans"/>
          <w14:textFill>
            <w14:solidFill>
              <w14:schemeClr w14:val="tx1"/>
            </w14:solidFill>
          </w14:textFill>
        </w:rPr>
        <w:t>进行填写。《中小企业声明函》中相关企业【承建企业】所属行业应当与采购标的的所属行业相一致。</w:t>
      </w:r>
    </w:p>
    <w:p w14:paraId="729D8F5B">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5.（企业名称⑤）：填写投标人或供应商的名称。</w:t>
      </w:r>
    </w:p>
    <w:p w14:paraId="219190A5">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6.从业人员⑥人，营业收入为⑦万元，资产总额为⑧万元：填报投标人或供应商的从业人员、营业收入、资产总额上一年度数据，无上一年度数据的新成立企业可不填报。从业人数可以社会保险参保人数为准；营业收入、资产总额可以第三方出具的报告为准。</w:t>
      </w:r>
    </w:p>
    <w:p w14:paraId="6866C3B5">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对于采购文件确实允许非独立法人参与采购活动的，应按其所属集团公司合并财务报表数据情况予以填报。</w:t>
      </w:r>
    </w:p>
    <w:p w14:paraId="496EF8AE">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7.（中型企业、小型企业、微型企业⑨）：须根据投标人或供应商的企业规模情况填写中型企业、小型企业或微型企业（只能填写三种其中的一种）。中小企业划分见《关于印发中小企业划型标准规定的通知》（工信部联企业〔2011〕300号) 。</w:t>
      </w:r>
    </w:p>
    <w:p w14:paraId="414703B4">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8.企业名称（盖章）：__⑩__：填写投标人或供应商名称并盖章。</w:t>
      </w:r>
    </w:p>
    <w:p w14:paraId="5C65D7B9">
      <w:pPr>
        <w:pStyle w:val="113"/>
        <w:spacing w:line="360" w:lineRule="auto"/>
        <w:ind w:firstLine="48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9.为方便企业识别企业规模类型，工业和信息化部组织开发了中小企业规模类型自测小程序，在国务院客户端和工业和信息化部网站上均有链接，投标人填写所属的行业和指标数据可自动生成企业规模类型测试结果。投标人应当自行核实是否属于小微企业，并认真填写声明函。</w:t>
      </w:r>
    </w:p>
    <w:p w14:paraId="4A11AB0C">
      <w:pPr>
        <w:spacing w:line="360" w:lineRule="auto"/>
        <w:ind w:firstLine="480"/>
        <w:rPr>
          <w:rFonts w:hint="eastAsia" w:ascii="宋体" w:hAnsi="宋体" w:cs="宋体"/>
          <w:color w:val="000000" w:themeColor="text1"/>
          <w:kern w:val="0"/>
          <w:szCs w:val="21"/>
          <w:highlight w:val="none"/>
          <w:lang w:eastAsia="zh-Hans"/>
          <w14:textFill>
            <w14:solidFill>
              <w14:schemeClr w14:val="tx1"/>
            </w14:solidFill>
          </w14:textFill>
        </w:rPr>
      </w:pPr>
      <w:r>
        <w:rPr>
          <w:rFonts w:hint="eastAsia" w:ascii="宋体" w:hAnsi="宋体" w:cs="宋体"/>
          <w:color w:val="000000" w:themeColor="text1"/>
          <w:kern w:val="0"/>
          <w:szCs w:val="21"/>
          <w:highlight w:val="none"/>
          <w:lang w:eastAsia="zh-Hans"/>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0</w:t>
      </w:r>
      <w:r>
        <w:rPr>
          <w:rFonts w:hint="eastAsia" w:ascii="宋体" w:hAnsi="宋体" w:cs="宋体"/>
          <w:color w:val="000000" w:themeColor="text1"/>
          <w:kern w:val="0"/>
          <w:szCs w:val="21"/>
          <w:highlight w:val="none"/>
          <w:lang w:eastAsia="zh-Hans"/>
          <w14:textFill>
            <w14:solidFill>
              <w14:schemeClr w14:val="tx1"/>
            </w14:solidFill>
          </w14:textFill>
        </w:rPr>
        <w:t>.横线以下只做填报说明，投标文件可不要。</w:t>
      </w:r>
    </w:p>
    <w:p w14:paraId="22DBD935">
      <w:pPr>
        <w:pStyle w:val="16"/>
        <w:adjustRightInd w:val="0"/>
        <w:snapToGrid w:val="0"/>
        <w:spacing w:line="360" w:lineRule="auto"/>
        <w:ind w:firstLine="105" w:firstLineChars="50"/>
        <w:rPr>
          <w:rFonts w:hint="eastAsia" w:ascii="楷体" w:hAnsi="楷体" w:eastAsia="楷体"/>
          <w:color w:val="000000" w:themeColor="text1"/>
          <w:highlight w:val="none"/>
          <w14:textFill>
            <w14:solidFill>
              <w14:schemeClr w14:val="tx1"/>
            </w14:solidFill>
          </w14:textFill>
        </w:rPr>
      </w:pPr>
    </w:p>
    <w:p w14:paraId="672884AB">
      <w:pPr>
        <w:pStyle w:val="16"/>
        <w:adjustRightInd w:val="0"/>
        <w:snapToGrid w:val="0"/>
        <w:spacing w:line="360" w:lineRule="auto"/>
        <w:ind w:firstLine="105" w:firstLineChars="50"/>
        <w:rPr>
          <w:rFonts w:hint="eastAsia" w:ascii="楷体" w:hAnsi="楷体" w:eastAsia="楷体"/>
          <w:color w:val="000000" w:themeColor="text1"/>
          <w:highlight w:val="none"/>
          <w14:textFill>
            <w14:solidFill>
              <w14:schemeClr w14:val="tx1"/>
            </w14:solidFill>
          </w14:textFill>
        </w:rPr>
      </w:pPr>
    </w:p>
    <w:p w14:paraId="187679BA">
      <w:pPr>
        <w:pStyle w:val="16"/>
        <w:adjustRightInd w:val="0"/>
        <w:snapToGrid w:val="0"/>
        <w:spacing w:line="360" w:lineRule="auto"/>
        <w:ind w:firstLine="105" w:firstLineChars="50"/>
        <w:rPr>
          <w:rFonts w:hint="eastAsia" w:ascii="楷体" w:hAnsi="楷体" w:eastAsia="楷体"/>
          <w:color w:val="000000" w:themeColor="text1"/>
          <w:highlight w:val="none"/>
          <w14:textFill>
            <w14:solidFill>
              <w14:schemeClr w14:val="tx1"/>
            </w14:solidFill>
          </w14:textFill>
        </w:rPr>
      </w:pPr>
    </w:p>
    <w:p w14:paraId="142893BD">
      <w:pPr>
        <w:pStyle w:val="16"/>
        <w:adjustRightInd w:val="0"/>
        <w:snapToGrid w:val="0"/>
        <w:spacing w:line="360" w:lineRule="auto"/>
        <w:ind w:firstLine="105" w:firstLineChars="50"/>
        <w:rPr>
          <w:rFonts w:hint="eastAsia" w:ascii="楷体" w:hAnsi="楷体" w:eastAsia="楷体"/>
          <w:color w:val="000000" w:themeColor="text1"/>
          <w:highlight w:val="none"/>
          <w14:textFill>
            <w14:solidFill>
              <w14:schemeClr w14:val="tx1"/>
            </w14:solidFill>
          </w14:textFill>
        </w:rPr>
      </w:pPr>
    </w:p>
    <w:p w14:paraId="73B871DB">
      <w:pPr>
        <w:pStyle w:val="16"/>
        <w:adjustRightInd w:val="0"/>
        <w:snapToGrid w:val="0"/>
        <w:spacing w:line="360" w:lineRule="auto"/>
        <w:ind w:firstLine="105" w:firstLineChars="50"/>
        <w:rPr>
          <w:rFonts w:hint="eastAsia" w:ascii="楷体" w:hAnsi="楷体" w:eastAsia="楷体"/>
          <w:color w:val="000000" w:themeColor="text1"/>
          <w:highlight w:val="none"/>
          <w14:textFill>
            <w14:solidFill>
              <w14:schemeClr w14:val="tx1"/>
            </w14:solidFill>
          </w14:textFill>
        </w:rPr>
      </w:pPr>
    </w:p>
    <w:p w14:paraId="05F4C13E">
      <w:pPr>
        <w:pStyle w:val="16"/>
        <w:adjustRightInd w:val="0"/>
        <w:snapToGrid w:val="0"/>
        <w:spacing w:line="360" w:lineRule="auto"/>
        <w:ind w:firstLine="105" w:firstLineChars="50"/>
        <w:rPr>
          <w:rFonts w:hint="eastAsia" w:ascii="楷体" w:hAnsi="楷体" w:eastAsia="楷体"/>
          <w:color w:val="000000" w:themeColor="text1"/>
          <w:highlight w:val="none"/>
          <w14:textFill>
            <w14:solidFill>
              <w14:schemeClr w14:val="tx1"/>
            </w14:solidFill>
          </w14:textFill>
        </w:rPr>
      </w:pPr>
    </w:p>
    <w:p w14:paraId="19A6238B">
      <w:pPr>
        <w:pStyle w:val="16"/>
        <w:adjustRightInd w:val="0"/>
        <w:snapToGrid w:val="0"/>
        <w:spacing w:line="360" w:lineRule="auto"/>
        <w:ind w:firstLine="105" w:firstLineChars="50"/>
        <w:rPr>
          <w:rFonts w:hint="eastAsia" w:ascii="楷体" w:hAnsi="楷体" w:eastAsia="楷体"/>
          <w:color w:val="000000" w:themeColor="text1"/>
          <w:highlight w:val="none"/>
          <w14:textFill>
            <w14:solidFill>
              <w14:schemeClr w14:val="tx1"/>
            </w14:solidFill>
          </w14:textFill>
        </w:rPr>
      </w:pPr>
    </w:p>
    <w:p w14:paraId="15AE51EE">
      <w:pPr>
        <w:pStyle w:val="16"/>
        <w:adjustRightInd w:val="0"/>
        <w:snapToGrid w:val="0"/>
        <w:spacing w:line="360" w:lineRule="auto"/>
        <w:rPr>
          <w:rFonts w:hint="eastAsia" w:ascii="楷体" w:hAnsi="楷体" w:eastAsia="楷体"/>
          <w:color w:val="000000" w:themeColor="text1"/>
          <w:highlight w:val="none"/>
          <w14:textFill>
            <w14:solidFill>
              <w14:schemeClr w14:val="tx1"/>
            </w14:solidFill>
          </w14:textFill>
        </w:rPr>
      </w:pPr>
    </w:p>
    <w:p w14:paraId="5B89E768">
      <w:pPr>
        <w:pStyle w:val="16"/>
        <w:adjustRightInd w:val="0"/>
        <w:snapToGrid w:val="0"/>
        <w:spacing w:line="360" w:lineRule="auto"/>
        <w:ind w:firstLine="105" w:firstLineChars="50"/>
        <w:rPr>
          <w:rFonts w:hint="eastAsia" w:ascii="楷体" w:hAnsi="楷体" w:eastAsia="楷体"/>
          <w:color w:val="000000" w:themeColor="text1"/>
          <w:highlight w:val="none"/>
          <w14:textFill>
            <w14:solidFill>
              <w14:schemeClr w14:val="tx1"/>
            </w14:solidFill>
          </w14:textFill>
        </w:rPr>
      </w:pPr>
    </w:p>
    <w:p w14:paraId="547F79B7">
      <w:pPr>
        <w:pStyle w:val="16"/>
        <w:adjustRightInd w:val="0"/>
        <w:snapToGrid w:val="0"/>
        <w:spacing w:line="360" w:lineRule="auto"/>
        <w:ind w:firstLine="105" w:firstLineChars="50"/>
        <w:rPr>
          <w:rFonts w:hint="eastAsia" w:ascii="楷体" w:hAnsi="楷体" w:eastAsia="楷体"/>
          <w:color w:val="000000" w:themeColor="text1"/>
          <w:highlight w:val="none"/>
          <w14:textFill>
            <w14:solidFill>
              <w14:schemeClr w14:val="tx1"/>
            </w14:solidFill>
          </w14:textFill>
        </w:rPr>
      </w:pPr>
    </w:p>
    <w:p w14:paraId="396D41C4">
      <w:pPr>
        <w:spacing w:line="588" w:lineRule="exact"/>
        <w:jc w:val="center"/>
        <w:rPr>
          <w:rFonts w:hint="eastAsia" w:ascii="黑体" w:hAnsi="宋体" w:eastAsia="黑体"/>
          <w:color w:val="000000" w:themeColor="text1"/>
          <w:spacing w:val="6"/>
          <w:sz w:val="36"/>
          <w:szCs w:val="36"/>
          <w:highlight w:val="none"/>
          <w14:textFill>
            <w14:solidFill>
              <w14:schemeClr w14:val="tx1"/>
            </w14:solidFill>
          </w14:textFill>
        </w:rPr>
      </w:pPr>
      <w:r>
        <w:rPr>
          <w:rFonts w:hint="eastAsia" w:ascii="黑体" w:hAnsi="宋体" w:eastAsia="黑体"/>
          <w:color w:val="000000" w:themeColor="text1"/>
          <w:spacing w:val="6"/>
          <w:sz w:val="36"/>
          <w:szCs w:val="36"/>
          <w:highlight w:val="none"/>
          <w14:textFill>
            <w14:solidFill>
              <w14:schemeClr w14:val="tx1"/>
            </w14:solidFill>
          </w14:textFill>
        </w:rPr>
        <w:t>9.残疾人福利性单位声明函</w:t>
      </w:r>
    </w:p>
    <w:p w14:paraId="2F80BF57">
      <w:pPr>
        <w:spacing w:before="480" w:beforeLines="200" w:line="360" w:lineRule="auto"/>
        <w:ind w:firstLine="444" w:firstLineChars="200"/>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本单位郑重声明，根据《财政部、民政部、中国残疾人联合会关于促进残疾人就业政府采购政策的通知》（财库</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2017</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14</w:t>
      </w: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pacing w:val="6"/>
          <w:szCs w:val="21"/>
          <w:highlight w:val="none"/>
          <w14:textFill>
            <w14:solidFill>
              <w14:schemeClr w14:val="tx1"/>
            </w14:solidFill>
          </w14:textFill>
        </w:rPr>
        <w:t>号）的规定，本单位</w:t>
      </w:r>
      <w:r>
        <w:rPr>
          <w:rFonts w:ascii="宋体" w:hAnsi="宋体"/>
          <w:color w:val="000000" w:themeColor="text1"/>
          <w:spacing w:val="6"/>
          <w:szCs w:val="21"/>
          <w:highlight w:val="none"/>
          <w14:textFill>
            <w14:solidFill>
              <w14:schemeClr w14:val="tx1"/>
            </w14:solidFill>
          </w14:textFill>
        </w:rPr>
        <w:t>从业人员</w:t>
      </w:r>
      <w:r>
        <w:rPr>
          <w:rFonts w:hint="eastAsia" w:ascii="宋体" w:hAnsi="宋体"/>
          <w:color w:val="000000" w:themeColor="text1"/>
          <w:spacing w:val="6"/>
          <w:szCs w:val="21"/>
          <w:highlight w:val="none"/>
          <w:u w:val="single"/>
          <w14:textFill>
            <w14:solidFill>
              <w14:schemeClr w14:val="tx1"/>
            </w14:solidFill>
          </w14:textFill>
        </w:rPr>
        <w:t xml:space="preserve">    </w:t>
      </w:r>
      <w:r>
        <w:rPr>
          <w:rFonts w:ascii="宋体" w:hAnsi="宋体"/>
          <w:color w:val="000000" w:themeColor="text1"/>
          <w:spacing w:val="6"/>
          <w:szCs w:val="21"/>
          <w:highlight w:val="none"/>
          <w14:textFill>
            <w14:solidFill>
              <w14:schemeClr w14:val="tx1"/>
            </w14:solidFill>
          </w14:textFill>
        </w:rPr>
        <w:t>人，其中残疾人</w:t>
      </w:r>
      <w:r>
        <w:rPr>
          <w:rFonts w:hint="eastAsia" w:ascii="宋体" w:hAnsi="宋体"/>
          <w:color w:val="000000" w:themeColor="text1"/>
          <w:spacing w:val="6"/>
          <w:szCs w:val="21"/>
          <w:highlight w:val="none"/>
          <w:u w:val="single"/>
          <w14:textFill>
            <w14:solidFill>
              <w14:schemeClr w14:val="tx1"/>
            </w14:solidFill>
          </w14:textFill>
        </w:rPr>
        <w:t xml:space="preserve">      </w:t>
      </w:r>
      <w:r>
        <w:rPr>
          <w:rFonts w:hint="eastAsia" w:ascii="宋体" w:hAnsi="宋体"/>
          <w:color w:val="000000" w:themeColor="text1"/>
          <w:spacing w:val="6"/>
          <w:szCs w:val="21"/>
          <w:highlight w:val="none"/>
          <w14:textFill>
            <w14:solidFill>
              <w14:schemeClr w14:val="tx1"/>
            </w14:solidFill>
          </w14:textFill>
        </w:rPr>
        <w:t>人</w:t>
      </w:r>
      <w:r>
        <w:rPr>
          <w:rFonts w:ascii="宋体" w:hAnsi="宋体"/>
          <w:color w:val="000000" w:themeColor="text1"/>
          <w:spacing w:val="6"/>
          <w:szCs w:val="21"/>
          <w:highlight w:val="none"/>
          <w14:textFill>
            <w14:solidFill>
              <w14:schemeClr w14:val="tx1"/>
            </w14:solidFill>
          </w14:textFill>
        </w:rPr>
        <w:t>，</w:t>
      </w:r>
      <w:r>
        <w:rPr>
          <w:rFonts w:hint="eastAsia" w:ascii="宋体" w:hAnsi="宋体"/>
          <w:color w:val="000000" w:themeColor="text1"/>
          <w:spacing w:val="6"/>
          <w:szCs w:val="21"/>
          <w:highlight w:val="none"/>
          <w14:textFill>
            <w14:solidFill>
              <w14:schemeClr w14:val="tx1"/>
            </w14:solidFill>
          </w14:textFill>
        </w:rPr>
        <w:t>为符合条件的残疾人福利性单位，且本单位参加（</w:t>
      </w:r>
      <w:r>
        <w:rPr>
          <w:rFonts w:hint="eastAsia" w:ascii="宋体" w:hAnsi="宋体"/>
          <w:color w:val="000000" w:themeColor="text1"/>
          <w:spacing w:val="6"/>
          <w:szCs w:val="21"/>
          <w:highlight w:val="none"/>
          <w:u w:val="single"/>
          <w14:textFill>
            <w14:solidFill>
              <w14:schemeClr w14:val="tx1"/>
            </w14:solidFill>
          </w14:textFill>
        </w:rPr>
        <w:t>采购人名称</w:t>
      </w:r>
      <w:r>
        <w:rPr>
          <w:rFonts w:hint="eastAsia" w:ascii="宋体" w:hAnsi="宋体"/>
          <w:color w:val="000000" w:themeColor="text1"/>
          <w:spacing w:val="6"/>
          <w:szCs w:val="21"/>
          <w:highlight w:val="none"/>
          <w14:textFill>
            <w14:solidFill>
              <w14:schemeClr w14:val="tx1"/>
            </w14:solidFill>
          </w14:textFill>
        </w:rPr>
        <w:t>）的（</w:t>
      </w:r>
      <w:r>
        <w:rPr>
          <w:rFonts w:hint="eastAsia" w:ascii="宋体" w:hAnsi="宋体"/>
          <w:color w:val="000000" w:themeColor="text1"/>
          <w:spacing w:val="6"/>
          <w:szCs w:val="21"/>
          <w:highlight w:val="none"/>
          <w:u w:val="single"/>
          <w14:textFill>
            <w14:solidFill>
              <w14:schemeClr w14:val="tx1"/>
            </w14:solidFill>
          </w14:textFill>
        </w:rPr>
        <w:t>项目名称</w:t>
      </w:r>
      <w:r>
        <w:rPr>
          <w:rFonts w:hint="eastAsia" w:ascii="宋体" w:hAnsi="宋体"/>
          <w:color w:val="000000" w:themeColor="text1"/>
          <w:spacing w:val="6"/>
          <w:szCs w:val="21"/>
          <w:highlight w:val="none"/>
          <w14:textFill>
            <w14:solidFill>
              <w14:schemeClr w14:val="tx1"/>
            </w14:solidFill>
          </w14:textFill>
        </w:rPr>
        <w:t>）采购活动由本单位提供服务。</w:t>
      </w:r>
    </w:p>
    <w:p w14:paraId="79393CDA">
      <w:pPr>
        <w:spacing w:line="360" w:lineRule="auto"/>
        <w:ind w:firstLine="444" w:firstLineChars="200"/>
        <w:rPr>
          <w:rFonts w:hint="eastAsia" w:ascii="宋体" w:hAnsi="宋体"/>
          <w:color w:val="000000" w:themeColor="text1"/>
          <w:spacing w:val="6"/>
          <w:szCs w:val="21"/>
          <w:highlight w:val="none"/>
          <w14:textFill>
            <w14:solidFill>
              <w14:schemeClr w14:val="tx1"/>
            </w14:solidFill>
          </w14:textFill>
        </w:rPr>
      </w:pPr>
      <w:r>
        <w:rPr>
          <w:rFonts w:ascii="宋体" w:hAnsi="宋体"/>
          <w:color w:val="000000" w:themeColor="text1"/>
          <w:spacing w:val="6"/>
          <w:szCs w:val="21"/>
          <w:highlight w:val="none"/>
          <w14:textFill>
            <w14:solidFill>
              <w14:schemeClr w14:val="tx1"/>
            </w14:solidFill>
          </w14:textFill>
        </w:rPr>
        <w:t>......</w:t>
      </w:r>
    </w:p>
    <w:p w14:paraId="23E065A4">
      <w:pPr>
        <w:spacing w:line="360" w:lineRule="auto"/>
        <w:ind w:firstLine="444" w:firstLineChars="200"/>
        <w:rPr>
          <w:rFonts w:hint="eastAsia" w:ascii="宋体" w:hAnsi="宋体"/>
          <w:color w:val="000000" w:themeColor="text1"/>
          <w:spacing w:val="6"/>
          <w:szCs w:val="21"/>
          <w:highlight w:val="none"/>
          <w14:textFill>
            <w14:solidFill>
              <w14:schemeClr w14:val="tx1"/>
            </w14:solidFill>
          </w14:textFill>
        </w:rPr>
      </w:pPr>
    </w:p>
    <w:p w14:paraId="72A81486">
      <w:pPr>
        <w:spacing w:line="360" w:lineRule="auto"/>
        <w:ind w:firstLine="444" w:firstLineChars="200"/>
        <w:rPr>
          <w:rFonts w:hint="eastAsia" w:ascii="宋体" w:hAnsi="宋体"/>
          <w:color w:val="000000" w:themeColor="text1"/>
          <w:spacing w:val="6"/>
          <w:szCs w:val="21"/>
          <w:highlight w:val="none"/>
          <w14:textFill>
            <w14:solidFill>
              <w14:schemeClr w14:val="tx1"/>
            </w14:solidFill>
          </w14:textFill>
        </w:rPr>
      </w:pPr>
    </w:p>
    <w:p w14:paraId="3528519D">
      <w:pPr>
        <w:spacing w:line="360" w:lineRule="auto"/>
        <w:ind w:firstLine="444" w:firstLineChars="200"/>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本单位对上述声明的真实性负责。如有虚假，将依法承担相应责任。</w:t>
      </w:r>
    </w:p>
    <w:p w14:paraId="66CFD477">
      <w:pPr>
        <w:spacing w:line="360" w:lineRule="auto"/>
        <w:ind w:firstLine="444" w:firstLineChars="200"/>
        <w:rPr>
          <w:rFonts w:hint="eastAsia" w:ascii="宋体" w:hAnsi="宋体"/>
          <w:color w:val="000000" w:themeColor="text1"/>
          <w:spacing w:val="6"/>
          <w:szCs w:val="21"/>
          <w:highlight w:val="none"/>
          <w14:textFill>
            <w14:solidFill>
              <w14:schemeClr w14:val="tx1"/>
            </w14:solidFill>
          </w14:textFill>
        </w:rPr>
      </w:pPr>
    </w:p>
    <w:p w14:paraId="4E16D0AA">
      <w:pPr>
        <w:spacing w:line="360" w:lineRule="auto"/>
        <w:ind w:firstLine="444" w:firstLineChars="200"/>
        <w:rPr>
          <w:rFonts w:hint="eastAsia" w:ascii="宋体" w:hAnsi="宋体"/>
          <w:color w:val="000000" w:themeColor="text1"/>
          <w:spacing w:val="6"/>
          <w:szCs w:val="21"/>
          <w:highlight w:val="none"/>
          <w14:textFill>
            <w14:solidFill>
              <w14:schemeClr w14:val="tx1"/>
            </w14:solidFill>
          </w14:textFill>
        </w:rPr>
      </w:pPr>
    </w:p>
    <w:p w14:paraId="5C4FF820">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单位名称：</w:t>
      </w:r>
      <w:r>
        <w:rPr>
          <w:rFonts w:hint="eastAsia" w:ascii="宋体" w:hAnsi="宋体"/>
          <w:color w:val="000000" w:themeColor="text1"/>
          <w:spacing w:val="6"/>
          <w:szCs w:val="21"/>
          <w:highlight w:val="none"/>
          <w:u w:val="single"/>
          <w14:textFill>
            <w14:solidFill>
              <w14:schemeClr w14:val="tx1"/>
            </w14:solidFill>
          </w14:textFill>
        </w:rPr>
        <w:t xml:space="preserve">              </w:t>
      </w:r>
      <w:r>
        <w:rPr>
          <w:rFonts w:hint="eastAsia" w:ascii="宋体" w:hAnsi="宋体"/>
          <w:color w:val="000000" w:themeColor="text1"/>
          <w:spacing w:val="6"/>
          <w:szCs w:val="21"/>
          <w:highlight w:val="none"/>
          <w14:textFill>
            <w14:solidFill>
              <w14:schemeClr w14:val="tx1"/>
            </w14:solidFill>
          </w14:textFill>
        </w:rPr>
        <w:t>（盖单位章）</w:t>
      </w:r>
    </w:p>
    <w:p w14:paraId="02EED2D3">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r>
        <w:rPr>
          <w:rFonts w:ascii="宋体" w:hAnsi="宋体"/>
          <w:color w:val="000000" w:themeColor="text1"/>
          <w:spacing w:val="6"/>
          <w:szCs w:val="21"/>
          <w:highlight w:val="none"/>
          <w14:textFill>
            <w14:solidFill>
              <w14:schemeClr w14:val="tx1"/>
            </w14:solidFill>
          </w14:textFill>
        </w:rPr>
        <w:t xml:space="preserve"> </w:t>
      </w:r>
    </w:p>
    <w:p w14:paraId="1F1A8B0C">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日</w:t>
      </w:r>
      <w:r>
        <w:rPr>
          <w:rFonts w:ascii="宋体" w:hAnsi="宋体"/>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pacing w:val="6"/>
          <w:szCs w:val="21"/>
          <w:highlight w:val="none"/>
          <w14:textFill>
            <w14:solidFill>
              <w14:schemeClr w14:val="tx1"/>
            </w14:solidFill>
          </w14:textFill>
        </w:rPr>
        <w:t xml:space="preserve">   </w:t>
      </w:r>
      <w:r>
        <w:rPr>
          <w:rFonts w:ascii="宋体" w:hAnsi="宋体"/>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pacing w:val="6"/>
          <w:szCs w:val="21"/>
          <w:highlight w:val="none"/>
          <w14:textFill>
            <w14:solidFill>
              <w14:schemeClr w14:val="tx1"/>
            </w14:solidFill>
          </w14:textFill>
        </w:rPr>
        <w:t>期：    年   月  日</w:t>
      </w:r>
    </w:p>
    <w:p w14:paraId="58550D26">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p>
    <w:p w14:paraId="51E647B7">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p>
    <w:p w14:paraId="0A5A1A51">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p>
    <w:p w14:paraId="3DB038F1">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p>
    <w:p w14:paraId="2C855323">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p>
    <w:p w14:paraId="11D33A89">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p>
    <w:p w14:paraId="6F7964EC">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p>
    <w:p w14:paraId="1F2192B2">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p>
    <w:p w14:paraId="66056BF0">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p>
    <w:p w14:paraId="790AB5A5">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p>
    <w:p w14:paraId="2AE76484">
      <w:pPr>
        <w:tabs>
          <w:tab w:val="left" w:pos="4860"/>
        </w:tabs>
        <w:spacing w:line="360" w:lineRule="auto"/>
        <w:ind w:right="1560" w:firstLine="444" w:firstLineChars="200"/>
        <w:jc w:val="left"/>
        <w:rPr>
          <w:rFonts w:hint="eastAsia" w:ascii="宋体" w:hAnsi="宋体"/>
          <w:color w:val="000000" w:themeColor="text1"/>
          <w:spacing w:val="6"/>
          <w:szCs w:val="21"/>
          <w:highlight w:val="none"/>
          <w14:textFill>
            <w14:solidFill>
              <w14:schemeClr w14:val="tx1"/>
            </w14:solidFill>
          </w14:textFill>
        </w:rPr>
      </w:pPr>
    </w:p>
    <w:p w14:paraId="0A07F340">
      <w:pPr>
        <w:rPr>
          <w:rFonts w:hint="eastAsia" w:ascii="仿宋" w:hAnsi="仿宋" w:eastAsia="仿宋"/>
          <w:color w:val="000000" w:themeColor="text1"/>
          <w:spacing w:val="15"/>
          <w:sz w:val="18"/>
          <w:szCs w:val="18"/>
          <w:highlight w:val="none"/>
          <w:shd w:val="clear" w:color="auto" w:fill="FFFFFF"/>
          <w14:textFill>
            <w14:solidFill>
              <w14:schemeClr w14:val="tx1"/>
            </w14:solidFill>
          </w14:textFill>
        </w:rPr>
      </w:pPr>
      <w:r>
        <w:rPr>
          <w:rFonts w:hint="eastAsia" w:ascii="宋体" w:hAnsi="宋体"/>
          <w:color w:val="000000" w:themeColor="text1"/>
          <w:spacing w:val="6"/>
          <w:szCs w:val="21"/>
          <w:highlight w:val="none"/>
          <w:u w:val="single"/>
          <w14:textFill>
            <w14:solidFill>
              <w14:schemeClr w14:val="tx1"/>
            </w14:solidFill>
          </w14:textFill>
        </w:rPr>
        <w:t xml:space="preserve">                                                                             </w:t>
      </w:r>
    </w:p>
    <w:p w14:paraId="6E0B82D0">
      <w:pPr>
        <w:tabs>
          <w:tab w:val="left" w:pos="4860"/>
        </w:tabs>
        <w:ind w:right="1559"/>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p>
    <w:p w14:paraId="4AA657FA">
      <w:pPr>
        <w:adjustRightInd w:val="0"/>
        <w:snapToGrid w:val="0"/>
        <w:spacing w:line="360" w:lineRule="exact"/>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（1）填报前请认真阅读</w:t>
      </w:r>
      <w:r>
        <w:rPr>
          <w:rFonts w:hint="eastAsia" w:ascii="宋体" w:hAnsi="宋体"/>
          <w:color w:val="000000" w:themeColor="text1"/>
          <w:spacing w:val="6"/>
          <w:szCs w:val="21"/>
          <w:highlight w:val="none"/>
          <w14:textFill>
            <w14:solidFill>
              <w14:schemeClr w14:val="tx1"/>
            </w14:solidFill>
          </w14:textFill>
        </w:rPr>
        <w:t>《财政部、民政部、中国残疾人联合会关于促进残疾人就业政府采购政策的通知》（财库</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2017</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14</w:t>
      </w: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pacing w:val="6"/>
          <w:szCs w:val="21"/>
          <w:highlight w:val="none"/>
          <w14:textFill>
            <w14:solidFill>
              <w14:schemeClr w14:val="tx1"/>
            </w14:solidFill>
          </w14:textFill>
        </w:rPr>
        <w:t>号）的规定。</w:t>
      </w:r>
    </w:p>
    <w:p w14:paraId="6A89F9BE">
      <w:pPr>
        <w:adjustRightInd w:val="0"/>
        <w:snapToGrid w:val="0"/>
        <w:spacing w:line="360" w:lineRule="exact"/>
        <w:ind w:firstLine="525" w:firstLineChars="250"/>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（2）投标人属于残疾人福利性单位的，必须填报有关数据，</w:t>
      </w:r>
      <w:r>
        <w:rPr>
          <w:rFonts w:hint="eastAsia" w:ascii="宋体" w:hAnsi="宋体"/>
          <w:bCs/>
          <w:color w:val="000000" w:themeColor="text1"/>
          <w:szCs w:val="21"/>
          <w:highlight w:val="none"/>
          <w14:textFill>
            <w14:solidFill>
              <w14:schemeClr w14:val="tx1"/>
            </w14:solidFill>
          </w14:textFill>
        </w:rPr>
        <w:t>未按要求提供的，或存在不符合残疾人福利性单位情形的，不视为小微企业。</w:t>
      </w:r>
    </w:p>
    <w:p w14:paraId="4A3EEBC1">
      <w:pPr>
        <w:adjustRightInd w:val="0"/>
        <w:snapToGrid w:val="0"/>
        <w:spacing w:line="360" w:lineRule="exact"/>
        <w:ind w:firstLine="525" w:firstLineChars="250"/>
        <w:rPr>
          <w:rFonts w:hint="eastAsia" w:ascii="楷体" w:hAnsi="楷体" w:eastAsia="楷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（3）横线以下只做填报说明，投标文件可不要。</w:t>
      </w:r>
    </w:p>
    <w:p w14:paraId="6AE71D02">
      <w:pPr>
        <w:rPr>
          <w:rFonts w:hint="eastAsia" w:ascii="黑体" w:hAnsi="宋体" w:eastAsia="黑体"/>
          <w:color w:val="000000" w:themeColor="text1"/>
          <w:sz w:val="36"/>
          <w:szCs w:val="36"/>
          <w:highlight w:val="none"/>
          <w14:textFill>
            <w14:solidFill>
              <w14:schemeClr w14:val="tx1"/>
            </w14:solidFill>
          </w14:textFill>
        </w:rPr>
      </w:pPr>
      <w:r>
        <w:rPr>
          <w:rFonts w:hint="eastAsia" w:ascii="黑体" w:hAnsi="宋体" w:eastAsia="黑体"/>
          <w:color w:val="000000" w:themeColor="text1"/>
          <w:sz w:val="36"/>
          <w:szCs w:val="36"/>
          <w:highlight w:val="none"/>
          <w14:textFill>
            <w14:solidFill>
              <w14:schemeClr w14:val="tx1"/>
            </w14:solidFill>
          </w14:textFill>
        </w:rPr>
        <w:br w:type="page"/>
      </w:r>
    </w:p>
    <w:p w14:paraId="3F50C405">
      <w:pPr>
        <w:adjustRightInd w:val="0"/>
        <w:snapToGrid w:val="0"/>
        <w:spacing w:before="50" w:line="360" w:lineRule="auto"/>
        <w:jc w:val="center"/>
        <w:rPr>
          <w:rFonts w:hint="eastAsia" w:ascii="黑体" w:hAnsi="宋体" w:eastAsia="黑体"/>
          <w:color w:val="000000" w:themeColor="text1"/>
          <w:sz w:val="36"/>
          <w:szCs w:val="36"/>
          <w:highlight w:val="none"/>
          <w14:textFill>
            <w14:solidFill>
              <w14:schemeClr w14:val="tx1"/>
            </w14:solidFill>
          </w14:textFill>
        </w:rPr>
      </w:pPr>
      <w:r>
        <w:rPr>
          <w:rFonts w:hint="eastAsia" w:ascii="黑体" w:hAnsi="宋体" w:eastAsia="黑体"/>
          <w:color w:val="000000" w:themeColor="text1"/>
          <w:sz w:val="36"/>
          <w:szCs w:val="36"/>
          <w:highlight w:val="none"/>
          <w14:textFill>
            <w14:solidFill>
              <w14:schemeClr w14:val="tx1"/>
            </w14:solidFill>
          </w14:textFill>
        </w:rPr>
        <w:t>10.监狱企业证明</w:t>
      </w:r>
    </w:p>
    <w:p w14:paraId="187CDC0B">
      <w:pPr>
        <w:adjustRightInd w:val="0"/>
        <w:snapToGrid w:val="0"/>
        <w:spacing w:before="240" w:beforeLines="1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p>
    <w:p w14:paraId="09125EE0">
      <w:pPr>
        <w:adjustRightInd w:val="0"/>
        <w:snapToGrid w:val="0"/>
        <w:spacing w:line="360" w:lineRule="exact"/>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）填报前请认真阅读《财政部、司法部关于政府采购支持监狱企业发展有关问题的通知》（财库〔2014〕68号）的规定。</w:t>
      </w:r>
    </w:p>
    <w:p w14:paraId="20CE78CA">
      <w:pPr>
        <w:adjustRightInd w:val="0"/>
        <w:snapToGrid w:val="0"/>
        <w:spacing w:line="360" w:lineRule="exact"/>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（2）证明文件无格式要求，由出具监狱企业证明的单位自行拟定，出具证明的单位应符合“投标人须知”第3.4.2.3条款的规定。</w:t>
      </w:r>
    </w:p>
    <w:p w14:paraId="2BFCA6D0">
      <w:pPr>
        <w:adjustRightInd w:val="0"/>
        <w:snapToGrid w:val="0"/>
        <w:spacing w:line="360" w:lineRule="exact"/>
        <w:ind w:firstLine="525" w:firstLineChars="25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（3）投标人属于监狱企业的，未按上述要求提供的，不视为小微企业。</w:t>
      </w:r>
    </w:p>
    <w:p w14:paraId="169853B4">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6CCFE792">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7EF3BB4E">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6765957F">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3F251436">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0C8524C0">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6ADF9803">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1ED7A91F">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527FD1D1">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0CA12AAD">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1DEEE9F8">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71928EA1">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1E76B7E4">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4B7973FA">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0D6328F9">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30278232">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76BA724E">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p>
    <w:p w14:paraId="69C018BD">
      <w:pPr>
        <w:rPr>
          <w:rFonts w:hint="eastAsia" w:ascii="黑体" w:hAnsi="宋体" w:eastAsia="黑体"/>
          <w:color w:val="000000" w:themeColor="text1"/>
          <w:sz w:val="36"/>
          <w:szCs w:val="36"/>
          <w:highlight w:val="none"/>
          <w14:textFill>
            <w14:solidFill>
              <w14:schemeClr w14:val="tx1"/>
            </w14:solidFill>
          </w14:textFill>
        </w:rPr>
      </w:pPr>
      <w:bookmarkStart w:id="1092" w:name="_Toc12440"/>
      <w:r>
        <w:rPr>
          <w:rFonts w:hint="eastAsia" w:ascii="黑体" w:hAnsi="宋体" w:eastAsia="黑体"/>
          <w:color w:val="000000" w:themeColor="text1"/>
          <w:sz w:val="36"/>
          <w:szCs w:val="36"/>
          <w:highlight w:val="none"/>
          <w14:textFill>
            <w14:solidFill>
              <w14:schemeClr w14:val="tx1"/>
            </w14:solidFill>
          </w14:textFill>
        </w:rPr>
        <w:br w:type="page"/>
      </w:r>
    </w:p>
    <w:p w14:paraId="0981F4FD">
      <w:pPr>
        <w:pStyle w:val="7"/>
        <w:ind w:firstLine="0"/>
        <w:jc w:val="center"/>
        <w:outlineLvl w:val="1"/>
        <w:rPr>
          <w:rFonts w:hint="eastAsia" w:ascii="黑体" w:hAnsi="黑体" w:eastAsia="黑体"/>
          <w:color w:val="000000" w:themeColor="text1"/>
          <w:sz w:val="44"/>
          <w:szCs w:val="44"/>
          <w:highlight w:val="none"/>
          <w14:textFill>
            <w14:solidFill>
              <w14:schemeClr w14:val="tx1"/>
            </w14:solidFill>
          </w14:textFill>
        </w:rPr>
      </w:pPr>
      <w:r>
        <w:rPr>
          <w:rFonts w:hint="eastAsia" w:ascii="黑体" w:hAnsi="黑体" w:eastAsia="黑体"/>
          <w:color w:val="000000" w:themeColor="text1"/>
          <w:sz w:val="44"/>
          <w:szCs w:val="44"/>
          <w:highlight w:val="none"/>
          <w14:textFill>
            <w14:solidFill>
              <w14:schemeClr w14:val="tx1"/>
            </w14:solidFill>
          </w14:textFill>
        </w:rPr>
        <w:t>三、</w:t>
      </w:r>
      <w:bookmarkEnd w:id="1089"/>
      <w:r>
        <w:rPr>
          <w:rFonts w:ascii="黑体" w:hAnsi="宋体" w:eastAsia="黑体"/>
          <w:color w:val="000000" w:themeColor="text1"/>
          <w:sz w:val="44"/>
          <w:szCs w:val="44"/>
          <w:highlight w:val="none"/>
          <w14:textFill>
            <w14:solidFill>
              <w14:schemeClr w14:val="tx1"/>
            </w14:solidFill>
          </w14:textFill>
        </w:rPr>
        <w:t>投标人</w:t>
      </w:r>
      <w:r>
        <w:rPr>
          <w:rFonts w:hint="eastAsia" w:ascii="黑体" w:hAnsi="宋体" w:eastAsia="黑体"/>
          <w:color w:val="000000" w:themeColor="text1"/>
          <w:sz w:val="44"/>
          <w:szCs w:val="44"/>
          <w:highlight w:val="none"/>
          <w14:textFill>
            <w14:solidFill>
              <w14:schemeClr w14:val="tx1"/>
            </w14:solidFill>
          </w14:textFill>
        </w:rPr>
        <w:t>特定资格条件证明材料</w:t>
      </w:r>
      <w:bookmarkEnd w:id="1090"/>
      <w:bookmarkEnd w:id="1092"/>
    </w:p>
    <w:p w14:paraId="59A037B8">
      <w:pPr>
        <w:tabs>
          <w:tab w:val="left" w:pos="3600"/>
        </w:tabs>
        <w:adjustRightInd w:val="0"/>
        <w:snapToGrid w:val="0"/>
        <w:jc w:val="center"/>
        <w:rPr>
          <w:rFonts w:hint="eastAsia" w:ascii="黑体" w:hAnsi="宋体" w:eastAsia="黑体"/>
          <w:color w:val="000000" w:themeColor="text1"/>
          <w:sz w:val="36"/>
          <w:szCs w:val="36"/>
          <w:highlight w:val="none"/>
          <w14:textFill>
            <w14:solidFill>
              <w14:schemeClr w14:val="tx1"/>
            </w14:solidFill>
          </w14:textFill>
        </w:rPr>
      </w:pPr>
      <w:r>
        <w:rPr>
          <w:rFonts w:hint="eastAsia" w:ascii="黑体" w:hAnsi="宋体" w:eastAsia="黑体"/>
          <w:color w:val="000000" w:themeColor="text1"/>
          <w:sz w:val="36"/>
          <w:szCs w:val="36"/>
          <w:highlight w:val="none"/>
          <w14:textFill>
            <w14:solidFill>
              <w14:schemeClr w14:val="tx1"/>
            </w14:solidFill>
          </w14:textFill>
        </w:rPr>
        <w:t>11.行政许可证明</w:t>
      </w:r>
    </w:p>
    <w:p w14:paraId="72867551">
      <w:pPr>
        <w:pStyle w:val="7"/>
        <w:spacing w:before="360" w:beforeLines="150" w:line="360" w:lineRule="auto"/>
        <w:ind w:firstLine="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w:t>
      </w:r>
    </w:p>
    <w:p w14:paraId="2B4F9EB6">
      <w:pPr>
        <w:pStyle w:val="98"/>
        <w:tabs>
          <w:tab w:val="left" w:leader="underscore" w:pos="3474"/>
        </w:tabs>
        <w:spacing w:line="360" w:lineRule="auto"/>
        <w:ind w:firstLine="420" w:firstLineChars="200"/>
        <w:rPr>
          <w:rFonts w:hint="eastAsia"/>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kern w:val="2"/>
          <w:sz w:val="21"/>
          <w:szCs w:val="21"/>
          <w:highlight w:val="none"/>
          <w:lang w:val="en-US" w:eastAsia="zh-CN" w:bidi="ar-SA"/>
          <w14:textFill>
            <w14:solidFill>
              <w14:schemeClr w14:val="tx1"/>
            </w14:solidFill>
          </w14:textFill>
        </w:rPr>
        <w:t>（1）</w:t>
      </w:r>
      <w:r>
        <w:rPr>
          <w:rFonts w:hint="eastAsia" w:cs="Times New Roman"/>
          <w:bCs/>
          <w:color w:val="000000" w:themeColor="text1"/>
          <w:sz w:val="21"/>
          <w:szCs w:val="22"/>
          <w:highlight w:val="none"/>
          <w:lang w:eastAsia="zh-CN"/>
          <w14:textFill>
            <w14:solidFill>
              <w14:schemeClr w14:val="tx1"/>
            </w14:solidFill>
          </w14:textFill>
        </w:rPr>
        <w:t>投标人需具有①建设部门颁发的建筑工程施工总承包三级及以上资质，具备有效的安全生产许可证；②投标人拟派</w:t>
      </w:r>
      <w:r>
        <w:rPr>
          <w:rFonts w:hint="eastAsia" w:cs="Times New Roman"/>
          <w:bCs/>
          <w:color w:val="000000" w:themeColor="text1"/>
          <w:sz w:val="21"/>
          <w:szCs w:val="22"/>
          <w:highlight w:val="none"/>
          <w:lang w:val="en-US" w:eastAsia="zh-CN"/>
          <w14:textFill>
            <w14:solidFill>
              <w14:schemeClr w14:val="tx1"/>
            </w14:solidFill>
          </w14:textFill>
        </w:rPr>
        <w:t>项目经理</w:t>
      </w:r>
      <w:r>
        <w:rPr>
          <w:rFonts w:hint="eastAsia" w:cs="Times New Roman"/>
          <w:bCs/>
          <w:color w:val="000000" w:themeColor="text1"/>
          <w:sz w:val="21"/>
          <w:szCs w:val="22"/>
          <w:highlight w:val="none"/>
          <w:lang w:eastAsia="zh-CN"/>
          <w14:textFill>
            <w14:solidFill>
              <w14:schemeClr w14:val="tx1"/>
            </w14:solidFill>
          </w14:textFill>
        </w:rPr>
        <w:t>须具备建筑工程专业二级及以上注册建造师执业资格，具备有效的安全生产考核合格证书（建安B证），在本单位注册，且未担任其他在建工程项目的项目经理（提供承诺书）</w:t>
      </w:r>
      <w:r>
        <w:rPr>
          <w:rFonts w:hint="eastAsia"/>
          <w:color w:val="000000" w:themeColor="text1"/>
          <w:kern w:val="2"/>
          <w:sz w:val="21"/>
          <w:szCs w:val="21"/>
          <w:highlight w:val="none"/>
          <w:lang w:val="en-US" w:eastAsia="zh-CN" w:bidi="ar-SA"/>
          <w14:textFill>
            <w14:solidFill>
              <w14:schemeClr w14:val="tx1"/>
            </w14:solidFill>
          </w14:textFill>
        </w:rPr>
        <w:t>；</w:t>
      </w:r>
    </w:p>
    <w:p w14:paraId="28887061">
      <w:pPr>
        <w:pStyle w:val="98"/>
        <w:tabs>
          <w:tab w:val="left" w:leader="underscore" w:pos="3474"/>
        </w:tabs>
        <w:spacing w:line="360" w:lineRule="auto"/>
        <w:ind w:firstLine="420" w:firstLineChars="200"/>
        <w:rPr>
          <w:rFonts w:hint="eastAsia" w:cs="Times New Roman"/>
          <w:bCs/>
          <w:color w:val="000000" w:themeColor="text1"/>
          <w:sz w:val="21"/>
          <w:szCs w:val="22"/>
          <w:highlight w:val="none"/>
          <w:lang w:eastAsia="zh-CN"/>
          <w14:textFill>
            <w14:solidFill>
              <w14:schemeClr w14:val="tx1"/>
            </w14:solidFill>
          </w14:textFill>
        </w:rPr>
      </w:pPr>
      <w:r>
        <w:rPr>
          <w:rFonts w:hint="eastAsia"/>
          <w:color w:val="000000" w:themeColor="text1"/>
          <w:kern w:val="2"/>
          <w:sz w:val="21"/>
          <w:szCs w:val="21"/>
          <w:highlight w:val="none"/>
          <w:lang w:eastAsia="zh-CN" w:bidi="ar-SA"/>
          <w14:textFill>
            <w14:solidFill>
              <w14:schemeClr w14:val="tx1"/>
            </w14:solidFill>
          </w14:textFill>
        </w:rPr>
        <w:t>（</w:t>
      </w:r>
      <w:r>
        <w:rPr>
          <w:rFonts w:hint="eastAsia"/>
          <w:color w:val="000000" w:themeColor="text1"/>
          <w:kern w:val="2"/>
          <w:sz w:val="21"/>
          <w:szCs w:val="21"/>
          <w:highlight w:val="none"/>
          <w:lang w:val="en-US" w:eastAsia="zh-CN" w:bidi="ar-SA"/>
          <w14:textFill>
            <w14:solidFill>
              <w14:schemeClr w14:val="tx1"/>
            </w14:solidFill>
          </w14:textFill>
        </w:rPr>
        <w:t>2）</w:t>
      </w:r>
      <w:r>
        <w:rPr>
          <w:rFonts w:hint="eastAsia"/>
          <w:bCs/>
          <w:color w:val="000000" w:themeColor="text1"/>
          <w:sz w:val="21"/>
          <w:szCs w:val="22"/>
          <w:highlight w:val="none"/>
          <w14:textFill>
            <w14:solidFill>
              <w14:schemeClr w14:val="tx1"/>
            </w14:solidFill>
          </w14:textFill>
        </w:rPr>
        <w:t>投标人的基本信息及项目经理的基本信息在“陕西省住房和城乡建设厅”（http://js.shaanxi.gov.cn/）或“陕西政务服务网”(https://zwfw.shaanxi.gov.cn/sx/public/index)官网可查询且无不良行为记录</w:t>
      </w:r>
      <w:r>
        <w:rPr>
          <w:rFonts w:hint="eastAsia" w:cs="Times New Roman"/>
          <w:bCs/>
          <w:color w:val="000000" w:themeColor="text1"/>
          <w:sz w:val="21"/>
          <w:szCs w:val="22"/>
          <w:highlight w:val="none"/>
          <w:lang w:eastAsia="zh-CN"/>
          <w14:textFill>
            <w14:solidFill>
              <w14:schemeClr w14:val="tx1"/>
            </w14:solidFill>
          </w14:textFill>
        </w:rPr>
        <w:t>。</w:t>
      </w:r>
    </w:p>
    <w:p w14:paraId="154BFEED">
      <w:pPr>
        <w:adjustRightInd w:val="0"/>
        <w:snapToGrid w:val="0"/>
        <w:spacing w:line="360" w:lineRule="auto"/>
        <w:ind w:firstLine="420" w:firstLineChars="200"/>
        <w:outlineLvl w:val="0"/>
        <w:rPr>
          <w:rFonts w:hint="eastAsia" w:ascii="宋体" w:hAnsi="宋体" w:cs="宋体"/>
          <w:color w:val="000000" w:themeColor="text1"/>
          <w:kern w:val="0"/>
          <w:szCs w:val="21"/>
          <w:highlight w:val="none"/>
          <w14:textFill>
            <w14:solidFill>
              <w14:schemeClr w14:val="tx1"/>
            </w14:solidFill>
          </w14:textFill>
        </w:rPr>
      </w:pPr>
      <w:bookmarkStart w:id="1093" w:name="_Toc24033"/>
      <w:bookmarkStart w:id="1094" w:name="_Toc7669"/>
      <w:r>
        <w:rPr>
          <w:rFonts w:hint="eastAsia" w:ascii="宋体" w:hAnsi="宋体" w:cs="宋体"/>
          <w:color w:val="000000" w:themeColor="text1"/>
          <w:kern w:val="0"/>
          <w:szCs w:val="21"/>
          <w:highlight w:val="none"/>
          <w14:textFill>
            <w14:solidFill>
              <w14:schemeClr w14:val="tx1"/>
            </w14:solidFill>
          </w14:textFill>
        </w:rPr>
        <w:t>（3）以上证书提供复印件或电子证照打印件，并加盖供应商单位公章。</w:t>
      </w:r>
      <w:bookmarkEnd w:id="1093"/>
      <w:bookmarkEnd w:id="1094"/>
    </w:p>
    <w:p w14:paraId="1F7F7ABA">
      <w:pPr>
        <w:pStyle w:val="98"/>
        <w:tabs>
          <w:tab w:val="left" w:leader="underscore" w:pos="3474"/>
        </w:tabs>
        <w:spacing w:line="360" w:lineRule="auto"/>
        <w:ind w:firstLine="420" w:firstLineChars="200"/>
        <w:rPr>
          <w:rFonts w:hint="eastAsia" w:cs="Times New Roman"/>
          <w:bCs/>
          <w:color w:val="000000" w:themeColor="text1"/>
          <w:sz w:val="21"/>
          <w:szCs w:val="22"/>
          <w:highlight w:val="none"/>
          <w:lang w:val="en-US" w:eastAsia="zh-CN"/>
          <w14:textFill>
            <w14:solidFill>
              <w14:schemeClr w14:val="tx1"/>
            </w14:solidFill>
          </w14:textFill>
        </w:rPr>
      </w:pPr>
    </w:p>
    <w:p w14:paraId="789406FC">
      <w:pPr>
        <w:pStyle w:val="98"/>
        <w:tabs>
          <w:tab w:val="left" w:leader="underscore" w:pos="3474"/>
        </w:tabs>
        <w:spacing w:line="360" w:lineRule="auto"/>
        <w:rPr>
          <w:rFonts w:hint="eastAsia"/>
          <w:color w:val="000000" w:themeColor="text1"/>
          <w:sz w:val="21"/>
          <w:szCs w:val="21"/>
          <w:highlight w:val="none"/>
          <w:lang w:val="en-US" w:eastAsia="zh-CN"/>
          <w14:textFill>
            <w14:solidFill>
              <w14:schemeClr w14:val="tx1"/>
            </w14:solidFill>
          </w14:textFill>
        </w:rPr>
      </w:pPr>
      <w:bookmarkStart w:id="1095" w:name="_Toc22558_WPSOffice_Level2"/>
    </w:p>
    <w:p w14:paraId="61DCF472">
      <w:pPr>
        <w:pStyle w:val="98"/>
        <w:tabs>
          <w:tab w:val="left" w:leader="underscore" w:pos="3474"/>
        </w:tabs>
        <w:spacing w:line="360" w:lineRule="auto"/>
        <w:rPr>
          <w:rFonts w:hint="eastAsia"/>
          <w:color w:val="000000" w:themeColor="text1"/>
          <w:sz w:val="21"/>
          <w:szCs w:val="21"/>
          <w:highlight w:val="none"/>
          <w:lang w:val="en-US" w:eastAsia="zh-CN"/>
          <w14:textFill>
            <w14:solidFill>
              <w14:schemeClr w14:val="tx1"/>
            </w14:solidFill>
          </w14:textFill>
        </w:rPr>
      </w:pPr>
    </w:p>
    <w:p w14:paraId="749A9FD7">
      <w:pPr>
        <w:pStyle w:val="98"/>
        <w:tabs>
          <w:tab w:val="left" w:leader="underscore" w:pos="3474"/>
        </w:tabs>
        <w:spacing w:line="360" w:lineRule="auto"/>
        <w:rPr>
          <w:rFonts w:hint="eastAsia"/>
          <w:color w:val="000000" w:themeColor="text1"/>
          <w:sz w:val="21"/>
          <w:szCs w:val="21"/>
          <w:highlight w:val="none"/>
          <w:lang w:val="en-US" w:eastAsia="zh-CN"/>
          <w14:textFill>
            <w14:solidFill>
              <w14:schemeClr w14:val="tx1"/>
            </w14:solidFill>
          </w14:textFill>
        </w:rPr>
      </w:pPr>
    </w:p>
    <w:p w14:paraId="6AF2E08E">
      <w:pPr>
        <w:pStyle w:val="98"/>
        <w:tabs>
          <w:tab w:val="left" w:leader="underscore" w:pos="3474"/>
        </w:tabs>
        <w:spacing w:line="360" w:lineRule="auto"/>
        <w:rPr>
          <w:rFonts w:hint="eastAsia"/>
          <w:color w:val="000000" w:themeColor="text1"/>
          <w:sz w:val="21"/>
          <w:szCs w:val="21"/>
          <w:highlight w:val="none"/>
          <w:lang w:val="en-US" w:eastAsia="zh-CN"/>
          <w14:textFill>
            <w14:solidFill>
              <w14:schemeClr w14:val="tx1"/>
            </w14:solidFill>
          </w14:textFill>
        </w:rPr>
      </w:pPr>
    </w:p>
    <w:p w14:paraId="029DA5B2">
      <w:pPr>
        <w:pStyle w:val="98"/>
        <w:tabs>
          <w:tab w:val="left" w:leader="underscore" w:pos="3474"/>
        </w:tabs>
        <w:spacing w:line="360" w:lineRule="auto"/>
        <w:rPr>
          <w:rFonts w:hint="eastAsia"/>
          <w:color w:val="000000" w:themeColor="text1"/>
          <w:sz w:val="21"/>
          <w:szCs w:val="21"/>
          <w:highlight w:val="none"/>
          <w:lang w:val="en-US" w:eastAsia="zh-CN"/>
          <w14:textFill>
            <w14:solidFill>
              <w14:schemeClr w14:val="tx1"/>
            </w14:solidFill>
          </w14:textFill>
        </w:rPr>
      </w:pPr>
    </w:p>
    <w:p w14:paraId="74EA45BF">
      <w:pPr>
        <w:pStyle w:val="98"/>
        <w:tabs>
          <w:tab w:val="left" w:leader="underscore" w:pos="3474"/>
        </w:tabs>
        <w:spacing w:line="360" w:lineRule="auto"/>
        <w:rPr>
          <w:rFonts w:hint="eastAsia"/>
          <w:color w:val="000000" w:themeColor="text1"/>
          <w:sz w:val="21"/>
          <w:szCs w:val="21"/>
          <w:highlight w:val="none"/>
          <w:lang w:val="en-US" w:eastAsia="zh-CN"/>
          <w14:textFill>
            <w14:solidFill>
              <w14:schemeClr w14:val="tx1"/>
            </w14:solidFill>
          </w14:textFill>
        </w:rPr>
      </w:pPr>
    </w:p>
    <w:p w14:paraId="5A82B769">
      <w:pPr>
        <w:pStyle w:val="98"/>
        <w:tabs>
          <w:tab w:val="left" w:leader="underscore" w:pos="3474"/>
        </w:tabs>
        <w:spacing w:line="360" w:lineRule="auto"/>
        <w:rPr>
          <w:rFonts w:hint="eastAsia"/>
          <w:color w:val="000000" w:themeColor="text1"/>
          <w:sz w:val="21"/>
          <w:szCs w:val="21"/>
          <w:highlight w:val="none"/>
          <w:lang w:val="en-US" w:eastAsia="zh-CN"/>
          <w14:textFill>
            <w14:solidFill>
              <w14:schemeClr w14:val="tx1"/>
            </w14:solidFill>
          </w14:textFill>
        </w:rPr>
      </w:pPr>
    </w:p>
    <w:p w14:paraId="63C30DD6">
      <w:pPr>
        <w:pStyle w:val="98"/>
        <w:tabs>
          <w:tab w:val="left" w:leader="underscore" w:pos="3474"/>
        </w:tabs>
        <w:spacing w:line="360" w:lineRule="auto"/>
        <w:rPr>
          <w:rFonts w:hint="eastAsia"/>
          <w:color w:val="000000" w:themeColor="text1"/>
          <w:sz w:val="21"/>
          <w:szCs w:val="21"/>
          <w:highlight w:val="none"/>
          <w:lang w:val="en-US" w:eastAsia="zh-CN"/>
          <w14:textFill>
            <w14:solidFill>
              <w14:schemeClr w14:val="tx1"/>
            </w14:solidFill>
          </w14:textFill>
        </w:rPr>
      </w:pPr>
    </w:p>
    <w:p w14:paraId="4CF6AAA6">
      <w:pPr>
        <w:pStyle w:val="98"/>
        <w:tabs>
          <w:tab w:val="left" w:leader="underscore" w:pos="3474"/>
        </w:tabs>
        <w:spacing w:line="360" w:lineRule="auto"/>
        <w:rPr>
          <w:rFonts w:hint="eastAsia"/>
          <w:color w:val="000000" w:themeColor="text1"/>
          <w:sz w:val="21"/>
          <w:szCs w:val="21"/>
          <w:highlight w:val="none"/>
          <w:lang w:val="en-US" w:eastAsia="zh-CN"/>
          <w14:textFill>
            <w14:solidFill>
              <w14:schemeClr w14:val="tx1"/>
            </w14:solidFill>
          </w14:textFill>
        </w:rPr>
      </w:pPr>
    </w:p>
    <w:bookmarkEnd w:id="1095"/>
    <w:p w14:paraId="2DFD8F54">
      <w:pP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r>
    </w:p>
    <w:p w14:paraId="73704801">
      <w:pPr>
        <w:pStyle w:val="98"/>
        <w:tabs>
          <w:tab w:val="left" w:leader="underscore" w:pos="3474"/>
        </w:tabs>
        <w:spacing w:line="360" w:lineRule="auto"/>
        <w:ind w:firstLine="0"/>
        <w:jc w:val="both"/>
        <w:rPr>
          <w:rFonts w:hint="eastAsia" w:eastAsia="黑体"/>
          <w:b/>
          <w:color w:val="000000" w:themeColor="text1"/>
          <w:sz w:val="32"/>
          <w:szCs w:val="32"/>
          <w:highlight w:val="none"/>
          <w:lang w:eastAsia="zh-CN"/>
          <w14:textFill>
            <w14:solidFill>
              <w14:schemeClr w14:val="tx1"/>
            </w14:solidFill>
          </w14:textFill>
        </w:rPr>
      </w:pPr>
      <w:r>
        <w:rPr>
          <w:rFonts w:hint="eastAsia" w:ascii="黑体" w:hAnsi="黑体" w:eastAsia="黑体"/>
          <w:color w:val="000000" w:themeColor="text1"/>
          <w:highlight w:val="none"/>
          <w14:textFill>
            <w14:solidFill>
              <w14:schemeClr w14:val="tx1"/>
            </w14:solidFill>
          </w14:textFill>
        </w:rPr>
        <w:t>附件</w:t>
      </w:r>
      <w:r>
        <w:rPr>
          <w:rFonts w:hint="eastAsia" w:ascii="黑体" w:hAnsi="黑体" w:eastAsia="黑体"/>
          <w:color w:val="000000" w:themeColor="text1"/>
          <w:highlight w:val="none"/>
          <w:lang w:val="en-US" w:eastAsia="zh-CN"/>
          <w14:textFill>
            <w14:solidFill>
              <w14:schemeClr w14:val="tx1"/>
            </w14:solidFill>
          </w14:textFill>
        </w:rPr>
        <w:t>4</w:t>
      </w:r>
    </w:p>
    <w:p w14:paraId="35873AEF">
      <w:pPr>
        <w:pStyle w:val="98"/>
        <w:tabs>
          <w:tab w:val="left" w:leader="underscore" w:pos="3474"/>
        </w:tabs>
        <w:spacing w:line="360" w:lineRule="auto"/>
        <w:ind w:firstLine="643" w:firstLineChars="200"/>
        <w:jc w:val="center"/>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承诺书</w:t>
      </w:r>
    </w:p>
    <w:p w14:paraId="1FECC44F">
      <w:pPr>
        <w:spacing w:after="240"/>
        <w:jc w:val="center"/>
        <w:rPr>
          <w:rFonts w:hint="eastAsia" w:ascii="宋体" w:hAnsi="宋体" w:cs="宋体"/>
          <w:b/>
          <w:color w:val="000000" w:themeColor="text1"/>
          <w:sz w:val="32"/>
          <w:szCs w:val="32"/>
          <w:highlight w:val="none"/>
          <w14:textFill>
            <w14:solidFill>
              <w14:schemeClr w14:val="tx1"/>
            </w14:solidFill>
          </w14:textFill>
        </w:rPr>
      </w:pPr>
    </w:p>
    <w:p w14:paraId="5933CA3D">
      <w:pPr>
        <w:spacing w:line="60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（采购人名称）：</w:t>
      </w:r>
    </w:p>
    <w:p w14:paraId="32E26133">
      <w:pPr>
        <w:spacing w:line="60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我方在此声明，我方拟派往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（项目名称）（以下简称“本工程”）的项目负责人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（项目经理姓名）现阶段没有担任任何在施建设工程项目的项目经理，且无不良信用记录。</w:t>
      </w:r>
    </w:p>
    <w:p w14:paraId="31B7AF9B">
      <w:pPr>
        <w:spacing w:line="60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我方保证上述信息的真实和准确，并愿意承担因我方就此弄虚作假所引起的一切法律后果。</w:t>
      </w:r>
    </w:p>
    <w:p w14:paraId="6ED88B1F">
      <w:pPr>
        <w:spacing w:line="440" w:lineRule="exact"/>
        <w:ind w:firstLine="420" w:firstLineChars="200"/>
        <w:rPr>
          <w:rFonts w:hint="eastAsia" w:ascii="宋体" w:hAnsi="宋体" w:cs="宋体"/>
          <w:color w:val="000000" w:themeColor="text1"/>
          <w:szCs w:val="21"/>
          <w:highlight w:val="none"/>
          <w14:textFill>
            <w14:solidFill>
              <w14:schemeClr w14:val="tx1"/>
            </w14:solidFill>
          </w14:textFill>
        </w:rPr>
      </w:pPr>
    </w:p>
    <w:p w14:paraId="045E1ED9">
      <w:pPr>
        <w:spacing w:line="44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特此承诺</w:t>
      </w:r>
    </w:p>
    <w:p w14:paraId="29D2249A">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7DD30381">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233A6AB8">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131CDC41">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553A610F">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3BAA662C">
      <w:pPr>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131E8B24">
      <w:pPr>
        <w:spacing w:line="440" w:lineRule="exact"/>
        <w:ind w:right="48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投</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标</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（盖单位章）</w:t>
      </w:r>
    </w:p>
    <w:p w14:paraId="15CC9FCD">
      <w:pPr>
        <w:spacing w:line="440" w:lineRule="exact"/>
        <w:ind w:right="48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法定代表人或其委托代理人：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（签名）</w:t>
      </w:r>
    </w:p>
    <w:p w14:paraId="661B2608">
      <w:pPr>
        <w:spacing w:line="440" w:lineRule="exact"/>
        <w:ind w:right="480" w:firstLine="2730" w:firstLineChars="13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    期：20    年  月  日</w:t>
      </w:r>
    </w:p>
    <w:p w14:paraId="3A8EE157">
      <w:pPr>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p>
    <w:p w14:paraId="166797AE">
      <w:pPr>
        <w:spacing w:line="400" w:lineRule="exact"/>
        <w:ind w:right="840"/>
        <w:jc w:val="right"/>
        <w:outlineLvl w:val="1"/>
        <w:rPr>
          <w:rFonts w:ascii="仿宋_GB2312" w:eastAsia="仿宋_GB2312"/>
          <w:b/>
          <w:bCs/>
          <w:color w:val="000000" w:themeColor="text1"/>
          <w:sz w:val="24"/>
          <w:szCs w:val="36"/>
          <w:highlight w:val="none"/>
          <w14:textFill>
            <w14:solidFill>
              <w14:schemeClr w14:val="tx1"/>
            </w14:solidFill>
          </w14:textFill>
        </w:rPr>
      </w:pPr>
      <w:bookmarkStart w:id="1096" w:name="_Toc735442275"/>
      <w:bookmarkStart w:id="1097" w:name="_Toc17019"/>
      <w:r>
        <w:rPr>
          <w:rFonts w:hint="eastAsia" w:ascii="宋体" w:hAnsi="宋体"/>
          <w:b/>
          <w:bCs/>
          <w:color w:val="000000" w:themeColor="text1"/>
          <w:sz w:val="24"/>
          <w:szCs w:val="36"/>
          <w:highlight w:val="none"/>
          <w14:textFill>
            <w14:solidFill>
              <w14:schemeClr w14:val="tx1"/>
            </w14:solidFill>
          </w14:textFill>
        </w:rPr>
        <w:t>正本/副本</w:t>
      </w:r>
      <w:bookmarkEnd w:id="1096"/>
      <w:bookmarkEnd w:id="1097"/>
    </w:p>
    <w:p w14:paraId="1F32B638">
      <w:pPr>
        <w:spacing w:before="120" w:after="120" w:line="400" w:lineRule="exact"/>
        <w:outlineLvl w:val="1"/>
        <w:rPr>
          <w:rFonts w:hint="eastAsia" w:ascii="宋体" w:hAnsi="宋体"/>
          <w:b/>
          <w:bCs/>
          <w:color w:val="000000" w:themeColor="text1"/>
          <w:sz w:val="24"/>
          <w:szCs w:val="36"/>
          <w:highlight w:val="none"/>
          <w14:textFill>
            <w14:solidFill>
              <w14:schemeClr w14:val="tx1"/>
            </w14:solidFill>
          </w14:textFill>
        </w:rPr>
      </w:pPr>
      <w:bookmarkStart w:id="1098" w:name="_Toc11889"/>
      <w:bookmarkStart w:id="1099" w:name="_Toc1809927440"/>
      <w:r>
        <w:rPr>
          <w:rFonts w:hint="eastAsia" w:ascii="宋体" w:hAnsi="宋体"/>
          <w:b/>
          <w:bCs/>
          <w:color w:val="000000" w:themeColor="text1"/>
          <w:sz w:val="24"/>
          <w:szCs w:val="36"/>
          <w:highlight w:val="none"/>
          <w14:textFill>
            <w14:solidFill>
              <w14:schemeClr w14:val="tx1"/>
            </w14:solidFill>
          </w14:textFill>
        </w:rPr>
        <w:t>政府采购项目</w:t>
      </w:r>
      <w:bookmarkEnd w:id="1098"/>
      <w:bookmarkEnd w:id="1099"/>
    </w:p>
    <w:p w14:paraId="77854B2C">
      <w:pPr>
        <w:spacing w:before="120" w:after="120" w:line="400" w:lineRule="exact"/>
        <w:outlineLvl w:val="1"/>
        <w:rPr>
          <w:rFonts w:hint="eastAsia" w:ascii="宋体" w:hAnsi="宋体"/>
          <w:b/>
          <w:bCs/>
          <w:color w:val="000000" w:themeColor="text1"/>
          <w:sz w:val="24"/>
          <w:szCs w:val="36"/>
          <w:highlight w:val="none"/>
          <w14:textFill>
            <w14:solidFill>
              <w14:schemeClr w14:val="tx1"/>
            </w14:solidFill>
          </w14:textFill>
        </w:rPr>
      </w:pPr>
      <w:bookmarkStart w:id="1100" w:name="_Toc344624325"/>
      <w:bookmarkStart w:id="1101" w:name="_Toc31500"/>
      <w:r>
        <w:rPr>
          <w:rFonts w:hint="eastAsia" w:ascii="宋体" w:hAnsi="宋体"/>
          <w:b/>
          <w:bCs/>
          <w:color w:val="000000" w:themeColor="text1"/>
          <w:sz w:val="24"/>
          <w:szCs w:val="36"/>
          <w:highlight w:val="none"/>
          <w14:textFill>
            <w14:solidFill>
              <w14:schemeClr w14:val="tx1"/>
            </w14:solidFill>
          </w14:textFill>
        </w:rPr>
        <w:t>采购项目编号：</w:t>
      </w:r>
      <w:bookmarkEnd w:id="1100"/>
      <w:r>
        <w:rPr>
          <w:rFonts w:hint="eastAsia" w:ascii="宋体" w:hAnsi="宋体"/>
          <w:b/>
          <w:bCs/>
          <w:color w:val="000000" w:themeColor="text1"/>
          <w:sz w:val="24"/>
          <w:szCs w:val="36"/>
          <w:highlight w:val="none"/>
          <w14:textFill>
            <w14:solidFill>
              <w14:schemeClr w14:val="tx1"/>
            </w14:solidFill>
          </w14:textFill>
        </w:rPr>
        <w:t>SXLX26-01-043Z(G)</w:t>
      </w:r>
      <w:bookmarkEnd w:id="1101"/>
    </w:p>
    <w:p w14:paraId="4FA1C61A">
      <w:pPr>
        <w:spacing w:line="400" w:lineRule="exact"/>
        <w:jc w:val="left"/>
        <w:rPr>
          <w:rFonts w:ascii="仿宋_GB2312" w:eastAsia="仿宋_GB2312"/>
          <w:color w:val="000000" w:themeColor="text1"/>
          <w:szCs w:val="28"/>
          <w:highlight w:val="none"/>
          <w14:textFill>
            <w14:solidFill>
              <w14:schemeClr w14:val="tx1"/>
            </w14:solidFill>
          </w14:textFill>
        </w:rPr>
      </w:pPr>
    </w:p>
    <w:p w14:paraId="0C39BBAD">
      <w:pPr>
        <w:jc w:val="center"/>
        <w:rPr>
          <w:rFonts w:hint="eastAsia" w:ascii="方正小标宋简体" w:hAnsi="宋体" w:eastAsia="方正小标宋简体"/>
          <w:color w:val="000000" w:themeColor="text1"/>
          <w:sz w:val="52"/>
          <w:szCs w:val="52"/>
          <w:highlight w:val="none"/>
          <w14:textFill>
            <w14:solidFill>
              <w14:schemeClr w14:val="tx1"/>
            </w14:solidFill>
          </w14:textFill>
        </w:rPr>
      </w:pPr>
    </w:p>
    <w:p w14:paraId="1DE1825D">
      <w:pPr>
        <w:spacing w:line="360" w:lineRule="auto"/>
        <w:jc w:val="center"/>
        <w:rPr>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52"/>
          <w:szCs w:val="52"/>
          <w:highlight w:val="none"/>
          <w14:textFill>
            <w14:solidFill>
              <w14:schemeClr w14:val="tx1"/>
            </w14:solidFill>
          </w14:textFill>
        </w:rPr>
        <w:t>陕西测绘地理信息局既有住宅加装电梯项目（三期）首批工程</w:t>
      </w:r>
    </w:p>
    <w:p w14:paraId="6F52EB32">
      <w:pPr>
        <w:spacing w:line="680" w:lineRule="exact"/>
        <w:jc w:val="center"/>
        <w:rPr>
          <w:rFonts w:hint="eastAsia" w:asciiTheme="minorEastAsia" w:hAnsiTheme="minorEastAsia" w:eastAsiaTheme="minorEastAsia" w:cstheme="minorEastAsia"/>
          <w:color w:val="000000" w:themeColor="text1"/>
          <w:sz w:val="56"/>
          <w:szCs w:val="56"/>
          <w:highlight w:val="none"/>
          <w14:textFill>
            <w14:solidFill>
              <w14:schemeClr w14:val="tx1"/>
            </w14:solidFill>
          </w14:textFill>
        </w:rPr>
      </w:pPr>
      <w:r>
        <w:rPr>
          <w:rFonts w:hint="eastAsia" w:ascii="宋体" w:hAnsi="宋体"/>
          <w:color w:val="000000" w:themeColor="text1"/>
          <w:kern w:val="0"/>
          <w:sz w:val="28"/>
          <w:szCs w:val="28"/>
          <w:highlight w:val="none"/>
          <w14:textFill>
            <w14:solidFill>
              <w14:schemeClr w14:val="tx1"/>
            </w14:solidFill>
          </w14:textFill>
        </w:rPr>
        <w:t>（7号楼3单元、30号楼2单元、29号楼5、6单元）</w:t>
      </w:r>
    </w:p>
    <w:p w14:paraId="5B15CCF5">
      <w:pPr>
        <w:spacing w:line="400" w:lineRule="exact"/>
        <w:jc w:val="left"/>
        <w:rPr>
          <w:rFonts w:hint="eastAsia" w:ascii="宋体" w:hAnsi="宋体"/>
          <w:color w:val="000000" w:themeColor="text1"/>
          <w:sz w:val="44"/>
          <w:szCs w:val="44"/>
          <w:highlight w:val="none"/>
          <w14:textFill>
            <w14:solidFill>
              <w14:schemeClr w14:val="tx1"/>
            </w14:solidFill>
          </w14:textFill>
        </w:rPr>
      </w:pPr>
    </w:p>
    <w:p w14:paraId="6E64AD24">
      <w:pPr>
        <w:pStyle w:val="7"/>
        <w:rPr>
          <w:color w:val="000000" w:themeColor="text1"/>
          <w:highlight w:val="none"/>
          <w14:textFill>
            <w14:solidFill>
              <w14:schemeClr w14:val="tx1"/>
            </w14:solidFill>
          </w14:textFill>
        </w:rPr>
      </w:pPr>
    </w:p>
    <w:p w14:paraId="27532BA0">
      <w:pPr>
        <w:pStyle w:val="7"/>
        <w:rPr>
          <w:rFonts w:hint="eastAsia" w:asciiTheme="minorEastAsia" w:hAnsiTheme="minorEastAsia" w:eastAsiaTheme="minorEastAsia" w:cstheme="minorEastAsia"/>
          <w:color w:val="000000" w:themeColor="text1"/>
          <w:sz w:val="56"/>
          <w:szCs w:val="56"/>
          <w:highlight w:val="none"/>
          <w14:textFill>
            <w14:solidFill>
              <w14:schemeClr w14:val="tx1"/>
            </w14:solidFill>
          </w14:textFill>
        </w:rPr>
      </w:pPr>
    </w:p>
    <w:p w14:paraId="3CBD622E">
      <w:pPr>
        <w:spacing w:line="900" w:lineRule="exact"/>
        <w:jc w:val="center"/>
        <w:rPr>
          <w:color w:val="000000" w:themeColor="text1"/>
          <w:sz w:val="32"/>
          <w:szCs w:val="32"/>
          <w:highlight w:val="none"/>
          <w14:textFill>
            <w14:solidFill>
              <w14:schemeClr w14:val="tx1"/>
            </w14:solidFill>
          </w14:textFill>
        </w:rPr>
      </w:pPr>
      <w:r>
        <w:rPr>
          <w:rFonts w:hint="eastAsia" w:ascii="方正小标宋简体" w:hAnsi="宋体" w:eastAsia="方正小标宋简体"/>
          <w:color w:val="000000" w:themeColor="text1"/>
          <w:sz w:val="84"/>
          <w:szCs w:val="84"/>
          <w:highlight w:val="none"/>
          <w14:textFill>
            <w14:solidFill>
              <w14:schemeClr w14:val="tx1"/>
            </w14:solidFill>
          </w14:textFill>
        </w:rPr>
        <w:t>投标文件</w:t>
      </w:r>
      <w:r>
        <w:rPr>
          <w:rFonts w:hint="eastAsia"/>
          <w:color w:val="000000" w:themeColor="text1"/>
          <w:sz w:val="32"/>
          <w:szCs w:val="32"/>
          <w:highlight w:val="none"/>
          <w14:textFill>
            <w14:solidFill>
              <w14:schemeClr w14:val="tx1"/>
            </w14:solidFill>
          </w14:textFill>
        </w:rPr>
        <w:t xml:space="preserve"> </w:t>
      </w:r>
    </w:p>
    <w:p w14:paraId="486C5C5F">
      <w:pPr>
        <w:pStyle w:val="7"/>
        <w:ind w:firstLine="0"/>
        <w:jc w:val="center"/>
        <w:outlineLvl w:val="1"/>
        <w:rPr>
          <w:color w:val="000000" w:themeColor="text1"/>
          <w:sz w:val="32"/>
          <w:szCs w:val="32"/>
          <w:highlight w:val="none"/>
          <w14:textFill>
            <w14:solidFill>
              <w14:schemeClr w14:val="tx1"/>
            </w14:solidFill>
          </w14:textFill>
        </w:rPr>
      </w:pPr>
      <w:bookmarkStart w:id="1102" w:name="_Toc968153638"/>
      <w:bookmarkStart w:id="1103" w:name="_Toc19570"/>
      <w:r>
        <w:rPr>
          <w:rFonts w:hint="eastAsia"/>
          <w:color w:val="000000" w:themeColor="text1"/>
          <w:sz w:val="32"/>
          <w:szCs w:val="32"/>
          <w:highlight w:val="none"/>
          <w14:textFill>
            <w14:solidFill>
              <w14:schemeClr w14:val="tx1"/>
            </w14:solidFill>
          </w14:textFill>
        </w:rPr>
        <w:t>（商务文件）</w:t>
      </w:r>
      <w:bookmarkEnd w:id="1102"/>
      <w:bookmarkEnd w:id="1103"/>
    </w:p>
    <w:p w14:paraId="0020844E">
      <w:pPr>
        <w:pStyle w:val="7"/>
        <w:jc w:val="center"/>
        <w:rPr>
          <w:color w:val="000000" w:themeColor="text1"/>
          <w:sz w:val="28"/>
          <w:szCs w:val="28"/>
          <w:highlight w:val="none"/>
          <w14:textFill>
            <w14:solidFill>
              <w14:schemeClr w14:val="tx1"/>
            </w14:solidFill>
          </w14:textFill>
        </w:rPr>
      </w:pPr>
    </w:p>
    <w:p w14:paraId="7A804500">
      <w:pPr>
        <w:pStyle w:val="7"/>
        <w:jc w:val="left"/>
        <w:rPr>
          <w:color w:val="000000" w:themeColor="text1"/>
          <w:sz w:val="28"/>
          <w:szCs w:val="28"/>
          <w:highlight w:val="none"/>
          <w14:textFill>
            <w14:solidFill>
              <w14:schemeClr w14:val="tx1"/>
            </w14:solidFill>
          </w14:textFill>
        </w:rPr>
      </w:pPr>
    </w:p>
    <w:p w14:paraId="25E418B3">
      <w:pPr>
        <w:pStyle w:val="7"/>
        <w:jc w:val="left"/>
        <w:rPr>
          <w:color w:val="000000" w:themeColor="text1"/>
          <w:sz w:val="28"/>
          <w:szCs w:val="28"/>
          <w:highlight w:val="none"/>
          <w14:textFill>
            <w14:solidFill>
              <w14:schemeClr w14:val="tx1"/>
            </w14:solidFill>
          </w14:textFill>
        </w:rPr>
      </w:pPr>
    </w:p>
    <w:p w14:paraId="3A944B17">
      <w:pPr>
        <w:pStyle w:val="7"/>
        <w:jc w:val="left"/>
        <w:rPr>
          <w:color w:val="000000" w:themeColor="text1"/>
          <w:sz w:val="28"/>
          <w:szCs w:val="28"/>
          <w:highlight w:val="none"/>
          <w14:textFill>
            <w14:solidFill>
              <w14:schemeClr w14:val="tx1"/>
            </w14:solidFill>
          </w14:textFill>
        </w:rPr>
      </w:pPr>
    </w:p>
    <w:p w14:paraId="661196CE">
      <w:pPr>
        <w:pStyle w:val="7"/>
        <w:spacing w:before="120" w:beforeLines="50"/>
        <w:ind w:firstLine="1630" w:firstLineChars="580"/>
        <w:rPr>
          <w:rFonts w:hint="eastAsia" w:ascii="宋体" w:hAnsi="宋体"/>
          <w:b/>
          <w:color w:val="000000" w:themeColor="text1"/>
          <w:sz w:val="28"/>
          <w:szCs w:val="28"/>
          <w:highlight w:val="none"/>
          <w14:textFill>
            <w14:solidFill>
              <w14:schemeClr w14:val="tx1"/>
            </w14:solidFill>
          </w14:textFill>
        </w:rPr>
      </w:pPr>
    </w:p>
    <w:p w14:paraId="4BD35ACA">
      <w:pPr>
        <w:pStyle w:val="7"/>
        <w:spacing w:before="120" w:beforeLines="50"/>
        <w:ind w:firstLine="1630" w:firstLineChars="580"/>
        <w:rPr>
          <w:rFonts w:hint="eastAsia" w:ascii="宋体" w:hAnsi="宋体"/>
          <w:b/>
          <w:color w:val="000000" w:themeColor="text1"/>
          <w:sz w:val="28"/>
          <w:szCs w:val="28"/>
          <w:highlight w:val="none"/>
          <w14:textFill>
            <w14:solidFill>
              <w14:schemeClr w14:val="tx1"/>
            </w14:solidFill>
          </w14:textFill>
        </w:rPr>
      </w:pPr>
    </w:p>
    <w:p w14:paraId="064EDE30">
      <w:pPr>
        <w:pStyle w:val="7"/>
        <w:spacing w:before="120" w:beforeLines="50" w:line="360" w:lineRule="auto"/>
        <w:ind w:firstLine="1630" w:firstLineChars="580"/>
        <w:outlineLvl w:val="1"/>
        <w:rPr>
          <w:rFonts w:hint="eastAsia" w:ascii="宋体" w:hAnsi="宋体"/>
          <w:b/>
          <w:color w:val="000000" w:themeColor="text1"/>
          <w:sz w:val="28"/>
          <w:szCs w:val="28"/>
          <w:highlight w:val="none"/>
          <w14:textFill>
            <w14:solidFill>
              <w14:schemeClr w14:val="tx1"/>
            </w14:solidFill>
          </w14:textFill>
        </w:rPr>
      </w:pPr>
      <w:bookmarkStart w:id="1104" w:name="_Toc274600547"/>
      <w:bookmarkStart w:id="1105" w:name="_Toc20226"/>
      <w:r>
        <w:rPr>
          <w:rFonts w:hint="eastAsia" w:ascii="宋体" w:hAnsi="宋体"/>
          <w:b/>
          <w:color w:val="000000" w:themeColor="text1"/>
          <w:sz w:val="28"/>
          <w:szCs w:val="28"/>
          <w:highlight w:val="none"/>
          <w14:textFill>
            <w14:solidFill>
              <w14:schemeClr w14:val="tx1"/>
            </w14:solidFill>
          </w14:textFill>
        </w:rPr>
        <w:t xml:space="preserve">投标人：                        </w:t>
      </w:r>
      <w:r>
        <w:rPr>
          <w:rFonts w:hint="eastAsia" w:ascii="宋体" w:hAnsi="宋体"/>
          <w:color w:val="000000" w:themeColor="text1"/>
          <w:sz w:val="28"/>
          <w:szCs w:val="28"/>
          <w:highlight w:val="none"/>
          <w14:textFill>
            <w14:solidFill>
              <w14:schemeClr w14:val="tx1"/>
            </w14:solidFill>
          </w14:textFill>
        </w:rPr>
        <w:t>（盖单位章）</w:t>
      </w:r>
      <w:bookmarkEnd w:id="1104"/>
      <w:bookmarkEnd w:id="1105"/>
    </w:p>
    <w:p w14:paraId="1AAE9302">
      <w:pPr>
        <w:pStyle w:val="7"/>
        <w:spacing w:before="120" w:beforeLines="50" w:line="360" w:lineRule="auto"/>
        <w:ind w:firstLine="1630" w:firstLineChars="580"/>
        <w:outlineLvl w:val="1"/>
        <w:rPr>
          <w:rFonts w:hint="eastAsia" w:ascii="宋体" w:hAnsi="宋体"/>
          <w:color w:val="000000" w:themeColor="text1"/>
          <w:sz w:val="28"/>
          <w:szCs w:val="28"/>
          <w:highlight w:val="none"/>
          <w14:textFill>
            <w14:solidFill>
              <w14:schemeClr w14:val="tx1"/>
            </w14:solidFill>
          </w14:textFill>
        </w:rPr>
      </w:pPr>
      <w:bookmarkStart w:id="1106" w:name="_Toc25150"/>
      <w:bookmarkStart w:id="1107" w:name="_Toc269036026"/>
      <w:r>
        <w:rPr>
          <w:rFonts w:hint="eastAsia" w:ascii="宋体" w:hAnsi="宋体"/>
          <w:b/>
          <w:color w:val="000000" w:themeColor="text1"/>
          <w:sz w:val="28"/>
          <w:szCs w:val="28"/>
          <w:highlight w:val="none"/>
          <w14:textFill>
            <w14:solidFill>
              <w14:schemeClr w14:val="tx1"/>
            </w14:solidFill>
          </w14:textFill>
        </w:rPr>
        <w:t xml:space="preserve">法定代表人或其委托代理人：       </w:t>
      </w:r>
      <w:r>
        <w:rPr>
          <w:rFonts w:hint="eastAsia" w:ascii="宋体" w:hAnsi="宋体"/>
          <w:color w:val="000000" w:themeColor="text1"/>
          <w:sz w:val="28"/>
          <w:szCs w:val="28"/>
          <w:highlight w:val="none"/>
          <w14:textFill>
            <w14:solidFill>
              <w14:schemeClr w14:val="tx1"/>
            </w14:solidFill>
          </w14:textFill>
        </w:rPr>
        <w:t>（签名）</w:t>
      </w:r>
      <w:bookmarkEnd w:id="1106"/>
      <w:bookmarkEnd w:id="1107"/>
    </w:p>
    <w:p w14:paraId="364A76B7">
      <w:pPr>
        <w:pStyle w:val="7"/>
        <w:spacing w:before="120" w:beforeLines="50" w:line="360" w:lineRule="auto"/>
        <w:ind w:firstLine="1630" w:firstLineChars="580"/>
        <w:outlineLvl w:val="1"/>
        <w:rPr>
          <w:color w:val="000000" w:themeColor="text1"/>
          <w:sz w:val="28"/>
          <w:szCs w:val="28"/>
          <w:highlight w:val="none"/>
          <w14:textFill>
            <w14:solidFill>
              <w14:schemeClr w14:val="tx1"/>
            </w14:solidFill>
          </w14:textFill>
        </w:rPr>
      </w:pPr>
      <w:bookmarkStart w:id="1108" w:name="_Toc1235412047"/>
      <w:bookmarkStart w:id="1109" w:name="_Toc3319"/>
      <w:r>
        <w:rPr>
          <w:rFonts w:hint="eastAsia"/>
          <w:b/>
          <w:color w:val="000000" w:themeColor="text1"/>
          <w:sz w:val="28"/>
          <w:szCs w:val="28"/>
          <w:highlight w:val="none"/>
          <w14:textFill>
            <w14:solidFill>
              <w14:schemeClr w14:val="tx1"/>
            </w14:solidFill>
          </w14:textFill>
        </w:rPr>
        <w:t xml:space="preserve">时  间：       </w:t>
      </w:r>
      <w:r>
        <w:rPr>
          <w:rFonts w:hint="eastAsia"/>
          <w:color w:val="000000" w:themeColor="text1"/>
          <w:sz w:val="28"/>
          <w:szCs w:val="28"/>
          <w:highlight w:val="none"/>
          <w14:textFill>
            <w14:solidFill>
              <w14:schemeClr w14:val="tx1"/>
            </w14:solidFill>
          </w14:textFill>
        </w:rPr>
        <w:t xml:space="preserve">  年   月   日</w:t>
      </w:r>
      <w:bookmarkEnd w:id="1108"/>
      <w:bookmarkEnd w:id="1109"/>
    </w:p>
    <w:p w14:paraId="61B90CCA">
      <w:pPr>
        <w:pStyle w:val="7"/>
        <w:spacing w:before="120" w:beforeLines="50" w:after="120" w:afterLines="50"/>
        <w:ind w:firstLine="0"/>
        <w:jc w:val="center"/>
        <w:rPr>
          <w:b/>
          <w:color w:val="000000" w:themeColor="text1"/>
          <w:sz w:val="44"/>
          <w:szCs w:val="44"/>
          <w:highlight w:val="none"/>
          <w14:textFill>
            <w14:solidFill>
              <w14:schemeClr w14:val="tx1"/>
            </w14:solidFill>
          </w14:textFill>
        </w:rPr>
      </w:pPr>
    </w:p>
    <w:p w14:paraId="132C9813">
      <w:pPr>
        <w:pStyle w:val="7"/>
        <w:spacing w:before="120" w:beforeLines="50" w:after="120" w:afterLines="50"/>
        <w:ind w:firstLine="0"/>
        <w:jc w:val="center"/>
        <w:rPr>
          <w:b/>
          <w:color w:val="000000" w:themeColor="text1"/>
          <w:sz w:val="44"/>
          <w:szCs w:val="44"/>
          <w:highlight w:val="none"/>
          <w14:textFill>
            <w14:solidFill>
              <w14:schemeClr w14:val="tx1"/>
            </w14:solidFill>
          </w14:textFill>
        </w:rPr>
        <w:sectPr>
          <w:pgSz w:w="11907" w:h="16840"/>
          <w:pgMar w:top="1440" w:right="1474" w:bottom="1440" w:left="1474" w:header="851" w:footer="992" w:gutter="0"/>
          <w:cols w:space="720" w:num="1"/>
          <w:titlePg/>
        </w:sectPr>
      </w:pPr>
    </w:p>
    <w:p w14:paraId="30D2B997">
      <w:pPr>
        <w:pStyle w:val="7"/>
        <w:spacing w:before="120" w:beforeLines="50" w:after="120" w:afterLines="50"/>
        <w:ind w:firstLine="0"/>
        <w:jc w:val="center"/>
        <w:outlineLvl w:val="1"/>
        <w:rPr>
          <w:b/>
          <w:color w:val="000000" w:themeColor="text1"/>
          <w:sz w:val="44"/>
          <w:szCs w:val="44"/>
          <w:highlight w:val="none"/>
          <w14:textFill>
            <w14:solidFill>
              <w14:schemeClr w14:val="tx1"/>
            </w14:solidFill>
          </w14:textFill>
        </w:rPr>
      </w:pPr>
      <w:bookmarkStart w:id="1110" w:name="_Toc32756"/>
      <w:bookmarkStart w:id="1111" w:name="_Toc1698374733"/>
      <w:r>
        <w:rPr>
          <w:rFonts w:hint="eastAsia"/>
          <w:b/>
          <w:color w:val="000000" w:themeColor="text1"/>
          <w:sz w:val="44"/>
          <w:szCs w:val="44"/>
          <w:highlight w:val="none"/>
          <w14:textFill>
            <w14:solidFill>
              <w14:schemeClr w14:val="tx1"/>
            </w14:solidFill>
          </w14:textFill>
        </w:rPr>
        <w:t>目  录</w:t>
      </w:r>
      <w:bookmarkEnd w:id="1110"/>
      <w:bookmarkEnd w:id="1111"/>
    </w:p>
    <w:p w14:paraId="1F26A189">
      <w:pPr>
        <w:pStyle w:val="7"/>
        <w:spacing w:before="120" w:beforeLines="50" w:line="360" w:lineRule="auto"/>
        <w:ind w:firstLine="1392" w:firstLineChars="580"/>
        <w:rPr>
          <w:color w:val="000000" w:themeColor="text1"/>
          <w:sz w:val="24"/>
          <w:szCs w:val="24"/>
          <w:highlight w:val="none"/>
          <w14:textFill>
            <w14:solidFill>
              <w14:schemeClr w14:val="tx1"/>
            </w14:solidFill>
          </w14:textFill>
        </w:rPr>
      </w:pPr>
    </w:p>
    <w:p w14:paraId="280FC9C8">
      <w:pPr>
        <w:pStyle w:val="7"/>
        <w:spacing w:before="120" w:beforeLines="50" w:line="360" w:lineRule="auto"/>
        <w:ind w:firstLine="1218" w:firstLineChars="58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一、投标函 ……………………………………………………页码</w:t>
      </w:r>
    </w:p>
    <w:p w14:paraId="00BCBC4D">
      <w:pPr>
        <w:pStyle w:val="7"/>
        <w:spacing w:before="120" w:beforeLines="50" w:line="360" w:lineRule="auto"/>
        <w:ind w:firstLine="1218" w:firstLineChars="58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二、</w:t>
      </w:r>
      <w:r>
        <w:rPr>
          <w:rFonts w:hint="eastAsia" w:hAnsi="宋体"/>
          <w:bCs/>
          <w:color w:val="000000" w:themeColor="text1"/>
          <w:szCs w:val="21"/>
          <w:highlight w:val="none"/>
          <w14:textFill>
            <w14:solidFill>
              <w14:schemeClr w14:val="tx1"/>
            </w14:solidFill>
          </w14:textFill>
        </w:rPr>
        <w:t xml:space="preserve">主要材料与设备报价表 </w:t>
      </w:r>
      <w:r>
        <w:rPr>
          <w:rFonts w:hint="eastAsia"/>
          <w:color w:val="000000" w:themeColor="text1"/>
          <w:szCs w:val="21"/>
          <w:highlight w:val="none"/>
          <w14:textFill>
            <w14:solidFill>
              <w14:schemeClr w14:val="tx1"/>
            </w14:solidFill>
          </w14:textFill>
        </w:rPr>
        <w:t>…………………………………</w:t>
      </w:r>
    </w:p>
    <w:p w14:paraId="639083C1">
      <w:pPr>
        <w:pStyle w:val="7"/>
        <w:spacing w:before="120" w:beforeLines="50" w:line="360" w:lineRule="auto"/>
        <w:ind w:firstLine="1218" w:firstLineChars="580"/>
        <w:rPr>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三、</w:t>
      </w:r>
      <w:r>
        <w:rPr>
          <w:rFonts w:hint="eastAsia"/>
          <w:color w:val="000000" w:themeColor="text1"/>
          <w:szCs w:val="21"/>
          <w:highlight w:val="none"/>
          <w:lang w:val="en-US" w:eastAsia="zh-CN"/>
          <w14:textFill>
            <w14:solidFill>
              <w14:schemeClr w14:val="tx1"/>
            </w14:solidFill>
          </w14:textFill>
        </w:rPr>
        <w:t>投标</w:t>
      </w:r>
      <w:r>
        <w:rPr>
          <w:rFonts w:hint="eastAsia"/>
          <w:color w:val="000000" w:themeColor="text1"/>
          <w:szCs w:val="21"/>
          <w:highlight w:val="none"/>
          <w14:textFill>
            <w14:solidFill>
              <w14:schemeClr w14:val="tx1"/>
            </w14:solidFill>
          </w14:textFill>
        </w:rPr>
        <w:t>偏离表……………………………………………</w:t>
      </w:r>
    </w:p>
    <w:p w14:paraId="3A1B5C48">
      <w:pPr>
        <w:pStyle w:val="7"/>
        <w:spacing w:before="120" w:beforeLines="50" w:line="360" w:lineRule="auto"/>
        <w:ind w:firstLine="1218" w:firstLineChars="58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四、报价明细表（已标价工程量清单）……………………</w:t>
      </w:r>
    </w:p>
    <w:p w14:paraId="46AFFAF1">
      <w:pPr>
        <w:pStyle w:val="7"/>
        <w:spacing w:before="120" w:beforeLines="50" w:line="360" w:lineRule="auto"/>
        <w:ind w:firstLine="1218" w:firstLineChars="58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五、承诺文件……………………………………………………</w:t>
      </w:r>
    </w:p>
    <w:p w14:paraId="683ABFA6">
      <w:pPr>
        <w:pStyle w:val="7"/>
        <w:spacing w:before="120" w:beforeLines="50" w:line="360" w:lineRule="auto"/>
        <w:ind w:firstLine="1218" w:firstLineChars="58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六、</w:t>
      </w:r>
      <w:r>
        <w:rPr>
          <w:color w:val="000000" w:themeColor="text1"/>
          <w:szCs w:val="21"/>
          <w:highlight w:val="none"/>
          <w14:textFill>
            <w14:solidFill>
              <w14:schemeClr w14:val="tx1"/>
            </w14:solidFill>
          </w14:textFill>
        </w:rPr>
        <w:t>投标人</w:t>
      </w:r>
      <w:r>
        <w:rPr>
          <w:rFonts w:hint="eastAsia"/>
          <w:color w:val="000000" w:themeColor="text1"/>
          <w:szCs w:val="21"/>
          <w:highlight w:val="none"/>
          <w14:textFill>
            <w14:solidFill>
              <w14:schemeClr w14:val="tx1"/>
            </w14:solidFill>
          </w14:textFill>
        </w:rPr>
        <w:t>近年业绩证明材料…………………………………</w:t>
      </w:r>
    </w:p>
    <w:p w14:paraId="30D723D0">
      <w:pPr>
        <w:pStyle w:val="7"/>
        <w:spacing w:before="120" w:beforeLines="50" w:line="360" w:lineRule="auto"/>
        <w:ind w:firstLine="1218" w:firstLineChars="58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七、</w:t>
      </w:r>
      <w:r>
        <w:rPr>
          <w:color w:val="000000" w:themeColor="text1"/>
          <w:szCs w:val="21"/>
          <w:highlight w:val="none"/>
          <w14:textFill>
            <w14:solidFill>
              <w14:schemeClr w14:val="tx1"/>
            </w14:solidFill>
          </w14:textFill>
        </w:rPr>
        <w:t>投标人</w:t>
      </w:r>
      <w:r>
        <w:rPr>
          <w:rFonts w:hint="eastAsia"/>
          <w:color w:val="000000" w:themeColor="text1"/>
          <w:szCs w:val="21"/>
          <w:highlight w:val="none"/>
          <w14:textFill>
            <w14:solidFill>
              <w14:schemeClr w14:val="tx1"/>
            </w14:solidFill>
          </w14:textFill>
        </w:rPr>
        <w:t>享受政府采购优惠政策的证明材料………………</w:t>
      </w:r>
    </w:p>
    <w:p w14:paraId="4885BA9A">
      <w:pPr>
        <w:pStyle w:val="7"/>
        <w:spacing w:before="120" w:beforeLines="50" w:line="360" w:lineRule="auto"/>
        <w:ind w:firstLine="1218" w:firstLineChars="58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八、投标保证金交纳凭证………………………………………</w:t>
      </w:r>
    </w:p>
    <w:p w14:paraId="4D549031">
      <w:pPr>
        <w:pStyle w:val="7"/>
        <w:spacing w:before="120" w:beforeLines="50"/>
        <w:ind w:firstLine="0"/>
        <w:rPr>
          <w:rFonts w:hint="eastAsia" w:ascii="宋体" w:hAnsi="宋体"/>
          <w:b/>
          <w:color w:val="000000" w:themeColor="text1"/>
          <w:sz w:val="36"/>
          <w:szCs w:val="36"/>
          <w:highlight w:val="none"/>
          <w14:textFill>
            <w14:solidFill>
              <w14:schemeClr w14:val="tx1"/>
            </w14:solidFill>
          </w14:textFill>
        </w:rPr>
      </w:pPr>
    </w:p>
    <w:p w14:paraId="402C975F">
      <w:pP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br w:type="page"/>
      </w:r>
    </w:p>
    <w:p w14:paraId="09B7DCC0">
      <w:pPr>
        <w:pStyle w:val="7"/>
        <w:spacing w:before="120" w:beforeLines="50"/>
        <w:ind w:firstLine="0"/>
        <w:jc w:val="center"/>
        <w:outlineLvl w:val="0"/>
        <w:rPr>
          <w:rFonts w:ascii="仿宋_GB2312" w:eastAsia="仿宋_GB2312"/>
          <w:b/>
          <w:bCs/>
          <w:color w:val="000000" w:themeColor="text1"/>
          <w:sz w:val="28"/>
          <w:szCs w:val="28"/>
          <w:highlight w:val="none"/>
          <w14:textFill>
            <w14:solidFill>
              <w14:schemeClr w14:val="tx1"/>
            </w14:solidFill>
          </w14:textFill>
        </w:rPr>
      </w:pPr>
      <w:bookmarkStart w:id="1112" w:name="_Toc11317"/>
      <w:bookmarkStart w:id="1113" w:name="_Toc231501607"/>
      <w:r>
        <w:rPr>
          <w:rFonts w:hint="eastAsia" w:ascii="宋体" w:hAnsi="宋体"/>
          <w:b/>
          <w:color w:val="000000" w:themeColor="text1"/>
          <w:sz w:val="36"/>
          <w:szCs w:val="36"/>
          <w:highlight w:val="none"/>
          <w14:textFill>
            <w14:solidFill>
              <w14:schemeClr w14:val="tx1"/>
            </w14:solidFill>
          </w14:textFill>
        </w:rPr>
        <w:t>一、投 标 函</w:t>
      </w:r>
      <w:bookmarkEnd w:id="1112"/>
      <w:bookmarkEnd w:id="1113"/>
    </w:p>
    <w:p w14:paraId="6D9C5EEE">
      <w:pPr>
        <w:pStyle w:val="18"/>
        <w:spacing w:before="480" w:beforeLines="200" w:after="120" w:afterLines="50" w:line="360" w:lineRule="auto"/>
        <w:ind w:firstLine="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陕西隆信项目管理有限公司：</w:t>
      </w:r>
    </w:p>
    <w:p w14:paraId="22F2BE9C">
      <w:pPr>
        <w:pStyle w:val="18"/>
        <w:spacing w:line="360" w:lineRule="auto"/>
        <w:ind w:firstLine="420" w:firstLineChars="20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我方已仔细研究了</w:t>
      </w:r>
      <w:r>
        <w:rPr>
          <w:rFonts w:hint="eastAsia" w:ascii="宋体" w:hAnsi="宋体"/>
          <w:color w:val="000000" w:themeColor="text1"/>
          <w:sz w:val="21"/>
          <w:szCs w:val="21"/>
          <w:highlight w:val="none"/>
          <w:u w:val="single"/>
          <w14:textFill>
            <w14:solidFill>
              <w14:schemeClr w14:val="tx1"/>
            </w14:solidFill>
          </w14:textFill>
        </w:rPr>
        <w:t>陕西测绘地理信息局既有住宅加装电梯项目（三期）工程</w:t>
      </w:r>
      <w:r>
        <w:rPr>
          <w:rFonts w:hint="eastAsia" w:ascii="宋体" w:hAnsi="宋体"/>
          <w:color w:val="000000" w:themeColor="text1"/>
          <w:kern w:val="0"/>
          <w:sz w:val="21"/>
          <w:szCs w:val="21"/>
          <w:highlight w:val="none"/>
          <w:u w:val="single"/>
          <w14:textFill>
            <w14:solidFill>
              <w14:schemeClr w14:val="tx1"/>
            </w14:solidFill>
          </w14:textFill>
        </w:rPr>
        <w:t>（7号楼3单元、30号楼2单元、29号楼5、6单元）</w:t>
      </w:r>
      <w:r>
        <w:rPr>
          <w:rFonts w:hint="eastAsia" w:ascii="宋体" w:hAnsi="宋体"/>
          <w:color w:val="000000" w:themeColor="text1"/>
          <w:sz w:val="21"/>
          <w:szCs w:val="21"/>
          <w:highlight w:val="none"/>
          <w14:textFill>
            <w14:solidFill>
              <w14:schemeClr w14:val="tx1"/>
            </w14:solidFill>
          </w14:textFill>
        </w:rPr>
        <w:t>的招标文件（政府采购项目编号：     ）的全部内容，知悉参加投标的风险，我方承诺接受招标文件的全部条款且无任何异议，</w:t>
      </w:r>
      <w:r>
        <w:rPr>
          <w:rFonts w:hint="eastAsia" w:ascii="宋体" w:hAnsi="宋体"/>
          <w:bCs/>
          <w:color w:val="000000" w:themeColor="text1"/>
          <w:sz w:val="21"/>
          <w:szCs w:val="21"/>
          <w:highlight w:val="none"/>
          <w14:textFill>
            <w14:solidFill>
              <w14:schemeClr w14:val="tx1"/>
            </w14:solidFill>
          </w14:textFill>
        </w:rPr>
        <w:t>决定参加贵单位组织的本项目招标。</w:t>
      </w:r>
    </w:p>
    <w:p w14:paraId="55871ABF">
      <w:pPr>
        <w:pStyle w:val="16"/>
        <w:adjustRightInd w:val="0"/>
        <w:snapToGrid w:val="0"/>
        <w:spacing w:line="360" w:lineRule="auto"/>
        <w:ind w:firstLine="420" w:firstLineChars="200"/>
        <w:rPr>
          <w:rFonts w:hint="eastAsia" w:hAnsi="宋体"/>
          <w:bCs/>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一、我方提交投标文件正本</w:t>
      </w:r>
      <w:r>
        <w:rPr>
          <w:rFonts w:hint="eastAsia" w:hAnsi="宋体"/>
          <w:color w:val="000000" w:themeColor="text1"/>
          <w:highlight w:val="none"/>
          <w:u w:val="single"/>
          <w14:textFill>
            <w14:solidFill>
              <w14:schemeClr w14:val="tx1"/>
            </w14:solidFill>
          </w14:textFill>
        </w:rPr>
        <w:t xml:space="preserve"> 1 </w:t>
      </w:r>
      <w:r>
        <w:rPr>
          <w:rFonts w:hint="eastAsia" w:hAnsi="宋体"/>
          <w:color w:val="000000" w:themeColor="text1"/>
          <w:highlight w:val="none"/>
          <w14:textFill>
            <w14:solidFill>
              <w14:schemeClr w14:val="tx1"/>
            </w14:solidFill>
          </w14:textFill>
        </w:rPr>
        <w:t>套（资格审查文件、商务文件、技术文件各</w:t>
      </w:r>
      <w:r>
        <w:rPr>
          <w:rFonts w:hint="eastAsia" w:hAnsi="宋体"/>
          <w:color w:val="000000" w:themeColor="text1"/>
          <w:highlight w:val="none"/>
          <w:u w:val="single"/>
          <w14:textFill>
            <w14:solidFill>
              <w14:schemeClr w14:val="tx1"/>
            </w14:solidFill>
          </w14:textFill>
        </w:rPr>
        <w:t>1</w:t>
      </w:r>
      <w:r>
        <w:rPr>
          <w:rFonts w:hint="eastAsia" w:hAnsi="宋体"/>
          <w:color w:val="000000" w:themeColor="text1"/>
          <w:highlight w:val="none"/>
          <w14:textFill>
            <w14:solidFill>
              <w14:schemeClr w14:val="tx1"/>
            </w14:solidFill>
          </w14:textFill>
        </w:rPr>
        <w:t>本）和副本</w:t>
      </w:r>
      <w:r>
        <w:rPr>
          <w:rFonts w:hint="eastAsia" w:hAnsi="宋体"/>
          <w:color w:val="000000" w:themeColor="text1"/>
          <w:highlight w:val="none"/>
          <w:u w:val="singl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套（资格审查文件、商务文件、技术文件各</w:t>
      </w:r>
      <w:r>
        <w:rPr>
          <w:rFonts w:hint="eastAsia" w:hAnsi="宋体"/>
          <w:color w:val="000000" w:themeColor="text1"/>
          <w:highlight w:val="none"/>
          <w:u w:val="singl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本），</w:t>
      </w:r>
      <w:r>
        <w:rPr>
          <w:rFonts w:hint="eastAsia" w:hAnsi="宋体"/>
          <w:bCs/>
          <w:color w:val="000000" w:themeColor="text1"/>
          <w:highlight w:val="none"/>
          <w14:textFill>
            <w14:solidFill>
              <w14:schemeClr w14:val="tx1"/>
            </w14:solidFill>
          </w14:textFill>
        </w:rPr>
        <w:t>电子文件</w:t>
      </w:r>
      <w:r>
        <w:rPr>
          <w:rFonts w:hint="eastAsia" w:hAnsi="宋体"/>
          <w:bCs/>
          <w:color w:val="000000" w:themeColor="text1"/>
          <w:highlight w:val="none"/>
          <w:u w:val="single"/>
          <w14:textFill>
            <w14:solidFill>
              <w14:schemeClr w14:val="tx1"/>
            </w14:solidFill>
          </w14:textFill>
        </w:rPr>
        <w:t xml:space="preserve">  </w:t>
      </w:r>
      <w:r>
        <w:rPr>
          <w:rFonts w:hint="eastAsia" w:hAnsi="宋体"/>
          <w:bCs/>
          <w:color w:val="000000" w:themeColor="text1"/>
          <w:highlight w:val="none"/>
          <w14:textFill>
            <w14:solidFill>
              <w14:schemeClr w14:val="tx1"/>
            </w14:solidFill>
          </w14:textFill>
        </w:rPr>
        <w:t>份。</w:t>
      </w:r>
    </w:p>
    <w:p w14:paraId="3B19F471">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二、我方投标总价</w:t>
      </w:r>
      <w:r>
        <w:rPr>
          <w:rFonts w:hint="eastAsia" w:hAnsi="宋体" w:cs="宋体"/>
          <w:color w:val="000000" w:themeColor="text1"/>
          <w:highlight w:val="none"/>
          <w14:textFill>
            <w14:solidFill>
              <w14:schemeClr w14:val="tx1"/>
            </w14:solidFill>
          </w14:textFill>
        </w:rPr>
        <w:t>人民币（大写）</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元 （￥</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w:t>
      </w:r>
      <w:r>
        <w:rPr>
          <w:rFonts w:hint="eastAsia" w:hAnsi="宋体"/>
          <w:bCs/>
          <w:color w:val="000000" w:themeColor="text1"/>
          <w:highlight w:val="none"/>
          <w14:textFill>
            <w14:solidFill>
              <w14:schemeClr w14:val="tx1"/>
            </w14:solidFill>
          </w14:textFill>
        </w:rPr>
        <w:t>，其中，</w:t>
      </w:r>
      <w:r>
        <w:rPr>
          <w:rFonts w:hint="eastAsia" w:hAnsi="宋体" w:cs="宋体"/>
          <w:color w:val="000000" w:themeColor="text1"/>
          <w:highlight w:val="none"/>
          <w14:textFill>
            <w14:solidFill>
              <w14:schemeClr w14:val="tx1"/>
            </w14:solidFill>
          </w14:textFill>
        </w:rPr>
        <w:t>暂列金</w:t>
      </w:r>
      <w:r>
        <w:rPr>
          <w:rFonts w:hint="eastAsia" w:hAnsi="宋体" w:cs="宋体"/>
          <w:color w:val="FF0000"/>
          <w:highlight w:val="none"/>
        </w:rPr>
        <w:t>（不含增值税）</w:t>
      </w:r>
      <w:r>
        <w:rPr>
          <w:rFonts w:hint="eastAsia" w:hAnsi="宋体" w:cs="宋体"/>
          <w:color w:val="000000" w:themeColor="text1"/>
          <w:highlight w:val="none"/>
          <w14:textFill>
            <w14:solidFill>
              <w14:schemeClr w14:val="tx1"/>
            </w14:solidFill>
          </w14:textFill>
        </w:rPr>
        <w:t>人民币（大写）</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元（￥</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），专业工程暂估价</w:t>
      </w:r>
      <w:r>
        <w:rPr>
          <w:rFonts w:hint="eastAsia" w:hAnsi="宋体" w:cs="宋体"/>
          <w:color w:val="FF0000"/>
          <w:highlight w:val="none"/>
        </w:rPr>
        <w:t>（含增值税）</w:t>
      </w:r>
      <w:r>
        <w:rPr>
          <w:rFonts w:hint="eastAsia" w:hAnsi="宋体" w:cs="宋体"/>
          <w:color w:val="000000" w:themeColor="text1"/>
          <w:highlight w:val="none"/>
          <w14:textFill>
            <w14:solidFill>
              <w14:schemeClr w14:val="tx1"/>
            </w14:solidFill>
          </w14:textFill>
        </w:rPr>
        <w:t>人民币（大写）</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元（￥</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）；工期</w:t>
      </w:r>
      <w:r>
        <w:rPr>
          <w:rFonts w:hint="eastAsia" w:hAnsi="宋体"/>
          <w:bCs/>
          <w:color w:val="000000" w:themeColor="text1"/>
          <w:highlight w:val="none"/>
          <w14:textFill>
            <w14:solidFill>
              <w14:schemeClr w14:val="tx1"/>
            </w14:solidFill>
          </w14:textFill>
        </w:rPr>
        <w:t>为</w:t>
      </w:r>
      <w:r>
        <w:rPr>
          <w:rFonts w:hint="eastAsia" w:hAnsi="宋体"/>
          <w:bCs/>
          <w:color w:val="000000" w:themeColor="text1"/>
          <w:highlight w:val="none"/>
          <w:u w:val="single"/>
          <w14:textFill>
            <w14:solidFill>
              <w14:schemeClr w14:val="tx1"/>
            </w14:solidFill>
          </w14:textFill>
        </w:rPr>
        <w:t xml:space="preserve">     </w:t>
      </w:r>
      <w:r>
        <w:rPr>
          <w:rFonts w:hint="eastAsia" w:hAnsi="宋体"/>
          <w:b/>
          <w:color w:val="000000" w:themeColor="text1"/>
          <w:highlight w:val="none"/>
          <w:u w:val="singl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w:t>
      </w:r>
      <w:r>
        <w:rPr>
          <w:rFonts w:hAnsi="宋体"/>
          <w:color w:val="000000" w:themeColor="text1"/>
          <w:highlight w:val="none"/>
          <w14:textFill>
            <w14:solidFill>
              <w14:schemeClr w14:val="tx1"/>
            </w14:solidFill>
          </w14:textFill>
        </w:rPr>
        <w:t>按合同约定实施和完成承包工程</w:t>
      </w:r>
      <w:r>
        <w:rPr>
          <w:rFonts w:hint="eastAsia" w:hAnsi="宋体"/>
          <w:color w:val="000000" w:themeColor="text1"/>
          <w:highlight w:val="none"/>
          <w14:textFill>
            <w14:solidFill>
              <w14:schemeClr w14:val="tx1"/>
            </w14:solidFill>
          </w14:textFill>
        </w:rPr>
        <w:t>，投标有效期为</w:t>
      </w:r>
      <w:r>
        <w:rPr>
          <w:rFonts w:hint="eastAsia"/>
          <w:color w:val="000000" w:themeColor="text1"/>
          <w:highlight w:val="none"/>
          <w:lang w:val="zh-CN"/>
          <w14:textFill>
            <w14:solidFill>
              <w14:schemeClr w14:val="tx1"/>
            </w14:solidFill>
          </w14:textFill>
        </w:rPr>
        <w:t>投标截止日起</w:t>
      </w:r>
      <w:r>
        <w:rPr>
          <w:rFonts w:hint="eastAsia"/>
          <w:color w:val="000000" w:themeColor="text1"/>
          <w:highlight w:val="none"/>
          <w:u w:val="singl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日历</w:t>
      </w:r>
      <w:r>
        <w:rPr>
          <w:rFonts w:hint="eastAsia"/>
          <w:color w:val="000000" w:themeColor="text1"/>
          <w:highlight w:val="none"/>
          <w14:textFill>
            <w14:solidFill>
              <w14:schemeClr w14:val="tx1"/>
            </w14:solidFill>
          </w14:textFill>
        </w:rPr>
        <w:t>天。</w:t>
      </w:r>
    </w:p>
    <w:p w14:paraId="6DC371D5">
      <w:pPr>
        <w:pStyle w:val="18"/>
        <w:spacing w:line="36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三、我方承诺在招标文件规定的投标有效期内不撤销投标文件。</w:t>
      </w:r>
    </w:p>
    <w:p w14:paraId="7DF2EFF6">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四、我方承诺遵守《中华人民共和国政府采购法》及其实施条例的有关规定，保证在获得中标资格后：</w:t>
      </w:r>
    </w:p>
    <w:p w14:paraId="6BECACAC">
      <w:pPr>
        <w:pStyle w:val="18"/>
        <w:spacing w:line="360" w:lineRule="auto"/>
        <w:ind w:firstLine="420" w:firstLineChars="20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（1）在收到中标通知书后，在中标通知书规定的期限内与采购人签订合同；</w:t>
      </w:r>
    </w:p>
    <w:p w14:paraId="71A92982">
      <w:pPr>
        <w:pStyle w:val="18"/>
        <w:spacing w:line="360" w:lineRule="auto"/>
        <w:ind w:firstLine="420" w:firstLineChars="20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（2）在签订合同时，不向采购人提出附加条件；</w:t>
      </w:r>
    </w:p>
    <w:p w14:paraId="01AA5724">
      <w:pPr>
        <w:pStyle w:val="18"/>
        <w:spacing w:line="360" w:lineRule="auto"/>
        <w:ind w:firstLine="420" w:firstLineChars="200"/>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（3）</w:t>
      </w:r>
      <w:r>
        <w:rPr>
          <w:rFonts w:hint="eastAsia" w:ascii="宋体" w:hAnsi="宋体"/>
          <w:color w:val="000000" w:themeColor="text1"/>
          <w:sz w:val="21"/>
          <w:szCs w:val="21"/>
          <w:highlight w:val="none"/>
          <w14:textFill>
            <w14:solidFill>
              <w14:schemeClr w14:val="tx1"/>
            </w14:solidFill>
          </w14:textFill>
        </w:rPr>
        <w:t xml:space="preserve">在合同约定的期限内完成并移交全部合同工程； </w:t>
      </w:r>
    </w:p>
    <w:p w14:paraId="7EDDBDBE">
      <w:pPr>
        <w:pStyle w:val="18"/>
        <w:spacing w:line="360" w:lineRule="auto"/>
        <w:ind w:firstLine="420" w:firstLineChars="20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w:t>
      </w:r>
      <w:r>
        <w:rPr>
          <w:rFonts w:ascii="宋体" w:hAnsi="宋体"/>
          <w:color w:val="000000" w:themeColor="text1"/>
          <w:sz w:val="21"/>
          <w:szCs w:val="21"/>
          <w:highlight w:val="none"/>
          <w14:textFill>
            <w14:solidFill>
              <w14:schemeClr w14:val="tx1"/>
            </w14:solidFill>
          </w14:textFill>
        </w:rPr>
        <w:t>4</w:t>
      </w:r>
      <w:r>
        <w:rPr>
          <w:rFonts w:hint="eastAsia" w:ascii="宋体" w:hAnsi="宋体"/>
          <w:color w:val="000000" w:themeColor="text1"/>
          <w:sz w:val="21"/>
          <w:szCs w:val="21"/>
          <w:highlight w:val="none"/>
          <w14:textFill>
            <w14:solidFill>
              <w14:schemeClr w14:val="tx1"/>
            </w14:solidFill>
          </w14:textFill>
        </w:rPr>
        <w:t>）按照招标文件要求提交履约保证金；</w:t>
      </w:r>
    </w:p>
    <w:p w14:paraId="1BC50EAC">
      <w:pPr>
        <w:pStyle w:val="16"/>
        <w:adjustRightInd w:val="0"/>
        <w:snapToGrid w:val="0"/>
        <w:spacing w:line="360" w:lineRule="auto"/>
        <w:ind w:firstLine="420" w:firstLineChars="200"/>
        <w:rPr>
          <w:rFonts w:hint="eastAsia" w:hAnsi="宋体"/>
          <w:bCs/>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w:t>
      </w:r>
      <w:r>
        <w:rPr>
          <w:rFonts w:hAnsi="宋体"/>
          <w:color w:val="000000" w:themeColor="text1"/>
          <w:highlight w:val="none"/>
          <w14:textFill>
            <w14:solidFill>
              <w14:schemeClr w14:val="tx1"/>
            </w14:solidFill>
          </w14:textFill>
        </w:rPr>
        <w:t>5</w:t>
      </w:r>
      <w:r>
        <w:rPr>
          <w:rFonts w:hint="eastAsia" w:hAnsi="宋体"/>
          <w:color w:val="000000" w:themeColor="text1"/>
          <w:highlight w:val="none"/>
          <w14:textFill>
            <w14:solidFill>
              <w14:schemeClr w14:val="tx1"/>
            </w14:solidFill>
          </w14:textFill>
        </w:rPr>
        <w:t>）</w:t>
      </w:r>
      <w:r>
        <w:rPr>
          <w:rFonts w:hint="eastAsia" w:hAnsi="宋体"/>
          <w:bCs/>
          <w:color w:val="000000" w:themeColor="text1"/>
          <w:highlight w:val="none"/>
          <w14:textFill>
            <w14:solidFill>
              <w14:schemeClr w14:val="tx1"/>
            </w14:solidFill>
          </w14:textFill>
        </w:rPr>
        <w:t>按照招标文件规定和标准向贵方交纳招标代理服务费；</w:t>
      </w:r>
    </w:p>
    <w:p w14:paraId="71D0AA08">
      <w:pPr>
        <w:pStyle w:val="16"/>
        <w:adjustRightInd w:val="0"/>
        <w:snapToGrid w:val="0"/>
        <w:spacing w:line="360" w:lineRule="auto"/>
        <w:ind w:firstLine="420" w:firstLineChars="200"/>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五、我方完全理解并同意招标文件中有关不退还投标保证金条款所规定的情形。</w:t>
      </w:r>
    </w:p>
    <w:p w14:paraId="6D17F508">
      <w:pPr>
        <w:pStyle w:val="18"/>
        <w:spacing w:line="36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六、</w:t>
      </w:r>
      <w:r>
        <w:rPr>
          <w:rFonts w:hint="eastAsia" w:ascii="宋体" w:hAnsi="宋体"/>
          <w:bCs/>
          <w:color w:val="000000" w:themeColor="text1"/>
          <w:sz w:val="21"/>
          <w:szCs w:val="21"/>
          <w:highlight w:val="none"/>
          <w14:textFill>
            <w14:solidFill>
              <w14:schemeClr w14:val="tx1"/>
            </w14:solidFill>
          </w14:textFill>
        </w:rPr>
        <w:t>我方完全理解最低报价不是中标的唯一条件，并尊重评标委员会的评审结论和中标结果。</w:t>
      </w:r>
    </w:p>
    <w:p w14:paraId="4B20251F">
      <w:pPr>
        <w:pStyle w:val="18"/>
        <w:spacing w:line="36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七、</w:t>
      </w:r>
      <w:r>
        <w:rPr>
          <w:rFonts w:hint="eastAsia" w:hAnsi="宋体"/>
          <w:color w:val="000000" w:themeColor="text1"/>
          <w:sz w:val="21"/>
          <w:szCs w:val="21"/>
          <w:highlight w:val="none"/>
          <w14:textFill>
            <w14:solidFill>
              <w14:schemeClr w14:val="tx1"/>
            </w14:solidFill>
          </w14:textFill>
        </w:rPr>
        <w:t>我方在此声明，所递交的投标文件及有关资料内容完整、真实和准确，且不存在第二章“投标人须知”第</w:t>
      </w:r>
      <w:r>
        <w:rPr>
          <w:rFonts w:hint="eastAsia" w:ascii="宋体" w:hAnsi="宋体"/>
          <w:color w:val="000000" w:themeColor="text1"/>
          <w:sz w:val="21"/>
          <w:szCs w:val="21"/>
          <w:highlight w:val="none"/>
          <w14:textFill>
            <w14:solidFill>
              <w14:schemeClr w14:val="tx1"/>
            </w14:solidFill>
          </w14:textFill>
        </w:rPr>
        <w:t>1.3.2</w:t>
      </w:r>
      <w:r>
        <w:rPr>
          <w:rFonts w:hint="eastAsia" w:hAnsi="宋体"/>
          <w:color w:val="000000" w:themeColor="text1"/>
          <w:sz w:val="21"/>
          <w:szCs w:val="21"/>
          <w:highlight w:val="none"/>
          <w14:textFill>
            <w14:solidFill>
              <w14:schemeClr w14:val="tx1"/>
            </w14:solidFill>
          </w14:textFill>
        </w:rPr>
        <w:t>条款规定的任何一种情形。否则，愿承担《中华人民共和国政府采购法》</w:t>
      </w:r>
      <w:r>
        <w:rPr>
          <w:rFonts w:hint="eastAsia" w:hAnsi="宋体"/>
          <w:bCs/>
          <w:color w:val="000000" w:themeColor="text1"/>
          <w:sz w:val="21"/>
          <w:szCs w:val="21"/>
          <w:highlight w:val="none"/>
          <w14:textFill>
            <w14:solidFill>
              <w14:schemeClr w14:val="tx1"/>
            </w14:solidFill>
          </w14:textFill>
        </w:rPr>
        <w:t>第七十七条规定的法律责任。</w:t>
      </w:r>
    </w:p>
    <w:p w14:paraId="2B3D01C9">
      <w:pPr>
        <w:pStyle w:val="18"/>
        <w:spacing w:line="36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八、</w:t>
      </w:r>
      <w:r>
        <w:rPr>
          <w:rFonts w:hint="eastAsia" w:ascii="宋体" w:hAnsi="宋体"/>
          <w:bCs/>
          <w:color w:val="000000" w:themeColor="text1"/>
          <w:sz w:val="21"/>
          <w:szCs w:val="21"/>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（其他补充说明）。</w:t>
      </w:r>
    </w:p>
    <w:p w14:paraId="5E7A4898">
      <w:pPr>
        <w:pStyle w:val="18"/>
        <w:spacing w:line="36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九、有关本项目的所有函电，请按下列地址联系：</w:t>
      </w:r>
    </w:p>
    <w:p w14:paraId="143FE17D">
      <w:pPr>
        <w:pStyle w:val="18"/>
        <w:spacing w:line="480" w:lineRule="auto"/>
        <w:ind w:firstLine="0"/>
        <w:rPr>
          <w:rFonts w:hint="eastAsia" w:ascii="宋体" w:hAnsi="宋体"/>
          <w:bCs/>
          <w:color w:val="000000" w:themeColor="text1"/>
          <w:sz w:val="21"/>
          <w:szCs w:val="21"/>
          <w:highlight w:val="none"/>
          <w14:textFill>
            <w14:solidFill>
              <w14:schemeClr w14:val="tx1"/>
            </w14:solidFill>
          </w14:textFill>
        </w:rPr>
      </w:pPr>
    </w:p>
    <w:p w14:paraId="71BA2BF5">
      <w:pPr>
        <w:pStyle w:val="18"/>
        <w:spacing w:line="48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投 标 人：</w:t>
      </w:r>
      <w:r>
        <w:rPr>
          <w:rFonts w:hint="eastAsia" w:ascii="宋体" w:hAnsi="宋体"/>
          <w:bCs/>
          <w:color w:val="000000" w:themeColor="text1"/>
          <w:sz w:val="21"/>
          <w:szCs w:val="21"/>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（盖单位章）</w:t>
      </w:r>
    </w:p>
    <w:p w14:paraId="0E355503">
      <w:pPr>
        <w:pStyle w:val="18"/>
        <w:spacing w:line="48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法定代表人：</w:t>
      </w:r>
      <w:r>
        <w:rPr>
          <w:rFonts w:hint="eastAsia" w:ascii="宋体" w:hAnsi="宋体"/>
          <w:bCs/>
          <w:color w:val="000000" w:themeColor="text1"/>
          <w:sz w:val="21"/>
          <w:szCs w:val="21"/>
          <w:highlight w:val="none"/>
          <w:u w:val="single"/>
          <w14:textFill>
            <w14:solidFill>
              <w14:schemeClr w14:val="tx1"/>
            </w14:solidFill>
          </w14:textFill>
        </w:rPr>
        <w:t xml:space="preserve">                        </w:t>
      </w:r>
      <w:r>
        <w:rPr>
          <w:rFonts w:hint="eastAsia" w:ascii="宋体" w:hAnsi="宋体"/>
          <w:bCs/>
          <w:color w:val="000000" w:themeColor="text1"/>
          <w:sz w:val="21"/>
          <w:szCs w:val="21"/>
          <w:highlight w:val="none"/>
          <w14:textFill>
            <w14:solidFill>
              <w14:schemeClr w14:val="tx1"/>
            </w14:solidFill>
          </w14:textFill>
        </w:rPr>
        <w:t>（签名）</w:t>
      </w:r>
    </w:p>
    <w:p w14:paraId="2F0B0312">
      <w:pPr>
        <w:pStyle w:val="18"/>
        <w:spacing w:line="48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通讯地址：</w:t>
      </w:r>
    </w:p>
    <w:p w14:paraId="54819F1B">
      <w:pPr>
        <w:pStyle w:val="18"/>
        <w:spacing w:line="48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邮政编码：</w:t>
      </w:r>
    </w:p>
    <w:p w14:paraId="0BC1B949">
      <w:pPr>
        <w:pStyle w:val="18"/>
        <w:spacing w:line="48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联 系 人：</w:t>
      </w:r>
    </w:p>
    <w:p w14:paraId="21EDDD45">
      <w:pPr>
        <w:pStyle w:val="18"/>
        <w:spacing w:line="48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联系电话：</w:t>
      </w:r>
    </w:p>
    <w:p w14:paraId="3D4E58F0">
      <w:pPr>
        <w:pStyle w:val="18"/>
        <w:spacing w:line="48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传    真：</w:t>
      </w:r>
    </w:p>
    <w:p w14:paraId="01B6C3DC">
      <w:pPr>
        <w:pStyle w:val="18"/>
        <w:spacing w:line="48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电子邮件：</w:t>
      </w:r>
    </w:p>
    <w:p w14:paraId="5B848C23">
      <w:pPr>
        <w:pStyle w:val="18"/>
        <w:spacing w:line="48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开户银行:</w:t>
      </w:r>
    </w:p>
    <w:p w14:paraId="070103EC">
      <w:pPr>
        <w:pStyle w:val="18"/>
        <w:spacing w:line="48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账    号：</w:t>
      </w:r>
    </w:p>
    <w:p w14:paraId="4D0019C0">
      <w:pPr>
        <w:pStyle w:val="18"/>
        <w:spacing w:line="480" w:lineRule="auto"/>
        <w:ind w:firstLine="420" w:firstLineChars="200"/>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日    期：</w:t>
      </w:r>
    </w:p>
    <w:p w14:paraId="17E8AA40">
      <w:pPr>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r>
    </w:p>
    <w:p w14:paraId="53D82860">
      <w:pPr>
        <w:pStyle w:val="7"/>
        <w:spacing w:before="120" w:beforeLines="50" w:line="360" w:lineRule="auto"/>
        <w:ind w:firstLine="0"/>
        <w:jc w:val="center"/>
        <w:outlineLvl w:val="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投标函附录</w:t>
      </w:r>
    </w:p>
    <w:tbl>
      <w:tblPr>
        <w:tblStyle w:val="31"/>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05"/>
        <w:gridCol w:w="2144"/>
        <w:gridCol w:w="4846"/>
        <w:gridCol w:w="1192"/>
      </w:tblGrid>
      <w:tr w14:paraId="618AC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0" w:hRule="atLeast"/>
          <w:jc w:val="center"/>
        </w:trPr>
        <w:tc>
          <w:tcPr>
            <w:tcW w:w="805" w:type="dxa"/>
            <w:vAlign w:val="center"/>
          </w:tcPr>
          <w:p w14:paraId="2691BD86">
            <w:pPr>
              <w:pStyle w:val="106"/>
              <w:widowControl w:val="0"/>
              <w:spacing w:beforeAutospacing="0" w:afterAutospacing="0"/>
              <w:rPr>
                <w:rFonts w:hint="eastAsia" w:ascii="宋体" w:cs="宋体"/>
                <w:b/>
                <w:color w:val="000000" w:themeColor="text1"/>
                <w:sz w:val="21"/>
                <w:szCs w:val="21"/>
                <w:highlight w:val="none"/>
                <w14:textFill>
                  <w14:solidFill>
                    <w14:schemeClr w14:val="tx1"/>
                  </w14:solidFill>
                </w14:textFill>
              </w:rPr>
            </w:pPr>
            <w:r>
              <w:rPr>
                <w:rFonts w:hint="eastAsia" w:ascii="宋体" w:cs="宋体"/>
                <w:b/>
                <w:color w:val="000000" w:themeColor="text1"/>
                <w:sz w:val="21"/>
                <w:szCs w:val="21"/>
                <w:highlight w:val="none"/>
                <w14:textFill>
                  <w14:solidFill>
                    <w14:schemeClr w14:val="tx1"/>
                  </w14:solidFill>
                </w14:textFill>
              </w:rPr>
              <w:t>序号</w:t>
            </w:r>
          </w:p>
        </w:tc>
        <w:tc>
          <w:tcPr>
            <w:tcW w:w="2144" w:type="dxa"/>
            <w:vAlign w:val="center"/>
          </w:tcPr>
          <w:p w14:paraId="40207E91">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项目内容</w:t>
            </w:r>
          </w:p>
        </w:tc>
        <w:tc>
          <w:tcPr>
            <w:tcW w:w="4846" w:type="dxa"/>
            <w:vAlign w:val="center"/>
          </w:tcPr>
          <w:p w14:paraId="39A4660E">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约定内容</w:t>
            </w:r>
          </w:p>
        </w:tc>
        <w:tc>
          <w:tcPr>
            <w:tcW w:w="1192" w:type="dxa"/>
            <w:vAlign w:val="center"/>
          </w:tcPr>
          <w:p w14:paraId="72EBF7B5">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备注</w:t>
            </w:r>
          </w:p>
        </w:tc>
      </w:tr>
      <w:tr w14:paraId="2116A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67" w:hRule="atLeast"/>
          <w:jc w:val="center"/>
        </w:trPr>
        <w:tc>
          <w:tcPr>
            <w:tcW w:w="805" w:type="dxa"/>
            <w:vAlign w:val="center"/>
          </w:tcPr>
          <w:p w14:paraId="23CE5F7B">
            <w:pPr>
              <w:pStyle w:val="106"/>
              <w:widowControl w:val="0"/>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1</w:t>
            </w:r>
          </w:p>
        </w:tc>
        <w:tc>
          <w:tcPr>
            <w:tcW w:w="2144" w:type="dxa"/>
            <w:vAlign w:val="center"/>
          </w:tcPr>
          <w:p w14:paraId="3F31BF29">
            <w:pPr>
              <w:pStyle w:val="16"/>
              <w:tabs>
                <w:tab w:val="left" w:pos="5890"/>
                <w:tab w:val="left" w:leader="middleDot" w:pos="8108"/>
              </w:tabs>
              <w:jc w:val="center"/>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项目经理</w:t>
            </w:r>
          </w:p>
        </w:tc>
        <w:tc>
          <w:tcPr>
            <w:tcW w:w="4846" w:type="dxa"/>
            <w:vAlign w:val="center"/>
          </w:tcPr>
          <w:p w14:paraId="727F5AB0">
            <w:pPr>
              <w:pStyle w:val="27"/>
              <w:spacing w:before="240" w:beforeAutospacing="0" w:after="0" w:afterAutospacing="0"/>
              <w:ind w:firstLine="210" w:firstLineChars="100"/>
              <w:jc w:val="both"/>
              <w:rPr>
                <w:rFonts w:hint="eastAsia" w:cs="宋体"/>
                <w:color w:val="000000" w:themeColor="text1"/>
                <w:sz w:val="21"/>
                <w:szCs w:val="21"/>
                <w:highlight w:val="none"/>
                <w:u w:val="singl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姓名：</w:t>
            </w:r>
            <w:r>
              <w:rPr>
                <w:rFonts w:hint="eastAsia" w:cs="宋体"/>
                <w:color w:val="000000" w:themeColor="text1"/>
                <w:sz w:val="21"/>
                <w:szCs w:val="21"/>
                <w:highlight w:val="none"/>
                <w:u w:val="single"/>
                <w14:textFill>
                  <w14:solidFill>
                    <w14:schemeClr w14:val="tx1"/>
                  </w14:solidFill>
                </w14:textFill>
              </w:rPr>
              <w:t xml:space="preserve">             </w:t>
            </w:r>
          </w:p>
          <w:p w14:paraId="1AC70721">
            <w:pPr>
              <w:pStyle w:val="27"/>
              <w:spacing w:before="240" w:beforeAutospacing="0" w:after="0" w:afterAutospacing="0"/>
              <w:ind w:firstLine="210" w:firstLineChars="100"/>
              <w:jc w:val="both"/>
              <w:rPr>
                <w:rFonts w:hint="eastAsia" w:cs="宋体"/>
                <w:color w:val="000000" w:themeColor="text1"/>
                <w:sz w:val="21"/>
                <w:szCs w:val="21"/>
                <w:highlight w:val="none"/>
                <w:u w:val="singl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建造师注册证号：</w:t>
            </w:r>
            <w:r>
              <w:rPr>
                <w:rFonts w:hint="eastAsia" w:cs="宋体"/>
                <w:color w:val="000000" w:themeColor="text1"/>
                <w:sz w:val="21"/>
                <w:szCs w:val="21"/>
                <w:highlight w:val="none"/>
                <w:u w:val="single"/>
                <w14:textFill>
                  <w14:solidFill>
                    <w14:schemeClr w14:val="tx1"/>
                  </w14:solidFill>
                </w14:textFill>
              </w:rPr>
              <w:t xml:space="preserve">         </w:t>
            </w:r>
          </w:p>
          <w:p w14:paraId="606933C2">
            <w:pPr>
              <w:pStyle w:val="27"/>
              <w:spacing w:before="240" w:beforeAutospacing="0" w:after="0" w:afterAutospacing="0"/>
              <w:ind w:firstLine="210" w:firstLineChars="100"/>
              <w:jc w:val="both"/>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级建造师，</w:t>
            </w: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专业</w:t>
            </w:r>
          </w:p>
        </w:tc>
        <w:tc>
          <w:tcPr>
            <w:tcW w:w="1192" w:type="dxa"/>
            <w:vAlign w:val="center"/>
          </w:tcPr>
          <w:p w14:paraId="3EF39136">
            <w:pPr>
              <w:jc w:val="center"/>
              <w:rPr>
                <w:rFonts w:hint="eastAsia" w:ascii="宋体" w:hAnsi="宋体" w:cs="宋体"/>
                <w:color w:val="000000" w:themeColor="text1"/>
                <w:szCs w:val="21"/>
                <w:highlight w:val="none"/>
                <w14:textFill>
                  <w14:solidFill>
                    <w14:schemeClr w14:val="tx1"/>
                  </w14:solidFill>
                </w14:textFill>
              </w:rPr>
            </w:pPr>
          </w:p>
        </w:tc>
      </w:tr>
      <w:tr w14:paraId="57FE0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5" w:hRule="atLeast"/>
          <w:jc w:val="center"/>
        </w:trPr>
        <w:tc>
          <w:tcPr>
            <w:tcW w:w="805" w:type="dxa"/>
            <w:vAlign w:val="center"/>
          </w:tcPr>
          <w:p w14:paraId="7D4AEED8">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2144" w:type="dxa"/>
            <w:vAlign w:val="center"/>
          </w:tcPr>
          <w:p w14:paraId="3EB9C516">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质量标准</w:t>
            </w:r>
          </w:p>
        </w:tc>
        <w:tc>
          <w:tcPr>
            <w:tcW w:w="4846" w:type="dxa"/>
            <w:vAlign w:val="center"/>
          </w:tcPr>
          <w:p w14:paraId="77CAB721">
            <w:pPr>
              <w:adjustRightInd w:val="0"/>
              <w:snapToGrid w:val="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达到国家、省、市（行业）现行施工验收规范“合格”标准及采购人要求。</w:t>
            </w:r>
          </w:p>
        </w:tc>
        <w:tc>
          <w:tcPr>
            <w:tcW w:w="1192" w:type="dxa"/>
            <w:vAlign w:val="center"/>
          </w:tcPr>
          <w:p w14:paraId="36E05A89">
            <w:pPr>
              <w:jc w:val="center"/>
              <w:rPr>
                <w:rFonts w:hint="eastAsia" w:ascii="宋体" w:hAnsi="宋体" w:cs="宋体"/>
                <w:color w:val="000000" w:themeColor="text1"/>
                <w:szCs w:val="21"/>
                <w:highlight w:val="none"/>
                <w14:textFill>
                  <w14:solidFill>
                    <w14:schemeClr w14:val="tx1"/>
                  </w14:solidFill>
                </w14:textFill>
              </w:rPr>
            </w:pPr>
          </w:p>
        </w:tc>
      </w:tr>
      <w:tr w14:paraId="161D9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95" w:hRule="atLeast"/>
          <w:jc w:val="center"/>
        </w:trPr>
        <w:tc>
          <w:tcPr>
            <w:tcW w:w="805" w:type="dxa"/>
            <w:vAlign w:val="center"/>
          </w:tcPr>
          <w:p w14:paraId="46BF3650">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2144" w:type="dxa"/>
            <w:vAlign w:val="center"/>
          </w:tcPr>
          <w:p w14:paraId="309376DA">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质量保修期</w:t>
            </w:r>
          </w:p>
        </w:tc>
        <w:tc>
          <w:tcPr>
            <w:tcW w:w="4846" w:type="dxa"/>
            <w:vAlign w:val="center"/>
          </w:tcPr>
          <w:p w14:paraId="2443503B">
            <w:pPr>
              <w:adjustRightInd w:val="0"/>
              <w:snapToGrid w:val="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（1）整体工程验收合格后，工程质量保修期为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p>
          <w:p w14:paraId="4569A267">
            <w:pPr>
              <w:adjustRightInd w:val="0"/>
              <w:snapToGrid w:val="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（2）现场设立备品备件库，实现24小时值班式服务，工程质量保修期内出现的质量问题由承包人负责,保修内容为由承包人负责的本工程全部质量问题；</w:t>
            </w:r>
          </w:p>
          <w:p w14:paraId="00882163">
            <w:pPr>
              <w:adjustRightInd w:val="0"/>
              <w:snapToGrid w:val="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（3）其他相关部分工程的质量保修期根据《建设工程质量管理条例》及有关规定执行。</w:t>
            </w:r>
          </w:p>
        </w:tc>
        <w:tc>
          <w:tcPr>
            <w:tcW w:w="1192" w:type="dxa"/>
            <w:vAlign w:val="center"/>
          </w:tcPr>
          <w:p w14:paraId="01758FE3">
            <w:pPr>
              <w:jc w:val="center"/>
              <w:rPr>
                <w:rFonts w:hint="eastAsia" w:ascii="宋体" w:hAnsi="宋体" w:cs="宋体"/>
                <w:color w:val="000000" w:themeColor="text1"/>
                <w:szCs w:val="21"/>
                <w:highlight w:val="none"/>
                <w14:textFill>
                  <w14:solidFill>
                    <w14:schemeClr w14:val="tx1"/>
                  </w14:solidFill>
                </w14:textFill>
              </w:rPr>
            </w:pPr>
          </w:p>
        </w:tc>
      </w:tr>
      <w:tr w14:paraId="4B62F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95" w:hRule="atLeast"/>
          <w:jc w:val="center"/>
        </w:trPr>
        <w:tc>
          <w:tcPr>
            <w:tcW w:w="805" w:type="dxa"/>
            <w:vAlign w:val="center"/>
          </w:tcPr>
          <w:p w14:paraId="0953B253">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2144" w:type="dxa"/>
            <w:vAlign w:val="center"/>
          </w:tcPr>
          <w:p w14:paraId="6AECC280">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对招标文件响应程度</w:t>
            </w:r>
          </w:p>
        </w:tc>
        <w:tc>
          <w:tcPr>
            <w:tcW w:w="4846" w:type="dxa"/>
            <w:vAlign w:val="center"/>
          </w:tcPr>
          <w:p w14:paraId="17EE8E5E">
            <w:pPr>
              <w:adjustRightInd w:val="0"/>
              <w:snapToGrid w:val="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完全响应</w:t>
            </w:r>
          </w:p>
        </w:tc>
        <w:tc>
          <w:tcPr>
            <w:tcW w:w="1192" w:type="dxa"/>
            <w:vAlign w:val="center"/>
          </w:tcPr>
          <w:p w14:paraId="35D8708F">
            <w:pPr>
              <w:jc w:val="center"/>
              <w:rPr>
                <w:rFonts w:hint="eastAsia" w:ascii="宋体" w:hAnsi="宋体" w:cs="宋体"/>
                <w:color w:val="000000" w:themeColor="text1"/>
                <w:szCs w:val="21"/>
                <w:highlight w:val="none"/>
                <w14:textFill>
                  <w14:solidFill>
                    <w14:schemeClr w14:val="tx1"/>
                  </w14:solidFill>
                </w14:textFill>
              </w:rPr>
            </w:pPr>
          </w:p>
        </w:tc>
      </w:tr>
    </w:tbl>
    <w:p w14:paraId="2DDA3CCA">
      <w:pPr>
        <w:adjustRightInd w:val="0"/>
        <w:spacing w:line="400" w:lineRule="exact"/>
        <w:jc w:val="left"/>
        <w:rPr>
          <w:rFonts w:hint="eastAsia" w:ascii="宋体" w:hAnsi="宋体"/>
          <w:color w:val="000000" w:themeColor="text1"/>
          <w:szCs w:val="21"/>
          <w:highlight w:val="none"/>
          <w14:textFill>
            <w14:solidFill>
              <w14:schemeClr w14:val="tx1"/>
            </w14:solidFill>
          </w14:textFill>
        </w:rPr>
      </w:pPr>
    </w:p>
    <w:p w14:paraId="285AE78D">
      <w:pPr>
        <w:adjustRightInd w:val="0"/>
        <w:snapToGrid w:val="0"/>
        <w:spacing w:line="360" w:lineRule="auto"/>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(盖单位公章)</w:t>
      </w:r>
    </w:p>
    <w:p w14:paraId="4271E1B7">
      <w:pPr>
        <w:adjustRightInd w:val="0"/>
        <w:snapToGrid w:val="0"/>
        <w:spacing w:line="360" w:lineRule="auto"/>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法定代表人：</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（签名）</w:t>
      </w:r>
    </w:p>
    <w:p w14:paraId="25ED0CFD">
      <w:pPr>
        <w:adjustRightInd w:val="0"/>
        <w:spacing w:line="400" w:lineRule="exact"/>
        <w:jc w:val="left"/>
        <w:rPr>
          <w:rFonts w:hint="eastAsia" w:ascii="宋体" w:hAnsi="宋体"/>
          <w:color w:val="000000" w:themeColor="text1"/>
          <w:szCs w:val="21"/>
          <w:highlight w:val="none"/>
          <w14:textFill>
            <w14:solidFill>
              <w14:schemeClr w14:val="tx1"/>
            </w14:solidFill>
          </w14:textFill>
        </w:rPr>
        <w:sectPr>
          <w:pgSz w:w="11907" w:h="16840"/>
          <w:pgMar w:top="1440" w:right="1474" w:bottom="1440" w:left="1474" w:header="851" w:footer="992" w:gutter="0"/>
          <w:cols w:space="720" w:num="1"/>
          <w:docGrid w:linePitch="312" w:charSpace="0"/>
        </w:sectPr>
      </w:pPr>
      <w:r>
        <w:rPr>
          <w:rFonts w:hint="eastAsia" w:ascii="宋体" w:hAnsi="宋体" w:cs="宋体"/>
          <w:color w:val="000000" w:themeColor="text1"/>
          <w:szCs w:val="21"/>
          <w:highlight w:val="none"/>
          <w14:textFill>
            <w14:solidFill>
              <w14:schemeClr w14:val="tx1"/>
            </w14:solidFill>
          </w14:textFill>
        </w:rPr>
        <w:t xml:space="preserve">日 </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期：20</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121801C8">
      <w:pPr>
        <w:rPr>
          <w:rFonts w:hint="eastAsia" w:ascii="宋体" w:hAnsi="宋体"/>
          <w:color w:val="000000" w:themeColor="text1"/>
          <w:szCs w:val="21"/>
          <w:highlight w:val="none"/>
          <w14:textFill>
            <w14:solidFill>
              <w14:schemeClr w14:val="tx1"/>
            </w14:solidFill>
          </w14:textFill>
        </w:rPr>
      </w:pPr>
    </w:p>
    <w:p w14:paraId="3E090E27">
      <w:pPr>
        <w:adjustRightInd w:val="0"/>
        <w:snapToGrid w:val="0"/>
        <w:spacing w:line="360" w:lineRule="auto"/>
        <w:jc w:val="center"/>
        <w:outlineLvl w:val="0"/>
        <w:rPr>
          <w:rFonts w:hint="eastAsia" w:ascii="黑体" w:hAnsi="宋体" w:eastAsia="黑体"/>
          <w:color w:val="000000" w:themeColor="text1"/>
          <w:sz w:val="36"/>
          <w:szCs w:val="36"/>
          <w:highlight w:val="none"/>
          <w14:textFill>
            <w14:solidFill>
              <w14:schemeClr w14:val="tx1"/>
            </w14:solidFill>
          </w14:textFill>
        </w:rPr>
      </w:pPr>
      <w:bookmarkStart w:id="1114" w:name="_Toc217446086"/>
      <w:bookmarkStart w:id="1115" w:name="_Toc9350"/>
      <w:bookmarkStart w:id="1116" w:name="_Toc722345920"/>
      <w:r>
        <w:rPr>
          <w:rFonts w:hint="eastAsia" w:ascii="宋体" w:hAnsi="宋体"/>
          <w:b/>
          <w:color w:val="000000" w:themeColor="text1"/>
          <w:sz w:val="36"/>
          <w:szCs w:val="36"/>
          <w:highlight w:val="none"/>
          <w14:textFill>
            <w14:solidFill>
              <w14:schemeClr w14:val="tx1"/>
            </w14:solidFill>
          </w14:textFill>
        </w:rPr>
        <w:t>二、</w:t>
      </w:r>
      <w:bookmarkEnd w:id="1114"/>
      <w:bookmarkStart w:id="1117" w:name="_Toc217446087"/>
      <w:r>
        <w:rPr>
          <w:rFonts w:hint="eastAsia" w:ascii="黑体" w:hAnsi="宋体" w:eastAsia="黑体"/>
          <w:color w:val="000000" w:themeColor="text1"/>
          <w:sz w:val="36"/>
          <w:szCs w:val="36"/>
          <w:highlight w:val="none"/>
          <w14:textFill>
            <w14:solidFill>
              <w14:schemeClr w14:val="tx1"/>
            </w14:solidFill>
          </w14:textFill>
        </w:rPr>
        <w:t>主要材料与设备报价表</w:t>
      </w:r>
      <w:bookmarkEnd w:id="1115"/>
      <w:bookmarkEnd w:id="1116"/>
    </w:p>
    <w:tbl>
      <w:tblPr>
        <w:tblStyle w:val="31"/>
        <w:tblW w:w="13456" w:type="dxa"/>
        <w:tblInd w:w="28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514"/>
        <w:gridCol w:w="2623"/>
        <w:gridCol w:w="1960"/>
        <w:gridCol w:w="1694"/>
        <w:gridCol w:w="1377"/>
        <w:gridCol w:w="987"/>
        <w:gridCol w:w="1983"/>
        <w:gridCol w:w="724"/>
      </w:tblGrid>
      <w:tr w14:paraId="5EA39B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594" w:type="dxa"/>
            <w:vAlign w:val="center"/>
          </w:tcPr>
          <w:p w14:paraId="7C70C65B">
            <w:pPr>
              <w:adjustRightInd w:val="0"/>
              <w:snapToGrid w:val="0"/>
              <w:spacing w:line="360" w:lineRule="exact"/>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序号</w:t>
            </w:r>
          </w:p>
        </w:tc>
        <w:tc>
          <w:tcPr>
            <w:tcW w:w="1514" w:type="dxa"/>
            <w:vAlign w:val="center"/>
          </w:tcPr>
          <w:p w14:paraId="0D76893F">
            <w:pPr>
              <w:adjustRightInd w:val="0"/>
              <w:snapToGrid w:val="0"/>
              <w:spacing w:line="360" w:lineRule="exact"/>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材料设备名称</w:t>
            </w:r>
          </w:p>
        </w:tc>
        <w:tc>
          <w:tcPr>
            <w:tcW w:w="2623" w:type="dxa"/>
            <w:vAlign w:val="center"/>
          </w:tcPr>
          <w:p w14:paraId="177BF6DA">
            <w:pPr>
              <w:adjustRightInd w:val="0"/>
              <w:snapToGrid w:val="0"/>
              <w:spacing w:line="360" w:lineRule="exact"/>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品牌</w:t>
            </w:r>
          </w:p>
        </w:tc>
        <w:tc>
          <w:tcPr>
            <w:tcW w:w="1960" w:type="dxa"/>
            <w:vAlign w:val="center"/>
          </w:tcPr>
          <w:p w14:paraId="09B9CF2F">
            <w:pPr>
              <w:adjustRightInd w:val="0"/>
              <w:snapToGrid w:val="0"/>
              <w:spacing w:line="360" w:lineRule="exact"/>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型号规格</w:t>
            </w:r>
          </w:p>
        </w:tc>
        <w:tc>
          <w:tcPr>
            <w:tcW w:w="1694" w:type="dxa"/>
            <w:vAlign w:val="center"/>
          </w:tcPr>
          <w:p w14:paraId="384DE437">
            <w:pPr>
              <w:adjustRightInd w:val="0"/>
              <w:snapToGrid w:val="0"/>
              <w:spacing w:line="360" w:lineRule="exact"/>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制造商</w:t>
            </w:r>
          </w:p>
        </w:tc>
        <w:tc>
          <w:tcPr>
            <w:tcW w:w="1377" w:type="dxa"/>
            <w:vAlign w:val="center"/>
          </w:tcPr>
          <w:p w14:paraId="1F38D6EB">
            <w:pPr>
              <w:adjustRightInd w:val="0"/>
              <w:snapToGrid w:val="0"/>
              <w:spacing w:line="360" w:lineRule="exact"/>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数量/单位</w:t>
            </w:r>
          </w:p>
        </w:tc>
        <w:tc>
          <w:tcPr>
            <w:tcW w:w="987" w:type="dxa"/>
            <w:vAlign w:val="center"/>
          </w:tcPr>
          <w:p w14:paraId="6299AD0B">
            <w:pPr>
              <w:adjustRightInd w:val="0"/>
              <w:snapToGrid w:val="0"/>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单价（元）</w:t>
            </w:r>
          </w:p>
        </w:tc>
        <w:tc>
          <w:tcPr>
            <w:tcW w:w="1983" w:type="dxa"/>
            <w:vAlign w:val="center"/>
          </w:tcPr>
          <w:p w14:paraId="3C905743">
            <w:pPr>
              <w:adjustRightInd w:val="0"/>
              <w:snapToGrid w:val="0"/>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金额（元）</w:t>
            </w:r>
          </w:p>
        </w:tc>
        <w:tc>
          <w:tcPr>
            <w:tcW w:w="724" w:type="dxa"/>
            <w:vAlign w:val="center"/>
          </w:tcPr>
          <w:p w14:paraId="08707E22">
            <w:pPr>
              <w:adjustRightInd w:val="0"/>
              <w:snapToGrid w:val="0"/>
              <w:spacing w:line="360" w:lineRule="exact"/>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备注</w:t>
            </w:r>
          </w:p>
        </w:tc>
      </w:tr>
      <w:tr w14:paraId="3DB9A3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594" w:type="dxa"/>
            <w:vAlign w:val="center"/>
          </w:tcPr>
          <w:p w14:paraId="45859386">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514" w:type="dxa"/>
            <w:vAlign w:val="center"/>
          </w:tcPr>
          <w:p w14:paraId="307944A9">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2623" w:type="dxa"/>
          </w:tcPr>
          <w:p w14:paraId="374BDE16">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960" w:type="dxa"/>
          </w:tcPr>
          <w:p w14:paraId="7493D1E6">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694" w:type="dxa"/>
          </w:tcPr>
          <w:p w14:paraId="65E85193">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377" w:type="dxa"/>
          </w:tcPr>
          <w:p w14:paraId="1C8E5955">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987" w:type="dxa"/>
            <w:vAlign w:val="center"/>
          </w:tcPr>
          <w:p w14:paraId="1C05DF0F">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983" w:type="dxa"/>
          </w:tcPr>
          <w:p w14:paraId="284AF960">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724" w:type="dxa"/>
            <w:vAlign w:val="center"/>
          </w:tcPr>
          <w:p w14:paraId="5F4D90D2">
            <w:pPr>
              <w:adjustRightInd w:val="0"/>
              <w:snapToGrid w:val="0"/>
              <w:jc w:val="center"/>
              <w:rPr>
                <w:rFonts w:hint="eastAsia" w:ascii="宋体" w:hAnsi="宋体"/>
                <w:color w:val="000000" w:themeColor="text1"/>
                <w:szCs w:val="21"/>
                <w:highlight w:val="none"/>
                <w14:textFill>
                  <w14:solidFill>
                    <w14:schemeClr w14:val="tx1"/>
                  </w14:solidFill>
                </w14:textFill>
              </w:rPr>
            </w:pPr>
          </w:p>
        </w:tc>
      </w:tr>
      <w:tr w14:paraId="6A1475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594" w:type="dxa"/>
            <w:vAlign w:val="center"/>
          </w:tcPr>
          <w:p w14:paraId="15D29A8F">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514" w:type="dxa"/>
            <w:vAlign w:val="center"/>
          </w:tcPr>
          <w:p w14:paraId="4B802329">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2623" w:type="dxa"/>
          </w:tcPr>
          <w:p w14:paraId="0DD1B31D">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960" w:type="dxa"/>
          </w:tcPr>
          <w:p w14:paraId="40D1237F">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694" w:type="dxa"/>
          </w:tcPr>
          <w:p w14:paraId="324B8F50">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377" w:type="dxa"/>
          </w:tcPr>
          <w:p w14:paraId="17C5B12E">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987" w:type="dxa"/>
            <w:vAlign w:val="center"/>
          </w:tcPr>
          <w:p w14:paraId="162ADF45">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983" w:type="dxa"/>
          </w:tcPr>
          <w:p w14:paraId="05C41E54">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724" w:type="dxa"/>
            <w:vAlign w:val="center"/>
          </w:tcPr>
          <w:p w14:paraId="4FCC4233">
            <w:pPr>
              <w:adjustRightInd w:val="0"/>
              <w:snapToGrid w:val="0"/>
              <w:jc w:val="center"/>
              <w:rPr>
                <w:rFonts w:hint="eastAsia" w:ascii="宋体" w:hAnsi="宋体"/>
                <w:color w:val="000000" w:themeColor="text1"/>
                <w:szCs w:val="21"/>
                <w:highlight w:val="none"/>
                <w14:textFill>
                  <w14:solidFill>
                    <w14:schemeClr w14:val="tx1"/>
                  </w14:solidFill>
                </w14:textFill>
              </w:rPr>
            </w:pPr>
          </w:p>
        </w:tc>
      </w:tr>
      <w:tr w14:paraId="25B5B9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594" w:type="dxa"/>
            <w:vAlign w:val="center"/>
          </w:tcPr>
          <w:p w14:paraId="2DED44BC">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514" w:type="dxa"/>
            <w:vAlign w:val="center"/>
          </w:tcPr>
          <w:p w14:paraId="0272BCD6">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2623" w:type="dxa"/>
          </w:tcPr>
          <w:p w14:paraId="06C31DBC">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960" w:type="dxa"/>
          </w:tcPr>
          <w:p w14:paraId="06586D6D">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694" w:type="dxa"/>
          </w:tcPr>
          <w:p w14:paraId="096A9495">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377" w:type="dxa"/>
          </w:tcPr>
          <w:p w14:paraId="58D2BFDE">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987" w:type="dxa"/>
            <w:vAlign w:val="center"/>
          </w:tcPr>
          <w:p w14:paraId="2817933D">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983" w:type="dxa"/>
          </w:tcPr>
          <w:p w14:paraId="2B784F6C">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724" w:type="dxa"/>
            <w:vAlign w:val="center"/>
          </w:tcPr>
          <w:p w14:paraId="418BA7EB">
            <w:pPr>
              <w:adjustRightInd w:val="0"/>
              <w:snapToGrid w:val="0"/>
              <w:jc w:val="center"/>
              <w:rPr>
                <w:rFonts w:hint="eastAsia" w:ascii="宋体" w:hAnsi="宋体"/>
                <w:color w:val="000000" w:themeColor="text1"/>
                <w:szCs w:val="21"/>
                <w:highlight w:val="none"/>
                <w14:textFill>
                  <w14:solidFill>
                    <w14:schemeClr w14:val="tx1"/>
                  </w14:solidFill>
                </w14:textFill>
              </w:rPr>
            </w:pPr>
          </w:p>
        </w:tc>
      </w:tr>
      <w:tr w14:paraId="5E4588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594" w:type="dxa"/>
            <w:vAlign w:val="center"/>
          </w:tcPr>
          <w:p w14:paraId="4794FA34">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514" w:type="dxa"/>
            <w:vAlign w:val="center"/>
          </w:tcPr>
          <w:p w14:paraId="394F796E">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2623" w:type="dxa"/>
          </w:tcPr>
          <w:p w14:paraId="38F230F3">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960" w:type="dxa"/>
          </w:tcPr>
          <w:p w14:paraId="3E4CB8C3">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694" w:type="dxa"/>
          </w:tcPr>
          <w:p w14:paraId="2058EC8E">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377" w:type="dxa"/>
          </w:tcPr>
          <w:p w14:paraId="0E77C3A7">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987" w:type="dxa"/>
            <w:vAlign w:val="center"/>
          </w:tcPr>
          <w:p w14:paraId="23999CC2">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983" w:type="dxa"/>
          </w:tcPr>
          <w:p w14:paraId="571F9611">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724" w:type="dxa"/>
            <w:vAlign w:val="center"/>
          </w:tcPr>
          <w:p w14:paraId="71CCF0FA">
            <w:pPr>
              <w:adjustRightInd w:val="0"/>
              <w:snapToGrid w:val="0"/>
              <w:jc w:val="center"/>
              <w:rPr>
                <w:rFonts w:hint="eastAsia" w:ascii="宋体" w:hAnsi="宋体"/>
                <w:color w:val="000000" w:themeColor="text1"/>
                <w:szCs w:val="21"/>
                <w:highlight w:val="none"/>
                <w14:textFill>
                  <w14:solidFill>
                    <w14:schemeClr w14:val="tx1"/>
                  </w14:solidFill>
                </w14:textFill>
              </w:rPr>
            </w:pPr>
          </w:p>
        </w:tc>
      </w:tr>
      <w:tr w14:paraId="5E5EC3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594" w:type="dxa"/>
            <w:vAlign w:val="center"/>
          </w:tcPr>
          <w:p w14:paraId="2C9C172D">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514" w:type="dxa"/>
            <w:vAlign w:val="center"/>
          </w:tcPr>
          <w:p w14:paraId="7B31E2A0">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2623" w:type="dxa"/>
          </w:tcPr>
          <w:p w14:paraId="43D006B1">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960" w:type="dxa"/>
          </w:tcPr>
          <w:p w14:paraId="1E9D83CD">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694" w:type="dxa"/>
          </w:tcPr>
          <w:p w14:paraId="1BD61E99">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377" w:type="dxa"/>
          </w:tcPr>
          <w:p w14:paraId="0060A63B">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987" w:type="dxa"/>
            <w:vAlign w:val="center"/>
          </w:tcPr>
          <w:p w14:paraId="16D5E653">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983" w:type="dxa"/>
          </w:tcPr>
          <w:p w14:paraId="26F1BD2C">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724" w:type="dxa"/>
            <w:vAlign w:val="center"/>
          </w:tcPr>
          <w:p w14:paraId="22F2F99D">
            <w:pPr>
              <w:adjustRightInd w:val="0"/>
              <w:snapToGrid w:val="0"/>
              <w:jc w:val="center"/>
              <w:rPr>
                <w:rFonts w:hint="eastAsia" w:ascii="宋体" w:hAnsi="宋体"/>
                <w:color w:val="000000" w:themeColor="text1"/>
                <w:szCs w:val="21"/>
                <w:highlight w:val="none"/>
                <w14:textFill>
                  <w14:solidFill>
                    <w14:schemeClr w14:val="tx1"/>
                  </w14:solidFill>
                </w14:textFill>
              </w:rPr>
            </w:pPr>
          </w:p>
        </w:tc>
      </w:tr>
      <w:tr w14:paraId="41F3C7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594" w:type="dxa"/>
            <w:vAlign w:val="center"/>
          </w:tcPr>
          <w:p w14:paraId="74854378">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1514" w:type="dxa"/>
            <w:vAlign w:val="center"/>
          </w:tcPr>
          <w:p w14:paraId="377A5652">
            <w:pPr>
              <w:adjustRightInd w:val="0"/>
              <w:snapToGrid w:val="0"/>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合计（大写）</w:t>
            </w:r>
          </w:p>
        </w:tc>
        <w:tc>
          <w:tcPr>
            <w:tcW w:w="8641" w:type="dxa"/>
            <w:gridSpan w:val="5"/>
            <w:vAlign w:val="center"/>
          </w:tcPr>
          <w:p w14:paraId="6B4E47DA">
            <w:pPr>
              <w:adjustRightInd w:val="0"/>
              <w:snapToGrid w:val="0"/>
              <w:jc w:val="center"/>
              <w:rPr>
                <w:rFonts w:hint="eastAsia" w:ascii="宋体" w:hAnsi="宋体"/>
                <w:color w:val="000000" w:themeColor="text1"/>
                <w:szCs w:val="21"/>
                <w:highlight w:val="none"/>
                <w14:textFill>
                  <w14:solidFill>
                    <w14:schemeClr w14:val="tx1"/>
                  </w14:solidFill>
                </w14:textFill>
              </w:rPr>
            </w:pPr>
          </w:p>
        </w:tc>
        <w:tc>
          <w:tcPr>
            <w:tcW w:w="2707" w:type="dxa"/>
            <w:gridSpan w:val="2"/>
            <w:vAlign w:val="center"/>
          </w:tcPr>
          <w:p w14:paraId="35275BA6">
            <w:pPr>
              <w:adjustRightInd w:val="0"/>
              <w:snapToGrid w:val="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r>
    </w:tbl>
    <w:p w14:paraId="4027E5BC">
      <w:pPr>
        <w:adjustRightInd w:val="0"/>
        <w:snapToGrid w:val="0"/>
        <w:spacing w:before="120" w:beforeLines="50"/>
        <w:ind w:left="-88" w:leftChars="-42" w:firstLine="210" w:firstLineChars="1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 xml:space="preserve">说明：1.品牌指产品的品牌或商标； </w:t>
      </w:r>
    </w:p>
    <w:p w14:paraId="55A536FC">
      <w:pPr>
        <w:adjustRightInd w:val="0"/>
        <w:snapToGrid w:val="0"/>
        <w:ind w:left="-88" w:leftChars="-42" w:firstLine="840" w:firstLineChars="4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2.报价精确到小数点后两位；</w:t>
      </w:r>
    </w:p>
    <w:p w14:paraId="3E3B4BA5">
      <w:pPr>
        <w:adjustRightInd w:val="0"/>
        <w:snapToGrid w:val="0"/>
        <w:ind w:left="-88" w:leftChars="-42" w:firstLine="840" w:firstLineChars="400"/>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 xml:space="preserve">3.表格不足的，可自行扩展。 </w:t>
      </w:r>
    </w:p>
    <w:p w14:paraId="03D1DA94">
      <w:pPr>
        <w:adjustRightInd w:val="0"/>
        <w:spacing w:before="480" w:beforeLines="200"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 标 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（盖单位章）</w:t>
      </w:r>
    </w:p>
    <w:p w14:paraId="24BB06E1">
      <w:pPr>
        <w:adjustRightInd w:val="0"/>
        <w:spacing w:before="120" w:beforeLines="50"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期：20     年   月   日</w:t>
      </w:r>
    </w:p>
    <w:p w14:paraId="3603B889">
      <w:pPr>
        <w:adjustRightInd w:val="0"/>
        <w:spacing w:line="400" w:lineRule="exact"/>
        <w:rPr>
          <w:rFonts w:ascii="仿宋_GB2312" w:eastAsia="仿宋_GB2312"/>
          <w:bCs/>
          <w:color w:val="000000" w:themeColor="text1"/>
          <w:szCs w:val="28"/>
          <w:highlight w:val="none"/>
          <w14:textFill>
            <w14:solidFill>
              <w14:schemeClr w14:val="tx1"/>
            </w14:solidFill>
          </w14:textFill>
        </w:rPr>
        <w:sectPr>
          <w:pgSz w:w="16840" w:h="11907" w:orient="landscape"/>
          <w:pgMar w:top="1474" w:right="1440" w:bottom="1474" w:left="1440" w:header="851" w:footer="992" w:gutter="0"/>
          <w:cols w:space="720" w:num="1"/>
          <w:docGrid w:linePitch="312" w:charSpace="0"/>
        </w:sectPr>
      </w:pPr>
    </w:p>
    <w:p w14:paraId="47CB2E98">
      <w:pPr>
        <w:pStyle w:val="29"/>
        <w:spacing w:line="360" w:lineRule="auto"/>
        <w:jc w:val="center"/>
        <w:rPr>
          <w:rFonts w:hint="eastAsia" w:ascii="宋体"/>
          <w:color w:val="000000" w:themeColor="text1"/>
          <w:sz w:val="32"/>
          <w:szCs w:val="32"/>
          <w:highlight w:val="none"/>
          <w14:textFill>
            <w14:solidFill>
              <w14:schemeClr w14:val="tx1"/>
            </w14:solidFill>
          </w14:textFill>
        </w:rPr>
      </w:pPr>
      <w:bookmarkStart w:id="1118" w:name="_Toc29501"/>
      <w:bookmarkStart w:id="1119" w:name="_Toc10249"/>
      <w:bookmarkStart w:id="1120" w:name="_Toc742820949"/>
      <w:bookmarkStart w:id="1121" w:name="_Toc26497"/>
      <w:r>
        <w:rPr>
          <w:rFonts w:hint="eastAsia" w:ascii="宋体"/>
          <w:color w:val="000000" w:themeColor="text1"/>
          <w:sz w:val="32"/>
          <w:szCs w:val="32"/>
          <w:highlight w:val="none"/>
          <w14:textFill>
            <w14:solidFill>
              <w14:schemeClr w14:val="tx1"/>
            </w14:solidFill>
          </w14:textFill>
        </w:rPr>
        <w:t>三、</w:t>
      </w:r>
      <w:bookmarkEnd w:id="1118"/>
      <w:bookmarkEnd w:id="1119"/>
      <w:r>
        <w:rPr>
          <w:rFonts w:hint="eastAsia" w:ascii="宋体"/>
          <w:color w:val="000000" w:themeColor="text1"/>
          <w:sz w:val="32"/>
          <w:szCs w:val="32"/>
          <w:highlight w:val="none"/>
          <w:lang w:val="en-US" w:eastAsia="zh-CN"/>
          <w14:textFill>
            <w14:solidFill>
              <w14:schemeClr w14:val="tx1"/>
            </w14:solidFill>
          </w14:textFill>
        </w:rPr>
        <w:t>投标</w:t>
      </w:r>
      <w:r>
        <w:rPr>
          <w:rFonts w:hint="eastAsia" w:ascii="宋体"/>
          <w:color w:val="000000" w:themeColor="text1"/>
          <w:sz w:val="32"/>
          <w:szCs w:val="32"/>
          <w:highlight w:val="none"/>
          <w14:textFill>
            <w14:solidFill>
              <w14:schemeClr w14:val="tx1"/>
            </w14:solidFill>
          </w14:textFill>
        </w:rPr>
        <w:t>偏离表</w:t>
      </w:r>
    </w:p>
    <w:tbl>
      <w:tblPr>
        <w:tblStyle w:val="31"/>
        <w:tblW w:w="934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1417"/>
        <w:gridCol w:w="1985"/>
        <w:gridCol w:w="1984"/>
        <w:gridCol w:w="993"/>
        <w:gridCol w:w="2234"/>
      </w:tblGrid>
      <w:tr w14:paraId="27AF0F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28" w:type="dxa"/>
            <w:vAlign w:val="center"/>
          </w:tcPr>
          <w:p w14:paraId="58C75A5A">
            <w:pPr>
              <w:pStyle w:val="29"/>
              <w:jc w:val="center"/>
              <w:rPr>
                <w:rFonts w:hint="eastAsia" w:ascii="宋体" w:cs="宋体"/>
                <w:bCs/>
                <w:color w:val="000000" w:themeColor="text1"/>
                <w:szCs w:val="21"/>
                <w:highlight w:val="none"/>
                <w14:textFill>
                  <w14:solidFill>
                    <w14:schemeClr w14:val="tx1"/>
                  </w14:solidFill>
                </w14:textFill>
              </w:rPr>
            </w:pPr>
            <w:r>
              <w:rPr>
                <w:rFonts w:hint="eastAsia" w:ascii="宋体" w:cs="宋体"/>
                <w:bCs/>
                <w:color w:val="000000" w:themeColor="text1"/>
                <w:szCs w:val="21"/>
                <w:highlight w:val="none"/>
                <w14:textFill>
                  <w14:solidFill>
                    <w14:schemeClr w14:val="tx1"/>
                  </w14:solidFill>
                </w14:textFill>
              </w:rPr>
              <w:t>序号</w:t>
            </w:r>
          </w:p>
        </w:tc>
        <w:tc>
          <w:tcPr>
            <w:tcW w:w="1417" w:type="dxa"/>
            <w:vAlign w:val="center"/>
          </w:tcPr>
          <w:p w14:paraId="72E2266E">
            <w:pPr>
              <w:pStyle w:val="29"/>
              <w:jc w:val="center"/>
              <w:rPr>
                <w:rFonts w:hint="eastAsia" w:ascii="宋体" w:cs="宋体"/>
                <w:bCs/>
                <w:color w:val="000000" w:themeColor="text1"/>
                <w:szCs w:val="21"/>
                <w:highlight w:val="none"/>
                <w14:textFill>
                  <w14:solidFill>
                    <w14:schemeClr w14:val="tx1"/>
                  </w14:solidFill>
                </w14:textFill>
              </w:rPr>
            </w:pPr>
            <w:r>
              <w:rPr>
                <w:rFonts w:hint="eastAsia" w:ascii="宋体" w:cs="宋体"/>
                <w:bCs/>
                <w:color w:val="000000" w:themeColor="text1"/>
                <w:szCs w:val="21"/>
                <w:highlight w:val="none"/>
                <w14:textFill>
                  <w14:solidFill>
                    <w14:schemeClr w14:val="tx1"/>
                  </w14:solidFill>
                </w14:textFill>
              </w:rPr>
              <w:t>文件条目号</w:t>
            </w:r>
          </w:p>
        </w:tc>
        <w:tc>
          <w:tcPr>
            <w:tcW w:w="1985" w:type="dxa"/>
            <w:vAlign w:val="center"/>
          </w:tcPr>
          <w:p w14:paraId="68E92DD7">
            <w:pPr>
              <w:pStyle w:val="29"/>
              <w:jc w:val="center"/>
              <w:rPr>
                <w:rFonts w:hint="eastAsia" w:ascii="宋体" w:cs="宋体"/>
                <w:bCs/>
                <w:color w:val="000000" w:themeColor="text1"/>
                <w:szCs w:val="21"/>
                <w:highlight w:val="none"/>
                <w14:textFill>
                  <w14:solidFill>
                    <w14:schemeClr w14:val="tx1"/>
                  </w14:solidFill>
                </w14:textFill>
              </w:rPr>
            </w:pPr>
            <w:r>
              <w:rPr>
                <w:rFonts w:hint="eastAsia" w:ascii="宋体" w:cs="宋体"/>
                <w:bCs/>
                <w:color w:val="000000" w:themeColor="text1"/>
                <w:szCs w:val="21"/>
                <w:highlight w:val="none"/>
                <w14:textFill>
                  <w14:solidFill>
                    <w14:schemeClr w14:val="tx1"/>
                  </w14:solidFill>
                </w14:textFill>
              </w:rPr>
              <w:t>招标文件要求</w:t>
            </w:r>
          </w:p>
        </w:tc>
        <w:tc>
          <w:tcPr>
            <w:tcW w:w="1984" w:type="dxa"/>
            <w:vAlign w:val="center"/>
          </w:tcPr>
          <w:p w14:paraId="54906FE4">
            <w:pPr>
              <w:pStyle w:val="29"/>
              <w:jc w:val="center"/>
              <w:rPr>
                <w:rFonts w:hint="eastAsia" w:ascii="宋体" w:cs="宋体"/>
                <w:bCs/>
                <w:color w:val="000000" w:themeColor="text1"/>
                <w:szCs w:val="21"/>
                <w:highlight w:val="none"/>
                <w14:textFill>
                  <w14:solidFill>
                    <w14:schemeClr w14:val="tx1"/>
                  </w14:solidFill>
                </w14:textFill>
              </w:rPr>
            </w:pPr>
            <w:r>
              <w:rPr>
                <w:rFonts w:hint="eastAsia" w:ascii="宋体" w:cs="宋体"/>
                <w:bCs/>
                <w:color w:val="000000" w:themeColor="text1"/>
                <w:szCs w:val="21"/>
                <w:highlight w:val="none"/>
                <w14:textFill>
                  <w14:solidFill>
                    <w14:schemeClr w14:val="tx1"/>
                  </w14:solidFill>
                </w14:textFill>
              </w:rPr>
              <w:t>投标文件内容</w:t>
            </w:r>
          </w:p>
        </w:tc>
        <w:tc>
          <w:tcPr>
            <w:tcW w:w="993" w:type="dxa"/>
            <w:vAlign w:val="center"/>
          </w:tcPr>
          <w:p w14:paraId="44214F0D">
            <w:pPr>
              <w:pStyle w:val="29"/>
              <w:jc w:val="center"/>
              <w:rPr>
                <w:rFonts w:hint="eastAsia" w:ascii="宋体" w:cs="宋体"/>
                <w:bCs/>
                <w:color w:val="000000" w:themeColor="text1"/>
                <w:szCs w:val="21"/>
                <w:highlight w:val="none"/>
                <w14:textFill>
                  <w14:solidFill>
                    <w14:schemeClr w14:val="tx1"/>
                  </w14:solidFill>
                </w14:textFill>
              </w:rPr>
            </w:pPr>
            <w:r>
              <w:rPr>
                <w:rFonts w:hint="eastAsia" w:ascii="宋体" w:cs="宋体"/>
                <w:bCs/>
                <w:color w:val="000000" w:themeColor="text1"/>
                <w:szCs w:val="21"/>
                <w:highlight w:val="none"/>
                <w14:textFill>
                  <w14:solidFill>
                    <w14:schemeClr w14:val="tx1"/>
                  </w14:solidFill>
                </w14:textFill>
              </w:rPr>
              <w:t>偏离</w:t>
            </w:r>
          </w:p>
        </w:tc>
        <w:tc>
          <w:tcPr>
            <w:tcW w:w="2234" w:type="dxa"/>
            <w:vAlign w:val="center"/>
          </w:tcPr>
          <w:p w14:paraId="4CE27BAA">
            <w:pPr>
              <w:pStyle w:val="29"/>
              <w:jc w:val="center"/>
              <w:rPr>
                <w:rFonts w:hint="eastAsia" w:ascii="宋体" w:cs="宋体"/>
                <w:bCs/>
                <w:color w:val="000000" w:themeColor="text1"/>
                <w:szCs w:val="21"/>
                <w:highlight w:val="none"/>
                <w14:textFill>
                  <w14:solidFill>
                    <w14:schemeClr w14:val="tx1"/>
                  </w14:solidFill>
                </w14:textFill>
              </w:rPr>
            </w:pPr>
            <w:r>
              <w:rPr>
                <w:rFonts w:hint="eastAsia" w:ascii="宋体" w:cs="宋体"/>
                <w:bCs/>
                <w:color w:val="000000" w:themeColor="text1"/>
                <w:szCs w:val="21"/>
                <w:highlight w:val="none"/>
                <w14:textFill>
                  <w14:solidFill>
                    <w14:schemeClr w14:val="tx1"/>
                  </w14:solidFill>
                </w14:textFill>
              </w:rPr>
              <w:t>偏离及其影响</w:t>
            </w:r>
          </w:p>
        </w:tc>
      </w:tr>
      <w:tr w14:paraId="31F7C5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28" w:type="dxa"/>
          </w:tcPr>
          <w:p w14:paraId="01FA82A0">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417" w:type="dxa"/>
          </w:tcPr>
          <w:p w14:paraId="0271EEDF">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5" w:type="dxa"/>
          </w:tcPr>
          <w:p w14:paraId="67E5A413">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4" w:type="dxa"/>
          </w:tcPr>
          <w:p w14:paraId="6FD44D2E">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993" w:type="dxa"/>
          </w:tcPr>
          <w:p w14:paraId="3EA1BF91">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2234" w:type="dxa"/>
          </w:tcPr>
          <w:p w14:paraId="5E3F0034">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r>
      <w:tr w14:paraId="4404C2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28" w:type="dxa"/>
          </w:tcPr>
          <w:p w14:paraId="096552D6">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417" w:type="dxa"/>
          </w:tcPr>
          <w:p w14:paraId="0F2788B4">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5" w:type="dxa"/>
          </w:tcPr>
          <w:p w14:paraId="7AB41444">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4" w:type="dxa"/>
          </w:tcPr>
          <w:p w14:paraId="697A5B5A">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993" w:type="dxa"/>
          </w:tcPr>
          <w:p w14:paraId="160F8635">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2234" w:type="dxa"/>
          </w:tcPr>
          <w:p w14:paraId="6C9C520E">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r>
      <w:tr w14:paraId="2D4890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28" w:type="dxa"/>
          </w:tcPr>
          <w:p w14:paraId="05B0D7C3">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417" w:type="dxa"/>
          </w:tcPr>
          <w:p w14:paraId="6C51FF4C">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5" w:type="dxa"/>
          </w:tcPr>
          <w:p w14:paraId="20BBEDF0">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4" w:type="dxa"/>
          </w:tcPr>
          <w:p w14:paraId="64A3D63E">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993" w:type="dxa"/>
          </w:tcPr>
          <w:p w14:paraId="7C5F025A">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2234" w:type="dxa"/>
          </w:tcPr>
          <w:p w14:paraId="63EA443C">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r>
      <w:tr w14:paraId="7C9019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28" w:type="dxa"/>
          </w:tcPr>
          <w:p w14:paraId="53D3F5DE">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417" w:type="dxa"/>
          </w:tcPr>
          <w:p w14:paraId="058C2C14">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5" w:type="dxa"/>
          </w:tcPr>
          <w:p w14:paraId="6D83BA5A">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4" w:type="dxa"/>
          </w:tcPr>
          <w:p w14:paraId="71910CA6">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993" w:type="dxa"/>
          </w:tcPr>
          <w:p w14:paraId="649F232E">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2234" w:type="dxa"/>
          </w:tcPr>
          <w:p w14:paraId="481584AF">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r>
      <w:tr w14:paraId="517140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28" w:type="dxa"/>
          </w:tcPr>
          <w:p w14:paraId="3F397F7F">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417" w:type="dxa"/>
          </w:tcPr>
          <w:p w14:paraId="1BDCF864">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5" w:type="dxa"/>
          </w:tcPr>
          <w:p w14:paraId="0731D239">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4" w:type="dxa"/>
          </w:tcPr>
          <w:p w14:paraId="1D5A8989">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993" w:type="dxa"/>
          </w:tcPr>
          <w:p w14:paraId="355B026B">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2234" w:type="dxa"/>
          </w:tcPr>
          <w:p w14:paraId="7F789ECE">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r>
      <w:tr w14:paraId="05D667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28" w:type="dxa"/>
          </w:tcPr>
          <w:p w14:paraId="00B78ADD">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417" w:type="dxa"/>
          </w:tcPr>
          <w:p w14:paraId="1C570093">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5" w:type="dxa"/>
          </w:tcPr>
          <w:p w14:paraId="50BDDB66">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4" w:type="dxa"/>
          </w:tcPr>
          <w:p w14:paraId="1E96AEC9">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993" w:type="dxa"/>
          </w:tcPr>
          <w:p w14:paraId="15BC2532">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2234" w:type="dxa"/>
          </w:tcPr>
          <w:p w14:paraId="6DEBB046">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r>
      <w:tr w14:paraId="1985CC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28" w:type="dxa"/>
          </w:tcPr>
          <w:p w14:paraId="0D559BBE">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417" w:type="dxa"/>
          </w:tcPr>
          <w:p w14:paraId="28448DB5">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5" w:type="dxa"/>
          </w:tcPr>
          <w:p w14:paraId="68FD2FBE">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4" w:type="dxa"/>
          </w:tcPr>
          <w:p w14:paraId="541D87CE">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993" w:type="dxa"/>
          </w:tcPr>
          <w:p w14:paraId="0BEFC660">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2234" w:type="dxa"/>
          </w:tcPr>
          <w:p w14:paraId="089A10DE">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r>
      <w:tr w14:paraId="187759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28" w:type="dxa"/>
          </w:tcPr>
          <w:p w14:paraId="3D0D7D47">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417" w:type="dxa"/>
          </w:tcPr>
          <w:p w14:paraId="498BF338">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5" w:type="dxa"/>
          </w:tcPr>
          <w:p w14:paraId="18FE90CD">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4" w:type="dxa"/>
          </w:tcPr>
          <w:p w14:paraId="7905B9B3">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993" w:type="dxa"/>
          </w:tcPr>
          <w:p w14:paraId="6BB1EED4">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2234" w:type="dxa"/>
          </w:tcPr>
          <w:p w14:paraId="24241CF3">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r>
      <w:tr w14:paraId="77C226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28" w:type="dxa"/>
          </w:tcPr>
          <w:p w14:paraId="35AB27E3">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p w14:paraId="0225FBAC">
            <w:pPr>
              <w:rPr>
                <w:color w:val="000000" w:themeColor="text1"/>
                <w:highlight w:val="none"/>
                <w14:textFill>
                  <w14:solidFill>
                    <w14:schemeClr w14:val="tx1"/>
                  </w14:solidFill>
                </w14:textFill>
              </w:rPr>
            </w:pPr>
          </w:p>
        </w:tc>
        <w:tc>
          <w:tcPr>
            <w:tcW w:w="1417" w:type="dxa"/>
          </w:tcPr>
          <w:p w14:paraId="06349E8D">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5" w:type="dxa"/>
          </w:tcPr>
          <w:p w14:paraId="2BB32905">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4" w:type="dxa"/>
          </w:tcPr>
          <w:p w14:paraId="13396C37">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993" w:type="dxa"/>
          </w:tcPr>
          <w:p w14:paraId="1CF9488C">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2234" w:type="dxa"/>
          </w:tcPr>
          <w:p w14:paraId="2260D46D">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r>
      <w:tr w14:paraId="4667D1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28" w:type="dxa"/>
          </w:tcPr>
          <w:p w14:paraId="6E40C82F">
            <w:pPr>
              <w:rPr>
                <w:color w:val="000000" w:themeColor="text1"/>
                <w:highlight w:val="none"/>
                <w14:textFill>
                  <w14:solidFill>
                    <w14:schemeClr w14:val="tx1"/>
                  </w14:solidFill>
                </w14:textFill>
              </w:rPr>
            </w:pPr>
          </w:p>
          <w:p w14:paraId="464C9E26">
            <w:pPr>
              <w:pStyle w:val="29"/>
              <w:rPr>
                <w:rFonts w:hint="eastAsia"/>
                <w:color w:val="000000" w:themeColor="text1"/>
                <w:highlight w:val="none"/>
                <w14:textFill>
                  <w14:solidFill>
                    <w14:schemeClr w14:val="tx1"/>
                  </w14:solidFill>
                </w14:textFill>
              </w:rPr>
            </w:pPr>
          </w:p>
        </w:tc>
        <w:tc>
          <w:tcPr>
            <w:tcW w:w="1417" w:type="dxa"/>
          </w:tcPr>
          <w:p w14:paraId="045BE103">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5" w:type="dxa"/>
          </w:tcPr>
          <w:p w14:paraId="53D3F553">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4" w:type="dxa"/>
          </w:tcPr>
          <w:p w14:paraId="057744B4">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993" w:type="dxa"/>
          </w:tcPr>
          <w:p w14:paraId="4B934ECF">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2234" w:type="dxa"/>
          </w:tcPr>
          <w:p w14:paraId="6D43357C">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r>
      <w:tr w14:paraId="12B6F2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28" w:type="dxa"/>
          </w:tcPr>
          <w:p w14:paraId="17DE0F12">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417" w:type="dxa"/>
          </w:tcPr>
          <w:p w14:paraId="3CF4F603">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5" w:type="dxa"/>
          </w:tcPr>
          <w:p w14:paraId="1C8EAE14">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1984" w:type="dxa"/>
          </w:tcPr>
          <w:p w14:paraId="28B8F8B4">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993" w:type="dxa"/>
          </w:tcPr>
          <w:p w14:paraId="5B29D726">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c>
          <w:tcPr>
            <w:tcW w:w="2234" w:type="dxa"/>
          </w:tcPr>
          <w:p w14:paraId="6F2FAAC3">
            <w:pPr>
              <w:pStyle w:val="7"/>
              <w:spacing w:before="120"/>
              <w:ind w:firstLine="562"/>
              <w:rPr>
                <w:rFonts w:hint="eastAsia" w:ascii="宋体" w:hAnsi="宋体" w:cs="宋体"/>
                <w:b/>
                <w:color w:val="000000" w:themeColor="text1"/>
                <w:szCs w:val="21"/>
                <w:highlight w:val="none"/>
                <w14:textFill>
                  <w14:solidFill>
                    <w14:schemeClr w14:val="tx1"/>
                  </w14:solidFill>
                </w14:textFill>
              </w:rPr>
            </w:pPr>
          </w:p>
        </w:tc>
      </w:tr>
      <w:tr w14:paraId="558A2D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vAlign w:val="center"/>
          </w:tcPr>
          <w:p w14:paraId="0F81F57D">
            <w:pPr>
              <w:adjustRightInd w:val="0"/>
              <w:snapToGrid w:val="0"/>
              <w:spacing w:before="312" w:line="360" w:lineRule="auto"/>
              <w:ind w:right="105"/>
              <w:rPr>
                <w:rFonts w:hint="eastAsia" w:ascii="宋体" w:hAnsi="宋体"/>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说明</w:t>
            </w:r>
          </w:p>
        </w:tc>
        <w:tc>
          <w:tcPr>
            <w:tcW w:w="8613" w:type="dxa"/>
            <w:gridSpan w:val="5"/>
          </w:tcPr>
          <w:p w14:paraId="07B37FD9">
            <w:pPr>
              <w:adjustRightInd w:val="0"/>
              <w:snapToGrid w:val="0"/>
              <w:rPr>
                <w:rFonts w:hint="eastAsia" w:ascii="楷体" w:hAnsi="楷体" w:eastAsia="楷体"/>
                <w:color w:val="000000" w:themeColor="text1"/>
                <w:sz w:val="18"/>
                <w:szCs w:val="18"/>
                <w:highlight w:val="none"/>
                <w14:textFill>
                  <w14:solidFill>
                    <w14:schemeClr w14:val="tx1"/>
                  </w14:solidFill>
                </w14:textFill>
              </w:rPr>
            </w:pPr>
            <w:r>
              <w:rPr>
                <w:rFonts w:hint="eastAsia" w:ascii="楷体" w:hAnsi="楷体" w:eastAsia="楷体"/>
                <w:color w:val="000000" w:themeColor="text1"/>
                <w:sz w:val="18"/>
                <w:szCs w:val="18"/>
                <w:highlight w:val="none"/>
                <w14:textFill>
                  <w14:solidFill>
                    <w14:schemeClr w14:val="tx1"/>
                  </w14:solidFill>
                </w14:textFill>
              </w:rPr>
              <w:t>1.偏离应按照招标文件有关偏离条款的定义理解。</w:t>
            </w:r>
          </w:p>
          <w:p w14:paraId="0C3C6D98">
            <w:pPr>
              <w:adjustRightInd w:val="0"/>
              <w:snapToGrid w:val="0"/>
              <w:rPr>
                <w:rFonts w:hint="eastAsia" w:ascii="楷体" w:hAnsi="楷体" w:eastAsia="楷体"/>
                <w:color w:val="000000" w:themeColor="text1"/>
                <w:sz w:val="18"/>
                <w:szCs w:val="18"/>
                <w:highlight w:val="none"/>
                <w14:textFill>
                  <w14:solidFill>
                    <w14:schemeClr w14:val="tx1"/>
                  </w14:solidFill>
                </w14:textFill>
              </w:rPr>
            </w:pPr>
            <w:r>
              <w:rPr>
                <w:rFonts w:hint="eastAsia" w:ascii="楷体" w:hAnsi="楷体" w:eastAsia="楷体"/>
                <w:color w:val="000000" w:themeColor="text1"/>
                <w:sz w:val="18"/>
                <w:szCs w:val="18"/>
                <w:highlight w:val="none"/>
                <w14:textFill>
                  <w14:solidFill>
                    <w14:schemeClr w14:val="tx1"/>
                  </w14:solidFill>
                </w14:textFill>
              </w:rPr>
              <w:t>2.本表只需列出投标文件内容与招标文件要求（采购需求中的技术要求、商务要求、其他要求(若有)以及合同格式文本中相关条款）中存在偏离的条款，并注明偏离情况。除本表所列内容外，其他均视为投标人响应招标文件要求。</w:t>
            </w:r>
          </w:p>
          <w:p w14:paraId="054517D2">
            <w:pPr>
              <w:adjustRightInd w:val="0"/>
              <w:snapToGrid w:val="0"/>
              <w:rPr>
                <w:rFonts w:hint="eastAsia" w:ascii="楷体" w:hAnsi="楷体" w:eastAsia="楷体"/>
                <w:color w:val="000000" w:themeColor="text1"/>
                <w:sz w:val="18"/>
                <w:szCs w:val="18"/>
                <w:highlight w:val="none"/>
                <w14:textFill>
                  <w14:solidFill>
                    <w14:schemeClr w14:val="tx1"/>
                  </w14:solidFill>
                </w14:textFill>
              </w:rPr>
            </w:pPr>
            <w:r>
              <w:rPr>
                <w:rFonts w:hint="eastAsia" w:ascii="楷体" w:hAnsi="楷体" w:eastAsia="楷体"/>
                <w:color w:val="000000" w:themeColor="text1"/>
                <w:sz w:val="18"/>
                <w:szCs w:val="18"/>
                <w:highlight w:val="none"/>
                <w14:textFill>
                  <w14:solidFill>
                    <w14:schemeClr w14:val="tx1"/>
                  </w14:solidFill>
                </w14:textFill>
              </w:rPr>
              <w:t>3.如投标人响应</w:t>
            </w:r>
            <w:r>
              <w:rPr>
                <w:rFonts w:hint="eastAsia" w:ascii="楷体" w:hAnsi="楷体" w:eastAsia="楷体"/>
                <w:color w:val="000000" w:themeColor="text1"/>
                <w:sz w:val="18"/>
                <w:szCs w:val="18"/>
                <w:highlight w:val="yellow"/>
                <w:lang w:val="en-US" w:eastAsia="zh-CN"/>
                <w14:textFill>
                  <w14:solidFill>
                    <w14:schemeClr w14:val="tx1"/>
                  </w14:solidFill>
                </w14:textFill>
              </w:rPr>
              <w:t>招</w:t>
            </w:r>
            <w:r>
              <w:rPr>
                <w:rFonts w:hint="eastAsia" w:ascii="楷体" w:hAnsi="楷体" w:eastAsia="楷体"/>
                <w:color w:val="000000" w:themeColor="text1"/>
                <w:sz w:val="18"/>
                <w:szCs w:val="18"/>
                <w:highlight w:val="yellow"/>
                <w14:textFill>
                  <w14:solidFill>
                    <w14:schemeClr w14:val="tx1"/>
                  </w14:solidFill>
                </w14:textFill>
              </w:rPr>
              <w:t>标文件</w:t>
            </w:r>
            <w:r>
              <w:rPr>
                <w:rFonts w:hint="eastAsia" w:ascii="楷体" w:hAnsi="楷体" w:eastAsia="楷体"/>
                <w:color w:val="000000" w:themeColor="text1"/>
                <w:sz w:val="18"/>
                <w:szCs w:val="18"/>
                <w:highlight w:val="none"/>
                <w14:textFill>
                  <w14:solidFill>
                    <w14:schemeClr w14:val="tx1"/>
                  </w14:solidFill>
                </w14:textFill>
              </w:rPr>
              <w:t>所有要求且无偏离，应提供空白表格。</w:t>
            </w:r>
          </w:p>
          <w:p w14:paraId="46AF7E39">
            <w:pPr>
              <w:adjustRightInd w:val="0"/>
              <w:snapToGrid w:val="0"/>
              <w:rPr>
                <w:rFonts w:hint="eastAsia" w:ascii="楷体" w:hAnsi="楷体" w:eastAsia="楷体"/>
                <w:color w:val="000000" w:themeColor="text1"/>
                <w:sz w:val="18"/>
                <w:szCs w:val="18"/>
                <w:highlight w:val="none"/>
                <w14:textFill>
                  <w14:solidFill>
                    <w14:schemeClr w14:val="tx1"/>
                  </w14:solidFill>
                </w14:textFill>
              </w:rPr>
            </w:pPr>
            <w:r>
              <w:rPr>
                <w:rFonts w:hint="eastAsia" w:ascii="楷体" w:hAnsi="楷体" w:eastAsia="楷体"/>
                <w:color w:val="000000" w:themeColor="text1"/>
                <w:sz w:val="18"/>
                <w:szCs w:val="18"/>
                <w:highlight w:val="none"/>
                <w14:textFill>
                  <w14:solidFill>
                    <w14:schemeClr w14:val="tx1"/>
                  </w14:solidFill>
                </w14:textFill>
              </w:rPr>
              <w:t>4.投标人必须据实填写，不得虚假投标，否则将取消其投标或中标资格，并按有关规定进行处罚。</w:t>
            </w:r>
          </w:p>
        </w:tc>
      </w:tr>
    </w:tbl>
    <w:p w14:paraId="3104E93B">
      <w:pPr>
        <w:adjustRightInd w:val="0"/>
        <w:snapToGrid w:val="0"/>
        <w:spacing w:before="72" w:line="360" w:lineRule="auto"/>
        <w:jc w:val="left"/>
        <w:rPr>
          <w:rFonts w:hint="eastAsia" w:ascii="宋体" w:hAnsi="宋体" w:cs="宋体"/>
          <w:bCs/>
          <w:color w:val="000000" w:themeColor="text1"/>
          <w:szCs w:val="21"/>
          <w:highlight w:val="none"/>
          <w14:textFill>
            <w14:solidFill>
              <w14:schemeClr w14:val="tx1"/>
            </w14:solidFill>
          </w14:textFill>
        </w:rPr>
      </w:pPr>
    </w:p>
    <w:p w14:paraId="24744651">
      <w:pPr>
        <w:adjustRightInd w:val="0"/>
        <w:snapToGrid w:val="0"/>
        <w:spacing w:line="360" w:lineRule="auto"/>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(盖单位公章)</w:t>
      </w:r>
    </w:p>
    <w:p w14:paraId="1BBA48A7">
      <w:pPr>
        <w:adjustRightInd w:val="0"/>
        <w:snapToGrid w:val="0"/>
        <w:spacing w:before="72" w:line="360" w:lineRule="auto"/>
        <w:jc w:val="left"/>
        <w:rPr>
          <w:rFonts w:hint="eastAsia" w:ascii="黑体" w:hAnsi="宋体" w:eastAsia="黑体"/>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期：20</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r>
        <w:rPr>
          <w:rFonts w:hint="eastAsia" w:ascii="黑体" w:hAnsi="宋体" w:eastAsia="黑体"/>
          <w:color w:val="000000" w:themeColor="text1"/>
          <w:sz w:val="36"/>
          <w:szCs w:val="36"/>
          <w:highlight w:val="none"/>
          <w14:textFill>
            <w14:solidFill>
              <w14:schemeClr w14:val="tx1"/>
            </w14:solidFill>
          </w14:textFill>
        </w:rPr>
        <w:br w:type="page"/>
      </w:r>
    </w:p>
    <w:p w14:paraId="5481DD1F">
      <w:pPr>
        <w:adjustRightInd w:val="0"/>
        <w:snapToGrid w:val="0"/>
        <w:jc w:val="center"/>
        <w:rPr>
          <w:rFonts w:hint="eastAsia" w:ascii="黑体" w:hAnsi="宋体" w:eastAsia="黑体"/>
          <w:color w:val="000000" w:themeColor="text1"/>
          <w:sz w:val="36"/>
          <w:szCs w:val="36"/>
          <w:highlight w:val="none"/>
          <w14:textFill>
            <w14:solidFill>
              <w14:schemeClr w14:val="tx1"/>
            </w14:solidFill>
          </w14:textFill>
        </w:rPr>
      </w:pPr>
      <w:r>
        <w:rPr>
          <w:rFonts w:hint="eastAsia" w:ascii="黑体" w:hAnsi="宋体" w:eastAsia="黑体"/>
          <w:color w:val="000000" w:themeColor="text1"/>
          <w:sz w:val="36"/>
          <w:szCs w:val="36"/>
          <w:highlight w:val="none"/>
          <w14:textFill>
            <w14:solidFill>
              <w14:schemeClr w14:val="tx1"/>
            </w14:solidFill>
          </w14:textFill>
        </w:rPr>
        <w:t>四、报价明细表（已标价工程量清单）</w:t>
      </w:r>
    </w:p>
    <w:p w14:paraId="150CDFC8">
      <w:pPr>
        <w:adjustRightInd w:val="0"/>
        <w:snapToGrid w:val="0"/>
        <w:jc w:val="left"/>
        <w:rPr>
          <w:rFonts w:hint="eastAsia" w:ascii="黑体" w:hAnsi="宋体" w:eastAsia="黑体"/>
          <w:b/>
          <w:color w:val="000000" w:themeColor="text1"/>
          <w:sz w:val="36"/>
          <w:szCs w:val="36"/>
          <w:highlight w:val="none"/>
          <w14:textFill>
            <w14:solidFill>
              <w14:schemeClr w14:val="tx1"/>
            </w14:solidFill>
          </w14:textFill>
        </w:rPr>
      </w:pPr>
    </w:p>
    <w:p w14:paraId="29F1B640">
      <w:pPr>
        <w:adjustRightInd w:val="0"/>
        <w:snapToGrid w:val="0"/>
        <w:jc w:val="left"/>
        <w:rPr>
          <w:rFonts w:hint="eastAsia" w:ascii="仿宋_GB2312" w:hAnsi="宋体" w:eastAsia="仿宋_GB2312"/>
          <w:b/>
          <w:color w:val="000000" w:themeColor="text1"/>
          <w:sz w:val="28"/>
          <w:szCs w:val="28"/>
          <w:highlight w:val="none"/>
          <w14:textFill>
            <w14:solidFill>
              <w14:schemeClr w14:val="tx1"/>
            </w14:solidFill>
          </w14:textFill>
        </w:rPr>
      </w:pPr>
    </w:p>
    <w:p w14:paraId="38E990BD">
      <w:pPr>
        <w:spacing w:line="360" w:lineRule="auto"/>
        <w:ind w:left="412" w:hanging="411" w:hangingChars="196"/>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说明：1.表格以广联达软件生成为准，提供纸质版。</w:t>
      </w:r>
    </w:p>
    <w:p w14:paraId="7362742E">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已标价工程量清单的扉页(仅指投标总价扉页)应由注册在本单位的造价人员签字并盖执业印章；②已标价工程量清单的扉页(仅指投标总价扉页)，由受托第三方咨询公司编制的，扉页由受托咨询公司的注册造价师签字并盖执业印章，同时提供与受托第三方咨询公司委托咨询合同。</w:t>
      </w:r>
    </w:p>
    <w:p w14:paraId="230FFA87">
      <w:pPr>
        <w:adjustRightInd w:val="0"/>
        <w:spacing w:line="400" w:lineRule="exact"/>
        <w:jc w:val="left"/>
        <w:rPr>
          <w:rFonts w:hint="eastAsia" w:ascii="宋体" w:hAnsi="宋体"/>
          <w:color w:val="000000" w:themeColor="text1"/>
          <w:sz w:val="24"/>
          <w:highlight w:val="none"/>
          <w14:textFill>
            <w14:solidFill>
              <w14:schemeClr w14:val="tx1"/>
            </w14:solidFill>
          </w14:textFill>
        </w:rPr>
      </w:pPr>
    </w:p>
    <w:p w14:paraId="370AE396">
      <w:pPr>
        <w:pStyle w:val="3"/>
        <w:jc w:val="center"/>
        <w:rPr>
          <w:rFonts w:hint="eastAsia" w:ascii="黑体" w:hAnsi="宋体"/>
          <w:b w:val="0"/>
          <w:color w:val="000000" w:themeColor="text1"/>
          <w:sz w:val="36"/>
          <w:szCs w:val="36"/>
          <w:highlight w:val="none"/>
          <w14:textFill>
            <w14:solidFill>
              <w14:schemeClr w14:val="tx1"/>
            </w14:solidFill>
          </w14:textFill>
        </w:rPr>
      </w:pPr>
    </w:p>
    <w:p w14:paraId="37C9C377">
      <w:pPr>
        <w:pStyle w:val="3"/>
        <w:jc w:val="center"/>
        <w:rPr>
          <w:rFonts w:hint="eastAsia" w:ascii="黑体" w:hAnsi="宋体"/>
          <w:b w:val="0"/>
          <w:color w:val="000000" w:themeColor="text1"/>
          <w:sz w:val="36"/>
          <w:szCs w:val="36"/>
          <w:highlight w:val="none"/>
          <w14:textFill>
            <w14:solidFill>
              <w14:schemeClr w14:val="tx1"/>
            </w14:solidFill>
          </w14:textFill>
        </w:rPr>
      </w:pPr>
    </w:p>
    <w:p w14:paraId="525C7B21">
      <w:pPr>
        <w:pStyle w:val="3"/>
        <w:jc w:val="center"/>
        <w:rPr>
          <w:rFonts w:hint="eastAsia" w:ascii="黑体" w:hAnsi="宋体"/>
          <w:b w:val="0"/>
          <w:color w:val="000000" w:themeColor="text1"/>
          <w:sz w:val="36"/>
          <w:szCs w:val="36"/>
          <w:highlight w:val="none"/>
          <w14:textFill>
            <w14:solidFill>
              <w14:schemeClr w14:val="tx1"/>
            </w14:solidFill>
          </w14:textFill>
        </w:rPr>
      </w:pPr>
    </w:p>
    <w:p w14:paraId="40EC8518">
      <w:pPr>
        <w:pStyle w:val="3"/>
        <w:jc w:val="center"/>
        <w:rPr>
          <w:rFonts w:hint="eastAsia" w:ascii="黑体" w:hAnsi="宋体"/>
          <w:b w:val="0"/>
          <w:color w:val="000000" w:themeColor="text1"/>
          <w:sz w:val="36"/>
          <w:szCs w:val="36"/>
          <w:highlight w:val="none"/>
          <w14:textFill>
            <w14:solidFill>
              <w14:schemeClr w14:val="tx1"/>
            </w14:solidFill>
          </w14:textFill>
        </w:rPr>
      </w:pPr>
    </w:p>
    <w:p w14:paraId="4CBAB6F8">
      <w:pPr>
        <w:pStyle w:val="3"/>
        <w:jc w:val="center"/>
        <w:rPr>
          <w:rFonts w:hint="eastAsia" w:ascii="黑体" w:hAnsi="宋体"/>
          <w:b w:val="0"/>
          <w:color w:val="000000" w:themeColor="text1"/>
          <w:sz w:val="36"/>
          <w:szCs w:val="36"/>
          <w:highlight w:val="none"/>
          <w14:textFill>
            <w14:solidFill>
              <w14:schemeClr w14:val="tx1"/>
            </w14:solidFill>
          </w14:textFill>
        </w:rPr>
      </w:pPr>
    </w:p>
    <w:p w14:paraId="320A2C59">
      <w:pPr>
        <w:pStyle w:val="3"/>
        <w:jc w:val="center"/>
        <w:rPr>
          <w:rFonts w:hint="eastAsia" w:ascii="黑体" w:hAnsi="宋体"/>
          <w:b w:val="0"/>
          <w:color w:val="000000" w:themeColor="text1"/>
          <w:sz w:val="36"/>
          <w:szCs w:val="36"/>
          <w:highlight w:val="none"/>
          <w14:textFill>
            <w14:solidFill>
              <w14:schemeClr w14:val="tx1"/>
            </w14:solidFill>
          </w14:textFill>
        </w:rPr>
      </w:pPr>
    </w:p>
    <w:p w14:paraId="4B542D85">
      <w:pPr>
        <w:pStyle w:val="3"/>
        <w:jc w:val="center"/>
        <w:rPr>
          <w:rFonts w:hint="eastAsia" w:ascii="黑体" w:hAnsi="宋体"/>
          <w:b w:val="0"/>
          <w:color w:val="000000" w:themeColor="text1"/>
          <w:sz w:val="36"/>
          <w:szCs w:val="36"/>
          <w:highlight w:val="none"/>
          <w14:textFill>
            <w14:solidFill>
              <w14:schemeClr w14:val="tx1"/>
            </w14:solidFill>
          </w14:textFill>
        </w:rPr>
      </w:pPr>
    </w:p>
    <w:p w14:paraId="77632353">
      <w:pPr>
        <w:pStyle w:val="3"/>
        <w:jc w:val="center"/>
        <w:rPr>
          <w:rFonts w:hint="eastAsia" w:ascii="黑体" w:hAnsi="宋体"/>
          <w:b w:val="0"/>
          <w:color w:val="000000" w:themeColor="text1"/>
          <w:sz w:val="36"/>
          <w:szCs w:val="36"/>
          <w:highlight w:val="none"/>
          <w14:textFill>
            <w14:solidFill>
              <w14:schemeClr w14:val="tx1"/>
            </w14:solidFill>
          </w14:textFill>
        </w:rPr>
      </w:pPr>
    </w:p>
    <w:p w14:paraId="314F2974">
      <w:pPr>
        <w:pStyle w:val="3"/>
        <w:jc w:val="center"/>
        <w:rPr>
          <w:rFonts w:hint="eastAsia" w:ascii="黑体" w:hAnsi="宋体"/>
          <w:b w:val="0"/>
          <w:color w:val="000000" w:themeColor="text1"/>
          <w:sz w:val="36"/>
          <w:szCs w:val="36"/>
          <w:highlight w:val="none"/>
          <w14:textFill>
            <w14:solidFill>
              <w14:schemeClr w14:val="tx1"/>
            </w14:solidFill>
          </w14:textFill>
        </w:rPr>
      </w:pPr>
    </w:p>
    <w:p w14:paraId="44F61C2F">
      <w:pPr>
        <w:pStyle w:val="3"/>
        <w:jc w:val="center"/>
        <w:rPr>
          <w:rFonts w:hint="eastAsia" w:ascii="黑体" w:hAnsi="宋体"/>
          <w:b w:val="0"/>
          <w:color w:val="000000" w:themeColor="text1"/>
          <w:sz w:val="36"/>
          <w:szCs w:val="36"/>
          <w:highlight w:val="none"/>
          <w14:textFill>
            <w14:solidFill>
              <w14:schemeClr w14:val="tx1"/>
            </w14:solidFill>
          </w14:textFill>
        </w:rPr>
      </w:pPr>
    </w:p>
    <w:p w14:paraId="30A41722">
      <w:pPr>
        <w:pStyle w:val="3"/>
        <w:jc w:val="center"/>
        <w:rPr>
          <w:rFonts w:hint="eastAsia" w:ascii="黑体" w:hAnsi="宋体"/>
          <w:b w:val="0"/>
          <w:color w:val="000000" w:themeColor="text1"/>
          <w:sz w:val="36"/>
          <w:szCs w:val="36"/>
          <w:highlight w:val="none"/>
          <w14:textFill>
            <w14:solidFill>
              <w14:schemeClr w14:val="tx1"/>
            </w14:solidFill>
          </w14:textFill>
        </w:rPr>
      </w:pPr>
    </w:p>
    <w:p w14:paraId="221847F3">
      <w:pPr>
        <w:pStyle w:val="3"/>
        <w:jc w:val="center"/>
        <w:rPr>
          <w:rFonts w:hint="eastAsia" w:ascii="黑体" w:hAnsi="宋体"/>
          <w:b w:val="0"/>
          <w:color w:val="000000" w:themeColor="text1"/>
          <w:sz w:val="36"/>
          <w:szCs w:val="36"/>
          <w:highlight w:val="none"/>
          <w14:textFill>
            <w14:solidFill>
              <w14:schemeClr w14:val="tx1"/>
            </w14:solidFill>
          </w14:textFill>
        </w:rPr>
      </w:pPr>
    </w:p>
    <w:p w14:paraId="188CEB87">
      <w:pPr>
        <w:pStyle w:val="3"/>
        <w:jc w:val="center"/>
        <w:rPr>
          <w:rFonts w:hint="eastAsia" w:ascii="黑体" w:hAnsi="宋体"/>
          <w:b w:val="0"/>
          <w:color w:val="000000" w:themeColor="text1"/>
          <w:sz w:val="36"/>
          <w:szCs w:val="36"/>
          <w:highlight w:val="none"/>
          <w14:textFill>
            <w14:solidFill>
              <w14:schemeClr w14:val="tx1"/>
            </w14:solidFill>
          </w14:textFill>
        </w:rPr>
      </w:pPr>
    </w:p>
    <w:p w14:paraId="713460FF">
      <w:pPr>
        <w:rPr>
          <w:color w:val="000000" w:themeColor="text1"/>
          <w:highlight w:val="none"/>
          <w14:textFill>
            <w14:solidFill>
              <w14:schemeClr w14:val="tx1"/>
            </w14:solidFill>
          </w14:textFill>
        </w:rPr>
      </w:pPr>
    </w:p>
    <w:p w14:paraId="017A175E">
      <w:pPr>
        <w:rPr>
          <w:color w:val="000000" w:themeColor="text1"/>
          <w:highlight w:val="none"/>
          <w14:textFill>
            <w14:solidFill>
              <w14:schemeClr w14:val="tx1"/>
            </w14:solidFill>
          </w14:textFill>
        </w:rPr>
      </w:pPr>
    </w:p>
    <w:p w14:paraId="43DF2706">
      <w:pPr>
        <w:adjustRightInd w:val="0"/>
        <w:snapToGrid w:val="0"/>
        <w:jc w:val="center"/>
        <w:rPr>
          <w:rFonts w:hint="eastAsia" w:ascii="黑体" w:hAnsi="宋体" w:eastAsia="黑体"/>
          <w:color w:val="000000" w:themeColor="text1"/>
          <w:sz w:val="36"/>
          <w:szCs w:val="36"/>
          <w:highlight w:val="none"/>
          <w14:textFill>
            <w14:solidFill>
              <w14:schemeClr w14:val="tx1"/>
            </w14:solidFill>
          </w14:textFill>
        </w:rPr>
      </w:pPr>
      <w:r>
        <w:rPr>
          <w:rFonts w:hint="eastAsia" w:ascii="黑体" w:hAnsi="宋体" w:eastAsia="黑体"/>
          <w:color w:val="000000" w:themeColor="text1"/>
          <w:sz w:val="36"/>
          <w:szCs w:val="36"/>
          <w:highlight w:val="none"/>
          <w14:textFill>
            <w14:solidFill>
              <w14:schemeClr w14:val="tx1"/>
            </w14:solidFill>
          </w14:textFill>
        </w:rPr>
        <w:t>五、承诺文件</w:t>
      </w:r>
      <w:bookmarkEnd w:id="1120"/>
      <w:bookmarkEnd w:id="1121"/>
    </w:p>
    <w:p w14:paraId="62E8DBA8">
      <w:pPr>
        <w:pStyle w:val="3"/>
        <w:jc w:val="center"/>
        <w:rPr>
          <w:rFonts w:hint="eastAsia" w:ascii="黑体" w:hAnsi="宋体"/>
          <w:b w:val="0"/>
          <w:color w:val="000000" w:themeColor="text1"/>
          <w:sz w:val="36"/>
          <w:szCs w:val="36"/>
          <w:highlight w:val="none"/>
          <w14:textFill>
            <w14:solidFill>
              <w14:schemeClr w14:val="tx1"/>
            </w14:solidFill>
          </w14:textFill>
        </w:rPr>
      </w:pPr>
      <w:bookmarkStart w:id="1122" w:name="_Toc7194"/>
      <w:bookmarkStart w:id="1123" w:name="_Toc1269249832"/>
      <w:r>
        <w:rPr>
          <w:rFonts w:hint="eastAsia" w:ascii="黑体" w:hAnsi="宋体"/>
          <w:b w:val="0"/>
          <w:color w:val="000000" w:themeColor="text1"/>
          <w:sz w:val="36"/>
          <w:szCs w:val="36"/>
          <w:highlight w:val="none"/>
          <w14:textFill>
            <w14:solidFill>
              <w14:schemeClr w14:val="tx1"/>
            </w14:solidFill>
          </w14:textFill>
        </w:rPr>
        <w:t>1.履约承诺书</w:t>
      </w:r>
      <w:bookmarkEnd w:id="1122"/>
      <w:bookmarkEnd w:id="1123"/>
    </w:p>
    <w:p w14:paraId="1A3FB677">
      <w:pPr>
        <w:spacing w:before="120" w:beforeLines="50" w:after="120" w:afterLines="50"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（采购人）：</w:t>
      </w:r>
    </w:p>
    <w:p w14:paraId="08638F39">
      <w:pPr>
        <w:spacing w:line="360" w:lineRule="auto"/>
        <w:ind w:firstLine="420" w:firstLineChars="200"/>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我方全面承诺</w:t>
      </w:r>
      <w:r>
        <w:rPr>
          <w:rFonts w:hint="eastAsia" w:ascii="宋体" w:hAnsi="宋体"/>
          <w:b/>
          <w:bCs/>
          <w:color w:val="000000" w:themeColor="text1"/>
          <w:spacing w:val="20"/>
          <w:szCs w:val="21"/>
          <w:highlight w:val="none"/>
          <w14:textFill>
            <w14:solidFill>
              <w14:schemeClr w14:val="tx1"/>
            </w14:solidFill>
          </w14:textFill>
        </w:rPr>
        <w:t xml:space="preserve"> </w:t>
      </w:r>
      <w:r>
        <w:rPr>
          <w:rFonts w:hint="eastAsia" w:ascii="宋体" w:hAnsi="宋体"/>
          <w:b/>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zh-CN"/>
          <w14:textFill>
            <w14:solidFill>
              <w14:schemeClr w14:val="tx1"/>
            </w14:solidFill>
          </w14:textFill>
        </w:rPr>
        <w:t>（</w:t>
      </w:r>
      <w:r>
        <w:rPr>
          <w:rFonts w:hint="eastAsia" w:ascii="宋体" w:hAnsi="宋体"/>
          <w:color w:val="000000" w:themeColor="text1"/>
          <w:szCs w:val="21"/>
          <w:highlight w:val="none"/>
          <w:u w:val="single"/>
          <w:lang w:val="en-US" w:eastAsia="zh-CN"/>
          <w14:textFill>
            <w14:solidFill>
              <w14:schemeClr w14:val="tx1"/>
            </w14:solidFill>
          </w14:textFill>
        </w:rPr>
        <w:t>项目名称</w:t>
      </w:r>
      <w:r>
        <w:rPr>
          <w:rFonts w:hint="eastAsia" w:ascii="宋体" w:hAnsi="宋体"/>
          <w:color w:val="000000" w:themeColor="text1"/>
          <w:szCs w:val="21"/>
          <w:highlight w:val="none"/>
          <w:u w:val="single"/>
          <w:lang w:val="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招标</w:t>
      </w:r>
      <w:r>
        <w:rPr>
          <w:rFonts w:hint="eastAsia" w:ascii="宋体" w:hAnsi="宋体"/>
          <w:color w:val="000000" w:themeColor="text1"/>
          <w:szCs w:val="21"/>
          <w:highlight w:val="none"/>
          <w14:textFill>
            <w14:solidFill>
              <w14:schemeClr w14:val="tx1"/>
            </w14:solidFill>
          </w14:textFill>
        </w:rPr>
        <w:t>文件和合同条款。在此</w:t>
      </w:r>
      <w:r>
        <w:rPr>
          <w:rFonts w:hint="eastAsia" w:ascii="宋体" w:hAnsi="宋体"/>
          <w:color w:val="000000" w:themeColor="text1"/>
          <w:szCs w:val="21"/>
          <w:highlight w:val="none"/>
          <w:u w:val="single"/>
          <w14:textFill>
            <w14:solidFill>
              <w14:schemeClr w14:val="tx1"/>
            </w14:solidFill>
          </w14:textFill>
        </w:rPr>
        <w:t xml:space="preserve">  （投标人名称） </w:t>
      </w:r>
      <w:r>
        <w:rPr>
          <w:rFonts w:hint="eastAsia" w:ascii="宋体" w:hAnsi="宋体"/>
          <w:color w:val="000000" w:themeColor="text1"/>
          <w:szCs w:val="21"/>
          <w:highlight w:val="none"/>
          <w14:textFill>
            <w14:solidFill>
              <w14:schemeClr w14:val="tx1"/>
            </w14:solidFill>
          </w14:textFill>
        </w:rPr>
        <w:t>的法人代表</w:t>
      </w:r>
      <w:r>
        <w:rPr>
          <w:rFonts w:hint="eastAsia" w:ascii="宋体" w:hAnsi="宋体"/>
          <w:color w:val="000000" w:themeColor="text1"/>
          <w:szCs w:val="21"/>
          <w:highlight w:val="none"/>
          <w:u w:val="single"/>
          <w14:textFill>
            <w14:solidFill>
              <w14:schemeClr w14:val="tx1"/>
            </w14:solidFill>
          </w14:textFill>
        </w:rPr>
        <w:t xml:space="preserve"> （姓名）  </w:t>
      </w:r>
      <w:r>
        <w:rPr>
          <w:rFonts w:hint="eastAsia" w:ascii="宋体" w:hAnsi="宋体"/>
          <w:color w:val="000000" w:themeColor="text1"/>
          <w:szCs w:val="21"/>
          <w:highlight w:val="none"/>
          <w14:textFill>
            <w14:solidFill>
              <w14:schemeClr w14:val="tx1"/>
            </w14:solidFill>
          </w14:textFill>
        </w:rPr>
        <w:t>以合法地位郑重作如下承诺：</w:t>
      </w:r>
    </w:p>
    <w:p w14:paraId="716DCA66">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一旦中标，我方将承担合同规定的全部责任和义务。如果中标后不能履行合同规定义务，出现如下任何一种情况的，采购人有权没收履约保证金：</w:t>
      </w:r>
    </w:p>
    <w:p w14:paraId="1BFAA929">
      <w:pPr>
        <w:tabs>
          <w:tab w:val="left" w:pos="1080"/>
        </w:tabs>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1.投入的主要管理人员、机械设备数量和型号、管理及施工队伍的配置等与合同约定不符；</w:t>
      </w:r>
    </w:p>
    <w:p w14:paraId="7A385857">
      <w:pPr>
        <w:tabs>
          <w:tab w:val="left" w:pos="1080"/>
        </w:tabs>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2.工程质量达不到合同要求，进度严重滞后，或该合同段控制工程进度影响了整体工程进度和项目总目标的实现任何一种情况；</w:t>
      </w:r>
    </w:p>
    <w:p w14:paraId="5EA208A0">
      <w:pPr>
        <w:tabs>
          <w:tab w:val="left" w:pos="1080"/>
        </w:tabs>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3.将工程转包或将主体工程违法分包，或以劳务协作为名，将工程违法分包给不具备相应资质的施工队伍或个体承包者；</w:t>
      </w:r>
    </w:p>
    <w:p w14:paraId="0931C842">
      <w:pPr>
        <w:tabs>
          <w:tab w:val="left" w:pos="1080"/>
        </w:tabs>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4.在项目建设过程中因工程管理（包括：质量、进度、安全、廉政、资金使用、文明工地）受到省级以上主管部门通报批评或被新闻媒体曝光；</w:t>
      </w:r>
    </w:p>
    <w:p w14:paraId="55DC2F31">
      <w:pPr>
        <w:tabs>
          <w:tab w:val="left" w:pos="1080"/>
        </w:tabs>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5.违规使用工程预付款，将建设资金从该合同段项目经理部抽走，或拖欠工程款、材料款和劳务费用。</w:t>
      </w:r>
    </w:p>
    <w:p w14:paraId="7B0B52DF">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我公司还承诺，如果没收履约保证金不能免除我方的合同义务，接受采购人对我方所采取的如下任何处理措施：</w:t>
      </w:r>
    </w:p>
    <w:p w14:paraId="7C7740AD">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（1）限期整改纠正，使工程建设满足采购人要求；</w:t>
      </w:r>
    </w:p>
    <w:p w14:paraId="05F91CDF">
      <w:pPr>
        <w:tabs>
          <w:tab w:val="left" w:pos="0"/>
        </w:tabs>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（2）同意采购人从正常支付中扣除相应款项，直接支付所欠工程款和劳务费用；</w:t>
      </w:r>
    </w:p>
    <w:p w14:paraId="40D53967">
      <w:pPr>
        <w:tabs>
          <w:tab w:val="left" w:pos="0"/>
        </w:tabs>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（3）采购人有权终止</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在本合同段的承包，或将本合同段工程中部分工作交由其他投标人或特殊分包人完成，</w:t>
      </w:r>
      <w:r>
        <w:rPr>
          <w:rFonts w:hint="eastAsia" w:ascii="宋体" w:hAnsi="宋体"/>
          <w:color w:val="000000" w:themeColor="text1"/>
          <w:szCs w:val="21"/>
          <w:highlight w:val="none"/>
          <w:u w:val="single"/>
          <w14:textFill>
            <w14:solidFill>
              <w14:schemeClr w14:val="tx1"/>
            </w14:solidFill>
          </w14:textFill>
        </w:rPr>
        <w:t xml:space="preserve"> （投标人名称）  </w:t>
      </w:r>
      <w:r>
        <w:rPr>
          <w:rFonts w:hint="eastAsia" w:ascii="宋体" w:hAnsi="宋体"/>
          <w:color w:val="000000" w:themeColor="text1"/>
          <w:szCs w:val="21"/>
          <w:highlight w:val="none"/>
          <w14:textFill>
            <w14:solidFill>
              <w14:schemeClr w14:val="tx1"/>
            </w14:solidFill>
          </w14:textFill>
        </w:rPr>
        <w:t>无条件按照采购人规定的期限退场或接受调遣。在不解除本合同规定的承包人和义务的同时，由此引起的责任及相关费用均由投标人承担。</w:t>
      </w:r>
    </w:p>
    <w:p w14:paraId="4F080C91">
      <w:pPr>
        <w:tabs>
          <w:tab w:val="left" w:pos="0"/>
        </w:tabs>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（4）同意承担合同段清场而引起的材料、供货、设备租用、民工工资和其他相关损失费用，否则采购人有权采取必要的手段和措施，并无条件没收履约担保。</w:t>
      </w:r>
    </w:p>
    <w:p w14:paraId="02D702F4">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本承诺和履约担保自合同签订之日起生效，在采购人向投标人颁发交工证书之日起失效。</w:t>
      </w:r>
    </w:p>
    <w:p w14:paraId="0D98E9D0">
      <w:pPr>
        <w:autoSpaceDE w:val="0"/>
        <w:autoSpaceDN w:val="0"/>
        <w:adjustRightInd w:val="0"/>
        <w:spacing w:line="360" w:lineRule="auto"/>
        <w:jc w:val="right"/>
        <w:rPr>
          <w:rFonts w:hint="eastAsia" w:ascii="宋体" w:hAnsi="宋体" w:cs="黑体"/>
          <w:color w:val="000000" w:themeColor="text1"/>
          <w:kern w:val="0"/>
          <w:szCs w:val="21"/>
          <w:highlight w:val="none"/>
          <w14:textFill>
            <w14:solidFill>
              <w14:schemeClr w14:val="tx1"/>
            </w14:solidFill>
          </w14:textFill>
        </w:rPr>
      </w:pPr>
    </w:p>
    <w:p w14:paraId="3E4E999F">
      <w:pPr>
        <w:autoSpaceDE w:val="0"/>
        <w:autoSpaceDN w:val="0"/>
        <w:adjustRightInd w:val="0"/>
        <w:spacing w:line="360" w:lineRule="auto"/>
        <w:ind w:right="480"/>
        <w:rPr>
          <w:rFonts w:hint="eastAsia" w:ascii="宋体" w:hAnsi="宋体" w:cs="黑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标</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人</w:t>
      </w:r>
      <w:r>
        <w:rPr>
          <w:rFonts w:hint="eastAsia" w:ascii="宋体" w:hAnsi="宋体" w:cs="黑体"/>
          <w:color w:val="000000" w:themeColor="text1"/>
          <w:kern w:val="0"/>
          <w:szCs w:val="21"/>
          <w:highlight w:val="none"/>
          <w14:textFill>
            <w14:solidFill>
              <w14:schemeClr w14:val="tx1"/>
            </w14:solidFill>
          </w14:textFill>
        </w:rPr>
        <w:t>：</w:t>
      </w:r>
      <w:r>
        <w:rPr>
          <w:rFonts w:hint="eastAsia" w:ascii="宋体" w:hAnsi="宋体" w:cs="黑体"/>
          <w:color w:val="000000" w:themeColor="text1"/>
          <w:kern w:val="0"/>
          <w:szCs w:val="21"/>
          <w:highlight w:val="none"/>
          <w:u w:val="single"/>
          <w14:textFill>
            <w14:solidFill>
              <w14:schemeClr w14:val="tx1"/>
            </w14:solidFill>
          </w14:textFill>
        </w:rPr>
        <w:t xml:space="preserve">                               </w:t>
      </w:r>
      <w:r>
        <w:rPr>
          <w:rFonts w:hint="eastAsia" w:ascii="宋体" w:hAnsi="宋体" w:cs="黑体"/>
          <w:color w:val="000000" w:themeColor="text1"/>
          <w:kern w:val="0"/>
          <w:szCs w:val="21"/>
          <w:highlight w:val="none"/>
          <w14:textFill>
            <w14:solidFill>
              <w14:schemeClr w14:val="tx1"/>
            </w14:solidFill>
          </w14:textFill>
        </w:rPr>
        <w:t>（盖单位章）</w:t>
      </w:r>
    </w:p>
    <w:p w14:paraId="6868370F">
      <w:pPr>
        <w:wordWrap w:val="0"/>
        <w:autoSpaceDE w:val="0"/>
        <w:autoSpaceDN w:val="0"/>
        <w:adjustRightInd w:val="0"/>
        <w:spacing w:before="120" w:beforeLines="50" w:after="120" w:afterLines="50" w:line="360" w:lineRule="auto"/>
        <w:ind w:right="658"/>
        <w:rPr>
          <w:rFonts w:hint="eastAsia" w:ascii="宋体" w:hAnsi="宋体" w:cs="黑体"/>
          <w:color w:val="000000" w:themeColor="text1"/>
          <w:kern w:val="0"/>
          <w:szCs w:val="21"/>
          <w:highlight w:val="none"/>
          <w14:textFill>
            <w14:solidFill>
              <w14:schemeClr w14:val="tx1"/>
            </w14:solidFill>
          </w14:textFill>
        </w:rPr>
      </w:pPr>
      <w:r>
        <w:rPr>
          <w:rFonts w:hint="eastAsia" w:ascii="宋体" w:hAnsi="宋体" w:cs="黑体"/>
          <w:color w:val="000000" w:themeColor="text1"/>
          <w:kern w:val="0"/>
          <w:szCs w:val="21"/>
          <w:highlight w:val="none"/>
          <w14:textFill>
            <w14:solidFill>
              <w14:schemeClr w14:val="tx1"/>
            </w14:solidFill>
          </w14:textFill>
        </w:rPr>
        <w:t>法定代表人或委托代理人：</w:t>
      </w:r>
      <w:r>
        <w:rPr>
          <w:rFonts w:hint="eastAsia" w:ascii="宋体" w:hAnsi="宋体" w:cs="黑体"/>
          <w:color w:val="000000" w:themeColor="text1"/>
          <w:kern w:val="0"/>
          <w:szCs w:val="21"/>
          <w:highlight w:val="none"/>
          <w:u w:val="single"/>
          <w14:textFill>
            <w14:solidFill>
              <w14:schemeClr w14:val="tx1"/>
            </w14:solidFill>
          </w14:textFill>
        </w:rPr>
        <w:t xml:space="preserve">                 </w:t>
      </w:r>
      <w:r>
        <w:rPr>
          <w:rFonts w:hint="eastAsia" w:ascii="宋体" w:hAnsi="宋体" w:cs="黑体"/>
          <w:color w:val="000000" w:themeColor="text1"/>
          <w:kern w:val="0"/>
          <w:szCs w:val="21"/>
          <w:highlight w:val="none"/>
          <w14:textFill>
            <w14:solidFill>
              <w14:schemeClr w14:val="tx1"/>
            </w14:solidFill>
          </w14:textFill>
        </w:rPr>
        <w:t>（签名）</w:t>
      </w:r>
    </w:p>
    <w:p w14:paraId="0115338A">
      <w:pPr>
        <w:wordWrap w:val="0"/>
        <w:autoSpaceDE w:val="0"/>
        <w:autoSpaceDN w:val="0"/>
        <w:adjustRightInd w:val="0"/>
        <w:spacing w:before="120" w:beforeLines="50" w:after="120" w:afterLines="50" w:line="360" w:lineRule="auto"/>
        <w:ind w:right="658"/>
        <w:rPr>
          <w:rFonts w:hint="eastAsia" w:ascii="宋体" w:hAnsi="宋体" w:cs="黑体"/>
          <w:color w:val="000000" w:themeColor="text1"/>
          <w:kern w:val="0"/>
          <w:szCs w:val="21"/>
          <w:highlight w:val="none"/>
          <w14:textFill>
            <w14:solidFill>
              <w14:schemeClr w14:val="tx1"/>
            </w14:solidFill>
          </w14:textFill>
        </w:rPr>
      </w:pPr>
      <w:r>
        <w:rPr>
          <w:rFonts w:hint="eastAsia" w:ascii="宋体" w:hAnsi="宋体" w:cs="黑体"/>
          <w:color w:val="000000" w:themeColor="text1"/>
          <w:kern w:val="0"/>
          <w:szCs w:val="21"/>
          <w:highlight w:val="none"/>
          <w14:textFill>
            <w14:solidFill>
              <w14:schemeClr w14:val="tx1"/>
            </w14:solidFill>
          </w14:textFill>
        </w:rPr>
        <w:t>日期：20</w:t>
      </w:r>
      <w:r>
        <w:rPr>
          <w:rFonts w:hint="eastAsia" w:ascii="宋体" w:hAnsi="宋体" w:cs="黑体"/>
          <w:color w:val="000000" w:themeColor="text1"/>
          <w:kern w:val="0"/>
          <w:szCs w:val="21"/>
          <w:highlight w:val="none"/>
          <w:u w:val="single"/>
          <w14:textFill>
            <w14:solidFill>
              <w14:schemeClr w14:val="tx1"/>
            </w14:solidFill>
          </w14:textFill>
        </w:rPr>
        <w:t xml:space="preserve">   </w:t>
      </w:r>
      <w:r>
        <w:rPr>
          <w:rFonts w:hint="eastAsia" w:ascii="宋体" w:hAnsi="宋体" w:cs="黑体"/>
          <w:color w:val="000000" w:themeColor="text1"/>
          <w:kern w:val="0"/>
          <w:szCs w:val="21"/>
          <w:highlight w:val="none"/>
          <w14:textFill>
            <w14:solidFill>
              <w14:schemeClr w14:val="tx1"/>
            </w14:solidFill>
          </w14:textFill>
        </w:rPr>
        <w:t>年</w:t>
      </w:r>
      <w:r>
        <w:rPr>
          <w:rFonts w:hint="eastAsia" w:ascii="宋体" w:hAnsi="宋体" w:cs="黑体"/>
          <w:color w:val="000000" w:themeColor="text1"/>
          <w:kern w:val="0"/>
          <w:szCs w:val="21"/>
          <w:highlight w:val="none"/>
          <w:u w:val="single"/>
          <w14:textFill>
            <w14:solidFill>
              <w14:schemeClr w14:val="tx1"/>
            </w14:solidFill>
          </w14:textFill>
        </w:rPr>
        <w:t xml:space="preserve">  </w:t>
      </w:r>
      <w:r>
        <w:rPr>
          <w:rFonts w:hint="eastAsia" w:ascii="宋体" w:hAnsi="宋体" w:cs="黑体"/>
          <w:color w:val="000000" w:themeColor="text1"/>
          <w:kern w:val="0"/>
          <w:szCs w:val="21"/>
          <w:highlight w:val="none"/>
          <w14:textFill>
            <w14:solidFill>
              <w14:schemeClr w14:val="tx1"/>
            </w14:solidFill>
          </w14:textFill>
        </w:rPr>
        <w:t>月</w:t>
      </w:r>
      <w:r>
        <w:rPr>
          <w:rFonts w:hint="eastAsia" w:ascii="宋体" w:hAnsi="宋体" w:cs="黑体"/>
          <w:color w:val="000000" w:themeColor="text1"/>
          <w:kern w:val="0"/>
          <w:szCs w:val="21"/>
          <w:highlight w:val="none"/>
          <w:u w:val="single"/>
          <w14:textFill>
            <w14:solidFill>
              <w14:schemeClr w14:val="tx1"/>
            </w14:solidFill>
          </w14:textFill>
        </w:rPr>
        <w:t xml:space="preserve">  </w:t>
      </w:r>
      <w:r>
        <w:rPr>
          <w:rFonts w:hint="eastAsia" w:ascii="宋体" w:hAnsi="宋体" w:cs="黑体"/>
          <w:color w:val="000000" w:themeColor="text1"/>
          <w:kern w:val="0"/>
          <w:szCs w:val="21"/>
          <w:highlight w:val="none"/>
          <w14:textFill>
            <w14:solidFill>
              <w14:schemeClr w14:val="tx1"/>
            </w14:solidFill>
          </w14:textFill>
        </w:rPr>
        <w:t>日</w:t>
      </w:r>
    </w:p>
    <w:p w14:paraId="2566D6A1">
      <w:pPr>
        <w:wordWrap w:val="0"/>
        <w:autoSpaceDE w:val="0"/>
        <w:autoSpaceDN w:val="0"/>
        <w:adjustRightInd w:val="0"/>
        <w:spacing w:before="120" w:beforeLines="50" w:after="120" w:afterLines="50" w:line="360" w:lineRule="auto"/>
        <w:ind w:right="658"/>
        <w:jc w:val="center"/>
        <w:outlineLvl w:val="1"/>
        <w:rPr>
          <w:rFonts w:hint="eastAsia" w:ascii="黑体" w:hAnsi="黑体" w:eastAsia="黑体"/>
          <w:color w:val="000000" w:themeColor="text1"/>
          <w:sz w:val="36"/>
          <w:szCs w:val="36"/>
          <w:highlight w:val="none"/>
          <w14:textFill>
            <w14:solidFill>
              <w14:schemeClr w14:val="tx1"/>
            </w14:solidFill>
          </w14:textFill>
        </w:rPr>
      </w:pPr>
      <w:r>
        <w:rPr>
          <w:rFonts w:hint="eastAsia" w:ascii="宋体" w:hAnsi="宋体" w:cs="黑体"/>
          <w:color w:val="000000" w:themeColor="text1"/>
          <w:kern w:val="0"/>
          <w:szCs w:val="21"/>
          <w:highlight w:val="none"/>
          <w14:textFill>
            <w14:solidFill>
              <w14:schemeClr w14:val="tx1"/>
            </w14:solidFill>
          </w14:textFill>
        </w:rPr>
        <w:br w:type="page"/>
      </w:r>
      <w:bookmarkStart w:id="1124" w:name="_Toc1326860773"/>
      <w:bookmarkStart w:id="1125" w:name="_Toc25760"/>
      <w:r>
        <w:rPr>
          <w:rFonts w:hint="eastAsia" w:ascii="黑体" w:hAnsi="黑体" w:eastAsia="黑体"/>
          <w:color w:val="000000" w:themeColor="text1"/>
          <w:sz w:val="36"/>
          <w:szCs w:val="36"/>
          <w:highlight w:val="none"/>
          <w14:textFill>
            <w14:solidFill>
              <w14:schemeClr w14:val="tx1"/>
            </w14:solidFill>
          </w14:textFill>
        </w:rPr>
        <w:t>2.质量安全责任承诺书</w:t>
      </w:r>
      <w:bookmarkEnd w:id="1124"/>
      <w:bookmarkEnd w:id="1125"/>
    </w:p>
    <w:p w14:paraId="3AE1F9F7">
      <w:pPr>
        <w:spacing w:before="120" w:beforeLines="50" w:after="120" w:afterLines="50"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zh-CN"/>
          <w14:textFill>
            <w14:solidFill>
              <w14:schemeClr w14:val="tx1"/>
            </w14:solidFill>
          </w14:textFill>
        </w:rPr>
        <w:t>（</w:t>
      </w:r>
      <w:r>
        <w:rPr>
          <w:rFonts w:hint="eastAsia" w:ascii="宋体" w:hAnsi="宋体"/>
          <w:color w:val="000000" w:themeColor="text1"/>
          <w:szCs w:val="21"/>
          <w:highlight w:val="none"/>
          <w:u w:val="single"/>
          <w:lang w:val="en-US" w:eastAsia="zh-CN"/>
          <w14:textFill>
            <w14:solidFill>
              <w14:schemeClr w14:val="tx1"/>
            </w14:solidFill>
          </w14:textFill>
        </w:rPr>
        <w:t>采购人名称</w:t>
      </w:r>
      <w:r>
        <w:rPr>
          <w:rFonts w:hint="eastAsia" w:ascii="宋体" w:hAnsi="宋体"/>
          <w:color w:val="000000" w:themeColor="text1"/>
          <w:szCs w:val="21"/>
          <w:highlight w:val="none"/>
          <w:u w:val="single"/>
          <w:lang w:val="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w:t>
      </w:r>
    </w:p>
    <w:p w14:paraId="63BD2119">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为保证本采购项目顺利进行，作为投标人，现郑重承诺：</w:t>
      </w:r>
    </w:p>
    <w:p w14:paraId="69ABB23E">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我方所投产品的生产（包括设计、制造、安装、改造、维修等）、投入使用的材料等均完全符合国家现行质量、安全、环保标准和要求。</w:t>
      </w:r>
    </w:p>
    <w:p w14:paraId="7AE1DF85">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我方将严格按照国家现行相关储存、运输、安装调试技术标准及规范、服务标准及规范、施工标准及规范，在规定的时限内，保质、保量完成项目全部内容，并向</w:t>
      </w:r>
      <w:r>
        <w:rPr>
          <w:rFonts w:hint="eastAsia" w:ascii="宋体" w:hAnsi="宋体"/>
          <w:color w:val="000000" w:themeColor="text1"/>
          <w:szCs w:val="21"/>
          <w:highlight w:val="none"/>
          <w14:textFill>
            <w14:solidFill>
              <w14:schemeClr w14:val="tx1"/>
            </w14:solidFill>
          </w14:textFill>
        </w:rPr>
        <w:t>采购人</w:t>
      </w:r>
      <w:r>
        <w:rPr>
          <w:rFonts w:ascii="宋体" w:hAnsi="宋体"/>
          <w:color w:val="000000" w:themeColor="text1"/>
          <w:szCs w:val="21"/>
          <w:highlight w:val="none"/>
          <w14:textFill>
            <w14:solidFill>
              <w14:schemeClr w14:val="tx1"/>
            </w14:solidFill>
          </w14:textFill>
        </w:rPr>
        <w:t>交付合格产品。</w:t>
      </w:r>
    </w:p>
    <w:p w14:paraId="4648D9D7">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对于因产品生产质量以及储存、运输、安装调试、服务、施工等过程中产生的任何安全事故，我方承担全部责任。</w:t>
      </w:r>
    </w:p>
    <w:p w14:paraId="73D9F5ED">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我方提供的货物、工程、服务等符合现行的国家、行业、地区、企业标准及要求，标准不一致的，以更为严格的为准，我方对提供的货物、工程、服务等的质量、安全、环保等承担全部责任。</w:t>
      </w:r>
    </w:p>
    <w:p w14:paraId="0BBC89B9">
      <w:pPr>
        <w:spacing w:line="360" w:lineRule="auto"/>
        <w:rPr>
          <w:rFonts w:hint="eastAsia" w:ascii="宋体" w:hAnsi="宋体"/>
          <w:color w:val="000000" w:themeColor="text1"/>
          <w:szCs w:val="21"/>
          <w:highlight w:val="none"/>
          <w14:textFill>
            <w14:solidFill>
              <w14:schemeClr w14:val="tx1"/>
            </w14:solidFill>
          </w14:textFill>
        </w:rPr>
      </w:pPr>
    </w:p>
    <w:p w14:paraId="5AFC452A">
      <w:pPr>
        <w:spacing w:line="360" w:lineRule="auto"/>
        <w:rPr>
          <w:rFonts w:hint="eastAsia" w:ascii="宋体" w:hAnsi="宋体"/>
          <w:color w:val="000000" w:themeColor="text1"/>
          <w:szCs w:val="21"/>
          <w:highlight w:val="none"/>
          <w14:textFill>
            <w14:solidFill>
              <w14:schemeClr w14:val="tx1"/>
            </w14:solidFill>
          </w14:textFill>
        </w:rPr>
      </w:pPr>
    </w:p>
    <w:p w14:paraId="1AF636A0">
      <w:pPr>
        <w:spacing w:line="360" w:lineRule="auto"/>
        <w:rPr>
          <w:rFonts w:hint="eastAsia" w:ascii="宋体" w:hAnsi="宋体"/>
          <w:color w:val="000000" w:themeColor="text1"/>
          <w:szCs w:val="21"/>
          <w:highlight w:val="none"/>
          <w14:textFill>
            <w14:solidFill>
              <w14:schemeClr w14:val="tx1"/>
            </w14:solidFill>
          </w14:textFill>
        </w:rPr>
      </w:pPr>
    </w:p>
    <w:p w14:paraId="729A4DD9">
      <w:pPr>
        <w:adjustRightInd w:val="0"/>
        <w:spacing w:line="360" w:lineRule="auto"/>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（投标人名称，盖单位章）</w:t>
      </w:r>
    </w:p>
    <w:p w14:paraId="24A960BD">
      <w:pPr>
        <w:adjustRightInd w:val="0"/>
        <w:spacing w:line="360" w:lineRule="auto"/>
        <w:ind w:firstLine="420"/>
        <w:jc w:val="left"/>
        <w:rPr>
          <w:rFonts w:hint="eastAsia" w:ascii="宋体" w:hAnsi="宋体"/>
          <w:color w:val="000000" w:themeColor="text1"/>
          <w:szCs w:val="21"/>
          <w:highlight w:val="none"/>
          <w14:textFill>
            <w14:solidFill>
              <w14:schemeClr w14:val="tx1"/>
            </w14:solidFill>
          </w14:textFill>
        </w:rPr>
      </w:pPr>
    </w:p>
    <w:p w14:paraId="10F10383">
      <w:pPr>
        <w:adjustRightInd w:val="0"/>
        <w:spacing w:line="360" w:lineRule="auto"/>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w:t>
      </w:r>
      <w:r>
        <w:rPr>
          <w:rFonts w:hint="eastAsia" w:ascii="宋体" w:hAnsi="宋体"/>
          <w:bCs/>
          <w:color w:val="000000" w:themeColor="text1"/>
          <w:szCs w:val="21"/>
          <w:highlight w:val="none"/>
          <w14:textFill>
            <w14:solidFill>
              <w14:schemeClr w14:val="tx1"/>
            </w14:solidFill>
          </w14:textFill>
        </w:rPr>
        <w:t>20</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年</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月</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日</w:t>
      </w:r>
    </w:p>
    <w:p w14:paraId="09206BB2">
      <w:pPr>
        <w:adjustRightInd w:val="0"/>
        <w:spacing w:line="400" w:lineRule="exact"/>
        <w:jc w:val="left"/>
        <w:rPr>
          <w:b/>
          <w:color w:val="000000" w:themeColor="text1"/>
          <w:sz w:val="36"/>
          <w:szCs w:val="36"/>
          <w:highlight w:val="none"/>
          <w14:textFill>
            <w14:solidFill>
              <w14:schemeClr w14:val="tx1"/>
            </w14:solidFill>
          </w14:textFill>
        </w:rPr>
      </w:pPr>
    </w:p>
    <w:p w14:paraId="3BD03A7F">
      <w:pPr>
        <w:pStyle w:val="4"/>
        <w:spacing w:before="0" w:after="360" w:afterLines="150" w:line="240" w:lineRule="auto"/>
        <w:jc w:val="center"/>
        <w:rPr>
          <w:rFonts w:hint="eastAsia" w:ascii="黑体" w:hAnsi="黑体" w:eastAsia="黑体"/>
          <w:b w:val="0"/>
          <w:color w:val="000000" w:themeColor="text1"/>
          <w:sz w:val="36"/>
          <w:szCs w:val="36"/>
          <w:highlight w:val="none"/>
          <w14:textFill>
            <w14:solidFill>
              <w14:schemeClr w14:val="tx1"/>
            </w14:solidFill>
          </w14:textFill>
        </w:rPr>
      </w:pPr>
      <w:r>
        <w:rPr>
          <w:rFonts w:hint="eastAsia" w:ascii="黑体" w:hAnsi="黑体" w:eastAsia="黑体"/>
          <w:b w:val="0"/>
          <w:color w:val="000000" w:themeColor="text1"/>
          <w:sz w:val="36"/>
          <w:szCs w:val="36"/>
          <w:highlight w:val="none"/>
          <w14:textFill>
            <w14:solidFill>
              <w14:schemeClr w14:val="tx1"/>
            </w14:solidFill>
          </w14:textFill>
        </w:rPr>
        <w:br w:type="page"/>
      </w:r>
      <w:bookmarkStart w:id="1126" w:name="_Toc1078821363"/>
      <w:r>
        <w:rPr>
          <w:rFonts w:hint="eastAsia" w:ascii="黑体" w:hAnsi="黑体" w:eastAsia="黑体"/>
          <w:b w:val="0"/>
          <w:color w:val="000000" w:themeColor="text1"/>
          <w:sz w:val="36"/>
          <w:szCs w:val="36"/>
          <w:highlight w:val="none"/>
          <w14:textFill>
            <w14:solidFill>
              <w14:schemeClr w14:val="tx1"/>
            </w14:solidFill>
          </w14:textFill>
        </w:rPr>
        <w:t>3.参加政府采购活动行为自律承诺书</w:t>
      </w:r>
      <w:bookmarkEnd w:id="1126"/>
    </w:p>
    <w:p w14:paraId="3E60E1C5">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作为参加本次政府采购项目的投标人，我方郑重承诺在参与政府采购活动中遵纪守法、公平竞争、诚实守信，如有违反愿承担一切责任及后果：</w:t>
      </w:r>
    </w:p>
    <w:p w14:paraId="25C20EEC">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不与</w:t>
      </w:r>
      <w:r>
        <w:rPr>
          <w:rFonts w:hint="eastAsia" w:ascii="宋体" w:hAnsi="宋体"/>
          <w:color w:val="000000" w:themeColor="text1"/>
          <w:szCs w:val="21"/>
          <w:highlight w:val="none"/>
          <w14:textFill>
            <w14:solidFill>
              <w14:schemeClr w14:val="tx1"/>
            </w14:solidFill>
          </w14:textFill>
        </w:rPr>
        <w:t>采购人</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采购代理机构</w:t>
      </w:r>
      <w:r>
        <w:rPr>
          <w:rFonts w:ascii="宋体" w:hAnsi="宋体"/>
          <w:color w:val="000000" w:themeColor="text1"/>
          <w:szCs w:val="21"/>
          <w:highlight w:val="none"/>
          <w14:textFill>
            <w14:solidFill>
              <w14:schemeClr w14:val="tx1"/>
            </w14:solidFill>
          </w14:textFill>
        </w:rPr>
        <w:t>、政府采购评审专家恶意串通，不向其行贿或提供其他不正当利益；</w:t>
      </w:r>
    </w:p>
    <w:p w14:paraId="20C32ABC">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不与其他投标人恶意串通，采取“围标、串标、陪标”等商业欺诈手段谋取中标、成交；</w:t>
      </w:r>
    </w:p>
    <w:p w14:paraId="7A4B2E35">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不提供虚假或无效证明文件（包括但不限于资格证明文件、合同及验收文件、检验检测报告、从业人员资格证书、机构或所投产品的各类认证证书等）或虚假材料谋取中标；</w:t>
      </w:r>
    </w:p>
    <w:p w14:paraId="3138A522">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不采取不正当手段诋毁、排挤其他</w:t>
      </w:r>
      <w:r>
        <w:rPr>
          <w:rFonts w:hint="eastAsia" w:ascii="宋体" w:hAnsi="宋体"/>
          <w:color w:val="000000" w:themeColor="text1"/>
          <w:szCs w:val="21"/>
          <w:highlight w:val="none"/>
          <w14:textFill>
            <w14:solidFill>
              <w14:schemeClr w14:val="tx1"/>
            </w14:solidFill>
          </w14:textFill>
        </w:rPr>
        <w:t>投标人</w:t>
      </w:r>
      <w:r>
        <w:rPr>
          <w:rFonts w:ascii="宋体" w:hAnsi="宋体"/>
          <w:color w:val="000000" w:themeColor="text1"/>
          <w:szCs w:val="21"/>
          <w:highlight w:val="none"/>
          <w14:textFill>
            <w14:solidFill>
              <w14:schemeClr w14:val="tx1"/>
            </w14:solidFill>
          </w14:textFill>
        </w:rPr>
        <w:t>；</w:t>
      </w:r>
    </w:p>
    <w:p w14:paraId="6523E92F">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不以不正当理由拒不与</w:t>
      </w:r>
      <w:r>
        <w:rPr>
          <w:rFonts w:hint="eastAsia" w:ascii="宋体" w:hAnsi="宋体"/>
          <w:color w:val="000000" w:themeColor="text1"/>
          <w:szCs w:val="21"/>
          <w:highlight w:val="none"/>
          <w14:textFill>
            <w14:solidFill>
              <w14:schemeClr w14:val="tx1"/>
            </w14:solidFill>
          </w14:textFill>
        </w:rPr>
        <w:t>采购人</w:t>
      </w:r>
      <w:r>
        <w:rPr>
          <w:rFonts w:ascii="宋体" w:hAnsi="宋体"/>
          <w:color w:val="000000" w:themeColor="text1"/>
          <w:szCs w:val="21"/>
          <w:highlight w:val="none"/>
          <w14:textFill>
            <w14:solidFill>
              <w14:schemeClr w14:val="tx1"/>
            </w14:solidFill>
          </w14:textFill>
        </w:rPr>
        <w:t>签订政府采购合同，或逾期签订政府采购合同，或不按照采购文件确定的事项签订政府采购合同；</w:t>
      </w:r>
    </w:p>
    <w:p w14:paraId="2DB59621">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不以不正当理由拒绝履行合同义务，不会擅自变更、中止或者终止政府采购合同或将政府采购合同转包；</w:t>
      </w:r>
    </w:p>
    <w:p w14:paraId="2A4D329A">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不在提供商品、服务或工程施工过程中提供假冒伪劣产品，损害</w:t>
      </w:r>
      <w:r>
        <w:rPr>
          <w:rFonts w:hint="eastAsia" w:ascii="宋体" w:hAnsi="宋体"/>
          <w:color w:val="000000" w:themeColor="text1"/>
          <w:szCs w:val="21"/>
          <w:highlight w:val="none"/>
          <w14:textFill>
            <w14:solidFill>
              <w14:schemeClr w14:val="tx1"/>
            </w14:solidFill>
          </w14:textFill>
        </w:rPr>
        <w:t>采购人</w:t>
      </w:r>
      <w:r>
        <w:rPr>
          <w:rFonts w:ascii="宋体" w:hAnsi="宋体"/>
          <w:color w:val="000000" w:themeColor="text1"/>
          <w:szCs w:val="21"/>
          <w:highlight w:val="none"/>
          <w14:textFill>
            <w14:solidFill>
              <w14:schemeClr w14:val="tx1"/>
            </w14:solidFill>
          </w14:textFill>
        </w:rPr>
        <w:t>的合法权益或公共利益；</w:t>
      </w:r>
    </w:p>
    <w:p w14:paraId="6E9B03C7">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不采取捏造事实、提供虚假材料或者以非法手段取得证明材料进行质疑和投诉；</w:t>
      </w:r>
    </w:p>
    <w:p w14:paraId="4BECCE39">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不发生其他有悖于政府采购公开、公平、公正和诚信原则的行为。</w:t>
      </w:r>
    </w:p>
    <w:p w14:paraId="56B02DF5">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尊重和接受政府采购监督管理部门的监督和</w:t>
      </w:r>
      <w:r>
        <w:rPr>
          <w:rFonts w:hint="eastAsia" w:ascii="宋体" w:hAnsi="宋体"/>
          <w:color w:val="000000" w:themeColor="text1"/>
          <w:szCs w:val="21"/>
          <w:highlight w:val="none"/>
          <w14:textFill>
            <w14:solidFill>
              <w14:schemeClr w14:val="tx1"/>
            </w14:solidFill>
          </w14:textFill>
        </w:rPr>
        <w:t>采购人</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采购代理机构</w:t>
      </w:r>
      <w:r>
        <w:rPr>
          <w:rFonts w:ascii="宋体" w:hAnsi="宋体"/>
          <w:color w:val="000000" w:themeColor="text1"/>
          <w:szCs w:val="21"/>
          <w:highlight w:val="none"/>
          <w14:textFill>
            <w14:solidFill>
              <w14:schemeClr w14:val="tx1"/>
            </w14:solidFill>
          </w14:textFill>
        </w:rPr>
        <w:t>的政府采购工作要求，愿意承担因违约行为给</w:t>
      </w:r>
      <w:r>
        <w:rPr>
          <w:rFonts w:hint="eastAsia" w:ascii="宋体" w:hAnsi="宋体"/>
          <w:color w:val="000000" w:themeColor="text1"/>
          <w:szCs w:val="21"/>
          <w:highlight w:val="none"/>
          <w14:textFill>
            <w14:solidFill>
              <w14:schemeClr w14:val="tx1"/>
            </w14:solidFill>
          </w14:textFill>
        </w:rPr>
        <w:t>采购人</w:t>
      </w:r>
      <w:r>
        <w:rPr>
          <w:rFonts w:ascii="宋体" w:hAnsi="宋体"/>
          <w:color w:val="000000" w:themeColor="text1"/>
          <w:szCs w:val="21"/>
          <w:highlight w:val="none"/>
          <w14:textFill>
            <w14:solidFill>
              <w14:schemeClr w14:val="tx1"/>
            </w14:solidFill>
          </w14:textFill>
        </w:rPr>
        <w:t>造成的损失。</w:t>
      </w:r>
    </w:p>
    <w:p w14:paraId="3FDFF442">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p>
    <w:p w14:paraId="0DAA632B">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p>
    <w:p w14:paraId="5CAB1E45">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承诺人：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投标人</w:t>
      </w:r>
      <w:r>
        <w:rPr>
          <w:rFonts w:ascii="宋体" w:hAnsi="宋体"/>
          <w:color w:val="000000" w:themeColor="text1"/>
          <w:szCs w:val="21"/>
          <w:highlight w:val="none"/>
          <w14:textFill>
            <w14:solidFill>
              <w14:schemeClr w14:val="tx1"/>
            </w14:solidFill>
          </w14:textFill>
        </w:rPr>
        <w:t>名称、加盖单位章）</w:t>
      </w:r>
    </w:p>
    <w:p w14:paraId="2BB51901">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p>
    <w:p w14:paraId="5D8D1055">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日</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期：</w:t>
      </w:r>
      <w:r>
        <w:rPr>
          <w:rFonts w:hint="eastAsia" w:ascii="宋体" w:hAnsi="宋体"/>
          <w:color w:val="000000" w:themeColor="text1"/>
          <w:szCs w:val="21"/>
          <w:highlight w:val="none"/>
          <w14:textFill>
            <w14:solidFill>
              <w14:schemeClr w14:val="tx1"/>
            </w14:solidFill>
          </w14:textFill>
        </w:rPr>
        <w:t>20</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日</w:t>
      </w:r>
    </w:p>
    <w:p w14:paraId="07B865F9">
      <w:pPr>
        <w:rPr>
          <w:rFonts w:hint="eastAsia" w:ascii="宋体" w:hAnsi="宋体" w:eastAsia="黑体"/>
          <w:bCs/>
          <w:color w:val="000000" w:themeColor="text1"/>
          <w:sz w:val="36"/>
          <w:szCs w:val="36"/>
          <w:highlight w:val="none"/>
          <w14:textFill>
            <w14:solidFill>
              <w14:schemeClr w14:val="tx1"/>
            </w14:solidFill>
          </w14:textFill>
        </w:rPr>
      </w:pPr>
      <w:r>
        <w:rPr>
          <w:rFonts w:hint="eastAsia" w:ascii="宋体" w:hAnsi="宋体" w:eastAsia="黑体"/>
          <w:bCs/>
          <w:color w:val="000000" w:themeColor="text1"/>
          <w:sz w:val="36"/>
          <w:szCs w:val="36"/>
          <w:highlight w:val="none"/>
          <w14:textFill>
            <w14:solidFill>
              <w14:schemeClr w14:val="tx1"/>
            </w14:solidFill>
          </w14:textFill>
        </w:rPr>
        <w:br w:type="page"/>
      </w:r>
    </w:p>
    <w:bookmarkEnd w:id="1117"/>
    <w:p w14:paraId="482CB3CF">
      <w:pPr>
        <w:jc w:val="center"/>
        <w:rPr>
          <w:rFonts w:hint="eastAsia" w:ascii="宋体" w:hAnsi="宋体"/>
          <w:b/>
          <w:bCs/>
          <w:color w:val="000000" w:themeColor="text1"/>
          <w:sz w:val="36"/>
          <w:szCs w:val="36"/>
          <w:highlight w:val="none"/>
          <w14:textFill>
            <w14:solidFill>
              <w14:schemeClr w14:val="tx1"/>
            </w14:solidFill>
          </w14:textFill>
        </w:rPr>
      </w:pPr>
      <w:bookmarkStart w:id="1127" w:name="_Toc546216320"/>
      <w:r>
        <w:rPr>
          <w:rFonts w:hint="eastAsia" w:ascii="宋体" w:hAnsi="宋体"/>
          <w:b/>
          <w:bCs/>
          <w:color w:val="000000" w:themeColor="text1"/>
          <w:sz w:val="36"/>
          <w:szCs w:val="36"/>
          <w:highlight w:val="none"/>
          <w14:textFill>
            <w14:solidFill>
              <w14:schemeClr w14:val="tx1"/>
            </w14:solidFill>
          </w14:textFill>
        </w:rPr>
        <w:t>4、其他承诺</w:t>
      </w:r>
    </w:p>
    <w:p w14:paraId="75FAE86F">
      <w:pPr>
        <w:adjustRightIn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p>
    <w:p w14:paraId="35B3DB2B">
      <w:pPr>
        <w:adjustRightInd w:val="0"/>
        <w:spacing w:line="400" w:lineRule="exact"/>
        <w:ind w:firstLine="840" w:firstLineChars="4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格式自定。投标人根据招标文件要求和采购需求，作出质保期服务计划等承诺。</w:t>
      </w:r>
    </w:p>
    <w:p w14:paraId="4FEBC960">
      <w:pPr>
        <w:jc w:val="center"/>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r>
    </w:p>
    <w:p w14:paraId="23995007">
      <w:pPr>
        <w:adjustRightInd w:val="0"/>
        <w:snapToGrid w:val="0"/>
        <w:spacing w:after="120" w:afterLines="50"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bookmarkStart w:id="1128" w:name="_Toc31568"/>
      <w:r>
        <w:rPr>
          <w:rFonts w:hint="eastAsia" w:ascii="宋体" w:hAnsi="宋体"/>
          <w:b/>
          <w:bCs/>
          <w:color w:val="000000" w:themeColor="text1"/>
          <w:sz w:val="36"/>
          <w:szCs w:val="36"/>
          <w:highlight w:val="none"/>
          <w14:textFill>
            <w14:solidFill>
              <w14:schemeClr w14:val="tx1"/>
            </w14:solidFill>
          </w14:textFill>
        </w:rPr>
        <w:t>六</w:t>
      </w:r>
      <w:r>
        <w:rPr>
          <w:rFonts w:ascii="宋体" w:hAnsi="宋体"/>
          <w:b/>
          <w:bCs/>
          <w:color w:val="000000" w:themeColor="text1"/>
          <w:sz w:val="36"/>
          <w:szCs w:val="36"/>
          <w:highlight w:val="none"/>
          <w14:textFill>
            <w14:solidFill>
              <w14:schemeClr w14:val="tx1"/>
            </w14:solidFill>
          </w14:textFill>
        </w:rPr>
        <w:t>、</w:t>
      </w:r>
      <w:r>
        <w:rPr>
          <w:rFonts w:hint="eastAsia" w:ascii="宋体" w:hAnsi="宋体"/>
          <w:b/>
          <w:bCs/>
          <w:color w:val="000000" w:themeColor="text1"/>
          <w:sz w:val="36"/>
          <w:szCs w:val="36"/>
          <w:highlight w:val="none"/>
          <w14:textFill>
            <w14:solidFill>
              <w14:schemeClr w14:val="tx1"/>
            </w14:solidFill>
          </w14:textFill>
        </w:rPr>
        <w:t>投标人近年完成业绩证明材料</w:t>
      </w:r>
      <w:bookmarkEnd w:id="1127"/>
      <w:bookmarkEnd w:id="1128"/>
    </w:p>
    <w:p w14:paraId="4B9FE273">
      <w:pPr>
        <w:spacing w:before="240" w:beforeLines="100" w:line="400" w:lineRule="exact"/>
        <w:jc w:val="center"/>
        <w:outlineLvl w:val="0"/>
        <w:rPr>
          <w:rFonts w:hint="eastAsia" w:ascii="宋体" w:hAnsi="宋体" w:cs="Arial"/>
          <w:b/>
          <w:color w:val="000000" w:themeColor="text1"/>
          <w:szCs w:val="21"/>
          <w:highlight w:val="none"/>
          <w14:textFill>
            <w14:solidFill>
              <w14:schemeClr w14:val="tx1"/>
            </w14:solidFill>
          </w14:textFill>
        </w:rPr>
      </w:pPr>
      <w:bookmarkStart w:id="1129" w:name="_Toc1912582962"/>
      <w:bookmarkStart w:id="1130" w:name="_Toc15590"/>
      <w:r>
        <w:rPr>
          <w:rFonts w:hint="eastAsia" w:ascii="宋体" w:hAnsi="宋体" w:cs="Arial"/>
          <w:b/>
          <w:color w:val="000000" w:themeColor="text1"/>
          <w:sz w:val="36"/>
          <w:szCs w:val="36"/>
          <w:highlight w:val="none"/>
          <w14:textFill>
            <w14:solidFill>
              <w14:schemeClr w14:val="tx1"/>
            </w14:solidFill>
          </w14:textFill>
        </w:rPr>
        <w:t>近年类似项目业绩一览表</w:t>
      </w:r>
      <w:bookmarkEnd w:id="1129"/>
      <w:bookmarkEnd w:id="1130"/>
    </w:p>
    <w:tbl>
      <w:tblPr>
        <w:tblStyle w:val="31"/>
        <w:tblpPr w:leftFromText="180" w:rightFromText="180" w:vertAnchor="text" w:horzAnchor="page" w:tblpX="1233" w:tblpY="672"/>
        <w:tblOverlap w:val="never"/>
        <w:tblW w:w="961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1746"/>
        <w:gridCol w:w="2268"/>
        <w:gridCol w:w="1417"/>
        <w:gridCol w:w="1701"/>
        <w:gridCol w:w="1583"/>
      </w:tblGrid>
      <w:tr w14:paraId="566694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vAlign w:val="center"/>
          </w:tcPr>
          <w:p w14:paraId="4FBF41AC">
            <w:pPr>
              <w:pStyle w:val="7"/>
              <w:ind w:firstLine="0"/>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年份</w:t>
            </w:r>
          </w:p>
        </w:tc>
        <w:tc>
          <w:tcPr>
            <w:tcW w:w="1746" w:type="dxa"/>
            <w:vAlign w:val="center"/>
          </w:tcPr>
          <w:p w14:paraId="774752E6">
            <w:pPr>
              <w:pStyle w:val="7"/>
              <w:ind w:firstLine="0"/>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用户名称</w:t>
            </w:r>
          </w:p>
        </w:tc>
        <w:tc>
          <w:tcPr>
            <w:tcW w:w="2268" w:type="dxa"/>
            <w:vAlign w:val="center"/>
          </w:tcPr>
          <w:p w14:paraId="06444595">
            <w:pPr>
              <w:pStyle w:val="7"/>
              <w:ind w:firstLine="0"/>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项目名称</w:t>
            </w:r>
          </w:p>
        </w:tc>
        <w:tc>
          <w:tcPr>
            <w:tcW w:w="1417" w:type="dxa"/>
            <w:vAlign w:val="center"/>
          </w:tcPr>
          <w:p w14:paraId="042E1AB5">
            <w:pPr>
              <w:pStyle w:val="7"/>
              <w:ind w:firstLine="0"/>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合同金额</w:t>
            </w:r>
          </w:p>
        </w:tc>
        <w:tc>
          <w:tcPr>
            <w:tcW w:w="1701" w:type="dxa"/>
            <w:vAlign w:val="center"/>
          </w:tcPr>
          <w:p w14:paraId="77C3405B">
            <w:pPr>
              <w:pStyle w:val="7"/>
              <w:ind w:firstLine="314"/>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签订时间</w:t>
            </w:r>
          </w:p>
        </w:tc>
        <w:tc>
          <w:tcPr>
            <w:tcW w:w="1583" w:type="dxa"/>
            <w:vAlign w:val="center"/>
          </w:tcPr>
          <w:p w14:paraId="1888E284">
            <w:pPr>
              <w:pStyle w:val="7"/>
              <w:ind w:firstLine="314"/>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备注</w:t>
            </w:r>
          </w:p>
        </w:tc>
      </w:tr>
      <w:tr w14:paraId="529BEC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vAlign w:val="center"/>
          </w:tcPr>
          <w:p w14:paraId="38573072">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46" w:type="dxa"/>
            <w:vAlign w:val="center"/>
          </w:tcPr>
          <w:p w14:paraId="03EA4BC7">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2268" w:type="dxa"/>
            <w:vAlign w:val="center"/>
          </w:tcPr>
          <w:p w14:paraId="4E69B3E9">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417" w:type="dxa"/>
            <w:vAlign w:val="center"/>
          </w:tcPr>
          <w:p w14:paraId="4827C856">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01" w:type="dxa"/>
            <w:vAlign w:val="center"/>
          </w:tcPr>
          <w:p w14:paraId="393D6B27">
            <w:pPr>
              <w:pStyle w:val="7"/>
              <w:ind w:firstLine="314"/>
              <w:jc w:val="center"/>
              <w:rPr>
                <w:rFonts w:hint="eastAsia" w:ascii="宋体" w:hAnsi="宋体"/>
                <w:b/>
                <w:color w:val="000000" w:themeColor="text1"/>
                <w:szCs w:val="21"/>
                <w:highlight w:val="none"/>
                <w14:textFill>
                  <w14:solidFill>
                    <w14:schemeClr w14:val="tx1"/>
                  </w14:solidFill>
                </w14:textFill>
              </w:rPr>
            </w:pPr>
          </w:p>
        </w:tc>
        <w:tc>
          <w:tcPr>
            <w:tcW w:w="1583" w:type="dxa"/>
            <w:vAlign w:val="center"/>
          </w:tcPr>
          <w:p w14:paraId="04447DD4">
            <w:pPr>
              <w:pStyle w:val="7"/>
              <w:ind w:firstLine="314"/>
              <w:jc w:val="center"/>
              <w:rPr>
                <w:rFonts w:hint="eastAsia" w:ascii="宋体" w:hAnsi="宋体"/>
                <w:b/>
                <w:color w:val="000000" w:themeColor="text1"/>
                <w:szCs w:val="21"/>
                <w:highlight w:val="none"/>
                <w14:textFill>
                  <w14:solidFill>
                    <w14:schemeClr w14:val="tx1"/>
                  </w14:solidFill>
                </w14:textFill>
              </w:rPr>
            </w:pPr>
          </w:p>
        </w:tc>
      </w:tr>
      <w:tr w14:paraId="424FDA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vAlign w:val="center"/>
          </w:tcPr>
          <w:p w14:paraId="42CCFD6F">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46" w:type="dxa"/>
            <w:vAlign w:val="center"/>
          </w:tcPr>
          <w:p w14:paraId="4D236CBB">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2268" w:type="dxa"/>
            <w:vAlign w:val="center"/>
          </w:tcPr>
          <w:p w14:paraId="630F20DE">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417" w:type="dxa"/>
            <w:vAlign w:val="center"/>
          </w:tcPr>
          <w:p w14:paraId="566CC3CE">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01" w:type="dxa"/>
            <w:vAlign w:val="center"/>
          </w:tcPr>
          <w:p w14:paraId="25A0A9E7">
            <w:pPr>
              <w:pStyle w:val="7"/>
              <w:ind w:firstLine="314"/>
              <w:jc w:val="center"/>
              <w:rPr>
                <w:rFonts w:hint="eastAsia" w:ascii="宋体" w:hAnsi="宋体"/>
                <w:b/>
                <w:color w:val="000000" w:themeColor="text1"/>
                <w:szCs w:val="21"/>
                <w:highlight w:val="none"/>
                <w14:textFill>
                  <w14:solidFill>
                    <w14:schemeClr w14:val="tx1"/>
                  </w14:solidFill>
                </w14:textFill>
              </w:rPr>
            </w:pPr>
          </w:p>
        </w:tc>
        <w:tc>
          <w:tcPr>
            <w:tcW w:w="1583" w:type="dxa"/>
            <w:vAlign w:val="center"/>
          </w:tcPr>
          <w:p w14:paraId="1FA2C442">
            <w:pPr>
              <w:pStyle w:val="7"/>
              <w:ind w:firstLine="314"/>
              <w:jc w:val="center"/>
              <w:rPr>
                <w:rFonts w:hint="eastAsia" w:ascii="宋体" w:hAnsi="宋体"/>
                <w:b/>
                <w:color w:val="000000" w:themeColor="text1"/>
                <w:szCs w:val="21"/>
                <w:highlight w:val="none"/>
                <w14:textFill>
                  <w14:solidFill>
                    <w14:schemeClr w14:val="tx1"/>
                  </w14:solidFill>
                </w14:textFill>
              </w:rPr>
            </w:pPr>
          </w:p>
        </w:tc>
      </w:tr>
      <w:tr w14:paraId="5C83C2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vAlign w:val="center"/>
          </w:tcPr>
          <w:p w14:paraId="0C7BD8F3">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46" w:type="dxa"/>
            <w:vAlign w:val="center"/>
          </w:tcPr>
          <w:p w14:paraId="063EA917">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2268" w:type="dxa"/>
            <w:vAlign w:val="center"/>
          </w:tcPr>
          <w:p w14:paraId="2CE97D6C">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417" w:type="dxa"/>
            <w:vAlign w:val="center"/>
          </w:tcPr>
          <w:p w14:paraId="147D5634">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01" w:type="dxa"/>
            <w:vAlign w:val="center"/>
          </w:tcPr>
          <w:p w14:paraId="2760C4AF">
            <w:pPr>
              <w:pStyle w:val="7"/>
              <w:ind w:firstLine="314"/>
              <w:jc w:val="center"/>
              <w:rPr>
                <w:rFonts w:hint="eastAsia" w:ascii="宋体" w:hAnsi="宋体"/>
                <w:b/>
                <w:color w:val="000000" w:themeColor="text1"/>
                <w:szCs w:val="21"/>
                <w:highlight w:val="none"/>
                <w14:textFill>
                  <w14:solidFill>
                    <w14:schemeClr w14:val="tx1"/>
                  </w14:solidFill>
                </w14:textFill>
              </w:rPr>
            </w:pPr>
          </w:p>
        </w:tc>
        <w:tc>
          <w:tcPr>
            <w:tcW w:w="1583" w:type="dxa"/>
            <w:vAlign w:val="center"/>
          </w:tcPr>
          <w:p w14:paraId="46664577">
            <w:pPr>
              <w:pStyle w:val="7"/>
              <w:ind w:firstLine="314"/>
              <w:jc w:val="center"/>
              <w:rPr>
                <w:rFonts w:hint="eastAsia" w:ascii="宋体" w:hAnsi="宋体"/>
                <w:b/>
                <w:color w:val="000000" w:themeColor="text1"/>
                <w:szCs w:val="21"/>
                <w:highlight w:val="none"/>
                <w14:textFill>
                  <w14:solidFill>
                    <w14:schemeClr w14:val="tx1"/>
                  </w14:solidFill>
                </w14:textFill>
              </w:rPr>
            </w:pPr>
          </w:p>
        </w:tc>
      </w:tr>
      <w:tr w14:paraId="3109C7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vAlign w:val="center"/>
          </w:tcPr>
          <w:p w14:paraId="45CB1FF1">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46" w:type="dxa"/>
            <w:vAlign w:val="center"/>
          </w:tcPr>
          <w:p w14:paraId="1C954B67">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2268" w:type="dxa"/>
            <w:vAlign w:val="center"/>
          </w:tcPr>
          <w:p w14:paraId="267A62A5">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417" w:type="dxa"/>
            <w:vAlign w:val="center"/>
          </w:tcPr>
          <w:p w14:paraId="40271E92">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01" w:type="dxa"/>
            <w:vAlign w:val="center"/>
          </w:tcPr>
          <w:p w14:paraId="37CC9D95">
            <w:pPr>
              <w:pStyle w:val="7"/>
              <w:ind w:firstLine="314"/>
              <w:jc w:val="center"/>
              <w:rPr>
                <w:rFonts w:hint="eastAsia" w:ascii="宋体" w:hAnsi="宋体"/>
                <w:b/>
                <w:color w:val="000000" w:themeColor="text1"/>
                <w:szCs w:val="21"/>
                <w:highlight w:val="none"/>
                <w14:textFill>
                  <w14:solidFill>
                    <w14:schemeClr w14:val="tx1"/>
                  </w14:solidFill>
                </w14:textFill>
              </w:rPr>
            </w:pPr>
          </w:p>
        </w:tc>
        <w:tc>
          <w:tcPr>
            <w:tcW w:w="1583" w:type="dxa"/>
            <w:vAlign w:val="center"/>
          </w:tcPr>
          <w:p w14:paraId="3FC62F1A">
            <w:pPr>
              <w:pStyle w:val="7"/>
              <w:ind w:firstLine="314"/>
              <w:jc w:val="center"/>
              <w:rPr>
                <w:rFonts w:hint="eastAsia" w:ascii="宋体" w:hAnsi="宋体"/>
                <w:b/>
                <w:color w:val="000000" w:themeColor="text1"/>
                <w:szCs w:val="21"/>
                <w:highlight w:val="none"/>
                <w14:textFill>
                  <w14:solidFill>
                    <w14:schemeClr w14:val="tx1"/>
                  </w14:solidFill>
                </w14:textFill>
              </w:rPr>
            </w:pPr>
          </w:p>
        </w:tc>
      </w:tr>
      <w:tr w14:paraId="6E3255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vAlign w:val="center"/>
          </w:tcPr>
          <w:p w14:paraId="5F315F12">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46" w:type="dxa"/>
            <w:vAlign w:val="center"/>
          </w:tcPr>
          <w:p w14:paraId="04192928">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2268" w:type="dxa"/>
            <w:vAlign w:val="center"/>
          </w:tcPr>
          <w:p w14:paraId="544CA16C">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417" w:type="dxa"/>
            <w:vAlign w:val="center"/>
          </w:tcPr>
          <w:p w14:paraId="1AD9876D">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01" w:type="dxa"/>
            <w:vAlign w:val="center"/>
          </w:tcPr>
          <w:p w14:paraId="262D1640">
            <w:pPr>
              <w:pStyle w:val="7"/>
              <w:ind w:firstLine="314"/>
              <w:jc w:val="center"/>
              <w:rPr>
                <w:rFonts w:hint="eastAsia" w:ascii="宋体" w:hAnsi="宋体"/>
                <w:b/>
                <w:color w:val="000000" w:themeColor="text1"/>
                <w:szCs w:val="21"/>
                <w:highlight w:val="none"/>
                <w14:textFill>
                  <w14:solidFill>
                    <w14:schemeClr w14:val="tx1"/>
                  </w14:solidFill>
                </w14:textFill>
              </w:rPr>
            </w:pPr>
          </w:p>
        </w:tc>
        <w:tc>
          <w:tcPr>
            <w:tcW w:w="1583" w:type="dxa"/>
            <w:vAlign w:val="center"/>
          </w:tcPr>
          <w:p w14:paraId="2ABB4AD3">
            <w:pPr>
              <w:pStyle w:val="7"/>
              <w:ind w:firstLine="314"/>
              <w:jc w:val="center"/>
              <w:rPr>
                <w:rFonts w:hint="eastAsia" w:ascii="宋体" w:hAnsi="宋体"/>
                <w:b/>
                <w:color w:val="000000" w:themeColor="text1"/>
                <w:szCs w:val="21"/>
                <w:highlight w:val="none"/>
                <w14:textFill>
                  <w14:solidFill>
                    <w14:schemeClr w14:val="tx1"/>
                  </w14:solidFill>
                </w14:textFill>
              </w:rPr>
            </w:pPr>
          </w:p>
        </w:tc>
      </w:tr>
      <w:tr w14:paraId="52DDB3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vAlign w:val="center"/>
          </w:tcPr>
          <w:p w14:paraId="1C0B8DDB">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46" w:type="dxa"/>
            <w:vAlign w:val="center"/>
          </w:tcPr>
          <w:p w14:paraId="024DBCFD">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2268" w:type="dxa"/>
            <w:vAlign w:val="center"/>
          </w:tcPr>
          <w:p w14:paraId="7B57F2C0">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417" w:type="dxa"/>
            <w:vAlign w:val="center"/>
          </w:tcPr>
          <w:p w14:paraId="78089C78">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01" w:type="dxa"/>
            <w:vAlign w:val="center"/>
          </w:tcPr>
          <w:p w14:paraId="7D67ADF0">
            <w:pPr>
              <w:pStyle w:val="7"/>
              <w:ind w:firstLine="314"/>
              <w:jc w:val="center"/>
              <w:rPr>
                <w:rFonts w:hint="eastAsia" w:ascii="宋体" w:hAnsi="宋体"/>
                <w:b/>
                <w:color w:val="000000" w:themeColor="text1"/>
                <w:szCs w:val="21"/>
                <w:highlight w:val="none"/>
                <w14:textFill>
                  <w14:solidFill>
                    <w14:schemeClr w14:val="tx1"/>
                  </w14:solidFill>
                </w14:textFill>
              </w:rPr>
            </w:pPr>
          </w:p>
        </w:tc>
        <w:tc>
          <w:tcPr>
            <w:tcW w:w="1583" w:type="dxa"/>
            <w:vAlign w:val="center"/>
          </w:tcPr>
          <w:p w14:paraId="0D88C441">
            <w:pPr>
              <w:pStyle w:val="7"/>
              <w:ind w:firstLine="314"/>
              <w:jc w:val="center"/>
              <w:rPr>
                <w:rFonts w:hint="eastAsia" w:ascii="宋体" w:hAnsi="宋体"/>
                <w:b/>
                <w:color w:val="000000" w:themeColor="text1"/>
                <w:szCs w:val="21"/>
                <w:highlight w:val="none"/>
                <w14:textFill>
                  <w14:solidFill>
                    <w14:schemeClr w14:val="tx1"/>
                  </w14:solidFill>
                </w14:textFill>
              </w:rPr>
            </w:pPr>
          </w:p>
        </w:tc>
      </w:tr>
      <w:tr w14:paraId="4FF474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vAlign w:val="center"/>
          </w:tcPr>
          <w:p w14:paraId="1E29DCFA">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46" w:type="dxa"/>
            <w:vAlign w:val="center"/>
          </w:tcPr>
          <w:p w14:paraId="470F1698">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2268" w:type="dxa"/>
            <w:vAlign w:val="center"/>
          </w:tcPr>
          <w:p w14:paraId="28E2B2C4">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417" w:type="dxa"/>
            <w:vAlign w:val="center"/>
          </w:tcPr>
          <w:p w14:paraId="1BF0D21C">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01" w:type="dxa"/>
            <w:vAlign w:val="center"/>
          </w:tcPr>
          <w:p w14:paraId="00B94BE6">
            <w:pPr>
              <w:pStyle w:val="7"/>
              <w:ind w:firstLine="314"/>
              <w:jc w:val="center"/>
              <w:rPr>
                <w:rFonts w:hint="eastAsia" w:ascii="宋体" w:hAnsi="宋体"/>
                <w:b/>
                <w:color w:val="000000" w:themeColor="text1"/>
                <w:szCs w:val="21"/>
                <w:highlight w:val="none"/>
                <w14:textFill>
                  <w14:solidFill>
                    <w14:schemeClr w14:val="tx1"/>
                  </w14:solidFill>
                </w14:textFill>
              </w:rPr>
            </w:pPr>
          </w:p>
        </w:tc>
        <w:tc>
          <w:tcPr>
            <w:tcW w:w="1583" w:type="dxa"/>
            <w:vAlign w:val="center"/>
          </w:tcPr>
          <w:p w14:paraId="5FA17438">
            <w:pPr>
              <w:pStyle w:val="7"/>
              <w:ind w:firstLine="314"/>
              <w:jc w:val="center"/>
              <w:rPr>
                <w:rFonts w:hint="eastAsia" w:ascii="宋体" w:hAnsi="宋体"/>
                <w:b/>
                <w:color w:val="000000" w:themeColor="text1"/>
                <w:szCs w:val="21"/>
                <w:highlight w:val="none"/>
                <w14:textFill>
                  <w14:solidFill>
                    <w14:schemeClr w14:val="tx1"/>
                  </w14:solidFill>
                </w14:textFill>
              </w:rPr>
            </w:pPr>
          </w:p>
        </w:tc>
      </w:tr>
      <w:tr w14:paraId="2031D6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vAlign w:val="center"/>
          </w:tcPr>
          <w:p w14:paraId="703901BF">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46" w:type="dxa"/>
            <w:vAlign w:val="center"/>
          </w:tcPr>
          <w:p w14:paraId="5604F58B">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2268" w:type="dxa"/>
            <w:vAlign w:val="center"/>
          </w:tcPr>
          <w:p w14:paraId="174CCAC3">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417" w:type="dxa"/>
            <w:vAlign w:val="center"/>
          </w:tcPr>
          <w:p w14:paraId="780B5894">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01" w:type="dxa"/>
            <w:vAlign w:val="center"/>
          </w:tcPr>
          <w:p w14:paraId="66521961">
            <w:pPr>
              <w:pStyle w:val="7"/>
              <w:ind w:firstLine="314"/>
              <w:jc w:val="center"/>
              <w:rPr>
                <w:rFonts w:hint="eastAsia" w:ascii="宋体" w:hAnsi="宋体"/>
                <w:b/>
                <w:color w:val="000000" w:themeColor="text1"/>
                <w:szCs w:val="21"/>
                <w:highlight w:val="none"/>
                <w14:textFill>
                  <w14:solidFill>
                    <w14:schemeClr w14:val="tx1"/>
                  </w14:solidFill>
                </w14:textFill>
              </w:rPr>
            </w:pPr>
          </w:p>
        </w:tc>
        <w:tc>
          <w:tcPr>
            <w:tcW w:w="1583" w:type="dxa"/>
            <w:vAlign w:val="center"/>
          </w:tcPr>
          <w:p w14:paraId="76A48290">
            <w:pPr>
              <w:pStyle w:val="7"/>
              <w:ind w:firstLine="314"/>
              <w:jc w:val="center"/>
              <w:rPr>
                <w:rFonts w:hint="eastAsia" w:ascii="宋体" w:hAnsi="宋体"/>
                <w:b/>
                <w:color w:val="000000" w:themeColor="text1"/>
                <w:szCs w:val="21"/>
                <w:highlight w:val="none"/>
                <w14:textFill>
                  <w14:solidFill>
                    <w14:schemeClr w14:val="tx1"/>
                  </w14:solidFill>
                </w14:textFill>
              </w:rPr>
            </w:pPr>
          </w:p>
        </w:tc>
      </w:tr>
      <w:tr w14:paraId="44B655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vAlign w:val="center"/>
          </w:tcPr>
          <w:p w14:paraId="330B816C">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46" w:type="dxa"/>
            <w:vAlign w:val="center"/>
          </w:tcPr>
          <w:p w14:paraId="5B70D01E">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2268" w:type="dxa"/>
            <w:vAlign w:val="center"/>
          </w:tcPr>
          <w:p w14:paraId="11ECFE78">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417" w:type="dxa"/>
            <w:vAlign w:val="center"/>
          </w:tcPr>
          <w:p w14:paraId="4BEB06D4">
            <w:pPr>
              <w:pStyle w:val="7"/>
              <w:ind w:firstLine="0"/>
              <w:jc w:val="center"/>
              <w:rPr>
                <w:rFonts w:hint="eastAsia" w:ascii="宋体" w:hAnsi="宋体"/>
                <w:b/>
                <w:color w:val="000000" w:themeColor="text1"/>
                <w:szCs w:val="21"/>
                <w:highlight w:val="none"/>
                <w14:textFill>
                  <w14:solidFill>
                    <w14:schemeClr w14:val="tx1"/>
                  </w14:solidFill>
                </w14:textFill>
              </w:rPr>
            </w:pPr>
          </w:p>
        </w:tc>
        <w:tc>
          <w:tcPr>
            <w:tcW w:w="1701" w:type="dxa"/>
            <w:vAlign w:val="center"/>
          </w:tcPr>
          <w:p w14:paraId="1271C690">
            <w:pPr>
              <w:pStyle w:val="7"/>
              <w:ind w:firstLine="314"/>
              <w:jc w:val="center"/>
              <w:rPr>
                <w:rFonts w:hint="eastAsia" w:ascii="宋体" w:hAnsi="宋体"/>
                <w:b/>
                <w:color w:val="000000" w:themeColor="text1"/>
                <w:szCs w:val="21"/>
                <w:highlight w:val="none"/>
                <w14:textFill>
                  <w14:solidFill>
                    <w14:schemeClr w14:val="tx1"/>
                  </w14:solidFill>
                </w14:textFill>
              </w:rPr>
            </w:pPr>
          </w:p>
        </w:tc>
        <w:tc>
          <w:tcPr>
            <w:tcW w:w="1583" w:type="dxa"/>
            <w:vAlign w:val="center"/>
          </w:tcPr>
          <w:p w14:paraId="31DB4A18">
            <w:pPr>
              <w:pStyle w:val="7"/>
              <w:ind w:firstLine="314"/>
              <w:jc w:val="center"/>
              <w:rPr>
                <w:rFonts w:hint="eastAsia" w:ascii="宋体" w:hAnsi="宋体"/>
                <w:b/>
                <w:color w:val="000000" w:themeColor="text1"/>
                <w:szCs w:val="21"/>
                <w:highlight w:val="none"/>
                <w14:textFill>
                  <w14:solidFill>
                    <w14:schemeClr w14:val="tx1"/>
                  </w14:solidFill>
                </w14:textFill>
              </w:rPr>
            </w:pPr>
          </w:p>
        </w:tc>
      </w:tr>
      <w:tr w14:paraId="4B1CFB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vAlign w:val="center"/>
          </w:tcPr>
          <w:p w14:paraId="21E802D9">
            <w:pPr>
              <w:pStyle w:val="7"/>
              <w:ind w:firstLine="0"/>
              <w:jc w:val="left"/>
              <w:rPr>
                <w:rFonts w:hint="eastAsia" w:ascii="宋体" w:hAnsi="宋体"/>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说明</w:t>
            </w:r>
          </w:p>
        </w:tc>
        <w:tc>
          <w:tcPr>
            <w:tcW w:w="8715" w:type="dxa"/>
            <w:gridSpan w:val="5"/>
            <w:vAlign w:val="center"/>
          </w:tcPr>
          <w:p w14:paraId="5CC1FF7E">
            <w:pPr>
              <w:adjustRightInd w:val="0"/>
              <w:snapToGrid w:val="0"/>
              <w:jc w:val="left"/>
              <w:rPr>
                <w:rFonts w:hint="eastAsia" w:ascii="楷体" w:hAnsi="楷体" w:eastAsia="楷体"/>
                <w:color w:val="000000" w:themeColor="text1"/>
                <w:sz w:val="18"/>
                <w:szCs w:val="18"/>
                <w:highlight w:val="none"/>
                <w14:textFill>
                  <w14:solidFill>
                    <w14:schemeClr w14:val="tx1"/>
                  </w14:solidFill>
                </w14:textFill>
              </w:rPr>
            </w:pPr>
            <w:r>
              <w:rPr>
                <w:rFonts w:hint="eastAsia" w:ascii="楷体" w:hAnsi="楷体" w:eastAsia="楷体"/>
                <w:color w:val="000000" w:themeColor="text1"/>
                <w:sz w:val="18"/>
                <w:szCs w:val="18"/>
                <w:highlight w:val="none"/>
                <w14:textFill>
                  <w14:solidFill>
                    <w14:schemeClr w14:val="tx1"/>
                  </w14:solidFill>
                </w14:textFill>
              </w:rPr>
              <w:t>1.业绩是指与采购项目在标的、类型、功能等方面相同或相似的项目。</w:t>
            </w:r>
          </w:p>
          <w:p w14:paraId="19737B9D">
            <w:pPr>
              <w:adjustRightInd w:val="0"/>
              <w:snapToGrid w:val="0"/>
              <w:jc w:val="left"/>
              <w:rPr>
                <w:rFonts w:hint="eastAsia" w:ascii="楷体" w:hAnsi="楷体" w:eastAsia="楷体"/>
                <w:color w:val="000000" w:themeColor="text1"/>
                <w:sz w:val="18"/>
                <w:szCs w:val="18"/>
                <w:highlight w:val="none"/>
                <w14:textFill>
                  <w14:solidFill>
                    <w14:schemeClr w14:val="tx1"/>
                  </w14:solidFill>
                </w14:textFill>
              </w:rPr>
            </w:pPr>
            <w:r>
              <w:rPr>
                <w:rFonts w:hint="eastAsia" w:ascii="楷体" w:hAnsi="楷体" w:eastAsia="楷体"/>
                <w:color w:val="000000" w:themeColor="text1"/>
                <w:sz w:val="18"/>
                <w:szCs w:val="18"/>
                <w:highlight w:val="none"/>
                <w14:textFill>
                  <w14:solidFill>
                    <w14:schemeClr w14:val="tx1"/>
                  </w14:solidFill>
                </w14:textFill>
              </w:rPr>
              <w:t>2.业绩内容应与评分标准(综合评分明细表)中要求一致，无法直接体现的可进行佐证材料补充。</w:t>
            </w:r>
          </w:p>
          <w:p w14:paraId="7E59ECA8">
            <w:pPr>
              <w:adjustRightInd w:val="0"/>
              <w:snapToGrid w:val="0"/>
              <w:jc w:val="left"/>
              <w:rPr>
                <w:rFonts w:hint="eastAsia" w:ascii="楷体" w:hAnsi="楷体" w:eastAsia="楷体"/>
                <w:color w:val="000000" w:themeColor="text1"/>
                <w:sz w:val="18"/>
                <w:szCs w:val="18"/>
                <w:highlight w:val="none"/>
                <w14:textFill>
                  <w14:solidFill>
                    <w14:schemeClr w14:val="tx1"/>
                  </w14:solidFill>
                </w14:textFill>
              </w:rPr>
            </w:pPr>
            <w:r>
              <w:rPr>
                <w:rFonts w:hint="eastAsia" w:ascii="楷体" w:hAnsi="楷体" w:eastAsia="楷体"/>
                <w:color w:val="000000" w:themeColor="text1"/>
                <w:sz w:val="18"/>
                <w:szCs w:val="18"/>
                <w:highlight w:val="none"/>
                <w14:textFill>
                  <w14:solidFill>
                    <w14:schemeClr w14:val="tx1"/>
                  </w14:solidFill>
                </w14:textFill>
              </w:rPr>
              <w:t>3.未按要求提供类似业绩证明材料或提供的证明材料不符合要求，评审时不予加分。</w:t>
            </w:r>
          </w:p>
          <w:p w14:paraId="5AD8D2D4">
            <w:pPr>
              <w:adjustRightInd w:val="0"/>
              <w:snapToGrid w:val="0"/>
              <w:jc w:val="left"/>
              <w:rPr>
                <w:rFonts w:hint="eastAsia" w:ascii="宋体" w:hAnsi="宋体"/>
                <w:color w:val="000000" w:themeColor="text1"/>
                <w:szCs w:val="21"/>
                <w:highlight w:val="none"/>
                <w14:textFill>
                  <w14:solidFill>
                    <w14:schemeClr w14:val="tx1"/>
                  </w14:solidFill>
                </w14:textFill>
              </w:rPr>
            </w:pPr>
            <w:r>
              <w:rPr>
                <w:rFonts w:hint="eastAsia" w:ascii="楷体" w:hAnsi="楷体" w:eastAsia="楷体"/>
                <w:color w:val="000000" w:themeColor="text1"/>
                <w:sz w:val="18"/>
                <w:szCs w:val="18"/>
                <w:highlight w:val="none"/>
                <w14:textFill>
                  <w14:solidFill>
                    <w14:schemeClr w14:val="tx1"/>
                  </w14:solidFill>
                </w14:textFill>
              </w:rPr>
              <w:t>4.投标人应如实列出以上情况，不得虚假响应，一经查实将导致其投标文件被拒绝。</w:t>
            </w:r>
          </w:p>
        </w:tc>
      </w:tr>
    </w:tbl>
    <w:p w14:paraId="31DB4BAD">
      <w:pPr>
        <w:spacing w:after="120" w:line="400" w:lineRule="exact"/>
        <w:ind w:firstLine="211" w:firstLineChars="1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                                                                单位：万元</w:t>
      </w:r>
    </w:p>
    <w:p w14:paraId="44F2FD25">
      <w:pPr>
        <w:rPr>
          <w:rFonts w:hint="eastAsia" w:ascii="宋体" w:hAnsi="宋体" w:eastAsia="黑体"/>
          <w:b/>
          <w:bCs/>
          <w:color w:val="000000" w:themeColor="text1"/>
          <w:sz w:val="32"/>
          <w:szCs w:val="32"/>
          <w:highlight w:val="none"/>
          <w14:textFill>
            <w14:solidFill>
              <w14:schemeClr w14:val="tx1"/>
            </w14:solidFill>
          </w14:textFill>
        </w:rPr>
      </w:pPr>
      <w:bookmarkStart w:id="1131" w:name="_Toc1246614038"/>
      <w:bookmarkStart w:id="1132" w:name="_Toc30136"/>
      <w:r>
        <w:rPr>
          <w:rFonts w:hint="eastAsia" w:ascii="宋体" w:hAnsi="宋体" w:eastAsia="黑体"/>
          <w:b/>
          <w:bCs/>
          <w:color w:val="000000" w:themeColor="text1"/>
          <w:sz w:val="32"/>
          <w:szCs w:val="32"/>
          <w:highlight w:val="none"/>
          <w14:textFill>
            <w14:solidFill>
              <w14:schemeClr w14:val="tx1"/>
            </w14:solidFill>
          </w14:textFill>
        </w:rPr>
        <w:br w:type="page"/>
      </w:r>
    </w:p>
    <w:p w14:paraId="38E6515A">
      <w:pPr>
        <w:tabs>
          <w:tab w:val="left" w:pos="3600"/>
        </w:tabs>
        <w:adjustRightInd w:val="0"/>
        <w:snapToGrid w:val="0"/>
        <w:spacing w:before="240" w:beforeLines="100" w:line="360" w:lineRule="auto"/>
        <w:jc w:val="center"/>
        <w:outlineLvl w:val="0"/>
        <w:rPr>
          <w:rFonts w:hint="eastAsia" w:ascii="宋体" w:hAnsi="宋体"/>
          <w:color w:val="000000" w:themeColor="text1"/>
          <w:szCs w:val="21"/>
          <w:highlight w:val="none"/>
          <w14:textFill>
            <w14:solidFill>
              <w14:schemeClr w14:val="tx1"/>
            </w14:solidFill>
          </w14:textFill>
        </w:rPr>
      </w:pPr>
      <w:r>
        <w:rPr>
          <w:rFonts w:hint="eastAsia" w:ascii="宋体" w:hAnsi="宋体" w:eastAsia="黑体"/>
          <w:b/>
          <w:bCs/>
          <w:color w:val="000000" w:themeColor="text1"/>
          <w:sz w:val="32"/>
          <w:szCs w:val="32"/>
          <w:highlight w:val="none"/>
          <w14:textFill>
            <w14:solidFill>
              <w14:schemeClr w14:val="tx1"/>
            </w14:solidFill>
          </w14:textFill>
        </w:rPr>
        <w:t>七</w:t>
      </w:r>
      <w:r>
        <w:rPr>
          <w:rFonts w:hint="eastAsia" w:ascii="黑体" w:hAnsi="宋体" w:eastAsia="黑体"/>
          <w:color w:val="000000" w:themeColor="text1"/>
          <w:kern w:val="0"/>
          <w:sz w:val="36"/>
          <w:szCs w:val="36"/>
          <w:highlight w:val="none"/>
          <w14:textFill>
            <w14:solidFill>
              <w14:schemeClr w14:val="tx1"/>
            </w14:solidFill>
          </w14:textFill>
        </w:rPr>
        <w:t>、</w:t>
      </w:r>
      <w:r>
        <w:rPr>
          <w:rFonts w:hint="eastAsia" w:ascii="黑体" w:hAnsi="宋体" w:eastAsia="黑体"/>
          <w:color w:val="000000" w:themeColor="text1"/>
          <w:sz w:val="36"/>
          <w:szCs w:val="36"/>
          <w:highlight w:val="none"/>
          <w14:textFill>
            <w14:solidFill>
              <w14:schemeClr w14:val="tx1"/>
            </w14:solidFill>
          </w14:textFill>
        </w:rPr>
        <w:t>享受政府采购优惠政策的证明材料</w:t>
      </w:r>
      <w:bookmarkEnd w:id="1131"/>
      <w:bookmarkEnd w:id="1132"/>
    </w:p>
    <w:p w14:paraId="76CBCC86">
      <w:pPr>
        <w:jc w:val="cente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1.强制、优先采购产品承诺函</w:t>
      </w:r>
    </w:p>
    <w:p w14:paraId="037220ED">
      <w:pP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致：</w:t>
      </w:r>
      <w:r>
        <w:rPr>
          <w:rFonts w:hint="eastAsia" w:ascii="宋体" w:hAnsi="宋体" w:cs="宋体"/>
          <w:color w:val="000000" w:themeColor="text1"/>
          <w:szCs w:val="21"/>
          <w:highlight w:val="none"/>
          <w:u w:val="single"/>
          <w14:textFill>
            <w14:solidFill>
              <w14:schemeClr w14:val="tx1"/>
            </w14:solidFill>
          </w14:textFill>
        </w:rPr>
        <w:t xml:space="preserve">  (采购人名称)    </w:t>
      </w:r>
    </w:p>
    <w:p w14:paraId="4C65DB78">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我单位作为参与本次政府采购项目的投标人，根据招标文件要求，现郑重承诺如下： </w:t>
      </w:r>
    </w:p>
    <w:p w14:paraId="7AA16D59">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一、我单位提供的</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产品属于强制节能政府采购品目清单范围的产品，供货时提供的前述产品具有强制节能产品认证证书，我单位在供货时提供认证结果信息发布平台公布的该产品认证信息截图，或者在有效期内的认证证书。</w:t>
      </w:r>
    </w:p>
    <w:p w14:paraId="1DECD89C">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二、我单位提供的</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产品属于优先节能政府采购品目清单范围的产品，供货时提供的前述产品具有节能产品认证证书，我单位在供货时提供认证结果信息发布平台公布的该产品认证信息截图，或者在有效期内的认证证书。 </w:t>
      </w:r>
    </w:p>
    <w:p w14:paraId="223E9418">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三、我单位提供的</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产品属于优先环境标志政府采购品目清单范围的产品，供货时提供的前述 产品具有环境标志产品认证证书，我单位在供货时提供认证结果信息发布平台公布的该产品认证信息截图，或者在有效期内的认证证书。 </w:t>
      </w:r>
    </w:p>
    <w:p w14:paraId="55C411C4">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我单位对上述承诺内容的真实性负责，如经查证承诺内容存在虚假，我单位愿意依法承担因提供虚假材料谋取成交的法律责任。</w:t>
      </w:r>
    </w:p>
    <w:p w14:paraId="5DEA7D1E">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p>
    <w:p w14:paraId="07CEDDD7">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承诺人：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（投标人名称、加盖单位章）</w:t>
      </w:r>
    </w:p>
    <w:p w14:paraId="262130D6">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  期：20</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625B5044">
      <w:pPr>
        <w:pStyle w:val="30"/>
        <w:rPr>
          <w:rFonts w:hint="eastAsia" w:ascii="宋体" w:hAnsi="宋体" w:cs="宋体"/>
          <w:color w:val="000000" w:themeColor="text1"/>
          <w:sz w:val="21"/>
          <w:szCs w:val="21"/>
          <w:highlight w:val="none"/>
          <w14:textFill>
            <w14:solidFill>
              <w14:schemeClr w14:val="tx1"/>
            </w14:solidFill>
          </w14:textFill>
        </w:rPr>
      </w:pPr>
    </w:p>
    <w:p w14:paraId="64232854">
      <w:pPr>
        <w:pStyle w:val="30"/>
        <w:rPr>
          <w:rFonts w:hint="eastAsia" w:ascii="宋体" w:hAnsi="宋体" w:cs="宋体"/>
          <w:color w:val="000000" w:themeColor="text1"/>
          <w:sz w:val="21"/>
          <w:szCs w:val="21"/>
          <w:highlight w:val="none"/>
          <w14:textFill>
            <w14:solidFill>
              <w14:schemeClr w14:val="tx1"/>
            </w14:solidFill>
          </w14:textFill>
        </w:rPr>
      </w:pPr>
    </w:p>
    <w:p w14:paraId="33CF005F">
      <w:pPr>
        <w:pStyle w:val="30"/>
        <w:rPr>
          <w:rFonts w:hint="eastAsia" w:ascii="宋体" w:hAnsi="宋体" w:cs="宋体"/>
          <w:color w:val="000000" w:themeColor="text1"/>
          <w:sz w:val="21"/>
          <w:szCs w:val="21"/>
          <w:highlight w:val="none"/>
          <w14:textFill>
            <w14:solidFill>
              <w14:schemeClr w14:val="tx1"/>
            </w14:solidFill>
          </w14:textFill>
        </w:rPr>
      </w:pPr>
    </w:p>
    <w:p w14:paraId="274E1EE5">
      <w:pPr>
        <w:pStyle w:val="30"/>
        <w:rPr>
          <w:rFonts w:hint="eastAsia" w:ascii="宋体" w:hAnsi="宋体" w:cs="宋体"/>
          <w:color w:val="000000" w:themeColor="text1"/>
          <w:sz w:val="21"/>
          <w:szCs w:val="21"/>
          <w:highlight w:val="none"/>
          <w14:textFill>
            <w14:solidFill>
              <w14:schemeClr w14:val="tx1"/>
            </w14:solidFill>
          </w14:textFill>
        </w:rPr>
      </w:pPr>
    </w:p>
    <w:p w14:paraId="7B03FD9F">
      <w:pPr>
        <w:pStyle w:val="30"/>
        <w:rPr>
          <w:rFonts w:hint="eastAsia" w:ascii="宋体" w:hAnsi="宋体" w:cs="宋体"/>
          <w:color w:val="000000" w:themeColor="text1"/>
          <w:sz w:val="21"/>
          <w:szCs w:val="21"/>
          <w:highlight w:val="none"/>
          <w14:textFill>
            <w14:solidFill>
              <w14:schemeClr w14:val="tx1"/>
            </w14:solidFill>
          </w14:textFill>
        </w:rPr>
      </w:pPr>
    </w:p>
    <w:p w14:paraId="6325B312">
      <w:pPr>
        <w:pStyle w:val="30"/>
        <w:rPr>
          <w:rFonts w:hint="eastAsia" w:ascii="宋体" w:hAnsi="宋体" w:cs="宋体"/>
          <w:color w:val="000000" w:themeColor="text1"/>
          <w:sz w:val="21"/>
          <w:szCs w:val="21"/>
          <w:highlight w:val="none"/>
          <w14:textFill>
            <w14:solidFill>
              <w14:schemeClr w14:val="tx1"/>
            </w14:solidFill>
          </w14:textFill>
        </w:rPr>
      </w:pPr>
    </w:p>
    <w:p w14:paraId="3853B28D">
      <w:pPr>
        <w:pStyle w:val="30"/>
        <w:rPr>
          <w:rFonts w:hint="eastAsia" w:ascii="宋体" w:hAnsi="宋体" w:cs="宋体"/>
          <w:color w:val="000000" w:themeColor="text1"/>
          <w:sz w:val="21"/>
          <w:szCs w:val="21"/>
          <w:highlight w:val="none"/>
          <w14:textFill>
            <w14:solidFill>
              <w14:schemeClr w14:val="tx1"/>
            </w14:solidFill>
          </w14:textFill>
        </w:rPr>
      </w:pPr>
    </w:p>
    <w:p w14:paraId="7DF58C1B">
      <w:pPr>
        <w:pStyle w:val="30"/>
        <w:rPr>
          <w:rFonts w:hint="eastAsia" w:ascii="宋体" w:hAnsi="宋体" w:cs="宋体"/>
          <w:color w:val="000000" w:themeColor="text1"/>
          <w:sz w:val="21"/>
          <w:szCs w:val="21"/>
          <w:highlight w:val="none"/>
          <w14:textFill>
            <w14:solidFill>
              <w14:schemeClr w14:val="tx1"/>
            </w14:solidFill>
          </w14:textFill>
        </w:rPr>
      </w:pPr>
    </w:p>
    <w:p w14:paraId="500CF38D">
      <w:pPr>
        <w:pStyle w:val="30"/>
        <w:rPr>
          <w:rFonts w:hint="eastAsia" w:ascii="宋体" w:hAnsi="宋体" w:cs="宋体"/>
          <w:color w:val="000000" w:themeColor="text1"/>
          <w:sz w:val="21"/>
          <w:szCs w:val="21"/>
          <w:highlight w:val="none"/>
          <w14:textFill>
            <w14:solidFill>
              <w14:schemeClr w14:val="tx1"/>
            </w14:solidFill>
          </w14:textFill>
        </w:rPr>
      </w:pPr>
    </w:p>
    <w:p w14:paraId="1BE838EC">
      <w:pPr>
        <w:pStyle w:val="30"/>
        <w:rPr>
          <w:rFonts w:hint="eastAsia" w:ascii="宋体" w:hAnsi="宋体" w:cs="宋体"/>
          <w:color w:val="000000" w:themeColor="text1"/>
          <w:sz w:val="21"/>
          <w:szCs w:val="21"/>
          <w:highlight w:val="none"/>
          <w14:textFill>
            <w14:solidFill>
              <w14:schemeClr w14:val="tx1"/>
            </w14:solidFill>
          </w14:textFill>
        </w:rPr>
      </w:pPr>
    </w:p>
    <w:p w14:paraId="36DC8143">
      <w:pPr>
        <w:autoSpaceDE w:val="0"/>
        <w:autoSpaceDN w:val="0"/>
        <w:spacing w:line="360" w:lineRule="auto"/>
        <w:ind w:firstLine="630" w:firstLineChars="300"/>
        <w:rPr>
          <w:rFonts w:hint="eastAsia" w:ascii="楷体" w:hAnsi="楷体" w:eastAsia="楷体" w:cs="宋体"/>
          <w:color w:val="000000" w:themeColor="text1"/>
          <w:kern w:val="0"/>
          <w:highlight w:val="none"/>
          <w:lang w:val="zh-CN"/>
          <w14:textFill>
            <w14:solidFill>
              <w14:schemeClr w14:val="tx1"/>
            </w14:solidFill>
          </w14:textFill>
        </w:rPr>
      </w:pPr>
    </w:p>
    <w:p w14:paraId="4457C4C7">
      <w:pPr>
        <w:autoSpaceDE w:val="0"/>
        <w:autoSpaceDN w:val="0"/>
        <w:spacing w:line="360" w:lineRule="auto"/>
        <w:ind w:firstLine="630" w:firstLineChars="300"/>
        <w:rPr>
          <w:rFonts w:hint="eastAsia" w:ascii="宋体" w:hAnsi="宋体" w:cs="宋体"/>
          <w:color w:val="000000" w:themeColor="text1"/>
          <w:sz w:val="24"/>
          <w:highlight w:val="none"/>
          <w14:textFill>
            <w14:solidFill>
              <w14:schemeClr w14:val="tx1"/>
            </w14:solidFill>
          </w14:textFill>
        </w:rPr>
      </w:pPr>
      <w:r>
        <w:rPr>
          <w:rFonts w:hint="eastAsia" w:ascii="楷体" w:hAnsi="楷体" w:eastAsia="楷体" w:cs="宋体"/>
          <w:color w:val="000000" w:themeColor="text1"/>
          <w:kern w:val="0"/>
          <w:highlight w:val="none"/>
          <w14:textFill>
            <w14:solidFill>
              <w14:schemeClr w14:val="tx1"/>
            </w14:solidFill>
          </w14:textFill>
        </w:rPr>
        <w:t>说明：</w:t>
      </w:r>
      <w:r>
        <w:rPr>
          <w:rFonts w:hint="eastAsia" w:ascii="楷体" w:hAnsi="楷体" w:eastAsia="楷体" w:cs="宋体"/>
          <w:color w:val="000000" w:themeColor="text1"/>
          <w:kern w:val="0"/>
          <w:highlight w:val="none"/>
          <w:lang w:val="zh-CN"/>
          <w14:textFill>
            <w14:solidFill>
              <w14:schemeClr w14:val="tx1"/>
            </w14:solidFill>
          </w14:textFill>
        </w:rPr>
        <w:t>如采购需求(或评审条款)无要求的可不作响应。</w:t>
      </w:r>
    </w:p>
    <w:p w14:paraId="7624CD2C">
      <w:pPr>
        <w:rPr>
          <w:rFonts w:hint="eastAsia" w:hAnsi="宋体" w:cs="宋体"/>
          <w:color w:val="000000" w:themeColor="text1"/>
          <w:sz w:val="36"/>
          <w:szCs w:val="36"/>
          <w:highlight w:val="none"/>
          <w14:textFill>
            <w14:solidFill>
              <w14:schemeClr w14:val="tx1"/>
            </w14:solidFill>
          </w14:textFill>
        </w:rPr>
      </w:pPr>
      <w:r>
        <w:rPr>
          <w:rFonts w:hint="eastAsia" w:hAnsi="宋体" w:cs="宋体"/>
          <w:color w:val="000000" w:themeColor="text1"/>
          <w:sz w:val="36"/>
          <w:szCs w:val="36"/>
          <w:highlight w:val="none"/>
          <w14:textFill>
            <w14:solidFill>
              <w14:schemeClr w14:val="tx1"/>
            </w14:solidFill>
          </w14:textFill>
        </w:rPr>
        <w:br w:type="page"/>
      </w:r>
    </w:p>
    <w:p w14:paraId="7CE00ABD">
      <w:pPr>
        <w:jc w:val="center"/>
        <w:rPr>
          <w:rFonts w:hint="eastAsia" w:ascii="宋体" w:hAnsi="宋体"/>
          <w:b/>
          <w:color w:val="000000" w:themeColor="text1"/>
          <w:sz w:val="36"/>
          <w:szCs w:val="36"/>
          <w:highlight w:val="none"/>
          <w14:textFill>
            <w14:solidFill>
              <w14:schemeClr w14:val="tx1"/>
            </w14:solidFill>
          </w14:textFill>
        </w:rPr>
      </w:pPr>
      <w:bookmarkStart w:id="1133" w:name="_Toc17581"/>
      <w:bookmarkStart w:id="1134" w:name="_Toc2042131969"/>
      <w:r>
        <w:rPr>
          <w:rFonts w:hint="eastAsia" w:ascii="宋体" w:hAnsi="宋体"/>
          <w:b/>
          <w:color w:val="000000" w:themeColor="text1"/>
          <w:sz w:val="36"/>
          <w:szCs w:val="36"/>
          <w:highlight w:val="none"/>
          <w14:textFill>
            <w14:solidFill>
              <w14:schemeClr w14:val="tx1"/>
            </w14:solidFill>
          </w14:textFill>
        </w:rPr>
        <w:t>八</w:t>
      </w:r>
      <w:r>
        <w:rPr>
          <w:rFonts w:ascii="宋体" w:hAnsi="宋体"/>
          <w:b/>
          <w:color w:val="000000" w:themeColor="text1"/>
          <w:sz w:val="36"/>
          <w:szCs w:val="36"/>
          <w:highlight w:val="none"/>
          <w14:textFill>
            <w14:solidFill>
              <w14:schemeClr w14:val="tx1"/>
            </w14:solidFill>
          </w14:textFill>
        </w:rPr>
        <w:t>、</w:t>
      </w:r>
      <w:r>
        <w:rPr>
          <w:rFonts w:hint="eastAsia" w:ascii="宋体" w:hAnsi="宋体"/>
          <w:b/>
          <w:color w:val="000000" w:themeColor="text1"/>
          <w:sz w:val="36"/>
          <w:szCs w:val="36"/>
          <w:highlight w:val="none"/>
          <w14:textFill>
            <w14:solidFill>
              <w14:schemeClr w14:val="tx1"/>
            </w14:solidFill>
          </w14:textFill>
        </w:rPr>
        <w:t>投标保证金</w:t>
      </w:r>
      <w:bookmarkEnd w:id="1133"/>
      <w:bookmarkEnd w:id="1134"/>
      <w:r>
        <w:rPr>
          <w:rFonts w:hint="eastAsia" w:ascii="宋体" w:hAnsi="宋体"/>
          <w:b/>
          <w:color w:val="000000" w:themeColor="text1"/>
          <w:sz w:val="36"/>
          <w:szCs w:val="36"/>
          <w:highlight w:val="none"/>
          <w14:textFill>
            <w14:solidFill>
              <w14:schemeClr w14:val="tx1"/>
            </w14:solidFill>
          </w14:textFill>
        </w:rPr>
        <w:t>交纳凭证</w:t>
      </w:r>
    </w:p>
    <w:p w14:paraId="3A08FB4F">
      <w:pPr>
        <w:tabs>
          <w:tab w:val="left" w:pos="3600"/>
        </w:tabs>
        <w:adjustRightInd w:val="0"/>
        <w:snapToGrid w:val="0"/>
        <w:spacing w:before="360" w:beforeLines="150"/>
        <w:ind w:firstLine="42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说明：按照投标人须知前附表的要求提供投标保证金交纳凭证。</w:t>
      </w:r>
    </w:p>
    <w:p w14:paraId="059DC8EA">
      <w:pPr>
        <w:tabs>
          <w:tab w:val="left" w:pos="3600"/>
        </w:tabs>
        <w:adjustRightInd w:val="0"/>
        <w:snapToGrid w:val="0"/>
        <w:rPr>
          <w:color w:val="000000" w:themeColor="text1"/>
          <w:highlight w:val="none"/>
          <w14:textFill>
            <w14:solidFill>
              <w14:schemeClr w14:val="tx1"/>
            </w14:solidFill>
          </w14:textFill>
        </w:rPr>
      </w:pPr>
    </w:p>
    <w:p w14:paraId="113169DD">
      <w:pPr>
        <w:tabs>
          <w:tab w:val="left" w:pos="3600"/>
        </w:tabs>
        <w:adjustRightInd w:val="0"/>
        <w:snapToGrid w:val="0"/>
        <w:jc w:val="left"/>
        <w:rPr>
          <w:color w:val="000000" w:themeColor="text1"/>
          <w:highlight w:val="none"/>
          <w14:textFill>
            <w14:solidFill>
              <w14:schemeClr w14:val="tx1"/>
            </w14:solidFill>
          </w14:textFill>
        </w:rPr>
      </w:pPr>
    </w:p>
    <w:p w14:paraId="2FB7073F">
      <w:pPr>
        <w:tabs>
          <w:tab w:val="left" w:pos="3600"/>
        </w:tabs>
        <w:adjustRightInd w:val="0"/>
        <w:snapToGrid w:val="0"/>
        <w:jc w:val="left"/>
        <w:rPr>
          <w:color w:val="000000" w:themeColor="text1"/>
          <w:highlight w:val="none"/>
          <w14:textFill>
            <w14:solidFill>
              <w14:schemeClr w14:val="tx1"/>
            </w14:solidFill>
          </w14:textFill>
        </w:rPr>
      </w:pPr>
    </w:p>
    <w:p w14:paraId="1B9DCC10">
      <w:pPr>
        <w:tabs>
          <w:tab w:val="left" w:pos="3600"/>
        </w:tabs>
        <w:adjustRightInd w:val="0"/>
        <w:snapToGrid w:val="0"/>
        <w:jc w:val="left"/>
        <w:rPr>
          <w:color w:val="000000" w:themeColor="text1"/>
          <w:highlight w:val="none"/>
          <w14:textFill>
            <w14:solidFill>
              <w14:schemeClr w14:val="tx1"/>
            </w14:solidFill>
          </w14:textFill>
        </w:rPr>
      </w:pPr>
    </w:p>
    <w:p w14:paraId="0FAA42EE">
      <w:pPr>
        <w:tabs>
          <w:tab w:val="left" w:pos="3600"/>
        </w:tabs>
        <w:adjustRightInd w:val="0"/>
        <w:snapToGrid w:val="0"/>
        <w:jc w:val="left"/>
        <w:rPr>
          <w:color w:val="000000" w:themeColor="text1"/>
          <w:highlight w:val="none"/>
          <w14:textFill>
            <w14:solidFill>
              <w14:schemeClr w14:val="tx1"/>
            </w14:solidFill>
          </w14:textFill>
        </w:rPr>
      </w:pPr>
    </w:p>
    <w:p w14:paraId="11D65205">
      <w:pPr>
        <w:tabs>
          <w:tab w:val="left" w:pos="3600"/>
        </w:tabs>
        <w:adjustRightInd w:val="0"/>
        <w:snapToGrid w:val="0"/>
        <w:jc w:val="left"/>
        <w:rPr>
          <w:color w:val="000000" w:themeColor="text1"/>
          <w:highlight w:val="none"/>
          <w14:textFill>
            <w14:solidFill>
              <w14:schemeClr w14:val="tx1"/>
            </w14:solidFill>
          </w14:textFill>
        </w:rPr>
      </w:pPr>
    </w:p>
    <w:p w14:paraId="66154E13">
      <w:pPr>
        <w:tabs>
          <w:tab w:val="left" w:pos="3600"/>
        </w:tabs>
        <w:adjustRightInd w:val="0"/>
        <w:snapToGrid w:val="0"/>
        <w:jc w:val="left"/>
        <w:rPr>
          <w:color w:val="000000" w:themeColor="text1"/>
          <w:highlight w:val="none"/>
          <w14:textFill>
            <w14:solidFill>
              <w14:schemeClr w14:val="tx1"/>
            </w14:solidFill>
          </w14:textFill>
        </w:rPr>
      </w:pPr>
    </w:p>
    <w:p w14:paraId="5A611AF3">
      <w:pPr>
        <w:pStyle w:val="63"/>
        <w:spacing w:line="400" w:lineRule="exact"/>
        <w:jc w:val="left"/>
        <w:rPr>
          <w:rFonts w:hint="eastAsia" w:ascii="宋体" w:hAnsi="宋体"/>
          <w:color w:val="000000" w:themeColor="text1"/>
          <w:sz w:val="24"/>
          <w:szCs w:val="24"/>
          <w:highlight w:val="none"/>
          <w14:textFill>
            <w14:solidFill>
              <w14:schemeClr w14:val="tx1"/>
            </w14:solidFill>
          </w14:textFill>
        </w:rPr>
      </w:pPr>
    </w:p>
    <w:p w14:paraId="5A53B345">
      <w:pPr>
        <w:pStyle w:val="63"/>
        <w:spacing w:line="400" w:lineRule="exact"/>
        <w:jc w:val="left"/>
        <w:rPr>
          <w:rFonts w:hint="eastAsia" w:ascii="宋体" w:hAnsi="宋体"/>
          <w:color w:val="000000" w:themeColor="text1"/>
          <w:sz w:val="24"/>
          <w:szCs w:val="24"/>
          <w:highlight w:val="none"/>
          <w14:textFill>
            <w14:solidFill>
              <w14:schemeClr w14:val="tx1"/>
            </w14:solidFill>
          </w14:textFill>
        </w:rPr>
      </w:pPr>
    </w:p>
    <w:p w14:paraId="5811337C">
      <w:pPr>
        <w:pStyle w:val="63"/>
        <w:spacing w:line="400" w:lineRule="exact"/>
        <w:jc w:val="center"/>
        <w:outlineLvl w:val="0"/>
        <w:rPr>
          <w:rFonts w:hint="eastAsia" w:ascii="楷体" w:hAnsi="楷体" w:eastAsia="楷体"/>
          <w:color w:val="000000" w:themeColor="text1"/>
          <w:highlight w:val="none"/>
          <w14:textFill>
            <w14:solidFill>
              <w14:schemeClr w14:val="tx1"/>
            </w14:solidFill>
          </w14:textFill>
        </w:rPr>
      </w:pPr>
      <w:bookmarkStart w:id="1135" w:name="_Toc1028356629"/>
      <w:bookmarkStart w:id="1136" w:name="_Toc9011"/>
      <w:r>
        <w:rPr>
          <w:rFonts w:hint="eastAsia" w:ascii="楷体" w:hAnsi="楷体" w:eastAsia="楷体"/>
          <w:color w:val="000000" w:themeColor="text1"/>
          <w:highlight w:val="none"/>
          <w14:textFill>
            <w14:solidFill>
              <w14:schemeClr w14:val="tx1"/>
            </w14:solidFill>
          </w14:textFill>
        </w:rPr>
        <w:t>投标保证金转账凭证</w:t>
      </w:r>
      <w:bookmarkEnd w:id="1135"/>
      <w:bookmarkEnd w:id="1136"/>
    </w:p>
    <w:p w14:paraId="26F0F896">
      <w:pPr>
        <w:pStyle w:val="63"/>
        <w:spacing w:line="400" w:lineRule="exact"/>
        <w:jc w:val="center"/>
        <w:outlineLvl w:val="0"/>
        <w:rPr>
          <w:rFonts w:hint="eastAsia" w:ascii="楷体" w:hAnsi="楷体" w:eastAsia="楷体"/>
          <w:color w:val="000000" w:themeColor="text1"/>
          <w:highlight w:val="none"/>
          <w14:textFill>
            <w14:solidFill>
              <w14:schemeClr w14:val="tx1"/>
            </w14:solidFill>
          </w14:textFill>
        </w:rPr>
      </w:pPr>
      <w:bookmarkStart w:id="1137" w:name="_Toc641472547"/>
      <w:bookmarkStart w:id="1138" w:name="_Toc78"/>
      <w:r>
        <w:rPr>
          <w:rFonts w:hint="eastAsia" w:ascii="楷体" w:hAnsi="楷体" w:eastAsia="楷体"/>
          <w:color w:val="000000" w:themeColor="text1"/>
          <w:highlight w:val="none"/>
          <w14:textFill>
            <w14:solidFill>
              <w14:schemeClr w14:val="tx1"/>
            </w14:solidFill>
          </w14:textFill>
        </w:rPr>
        <w:t>复印件粘贴处</w:t>
      </w:r>
      <w:bookmarkEnd w:id="1137"/>
      <w:bookmarkEnd w:id="1138"/>
    </w:p>
    <w:p w14:paraId="057D527C">
      <w:pPr>
        <w:jc w:val="center"/>
        <w:rPr>
          <w:rFonts w:hint="eastAsia" w:ascii="仿宋_GB2312" w:hAnsi="仿宋_GB2312" w:eastAsia="仿宋_GB2312"/>
          <w:b/>
          <w:bCs/>
          <w:color w:val="000000" w:themeColor="text1"/>
          <w:sz w:val="36"/>
          <w:szCs w:val="36"/>
          <w:highlight w:val="none"/>
          <w14:textFill>
            <w14:solidFill>
              <w14:schemeClr w14:val="tx1"/>
            </w14:solidFill>
          </w14:textFill>
        </w:rPr>
      </w:pPr>
    </w:p>
    <w:p w14:paraId="33D2172B">
      <w:pPr>
        <w:jc w:val="center"/>
        <w:rPr>
          <w:rFonts w:hint="eastAsia" w:ascii="仿宋_GB2312" w:hAnsi="仿宋_GB2312" w:eastAsia="仿宋_GB2312"/>
          <w:b/>
          <w:bCs/>
          <w:color w:val="000000" w:themeColor="text1"/>
          <w:sz w:val="36"/>
          <w:szCs w:val="36"/>
          <w:highlight w:val="none"/>
          <w14:textFill>
            <w14:solidFill>
              <w14:schemeClr w14:val="tx1"/>
            </w14:solidFill>
          </w14:textFill>
        </w:rPr>
      </w:pPr>
    </w:p>
    <w:p w14:paraId="1DCFA856">
      <w:pPr>
        <w:jc w:val="center"/>
        <w:rPr>
          <w:rFonts w:hint="eastAsia" w:ascii="仿宋_GB2312" w:hAnsi="仿宋_GB2312" w:eastAsia="仿宋_GB2312"/>
          <w:b/>
          <w:bCs/>
          <w:color w:val="000000" w:themeColor="text1"/>
          <w:sz w:val="36"/>
          <w:szCs w:val="36"/>
          <w:highlight w:val="none"/>
          <w14:textFill>
            <w14:solidFill>
              <w14:schemeClr w14:val="tx1"/>
            </w14:solidFill>
          </w14:textFill>
        </w:rPr>
      </w:pPr>
    </w:p>
    <w:p w14:paraId="4279AB4E">
      <w:pPr>
        <w:pStyle w:val="7"/>
        <w:spacing w:before="120" w:beforeLines="50" w:after="120" w:afterLines="50"/>
        <w:ind w:firstLine="0"/>
        <w:jc w:val="center"/>
        <w:rPr>
          <w:b/>
          <w:color w:val="000000" w:themeColor="text1"/>
          <w:sz w:val="44"/>
          <w:szCs w:val="44"/>
          <w:highlight w:val="none"/>
          <w14:textFill>
            <w14:solidFill>
              <w14:schemeClr w14:val="tx1"/>
            </w14:solidFill>
          </w14:textFill>
        </w:rPr>
      </w:pPr>
    </w:p>
    <w:p w14:paraId="50ADB4CA">
      <w:pPr>
        <w:pStyle w:val="7"/>
        <w:spacing w:before="120" w:beforeLines="50" w:after="120" w:afterLines="50"/>
        <w:ind w:firstLine="0"/>
        <w:jc w:val="center"/>
        <w:rPr>
          <w:b/>
          <w:color w:val="000000" w:themeColor="text1"/>
          <w:sz w:val="44"/>
          <w:szCs w:val="44"/>
          <w:highlight w:val="none"/>
          <w14:textFill>
            <w14:solidFill>
              <w14:schemeClr w14:val="tx1"/>
            </w14:solidFill>
          </w14:textFill>
        </w:rPr>
      </w:pPr>
    </w:p>
    <w:p w14:paraId="32FD80FA">
      <w:pPr>
        <w:pStyle w:val="7"/>
        <w:spacing w:before="120" w:beforeLines="50" w:after="120" w:afterLines="50"/>
        <w:ind w:firstLine="0"/>
        <w:jc w:val="center"/>
        <w:rPr>
          <w:b/>
          <w:color w:val="000000" w:themeColor="text1"/>
          <w:sz w:val="44"/>
          <w:szCs w:val="44"/>
          <w:highlight w:val="none"/>
          <w14:textFill>
            <w14:solidFill>
              <w14:schemeClr w14:val="tx1"/>
            </w14:solidFill>
          </w14:textFill>
        </w:rPr>
      </w:pPr>
    </w:p>
    <w:p w14:paraId="4249B742">
      <w:pPr>
        <w:pStyle w:val="7"/>
        <w:spacing w:before="120" w:beforeLines="50" w:after="120" w:afterLines="50"/>
        <w:ind w:firstLine="0"/>
        <w:jc w:val="center"/>
        <w:rPr>
          <w:b/>
          <w:color w:val="000000" w:themeColor="text1"/>
          <w:sz w:val="44"/>
          <w:szCs w:val="44"/>
          <w:highlight w:val="none"/>
          <w14:textFill>
            <w14:solidFill>
              <w14:schemeClr w14:val="tx1"/>
            </w14:solidFill>
          </w14:textFill>
        </w:rPr>
      </w:pPr>
    </w:p>
    <w:p w14:paraId="210840E9">
      <w:pPr>
        <w:pStyle w:val="7"/>
        <w:spacing w:before="120" w:beforeLines="50" w:after="120" w:afterLines="50"/>
        <w:ind w:firstLine="0"/>
        <w:jc w:val="center"/>
        <w:rPr>
          <w:b/>
          <w:color w:val="000000" w:themeColor="text1"/>
          <w:sz w:val="44"/>
          <w:szCs w:val="44"/>
          <w:highlight w:val="none"/>
          <w14:textFill>
            <w14:solidFill>
              <w14:schemeClr w14:val="tx1"/>
            </w14:solidFill>
          </w14:textFill>
        </w:rPr>
      </w:pPr>
    </w:p>
    <w:p w14:paraId="54AEEDA1">
      <w:pPr>
        <w:pStyle w:val="7"/>
        <w:spacing w:before="120" w:beforeLines="50" w:after="120" w:afterLines="50"/>
        <w:ind w:firstLine="0"/>
        <w:jc w:val="center"/>
        <w:rPr>
          <w:b/>
          <w:color w:val="000000" w:themeColor="text1"/>
          <w:sz w:val="44"/>
          <w:szCs w:val="44"/>
          <w:highlight w:val="none"/>
          <w14:textFill>
            <w14:solidFill>
              <w14:schemeClr w14:val="tx1"/>
            </w14:solidFill>
          </w14:textFill>
        </w:rPr>
      </w:pPr>
    </w:p>
    <w:p w14:paraId="55DF2229">
      <w:pPr>
        <w:pStyle w:val="7"/>
        <w:spacing w:before="120" w:beforeLines="50" w:after="120" w:afterLines="50"/>
        <w:ind w:firstLine="0"/>
        <w:jc w:val="center"/>
        <w:rPr>
          <w:b/>
          <w:color w:val="000000" w:themeColor="text1"/>
          <w:sz w:val="44"/>
          <w:szCs w:val="44"/>
          <w:highlight w:val="none"/>
          <w14:textFill>
            <w14:solidFill>
              <w14:schemeClr w14:val="tx1"/>
            </w14:solidFill>
          </w14:textFill>
        </w:rPr>
      </w:pPr>
    </w:p>
    <w:p w14:paraId="6C2E7594">
      <w:pPr>
        <w:pStyle w:val="7"/>
        <w:spacing w:before="120" w:beforeLines="50" w:after="120" w:afterLines="50"/>
        <w:ind w:firstLine="0"/>
        <w:jc w:val="center"/>
        <w:rPr>
          <w:b/>
          <w:color w:val="000000" w:themeColor="text1"/>
          <w:sz w:val="44"/>
          <w:szCs w:val="44"/>
          <w:highlight w:val="none"/>
          <w14:textFill>
            <w14:solidFill>
              <w14:schemeClr w14:val="tx1"/>
            </w14:solidFill>
          </w14:textFill>
        </w:rPr>
      </w:pPr>
    </w:p>
    <w:p w14:paraId="4D61A42E">
      <w:pPr>
        <w:tabs>
          <w:tab w:val="left" w:pos="3600"/>
        </w:tabs>
        <w:adjustRightInd w:val="0"/>
        <w:snapToGrid w:val="0"/>
        <w:ind w:firstLine="1080" w:firstLineChars="450"/>
        <w:rPr>
          <w:rFonts w:hint="eastAsia" w:ascii="仿宋_GB2312" w:hAnsi="宋体" w:eastAsia="仿宋_GB2312"/>
          <w:color w:val="000000" w:themeColor="text1"/>
          <w:sz w:val="24"/>
          <w:highlight w:val="none"/>
          <w14:textFill>
            <w14:solidFill>
              <w14:schemeClr w14:val="tx1"/>
            </w14:solidFill>
          </w14:textFill>
        </w:rPr>
      </w:pPr>
    </w:p>
    <w:p w14:paraId="35E44477">
      <w:pPr>
        <w:rPr>
          <w:rFonts w:hint="eastAsia" w:ascii="黑体" w:hAnsi="宋体" w:eastAsia="黑体"/>
          <w:bCs/>
          <w:color w:val="000000" w:themeColor="text1"/>
          <w:sz w:val="28"/>
          <w:szCs w:val="28"/>
          <w:highlight w:val="none"/>
          <w14:textFill>
            <w14:solidFill>
              <w14:schemeClr w14:val="tx1"/>
            </w14:solidFill>
          </w14:textFill>
        </w:rPr>
      </w:pPr>
      <w:bookmarkStart w:id="1139" w:name="_Toc861189489"/>
      <w:r>
        <w:rPr>
          <w:rFonts w:hint="eastAsia" w:ascii="黑体" w:hAnsi="宋体" w:eastAsia="黑体"/>
          <w:bCs/>
          <w:color w:val="000000" w:themeColor="text1"/>
          <w:sz w:val="28"/>
          <w:szCs w:val="28"/>
          <w:highlight w:val="none"/>
          <w14:textFill>
            <w14:solidFill>
              <w14:schemeClr w14:val="tx1"/>
            </w14:solidFill>
          </w14:textFill>
        </w:rPr>
        <w:br w:type="page"/>
      </w:r>
    </w:p>
    <w:p w14:paraId="11235536">
      <w:pPr>
        <w:spacing w:after="120" w:afterLines="50" w:line="360" w:lineRule="auto"/>
        <w:outlineLvl w:val="0"/>
        <w:rPr>
          <w:rFonts w:hint="eastAsia" w:ascii="黑体" w:hAnsi="宋体" w:eastAsia="黑体"/>
          <w:bCs/>
          <w:color w:val="000000" w:themeColor="text1"/>
          <w:sz w:val="28"/>
          <w:szCs w:val="28"/>
          <w:highlight w:val="none"/>
          <w14:textFill>
            <w14:solidFill>
              <w14:schemeClr w14:val="tx1"/>
            </w14:solidFill>
          </w14:textFill>
        </w:rPr>
      </w:pPr>
      <w:bookmarkStart w:id="1140" w:name="_Toc12011"/>
      <w:r>
        <w:rPr>
          <w:rFonts w:hint="eastAsia" w:ascii="黑体" w:hAnsi="宋体" w:eastAsia="黑体"/>
          <w:bCs/>
          <w:color w:val="000000" w:themeColor="text1"/>
          <w:sz w:val="28"/>
          <w:szCs w:val="28"/>
          <w:highlight w:val="none"/>
          <w14:textFill>
            <w14:solidFill>
              <w14:schemeClr w14:val="tx1"/>
            </w14:solidFill>
          </w14:textFill>
        </w:rPr>
        <w:t>附件</w:t>
      </w:r>
      <w:r>
        <w:rPr>
          <w:rFonts w:ascii="黑体" w:hAnsi="宋体" w:eastAsia="黑体"/>
          <w:bCs/>
          <w:color w:val="000000" w:themeColor="text1"/>
          <w:sz w:val="28"/>
          <w:szCs w:val="28"/>
          <w:highlight w:val="none"/>
          <w14:textFill>
            <w14:solidFill>
              <w14:schemeClr w14:val="tx1"/>
            </w14:solidFill>
          </w14:textFill>
        </w:rPr>
        <w:t>5</w:t>
      </w:r>
      <w:r>
        <w:rPr>
          <w:rFonts w:hint="eastAsia" w:ascii="黑体" w:hAnsi="宋体" w:eastAsia="黑体"/>
          <w:bCs/>
          <w:color w:val="000000" w:themeColor="text1"/>
          <w:sz w:val="28"/>
          <w:szCs w:val="28"/>
          <w:highlight w:val="none"/>
          <w14:textFill>
            <w14:solidFill>
              <w14:schemeClr w14:val="tx1"/>
            </w14:solidFill>
          </w14:textFill>
        </w:rPr>
        <w:t>：</w:t>
      </w:r>
      <w:bookmarkEnd w:id="1139"/>
      <w:bookmarkEnd w:id="1140"/>
    </w:p>
    <w:p w14:paraId="1388B324">
      <w:pPr>
        <w:spacing w:after="240" w:afterLines="100" w:line="360" w:lineRule="auto"/>
        <w:rPr>
          <w:rFonts w:hint="eastAsia" w:ascii="黑体" w:hAnsi="宋体" w:eastAsia="黑体"/>
          <w:bCs/>
          <w:color w:val="000000" w:themeColor="text1"/>
          <w:sz w:val="36"/>
          <w:szCs w:val="36"/>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t xml:space="preserve">             </w:t>
      </w:r>
      <w:r>
        <w:rPr>
          <w:rFonts w:hint="eastAsia" w:ascii="黑体" w:hAnsi="宋体" w:eastAsia="黑体"/>
          <w:bCs/>
          <w:color w:val="000000" w:themeColor="text1"/>
          <w:sz w:val="36"/>
          <w:szCs w:val="36"/>
          <w:highlight w:val="none"/>
          <w14:textFill>
            <w14:solidFill>
              <w14:schemeClr w14:val="tx1"/>
            </w14:solidFill>
          </w14:textFill>
        </w:rPr>
        <w:t xml:space="preserve"> 提供投标人基本存款账户开户证明</w:t>
      </w:r>
    </w:p>
    <w:p w14:paraId="7E4D1A3B">
      <w:pPr>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说明：</w:t>
      </w:r>
    </w:p>
    <w:p w14:paraId="6EF44570">
      <w:pPr>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（1）投标人在国家取消基本存款账户开户行政许可之前成立的，提供基本存款账户开户许可证复印件；</w:t>
      </w:r>
    </w:p>
    <w:p w14:paraId="2C18CB35">
      <w:pPr>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（2）投标人在国家取消基本存款账户开户行政许可之后成立的</w:t>
      </w:r>
      <w:r>
        <w:rPr>
          <w:rFonts w:ascii="宋体" w:hAnsi="宋体"/>
          <w:bC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提供基本存款账户信息。</w:t>
      </w:r>
    </w:p>
    <w:p w14:paraId="4E386AEC">
      <w:pPr>
        <w:spacing w:line="360" w:lineRule="auto"/>
        <w:rPr>
          <w:rFonts w:hint="eastAsia" w:ascii="宋体" w:hAnsi="宋体"/>
          <w:bCs/>
          <w:color w:val="000000" w:themeColor="text1"/>
          <w:szCs w:val="21"/>
          <w:highlight w:val="none"/>
          <w14:textFill>
            <w14:solidFill>
              <w14:schemeClr w14:val="tx1"/>
            </w14:solidFill>
          </w14:textFill>
        </w:rPr>
      </w:pPr>
    </w:p>
    <w:p w14:paraId="656AC230">
      <w:pPr>
        <w:spacing w:line="360" w:lineRule="auto"/>
        <w:rPr>
          <w:rFonts w:hint="eastAsia" w:ascii="宋体" w:hAnsi="宋体"/>
          <w:bCs/>
          <w:color w:val="000000" w:themeColor="text1"/>
          <w:szCs w:val="21"/>
          <w:highlight w:val="none"/>
          <w14:textFill>
            <w14:solidFill>
              <w14:schemeClr w14:val="tx1"/>
            </w14:solidFill>
          </w14:textFill>
        </w:rPr>
      </w:pPr>
    </w:p>
    <w:p w14:paraId="4BA89F34">
      <w:pPr>
        <w:spacing w:line="360" w:lineRule="auto"/>
        <w:rPr>
          <w:rFonts w:hint="eastAsia" w:ascii="宋体" w:hAnsi="宋体"/>
          <w:bCs/>
          <w:color w:val="000000" w:themeColor="text1"/>
          <w:szCs w:val="21"/>
          <w:highlight w:val="none"/>
          <w14:textFill>
            <w14:solidFill>
              <w14:schemeClr w14:val="tx1"/>
            </w14:solidFill>
          </w14:textFill>
        </w:rPr>
      </w:pPr>
    </w:p>
    <w:p w14:paraId="1EF059B8">
      <w:pPr>
        <w:spacing w:line="360" w:lineRule="auto"/>
        <w:rPr>
          <w:rFonts w:hint="eastAsia" w:ascii="宋体" w:hAnsi="宋体"/>
          <w:bCs/>
          <w:color w:val="000000" w:themeColor="text1"/>
          <w:szCs w:val="21"/>
          <w:highlight w:val="none"/>
          <w14:textFill>
            <w14:solidFill>
              <w14:schemeClr w14:val="tx1"/>
            </w14:solidFill>
          </w14:textFill>
        </w:rPr>
      </w:pPr>
    </w:p>
    <w:p w14:paraId="05AEBACB">
      <w:pPr>
        <w:spacing w:line="360" w:lineRule="auto"/>
        <w:rPr>
          <w:rFonts w:hint="eastAsia" w:ascii="宋体" w:hAnsi="宋体"/>
          <w:bCs/>
          <w:color w:val="000000" w:themeColor="text1"/>
          <w:szCs w:val="21"/>
          <w:highlight w:val="none"/>
          <w14:textFill>
            <w14:solidFill>
              <w14:schemeClr w14:val="tx1"/>
            </w14:solidFill>
          </w14:textFill>
        </w:rPr>
      </w:pPr>
    </w:p>
    <w:p w14:paraId="1B40B426">
      <w:pPr>
        <w:spacing w:line="360" w:lineRule="auto"/>
        <w:rPr>
          <w:rFonts w:hint="eastAsia" w:ascii="宋体" w:hAnsi="宋体"/>
          <w:bCs/>
          <w:color w:val="000000" w:themeColor="text1"/>
          <w:szCs w:val="21"/>
          <w:highlight w:val="none"/>
          <w14:textFill>
            <w14:solidFill>
              <w14:schemeClr w14:val="tx1"/>
            </w14:solidFill>
          </w14:textFill>
        </w:rPr>
      </w:pPr>
    </w:p>
    <w:p w14:paraId="1C4BC456">
      <w:pPr>
        <w:spacing w:line="360" w:lineRule="auto"/>
        <w:rPr>
          <w:rFonts w:hint="eastAsia" w:ascii="宋体" w:hAnsi="宋体"/>
          <w:bCs/>
          <w:color w:val="000000" w:themeColor="text1"/>
          <w:szCs w:val="21"/>
          <w:highlight w:val="none"/>
          <w14:textFill>
            <w14:solidFill>
              <w14:schemeClr w14:val="tx1"/>
            </w14:solidFill>
          </w14:textFill>
        </w:rPr>
      </w:pPr>
    </w:p>
    <w:p w14:paraId="21B7E95E">
      <w:pPr>
        <w:spacing w:line="360" w:lineRule="auto"/>
        <w:rPr>
          <w:rFonts w:hint="eastAsia" w:ascii="宋体" w:hAnsi="宋体"/>
          <w:bCs/>
          <w:color w:val="000000" w:themeColor="text1"/>
          <w:szCs w:val="21"/>
          <w:highlight w:val="none"/>
          <w14:textFill>
            <w14:solidFill>
              <w14:schemeClr w14:val="tx1"/>
            </w14:solidFill>
          </w14:textFill>
        </w:rPr>
      </w:pPr>
    </w:p>
    <w:p w14:paraId="278071A0">
      <w:pPr>
        <w:spacing w:line="360" w:lineRule="auto"/>
        <w:rPr>
          <w:rFonts w:hint="eastAsia" w:ascii="宋体" w:hAnsi="宋体"/>
          <w:bCs/>
          <w:color w:val="000000" w:themeColor="text1"/>
          <w:szCs w:val="21"/>
          <w:highlight w:val="none"/>
          <w14:textFill>
            <w14:solidFill>
              <w14:schemeClr w14:val="tx1"/>
            </w14:solidFill>
          </w14:textFill>
        </w:rPr>
      </w:pPr>
    </w:p>
    <w:p w14:paraId="0593BCA1">
      <w:pPr>
        <w:spacing w:line="360" w:lineRule="auto"/>
        <w:rPr>
          <w:rFonts w:hint="eastAsia" w:ascii="宋体" w:hAnsi="宋体"/>
          <w:bCs/>
          <w:color w:val="000000" w:themeColor="text1"/>
          <w:szCs w:val="21"/>
          <w:highlight w:val="none"/>
          <w14:textFill>
            <w14:solidFill>
              <w14:schemeClr w14:val="tx1"/>
            </w14:solidFill>
          </w14:textFill>
        </w:rPr>
      </w:pPr>
    </w:p>
    <w:p w14:paraId="0FB81421">
      <w:pPr>
        <w:spacing w:line="360" w:lineRule="auto"/>
        <w:rPr>
          <w:rFonts w:hint="eastAsia" w:ascii="宋体" w:hAnsi="宋体"/>
          <w:bCs/>
          <w:color w:val="000000" w:themeColor="text1"/>
          <w:szCs w:val="21"/>
          <w:highlight w:val="none"/>
          <w14:textFill>
            <w14:solidFill>
              <w14:schemeClr w14:val="tx1"/>
            </w14:solidFill>
          </w14:textFill>
        </w:rPr>
      </w:pPr>
    </w:p>
    <w:p w14:paraId="23E8ECD6">
      <w:pPr>
        <w:spacing w:line="360" w:lineRule="auto"/>
        <w:rPr>
          <w:rFonts w:hint="eastAsia" w:ascii="宋体" w:hAnsi="宋体"/>
          <w:bCs/>
          <w:color w:val="000000" w:themeColor="text1"/>
          <w:szCs w:val="21"/>
          <w:highlight w:val="none"/>
          <w14:textFill>
            <w14:solidFill>
              <w14:schemeClr w14:val="tx1"/>
            </w14:solidFill>
          </w14:textFill>
        </w:rPr>
      </w:pPr>
    </w:p>
    <w:p w14:paraId="39D2A615">
      <w:pPr>
        <w:spacing w:line="360" w:lineRule="auto"/>
        <w:rPr>
          <w:rFonts w:hint="eastAsia" w:ascii="宋体" w:hAnsi="宋体"/>
          <w:bCs/>
          <w:color w:val="000000" w:themeColor="text1"/>
          <w:szCs w:val="21"/>
          <w:highlight w:val="none"/>
          <w14:textFill>
            <w14:solidFill>
              <w14:schemeClr w14:val="tx1"/>
            </w14:solidFill>
          </w14:textFill>
        </w:rPr>
      </w:pPr>
    </w:p>
    <w:p w14:paraId="613A5363">
      <w:pPr>
        <w:spacing w:line="360" w:lineRule="auto"/>
        <w:rPr>
          <w:rFonts w:hint="eastAsia" w:ascii="宋体" w:hAnsi="宋体"/>
          <w:bCs/>
          <w:color w:val="000000" w:themeColor="text1"/>
          <w:szCs w:val="21"/>
          <w:highlight w:val="none"/>
          <w14:textFill>
            <w14:solidFill>
              <w14:schemeClr w14:val="tx1"/>
            </w14:solidFill>
          </w14:textFill>
        </w:rPr>
      </w:pPr>
    </w:p>
    <w:p w14:paraId="159DDC0D">
      <w:pPr>
        <w:spacing w:line="360" w:lineRule="auto"/>
        <w:rPr>
          <w:rFonts w:hint="eastAsia" w:ascii="宋体" w:hAnsi="宋体"/>
          <w:bCs/>
          <w:color w:val="000000" w:themeColor="text1"/>
          <w:szCs w:val="21"/>
          <w:highlight w:val="none"/>
          <w14:textFill>
            <w14:solidFill>
              <w14:schemeClr w14:val="tx1"/>
            </w14:solidFill>
          </w14:textFill>
        </w:rPr>
      </w:pPr>
    </w:p>
    <w:p w14:paraId="640FA574">
      <w:pPr>
        <w:spacing w:line="360" w:lineRule="auto"/>
        <w:rPr>
          <w:rFonts w:hint="eastAsia" w:ascii="宋体" w:hAnsi="宋体"/>
          <w:bCs/>
          <w:color w:val="000000" w:themeColor="text1"/>
          <w:szCs w:val="21"/>
          <w:highlight w:val="none"/>
          <w14:textFill>
            <w14:solidFill>
              <w14:schemeClr w14:val="tx1"/>
            </w14:solidFill>
          </w14:textFill>
        </w:rPr>
      </w:pPr>
    </w:p>
    <w:p w14:paraId="474B3EF6">
      <w:pPr>
        <w:spacing w:line="360" w:lineRule="auto"/>
        <w:rPr>
          <w:rFonts w:hint="eastAsia" w:ascii="宋体" w:hAnsi="宋体"/>
          <w:bCs/>
          <w:color w:val="000000" w:themeColor="text1"/>
          <w:szCs w:val="21"/>
          <w:highlight w:val="none"/>
          <w14:textFill>
            <w14:solidFill>
              <w14:schemeClr w14:val="tx1"/>
            </w14:solidFill>
          </w14:textFill>
        </w:rPr>
      </w:pPr>
    </w:p>
    <w:p w14:paraId="2CBB4BD2">
      <w:pPr>
        <w:spacing w:line="360" w:lineRule="auto"/>
        <w:rPr>
          <w:rFonts w:hint="eastAsia" w:ascii="宋体" w:hAnsi="宋体"/>
          <w:bCs/>
          <w:color w:val="000000" w:themeColor="text1"/>
          <w:szCs w:val="21"/>
          <w:highlight w:val="none"/>
          <w14:textFill>
            <w14:solidFill>
              <w14:schemeClr w14:val="tx1"/>
            </w14:solidFill>
          </w14:textFill>
        </w:rPr>
      </w:pPr>
    </w:p>
    <w:p w14:paraId="285872B5">
      <w:pPr>
        <w:spacing w:line="360" w:lineRule="auto"/>
        <w:rPr>
          <w:rFonts w:hint="eastAsia" w:ascii="宋体" w:hAnsi="宋体"/>
          <w:bCs/>
          <w:color w:val="000000" w:themeColor="text1"/>
          <w:szCs w:val="21"/>
          <w:highlight w:val="none"/>
          <w14:textFill>
            <w14:solidFill>
              <w14:schemeClr w14:val="tx1"/>
            </w14:solidFill>
          </w14:textFill>
        </w:rPr>
      </w:pPr>
    </w:p>
    <w:p w14:paraId="6435652A">
      <w:pPr>
        <w:spacing w:line="360" w:lineRule="auto"/>
        <w:rPr>
          <w:rFonts w:hint="eastAsia" w:ascii="宋体" w:hAnsi="宋体"/>
          <w:bCs/>
          <w:color w:val="000000" w:themeColor="text1"/>
          <w:szCs w:val="21"/>
          <w:highlight w:val="none"/>
          <w14:textFill>
            <w14:solidFill>
              <w14:schemeClr w14:val="tx1"/>
            </w14:solidFill>
          </w14:textFill>
        </w:rPr>
      </w:pPr>
    </w:p>
    <w:p w14:paraId="6F76ED2C">
      <w:pPr>
        <w:spacing w:line="360" w:lineRule="auto"/>
        <w:rPr>
          <w:rFonts w:hint="eastAsia" w:ascii="宋体" w:hAnsi="宋体"/>
          <w:bCs/>
          <w:color w:val="000000" w:themeColor="text1"/>
          <w:szCs w:val="21"/>
          <w:highlight w:val="none"/>
          <w14:textFill>
            <w14:solidFill>
              <w14:schemeClr w14:val="tx1"/>
            </w14:solidFill>
          </w14:textFill>
        </w:rPr>
      </w:pPr>
    </w:p>
    <w:p w14:paraId="4075A6EC">
      <w:pPr>
        <w:spacing w:line="360" w:lineRule="auto"/>
        <w:rPr>
          <w:rFonts w:hint="eastAsia" w:ascii="宋体" w:hAnsi="宋体"/>
          <w:bCs/>
          <w:color w:val="000000" w:themeColor="text1"/>
          <w:szCs w:val="21"/>
          <w:highlight w:val="none"/>
          <w14:textFill>
            <w14:solidFill>
              <w14:schemeClr w14:val="tx1"/>
            </w14:solidFill>
          </w14:textFill>
        </w:rPr>
      </w:pPr>
    </w:p>
    <w:p w14:paraId="7C9181F9">
      <w:pPr>
        <w:spacing w:line="360" w:lineRule="auto"/>
        <w:rPr>
          <w:rFonts w:hint="eastAsia" w:ascii="宋体" w:hAnsi="宋体"/>
          <w:bCs/>
          <w:color w:val="000000" w:themeColor="text1"/>
          <w:szCs w:val="21"/>
          <w:highlight w:val="none"/>
          <w14:textFill>
            <w14:solidFill>
              <w14:schemeClr w14:val="tx1"/>
            </w14:solidFill>
          </w14:textFill>
        </w:rPr>
      </w:pPr>
    </w:p>
    <w:p w14:paraId="75343047">
      <w:pPr>
        <w:spacing w:line="360" w:lineRule="auto"/>
        <w:rPr>
          <w:rFonts w:hint="eastAsia" w:ascii="宋体" w:hAnsi="宋体"/>
          <w:bCs/>
          <w:color w:val="000000" w:themeColor="text1"/>
          <w:szCs w:val="21"/>
          <w:highlight w:val="none"/>
          <w14:textFill>
            <w14:solidFill>
              <w14:schemeClr w14:val="tx1"/>
            </w14:solidFill>
          </w14:textFill>
        </w:rPr>
      </w:pPr>
    </w:p>
    <w:p w14:paraId="6E2D19B0">
      <w:pPr>
        <w:spacing w:line="360" w:lineRule="auto"/>
        <w:rPr>
          <w:rFonts w:hint="eastAsia" w:ascii="宋体" w:hAnsi="宋体"/>
          <w:bCs/>
          <w:color w:val="000000" w:themeColor="text1"/>
          <w:szCs w:val="21"/>
          <w:highlight w:val="none"/>
          <w14:textFill>
            <w14:solidFill>
              <w14:schemeClr w14:val="tx1"/>
            </w14:solidFill>
          </w14:textFill>
        </w:rPr>
      </w:pPr>
    </w:p>
    <w:p w14:paraId="533F658E">
      <w:pPr>
        <w:spacing w:line="360" w:lineRule="auto"/>
        <w:rPr>
          <w:rFonts w:hint="eastAsia" w:ascii="宋体" w:hAnsi="宋体"/>
          <w:bCs/>
          <w:color w:val="000000" w:themeColor="text1"/>
          <w:szCs w:val="21"/>
          <w:highlight w:val="none"/>
          <w14:textFill>
            <w14:solidFill>
              <w14:schemeClr w14:val="tx1"/>
            </w14:solidFill>
          </w14:textFill>
        </w:rPr>
      </w:pPr>
    </w:p>
    <w:p w14:paraId="4227D2BA">
      <w:pPr>
        <w:spacing w:line="400" w:lineRule="exact"/>
        <w:ind w:right="840"/>
        <w:jc w:val="right"/>
        <w:outlineLvl w:val="1"/>
        <w:rPr>
          <w:rFonts w:ascii="仿宋_GB2312" w:eastAsia="仿宋_GB2312"/>
          <w:b/>
          <w:bCs/>
          <w:color w:val="000000" w:themeColor="text1"/>
          <w:sz w:val="24"/>
          <w:szCs w:val="36"/>
          <w:highlight w:val="none"/>
          <w14:textFill>
            <w14:solidFill>
              <w14:schemeClr w14:val="tx1"/>
            </w14:solidFill>
          </w14:textFill>
        </w:rPr>
      </w:pPr>
      <w:r>
        <w:rPr>
          <w:rFonts w:hint="eastAsia" w:ascii="宋体" w:hAnsi="宋体"/>
          <w:b/>
          <w:bCs/>
          <w:color w:val="000000" w:themeColor="text1"/>
          <w:sz w:val="24"/>
          <w:szCs w:val="36"/>
          <w:highlight w:val="none"/>
          <w14:textFill>
            <w14:solidFill>
              <w14:schemeClr w14:val="tx1"/>
            </w14:solidFill>
          </w14:textFill>
        </w:rPr>
        <w:t>正本/副本</w:t>
      </w:r>
    </w:p>
    <w:p w14:paraId="0CCBF0C1">
      <w:pPr>
        <w:spacing w:before="120" w:after="120" w:line="400" w:lineRule="exact"/>
        <w:outlineLvl w:val="1"/>
        <w:rPr>
          <w:rFonts w:hint="eastAsia" w:ascii="宋体" w:hAnsi="宋体"/>
          <w:b/>
          <w:bCs/>
          <w:color w:val="000000" w:themeColor="text1"/>
          <w:sz w:val="24"/>
          <w:szCs w:val="36"/>
          <w:highlight w:val="none"/>
          <w14:textFill>
            <w14:solidFill>
              <w14:schemeClr w14:val="tx1"/>
            </w14:solidFill>
          </w14:textFill>
        </w:rPr>
      </w:pPr>
      <w:r>
        <w:rPr>
          <w:rFonts w:hint="eastAsia" w:ascii="宋体" w:hAnsi="宋体"/>
          <w:b/>
          <w:bCs/>
          <w:color w:val="000000" w:themeColor="text1"/>
          <w:sz w:val="24"/>
          <w:szCs w:val="36"/>
          <w:highlight w:val="none"/>
          <w14:textFill>
            <w14:solidFill>
              <w14:schemeClr w14:val="tx1"/>
            </w14:solidFill>
          </w14:textFill>
        </w:rPr>
        <w:t>政府采购项目</w:t>
      </w:r>
    </w:p>
    <w:p w14:paraId="06DFE506">
      <w:pPr>
        <w:spacing w:before="120" w:after="120" w:line="400" w:lineRule="exact"/>
        <w:outlineLvl w:val="1"/>
        <w:rPr>
          <w:rFonts w:hint="eastAsia" w:ascii="宋体" w:hAnsi="宋体"/>
          <w:b/>
          <w:bCs/>
          <w:color w:val="000000" w:themeColor="text1"/>
          <w:sz w:val="24"/>
          <w:szCs w:val="36"/>
          <w:highlight w:val="none"/>
          <w14:textFill>
            <w14:solidFill>
              <w14:schemeClr w14:val="tx1"/>
            </w14:solidFill>
          </w14:textFill>
        </w:rPr>
      </w:pPr>
      <w:r>
        <w:rPr>
          <w:rFonts w:hint="eastAsia" w:ascii="宋体" w:hAnsi="宋体"/>
          <w:b/>
          <w:bCs/>
          <w:color w:val="000000" w:themeColor="text1"/>
          <w:sz w:val="24"/>
          <w:szCs w:val="36"/>
          <w:highlight w:val="none"/>
          <w14:textFill>
            <w14:solidFill>
              <w14:schemeClr w14:val="tx1"/>
            </w14:solidFill>
          </w14:textFill>
        </w:rPr>
        <w:t>采购项目编号：SXLX26-01-043Z(G)</w:t>
      </w:r>
    </w:p>
    <w:p w14:paraId="5661C08A">
      <w:pPr>
        <w:spacing w:line="400" w:lineRule="exact"/>
        <w:jc w:val="left"/>
        <w:rPr>
          <w:rFonts w:ascii="仿宋_GB2312" w:eastAsia="仿宋_GB2312"/>
          <w:color w:val="000000" w:themeColor="text1"/>
          <w:szCs w:val="28"/>
          <w:highlight w:val="none"/>
          <w14:textFill>
            <w14:solidFill>
              <w14:schemeClr w14:val="tx1"/>
            </w14:solidFill>
          </w14:textFill>
        </w:rPr>
      </w:pPr>
    </w:p>
    <w:p w14:paraId="7F245229">
      <w:pPr>
        <w:jc w:val="center"/>
        <w:rPr>
          <w:rFonts w:hint="eastAsia" w:ascii="方正小标宋简体" w:hAnsi="宋体" w:eastAsia="方正小标宋简体"/>
          <w:color w:val="000000" w:themeColor="text1"/>
          <w:sz w:val="52"/>
          <w:szCs w:val="52"/>
          <w:highlight w:val="none"/>
          <w14:textFill>
            <w14:solidFill>
              <w14:schemeClr w14:val="tx1"/>
            </w14:solidFill>
          </w14:textFill>
        </w:rPr>
      </w:pPr>
    </w:p>
    <w:p w14:paraId="2F70DB8B">
      <w:pPr>
        <w:spacing w:line="360" w:lineRule="auto"/>
        <w:jc w:val="center"/>
        <w:rPr>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52"/>
          <w:szCs w:val="52"/>
          <w:highlight w:val="none"/>
          <w14:textFill>
            <w14:solidFill>
              <w14:schemeClr w14:val="tx1"/>
            </w14:solidFill>
          </w14:textFill>
        </w:rPr>
        <w:t>陕西测绘地理信息局既有住宅加装电梯项目（三期）首批工程</w:t>
      </w:r>
    </w:p>
    <w:p w14:paraId="17A325A9">
      <w:pPr>
        <w:spacing w:line="680" w:lineRule="exact"/>
        <w:jc w:val="center"/>
        <w:rPr>
          <w:rFonts w:hint="eastAsia" w:asciiTheme="minorEastAsia" w:hAnsiTheme="minorEastAsia" w:eastAsiaTheme="minorEastAsia" w:cstheme="minorEastAsia"/>
          <w:color w:val="000000" w:themeColor="text1"/>
          <w:sz w:val="56"/>
          <w:szCs w:val="56"/>
          <w:highlight w:val="none"/>
          <w14:textFill>
            <w14:solidFill>
              <w14:schemeClr w14:val="tx1"/>
            </w14:solidFill>
          </w14:textFill>
        </w:rPr>
      </w:pPr>
      <w:r>
        <w:rPr>
          <w:rFonts w:hint="eastAsia" w:ascii="宋体" w:hAnsi="宋体"/>
          <w:color w:val="000000" w:themeColor="text1"/>
          <w:kern w:val="0"/>
          <w:sz w:val="28"/>
          <w:szCs w:val="28"/>
          <w:highlight w:val="none"/>
          <w14:textFill>
            <w14:solidFill>
              <w14:schemeClr w14:val="tx1"/>
            </w14:solidFill>
          </w14:textFill>
        </w:rPr>
        <w:t>（7号楼3单元、30号楼2单元、29号楼5、6单元）</w:t>
      </w:r>
    </w:p>
    <w:p w14:paraId="68E886C7">
      <w:pPr>
        <w:spacing w:line="400" w:lineRule="exact"/>
        <w:jc w:val="left"/>
        <w:rPr>
          <w:rFonts w:hint="eastAsia" w:ascii="宋体" w:hAnsi="宋体"/>
          <w:color w:val="000000" w:themeColor="text1"/>
          <w:sz w:val="44"/>
          <w:szCs w:val="44"/>
          <w:highlight w:val="none"/>
          <w14:textFill>
            <w14:solidFill>
              <w14:schemeClr w14:val="tx1"/>
            </w14:solidFill>
          </w14:textFill>
        </w:rPr>
      </w:pPr>
    </w:p>
    <w:p w14:paraId="3B877DF3">
      <w:pPr>
        <w:pStyle w:val="7"/>
        <w:rPr>
          <w:color w:val="000000" w:themeColor="text1"/>
          <w:highlight w:val="none"/>
          <w14:textFill>
            <w14:solidFill>
              <w14:schemeClr w14:val="tx1"/>
            </w14:solidFill>
          </w14:textFill>
        </w:rPr>
      </w:pPr>
    </w:p>
    <w:p w14:paraId="57F79E34">
      <w:pPr>
        <w:pStyle w:val="7"/>
        <w:rPr>
          <w:rFonts w:hint="eastAsia" w:asciiTheme="minorEastAsia" w:hAnsiTheme="minorEastAsia" w:eastAsiaTheme="minorEastAsia" w:cstheme="minorEastAsia"/>
          <w:color w:val="000000" w:themeColor="text1"/>
          <w:sz w:val="56"/>
          <w:szCs w:val="56"/>
          <w:highlight w:val="none"/>
          <w14:textFill>
            <w14:solidFill>
              <w14:schemeClr w14:val="tx1"/>
            </w14:solidFill>
          </w14:textFill>
        </w:rPr>
      </w:pPr>
    </w:p>
    <w:p w14:paraId="517D234E">
      <w:pPr>
        <w:spacing w:line="900" w:lineRule="exact"/>
        <w:jc w:val="center"/>
        <w:rPr>
          <w:color w:val="000000" w:themeColor="text1"/>
          <w:sz w:val="32"/>
          <w:szCs w:val="32"/>
          <w:highlight w:val="none"/>
          <w14:textFill>
            <w14:solidFill>
              <w14:schemeClr w14:val="tx1"/>
            </w14:solidFill>
          </w14:textFill>
        </w:rPr>
      </w:pPr>
      <w:r>
        <w:rPr>
          <w:rFonts w:hint="eastAsia" w:ascii="方正小标宋简体" w:hAnsi="宋体" w:eastAsia="方正小标宋简体"/>
          <w:color w:val="000000" w:themeColor="text1"/>
          <w:sz w:val="84"/>
          <w:szCs w:val="84"/>
          <w:highlight w:val="none"/>
          <w14:textFill>
            <w14:solidFill>
              <w14:schemeClr w14:val="tx1"/>
            </w14:solidFill>
          </w14:textFill>
        </w:rPr>
        <w:t>投标文件</w:t>
      </w:r>
      <w:r>
        <w:rPr>
          <w:rFonts w:hint="eastAsia"/>
          <w:color w:val="000000" w:themeColor="text1"/>
          <w:sz w:val="32"/>
          <w:szCs w:val="32"/>
          <w:highlight w:val="none"/>
          <w14:textFill>
            <w14:solidFill>
              <w14:schemeClr w14:val="tx1"/>
            </w14:solidFill>
          </w14:textFill>
        </w:rPr>
        <w:t xml:space="preserve"> </w:t>
      </w:r>
    </w:p>
    <w:p w14:paraId="48C04F30">
      <w:pPr>
        <w:pStyle w:val="7"/>
        <w:ind w:firstLine="0"/>
        <w:jc w:val="center"/>
        <w:outlineLvl w:val="1"/>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（技术文件）</w:t>
      </w:r>
    </w:p>
    <w:p w14:paraId="14AAB4D7">
      <w:pPr>
        <w:pStyle w:val="7"/>
        <w:jc w:val="center"/>
        <w:rPr>
          <w:color w:val="000000" w:themeColor="text1"/>
          <w:sz w:val="28"/>
          <w:szCs w:val="28"/>
          <w:highlight w:val="none"/>
          <w14:textFill>
            <w14:solidFill>
              <w14:schemeClr w14:val="tx1"/>
            </w14:solidFill>
          </w14:textFill>
        </w:rPr>
      </w:pPr>
    </w:p>
    <w:p w14:paraId="73E84BC2">
      <w:pPr>
        <w:pStyle w:val="7"/>
        <w:jc w:val="left"/>
        <w:rPr>
          <w:color w:val="000000" w:themeColor="text1"/>
          <w:sz w:val="28"/>
          <w:szCs w:val="28"/>
          <w:highlight w:val="none"/>
          <w14:textFill>
            <w14:solidFill>
              <w14:schemeClr w14:val="tx1"/>
            </w14:solidFill>
          </w14:textFill>
        </w:rPr>
      </w:pPr>
    </w:p>
    <w:p w14:paraId="31AF3F66">
      <w:pPr>
        <w:pStyle w:val="7"/>
        <w:jc w:val="left"/>
        <w:rPr>
          <w:color w:val="000000" w:themeColor="text1"/>
          <w:sz w:val="28"/>
          <w:szCs w:val="28"/>
          <w:highlight w:val="none"/>
          <w14:textFill>
            <w14:solidFill>
              <w14:schemeClr w14:val="tx1"/>
            </w14:solidFill>
          </w14:textFill>
        </w:rPr>
      </w:pPr>
    </w:p>
    <w:p w14:paraId="2B1FF184">
      <w:pPr>
        <w:pStyle w:val="7"/>
        <w:jc w:val="left"/>
        <w:rPr>
          <w:color w:val="000000" w:themeColor="text1"/>
          <w:sz w:val="28"/>
          <w:szCs w:val="28"/>
          <w:highlight w:val="none"/>
          <w14:textFill>
            <w14:solidFill>
              <w14:schemeClr w14:val="tx1"/>
            </w14:solidFill>
          </w14:textFill>
        </w:rPr>
      </w:pPr>
    </w:p>
    <w:p w14:paraId="0381170B">
      <w:pPr>
        <w:pStyle w:val="7"/>
        <w:spacing w:before="120" w:beforeLines="50"/>
        <w:ind w:firstLine="1630" w:firstLineChars="580"/>
        <w:rPr>
          <w:rFonts w:hint="eastAsia" w:ascii="宋体" w:hAnsi="宋体"/>
          <w:b/>
          <w:color w:val="000000" w:themeColor="text1"/>
          <w:sz w:val="28"/>
          <w:szCs w:val="28"/>
          <w:highlight w:val="none"/>
          <w14:textFill>
            <w14:solidFill>
              <w14:schemeClr w14:val="tx1"/>
            </w14:solidFill>
          </w14:textFill>
        </w:rPr>
      </w:pPr>
    </w:p>
    <w:p w14:paraId="0A5DBC6B">
      <w:pPr>
        <w:pStyle w:val="7"/>
        <w:spacing w:before="120" w:beforeLines="50"/>
        <w:ind w:firstLine="1630" w:firstLineChars="580"/>
        <w:rPr>
          <w:rFonts w:hint="eastAsia" w:ascii="宋体" w:hAnsi="宋体"/>
          <w:b/>
          <w:color w:val="000000" w:themeColor="text1"/>
          <w:sz w:val="28"/>
          <w:szCs w:val="28"/>
          <w:highlight w:val="none"/>
          <w14:textFill>
            <w14:solidFill>
              <w14:schemeClr w14:val="tx1"/>
            </w14:solidFill>
          </w14:textFill>
        </w:rPr>
      </w:pPr>
    </w:p>
    <w:p w14:paraId="491209EC">
      <w:pPr>
        <w:pStyle w:val="7"/>
        <w:spacing w:before="120" w:beforeLines="50" w:line="360" w:lineRule="auto"/>
        <w:ind w:firstLine="1630" w:firstLineChars="580"/>
        <w:outlineLvl w:val="1"/>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投标人：                        </w:t>
      </w:r>
      <w:r>
        <w:rPr>
          <w:rFonts w:hint="eastAsia" w:ascii="宋体" w:hAnsi="宋体"/>
          <w:color w:val="000000" w:themeColor="text1"/>
          <w:sz w:val="28"/>
          <w:szCs w:val="28"/>
          <w:highlight w:val="none"/>
          <w14:textFill>
            <w14:solidFill>
              <w14:schemeClr w14:val="tx1"/>
            </w14:solidFill>
          </w14:textFill>
        </w:rPr>
        <w:t>（盖单位章）</w:t>
      </w:r>
    </w:p>
    <w:p w14:paraId="54136D4A">
      <w:pPr>
        <w:pStyle w:val="7"/>
        <w:spacing w:before="120" w:beforeLines="50" w:line="360" w:lineRule="auto"/>
        <w:ind w:firstLine="1630" w:firstLineChars="580"/>
        <w:outlineLvl w:val="1"/>
        <w:rPr>
          <w:rFonts w:hint="eastAsia" w:ascii="宋体" w:hAnsi="宋体"/>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法定代表人或其委托代理人：       </w:t>
      </w:r>
      <w:r>
        <w:rPr>
          <w:rFonts w:hint="eastAsia" w:ascii="宋体" w:hAnsi="宋体"/>
          <w:color w:val="000000" w:themeColor="text1"/>
          <w:sz w:val="28"/>
          <w:szCs w:val="28"/>
          <w:highlight w:val="none"/>
          <w14:textFill>
            <w14:solidFill>
              <w14:schemeClr w14:val="tx1"/>
            </w14:solidFill>
          </w14:textFill>
        </w:rPr>
        <w:t>（签名）</w:t>
      </w:r>
    </w:p>
    <w:p w14:paraId="08547F76">
      <w:pPr>
        <w:pStyle w:val="7"/>
        <w:spacing w:before="120" w:beforeLines="50" w:line="360" w:lineRule="auto"/>
        <w:ind w:firstLine="1630" w:firstLineChars="580"/>
        <w:outlineLvl w:val="1"/>
        <w:rPr>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时  间：       </w:t>
      </w:r>
      <w:r>
        <w:rPr>
          <w:rFonts w:hint="eastAsia"/>
          <w:color w:val="000000" w:themeColor="text1"/>
          <w:sz w:val="28"/>
          <w:szCs w:val="28"/>
          <w:highlight w:val="none"/>
          <w14:textFill>
            <w14:solidFill>
              <w14:schemeClr w14:val="tx1"/>
            </w14:solidFill>
          </w14:textFill>
        </w:rPr>
        <w:t xml:space="preserve">  年   月   日</w:t>
      </w:r>
    </w:p>
    <w:p w14:paraId="2CAA8199">
      <w:pPr>
        <w:pStyle w:val="7"/>
        <w:spacing w:before="120" w:beforeLines="50" w:after="120" w:afterLines="50"/>
        <w:ind w:firstLine="0"/>
        <w:jc w:val="center"/>
        <w:rPr>
          <w:b/>
          <w:color w:val="000000" w:themeColor="text1"/>
          <w:sz w:val="44"/>
          <w:szCs w:val="44"/>
          <w:highlight w:val="none"/>
          <w14:textFill>
            <w14:solidFill>
              <w14:schemeClr w14:val="tx1"/>
            </w14:solidFill>
          </w14:textFill>
        </w:rPr>
        <w:sectPr>
          <w:pgSz w:w="11907" w:h="16840"/>
          <w:pgMar w:top="1440" w:right="1474" w:bottom="1440" w:left="1474" w:header="851" w:footer="992" w:gutter="0"/>
          <w:cols w:space="720" w:num="1"/>
          <w:titlePg/>
        </w:sectPr>
      </w:pPr>
    </w:p>
    <w:p w14:paraId="243A991C">
      <w:pPr>
        <w:pStyle w:val="7"/>
        <w:spacing w:before="120" w:beforeLines="50" w:line="360" w:lineRule="auto"/>
        <w:ind w:firstLine="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施工</w:t>
      </w:r>
      <w:r>
        <w:rPr>
          <w:rFonts w:hint="eastAsia" w:ascii="宋体"/>
          <w:b/>
          <w:color w:val="000000" w:themeColor="text1"/>
          <w:sz w:val="36"/>
          <w:szCs w:val="36"/>
          <w:highlight w:val="none"/>
          <w14:textFill>
            <w14:solidFill>
              <w14:schemeClr w14:val="tx1"/>
            </w14:solidFill>
          </w14:textFill>
        </w:rPr>
        <w:t>方案</w:t>
      </w:r>
    </w:p>
    <w:p w14:paraId="7710886E">
      <w:pPr>
        <w:adjustRightInd w:val="0"/>
        <w:snapToGrid w:val="0"/>
        <w:spacing w:line="360" w:lineRule="auto"/>
        <w:ind w:right="24" w:firstLine="420" w:firstLineChars="200"/>
        <w:rPr>
          <w:rFonts w:hint="eastAsia" w:ascii="宋体" w:hAnsi="宋体" w:cs="宋体"/>
          <w:color w:val="000000" w:themeColor="text1"/>
          <w:szCs w:val="21"/>
          <w:highlight w:val="none"/>
          <w14:textFill>
            <w14:solidFill>
              <w14:schemeClr w14:val="tx1"/>
            </w14:solidFill>
          </w14:textFill>
        </w:rPr>
      </w:pPr>
    </w:p>
    <w:p w14:paraId="504EEC2E">
      <w:pPr>
        <w:adjustRightInd w:val="0"/>
        <w:snapToGrid w:val="0"/>
        <w:spacing w:line="360" w:lineRule="auto"/>
        <w:ind w:right="24" w:firstLine="420" w:firstLineChars="200"/>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说明：技术文件的编制应根据评标办法和采购需求，做出逐一明确的答复；投标人认为有必要，还可以做</w:t>
      </w:r>
      <w:r>
        <w:rPr>
          <w:rFonts w:hint="eastAsia" w:ascii="宋体" w:hAnsi="宋体" w:cs="宋体"/>
          <w:color w:val="000000" w:themeColor="text1"/>
          <w:szCs w:val="21"/>
          <w:highlight w:val="none"/>
          <w:lang w:eastAsia="zh-CN"/>
          <w14:textFill>
            <w14:solidFill>
              <w14:schemeClr w14:val="tx1"/>
            </w14:solidFill>
          </w14:textFill>
        </w:rPr>
        <w:t>其他</w:t>
      </w:r>
      <w:r>
        <w:rPr>
          <w:rFonts w:hint="eastAsia" w:ascii="宋体" w:hAnsi="宋体" w:cs="宋体"/>
          <w:color w:val="000000" w:themeColor="text1"/>
          <w:szCs w:val="21"/>
          <w:highlight w:val="none"/>
          <w14:textFill>
            <w14:solidFill>
              <w14:schemeClr w14:val="tx1"/>
            </w14:solidFill>
          </w14:textFill>
        </w:rPr>
        <w:t>补充说明。</w:t>
      </w:r>
    </w:p>
    <w:sectPr>
      <w:pgSz w:w="11907" w:h="16840"/>
      <w:pgMar w:top="1440" w:right="1474" w:bottom="1440" w:left="147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AF2CA0B-8940-4BF2-A5FF-D38AC8F32874}"/>
  </w:font>
  <w:font w:name="Arial">
    <w:panose1 w:val="020B0604020202020204"/>
    <w:charset w:val="01"/>
    <w:family w:val="swiss"/>
    <w:pitch w:val="default"/>
    <w:sig w:usb0="E0002EFF" w:usb1="C000785B" w:usb2="00000009" w:usb3="00000000" w:csb0="400001FF" w:csb1="FFFF0000"/>
    <w:embedRegular r:id="rId2" w:fontKey="{286AF2AA-7711-49AA-90F1-FF06D79ABBBB}"/>
  </w:font>
  <w:font w:name="黑体">
    <w:panose1 w:val="02010609060101010101"/>
    <w:charset w:val="86"/>
    <w:family w:val="auto"/>
    <w:pitch w:val="default"/>
    <w:sig w:usb0="800002BF" w:usb1="38CF7CFA" w:usb2="00000016" w:usb3="00000000" w:csb0="00040001" w:csb1="00000000"/>
    <w:embedRegular r:id="rId3" w:fontKey="{777A22E2-7C19-4677-BE4E-A5A4CA386BBA}"/>
  </w:font>
  <w:font w:name="Courier New">
    <w:panose1 w:val="02070309020205020404"/>
    <w:charset w:val="01"/>
    <w:family w:val="modern"/>
    <w:pitch w:val="default"/>
    <w:sig w:usb0="E0002EFF" w:usb1="C0007843" w:usb2="00000009" w:usb3="00000000" w:csb0="400001FF" w:csb1="FFFF0000"/>
    <w:embedRegular r:id="rId4" w:fontKey="{911A9AE3-CED1-41E0-90C5-863D2E014B4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5" w:fontKey="{A7E1DEA9-3EA1-49FD-B1F1-14BE8AAAE372}"/>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6" w:fontKey="{F2AFB152-58A9-4905-A3EB-BE916511ABA4}"/>
  </w:font>
  <w:font w:name="方正小标宋简体">
    <w:altName w:val="黑体"/>
    <w:panose1 w:val="00000000000000000000"/>
    <w:charset w:val="86"/>
    <w:family w:val="script"/>
    <w:pitch w:val="default"/>
    <w:sig w:usb0="00000000" w:usb1="00000000" w:usb2="00000000" w:usb3="00000000" w:csb0="00040000" w:csb1="00000000"/>
    <w:embedRegular r:id="rId7" w:fontKey="{092A577A-5A14-47A3-B210-48F083173BE5}"/>
  </w:font>
  <w:font w:name="华文中宋">
    <w:altName w:val="宋体"/>
    <w:panose1 w:val="02010600040101010101"/>
    <w:charset w:val="86"/>
    <w:family w:val="auto"/>
    <w:pitch w:val="default"/>
    <w:sig w:usb0="00000000" w:usb1="00000000" w:usb2="00000010" w:usb3="00000000" w:csb0="0004009F" w:csb1="00000000"/>
    <w:embedRegular r:id="rId8" w:fontKey="{B6D2BD64-8E9F-4B03-921E-51EE429DC5EB}"/>
  </w:font>
  <w:font w:name="Segoe UI Symbol">
    <w:panose1 w:val="020B0502040204020203"/>
    <w:charset w:val="00"/>
    <w:family w:val="swiss"/>
    <w:pitch w:val="default"/>
    <w:sig w:usb0="800001E3" w:usb1="1200FFEF" w:usb2="00040000" w:usb3="04000000" w:csb0="00000001" w:csb1="40000000"/>
    <w:embedRegular r:id="rId9" w:fontKey="{82C14D3C-9A24-4210-A5FB-558CE31D628A}"/>
  </w:font>
  <w:font w:name="TimesNewRomanPSMT">
    <w:altName w:val="Times New Roman"/>
    <w:panose1 w:val="00000000000000000000"/>
    <w:charset w:val="00"/>
    <w:family w:val="roman"/>
    <w:pitch w:val="default"/>
    <w:sig w:usb0="00000000" w:usb1="00000000" w:usb2="00000000" w:usb3="00000000" w:csb0="00000000" w:csb1="00000000"/>
    <w:embedRegular r:id="rId10" w:fontKey="{B9D26D02-62A4-43EA-A774-B0167E592072}"/>
  </w:font>
  <w:font w:name="ˎ̥">
    <w:altName w:val="Times New Roman"/>
    <w:panose1 w:val="00000000000000000000"/>
    <w:charset w:val="00"/>
    <w:family w:val="auto"/>
    <w:pitch w:val="default"/>
    <w:sig w:usb0="00000000" w:usb1="00000000" w:usb2="00000000" w:usb3="00000000" w:csb0="00040001" w:csb1="00000000"/>
    <w:embedRegular r:id="rId11" w:fontKey="{5AFA6580-A20D-403B-AD4B-B606458CCFB8}"/>
  </w:font>
  <w:font w:name="MingLiU_HKSCS">
    <w:altName w:val="PMingLiU-ExtB"/>
    <w:panose1 w:val="00000000000000000000"/>
    <w:charset w:val="88"/>
    <w:family w:val="roman"/>
    <w:pitch w:val="default"/>
    <w:sig w:usb0="00000000" w:usb1="00000000" w:usb2="00000016" w:usb3="00000000" w:csb0="00100001" w:csb1="00000000"/>
    <w:embedRegular r:id="rId12" w:fontKey="{1761BF41-8F3A-4596-8FE5-77C901D7E97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modern"/>
    <w:pitch w:val="default"/>
    <w:sig w:usb0="800002BF" w:usb1="38CF7CFA" w:usb2="00000016" w:usb3="00000000" w:csb0="00040001" w:csb1="00000000"/>
    <w:embedRegular r:id="rId13" w:fontKey="{6F878E57-4342-4699-9801-271ABCC8C69C}"/>
  </w:font>
  <w:font w:name="WPSEMBED3">
    <w:panose1 w:val="02010609030101010101"/>
    <w:charset w:val="86"/>
    <w:family w:val="auto"/>
    <w:pitch w:val="default"/>
    <w:sig w:usb0="00000001" w:usb1="080E0000" w:usb2="00000000" w:usb3="00000000" w:csb0="00040000" w:csb1="00000000"/>
  </w:font>
  <w:font w:name="KSOF9EDDB2B6">
    <w:panose1 w:val="02020500000000000000"/>
    <w:charset w:val="88"/>
    <w:family w:val="auto"/>
    <w:pitch w:val="default"/>
    <w:sig w:usb0="00000001" w:usb1="00000000" w:usb2="00000000" w:usb3="00000000" w:csb0="00100001" w:csb1="00000000"/>
  </w:font>
  <w:font w:name="KSOF45024875">
    <w:panose1 w:val="02020500000000000000"/>
    <w:charset w:val="88"/>
    <w:family w:val="auto"/>
    <w:pitch w:val="default"/>
    <w:sig w:usb0="00000001" w:usb1="00000000" w:usb2="00000000" w:usb3="00000000" w:csb0="00100001"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D8B4A">
    <w:pPr>
      <w:pStyle w:val="2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8BEDB">
    <w:pPr>
      <w:pStyle w:val="20"/>
      <w:ind w:right="360"/>
    </w:pPr>
    <w:r>
      <mc:AlternateContent>
        <mc:Choice Requires="wps">
          <w:drawing>
            <wp:anchor distT="0" distB="0" distL="114300" distR="114300" simplePos="0" relativeHeight="251659264" behindDoc="0" locked="0" layoutInCell="1" allowOverlap="1">
              <wp:simplePos x="0" y="0"/>
              <wp:positionH relativeFrom="margin">
                <wp:posOffset>2411730</wp:posOffset>
              </wp:positionH>
              <wp:positionV relativeFrom="paragraph">
                <wp:posOffset>1270</wp:posOffset>
              </wp:positionV>
              <wp:extent cx="1134745" cy="1828800"/>
              <wp:effectExtent l="0" t="0" r="8890" b="0"/>
              <wp:wrapNone/>
              <wp:docPr id="4" name="文本框 4"/>
              <wp:cNvGraphicFramePr/>
              <a:graphic xmlns:a="http://schemas.openxmlformats.org/drawingml/2006/main">
                <a:graphicData uri="http://schemas.microsoft.com/office/word/2010/wordprocessingShape">
                  <wps:wsp>
                    <wps:cNvSpPr txBox="1"/>
                    <wps:spPr>
                      <a:xfrm>
                        <a:off x="0" y="0"/>
                        <a:ext cx="1134602" cy="1828800"/>
                      </a:xfrm>
                      <a:prstGeom prst="rect">
                        <a:avLst/>
                      </a:prstGeom>
                      <a:noFill/>
                      <a:ln w="6350">
                        <a:noFill/>
                      </a:ln>
                      <a:effectLst/>
                    </wps:spPr>
                    <wps:txbx>
                      <w:txbxContent>
                        <w:p w14:paraId="78617D60">
                          <w:pPr>
                            <w:pStyle w:val="20"/>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183</w:t>
                          </w:r>
                          <w:r>
                            <w:fldChar w:fldCharType="end"/>
                          </w:r>
                          <w: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89.9pt;margin-top:0.1pt;height:144pt;width:89.35pt;mso-position-horizontal-relative:margin;z-index:251659264;mso-width-relative:page;mso-height-relative:page;" filled="f" stroked="f" coordsize="21600,21600" o:gfxdata="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PzSJKPXAAAACAEAAA8AAAAAAAAAAQAgAAAAIgAAAGRycy9kb3du&#10;cmV2LnhtbFBLAQIUABQAAAAIAIdO4kAth8J2OQIAAGUEAAAOAAAAAAAAAAEAIAAAACYBAABkcnMv&#10;ZTJvRG9jLnhtbFBLBQYAAAAABgAGAFkBAADRBQAAAAA=&#10;">
              <v:fill on="f" focussize="0,0"/>
              <v:stroke on="f" weight="0.5pt"/>
              <v:imagedata o:title=""/>
              <o:lock v:ext="edit" aspectratio="f"/>
              <v:textbox inset="0mm,0mm,0mm,0mm" style="mso-fit-shape-to-text:t;">
                <w:txbxContent>
                  <w:p w14:paraId="78617D60">
                    <w:pPr>
                      <w:pStyle w:val="20"/>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183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5D6FC">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4A7DDDB">
                          <w:pPr>
                            <w:pStyle w:val="20"/>
                          </w:pPr>
                          <w:r>
                            <w:t xml:space="preserve">第 </w:t>
                          </w:r>
                          <w:r>
                            <w:fldChar w:fldCharType="begin"/>
                          </w:r>
                          <w:r>
                            <w:instrText xml:space="preserve"> PAGE  \* MERGEFORMAT </w:instrText>
                          </w:r>
                          <w:r>
                            <w:fldChar w:fldCharType="separate"/>
                          </w:r>
                          <w:r>
                            <w:t>147</w:t>
                          </w:r>
                          <w:r>
                            <w:fldChar w:fldCharType="end"/>
                          </w:r>
                          <w:r>
                            <w:t xml:space="preserve"> 页 共 </w:t>
                          </w:r>
                          <w:r>
                            <w:fldChar w:fldCharType="begin"/>
                          </w:r>
                          <w:r>
                            <w:instrText xml:space="preserve"> NUMPAGES  \* MERGEFORMAT </w:instrText>
                          </w:r>
                          <w:r>
                            <w:fldChar w:fldCharType="separate"/>
                          </w:r>
                          <w:r>
                            <w:t>183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14:paraId="44A7DDDB">
                    <w:pPr>
                      <w:pStyle w:val="20"/>
                    </w:pPr>
                    <w:r>
                      <w:t xml:space="preserve">第 </w:t>
                    </w:r>
                    <w:r>
                      <w:fldChar w:fldCharType="begin"/>
                    </w:r>
                    <w:r>
                      <w:instrText xml:space="preserve"> PAGE  \* MERGEFORMAT </w:instrText>
                    </w:r>
                    <w:r>
                      <w:fldChar w:fldCharType="separate"/>
                    </w:r>
                    <w:r>
                      <w:t>147</w:t>
                    </w:r>
                    <w:r>
                      <w:fldChar w:fldCharType="end"/>
                    </w:r>
                    <w:r>
                      <w:t xml:space="preserve"> 页 共 </w:t>
                    </w:r>
                    <w:r>
                      <w:fldChar w:fldCharType="begin"/>
                    </w:r>
                    <w:r>
                      <w:instrText xml:space="preserve"> NUMPAGES  \* MERGEFORMAT </w:instrText>
                    </w:r>
                    <w:r>
                      <w:fldChar w:fldCharType="separate"/>
                    </w:r>
                    <w:r>
                      <w:t>183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2901B">
    <w:pPr>
      <w:pStyle w:val="21"/>
      <w:jc w:val="left"/>
    </w:pPr>
    <w:r>
      <w:rPr>
        <w:rFonts w:hint="eastAsia"/>
      </w:rPr>
      <w:t>陕西测绘地理信息局既有住宅加装电梯项目（三期）首批工程</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A11B8">
    <w:pPr>
      <w:pStyle w:val="21"/>
      <w:pBdr>
        <w:bottom w:val="none" w:color="auto" w:sz="0" w:space="1"/>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ED4A2">
    <w:pPr>
      <w:pStyle w:val="21"/>
      <w:jc w:val="right"/>
      <w:rPr>
        <w:rFonts w:hint="eastAsia" w:eastAsia="黑体"/>
        <w:color w:val="C4BD97" w:themeColor="background2" w:themeShade="BF"/>
        <w:lang w:eastAsia="zh-CN"/>
      </w:rPr>
    </w:pPr>
    <w:r>
      <w:rPr>
        <w:rFonts w:hint="eastAsia" w:eastAsia="黑体"/>
        <w:color w:val="C4BD97" w:themeColor="background2" w:themeShade="BF"/>
        <w:sz w:val="17"/>
        <w:szCs w:val="17"/>
        <w:lang w:eastAsia="zh-CN"/>
      </w:rPr>
      <w:t>陕西测绘地理信息局既有住宅加装电梯项目（三期）首批工程（7号楼3单元、30号楼2单元、29号楼5、6单元）</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F599E">
    <w:pPr>
      <w:pStyle w:val="21"/>
      <w:jc w:val="right"/>
    </w:pPr>
    <w:r>
      <w:rPr>
        <w:rFonts w:hint="eastAsia" w:eastAsia="黑体"/>
        <w:color w:val="C4BD97" w:themeColor="background2" w:themeShade="BF"/>
        <w:sz w:val="17"/>
        <w:szCs w:val="17"/>
        <w:lang w:eastAsia="zh-CN"/>
      </w:rPr>
      <w:t>陕西测绘地理信息局既有住宅加装电梯项目（三期）首批工程（7号楼3单元、30号楼2单元、29号楼5、6单元）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lvl>
  </w:abstractNum>
  <w:abstractNum w:abstractNumId="1">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2">
    <w:nsid w:val="2B4DC827"/>
    <w:multiLevelType w:val="singleLevel"/>
    <w:tmpl w:val="2B4DC827"/>
    <w:lvl w:ilvl="0" w:tentative="0">
      <w:start w:val="1"/>
      <w:numFmt w:val="decimal"/>
      <w:suff w:val="nothing"/>
      <w:lvlText w:val="（%1）"/>
      <w:lvlJc w:val="left"/>
    </w:lvl>
  </w:abstractNum>
  <w:abstractNum w:abstractNumId="3">
    <w:nsid w:val="3AA800C6"/>
    <w:multiLevelType w:val="multilevel"/>
    <w:tmpl w:val="3AA800C6"/>
    <w:lvl w:ilvl="0" w:tentative="0">
      <w:start w:val="1"/>
      <w:numFmt w:val="decimal"/>
      <w:pStyle w:val="115"/>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4">
    <w:nsid w:val="3E4A5899"/>
    <w:multiLevelType w:val="multilevel"/>
    <w:tmpl w:val="3E4A5899"/>
    <w:lvl w:ilvl="0" w:tentative="0">
      <w:start w:val="4"/>
      <w:numFmt w:val="bullet"/>
      <w:lvlText w:val="□"/>
      <w:lvlJc w:val="left"/>
      <w:pPr>
        <w:tabs>
          <w:tab w:val="left" w:pos="570"/>
        </w:tabs>
        <w:ind w:left="570" w:hanging="360"/>
      </w:pPr>
      <w:rPr>
        <w:rFonts w:hint="eastAsia" w:ascii="宋体" w:hAnsi="宋体" w:eastAsia="宋体" w:cs="Times New Roman"/>
      </w:rPr>
    </w:lvl>
    <w:lvl w:ilvl="1" w:tentative="0">
      <w:start w:val="1"/>
      <w:numFmt w:val="bullet"/>
      <w:lvlText w:val=""/>
      <w:lvlJc w:val="left"/>
      <w:pPr>
        <w:tabs>
          <w:tab w:val="left" w:pos="1050"/>
        </w:tabs>
        <w:ind w:left="1050" w:hanging="420"/>
      </w:pPr>
      <w:rPr>
        <w:rFonts w:hint="default" w:ascii="Wingdings" w:hAnsi="Wingdings"/>
      </w:rPr>
    </w:lvl>
    <w:lvl w:ilvl="2" w:tentative="0">
      <w:start w:val="1"/>
      <w:numFmt w:val="bullet"/>
      <w:lvlText w:val=""/>
      <w:lvlJc w:val="left"/>
      <w:pPr>
        <w:tabs>
          <w:tab w:val="left" w:pos="1470"/>
        </w:tabs>
        <w:ind w:left="1470" w:hanging="420"/>
      </w:pPr>
      <w:rPr>
        <w:rFonts w:hint="default" w:ascii="Wingdings" w:hAnsi="Wingdings"/>
      </w:rPr>
    </w:lvl>
    <w:lvl w:ilvl="3" w:tentative="0">
      <w:start w:val="1"/>
      <w:numFmt w:val="bullet"/>
      <w:lvlText w:val=""/>
      <w:lvlJc w:val="left"/>
      <w:pPr>
        <w:tabs>
          <w:tab w:val="left" w:pos="1890"/>
        </w:tabs>
        <w:ind w:left="1890" w:hanging="420"/>
      </w:pPr>
      <w:rPr>
        <w:rFonts w:hint="default" w:ascii="Wingdings" w:hAnsi="Wingdings"/>
      </w:rPr>
    </w:lvl>
    <w:lvl w:ilvl="4" w:tentative="0">
      <w:start w:val="1"/>
      <w:numFmt w:val="bullet"/>
      <w:lvlText w:val=""/>
      <w:lvlJc w:val="left"/>
      <w:pPr>
        <w:tabs>
          <w:tab w:val="left" w:pos="2310"/>
        </w:tabs>
        <w:ind w:left="2310" w:hanging="420"/>
      </w:pPr>
      <w:rPr>
        <w:rFonts w:hint="default" w:ascii="Wingdings" w:hAnsi="Wingdings"/>
      </w:rPr>
    </w:lvl>
    <w:lvl w:ilvl="5" w:tentative="0">
      <w:start w:val="1"/>
      <w:numFmt w:val="bullet"/>
      <w:lvlText w:val=""/>
      <w:lvlJc w:val="left"/>
      <w:pPr>
        <w:tabs>
          <w:tab w:val="left" w:pos="2730"/>
        </w:tabs>
        <w:ind w:left="2730" w:hanging="420"/>
      </w:pPr>
      <w:rPr>
        <w:rFonts w:hint="default" w:ascii="Wingdings" w:hAnsi="Wingdings"/>
      </w:rPr>
    </w:lvl>
    <w:lvl w:ilvl="6" w:tentative="0">
      <w:start w:val="1"/>
      <w:numFmt w:val="bullet"/>
      <w:lvlText w:val=""/>
      <w:lvlJc w:val="left"/>
      <w:pPr>
        <w:tabs>
          <w:tab w:val="left" w:pos="3150"/>
        </w:tabs>
        <w:ind w:left="3150" w:hanging="420"/>
      </w:pPr>
      <w:rPr>
        <w:rFonts w:hint="default" w:ascii="Wingdings" w:hAnsi="Wingdings"/>
      </w:rPr>
    </w:lvl>
    <w:lvl w:ilvl="7" w:tentative="0">
      <w:start w:val="1"/>
      <w:numFmt w:val="bullet"/>
      <w:lvlText w:val=""/>
      <w:lvlJc w:val="left"/>
      <w:pPr>
        <w:tabs>
          <w:tab w:val="left" w:pos="3570"/>
        </w:tabs>
        <w:ind w:left="3570" w:hanging="420"/>
      </w:pPr>
      <w:rPr>
        <w:rFonts w:hint="default" w:ascii="Wingdings" w:hAnsi="Wingdings"/>
      </w:rPr>
    </w:lvl>
    <w:lvl w:ilvl="8" w:tentative="0">
      <w:start w:val="1"/>
      <w:numFmt w:val="bullet"/>
      <w:lvlText w:val=""/>
      <w:lvlJc w:val="left"/>
      <w:pPr>
        <w:tabs>
          <w:tab w:val="left" w:pos="3990"/>
        </w:tabs>
        <w:ind w:left="3990" w:hanging="420"/>
      </w:pPr>
      <w:rPr>
        <w:rFonts w:hint="default" w:ascii="Wingdings" w:hAnsi="Wingdings"/>
      </w:rPr>
    </w:lvl>
  </w:abstractNum>
  <w:abstractNum w:abstractNumId="5">
    <w:nsid w:val="5F9435CC"/>
    <w:multiLevelType w:val="multilevel"/>
    <w:tmpl w:val="5F9435CC"/>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1843" w:firstLine="0"/>
        </w:pPr>
      </w:lvl>
    </w:lvlOverride>
    <w:lvlOverride w:ilvl="2">
      <w:lvl w:ilvl="2" w:tentative="1">
        <w:start w:val="1"/>
        <w:numFmt w:val="decimal"/>
        <w:pStyle w:val="114"/>
        <w:lvlText w:val="%1.%2.%3"/>
        <w:lvlJc w:val="left"/>
        <w:pPr>
          <w:ind w:left="2126" w:firstLine="0"/>
        </w:pPr>
      </w:lvl>
    </w:lvlOverride>
    <w:lvlOverride w:ilvl="3">
      <w:lvl w:ilvl="3" w:tentative="1">
        <w:start w:val="1"/>
        <w:numFmt w:val="decimal"/>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3">
    <w:abstractNumId w:val="3"/>
  </w:num>
  <w:num w:numId="4">
    <w:abstractNumId w:val="1"/>
    <w:lvlOverride w:ilvl="0">
      <w:lvl w:ilvl="0" w:tentative="1">
        <w:start w:val="1"/>
        <w:numFmt w:val="decimal"/>
        <w:lvlText w:val="第%1条"/>
        <w:lvlJc w:val="left"/>
        <w:pPr>
          <w:ind w:left="0" w:firstLine="0"/>
        </w:pPr>
      </w:lvl>
    </w:lvlOverride>
    <w:lvlOverride w:ilvl="1">
      <w:lvl w:ilvl="1" w:tentative="1">
        <w:start w:val="1"/>
        <w:numFmt w:val="decimal"/>
        <w:pStyle w:val="116"/>
        <w:lvlText w:val="%1.%2"/>
        <w:lvlJc w:val="left"/>
        <w:pPr>
          <w:ind w:left="1843" w:firstLine="0"/>
        </w:pPr>
      </w:lvl>
    </w:lvlOverride>
    <w:lvlOverride w:ilvl="2">
      <w:lvl w:ilvl="2" w:tentative="1">
        <w:start w:val="1"/>
        <w:numFmt w:val="decimal"/>
        <w:lvlText w:val="%1.%2.%3"/>
        <w:lvlJc w:val="left"/>
        <w:pPr>
          <w:ind w:left="2126" w:firstLine="0"/>
        </w:pPr>
      </w:lvl>
    </w:lvlOverride>
    <w:lvlOverride w:ilvl="3">
      <w:lvl w:ilvl="3" w:tentative="1">
        <w:start w:val="1"/>
        <w:numFmt w:val="decimal"/>
        <w:pStyle w:val="117"/>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5">
    <w:abstractNumId w:val="1"/>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pStyle w:val="118"/>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iZWY5M2FiNzU1ZTJkOWM2OThhZDA4YjM1YzE3NjIifQ=="/>
  </w:docVars>
  <w:rsids>
    <w:rsidRoot w:val="00A32903"/>
    <w:rsid w:val="000154D0"/>
    <w:rsid w:val="0002229B"/>
    <w:rsid w:val="0003234A"/>
    <w:rsid w:val="00035573"/>
    <w:rsid w:val="00035EA0"/>
    <w:rsid w:val="000537D6"/>
    <w:rsid w:val="00053B27"/>
    <w:rsid w:val="000651E6"/>
    <w:rsid w:val="00071AF5"/>
    <w:rsid w:val="000744C8"/>
    <w:rsid w:val="00085549"/>
    <w:rsid w:val="00091858"/>
    <w:rsid w:val="000B153B"/>
    <w:rsid w:val="000C23EA"/>
    <w:rsid w:val="000E52CA"/>
    <w:rsid w:val="000F331E"/>
    <w:rsid w:val="00100CD3"/>
    <w:rsid w:val="00111978"/>
    <w:rsid w:val="00116D95"/>
    <w:rsid w:val="00125CC8"/>
    <w:rsid w:val="00131277"/>
    <w:rsid w:val="00134ED0"/>
    <w:rsid w:val="001360F7"/>
    <w:rsid w:val="0016274E"/>
    <w:rsid w:val="001655BB"/>
    <w:rsid w:val="0017216B"/>
    <w:rsid w:val="001754F7"/>
    <w:rsid w:val="00185DC9"/>
    <w:rsid w:val="00192D6C"/>
    <w:rsid w:val="00197CFA"/>
    <w:rsid w:val="001B3AF5"/>
    <w:rsid w:val="001B4B6D"/>
    <w:rsid w:val="001C66E0"/>
    <w:rsid w:val="001D2FA3"/>
    <w:rsid w:val="001D5289"/>
    <w:rsid w:val="001E426D"/>
    <w:rsid w:val="001E6E40"/>
    <w:rsid w:val="001F4BAF"/>
    <w:rsid w:val="001F799D"/>
    <w:rsid w:val="00200381"/>
    <w:rsid w:val="00205C24"/>
    <w:rsid w:val="00216E65"/>
    <w:rsid w:val="002221FB"/>
    <w:rsid w:val="00232838"/>
    <w:rsid w:val="002360F5"/>
    <w:rsid w:val="00236D55"/>
    <w:rsid w:val="00251A1F"/>
    <w:rsid w:val="00256776"/>
    <w:rsid w:val="0027618C"/>
    <w:rsid w:val="00286C39"/>
    <w:rsid w:val="0029340E"/>
    <w:rsid w:val="002B28EC"/>
    <w:rsid w:val="002B733F"/>
    <w:rsid w:val="002D09E9"/>
    <w:rsid w:val="002D0A2B"/>
    <w:rsid w:val="002D67C6"/>
    <w:rsid w:val="002E3F35"/>
    <w:rsid w:val="002E584C"/>
    <w:rsid w:val="00302AEB"/>
    <w:rsid w:val="00340F88"/>
    <w:rsid w:val="00345597"/>
    <w:rsid w:val="00357D58"/>
    <w:rsid w:val="00365A9D"/>
    <w:rsid w:val="003702F4"/>
    <w:rsid w:val="00375FC0"/>
    <w:rsid w:val="00385F88"/>
    <w:rsid w:val="00390182"/>
    <w:rsid w:val="003A68D9"/>
    <w:rsid w:val="003B1DE4"/>
    <w:rsid w:val="003C40A6"/>
    <w:rsid w:val="003C7627"/>
    <w:rsid w:val="003C7977"/>
    <w:rsid w:val="003D38B0"/>
    <w:rsid w:val="003D6807"/>
    <w:rsid w:val="003F417C"/>
    <w:rsid w:val="003F5866"/>
    <w:rsid w:val="0040367D"/>
    <w:rsid w:val="0040453A"/>
    <w:rsid w:val="0041537E"/>
    <w:rsid w:val="004216D3"/>
    <w:rsid w:val="00421D40"/>
    <w:rsid w:val="00422ECB"/>
    <w:rsid w:val="00435F20"/>
    <w:rsid w:val="00442255"/>
    <w:rsid w:val="004612C6"/>
    <w:rsid w:val="004657B2"/>
    <w:rsid w:val="00480B5C"/>
    <w:rsid w:val="00485E14"/>
    <w:rsid w:val="00487454"/>
    <w:rsid w:val="00495732"/>
    <w:rsid w:val="004A2848"/>
    <w:rsid w:val="004B44A4"/>
    <w:rsid w:val="004B4E70"/>
    <w:rsid w:val="004C6245"/>
    <w:rsid w:val="004E5ABB"/>
    <w:rsid w:val="004F1501"/>
    <w:rsid w:val="004F67A6"/>
    <w:rsid w:val="005139CB"/>
    <w:rsid w:val="0051417E"/>
    <w:rsid w:val="0053739A"/>
    <w:rsid w:val="00547397"/>
    <w:rsid w:val="0056672C"/>
    <w:rsid w:val="005752E3"/>
    <w:rsid w:val="00581020"/>
    <w:rsid w:val="005866C4"/>
    <w:rsid w:val="0059286A"/>
    <w:rsid w:val="005B78AC"/>
    <w:rsid w:val="005C0C40"/>
    <w:rsid w:val="005C5E0A"/>
    <w:rsid w:val="005C784B"/>
    <w:rsid w:val="005D3FF8"/>
    <w:rsid w:val="005E7913"/>
    <w:rsid w:val="005F04E5"/>
    <w:rsid w:val="005F520A"/>
    <w:rsid w:val="00612135"/>
    <w:rsid w:val="0062152B"/>
    <w:rsid w:val="00627361"/>
    <w:rsid w:val="006325C9"/>
    <w:rsid w:val="00650A99"/>
    <w:rsid w:val="006669C7"/>
    <w:rsid w:val="006676C0"/>
    <w:rsid w:val="00671D08"/>
    <w:rsid w:val="00672B99"/>
    <w:rsid w:val="006806C0"/>
    <w:rsid w:val="006A203D"/>
    <w:rsid w:val="006A3C2B"/>
    <w:rsid w:val="006B2454"/>
    <w:rsid w:val="006C74A4"/>
    <w:rsid w:val="006D0C7B"/>
    <w:rsid w:val="006D470B"/>
    <w:rsid w:val="006D4725"/>
    <w:rsid w:val="006D5DEC"/>
    <w:rsid w:val="006E3C4C"/>
    <w:rsid w:val="006E5726"/>
    <w:rsid w:val="006F0FF7"/>
    <w:rsid w:val="006F3B79"/>
    <w:rsid w:val="00712702"/>
    <w:rsid w:val="00724EDA"/>
    <w:rsid w:val="007370DD"/>
    <w:rsid w:val="00745BE3"/>
    <w:rsid w:val="00754448"/>
    <w:rsid w:val="007667B0"/>
    <w:rsid w:val="00767B94"/>
    <w:rsid w:val="0077606E"/>
    <w:rsid w:val="00777464"/>
    <w:rsid w:val="00782F88"/>
    <w:rsid w:val="0078603C"/>
    <w:rsid w:val="007B5D1E"/>
    <w:rsid w:val="007B5E0B"/>
    <w:rsid w:val="007C6C7D"/>
    <w:rsid w:val="007D49EB"/>
    <w:rsid w:val="007E1742"/>
    <w:rsid w:val="007E21DF"/>
    <w:rsid w:val="007F0372"/>
    <w:rsid w:val="00801AA2"/>
    <w:rsid w:val="008066D5"/>
    <w:rsid w:val="0080761C"/>
    <w:rsid w:val="00813D7D"/>
    <w:rsid w:val="00817EB6"/>
    <w:rsid w:val="00824A38"/>
    <w:rsid w:val="008402CD"/>
    <w:rsid w:val="0084044B"/>
    <w:rsid w:val="008424D5"/>
    <w:rsid w:val="00843EC8"/>
    <w:rsid w:val="00855AE5"/>
    <w:rsid w:val="00874C99"/>
    <w:rsid w:val="0087573B"/>
    <w:rsid w:val="00875DA0"/>
    <w:rsid w:val="00876EBB"/>
    <w:rsid w:val="00884B7A"/>
    <w:rsid w:val="00884E10"/>
    <w:rsid w:val="00887040"/>
    <w:rsid w:val="00890364"/>
    <w:rsid w:val="00895B29"/>
    <w:rsid w:val="00895F4E"/>
    <w:rsid w:val="008A25CE"/>
    <w:rsid w:val="008B1722"/>
    <w:rsid w:val="008B4244"/>
    <w:rsid w:val="008B4F2C"/>
    <w:rsid w:val="008B6803"/>
    <w:rsid w:val="008C2FC1"/>
    <w:rsid w:val="008D11B2"/>
    <w:rsid w:val="008E2300"/>
    <w:rsid w:val="008F4B97"/>
    <w:rsid w:val="0091576C"/>
    <w:rsid w:val="00916959"/>
    <w:rsid w:val="00921244"/>
    <w:rsid w:val="00941B9A"/>
    <w:rsid w:val="009448CF"/>
    <w:rsid w:val="00965DBE"/>
    <w:rsid w:val="00982500"/>
    <w:rsid w:val="009A2CCD"/>
    <w:rsid w:val="009B490F"/>
    <w:rsid w:val="009B75B9"/>
    <w:rsid w:val="009C1460"/>
    <w:rsid w:val="009C15CF"/>
    <w:rsid w:val="009C288E"/>
    <w:rsid w:val="009D33B5"/>
    <w:rsid w:val="009E453E"/>
    <w:rsid w:val="009E7D66"/>
    <w:rsid w:val="009F2550"/>
    <w:rsid w:val="009F545D"/>
    <w:rsid w:val="00A0392A"/>
    <w:rsid w:val="00A11D52"/>
    <w:rsid w:val="00A23C50"/>
    <w:rsid w:val="00A264F7"/>
    <w:rsid w:val="00A32903"/>
    <w:rsid w:val="00A52325"/>
    <w:rsid w:val="00A61DDE"/>
    <w:rsid w:val="00A65B0F"/>
    <w:rsid w:val="00A70F9A"/>
    <w:rsid w:val="00A80AD1"/>
    <w:rsid w:val="00A82B72"/>
    <w:rsid w:val="00A86AA0"/>
    <w:rsid w:val="00AA47B6"/>
    <w:rsid w:val="00AB328E"/>
    <w:rsid w:val="00AC1031"/>
    <w:rsid w:val="00AD1527"/>
    <w:rsid w:val="00AD1739"/>
    <w:rsid w:val="00AD6089"/>
    <w:rsid w:val="00AE739A"/>
    <w:rsid w:val="00B00DEA"/>
    <w:rsid w:val="00B065AE"/>
    <w:rsid w:val="00B1308D"/>
    <w:rsid w:val="00B235CE"/>
    <w:rsid w:val="00B35003"/>
    <w:rsid w:val="00B4555B"/>
    <w:rsid w:val="00B45D5F"/>
    <w:rsid w:val="00B522E6"/>
    <w:rsid w:val="00B5432A"/>
    <w:rsid w:val="00B56DB4"/>
    <w:rsid w:val="00B70EA4"/>
    <w:rsid w:val="00B725AB"/>
    <w:rsid w:val="00B77EFC"/>
    <w:rsid w:val="00B943DC"/>
    <w:rsid w:val="00BA0755"/>
    <w:rsid w:val="00BA3A8C"/>
    <w:rsid w:val="00BA4E5B"/>
    <w:rsid w:val="00BB03BB"/>
    <w:rsid w:val="00BC071E"/>
    <w:rsid w:val="00BC5292"/>
    <w:rsid w:val="00BD3E30"/>
    <w:rsid w:val="00BE3433"/>
    <w:rsid w:val="00BF0399"/>
    <w:rsid w:val="00C03DA5"/>
    <w:rsid w:val="00C051F0"/>
    <w:rsid w:val="00C13732"/>
    <w:rsid w:val="00C16BE2"/>
    <w:rsid w:val="00C2254A"/>
    <w:rsid w:val="00C358BC"/>
    <w:rsid w:val="00C40E5E"/>
    <w:rsid w:val="00C519FB"/>
    <w:rsid w:val="00C6764A"/>
    <w:rsid w:val="00C751D2"/>
    <w:rsid w:val="00C75E6E"/>
    <w:rsid w:val="00C760EB"/>
    <w:rsid w:val="00C77988"/>
    <w:rsid w:val="00C8590F"/>
    <w:rsid w:val="00C92E64"/>
    <w:rsid w:val="00C9755A"/>
    <w:rsid w:val="00CB04B8"/>
    <w:rsid w:val="00CD799B"/>
    <w:rsid w:val="00CE5645"/>
    <w:rsid w:val="00D13ACA"/>
    <w:rsid w:val="00D1755E"/>
    <w:rsid w:val="00D179FF"/>
    <w:rsid w:val="00D2589D"/>
    <w:rsid w:val="00D2690E"/>
    <w:rsid w:val="00D32289"/>
    <w:rsid w:val="00D424AF"/>
    <w:rsid w:val="00D50DFB"/>
    <w:rsid w:val="00D566C9"/>
    <w:rsid w:val="00D61397"/>
    <w:rsid w:val="00D6348F"/>
    <w:rsid w:val="00D64767"/>
    <w:rsid w:val="00D64AE1"/>
    <w:rsid w:val="00D67AB2"/>
    <w:rsid w:val="00D84826"/>
    <w:rsid w:val="00D8571C"/>
    <w:rsid w:val="00D921BA"/>
    <w:rsid w:val="00D95ABA"/>
    <w:rsid w:val="00DB238A"/>
    <w:rsid w:val="00DB558B"/>
    <w:rsid w:val="00DC3465"/>
    <w:rsid w:val="00DC66D2"/>
    <w:rsid w:val="00DD15DE"/>
    <w:rsid w:val="00DD287C"/>
    <w:rsid w:val="00DD34FB"/>
    <w:rsid w:val="00DF5C1E"/>
    <w:rsid w:val="00E4110A"/>
    <w:rsid w:val="00E54032"/>
    <w:rsid w:val="00E55F9F"/>
    <w:rsid w:val="00E61783"/>
    <w:rsid w:val="00E61D19"/>
    <w:rsid w:val="00E62EB9"/>
    <w:rsid w:val="00E82795"/>
    <w:rsid w:val="00E83244"/>
    <w:rsid w:val="00E867C0"/>
    <w:rsid w:val="00E869FF"/>
    <w:rsid w:val="00E97791"/>
    <w:rsid w:val="00EF6606"/>
    <w:rsid w:val="00EF791D"/>
    <w:rsid w:val="00F02D49"/>
    <w:rsid w:val="00F0317A"/>
    <w:rsid w:val="00F16608"/>
    <w:rsid w:val="00F25C34"/>
    <w:rsid w:val="00F50DE9"/>
    <w:rsid w:val="00F5490B"/>
    <w:rsid w:val="00F63843"/>
    <w:rsid w:val="00F765C1"/>
    <w:rsid w:val="00F81C4B"/>
    <w:rsid w:val="00F826C0"/>
    <w:rsid w:val="00F85D7E"/>
    <w:rsid w:val="00F90294"/>
    <w:rsid w:val="00F948B8"/>
    <w:rsid w:val="00F95073"/>
    <w:rsid w:val="00F97476"/>
    <w:rsid w:val="00FA6A88"/>
    <w:rsid w:val="00FB0978"/>
    <w:rsid w:val="00FC0D2B"/>
    <w:rsid w:val="00FD18D9"/>
    <w:rsid w:val="00FD51DB"/>
    <w:rsid w:val="00FF39AD"/>
    <w:rsid w:val="010531C0"/>
    <w:rsid w:val="01176034"/>
    <w:rsid w:val="01333596"/>
    <w:rsid w:val="01620479"/>
    <w:rsid w:val="016946C5"/>
    <w:rsid w:val="02005C3A"/>
    <w:rsid w:val="02251150"/>
    <w:rsid w:val="022D4557"/>
    <w:rsid w:val="022E6257"/>
    <w:rsid w:val="025838F2"/>
    <w:rsid w:val="025C7268"/>
    <w:rsid w:val="03332A2A"/>
    <w:rsid w:val="0381470B"/>
    <w:rsid w:val="03AE753B"/>
    <w:rsid w:val="03B44E81"/>
    <w:rsid w:val="0428747D"/>
    <w:rsid w:val="04482410"/>
    <w:rsid w:val="04AB3E95"/>
    <w:rsid w:val="04B2046F"/>
    <w:rsid w:val="04D330E5"/>
    <w:rsid w:val="04D72BD5"/>
    <w:rsid w:val="04E949DA"/>
    <w:rsid w:val="051060E7"/>
    <w:rsid w:val="05191440"/>
    <w:rsid w:val="052E6D77"/>
    <w:rsid w:val="05832D5D"/>
    <w:rsid w:val="058C1E09"/>
    <w:rsid w:val="05B314FE"/>
    <w:rsid w:val="05C556F3"/>
    <w:rsid w:val="05DA1F9C"/>
    <w:rsid w:val="05E23BDD"/>
    <w:rsid w:val="061A3547"/>
    <w:rsid w:val="063F5E6F"/>
    <w:rsid w:val="06517112"/>
    <w:rsid w:val="06A5475C"/>
    <w:rsid w:val="07025814"/>
    <w:rsid w:val="07061550"/>
    <w:rsid w:val="078B0C1B"/>
    <w:rsid w:val="078F59E9"/>
    <w:rsid w:val="07B611C8"/>
    <w:rsid w:val="07BC61D6"/>
    <w:rsid w:val="07C543A6"/>
    <w:rsid w:val="07DD49A7"/>
    <w:rsid w:val="07F93F23"/>
    <w:rsid w:val="07F97307"/>
    <w:rsid w:val="083A64E8"/>
    <w:rsid w:val="083B791F"/>
    <w:rsid w:val="08982D46"/>
    <w:rsid w:val="089C1F49"/>
    <w:rsid w:val="093343BC"/>
    <w:rsid w:val="093D5516"/>
    <w:rsid w:val="09624096"/>
    <w:rsid w:val="09700E2D"/>
    <w:rsid w:val="09B2010C"/>
    <w:rsid w:val="09BE7806"/>
    <w:rsid w:val="0A326203"/>
    <w:rsid w:val="0A5A1363"/>
    <w:rsid w:val="0A7E6E5F"/>
    <w:rsid w:val="0ADB7197"/>
    <w:rsid w:val="0B100BEF"/>
    <w:rsid w:val="0B905917"/>
    <w:rsid w:val="0BA863AE"/>
    <w:rsid w:val="0BF05890"/>
    <w:rsid w:val="0BFF786E"/>
    <w:rsid w:val="0C303477"/>
    <w:rsid w:val="0C3E14D2"/>
    <w:rsid w:val="0C437E56"/>
    <w:rsid w:val="0C58366F"/>
    <w:rsid w:val="0C6E59F3"/>
    <w:rsid w:val="0CAF61E6"/>
    <w:rsid w:val="0CD563F7"/>
    <w:rsid w:val="0CF47E06"/>
    <w:rsid w:val="0CFB58CF"/>
    <w:rsid w:val="0D002EE5"/>
    <w:rsid w:val="0D181FDD"/>
    <w:rsid w:val="0D4A64CC"/>
    <w:rsid w:val="0D645222"/>
    <w:rsid w:val="0D723A04"/>
    <w:rsid w:val="0E0A401C"/>
    <w:rsid w:val="0E13614C"/>
    <w:rsid w:val="0E167CBE"/>
    <w:rsid w:val="0E99714E"/>
    <w:rsid w:val="0F2A1C3C"/>
    <w:rsid w:val="0F450727"/>
    <w:rsid w:val="0F7A041F"/>
    <w:rsid w:val="0F9A6B3E"/>
    <w:rsid w:val="0FBFC89E"/>
    <w:rsid w:val="0FC70539"/>
    <w:rsid w:val="100B7ABF"/>
    <w:rsid w:val="10223A7C"/>
    <w:rsid w:val="10461C65"/>
    <w:rsid w:val="10615A49"/>
    <w:rsid w:val="1077652B"/>
    <w:rsid w:val="10874D2A"/>
    <w:rsid w:val="108B6BC6"/>
    <w:rsid w:val="10947BCD"/>
    <w:rsid w:val="109E53FC"/>
    <w:rsid w:val="10C30782"/>
    <w:rsid w:val="10CE5D66"/>
    <w:rsid w:val="10DA2337"/>
    <w:rsid w:val="110000F0"/>
    <w:rsid w:val="110F46BE"/>
    <w:rsid w:val="11151628"/>
    <w:rsid w:val="11166833"/>
    <w:rsid w:val="11257D82"/>
    <w:rsid w:val="112847B9"/>
    <w:rsid w:val="113C41EF"/>
    <w:rsid w:val="11413F81"/>
    <w:rsid w:val="11440C8B"/>
    <w:rsid w:val="114A70F3"/>
    <w:rsid w:val="117B7767"/>
    <w:rsid w:val="11AF2044"/>
    <w:rsid w:val="11C7394D"/>
    <w:rsid w:val="11ED12D6"/>
    <w:rsid w:val="12020B2F"/>
    <w:rsid w:val="12023E66"/>
    <w:rsid w:val="12371157"/>
    <w:rsid w:val="12527D3F"/>
    <w:rsid w:val="12696EA4"/>
    <w:rsid w:val="12962516"/>
    <w:rsid w:val="12AB56A1"/>
    <w:rsid w:val="12B15EBF"/>
    <w:rsid w:val="12BB402A"/>
    <w:rsid w:val="12E806A4"/>
    <w:rsid w:val="130D2080"/>
    <w:rsid w:val="13447D89"/>
    <w:rsid w:val="13525EE0"/>
    <w:rsid w:val="13CE1647"/>
    <w:rsid w:val="13DB2F25"/>
    <w:rsid w:val="13E55C7E"/>
    <w:rsid w:val="13FF3530"/>
    <w:rsid w:val="1441006B"/>
    <w:rsid w:val="1444735B"/>
    <w:rsid w:val="149E0586"/>
    <w:rsid w:val="14A0045D"/>
    <w:rsid w:val="14A57376"/>
    <w:rsid w:val="14F26F27"/>
    <w:rsid w:val="14F60FAF"/>
    <w:rsid w:val="151B11F2"/>
    <w:rsid w:val="15347BD0"/>
    <w:rsid w:val="154E5B0C"/>
    <w:rsid w:val="1565422D"/>
    <w:rsid w:val="15746F79"/>
    <w:rsid w:val="157B696D"/>
    <w:rsid w:val="15945EBA"/>
    <w:rsid w:val="15C471A6"/>
    <w:rsid w:val="160E31B5"/>
    <w:rsid w:val="161812A0"/>
    <w:rsid w:val="166A2C93"/>
    <w:rsid w:val="1687084D"/>
    <w:rsid w:val="16CD0277"/>
    <w:rsid w:val="16DE6045"/>
    <w:rsid w:val="171D7580"/>
    <w:rsid w:val="174E2EB7"/>
    <w:rsid w:val="17884F66"/>
    <w:rsid w:val="17892ED5"/>
    <w:rsid w:val="17B84AE8"/>
    <w:rsid w:val="17FF2717"/>
    <w:rsid w:val="18185587"/>
    <w:rsid w:val="181D34EA"/>
    <w:rsid w:val="18496BFE"/>
    <w:rsid w:val="18506ACF"/>
    <w:rsid w:val="185331C0"/>
    <w:rsid w:val="18574301"/>
    <w:rsid w:val="185D2255"/>
    <w:rsid w:val="186E51A7"/>
    <w:rsid w:val="18924D48"/>
    <w:rsid w:val="18DF42F7"/>
    <w:rsid w:val="18E13BCB"/>
    <w:rsid w:val="18EC1F68"/>
    <w:rsid w:val="19193365"/>
    <w:rsid w:val="19297320"/>
    <w:rsid w:val="19526877"/>
    <w:rsid w:val="198D575E"/>
    <w:rsid w:val="19930475"/>
    <w:rsid w:val="19C15671"/>
    <w:rsid w:val="1A0D279E"/>
    <w:rsid w:val="1A141065"/>
    <w:rsid w:val="1A242823"/>
    <w:rsid w:val="1A3242D4"/>
    <w:rsid w:val="1A465726"/>
    <w:rsid w:val="1A576575"/>
    <w:rsid w:val="1AB42842"/>
    <w:rsid w:val="1ADE76EC"/>
    <w:rsid w:val="1AF000F5"/>
    <w:rsid w:val="1B304996"/>
    <w:rsid w:val="1B43291B"/>
    <w:rsid w:val="1B652C55"/>
    <w:rsid w:val="1B973E32"/>
    <w:rsid w:val="1BC31CAE"/>
    <w:rsid w:val="1BC51ED0"/>
    <w:rsid w:val="1BE0016A"/>
    <w:rsid w:val="1C4774D8"/>
    <w:rsid w:val="1C584C42"/>
    <w:rsid w:val="1C637285"/>
    <w:rsid w:val="1C762C34"/>
    <w:rsid w:val="1C9F61F6"/>
    <w:rsid w:val="1CB318DA"/>
    <w:rsid w:val="1CC07ED6"/>
    <w:rsid w:val="1D1207F7"/>
    <w:rsid w:val="1D23178A"/>
    <w:rsid w:val="1D512DCF"/>
    <w:rsid w:val="1D5A5384"/>
    <w:rsid w:val="1D7B2840"/>
    <w:rsid w:val="1D885189"/>
    <w:rsid w:val="1D8A459B"/>
    <w:rsid w:val="1D9C27B6"/>
    <w:rsid w:val="1DB83DBE"/>
    <w:rsid w:val="1DB95116"/>
    <w:rsid w:val="1DDF55B9"/>
    <w:rsid w:val="1DEF6D8A"/>
    <w:rsid w:val="1DF53E72"/>
    <w:rsid w:val="1E0C793C"/>
    <w:rsid w:val="1E1862E1"/>
    <w:rsid w:val="1E2E78B2"/>
    <w:rsid w:val="1E3929FE"/>
    <w:rsid w:val="1E6B7CC5"/>
    <w:rsid w:val="1EA23DFC"/>
    <w:rsid w:val="1EE2069D"/>
    <w:rsid w:val="1F052009"/>
    <w:rsid w:val="1F0D0B63"/>
    <w:rsid w:val="1F132E3D"/>
    <w:rsid w:val="1F18577C"/>
    <w:rsid w:val="1F1F290B"/>
    <w:rsid w:val="1F350CF1"/>
    <w:rsid w:val="1F384620"/>
    <w:rsid w:val="1F9C2AB1"/>
    <w:rsid w:val="1FCC34B9"/>
    <w:rsid w:val="204A425C"/>
    <w:rsid w:val="205B4263"/>
    <w:rsid w:val="206326AF"/>
    <w:rsid w:val="206E07DC"/>
    <w:rsid w:val="20776D72"/>
    <w:rsid w:val="20DB01C7"/>
    <w:rsid w:val="20EB22C9"/>
    <w:rsid w:val="216C336E"/>
    <w:rsid w:val="217821DA"/>
    <w:rsid w:val="21A902BF"/>
    <w:rsid w:val="22077ED1"/>
    <w:rsid w:val="220C1839"/>
    <w:rsid w:val="2217065D"/>
    <w:rsid w:val="221806E4"/>
    <w:rsid w:val="221B0E77"/>
    <w:rsid w:val="22833F45"/>
    <w:rsid w:val="228D7161"/>
    <w:rsid w:val="22D313D5"/>
    <w:rsid w:val="22DB2BCF"/>
    <w:rsid w:val="22E77460"/>
    <w:rsid w:val="22E83DA8"/>
    <w:rsid w:val="230B6414"/>
    <w:rsid w:val="231352C9"/>
    <w:rsid w:val="2315617E"/>
    <w:rsid w:val="231734D0"/>
    <w:rsid w:val="234E7AAB"/>
    <w:rsid w:val="23741495"/>
    <w:rsid w:val="23C53683"/>
    <w:rsid w:val="240B4BC5"/>
    <w:rsid w:val="2419493C"/>
    <w:rsid w:val="24407927"/>
    <w:rsid w:val="2446347C"/>
    <w:rsid w:val="246C678D"/>
    <w:rsid w:val="24877D1C"/>
    <w:rsid w:val="24920D92"/>
    <w:rsid w:val="24C932C7"/>
    <w:rsid w:val="24E8234A"/>
    <w:rsid w:val="2567270B"/>
    <w:rsid w:val="256838D4"/>
    <w:rsid w:val="2580651A"/>
    <w:rsid w:val="25C16122"/>
    <w:rsid w:val="25CF7C25"/>
    <w:rsid w:val="26252D3B"/>
    <w:rsid w:val="26431A21"/>
    <w:rsid w:val="26821E30"/>
    <w:rsid w:val="26973157"/>
    <w:rsid w:val="26E00DFE"/>
    <w:rsid w:val="2707407E"/>
    <w:rsid w:val="271F3753"/>
    <w:rsid w:val="27321A96"/>
    <w:rsid w:val="2749750B"/>
    <w:rsid w:val="27885ADD"/>
    <w:rsid w:val="27952750"/>
    <w:rsid w:val="27E17743"/>
    <w:rsid w:val="27EE32E9"/>
    <w:rsid w:val="285B6A8D"/>
    <w:rsid w:val="28716610"/>
    <w:rsid w:val="28924C1A"/>
    <w:rsid w:val="28C02EC2"/>
    <w:rsid w:val="28E00528"/>
    <w:rsid w:val="29071793"/>
    <w:rsid w:val="2935754D"/>
    <w:rsid w:val="297E4738"/>
    <w:rsid w:val="29EF13F1"/>
    <w:rsid w:val="2A197071"/>
    <w:rsid w:val="2A2331A1"/>
    <w:rsid w:val="2A3102E8"/>
    <w:rsid w:val="2A3A736B"/>
    <w:rsid w:val="2A6C4441"/>
    <w:rsid w:val="2A7449D1"/>
    <w:rsid w:val="2AB50F49"/>
    <w:rsid w:val="2AB77BA3"/>
    <w:rsid w:val="2ABB57C3"/>
    <w:rsid w:val="2B0D0850"/>
    <w:rsid w:val="2B5B780D"/>
    <w:rsid w:val="2B79597C"/>
    <w:rsid w:val="2BA80578"/>
    <w:rsid w:val="2BCC4267"/>
    <w:rsid w:val="2BDE29A6"/>
    <w:rsid w:val="2C2B16ED"/>
    <w:rsid w:val="2C6F79E6"/>
    <w:rsid w:val="2C8F6197"/>
    <w:rsid w:val="2CBC077F"/>
    <w:rsid w:val="2CCF6670"/>
    <w:rsid w:val="2CE657FC"/>
    <w:rsid w:val="2CEC40F3"/>
    <w:rsid w:val="2D03552F"/>
    <w:rsid w:val="2D086390"/>
    <w:rsid w:val="2D2F07C3"/>
    <w:rsid w:val="2D6329A9"/>
    <w:rsid w:val="2D8F495C"/>
    <w:rsid w:val="2DA14432"/>
    <w:rsid w:val="2DE86E37"/>
    <w:rsid w:val="2E281A59"/>
    <w:rsid w:val="2E501652"/>
    <w:rsid w:val="2E593A52"/>
    <w:rsid w:val="2E8250B1"/>
    <w:rsid w:val="2F245BCC"/>
    <w:rsid w:val="2F2D3E72"/>
    <w:rsid w:val="2F430406"/>
    <w:rsid w:val="2F5F25EC"/>
    <w:rsid w:val="2FE0081D"/>
    <w:rsid w:val="2FED0C50"/>
    <w:rsid w:val="2FEE0AFC"/>
    <w:rsid w:val="30390D6C"/>
    <w:rsid w:val="3059370B"/>
    <w:rsid w:val="30A473AC"/>
    <w:rsid w:val="30BB2173"/>
    <w:rsid w:val="30C23ADA"/>
    <w:rsid w:val="30C419B0"/>
    <w:rsid w:val="31073DFE"/>
    <w:rsid w:val="313C3498"/>
    <w:rsid w:val="318E0B00"/>
    <w:rsid w:val="31AA22FE"/>
    <w:rsid w:val="31B0547C"/>
    <w:rsid w:val="31CE6783"/>
    <w:rsid w:val="32017127"/>
    <w:rsid w:val="322272D6"/>
    <w:rsid w:val="32677565"/>
    <w:rsid w:val="3276144B"/>
    <w:rsid w:val="32A26FE0"/>
    <w:rsid w:val="32AE2918"/>
    <w:rsid w:val="3301513E"/>
    <w:rsid w:val="330662B0"/>
    <w:rsid w:val="330971C6"/>
    <w:rsid w:val="331FFBEF"/>
    <w:rsid w:val="334E053A"/>
    <w:rsid w:val="33702A7E"/>
    <w:rsid w:val="33756E1A"/>
    <w:rsid w:val="338C576F"/>
    <w:rsid w:val="33DA1A2E"/>
    <w:rsid w:val="340D18C0"/>
    <w:rsid w:val="34207846"/>
    <w:rsid w:val="346403C4"/>
    <w:rsid w:val="34640A9B"/>
    <w:rsid w:val="347842CB"/>
    <w:rsid w:val="3488313F"/>
    <w:rsid w:val="352979E7"/>
    <w:rsid w:val="35541CA4"/>
    <w:rsid w:val="358834AE"/>
    <w:rsid w:val="35BF1753"/>
    <w:rsid w:val="35D24FFC"/>
    <w:rsid w:val="35DB65CD"/>
    <w:rsid w:val="35F2645F"/>
    <w:rsid w:val="35FD371A"/>
    <w:rsid w:val="36181117"/>
    <w:rsid w:val="36376D1A"/>
    <w:rsid w:val="363904DD"/>
    <w:rsid w:val="36544A7B"/>
    <w:rsid w:val="365A20AC"/>
    <w:rsid w:val="367A6C14"/>
    <w:rsid w:val="36826596"/>
    <w:rsid w:val="36DA5A31"/>
    <w:rsid w:val="36DE7CB4"/>
    <w:rsid w:val="37125486"/>
    <w:rsid w:val="3729008E"/>
    <w:rsid w:val="37BB580B"/>
    <w:rsid w:val="37E51D60"/>
    <w:rsid w:val="37EE6ACF"/>
    <w:rsid w:val="384F43B6"/>
    <w:rsid w:val="38575800"/>
    <w:rsid w:val="38CF7C51"/>
    <w:rsid w:val="38DB305E"/>
    <w:rsid w:val="38DC54A0"/>
    <w:rsid w:val="38F70F79"/>
    <w:rsid w:val="392A7838"/>
    <w:rsid w:val="394F0E8A"/>
    <w:rsid w:val="397F499F"/>
    <w:rsid w:val="39D531BB"/>
    <w:rsid w:val="39E9692C"/>
    <w:rsid w:val="39FD29A0"/>
    <w:rsid w:val="3A01552A"/>
    <w:rsid w:val="3A023E13"/>
    <w:rsid w:val="3A033F94"/>
    <w:rsid w:val="3A0B4AF4"/>
    <w:rsid w:val="3A0C19B6"/>
    <w:rsid w:val="3A0D4272"/>
    <w:rsid w:val="3A18424E"/>
    <w:rsid w:val="3A5C798B"/>
    <w:rsid w:val="3A747BF2"/>
    <w:rsid w:val="3A77027C"/>
    <w:rsid w:val="3AA32C70"/>
    <w:rsid w:val="3AA443D8"/>
    <w:rsid w:val="3ABE56C2"/>
    <w:rsid w:val="3AF630AE"/>
    <w:rsid w:val="3B1654FE"/>
    <w:rsid w:val="3B183024"/>
    <w:rsid w:val="3B1B480E"/>
    <w:rsid w:val="3B2B710B"/>
    <w:rsid w:val="3B4C2E9D"/>
    <w:rsid w:val="3B4E4397"/>
    <w:rsid w:val="3B83764D"/>
    <w:rsid w:val="3BCA3C4D"/>
    <w:rsid w:val="3BE55ED2"/>
    <w:rsid w:val="3BE67F74"/>
    <w:rsid w:val="3BFE66BE"/>
    <w:rsid w:val="3C195661"/>
    <w:rsid w:val="3C3C2996"/>
    <w:rsid w:val="3C633302"/>
    <w:rsid w:val="3C6D7974"/>
    <w:rsid w:val="3C8F4E1F"/>
    <w:rsid w:val="3CD531E2"/>
    <w:rsid w:val="3D2B2DC0"/>
    <w:rsid w:val="3D2D6B2F"/>
    <w:rsid w:val="3D4B0645"/>
    <w:rsid w:val="3D955477"/>
    <w:rsid w:val="3DA00FCE"/>
    <w:rsid w:val="3DAE436A"/>
    <w:rsid w:val="3DB76351"/>
    <w:rsid w:val="3DE22B68"/>
    <w:rsid w:val="3DF0177B"/>
    <w:rsid w:val="3E1A3557"/>
    <w:rsid w:val="3E25562F"/>
    <w:rsid w:val="3E402FFD"/>
    <w:rsid w:val="3E80785E"/>
    <w:rsid w:val="3EB62A88"/>
    <w:rsid w:val="3EC314F9"/>
    <w:rsid w:val="3EE31B9B"/>
    <w:rsid w:val="3EE4532C"/>
    <w:rsid w:val="3EE80F60"/>
    <w:rsid w:val="3EF061F1"/>
    <w:rsid w:val="3F254029"/>
    <w:rsid w:val="3F5B5C9E"/>
    <w:rsid w:val="3F780536"/>
    <w:rsid w:val="3F8E7D59"/>
    <w:rsid w:val="3FB24551"/>
    <w:rsid w:val="3FBC53C3"/>
    <w:rsid w:val="3FCE45FA"/>
    <w:rsid w:val="3FD0214B"/>
    <w:rsid w:val="400F5E81"/>
    <w:rsid w:val="40224945"/>
    <w:rsid w:val="40900561"/>
    <w:rsid w:val="4092498D"/>
    <w:rsid w:val="40A22CFB"/>
    <w:rsid w:val="40D853D2"/>
    <w:rsid w:val="40DE6ABE"/>
    <w:rsid w:val="412944A5"/>
    <w:rsid w:val="41A81F33"/>
    <w:rsid w:val="41CE6B33"/>
    <w:rsid w:val="41F10CC3"/>
    <w:rsid w:val="42220C2D"/>
    <w:rsid w:val="42360234"/>
    <w:rsid w:val="425525C0"/>
    <w:rsid w:val="42883F4D"/>
    <w:rsid w:val="42B78AAB"/>
    <w:rsid w:val="430678B6"/>
    <w:rsid w:val="43317379"/>
    <w:rsid w:val="435A4775"/>
    <w:rsid w:val="435B45D8"/>
    <w:rsid w:val="4368266F"/>
    <w:rsid w:val="43720950"/>
    <w:rsid w:val="43722AC5"/>
    <w:rsid w:val="43A76B9F"/>
    <w:rsid w:val="43C560A1"/>
    <w:rsid w:val="43E71B8B"/>
    <w:rsid w:val="43F959BD"/>
    <w:rsid w:val="440215FF"/>
    <w:rsid w:val="441B4081"/>
    <w:rsid w:val="442C4D39"/>
    <w:rsid w:val="442C5D93"/>
    <w:rsid w:val="44366C11"/>
    <w:rsid w:val="443F7874"/>
    <w:rsid w:val="44414368"/>
    <w:rsid w:val="446612A5"/>
    <w:rsid w:val="44BF1512"/>
    <w:rsid w:val="44C24001"/>
    <w:rsid w:val="44E84D2D"/>
    <w:rsid w:val="45097E82"/>
    <w:rsid w:val="458B6AE9"/>
    <w:rsid w:val="458F482B"/>
    <w:rsid w:val="45EF2176"/>
    <w:rsid w:val="46024FFD"/>
    <w:rsid w:val="46156631"/>
    <w:rsid w:val="46301B21"/>
    <w:rsid w:val="463762D1"/>
    <w:rsid w:val="464E28CA"/>
    <w:rsid w:val="464E7717"/>
    <w:rsid w:val="465669B8"/>
    <w:rsid w:val="469773DC"/>
    <w:rsid w:val="46F169CD"/>
    <w:rsid w:val="46FA108A"/>
    <w:rsid w:val="47514BAE"/>
    <w:rsid w:val="47704C0C"/>
    <w:rsid w:val="478B4B7E"/>
    <w:rsid w:val="47941C85"/>
    <w:rsid w:val="479B67CF"/>
    <w:rsid w:val="47B16CDB"/>
    <w:rsid w:val="47BE73FC"/>
    <w:rsid w:val="47C6205A"/>
    <w:rsid w:val="485364DD"/>
    <w:rsid w:val="489B674F"/>
    <w:rsid w:val="48C668CB"/>
    <w:rsid w:val="48D12880"/>
    <w:rsid w:val="48DB5C3F"/>
    <w:rsid w:val="48E20D69"/>
    <w:rsid w:val="490F76C8"/>
    <w:rsid w:val="496B2EB9"/>
    <w:rsid w:val="497521A4"/>
    <w:rsid w:val="498E4F7B"/>
    <w:rsid w:val="49951AC7"/>
    <w:rsid w:val="49AE530A"/>
    <w:rsid w:val="49B73971"/>
    <w:rsid w:val="49D65F91"/>
    <w:rsid w:val="49E04914"/>
    <w:rsid w:val="4A22199C"/>
    <w:rsid w:val="4A357AE7"/>
    <w:rsid w:val="4A38585E"/>
    <w:rsid w:val="4A4950CD"/>
    <w:rsid w:val="4A7B35D0"/>
    <w:rsid w:val="4AAF2669"/>
    <w:rsid w:val="4ABB5F5B"/>
    <w:rsid w:val="4AC543C8"/>
    <w:rsid w:val="4B074E64"/>
    <w:rsid w:val="4B0E1D4E"/>
    <w:rsid w:val="4B9A7A86"/>
    <w:rsid w:val="4BBA1ED6"/>
    <w:rsid w:val="4BBF016F"/>
    <w:rsid w:val="4BD91D16"/>
    <w:rsid w:val="4BD94EF1"/>
    <w:rsid w:val="4BE43FEB"/>
    <w:rsid w:val="4BEB02E1"/>
    <w:rsid w:val="4C031737"/>
    <w:rsid w:val="4C14569A"/>
    <w:rsid w:val="4C201196"/>
    <w:rsid w:val="4C215AB1"/>
    <w:rsid w:val="4C3A60A4"/>
    <w:rsid w:val="4C8F2B51"/>
    <w:rsid w:val="4CD945DE"/>
    <w:rsid w:val="4D263438"/>
    <w:rsid w:val="4D300A92"/>
    <w:rsid w:val="4D491763"/>
    <w:rsid w:val="4D50664E"/>
    <w:rsid w:val="4D82335E"/>
    <w:rsid w:val="4D891B60"/>
    <w:rsid w:val="4DAB54F3"/>
    <w:rsid w:val="4DB241AC"/>
    <w:rsid w:val="4DD81D53"/>
    <w:rsid w:val="4DEA091A"/>
    <w:rsid w:val="4E141D71"/>
    <w:rsid w:val="4E423E14"/>
    <w:rsid w:val="4E5254F9"/>
    <w:rsid w:val="4E6D2967"/>
    <w:rsid w:val="4EA95B7B"/>
    <w:rsid w:val="4EAD13BA"/>
    <w:rsid w:val="4EEF1EC7"/>
    <w:rsid w:val="4F2B31B5"/>
    <w:rsid w:val="4F545927"/>
    <w:rsid w:val="4F60428B"/>
    <w:rsid w:val="4F64180E"/>
    <w:rsid w:val="4FC472C9"/>
    <w:rsid w:val="4FC65483"/>
    <w:rsid w:val="4FCC05FB"/>
    <w:rsid w:val="4FDD6193"/>
    <w:rsid w:val="4FFA6D45"/>
    <w:rsid w:val="500656EA"/>
    <w:rsid w:val="502D2CA5"/>
    <w:rsid w:val="502D6990"/>
    <w:rsid w:val="50741D5C"/>
    <w:rsid w:val="50763098"/>
    <w:rsid w:val="509224E0"/>
    <w:rsid w:val="50940F47"/>
    <w:rsid w:val="50CF3D2E"/>
    <w:rsid w:val="50D852D8"/>
    <w:rsid w:val="50DC591D"/>
    <w:rsid w:val="510064FA"/>
    <w:rsid w:val="510E0CFA"/>
    <w:rsid w:val="5138627D"/>
    <w:rsid w:val="51452242"/>
    <w:rsid w:val="515E50B1"/>
    <w:rsid w:val="517B3EB5"/>
    <w:rsid w:val="51A27694"/>
    <w:rsid w:val="51AC0513"/>
    <w:rsid w:val="51AF7343"/>
    <w:rsid w:val="51D35A9F"/>
    <w:rsid w:val="521074C0"/>
    <w:rsid w:val="527C1FA6"/>
    <w:rsid w:val="52B24999"/>
    <w:rsid w:val="52BF46A2"/>
    <w:rsid w:val="531D6D64"/>
    <w:rsid w:val="53407165"/>
    <w:rsid w:val="53690469"/>
    <w:rsid w:val="536A38B4"/>
    <w:rsid w:val="53815479"/>
    <w:rsid w:val="53A5521A"/>
    <w:rsid w:val="53C547CD"/>
    <w:rsid w:val="53FB3291"/>
    <w:rsid w:val="540168F4"/>
    <w:rsid w:val="54016FAF"/>
    <w:rsid w:val="5411516A"/>
    <w:rsid w:val="541D74A6"/>
    <w:rsid w:val="542B3971"/>
    <w:rsid w:val="542B7B6C"/>
    <w:rsid w:val="546D0E45"/>
    <w:rsid w:val="549B6E84"/>
    <w:rsid w:val="550C3B9D"/>
    <w:rsid w:val="551B39E5"/>
    <w:rsid w:val="553E09E5"/>
    <w:rsid w:val="555425BD"/>
    <w:rsid w:val="558533A4"/>
    <w:rsid w:val="55B51455"/>
    <w:rsid w:val="55BD684B"/>
    <w:rsid w:val="55D87B28"/>
    <w:rsid w:val="55EB1088"/>
    <w:rsid w:val="55F82EE0"/>
    <w:rsid w:val="5628003F"/>
    <w:rsid w:val="563A135A"/>
    <w:rsid w:val="563F1440"/>
    <w:rsid w:val="564D5947"/>
    <w:rsid w:val="565C6063"/>
    <w:rsid w:val="567E2150"/>
    <w:rsid w:val="568466E1"/>
    <w:rsid w:val="56C2401F"/>
    <w:rsid w:val="56DC53F6"/>
    <w:rsid w:val="56DF0B35"/>
    <w:rsid w:val="56E754E2"/>
    <w:rsid w:val="575B774B"/>
    <w:rsid w:val="576B22D6"/>
    <w:rsid w:val="57E502DB"/>
    <w:rsid w:val="586A7529"/>
    <w:rsid w:val="58A97C49"/>
    <w:rsid w:val="58B32187"/>
    <w:rsid w:val="58BE3FAD"/>
    <w:rsid w:val="58E14F46"/>
    <w:rsid w:val="590824D3"/>
    <w:rsid w:val="593432C8"/>
    <w:rsid w:val="59C64145"/>
    <w:rsid w:val="5A104EED"/>
    <w:rsid w:val="5A19685F"/>
    <w:rsid w:val="5A4867BF"/>
    <w:rsid w:val="5A81036A"/>
    <w:rsid w:val="5A9A53AC"/>
    <w:rsid w:val="5AA0313D"/>
    <w:rsid w:val="5AAE0103"/>
    <w:rsid w:val="5AC47BAD"/>
    <w:rsid w:val="5B1F58B2"/>
    <w:rsid w:val="5B21162A"/>
    <w:rsid w:val="5B447E48"/>
    <w:rsid w:val="5B6A1223"/>
    <w:rsid w:val="5B857E0A"/>
    <w:rsid w:val="5B9C083A"/>
    <w:rsid w:val="5BD70E12"/>
    <w:rsid w:val="5C0828CF"/>
    <w:rsid w:val="5C1D672B"/>
    <w:rsid w:val="5C55109C"/>
    <w:rsid w:val="5C7165E1"/>
    <w:rsid w:val="5C734107"/>
    <w:rsid w:val="5CB71AC6"/>
    <w:rsid w:val="5CC96ACD"/>
    <w:rsid w:val="5CD03307"/>
    <w:rsid w:val="5CDE03CD"/>
    <w:rsid w:val="5CF26A98"/>
    <w:rsid w:val="5D121B72"/>
    <w:rsid w:val="5D4635C9"/>
    <w:rsid w:val="5D901839"/>
    <w:rsid w:val="5D9F60E0"/>
    <w:rsid w:val="5DB20C5F"/>
    <w:rsid w:val="5DE0310A"/>
    <w:rsid w:val="5DE54B90"/>
    <w:rsid w:val="5DE84681"/>
    <w:rsid w:val="5DFD418A"/>
    <w:rsid w:val="5EF51760"/>
    <w:rsid w:val="5F492843"/>
    <w:rsid w:val="5F4B3C27"/>
    <w:rsid w:val="5F5D7738"/>
    <w:rsid w:val="5F8B6870"/>
    <w:rsid w:val="5F8E3006"/>
    <w:rsid w:val="5FC35FCF"/>
    <w:rsid w:val="5FE6782F"/>
    <w:rsid w:val="5FE7666D"/>
    <w:rsid w:val="5FEA3FA1"/>
    <w:rsid w:val="604162CA"/>
    <w:rsid w:val="604D2EC1"/>
    <w:rsid w:val="60572A3E"/>
    <w:rsid w:val="6057789C"/>
    <w:rsid w:val="60683FC1"/>
    <w:rsid w:val="609A15D7"/>
    <w:rsid w:val="609F196E"/>
    <w:rsid w:val="60A22F98"/>
    <w:rsid w:val="60AD10DE"/>
    <w:rsid w:val="60C72F4B"/>
    <w:rsid w:val="60F00550"/>
    <w:rsid w:val="60F63B21"/>
    <w:rsid w:val="61654709"/>
    <w:rsid w:val="6175345D"/>
    <w:rsid w:val="61822775"/>
    <w:rsid w:val="61985294"/>
    <w:rsid w:val="61D54F1C"/>
    <w:rsid w:val="62A82630"/>
    <w:rsid w:val="62B152D3"/>
    <w:rsid w:val="62C2518A"/>
    <w:rsid w:val="62C25AB2"/>
    <w:rsid w:val="632879EB"/>
    <w:rsid w:val="637F3391"/>
    <w:rsid w:val="63AD6B66"/>
    <w:rsid w:val="63B079EF"/>
    <w:rsid w:val="63DC19B8"/>
    <w:rsid w:val="63F4236B"/>
    <w:rsid w:val="640B731B"/>
    <w:rsid w:val="642F4DB7"/>
    <w:rsid w:val="64376776"/>
    <w:rsid w:val="64405216"/>
    <w:rsid w:val="646602D4"/>
    <w:rsid w:val="64852C29"/>
    <w:rsid w:val="64D23995"/>
    <w:rsid w:val="64EA7307"/>
    <w:rsid w:val="65044279"/>
    <w:rsid w:val="650A312E"/>
    <w:rsid w:val="651346D9"/>
    <w:rsid w:val="652E3490"/>
    <w:rsid w:val="65387A86"/>
    <w:rsid w:val="65B5753E"/>
    <w:rsid w:val="65C43C20"/>
    <w:rsid w:val="65C7198A"/>
    <w:rsid w:val="661606F9"/>
    <w:rsid w:val="664223F2"/>
    <w:rsid w:val="668508E5"/>
    <w:rsid w:val="668D2FD9"/>
    <w:rsid w:val="66A17198"/>
    <w:rsid w:val="66C11CDB"/>
    <w:rsid w:val="66CA0555"/>
    <w:rsid w:val="66CA7019"/>
    <w:rsid w:val="66F66637"/>
    <w:rsid w:val="67312BBD"/>
    <w:rsid w:val="6786742D"/>
    <w:rsid w:val="679C0B0D"/>
    <w:rsid w:val="67B8747C"/>
    <w:rsid w:val="67E168D5"/>
    <w:rsid w:val="680C1E03"/>
    <w:rsid w:val="6828189F"/>
    <w:rsid w:val="688512A0"/>
    <w:rsid w:val="68882CE8"/>
    <w:rsid w:val="68D57C80"/>
    <w:rsid w:val="68DE1162"/>
    <w:rsid w:val="68ED228A"/>
    <w:rsid w:val="69031845"/>
    <w:rsid w:val="69251DAA"/>
    <w:rsid w:val="6933470D"/>
    <w:rsid w:val="69564B25"/>
    <w:rsid w:val="695D65BF"/>
    <w:rsid w:val="698B5DB4"/>
    <w:rsid w:val="69955C7B"/>
    <w:rsid w:val="69B875FD"/>
    <w:rsid w:val="69CD1DDD"/>
    <w:rsid w:val="69E637EE"/>
    <w:rsid w:val="69EA352F"/>
    <w:rsid w:val="6A226039"/>
    <w:rsid w:val="6A226DB8"/>
    <w:rsid w:val="6A2D5AF3"/>
    <w:rsid w:val="6A440E91"/>
    <w:rsid w:val="6AAB53B4"/>
    <w:rsid w:val="6B0333E1"/>
    <w:rsid w:val="6B0A5C6F"/>
    <w:rsid w:val="6B35052E"/>
    <w:rsid w:val="6B4144EE"/>
    <w:rsid w:val="6B432D06"/>
    <w:rsid w:val="6B4F3947"/>
    <w:rsid w:val="6B5A7352"/>
    <w:rsid w:val="6BB564B9"/>
    <w:rsid w:val="6BEA19E2"/>
    <w:rsid w:val="6C3A074D"/>
    <w:rsid w:val="6C4B4758"/>
    <w:rsid w:val="6C82221B"/>
    <w:rsid w:val="6C8417C8"/>
    <w:rsid w:val="6C94788D"/>
    <w:rsid w:val="6CC00209"/>
    <w:rsid w:val="6CD306F8"/>
    <w:rsid w:val="6CD315C9"/>
    <w:rsid w:val="6CE0012B"/>
    <w:rsid w:val="6CF61EDA"/>
    <w:rsid w:val="6D005B4A"/>
    <w:rsid w:val="6D02661C"/>
    <w:rsid w:val="6D04040E"/>
    <w:rsid w:val="6D2C27DC"/>
    <w:rsid w:val="6D3005DF"/>
    <w:rsid w:val="6D452BB7"/>
    <w:rsid w:val="6DB119FB"/>
    <w:rsid w:val="6DE52B9B"/>
    <w:rsid w:val="6DE704B1"/>
    <w:rsid w:val="6DE72F43"/>
    <w:rsid w:val="6E0232B9"/>
    <w:rsid w:val="6E043EF2"/>
    <w:rsid w:val="6E1F40EF"/>
    <w:rsid w:val="6E374F34"/>
    <w:rsid w:val="6E3C0F77"/>
    <w:rsid w:val="6E46167B"/>
    <w:rsid w:val="6E6E0BD2"/>
    <w:rsid w:val="6EAC488C"/>
    <w:rsid w:val="6EAD1EA1"/>
    <w:rsid w:val="6EAE5BFB"/>
    <w:rsid w:val="6EBF4F8A"/>
    <w:rsid w:val="6ECD7FD3"/>
    <w:rsid w:val="6F2D2554"/>
    <w:rsid w:val="6F52338C"/>
    <w:rsid w:val="6F7B4AC1"/>
    <w:rsid w:val="6FA0300D"/>
    <w:rsid w:val="6FB37D57"/>
    <w:rsid w:val="6FC64E5B"/>
    <w:rsid w:val="6FDD56E9"/>
    <w:rsid w:val="701C27AB"/>
    <w:rsid w:val="701D01BA"/>
    <w:rsid w:val="702F613F"/>
    <w:rsid w:val="703702D0"/>
    <w:rsid w:val="706E201B"/>
    <w:rsid w:val="70C20BC1"/>
    <w:rsid w:val="711D7258"/>
    <w:rsid w:val="712934B2"/>
    <w:rsid w:val="71304114"/>
    <w:rsid w:val="71306613"/>
    <w:rsid w:val="715F3E92"/>
    <w:rsid w:val="716D33C3"/>
    <w:rsid w:val="71707EEA"/>
    <w:rsid w:val="718F6E95"/>
    <w:rsid w:val="71914DFB"/>
    <w:rsid w:val="719426FE"/>
    <w:rsid w:val="719967AA"/>
    <w:rsid w:val="71A44561"/>
    <w:rsid w:val="71A87591"/>
    <w:rsid w:val="71AB5C99"/>
    <w:rsid w:val="71AC73F2"/>
    <w:rsid w:val="71B64397"/>
    <w:rsid w:val="720A6948"/>
    <w:rsid w:val="72275320"/>
    <w:rsid w:val="726245AA"/>
    <w:rsid w:val="726C71D7"/>
    <w:rsid w:val="729E596F"/>
    <w:rsid w:val="72CB1E47"/>
    <w:rsid w:val="73137F9A"/>
    <w:rsid w:val="73194796"/>
    <w:rsid w:val="7328533B"/>
    <w:rsid w:val="733028FA"/>
    <w:rsid w:val="73520AC2"/>
    <w:rsid w:val="73761ADE"/>
    <w:rsid w:val="73AA26AC"/>
    <w:rsid w:val="73AD7AA7"/>
    <w:rsid w:val="73D97B52"/>
    <w:rsid w:val="73E3796C"/>
    <w:rsid w:val="73E77DE1"/>
    <w:rsid w:val="740D49E9"/>
    <w:rsid w:val="740E0F2E"/>
    <w:rsid w:val="740F0F3C"/>
    <w:rsid w:val="743401C8"/>
    <w:rsid w:val="745443C6"/>
    <w:rsid w:val="749842ED"/>
    <w:rsid w:val="74AC2B47"/>
    <w:rsid w:val="74E905AF"/>
    <w:rsid w:val="74EE481B"/>
    <w:rsid w:val="75053C12"/>
    <w:rsid w:val="7506384C"/>
    <w:rsid w:val="75070AFC"/>
    <w:rsid w:val="754206C3"/>
    <w:rsid w:val="7544268D"/>
    <w:rsid w:val="75502702"/>
    <w:rsid w:val="755B77CB"/>
    <w:rsid w:val="755C0BB7"/>
    <w:rsid w:val="756D3991"/>
    <w:rsid w:val="75824BD9"/>
    <w:rsid w:val="75EF7FE9"/>
    <w:rsid w:val="761539AE"/>
    <w:rsid w:val="763D7808"/>
    <w:rsid w:val="764A459F"/>
    <w:rsid w:val="7667123C"/>
    <w:rsid w:val="76876879"/>
    <w:rsid w:val="768F7938"/>
    <w:rsid w:val="76E435C1"/>
    <w:rsid w:val="76FF686B"/>
    <w:rsid w:val="7717743E"/>
    <w:rsid w:val="77422AB2"/>
    <w:rsid w:val="775B4806"/>
    <w:rsid w:val="77651327"/>
    <w:rsid w:val="778E4093"/>
    <w:rsid w:val="77935205"/>
    <w:rsid w:val="77A34773"/>
    <w:rsid w:val="782E3942"/>
    <w:rsid w:val="783E1615"/>
    <w:rsid w:val="7863107C"/>
    <w:rsid w:val="7873035D"/>
    <w:rsid w:val="787A67C6"/>
    <w:rsid w:val="78A07A24"/>
    <w:rsid w:val="78B4326A"/>
    <w:rsid w:val="78C86137"/>
    <w:rsid w:val="78E212EF"/>
    <w:rsid w:val="793B7903"/>
    <w:rsid w:val="79637D04"/>
    <w:rsid w:val="797572B9"/>
    <w:rsid w:val="79797124"/>
    <w:rsid w:val="79CA4AFB"/>
    <w:rsid w:val="79CD4208"/>
    <w:rsid w:val="79CE5AE0"/>
    <w:rsid w:val="79D20DB8"/>
    <w:rsid w:val="79D264B9"/>
    <w:rsid w:val="7A205476"/>
    <w:rsid w:val="7A2D2539"/>
    <w:rsid w:val="7A3621F2"/>
    <w:rsid w:val="7A4F2BFF"/>
    <w:rsid w:val="7A6D61E2"/>
    <w:rsid w:val="7A866BA8"/>
    <w:rsid w:val="7A88301C"/>
    <w:rsid w:val="7AB8096A"/>
    <w:rsid w:val="7B3F62EE"/>
    <w:rsid w:val="7BA07EF1"/>
    <w:rsid w:val="7BDC1798"/>
    <w:rsid w:val="7BF24976"/>
    <w:rsid w:val="7C1253FE"/>
    <w:rsid w:val="7C211032"/>
    <w:rsid w:val="7C376AA7"/>
    <w:rsid w:val="7C621E3D"/>
    <w:rsid w:val="7C765821"/>
    <w:rsid w:val="7C830568"/>
    <w:rsid w:val="7CE320CE"/>
    <w:rsid w:val="7CFE26C3"/>
    <w:rsid w:val="7D1D0B9A"/>
    <w:rsid w:val="7D407BDD"/>
    <w:rsid w:val="7D511E86"/>
    <w:rsid w:val="7D7025FD"/>
    <w:rsid w:val="7DA61F6B"/>
    <w:rsid w:val="7DDF6B22"/>
    <w:rsid w:val="7DFAF654"/>
    <w:rsid w:val="7E121248"/>
    <w:rsid w:val="7E1D327F"/>
    <w:rsid w:val="7E306A80"/>
    <w:rsid w:val="7E394D59"/>
    <w:rsid w:val="7E582D05"/>
    <w:rsid w:val="7E6003C4"/>
    <w:rsid w:val="7E6FC0EE"/>
    <w:rsid w:val="7EBF0892"/>
    <w:rsid w:val="7EC338E6"/>
    <w:rsid w:val="7ED06D3F"/>
    <w:rsid w:val="7EF650DA"/>
    <w:rsid w:val="7F1430D0"/>
    <w:rsid w:val="7F1B445E"/>
    <w:rsid w:val="7F26620E"/>
    <w:rsid w:val="7F3379FA"/>
    <w:rsid w:val="7F3E7050"/>
    <w:rsid w:val="7F497728"/>
    <w:rsid w:val="7FD22A04"/>
    <w:rsid w:val="7FE15DC2"/>
    <w:rsid w:val="A7EFE40F"/>
    <w:rsid w:val="BFAF1DA3"/>
    <w:rsid w:val="DEDF0DB0"/>
    <w:rsid w:val="DFFED1F7"/>
    <w:rsid w:val="EFF03413"/>
    <w:rsid w:val="F3FD4C81"/>
    <w:rsid w:val="F5B1D8CD"/>
    <w:rsid w:val="F9EF794A"/>
    <w:rsid w:val="FCBF4AC7"/>
    <w:rsid w:val="FF7DC9FC"/>
    <w:rsid w:val="FFEE3A1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0" w:semiHidden="0" w:name="toc 1"/>
    <w:lsdException w:qFormat="1" w:uiPriority="0"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32"/>
      <w:szCs w:val="20"/>
    </w:rPr>
  </w:style>
  <w:style w:type="paragraph" w:styleId="3">
    <w:name w:val="heading 2"/>
    <w:basedOn w:val="1"/>
    <w:next w:val="1"/>
    <w:link w:val="55"/>
    <w:qFormat/>
    <w:uiPriority w:val="0"/>
    <w:pPr>
      <w:keepNext/>
      <w:keepLines/>
      <w:spacing w:before="260" w:after="260" w:line="500" w:lineRule="exact"/>
      <w:outlineLvl w:val="1"/>
    </w:pPr>
    <w:rPr>
      <w:rFonts w:ascii="Arial" w:hAnsi="Arial" w:eastAsia="黑体"/>
      <w:b/>
      <w:sz w:val="28"/>
      <w:szCs w:val="20"/>
    </w:rPr>
  </w:style>
  <w:style w:type="paragraph" w:styleId="4">
    <w:name w:val="heading 3"/>
    <w:basedOn w:val="1"/>
    <w:next w:val="1"/>
    <w:qFormat/>
    <w:uiPriority w:val="0"/>
    <w:pPr>
      <w:keepNext/>
      <w:keepLines/>
      <w:spacing w:before="260" w:after="260" w:line="412" w:lineRule="auto"/>
      <w:outlineLvl w:val="2"/>
    </w:pPr>
    <w:rPr>
      <w:b/>
      <w:sz w:val="32"/>
      <w:szCs w:val="20"/>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qFormat/>
    <w:uiPriority w:val="0"/>
    <w:pPr>
      <w:keepNext/>
      <w:keepLines/>
      <w:numPr>
        <w:ilvl w:val="4"/>
        <w:numId w:val="1"/>
      </w:numPr>
      <w:spacing w:before="280" w:after="290" w:line="372" w:lineRule="auto"/>
      <w:outlineLvl w:val="4"/>
    </w:pPr>
    <w:rPr>
      <w:b/>
      <w:sz w:val="28"/>
    </w:rPr>
  </w:style>
  <w:style w:type="paragraph" w:styleId="8">
    <w:name w:val="heading 6"/>
    <w:basedOn w:val="1"/>
    <w:next w:val="7"/>
    <w:qFormat/>
    <w:uiPriority w:val="0"/>
    <w:pPr>
      <w:keepNext/>
      <w:keepLines/>
      <w:numPr>
        <w:ilvl w:val="5"/>
        <w:numId w:val="1"/>
      </w:numPr>
      <w:spacing w:before="240" w:after="64" w:line="316" w:lineRule="auto"/>
      <w:outlineLvl w:val="5"/>
    </w:pPr>
    <w:rPr>
      <w:rFonts w:ascii="Arial" w:hAnsi="Arial" w:eastAsia="黑体"/>
      <w:b/>
      <w:sz w:val="24"/>
    </w:rPr>
  </w:style>
  <w:style w:type="paragraph" w:styleId="9">
    <w:name w:val="heading 7"/>
    <w:basedOn w:val="1"/>
    <w:next w:val="7"/>
    <w:qFormat/>
    <w:uiPriority w:val="0"/>
    <w:pPr>
      <w:keepNext/>
      <w:keepLines/>
      <w:numPr>
        <w:ilvl w:val="6"/>
        <w:numId w:val="1"/>
      </w:numPr>
      <w:spacing w:before="240" w:after="64" w:line="316" w:lineRule="auto"/>
      <w:outlineLvl w:val="6"/>
    </w:pPr>
    <w:rPr>
      <w:b/>
      <w:sz w:val="24"/>
    </w:rPr>
  </w:style>
  <w:style w:type="paragraph" w:styleId="10">
    <w:name w:val="heading 8"/>
    <w:basedOn w:val="1"/>
    <w:next w:val="7"/>
    <w:qFormat/>
    <w:uiPriority w:val="0"/>
    <w:pPr>
      <w:keepNext/>
      <w:keepLines/>
      <w:numPr>
        <w:ilvl w:val="7"/>
        <w:numId w:val="1"/>
      </w:numPr>
      <w:spacing w:before="240" w:after="64" w:line="316" w:lineRule="auto"/>
      <w:outlineLvl w:val="7"/>
    </w:pPr>
    <w:rPr>
      <w:rFonts w:ascii="Arial" w:hAnsi="Arial" w:eastAsia="黑体"/>
      <w:sz w:val="24"/>
    </w:rPr>
  </w:style>
  <w:style w:type="paragraph" w:styleId="11">
    <w:name w:val="heading 9"/>
    <w:basedOn w:val="1"/>
    <w:next w:val="7"/>
    <w:qFormat/>
    <w:uiPriority w:val="0"/>
    <w:pPr>
      <w:keepNext/>
      <w:keepLines/>
      <w:numPr>
        <w:ilvl w:val="8"/>
        <w:numId w:val="1"/>
      </w:numPr>
      <w:spacing w:before="240" w:after="64" w:line="316" w:lineRule="auto"/>
      <w:outlineLvl w:val="8"/>
    </w:pPr>
    <w:rPr>
      <w:rFonts w:ascii="Arial" w:hAnsi="Arial" w:eastAsia="黑体"/>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51"/>
    <w:qFormat/>
    <w:uiPriority w:val="0"/>
    <w:pPr>
      <w:ind w:firstLine="420"/>
    </w:pPr>
    <w:rPr>
      <w:szCs w:val="20"/>
    </w:rPr>
  </w:style>
  <w:style w:type="paragraph" w:styleId="12">
    <w:name w:val="annotation text"/>
    <w:basedOn w:val="1"/>
    <w:link w:val="111"/>
    <w:unhideWhenUsed/>
    <w:qFormat/>
    <w:uiPriority w:val="0"/>
    <w:pPr>
      <w:jc w:val="left"/>
    </w:pPr>
  </w:style>
  <w:style w:type="paragraph" w:styleId="13">
    <w:name w:val="Body Text"/>
    <w:basedOn w:val="1"/>
    <w:unhideWhenUsed/>
    <w:qFormat/>
    <w:uiPriority w:val="99"/>
    <w:rPr>
      <w:b/>
      <w:sz w:val="28"/>
    </w:rPr>
  </w:style>
  <w:style w:type="paragraph" w:styleId="14">
    <w:name w:val="Body Text Indent"/>
    <w:basedOn w:val="1"/>
    <w:link w:val="48"/>
    <w:qFormat/>
    <w:uiPriority w:val="0"/>
    <w:pPr>
      <w:ind w:firstLine="630"/>
    </w:pPr>
    <w:rPr>
      <w:sz w:val="32"/>
      <w:szCs w:val="20"/>
    </w:rPr>
  </w:style>
  <w:style w:type="paragraph" w:styleId="15">
    <w:name w:val="Block Text"/>
    <w:basedOn w:val="1"/>
    <w:unhideWhenUsed/>
    <w:qFormat/>
    <w:uiPriority w:val="99"/>
    <w:pPr>
      <w:spacing w:line="360" w:lineRule="auto"/>
      <w:ind w:left="-420" w:leftChars="-200" w:right="210" w:rightChars="100" w:firstLine="480" w:firstLineChars="200"/>
    </w:pPr>
    <w:rPr>
      <w:sz w:val="24"/>
    </w:rPr>
  </w:style>
  <w:style w:type="paragraph" w:styleId="16">
    <w:name w:val="Plain Text"/>
    <w:basedOn w:val="1"/>
    <w:link w:val="56"/>
    <w:qFormat/>
    <w:uiPriority w:val="0"/>
    <w:rPr>
      <w:rFonts w:ascii="宋体" w:hAnsi="Courier New" w:cs="Courier New"/>
      <w:szCs w:val="21"/>
    </w:rPr>
  </w:style>
  <w:style w:type="paragraph" w:styleId="17">
    <w:name w:val="Date"/>
    <w:basedOn w:val="1"/>
    <w:next w:val="1"/>
    <w:qFormat/>
    <w:uiPriority w:val="0"/>
    <w:pPr>
      <w:ind w:left="100" w:leftChars="2500"/>
    </w:pPr>
  </w:style>
  <w:style w:type="paragraph" w:styleId="18">
    <w:name w:val="Body Text Indent 2"/>
    <w:basedOn w:val="1"/>
    <w:link w:val="50"/>
    <w:qFormat/>
    <w:uiPriority w:val="0"/>
    <w:pPr>
      <w:ind w:firstLine="630"/>
    </w:pPr>
    <w:rPr>
      <w:sz w:val="32"/>
      <w:szCs w:val="20"/>
    </w:rPr>
  </w:style>
  <w:style w:type="paragraph" w:styleId="19">
    <w:name w:val="Balloon Text"/>
    <w:basedOn w:val="1"/>
    <w:link w:val="67"/>
    <w:qFormat/>
    <w:uiPriority w:val="0"/>
    <w:rPr>
      <w:sz w:val="18"/>
      <w:szCs w:val="18"/>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2"/>
    <w:qFormat/>
    <w:uiPriority w:val="0"/>
    <w:pPr>
      <w:pBdr>
        <w:bottom w:val="single" w:color="auto" w:sz="6" w:space="1"/>
      </w:pBdr>
      <w:tabs>
        <w:tab w:val="center" w:pos="4153"/>
        <w:tab w:val="right" w:pos="8306"/>
      </w:tabs>
      <w:snapToGrid w:val="0"/>
      <w:jc w:val="center"/>
    </w:pPr>
    <w:rPr>
      <w:sz w:val="18"/>
      <w:szCs w:val="20"/>
    </w:rPr>
  </w:style>
  <w:style w:type="paragraph" w:styleId="22">
    <w:name w:val="toc 1"/>
    <w:basedOn w:val="1"/>
    <w:next w:val="1"/>
    <w:unhideWhenUsed/>
    <w:qFormat/>
    <w:uiPriority w:val="0"/>
  </w:style>
  <w:style w:type="paragraph" w:styleId="23">
    <w:name w:val="Subtitle"/>
    <w:basedOn w:val="1"/>
    <w:next w:val="1"/>
    <w:link w:val="80"/>
    <w:qFormat/>
    <w:uiPriority w:val="0"/>
    <w:pPr>
      <w:spacing w:before="240" w:after="60" w:line="312" w:lineRule="auto"/>
      <w:jc w:val="center"/>
      <w:outlineLvl w:val="1"/>
    </w:pPr>
    <w:rPr>
      <w:rFonts w:ascii="Cambria" w:hAnsi="Cambria"/>
      <w:b/>
      <w:bCs/>
      <w:kern w:val="28"/>
      <w:sz w:val="32"/>
      <w:szCs w:val="32"/>
    </w:rPr>
  </w:style>
  <w:style w:type="paragraph" w:styleId="24">
    <w:name w:val="Body Text Indent 3"/>
    <w:basedOn w:val="1"/>
    <w:link w:val="46"/>
    <w:qFormat/>
    <w:uiPriority w:val="0"/>
    <w:pPr>
      <w:adjustRightInd w:val="0"/>
      <w:snapToGrid w:val="0"/>
      <w:spacing w:line="360" w:lineRule="auto"/>
      <w:ind w:firstLine="600" w:firstLineChars="200"/>
    </w:pPr>
    <w:rPr>
      <w:rFonts w:ascii="黑体" w:eastAsia="黑体"/>
      <w:sz w:val="30"/>
      <w:szCs w:val="28"/>
    </w:rPr>
  </w:style>
  <w:style w:type="paragraph" w:styleId="25">
    <w:name w:val="toc 2"/>
    <w:basedOn w:val="1"/>
    <w:next w:val="1"/>
    <w:unhideWhenUsed/>
    <w:qFormat/>
    <w:uiPriority w:val="0"/>
    <w:pPr>
      <w:ind w:left="420" w:leftChars="200"/>
    </w:pPr>
  </w:style>
  <w:style w:type="paragraph" w:styleId="26">
    <w:name w:val="Body Text 2"/>
    <w:basedOn w:val="1"/>
    <w:qFormat/>
    <w:uiPriority w:val="0"/>
    <w:pPr>
      <w:spacing w:after="120" w:line="480" w:lineRule="auto"/>
    </w:pPr>
    <w:rPr>
      <w:rFonts w:ascii="黑体" w:hAnsi="黑体" w:eastAsia="黑体"/>
    </w:rPr>
  </w:style>
  <w:style w:type="paragraph" w:styleId="27">
    <w:name w:val="Normal (Web)"/>
    <w:basedOn w:val="1"/>
    <w:link w:val="71"/>
    <w:qFormat/>
    <w:uiPriority w:val="99"/>
    <w:pPr>
      <w:widowControl/>
      <w:spacing w:before="100" w:beforeAutospacing="1" w:after="100" w:afterAutospacing="1"/>
      <w:jc w:val="left"/>
    </w:pPr>
    <w:rPr>
      <w:rFonts w:ascii="宋体" w:hAnsi="宋体"/>
      <w:kern w:val="0"/>
      <w:sz w:val="18"/>
      <w:szCs w:val="18"/>
    </w:rPr>
  </w:style>
  <w:style w:type="paragraph" w:styleId="28">
    <w:name w:val="annotation subject"/>
    <w:basedOn w:val="12"/>
    <w:next w:val="12"/>
    <w:link w:val="112"/>
    <w:semiHidden/>
    <w:unhideWhenUsed/>
    <w:qFormat/>
    <w:uiPriority w:val="0"/>
    <w:rPr>
      <w:b/>
      <w:bCs/>
    </w:rPr>
  </w:style>
  <w:style w:type="paragraph" w:styleId="29">
    <w:name w:val="Body Text First Indent"/>
    <w:basedOn w:val="13"/>
    <w:qFormat/>
    <w:uiPriority w:val="0"/>
    <w:rPr>
      <w:rFonts w:hAnsi="宋体"/>
      <w:sz w:val="18"/>
      <w:szCs w:val="18"/>
    </w:rPr>
  </w:style>
  <w:style w:type="paragraph" w:styleId="30">
    <w:name w:val="Body Text First Indent 2"/>
    <w:basedOn w:val="14"/>
    <w:unhideWhenUsed/>
    <w:qFormat/>
    <w:uiPriority w:val="99"/>
    <w:pPr>
      <w:ind w:firstLine="420" w:firstLineChars="20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22"/>
    <w:rPr>
      <w:b/>
      <w:bCs/>
    </w:rPr>
  </w:style>
  <w:style w:type="character" w:styleId="35">
    <w:name w:val="page number"/>
    <w:basedOn w:val="33"/>
    <w:qFormat/>
    <w:uiPriority w:val="0"/>
  </w:style>
  <w:style w:type="character" w:styleId="36">
    <w:name w:val="FollowedHyperlink"/>
    <w:basedOn w:val="33"/>
    <w:semiHidden/>
    <w:unhideWhenUsed/>
    <w:qFormat/>
    <w:uiPriority w:val="0"/>
    <w:rPr>
      <w:color w:val="333333"/>
      <w:u w:val="none"/>
    </w:rPr>
  </w:style>
  <w:style w:type="character" w:styleId="37">
    <w:name w:val="Emphasis"/>
    <w:basedOn w:val="33"/>
    <w:qFormat/>
    <w:uiPriority w:val="0"/>
  </w:style>
  <w:style w:type="character" w:styleId="38">
    <w:name w:val="HTML Definition"/>
    <w:basedOn w:val="33"/>
    <w:semiHidden/>
    <w:unhideWhenUsed/>
    <w:qFormat/>
    <w:uiPriority w:val="0"/>
    <w:rPr>
      <w:i/>
      <w:iCs/>
    </w:rPr>
  </w:style>
  <w:style w:type="character" w:styleId="39">
    <w:name w:val="Hyperlink"/>
    <w:qFormat/>
    <w:uiPriority w:val="0"/>
    <w:rPr>
      <w:color w:val="136EC2"/>
      <w:u w:val="single"/>
    </w:rPr>
  </w:style>
  <w:style w:type="character" w:styleId="40">
    <w:name w:val="HTML Code"/>
    <w:basedOn w:val="33"/>
    <w:semiHidden/>
    <w:unhideWhenUsed/>
    <w:qFormat/>
    <w:uiPriority w:val="0"/>
    <w:rPr>
      <w:rFonts w:ascii="Consolas" w:hAnsi="Consolas" w:eastAsia="Consolas" w:cs="Consolas"/>
      <w:color w:val="C7254E"/>
      <w:sz w:val="21"/>
      <w:szCs w:val="21"/>
      <w:shd w:val="clear" w:color="auto" w:fill="F9F2F4"/>
    </w:rPr>
  </w:style>
  <w:style w:type="character" w:styleId="41">
    <w:name w:val="annotation reference"/>
    <w:basedOn w:val="33"/>
    <w:semiHidden/>
    <w:unhideWhenUsed/>
    <w:qFormat/>
    <w:uiPriority w:val="0"/>
    <w:rPr>
      <w:sz w:val="21"/>
      <w:szCs w:val="21"/>
    </w:rPr>
  </w:style>
  <w:style w:type="character" w:styleId="42">
    <w:name w:val="HTML Keyboard"/>
    <w:basedOn w:val="33"/>
    <w:semiHidden/>
    <w:unhideWhenUsed/>
    <w:qFormat/>
    <w:uiPriority w:val="0"/>
    <w:rPr>
      <w:rFonts w:hint="default" w:ascii="Consolas" w:hAnsi="Consolas" w:eastAsia="Consolas" w:cs="Consolas"/>
      <w:color w:val="FFFFFF"/>
      <w:sz w:val="21"/>
      <w:szCs w:val="21"/>
      <w:shd w:val="clear" w:color="auto" w:fill="333333"/>
    </w:rPr>
  </w:style>
  <w:style w:type="character" w:styleId="43">
    <w:name w:val="HTML Sample"/>
    <w:basedOn w:val="33"/>
    <w:semiHidden/>
    <w:unhideWhenUsed/>
    <w:qFormat/>
    <w:uiPriority w:val="0"/>
    <w:rPr>
      <w:rFonts w:hint="default" w:ascii="Consolas" w:hAnsi="Consolas" w:eastAsia="Consolas" w:cs="Consolas"/>
      <w:sz w:val="21"/>
      <w:szCs w:val="21"/>
    </w:rPr>
  </w:style>
  <w:style w:type="character" w:customStyle="1" w:styleId="44">
    <w:name w:val="普通文字1 Char"/>
    <w:qFormat/>
    <w:uiPriority w:val="0"/>
    <w:rPr>
      <w:rFonts w:ascii="宋体" w:hAnsi="Courier New" w:eastAsia="宋体"/>
      <w:kern w:val="2"/>
      <w:sz w:val="21"/>
      <w:lang w:val="en-US" w:eastAsia="zh-CN" w:bidi="ar-SA"/>
    </w:rPr>
  </w:style>
  <w:style w:type="character" w:customStyle="1" w:styleId="45">
    <w:name w:val="bds_nopic2"/>
    <w:qFormat/>
    <w:uiPriority w:val="0"/>
    <w:rPr>
      <w:rFonts w:ascii="Times New Roman" w:hAnsi="Times New Roman" w:eastAsia="宋体"/>
    </w:rPr>
  </w:style>
  <w:style w:type="character" w:customStyle="1" w:styleId="46">
    <w:name w:val="正文文本缩进 3 字符"/>
    <w:link w:val="24"/>
    <w:qFormat/>
    <w:uiPriority w:val="0"/>
    <w:rPr>
      <w:rFonts w:ascii="黑体" w:eastAsia="黑体"/>
      <w:kern w:val="2"/>
      <w:sz w:val="30"/>
      <w:szCs w:val="28"/>
    </w:rPr>
  </w:style>
  <w:style w:type="character" w:customStyle="1" w:styleId="47">
    <w:name w:val="Char Char14"/>
    <w:qFormat/>
    <w:uiPriority w:val="0"/>
    <w:rPr>
      <w:rFonts w:ascii="Arial" w:hAnsi="Arial" w:eastAsia="黑体"/>
      <w:b/>
      <w:bCs/>
      <w:sz w:val="28"/>
      <w:szCs w:val="28"/>
      <w:lang w:val="en-US" w:eastAsia="zh-CN" w:bidi="ar-SA"/>
    </w:rPr>
  </w:style>
  <w:style w:type="character" w:customStyle="1" w:styleId="48">
    <w:name w:val="正文文本缩进 字符"/>
    <w:link w:val="14"/>
    <w:qFormat/>
    <w:uiPriority w:val="0"/>
    <w:rPr>
      <w:kern w:val="2"/>
      <w:sz w:val="32"/>
    </w:rPr>
  </w:style>
  <w:style w:type="character" w:customStyle="1" w:styleId="49">
    <w:name w:val="页脚 字符"/>
    <w:link w:val="20"/>
    <w:qFormat/>
    <w:uiPriority w:val="99"/>
    <w:rPr>
      <w:rFonts w:eastAsia="宋体"/>
      <w:kern w:val="2"/>
      <w:sz w:val="18"/>
      <w:lang w:val="en-US" w:eastAsia="zh-CN" w:bidi="ar-SA"/>
    </w:rPr>
  </w:style>
  <w:style w:type="character" w:customStyle="1" w:styleId="50">
    <w:name w:val="正文文本缩进 2 字符"/>
    <w:link w:val="18"/>
    <w:qFormat/>
    <w:uiPriority w:val="0"/>
    <w:rPr>
      <w:kern w:val="2"/>
      <w:sz w:val="32"/>
    </w:rPr>
  </w:style>
  <w:style w:type="character" w:customStyle="1" w:styleId="51">
    <w:name w:val="正文缩进 字符"/>
    <w:link w:val="7"/>
    <w:qFormat/>
    <w:uiPriority w:val="0"/>
    <w:rPr>
      <w:rFonts w:eastAsia="宋体"/>
      <w:kern w:val="2"/>
      <w:sz w:val="21"/>
      <w:lang w:val="en-US" w:eastAsia="zh-CN" w:bidi="ar-SA"/>
    </w:rPr>
  </w:style>
  <w:style w:type="character" w:customStyle="1" w:styleId="52">
    <w:name w:val="页眉 字符"/>
    <w:link w:val="21"/>
    <w:qFormat/>
    <w:uiPriority w:val="0"/>
    <w:rPr>
      <w:rFonts w:eastAsia="宋体"/>
      <w:kern w:val="2"/>
      <w:sz w:val="18"/>
      <w:lang w:val="en-US" w:eastAsia="zh-CN" w:bidi="ar-SA"/>
    </w:rPr>
  </w:style>
  <w:style w:type="character" w:customStyle="1" w:styleId="53">
    <w:name w:val="p0 Char"/>
    <w:link w:val="54"/>
    <w:qFormat/>
    <w:uiPriority w:val="0"/>
    <w:rPr>
      <w:rFonts w:eastAsia="宋体"/>
      <w:sz w:val="21"/>
      <w:szCs w:val="21"/>
      <w:lang w:val="en-US" w:eastAsia="zh-CN" w:bidi="ar-SA"/>
    </w:rPr>
  </w:style>
  <w:style w:type="paragraph" w:customStyle="1" w:styleId="54">
    <w:name w:val="p0"/>
    <w:basedOn w:val="1"/>
    <w:link w:val="53"/>
    <w:qFormat/>
    <w:uiPriority w:val="0"/>
    <w:pPr>
      <w:widowControl/>
    </w:pPr>
    <w:rPr>
      <w:kern w:val="0"/>
      <w:szCs w:val="21"/>
    </w:rPr>
  </w:style>
  <w:style w:type="character" w:customStyle="1" w:styleId="55">
    <w:name w:val="标题 2 字符"/>
    <w:link w:val="3"/>
    <w:qFormat/>
    <w:uiPriority w:val="0"/>
    <w:rPr>
      <w:rFonts w:ascii="Arial" w:hAnsi="Arial" w:eastAsia="黑体"/>
      <w:b/>
      <w:kern w:val="2"/>
      <w:sz w:val="28"/>
    </w:rPr>
  </w:style>
  <w:style w:type="character" w:customStyle="1" w:styleId="56">
    <w:name w:val="纯文本 字符"/>
    <w:link w:val="16"/>
    <w:qFormat/>
    <w:locked/>
    <w:uiPriority w:val="0"/>
    <w:rPr>
      <w:rFonts w:ascii="宋体" w:hAnsi="Courier New" w:eastAsia="宋体" w:cs="Courier New"/>
      <w:kern w:val="2"/>
      <w:sz w:val="21"/>
      <w:szCs w:val="21"/>
      <w:lang w:val="en-US" w:eastAsia="zh-CN" w:bidi="ar-SA"/>
    </w:rPr>
  </w:style>
  <w:style w:type="paragraph" w:customStyle="1" w:styleId="57">
    <w:name w:val="表格"/>
    <w:basedOn w:val="1"/>
    <w:qFormat/>
    <w:uiPriority w:val="0"/>
    <w:pPr>
      <w:spacing w:line="400" w:lineRule="exact"/>
    </w:pPr>
    <w:rPr>
      <w:sz w:val="24"/>
    </w:rPr>
  </w:style>
  <w:style w:type="paragraph" w:customStyle="1" w:styleId="58">
    <w:name w:val="列出段落1"/>
    <w:basedOn w:val="1"/>
    <w:link w:val="70"/>
    <w:qFormat/>
    <w:uiPriority w:val="0"/>
    <w:pPr>
      <w:ind w:firstLine="420" w:firstLineChars="200"/>
    </w:pPr>
    <w:rPr>
      <w:sz w:val="18"/>
      <w:szCs w:val="18"/>
    </w:rPr>
  </w:style>
  <w:style w:type="paragraph" w:customStyle="1" w:styleId="59">
    <w:name w:val="Char Char Char Char"/>
    <w:basedOn w:val="1"/>
    <w:qFormat/>
    <w:uiPriority w:val="0"/>
    <w:rPr>
      <w:rFonts w:ascii="Tahoma" w:hAnsi="Tahoma"/>
      <w:sz w:val="24"/>
      <w:szCs w:val="20"/>
    </w:rPr>
  </w:style>
  <w:style w:type="paragraph" w:customStyle="1" w:styleId="6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61">
    <w:name w:val="正文首行缩进两字符"/>
    <w:basedOn w:val="1"/>
    <w:qFormat/>
    <w:uiPriority w:val="0"/>
    <w:pPr>
      <w:spacing w:line="360" w:lineRule="auto"/>
      <w:ind w:firstLine="200" w:firstLineChars="200"/>
    </w:pPr>
  </w:style>
  <w:style w:type="paragraph" w:customStyle="1" w:styleId="62">
    <w:name w:val="样式 首行缩进:  2 字符"/>
    <w:basedOn w:val="1"/>
    <w:qFormat/>
    <w:uiPriority w:val="0"/>
    <w:pPr>
      <w:spacing w:line="400" w:lineRule="exact"/>
      <w:ind w:firstLine="200" w:firstLineChars="200"/>
    </w:pPr>
    <w:rPr>
      <w:rFonts w:cs="宋体"/>
      <w:sz w:val="24"/>
    </w:rPr>
  </w:style>
  <w:style w:type="paragraph" w:customStyle="1" w:styleId="63">
    <w:name w:val="Char1"/>
    <w:basedOn w:val="1"/>
    <w:qFormat/>
    <w:uiPriority w:val="0"/>
    <w:rPr>
      <w:szCs w:val="21"/>
    </w:rPr>
  </w:style>
  <w:style w:type="paragraph" w:customStyle="1" w:styleId="64">
    <w:name w:val="Normal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65">
    <w:name w:val="默认段落字体 Para Char Char Char Char Char Char Char"/>
    <w:basedOn w:val="1"/>
    <w:qFormat/>
    <w:uiPriority w:val="0"/>
    <w:rPr>
      <w:rFonts w:ascii="Tahoma" w:hAnsi="Tahoma"/>
      <w:sz w:val="24"/>
      <w:szCs w:val="20"/>
    </w:rPr>
  </w:style>
  <w:style w:type="character" w:customStyle="1" w:styleId="66">
    <w:name w:val="正文文本缩进 字符1"/>
    <w:semiHidden/>
    <w:qFormat/>
    <w:locked/>
    <w:uiPriority w:val="0"/>
    <w:rPr>
      <w:kern w:val="2"/>
      <w:sz w:val="32"/>
      <w:lang w:val="zh-CN" w:eastAsia="zh-CN"/>
    </w:rPr>
  </w:style>
  <w:style w:type="character" w:customStyle="1" w:styleId="67">
    <w:name w:val="批注框文本 字符"/>
    <w:link w:val="19"/>
    <w:qFormat/>
    <w:uiPriority w:val="0"/>
    <w:rPr>
      <w:kern w:val="2"/>
      <w:sz w:val="18"/>
      <w:szCs w:val="18"/>
    </w:rPr>
  </w:style>
  <w:style w:type="character" w:customStyle="1" w:styleId="68">
    <w:name w:val="正文文本缩进 Char"/>
    <w:qFormat/>
    <w:uiPriority w:val="0"/>
    <w:rPr>
      <w:kern w:val="2"/>
      <w:sz w:val="32"/>
    </w:rPr>
  </w:style>
  <w:style w:type="paragraph" w:customStyle="1" w:styleId="69">
    <w:name w:val="列表段落1"/>
    <w:basedOn w:val="1"/>
    <w:qFormat/>
    <w:uiPriority w:val="34"/>
    <w:pPr>
      <w:ind w:firstLine="420" w:firstLineChars="200"/>
    </w:pPr>
    <w:rPr>
      <w:szCs w:val="20"/>
    </w:rPr>
  </w:style>
  <w:style w:type="character" w:customStyle="1" w:styleId="70">
    <w:name w:val="列出段落 字符"/>
    <w:link w:val="58"/>
    <w:qFormat/>
    <w:locked/>
    <w:uiPriority w:val="0"/>
    <w:rPr>
      <w:kern w:val="2"/>
      <w:sz w:val="18"/>
      <w:szCs w:val="18"/>
    </w:rPr>
  </w:style>
  <w:style w:type="character" w:customStyle="1" w:styleId="71">
    <w:name w:val="普通(网站) 字符"/>
    <w:link w:val="27"/>
    <w:qFormat/>
    <w:uiPriority w:val="0"/>
    <w:rPr>
      <w:rFonts w:ascii="宋体" w:hAnsi="宋体"/>
      <w:sz w:val="18"/>
      <w:szCs w:val="18"/>
    </w:rPr>
  </w:style>
  <w:style w:type="paragraph" w:customStyle="1" w:styleId="72">
    <w:name w:val="无间隔1"/>
    <w:qFormat/>
    <w:uiPriority w:val="99"/>
    <w:pPr>
      <w:adjustRightInd w:val="0"/>
      <w:snapToGrid w:val="0"/>
    </w:pPr>
    <w:rPr>
      <w:rFonts w:ascii="Tahoma" w:hAnsi="Tahoma" w:eastAsia="微软雅黑" w:cs="Times New Roman"/>
      <w:sz w:val="22"/>
      <w:szCs w:val="22"/>
      <w:lang w:val="en-US" w:eastAsia="zh-CN" w:bidi="ar-SA"/>
    </w:rPr>
  </w:style>
  <w:style w:type="paragraph" w:customStyle="1" w:styleId="73">
    <w:name w:val="0"/>
    <w:basedOn w:val="1"/>
    <w:qFormat/>
    <w:uiPriority w:val="0"/>
    <w:pPr>
      <w:widowControl/>
      <w:adjustRightInd w:val="0"/>
      <w:snapToGrid w:val="0"/>
      <w:spacing w:after="200"/>
      <w:jc w:val="left"/>
    </w:pPr>
    <w:rPr>
      <w:rFonts w:hint="eastAsia"/>
      <w:kern w:val="0"/>
      <w:sz w:val="22"/>
      <w:szCs w:val="20"/>
    </w:rPr>
  </w:style>
  <w:style w:type="character" w:customStyle="1" w:styleId="74">
    <w:name w:val="apple-converted-space"/>
    <w:basedOn w:val="33"/>
    <w:qFormat/>
    <w:uiPriority w:val="0"/>
  </w:style>
  <w:style w:type="paragraph" w:customStyle="1" w:styleId="75">
    <w:name w:val="WPSOffice手动目录 1"/>
    <w:qFormat/>
    <w:uiPriority w:val="0"/>
    <w:rPr>
      <w:rFonts w:asciiTheme="minorHAnsi" w:hAnsiTheme="minorHAnsi" w:eastAsiaTheme="minorEastAsia" w:cstheme="minorBidi"/>
      <w:lang w:val="en-US" w:eastAsia="zh-CN" w:bidi="ar-SA"/>
    </w:rPr>
  </w:style>
  <w:style w:type="paragraph" w:customStyle="1" w:styleId="76">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77">
    <w:name w:val="title1"/>
    <w:basedOn w:val="1"/>
    <w:qFormat/>
    <w:uiPriority w:val="0"/>
    <w:pPr>
      <w:widowControl/>
      <w:spacing w:before="100" w:beforeAutospacing="1" w:after="100" w:afterAutospacing="1"/>
      <w:jc w:val="left"/>
    </w:pPr>
    <w:rPr>
      <w:rFonts w:ascii="宋体" w:hAnsi="宋体" w:cs="宋体"/>
      <w:kern w:val="0"/>
      <w:sz w:val="24"/>
    </w:rPr>
  </w:style>
  <w:style w:type="paragraph" w:customStyle="1" w:styleId="78">
    <w:name w:val="图标题"/>
    <w:basedOn w:val="1"/>
    <w:qFormat/>
    <w:uiPriority w:val="0"/>
    <w:pPr>
      <w:adjustRightInd w:val="0"/>
      <w:spacing w:line="360" w:lineRule="atLeast"/>
      <w:jc w:val="left"/>
      <w:textAlignment w:val="baseline"/>
    </w:pPr>
    <w:rPr>
      <w:kern w:val="0"/>
      <w:sz w:val="24"/>
      <w:szCs w:val="20"/>
    </w:rPr>
  </w:style>
  <w:style w:type="character" w:customStyle="1" w:styleId="79">
    <w:name w:val="副标题 字符"/>
    <w:basedOn w:val="33"/>
    <w:qFormat/>
    <w:uiPriority w:val="0"/>
    <w:rPr>
      <w:rFonts w:asciiTheme="minorHAnsi" w:hAnsiTheme="minorHAnsi" w:eastAsiaTheme="minorEastAsia" w:cstheme="minorBidi"/>
      <w:b/>
      <w:bCs/>
      <w:kern w:val="28"/>
      <w:sz w:val="32"/>
      <w:szCs w:val="32"/>
    </w:rPr>
  </w:style>
  <w:style w:type="character" w:customStyle="1" w:styleId="80">
    <w:name w:val="副标题 字符1"/>
    <w:basedOn w:val="33"/>
    <w:link w:val="23"/>
    <w:qFormat/>
    <w:uiPriority w:val="0"/>
    <w:rPr>
      <w:rFonts w:ascii="Cambria" w:hAnsi="Cambria"/>
      <w:b/>
      <w:bCs/>
      <w:kern w:val="28"/>
      <w:sz w:val="32"/>
      <w:szCs w:val="32"/>
    </w:rPr>
  </w:style>
  <w:style w:type="character" w:customStyle="1" w:styleId="81">
    <w:name w:val="纯文本 Char"/>
    <w:qFormat/>
    <w:locked/>
    <w:uiPriority w:val="0"/>
    <w:rPr>
      <w:rFonts w:ascii="宋体" w:hAnsi="Courier New" w:eastAsia="宋体" w:cs="Courier New"/>
      <w:kern w:val="2"/>
      <w:sz w:val="21"/>
      <w:szCs w:val="21"/>
      <w:lang w:val="en-US" w:eastAsia="zh-CN" w:bidi="ar-SA"/>
    </w:rPr>
  </w:style>
  <w:style w:type="character" w:customStyle="1" w:styleId="82">
    <w:name w:val="正文缩进 Char1"/>
    <w:basedOn w:val="33"/>
    <w:qFormat/>
    <w:uiPriority w:val="0"/>
    <w:rPr>
      <w:rFonts w:eastAsia="宋体"/>
      <w:kern w:val="2"/>
      <w:sz w:val="21"/>
      <w:lang w:val="en-US" w:eastAsia="zh-CN" w:bidi="ar-SA"/>
    </w:rPr>
  </w:style>
  <w:style w:type="character" w:customStyle="1" w:styleId="83">
    <w:name w:val="正文文本缩进 2 Char"/>
    <w:basedOn w:val="33"/>
    <w:qFormat/>
    <w:uiPriority w:val="0"/>
    <w:rPr>
      <w:kern w:val="2"/>
      <w:sz w:val="32"/>
    </w:rPr>
  </w:style>
  <w:style w:type="character" w:customStyle="1" w:styleId="84">
    <w:name w:val="正文文本缩进 3 Char"/>
    <w:basedOn w:val="33"/>
    <w:qFormat/>
    <w:uiPriority w:val="0"/>
    <w:rPr>
      <w:rFonts w:ascii="黑体" w:eastAsia="黑体"/>
      <w:kern w:val="2"/>
      <w:sz w:val="30"/>
      <w:szCs w:val="28"/>
    </w:rPr>
  </w:style>
  <w:style w:type="paragraph" w:customStyle="1" w:styleId="85">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character" w:customStyle="1" w:styleId="86">
    <w:name w:val="标题 2 Char"/>
    <w:basedOn w:val="33"/>
    <w:qFormat/>
    <w:uiPriority w:val="0"/>
    <w:rPr>
      <w:rFonts w:ascii="Arial" w:hAnsi="Arial" w:eastAsia="黑体"/>
      <w:b/>
      <w:kern w:val="2"/>
      <w:sz w:val="28"/>
    </w:rPr>
  </w:style>
  <w:style w:type="paragraph" w:customStyle="1" w:styleId="87">
    <w:name w:val="文档正文"/>
    <w:basedOn w:val="1"/>
    <w:qFormat/>
    <w:uiPriority w:val="99"/>
    <w:pPr>
      <w:adjustRightInd w:val="0"/>
      <w:spacing w:line="400" w:lineRule="atLeast"/>
      <w:ind w:firstLine="420" w:firstLineChars="200"/>
      <w:jc w:val="left"/>
      <w:textAlignment w:val="baseline"/>
    </w:pPr>
    <w:rPr>
      <w:rFonts w:ascii="宋体" w:hAnsi="宋体"/>
      <w:kern w:val="0"/>
      <w:sz w:val="24"/>
      <w:szCs w:val="20"/>
    </w:rPr>
  </w:style>
  <w:style w:type="character" w:customStyle="1" w:styleId="88">
    <w:name w:val="glyphicon4"/>
    <w:basedOn w:val="33"/>
    <w:qFormat/>
    <w:uiPriority w:val="0"/>
  </w:style>
  <w:style w:type="character" w:customStyle="1" w:styleId="89">
    <w:name w:val="hover3"/>
    <w:basedOn w:val="33"/>
    <w:qFormat/>
    <w:uiPriority w:val="0"/>
    <w:rPr>
      <w:shd w:val="clear" w:color="auto" w:fill="EEEEEE"/>
    </w:rPr>
  </w:style>
  <w:style w:type="character" w:customStyle="1" w:styleId="90">
    <w:name w:val="hour_pm"/>
    <w:basedOn w:val="33"/>
    <w:qFormat/>
    <w:uiPriority w:val="0"/>
  </w:style>
  <w:style w:type="character" w:customStyle="1" w:styleId="91">
    <w:name w:val="button"/>
    <w:basedOn w:val="33"/>
    <w:qFormat/>
    <w:uiPriority w:val="0"/>
  </w:style>
  <w:style w:type="character" w:customStyle="1" w:styleId="92">
    <w:name w:val="old"/>
    <w:basedOn w:val="33"/>
    <w:qFormat/>
    <w:uiPriority w:val="0"/>
    <w:rPr>
      <w:color w:val="999999"/>
    </w:rPr>
  </w:style>
  <w:style w:type="character" w:customStyle="1" w:styleId="93">
    <w:name w:val="hour_am"/>
    <w:basedOn w:val="33"/>
    <w:qFormat/>
    <w:uiPriority w:val="0"/>
  </w:style>
  <w:style w:type="character" w:customStyle="1" w:styleId="94">
    <w:name w:val="indent"/>
    <w:basedOn w:val="33"/>
    <w:qFormat/>
    <w:uiPriority w:val="0"/>
  </w:style>
  <w:style w:type="character" w:customStyle="1" w:styleId="95">
    <w:name w:val="tmpztreemove_arrow"/>
    <w:basedOn w:val="33"/>
    <w:qFormat/>
    <w:uiPriority w:val="0"/>
    <w:rPr>
      <w:shd w:val="clear" w:color="auto" w:fill="FFFFFF"/>
    </w:rPr>
  </w:style>
  <w:style w:type="character" w:customStyle="1" w:styleId="96">
    <w:name w:val="hover"/>
    <w:basedOn w:val="33"/>
    <w:qFormat/>
    <w:uiPriority w:val="0"/>
    <w:rPr>
      <w:shd w:val="clear" w:color="auto" w:fill="EEEEEE"/>
    </w:rPr>
  </w:style>
  <w:style w:type="paragraph" w:customStyle="1" w:styleId="97">
    <w:name w:val="正文2"/>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98">
    <w:name w:val="Other|1"/>
    <w:basedOn w:val="1"/>
    <w:qFormat/>
    <w:uiPriority w:val="0"/>
    <w:pPr>
      <w:spacing w:line="434" w:lineRule="auto"/>
      <w:ind w:firstLine="400"/>
      <w:jc w:val="left"/>
    </w:pPr>
    <w:rPr>
      <w:rFonts w:ascii="宋体" w:hAnsi="宋体" w:cs="宋体"/>
      <w:color w:val="000000"/>
      <w:kern w:val="0"/>
      <w:sz w:val="28"/>
      <w:szCs w:val="28"/>
      <w:lang w:val="zh-TW" w:eastAsia="zh-TW" w:bidi="zh-TW"/>
    </w:rPr>
  </w:style>
  <w:style w:type="paragraph" w:customStyle="1" w:styleId="99">
    <w:name w:val="Main Title"/>
    <w:basedOn w:val="1"/>
    <w:next w:val="1"/>
    <w:qFormat/>
    <w:uiPriority w:val="0"/>
    <w:pPr>
      <w:widowControl/>
      <w:adjustRightInd w:val="0"/>
      <w:snapToGrid w:val="0"/>
      <w:spacing w:before="100" w:beforeAutospacing="1" w:afterLines="50" w:line="360" w:lineRule="auto"/>
      <w:jc w:val="center"/>
    </w:pPr>
    <w:rPr>
      <w:rFonts w:ascii="黑体" w:hAnsi="黑体" w:eastAsia="黑体"/>
      <w:b/>
      <w:sz w:val="36"/>
      <w:szCs w:val="36"/>
    </w:rPr>
  </w:style>
  <w:style w:type="paragraph" w:customStyle="1" w:styleId="100">
    <w:name w:val="协议书标题2"/>
    <w:basedOn w:val="3"/>
    <w:next w:val="1"/>
    <w:qFormat/>
    <w:uiPriority w:val="0"/>
    <w:pPr>
      <w:keepNext w:val="0"/>
      <w:keepLines w:val="0"/>
      <w:spacing w:line="360" w:lineRule="auto"/>
      <w:ind w:left="425"/>
      <w:jc w:val="left"/>
    </w:pPr>
    <w:rPr>
      <w:rFonts w:ascii="宋体" w:hAnsi="宋体" w:eastAsia="宋体" w:cs="宋体"/>
      <w:sz w:val="24"/>
      <w:szCs w:val="24"/>
    </w:rPr>
  </w:style>
  <w:style w:type="paragraph" w:customStyle="1" w:styleId="101">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character" w:customStyle="1" w:styleId="102">
    <w:name w:val="font21"/>
    <w:basedOn w:val="33"/>
    <w:qFormat/>
    <w:uiPriority w:val="0"/>
    <w:rPr>
      <w:rFonts w:hint="eastAsia" w:ascii="宋体" w:hAnsi="宋体" w:eastAsia="宋体" w:cs="宋体"/>
      <w:color w:val="000000"/>
      <w:sz w:val="21"/>
      <w:szCs w:val="21"/>
      <w:u w:val="none"/>
    </w:rPr>
  </w:style>
  <w:style w:type="character" w:customStyle="1" w:styleId="103">
    <w:name w:val="font11"/>
    <w:basedOn w:val="33"/>
    <w:qFormat/>
    <w:uiPriority w:val="0"/>
    <w:rPr>
      <w:rFonts w:hint="eastAsia" w:ascii="宋体" w:hAnsi="宋体" w:eastAsia="宋体" w:cs="宋体"/>
      <w:color w:val="000000"/>
      <w:sz w:val="22"/>
      <w:szCs w:val="22"/>
      <w:u w:val="none"/>
    </w:rPr>
  </w:style>
  <w:style w:type="character" w:customStyle="1" w:styleId="104">
    <w:name w:val="font31"/>
    <w:basedOn w:val="33"/>
    <w:qFormat/>
    <w:uiPriority w:val="0"/>
    <w:rPr>
      <w:rFonts w:ascii="仿宋" w:hAnsi="仿宋" w:eastAsia="仿宋" w:cs="仿宋"/>
      <w:color w:val="000000"/>
      <w:sz w:val="24"/>
      <w:szCs w:val="24"/>
      <w:u w:val="none"/>
    </w:rPr>
  </w:style>
  <w:style w:type="paragraph" w:customStyle="1" w:styleId="105">
    <w:name w:val="附件标题"/>
    <w:basedOn w:val="3"/>
    <w:next w:val="1"/>
    <w:qFormat/>
    <w:uiPriority w:val="0"/>
    <w:pPr>
      <w:spacing w:line="360" w:lineRule="auto"/>
      <w:ind w:left="3681"/>
      <w:jc w:val="center"/>
    </w:pPr>
    <w:rPr>
      <w:rFonts w:ascii="黑体" w:hAnsi="黑体" w:cs="宋体"/>
      <w:sz w:val="30"/>
      <w:szCs w:val="30"/>
    </w:rPr>
  </w:style>
  <w:style w:type="paragraph" w:customStyle="1" w:styleId="106">
    <w:name w:val="xl24"/>
    <w:basedOn w:val="1"/>
    <w:qFormat/>
    <w:uiPriority w:val="0"/>
    <w:pPr>
      <w:widowControl/>
      <w:spacing w:beforeAutospacing="1" w:afterAutospacing="1"/>
      <w:jc w:val="center"/>
    </w:pPr>
    <w:rPr>
      <w:rFonts w:hAnsi="宋体"/>
      <w:sz w:val="24"/>
      <w:szCs w:val="20"/>
    </w:rPr>
  </w:style>
  <w:style w:type="paragraph" w:customStyle="1" w:styleId="107">
    <w:name w:val="Table Paragraph"/>
    <w:basedOn w:val="1"/>
    <w:qFormat/>
    <w:uiPriority w:val="0"/>
  </w:style>
  <w:style w:type="paragraph" w:customStyle="1" w:styleId="108">
    <w:name w:val="正文文本1"/>
    <w:basedOn w:val="1"/>
    <w:qFormat/>
    <w:uiPriority w:val="0"/>
    <w:pPr>
      <w:spacing w:line="437" w:lineRule="auto"/>
      <w:ind w:firstLine="400"/>
    </w:pPr>
    <w:rPr>
      <w:rFonts w:ascii="宋体" w:hAnsi="宋体" w:cs="宋体"/>
      <w:sz w:val="20"/>
      <w:szCs w:val="20"/>
    </w:rPr>
  </w:style>
  <w:style w:type="paragraph" w:customStyle="1" w:styleId="109">
    <w:name w:val="标题 #4"/>
    <w:basedOn w:val="1"/>
    <w:qFormat/>
    <w:uiPriority w:val="0"/>
    <w:pPr>
      <w:spacing w:after="270"/>
      <w:ind w:firstLine="920"/>
      <w:outlineLvl w:val="3"/>
    </w:pPr>
    <w:rPr>
      <w:rFonts w:ascii="宋体" w:hAnsi="宋体" w:cs="宋体"/>
      <w:sz w:val="28"/>
      <w:szCs w:val="28"/>
    </w:rPr>
  </w:style>
  <w:style w:type="paragraph" w:customStyle="1" w:styleId="110">
    <w:name w:val="其他"/>
    <w:basedOn w:val="1"/>
    <w:qFormat/>
    <w:uiPriority w:val="0"/>
    <w:pPr>
      <w:spacing w:line="437" w:lineRule="auto"/>
      <w:ind w:firstLine="400"/>
    </w:pPr>
    <w:rPr>
      <w:rFonts w:ascii="宋体" w:hAnsi="宋体" w:cs="宋体"/>
      <w:sz w:val="20"/>
      <w:szCs w:val="20"/>
    </w:rPr>
  </w:style>
  <w:style w:type="character" w:customStyle="1" w:styleId="111">
    <w:name w:val="批注文字 字符"/>
    <w:basedOn w:val="33"/>
    <w:link w:val="12"/>
    <w:qFormat/>
    <w:uiPriority w:val="0"/>
    <w:rPr>
      <w:kern w:val="2"/>
      <w:sz w:val="21"/>
      <w:szCs w:val="24"/>
    </w:rPr>
  </w:style>
  <w:style w:type="character" w:customStyle="1" w:styleId="112">
    <w:name w:val="批注主题 字符"/>
    <w:basedOn w:val="111"/>
    <w:link w:val="28"/>
    <w:qFormat/>
    <w:uiPriority w:val="0"/>
    <w:rPr>
      <w:kern w:val="2"/>
      <w:sz w:val="21"/>
      <w:szCs w:val="24"/>
    </w:rPr>
  </w:style>
  <w:style w:type="paragraph" w:customStyle="1" w:styleId="113">
    <w:name w:val="null3"/>
    <w:hidden/>
    <w:qFormat/>
    <w:uiPriority w:val="0"/>
    <w:rPr>
      <w:rFonts w:hint="eastAsia" w:asciiTheme="minorHAnsi" w:hAnsiTheme="minorHAnsi" w:eastAsiaTheme="minorEastAsia" w:cstheme="minorBidi"/>
      <w:lang w:val="en-US" w:eastAsia="zh-Hans" w:bidi="ar-SA"/>
    </w:rPr>
  </w:style>
  <w:style w:type="paragraph" w:customStyle="1" w:styleId="114">
    <w:name w:val="通用标题4"/>
    <w:next w:val="1"/>
    <w:qFormat/>
    <w:uiPriority w:val="0"/>
    <w:pPr>
      <w:numPr>
        <w:ilvl w:val="2"/>
        <w:numId w:val="2"/>
      </w:numPr>
      <w:tabs>
        <w:tab w:val="left" w:pos="851"/>
      </w:tabs>
      <w:adjustRightInd w:val="0"/>
      <w:snapToGrid w:val="0"/>
      <w:spacing w:afterLines="50" w:line="360" w:lineRule="auto"/>
      <w:jc w:val="both"/>
      <w:outlineLvl w:val="3"/>
    </w:pPr>
    <w:rPr>
      <w:rFonts w:ascii="宋体" w:hAnsi="宋体" w:eastAsia="宋体" w:cs="Times New Roman"/>
      <w:kern w:val="2"/>
      <w:sz w:val="24"/>
      <w:szCs w:val="21"/>
      <w:lang w:val="en-US" w:eastAsia="zh-CN" w:bidi="ar-SA"/>
    </w:rPr>
  </w:style>
  <w:style w:type="paragraph" w:customStyle="1" w:styleId="115">
    <w:name w:val="通用标题2"/>
    <w:basedOn w:val="3"/>
    <w:next w:val="1"/>
    <w:qFormat/>
    <w:uiPriority w:val="0"/>
    <w:pPr>
      <w:numPr>
        <w:ilvl w:val="0"/>
        <w:numId w:val="3"/>
      </w:numPr>
      <w:tabs>
        <w:tab w:val="left" w:pos="993"/>
      </w:tabs>
      <w:spacing w:line="360" w:lineRule="auto"/>
    </w:pPr>
    <w:rPr>
      <w:rFonts w:ascii="黑体" w:hAnsi="黑体"/>
    </w:rPr>
  </w:style>
  <w:style w:type="paragraph" w:customStyle="1" w:styleId="116">
    <w:name w:val="通用标题3"/>
    <w:next w:val="1"/>
    <w:qFormat/>
    <w:uiPriority w:val="0"/>
    <w:pPr>
      <w:widowControl w:val="0"/>
      <w:numPr>
        <w:ilvl w:val="1"/>
        <w:numId w:val="4"/>
      </w:numPr>
      <w:tabs>
        <w:tab w:val="left" w:pos="851"/>
      </w:tabs>
      <w:adjustRightInd w:val="0"/>
      <w:snapToGrid w:val="0"/>
      <w:spacing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117">
    <w:name w:val="通用标题5"/>
    <w:qFormat/>
    <w:uiPriority w:val="0"/>
    <w:pPr>
      <w:widowControl w:val="0"/>
      <w:numPr>
        <w:ilvl w:val="3"/>
        <w:numId w:val="4"/>
      </w:numPr>
      <w:tabs>
        <w:tab w:val="left" w:pos="1134"/>
      </w:tabs>
      <w:autoSpaceDE w:val="0"/>
      <w:autoSpaceDN w:val="0"/>
      <w:adjustRightInd w:val="0"/>
      <w:snapToGrid w:val="0"/>
      <w:spacing w:afterLines="50" w:line="360" w:lineRule="auto"/>
      <w:jc w:val="both"/>
    </w:pPr>
    <w:rPr>
      <w:rFonts w:ascii="宋体" w:hAnsi="宋体" w:eastAsia="宋体" w:cs="Times New Roman"/>
      <w:kern w:val="2"/>
      <w:sz w:val="24"/>
      <w:szCs w:val="21"/>
      <w:lang w:val="en-US" w:eastAsia="zh-CN" w:bidi="ar-SA"/>
    </w:rPr>
  </w:style>
  <w:style w:type="paragraph" w:customStyle="1" w:styleId="118">
    <w:name w:val="通用标题6"/>
    <w:basedOn w:val="1"/>
    <w:qFormat/>
    <w:uiPriority w:val="0"/>
    <w:pPr>
      <w:numPr>
        <w:ilvl w:val="4"/>
        <w:numId w:val="5"/>
      </w:numPr>
      <w:tabs>
        <w:tab w:val="left" w:pos="993"/>
      </w:tabs>
      <w:ind w:firstLine="0"/>
    </w:pPr>
  </w:style>
  <w:style w:type="paragraph" w:styleId="119">
    <w:name w:val="List Paragraph"/>
    <w:basedOn w:val="1"/>
    <w:qFormat/>
    <w:uiPriority w:val="99"/>
    <w:pPr>
      <w:ind w:firstLine="420" w:firstLineChars="200"/>
    </w:pPr>
  </w:style>
  <w:style w:type="paragraph" w:customStyle="1" w:styleId="120">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121">
    <w:name w:val="Table Text"/>
    <w:basedOn w:val="1"/>
    <w:semiHidden/>
    <w:qFormat/>
    <w:uiPriority w:val="0"/>
    <w:rPr>
      <w:rFonts w:ascii="宋体" w:hAnsi="宋体" w:cs="宋体"/>
      <w:sz w:val="24"/>
      <w:lang w:eastAsia="en-US"/>
    </w:rPr>
  </w:style>
  <w:style w:type="table" w:customStyle="1" w:styleId="122">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3.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5.w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image" Target="media/image4.wmf"/><Relationship Id="rId17" Type="http://schemas.openxmlformats.org/officeDocument/2006/relationships/oleObject" Target="embeddings/oleObject4.bin"/><Relationship Id="rId16" Type="http://schemas.openxmlformats.org/officeDocument/2006/relationships/image" Target="media/image3.wmf"/><Relationship Id="rId15" Type="http://schemas.openxmlformats.org/officeDocument/2006/relationships/oleObject" Target="embeddings/oleObject3.bin"/><Relationship Id="rId14" Type="http://schemas.openxmlformats.org/officeDocument/2006/relationships/image" Target="media/image2.wmf"/><Relationship Id="rId13" Type="http://schemas.openxmlformats.org/officeDocument/2006/relationships/oleObject" Target="embeddings/oleObject2.bin"/><Relationship Id="rId12" Type="http://schemas.openxmlformats.org/officeDocument/2006/relationships/image" Target="media/image1.w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ba7dcff2-7b13-4f66-8799-1b8ad75fb1e9</errorID>
      <errorWord>:</errorWord>
      <group>L1_Format</group>
      <groupName>格式问题</groupName>
      <ability>L2_HalfPunc_CN</ability>
      <abilityName>全半角问题</abilityName>
      <candidateList>
        <item>：</item>
      </candidateList>
      <explain>文本全半角错误。</explain>
      <paraID>7EBC6522</paraID>
      <start>6</start>
      <end>7</end>
      <status>unmodified</status>
      <modifiedWord/>
      <trackRevisions>false</trackRevisions>
    </reviewItem>
    <reviewItem>
      <errorID>cda1ab28-d380-4f92-8bae-5e0969505ae8</errorID>
      <errorWord>(</errorWord>
      <group>L1_Punc</group>
      <groupName>标点问题</groupName>
      <ability>L2_Punc_CN</ability>
      <abilityName>标点符号问题</abilityName>
      <candidateList/>
      <explain>同一形式括号套用。</explain>
      <paraID>631EBE51</paraID>
      <start>1</start>
      <end>2</end>
      <status>unmodified</status>
      <modifiedWord/>
      <trackRevisions>false</trackRevisions>
    </reviewItem>
    <reviewItem>
      <errorID>5243847d-1b50-44e6-8e6e-a7291d8de0e2</errorID>
      <errorWord>（</errorWord>
      <group>L1_Punc</group>
      <groupName>标点问题</groupName>
      <ability>L2_Punc_CN</ability>
      <abilityName>标点符号问题</abilityName>
      <candidateList/>
      <explain>同一形式括号套用。</explain>
      <paraID>631EBE51</paraID>
      <start>21</start>
      <end>22</end>
      <status>unmodified</status>
      <modifiedWord/>
      <trackRevisions>false</trackRevisions>
    </reviewItem>
    <reviewItem>
      <errorID>85782c10-f476-4d7b-b2a2-1a9d1b50e47d</errorID>
      <errorWord>）</errorWord>
      <group>L1_Punc</group>
      <groupName>标点问题</groupName>
      <ability>L2_Punc_CN</ability>
      <abilityName>标点符号问题</abilityName>
      <candidateList/>
      <explain>同一形式括号套用。</explain>
      <paraID>631EBE51</paraID>
      <start>24</start>
      <end>25</end>
      <status>unmodified</status>
      <modifiedWord/>
      <trackRevisions>false</trackRevisions>
    </reviewItem>
    <reviewItem>
      <errorID>56faaaba-1d7d-41fb-9241-bf7175e8a1c1</errorID>
      <errorWord>（</errorWord>
      <group>L1_Punc</group>
      <groupName>标点问题</groupName>
      <ability>L2_Punc_CN</ability>
      <abilityName>标点符号问题</abilityName>
      <candidateList/>
      <explain>同一形式括号套用。</explain>
      <paraID>631EBE51</paraID>
      <start>29</start>
      <end>30</end>
      <status>unmodified</status>
      <modifiedWord/>
      <trackRevisions>false</trackRevisions>
    </reviewItem>
    <reviewItem>
      <errorID>7ddc9a2f-68ea-4f79-a878-f32322a1607f</errorID>
      <errorWord>）</errorWord>
      <group>L1_Punc</group>
      <groupName>标点问题</groupName>
      <ability>L2_Punc_CN</ability>
      <abilityName>标点符号问题</abilityName>
      <candidateList/>
      <explain>同一形式括号套用。</explain>
      <paraID>631EBE51</paraID>
      <start>54</start>
      <end>55</end>
      <status>unmodified</status>
      <modifiedWord/>
      <trackRevisions>false</trackRevisions>
    </reviewItem>
    <reviewItem>
      <errorID>6c9e71bc-984f-4406-8769-09768daeacc2</errorID>
      <errorWord>)</errorWord>
      <group>L1_Punc</group>
      <groupName>标点问题</groupName>
      <ability>L2_Punc_CN</ability>
      <abilityName>标点符号问题</abilityName>
      <candidateList/>
      <explain>同一形式括号套用。</explain>
      <paraID>631EBE51</paraID>
      <start>56</start>
      <end>57</end>
      <status>unmodified</status>
      <modifiedWord/>
      <trackRevisions>false</trackRevisions>
    </reviewItem>
    <reviewItem>
      <errorID>b59cfca7-1fc8-4097-9f0d-a0a017b2701d</errorID>
      <errorWord>需</errorWord>
      <group>L1_Word</group>
      <groupName>字词问题</groupName>
      <ability>L2_Typo</ability>
      <abilityName>字词错误</abilityName>
      <candidateList>
        <item>须</item>
      </candidateList>
      <explain>存在发音相同字词的误用。</explain>
      <paraID>24CE3166</paraID>
      <start>6</start>
      <end>7</end>
      <status>unmodified</status>
      <modifiedWord/>
      <trackRevisions>false</trackRevisions>
    </reviewItem>
    <reviewItem>
      <errorID>1810a3ad-d1dd-4749-ba9c-ad002255df5b</errorID>
      <errorWord>(</errorWord>
      <group>L1_Format</group>
      <groupName>格式问题</groupName>
      <ability>L2_HalfPunc_CN</ability>
      <abilityName>全半角问题</abilityName>
      <candidateList>
        <item>（</item>
      </candidateList>
      <explain>文本全半角错误。</explain>
      <paraID>4B497221</paraID>
      <start>72</start>
      <end>73</end>
      <status>unmodified</status>
      <modifiedWord/>
      <trackRevisions>false</trackRevisions>
    </reviewItem>
    <reviewItem>
      <errorID>dbeb6e99-d3f7-4b61-b1a1-dac14ea92f5f</errorID>
      <errorWord>)</errorWord>
      <group>L1_Format</group>
      <groupName>格式问题</groupName>
      <ability>L2_HalfPunc_CN</ability>
      <abilityName>全半角问题</abilityName>
      <candidateList>
        <item>）</item>
      </candidateList>
      <explain>文本全半角错误。</explain>
      <paraID>4B497221</paraID>
      <start>116</start>
      <end>117</end>
      <status>unmodified</status>
      <modifiedWord/>
      <trackRevisions>false</trackRevisions>
    </reviewItem>
    <reviewItem>
      <errorID>ce949683-37db-4b86-b9c5-786fa3311cf0</errorID>
      <errorWord>(</errorWord>
      <group>L1_Format</group>
      <groupName>格式问题</groupName>
      <ability>L2_HalfPunc_CN</ability>
      <abilityName>全半角问题</abilityName>
      <candidateList>
        <item>（</item>
      </candidateList>
      <explain>文本全半角错误。</explain>
      <paraID>78DED495</paraID>
      <start>84</start>
      <end>85</end>
      <status>unmodified</status>
      <modifiedWord/>
      <trackRevisions>false</trackRevisions>
    </reviewItem>
    <reviewItem>
      <errorID>ab5e24d2-d758-42fa-b3a1-afac564666fd</errorID>
      <errorWord>)</errorWord>
      <group>L1_Format</group>
      <groupName>格式问题</groupName>
      <ability>L2_HalfPunc_CN</ability>
      <abilityName>全半角问题</abilityName>
      <candidateList>
        <item>）</item>
      </candidateList>
      <explain>文本全半角错误。</explain>
      <paraID>78DED495</paraID>
      <start>117</start>
      <end>118</end>
      <status>unmodified</status>
      <modifiedWord/>
      <trackRevisions>false</trackRevisions>
    </reviewItem>
    <reviewItem>
      <errorID>82b8207b-c16d-4b2a-ba73-bf8757fd9c12</errorID>
      <errorWord>(</errorWord>
      <group>L1_Format</group>
      <groupName>格式问题</groupName>
      <ability>L2_HalfPunc_CN</ability>
      <abilityName>全半角问题</abilityName>
      <candidateList>
        <item>（</item>
      </candidateList>
      <explain>文本全半角错误。</explain>
      <paraID>78DED495</paraID>
      <start>140</start>
      <end>141</end>
      <status>unmodified</status>
      <modifiedWord/>
      <trackRevisions>false</trackRevisions>
    </reviewItem>
    <reviewItem>
      <errorID>efdc1e58-ac62-4d26-8983-b837e12fa0a7</errorID>
      <errorWord>)</errorWord>
      <group>L1_Format</group>
      <groupName>格式问题</groupName>
      <ability>L2_HalfPunc_CN</ability>
      <abilityName>全半角问题</abilityName>
      <candidateList>
        <item>）</item>
      </candidateList>
      <explain>文本全半角错误。</explain>
      <paraID>78DED495</paraID>
      <start>164</start>
      <end>165</end>
      <status>unmodified</status>
      <modifiedWord/>
      <trackRevisions>false</trackRevisions>
    </reviewItem>
    <reviewItem>
      <errorID>0a6ccd3d-28e1-474a-b64d-68c0d0b032c0</errorID>
      <errorWord>日至2026年</errorWord>
      <group>L1_Word</group>
      <groupName>字词问题</groupName>
      <ability>L2_Typo</ability>
      <abilityName>字词错误</abilityName>
      <candidateList>
        <item>日起至2026年</item>
      </candidateList>
      <explain/>
      <paraID>652B9D80</paraID>
      <start>11</start>
      <end>18</end>
      <status>unmodified</status>
      <modifiedWord/>
      <trackRevisions>false</trackRevisions>
    </reviewItem>
    <reviewItem>
      <errorID>9bb0320e-6157-4db5-9570-554873573c8e</errorID>
      <errorWord>(</errorWord>
      <group>L1_Format</group>
      <groupName>格式问题</groupName>
      <ability>L2_HalfPunc_CN</ability>
      <abilityName>全半角问题</abilityName>
      <candidateList>
        <item>（</item>
      </candidateList>
      <explain>文本全半角错误。</explain>
      <paraID>71C61151</paraID>
      <start>9</start>
      <end>10</end>
      <status>unmodified</status>
      <modifiedWord/>
      <trackRevisions>false</trackRevisions>
    </reviewItem>
    <reviewItem>
      <errorID>3ed960f2-7a18-4726-9536-e4d7061fb71f</errorID>
      <errorWord>)</errorWord>
      <group>L1_Format</group>
      <groupName>格式问题</groupName>
      <ability>L2_HalfPunc_CN</ability>
      <abilityName>全半角问题</abilityName>
      <candidateList>
        <item>）</item>
      </candidateList>
      <explain>文本全半角错误。</explain>
      <paraID>71C61151</paraID>
      <start>20</start>
      <end>21</end>
      <status>unmodified</status>
      <modifiedWord/>
      <trackRevisions>false</trackRevisions>
    </reviewItem>
    <reviewItem>
      <errorID>e7d13928-fcb5-4595-a56b-b62dc326027d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BCAD5DA</paraID>
      <start>0</start>
      <end>2</end>
      <status>unmodified</status>
      <modifiedWord/>
      <trackRevisions>false</trackRevisions>
    </reviewItem>
    <reviewItem>
      <errorID>6e4ccb2a-c71e-4fe9-a010-0c0ded09cf8b</errorID>
      <errorWord>叙言</errorWord>
      <group>L1_Word</group>
      <groupName>字词问题</groupName>
      <ability>L2_Variant</ability>
      <abilityName>异形词</abilityName>
      <candidateList>
        <item>序言</item>
      </candidateList>
      <explain>词汇[叙言]的规范词形写作[序言]。</explain>
      <paraID>5FCDE3F5</paraID>
      <start>6</start>
      <end>8</end>
      <status>unmodified</status>
      <modifiedWord/>
      <trackRevisions>false</trackRevisions>
    </reviewItem>
    <reviewItem>
      <errorID>7d1ae539-025d-452e-b2c9-3530e1dfc5d0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78AF248A</paraID>
      <start>0</start>
      <end>2</end>
      <status>unmodified</status>
      <modifiedWord/>
      <trackRevisions>false</trackRevisions>
    </reviewItem>
    <reviewItem>
      <errorID>b22427f5-1256-409e-ab91-28eb78aa6e42</errorID>
      <errorWord>:</errorWord>
      <group>L1_Format</group>
      <groupName>格式问题</groupName>
      <ability>L2_HalfPunc_CN</ability>
      <abilityName>全半角问题</abilityName>
      <candidateList>
        <item>：</item>
      </candidateList>
      <explain>文本全半角错误。</explain>
      <paraID>652E872B</paraID>
      <start>4</start>
      <end>5</end>
      <status>unmodified</status>
      <modifiedWord/>
      <trackRevisions>false</trackRevisions>
    </reviewItem>
    <reviewItem>
      <errorID>be0269f7-68aa-494e-a084-6ab0de53765f</errorID>
      <errorWord>:</errorWord>
      <group>L1_Format</group>
      <groupName>格式问题</groupName>
      <ability>L2_HalfPunc_CN</ability>
      <abilityName>全半角问题</abilityName>
      <candidateList>
        <item>：</item>
      </candidateList>
      <explain>文本全半角错误。</explain>
      <paraID>45046FA3</paraID>
      <start>4</start>
      <end>5</end>
      <status>unmodified</status>
      <modifiedWord/>
      <trackRevisions>false</trackRevisions>
    </reviewItem>
    <reviewItem>
      <errorID>002a236d-c1bb-433b-9d3d-5c380ee6bc72</errorID>
      <errorWord>:</errorWord>
      <group>L1_Format</group>
      <groupName>格式问题</groupName>
      <ability>L2_HalfPunc_CN</ability>
      <abilityName>全半角问题</abilityName>
      <candidateList>
        <item>：</item>
      </candidateList>
      <explain>文本全半角错误。</explain>
      <paraID>563B9316</paraID>
      <start>3</start>
      <end>4</end>
      <status>unmodified</status>
      <modifiedWord/>
      <trackRevisions>false</trackRevisions>
    </reviewItem>
    <reviewItem>
      <errorID>477bb297-f528-486e-8235-e1e24e88c57c</errorID>
      <errorWord>叙言</errorWord>
      <group>L1_Word</group>
      <groupName>字词问题</groupName>
      <ability>L2_Variant</ability>
      <abilityName>异形词</abilityName>
      <candidateList>
        <item>序言</item>
      </candidateList>
      <explain>词汇[叙言]的规范词形写作[序言]。</explain>
      <paraID>563B9316</paraID>
      <start>6</start>
      <end>8</end>
      <status>unmodified</status>
      <modifiedWord/>
      <trackRevisions>false</trackRevisions>
    </reviewItem>
    <reviewItem>
      <errorID>04511cf8-c93a-4029-9c5d-1675ad87e402</errorID>
      <errorWord>:</errorWord>
      <group>L1_Format</group>
      <groupName>格式问题</groupName>
      <ability>L2_HalfPunc_CN</ability>
      <abilityName>全半角问题</abilityName>
      <candidateList>
        <item>：</item>
      </candidateList>
      <explain>文本全半角错误。</explain>
      <paraID>6E098DAA</paraID>
      <start>4</start>
      <end>5</end>
      <status>unmodified</status>
      <modifiedWord/>
      <trackRevisions>false</trackRevisions>
    </reviewItem>
    <reviewItem>
      <errorID>6303c3de-fc74-41b6-9a6e-130846c21f23</errorID>
      <errorWord>:</errorWord>
      <group>L1_Format</group>
      <groupName>格式问题</groupName>
      <ability>L2_HalfPunc_CN</ability>
      <abilityName>全半角问题</abilityName>
      <candidateList>
        <item>：</item>
      </candidateList>
      <explain>文本全半角错误。</explain>
      <paraID>7F8CA53F</paraID>
      <start>4</start>
      <end>5</end>
      <status>unmodified</status>
      <modifiedWord/>
      <trackRevisions>false</trackRevisions>
    </reviewItem>
    <reviewItem>
      <errorID>4d2b1a71-57d8-437d-85aa-16bbeed07455</errorID>
      <errorWord>:</errorWord>
      <group>L1_Format</group>
      <groupName>格式问题</groupName>
      <ability>L2_HalfPunc_CN</ability>
      <abilityName>全半角问题</abilityName>
      <candidateList>
        <item>：</item>
      </candidateList>
      <explain>文本全半角错误。</explain>
      <paraID>51AC50B4</paraID>
      <start>3</start>
      <end>4</end>
      <status>unmodified</status>
      <modifiedWord/>
      <trackRevisions>false</trackRevisions>
    </reviewItem>
    <reviewItem>
      <errorID>3f7838b7-0712-4336-aef1-a2f21284625e</errorID>
      <errorWord>:</errorWord>
      <group>L1_Format</group>
      <groupName>格式问题</groupName>
      <ability>L2_HalfPunc_CN</ability>
      <abilityName>全半角问题</abilityName>
      <candidateList>
        <item>：</item>
      </candidateList>
      <explain>文本全半角错误。</explain>
      <paraID>5AA0FC1B</paraID>
      <start>4</start>
      <end>5</end>
      <status>unmodified</status>
      <modifiedWord/>
      <trackRevisions>false</trackRevisions>
    </reviewItem>
    <reviewItem>
      <errorID>d8a3901d-3db6-4a8a-abe3-919135241215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F274339</paraID>
      <start>0</start>
      <end>2</end>
      <status>unmodified</status>
      <modifiedWord/>
      <trackRevisions>false</trackRevisions>
    </reviewItem>
    <reviewItem>
      <errorID>3aaba0bb-bfb6-4680-b1dd-c541af29c663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704A8B71</paraID>
      <start>0</start>
      <end>2</end>
      <status>unmodified</status>
      <modifiedWord/>
      <trackRevisions>false</trackRevisions>
    </reviewItem>
    <reviewItem>
      <errorID>03f495e2-a293-4e99-8d8e-893f239ed815</errorID>
      <errorWord>条款</errorWord>
      <group>L1_Word</group>
      <groupName>字词问题</groupName>
      <ability>L2_Typo</ability>
      <abilityName>字词错误</abilityName>
      <candidateList>
        <item>条</item>
      </candidateList>
      <explain/>
      <paraID>58B29EE8</paraID>
      <start>16</start>
      <end>18</end>
      <status>unmodified</status>
      <modifiedWord/>
      <trackRevisions>false</trackRevisions>
    </reviewItem>
    <reviewItem>
      <errorID>33c4277c-476a-48d7-9a75-343f6c785982</errorID>
      <errorWord>(</errorWord>
      <group>L1_Format</group>
      <groupName>格式问题</groupName>
      <ability>L2_HalfPunc_CN</ability>
      <abilityName>全半角问题</abilityName>
      <candidateList>
        <item>（</item>
      </candidateList>
      <explain>文本全半角错误。</explain>
      <paraID>441D7A8E</paraID>
      <start>35</start>
      <end>36</end>
      <status>unmodified</status>
      <modifiedWord/>
      <trackRevisions>false</trackRevisions>
    </reviewItem>
    <reviewItem>
      <errorID>8c4bb6de-0021-4cb1-a0fb-0932dc21281d</errorID>
      <errorWord>)</errorWord>
      <group>L1_Format</group>
      <groupName>格式问题</groupName>
      <ability>L2_HalfPunc_CN</ability>
      <abilityName>全半角问题</abilityName>
      <candidateList>
        <item>）</item>
      </candidateList>
      <explain>文本全半角错误。</explain>
      <paraID>441D7A8E</paraID>
      <start>38</start>
      <end>39</end>
      <status>unmodified</status>
      <modifiedWord/>
      <trackRevisions>false</trackRevisions>
    </reviewItem>
    <reviewItem>
      <errorID>e9f9df17-600b-40f0-89fb-abd2b81f2141</errorID>
      <errorWord>:</errorWord>
      <group>L1_Format</group>
      <groupName>格式问题</groupName>
      <ability>L2_HalfPunc_CN</ability>
      <abilityName>全半角问题</abilityName>
      <candidateList>
        <item>：</item>
      </candidateList>
      <explain>文本全半角错误。</explain>
      <paraID> EA4C8D8</paraID>
      <start>4</start>
      <end>5</end>
      <status>unmodified</status>
      <modifiedWord/>
      <trackRevisions>false</trackRevisions>
    </reviewItem>
    <reviewItem>
      <errorID>e08142f7-cdb0-41e0-98c9-5bd58dc9040a</errorID>
      <errorWord>：</errorWord>
      <group>L1_Word</group>
      <groupName>字词问题</groupName>
      <ability>L2_Typo</ability>
      <abilityName>字词错误</abilityName>
      <candidateList>
        <item>：以</item>
      </candidateList>
      <explain/>
      <paraID>151B818D</paraID>
      <start>8</start>
      <end>9</end>
      <status>unmodified</status>
      <modifiedWord/>
      <trackRevisions>false</trackRevisions>
    </reviewItem>
    <reviewItem>
      <errorID>2ff6165a-3370-481e-ba8e-64161ed4b3f5</errorID>
      <errorWord>(</errorWord>
      <group>L1_Format</group>
      <groupName>格式问题</groupName>
      <ability>L2_HalfPunc_CN</ability>
      <abilityName>全半角问题</abilityName>
      <candidateList>
        <item>（</item>
      </candidateList>
      <explain>文本全半角错误。</explain>
      <paraID>6D06289E</paraID>
      <start>53</start>
      <end>54</end>
      <status>unmodified</status>
      <modifiedWord/>
      <trackRevisions>false</trackRevisions>
    </reviewItem>
    <reviewItem>
      <errorID>25ec8d70-ce7d-4ae3-99ad-456d230251e0</errorID>
      <errorWord>)</errorWord>
      <group>L1_Format</group>
      <groupName>格式问题</groupName>
      <ability>L2_HalfPunc_CN</ability>
      <abilityName>全半角问题</abilityName>
      <candidateList>
        <item>）</item>
      </candidateList>
      <explain>文本全半角错误。</explain>
      <paraID>6D06289E</paraID>
      <start>64</start>
      <end>65</end>
      <status>unmodified</status>
      <modifiedWord/>
      <trackRevisions>false</trackRevisions>
    </reviewItem>
    <reviewItem>
      <errorID>745540ce-08a8-418b-8942-fd218c7a413c</errorID>
      <errorWord>(</errorWord>
      <group>L1_Format</group>
      <groupName>格式问题</groupName>
      <ability>L2_HalfPunc_CN</ability>
      <abilityName>全半角问题</abilityName>
      <candidateList>
        <item>（</item>
      </candidateList>
      <explain>文本全半角错误。</explain>
      <paraID>71AEE06D</paraID>
      <start>46</start>
      <end>47</end>
      <status>unmodified</status>
      <modifiedWord/>
      <trackRevisions>false</trackRevisions>
    </reviewItem>
    <reviewItem>
      <errorID>89d44199-0b5a-4051-8437-c56887f970fe</errorID>
      <errorWord>)</errorWord>
      <group>L1_Format</group>
      <groupName>格式问题</groupName>
      <ability>L2_HalfPunc_CN</ability>
      <abilityName>全半角问题</abilityName>
      <candidateList>
        <item>）</item>
      </candidateList>
      <explain>文本全半角错误。</explain>
      <paraID>71AEE06D</paraID>
      <start>56</start>
      <end>57</end>
      <status>unmodified</status>
      <modifiedWord/>
      <trackRevisions>false</trackRevisions>
    </reviewItem>
    <reviewItem>
      <errorID>9e6ea7e3-88a4-42f0-a149-334386de9330</errorID>
      <errorWord>复印件加盖</errorWord>
      <group>L1_Word</group>
      <groupName>字词问题</groupName>
      <ability>L2_Typo</ability>
      <abilityName>字词错误</abilityName>
      <candidateList>
        <item>复印件并加盖</item>
      </candidateList>
      <explain/>
      <paraID>71AEE06D</paraID>
      <start>57</start>
      <end>62</end>
      <status>unmodified</status>
      <modifiedWord/>
      <trackRevisions>false</trackRevisions>
    </reviewItem>
    <reviewItem>
      <errorID>d04dd8e2-609c-42c2-9601-804d35f71e42</errorID>
      <errorWord>(</errorWord>
      <group>L1_Format</group>
      <groupName>格式问题</groupName>
      <ability>L2_HalfPunc_CN</ability>
      <abilityName>全半角问题</abilityName>
      <candidateList>
        <item>（</item>
      </candidateList>
      <explain>文本全半角错误。</explain>
      <paraID>1791D7A4</paraID>
      <start>62</start>
      <end>63</end>
      <status>unmodified</status>
      <modifiedWord/>
      <trackRevisions>false</trackRevisions>
    </reviewItem>
    <reviewItem>
      <errorID>c14347e6-ce28-4945-b9e3-6969ac922853</errorID>
      <errorWord>)</errorWord>
      <group>L1_Format</group>
      <groupName>格式问题</groupName>
      <ability>L2_HalfPunc_CN</ability>
      <abilityName>全半角问题</abilityName>
      <candidateList>
        <item>）</item>
      </candidateList>
      <explain>文本全半角错误。</explain>
      <paraID>1791D7A4</paraID>
      <start>75</start>
      <end>76</end>
      <status>unmodified</status>
      <modifiedWord/>
      <trackRevisions>false</trackRevisions>
    </reviewItem>
    <reviewItem>
      <errorID>f493a16e-2592-4d20-8fd0-207813ff02c6</errorID>
      <errorWord>间</errorWord>
      <group>L1_Word</group>
      <groupName>字词问题</groupName>
      <ability>L2_Typo</ability>
      <abilityName>字词错误</abilityName>
      <candidateList>
        <item>间之</item>
      </candidateList>
      <explain/>
      <paraID>43FEBD75</paraID>
      <start>12</start>
      <end>13</end>
      <status>unmodified</status>
      <modifiedWord/>
      <trackRevisions>false</trackRevisions>
    </reviewItem>
    <reviewItem>
      <errorID>ad1bd22f-c67e-4e51-92af-b5675734bad2</errorID>
      <errorWord>条款</errorWord>
      <group>L1_Word</group>
      <groupName>字词问题</groupName>
      <ability>L2_Typo</ability>
      <abilityName>字词错误</abilityName>
      <candidateList>
        <item>条</item>
      </candidateList>
      <explain/>
      <paraID>79CCCF8C</paraID>
      <start>73</start>
      <end>75</end>
      <status>unmodified</status>
      <modifiedWord/>
      <trackRevisions>false</trackRevisions>
    </reviewItem>
    <reviewItem>
      <errorID>b4cefe77-70e3-4240-bdfa-ac4db7c815eb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1E318BCD</paraID>
      <start>0</start>
      <end>3</end>
      <status>unmodified</status>
      <modifiedWord/>
      <trackRevisions>false</trackRevisions>
    </reviewItem>
    <reviewItem>
      <errorID>a334b82d-02f3-4ee5-8c34-0147ee1f2485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6DCCF536</paraID>
      <start>0</start>
      <end>3</end>
      <status>unmodified</status>
      <modifiedWord/>
      <trackRevisions>false</trackRevisions>
    </reviewItem>
    <reviewItem>
      <errorID>2cb9a7e3-37ce-4b31-9589-acbaa200d3b3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6AE80C3B</paraID>
      <start>0</start>
      <end>3</end>
      <status>unmodified</status>
      <modifiedWord/>
      <trackRevisions>false</trackRevisions>
    </reviewItem>
    <reviewItem>
      <errorID>3f8548ec-3b42-4138-a4c4-1c9c6d41415f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632A17C3</paraID>
      <start>0</start>
      <end>3</end>
      <status>unmodified</status>
      <modifiedWord/>
      <trackRevisions>false</trackRevisions>
    </reviewItem>
    <reviewItem>
      <errorID>7a13b3df-3b85-412b-ae95-841c07472d7c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60DE7612</paraID>
      <start>0</start>
      <end>3</end>
      <status>unmodified</status>
      <modifiedWord/>
      <trackRevisions>false</trackRevisions>
    </reviewItem>
    <reviewItem>
      <errorID>39abd417-d8e6-4069-ac43-500037723e5c</errorID>
      <errorWord>2025全</errorWord>
      <group>L1_Word</group>
      <groupName>字词问题</groupName>
      <ability>L2_Typo</ability>
      <abilityName>字词错误</abilityName>
      <candidateList>
        <item>2025</item>
      </candidateList>
      <explain/>
      <paraID>3A0E6DA1</paraID>
      <start>25</start>
      <end>30</end>
      <status>unmodified</status>
      <modifiedWord/>
      <trackRevisions>false</trackRevisions>
    </reviewItem>
    <reviewItem>
      <errorID>93a97874-485c-4b0f-ac89-f04020e33f2f</errorID>
      <errorWord>位</errorWord>
      <group>L1_Word</group>
      <groupName>字词问题</groupName>
      <ability>L2_Typo</ability>
      <abilityName>字词错误</abilityName>
      <candidateList>
        <item>位公</item>
      </candidateList>
      <explain/>
      <paraID> 5E9EA8E</paraID>
      <start>13</start>
      <end>15</end>
      <status>modified</status>
      <modifiedWord>位公</modifiedWord>
      <trackRevisions>false</trackRevisions>
    </reviewItem>
    <reviewItem>
      <errorID>7aaa6d12-6010-4765-992c-2877a18bdba3</errorID>
      <errorWord>位</errorWord>
      <group>L1_Word</group>
      <groupName>字词问题</groupName>
      <ability>L2_Typo</ability>
      <abilityName>字词错误</abilityName>
      <candidateList>
        <item>位公</item>
      </candidateList>
      <explain/>
      <paraID>7D71313F</paraID>
      <start>13</start>
      <end>15</end>
      <status>modified</status>
      <modifiedWord>位公</modifiedWord>
      <trackRevisions>false</trackRevisions>
    </reviewItem>
    <reviewItem>
      <errorID>eef11f80-c5e9-495c-ab80-092aa1cbdbad</errorID>
      <errorWord>需</errorWord>
      <group>L1_Word</group>
      <groupName>字词问题</groupName>
      <ability>L2_Typo</ability>
      <abilityName>字词错误</abilityName>
      <candidateList>
        <item>须</item>
      </candidateList>
      <explain>存在发音相同字词的误用。</explain>
      <paraID>41676D10</paraID>
      <start>3</start>
      <end>4</end>
      <status>unmodified</status>
      <modifiedWord/>
      <trackRevisions>false</trackRevisions>
    </reviewItem>
    <reviewItem>
      <errorID>991d5ee5-eb86-42b0-bb1c-deed59687171</errorID>
      <errorWord>(</errorWord>
      <group>L1_Format</group>
      <groupName>格式问题</groupName>
      <ability>L2_HalfPunc_CN</ability>
      <abilityName>全半角问题</abilityName>
      <candidateList>
        <item>（</item>
      </candidateList>
      <explain>文本全半角错误。</explain>
      <paraID>2D2893CF</paraID>
      <start>69</start>
      <end>70</end>
      <status>unmodified</status>
      <modifiedWord/>
      <trackRevisions>false</trackRevisions>
    </reviewItem>
    <reviewItem>
      <errorID>e897c9f9-93da-4461-8a7e-8584949d95bf</errorID>
      <errorWord>)</errorWord>
      <group>L1_Format</group>
      <groupName>格式问题</groupName>
      <ability>L2_HalfPunc_CN</ability>
      <abilityName>全半角问题</abilityName>
      <candidateList>
        <item>）</item>
      </candidateList>
      <explain>文本全半角错误。</explain>
      <paraID>2D2893CF</paraID>
      <start>113</start>
      <end>114</end>
      <status>unmodified</status>
      <modifiedWord/>
      <trackRevisions>false</trackRevisions>
    </reviewItem>
    <reviewItem>
      <errorID>20a07328-b1d4-4dd0-ad72-54b1f1464ae1</errorID>
      <errorWord>(</errorWord>
      <group>L1_Format</group>
      <groupName>格式问题</groupName>
      <ability>L2_HalfPunc_CN</ability>
      <abilityName>全半角问题</abilityName>
      <candidateList>
        <item>（</item>
      </candidateList>
      <explain>文本全半角错误。</explain>
      <paraID>42C0B333</paraID>
      <start>81</start>
      <end>82</end>
      <status>unmodified</status>
      <modifiedWord/>
      <trackRevisions>false</trackRevisions>
    </reviewItem>
    <reviewItem>
      <errorID>2ffd835c-686b-45fb-a541-6cc42d1ac9f2</errorID>
      <errorWord>)</errorWord>
      <group>L1_Format</group>
      <groupName>格式问题</groupName>
      <ability>L2_HalfPunc_CN</ability>
      <abilityName>全半角问题</abilityName>
      <candidateList>
        <item>）</item>
      </candidateList>
      <explain>文本全半角错误。</explain>
      <paraID>42C0B333</paraID>
      <start>114</start>
      <end>115</end>
      <status>unmodified</status>
      <modifiedWord/>
      <trackRevisions>false</trackRevisions>
    </reviewItem>
    <reviewItem>
      <errorID>4c925e1d-c100-4c23-853b-36b354043274</errorID>
      <errorWord>(</errorWord>
      <group>L1_Format</group>
      <groupName>格式问题</groupName>
      <ability>L2_HalfPunc_CN</ability>
      <abilityName>全半角问题</abilityName>
      <candidateList>
        <item>（</item>
      </candidateList>
      <explain>文本全半角错误。</explain>
      <paraID>42C0B333</paraID>
      <start>137</start>
      <end>138</end>
      <status>unmodified</status>
      <modifiedWord/>
      <trackRevisions>false</trackRevisions>
    </reviewItem>
    <reviewItem>
      <errorID>4640e4a7-0733-4b78-844e-be35f0119756</errorID>
      <errorWord>)</errorWord>
      <group>L1_Format</group>
      <groupName>格式问题</groupName>
      <ability>L2_HalfPunc_CN</ability>
      <abilityName>全半角问题</abilityName>
      <candidateList>
        <item>）</item>
      </candidateList>
      <explain>文本全半角错误。</explain>
      <paraID>42C0B333</paraID>
      <start>161</start>
      <end>162</end>
      <status>unmodified</status>
      <modifiedWord/>
      <trackRevisions>false</trackRevisions>
    </reviewItem>
    <reviewItem>
      <errorID>b8d67c24-6ec2-4c4c-8fdb-91abfc1755a1</errorID>
      <errorWord>(</errorWord>
      <group>L1_Format</group>
      <groupName>格式问题</groupName>
      <ability>L2_HalfPunc_CN</ability>
      <abilityName>全半角问题</abilityName>
      <candidateList>
        <item>（</item>
      </candidateList>
      <explain>文本全半角错误。</explain>
      <paraID>1D060114</paraID>
      <start>6</start>
      <end>7</end>
      <status>unmodified</status>
      <modifiedWord/>
      <trackRevisions>false</trackRevisions>
    </reviewItem>
    <reviewItem>
      <errorID>ba1f197b-c26b-4813-b994-800004040807</errorID>
      <errorWord>)</errorWord>
      <group>L1_Format</group>
      <groupName>格式问题</groupName>
      <ability>L2_HalfPunc_CN</ability>
      <abilityName>全半角问题</abilityName>
      <candidateList>
        <item>）</item>
      </candidateList>
      <explain>文本全半角错误。</explain>
      <paraID>1D060114</paraID>
      <start>13</start>
      <end>14</end>
      <status>unmodified</status>
      <modifiedWord/>
      <trackRevisions>false</trackRevisions>
    </reviewItem>
    <reviewItem>
      <errorID>03b500af-7827-441b-a28e-63239dbf6d08</errorID>
      <errorWord>(</errorWord>
      <group>L1_Format</group>
      <groupName>格式问题</groupName>
      <ability>L2_HalfPunc_CN</ability>
      <abilityName>全半角问题</abilityName>
      <candidateList>
        <item>（</item>
      </candidateList>
      <explain>文本全半角错误。</explain>
      <paraID>3B4F829C</paraID>
      <start>8</start>
      <end>9</end>
      <status>unmodified</status>
      <modifiedWord/>
      <trackRevisions>false</trackRevisions>
    </reviewItem>
    <reviewItem>
      <errorID>e78f2554-68d1-43fc-9223-d2d6bf7b31ea</errorID>
      <errorWord>)</errorWord>
      <group>L1_Format</group>
      <groupName>格式问题</groupName>
      <ability>L2_HalfPunc_CN</ability>
      <abilityName>全半角问题</abilityName>
      <candidateList>
        <item>）</item>
      </candidateList>
      <explain>文本全半角错误。</explain>
      <paraID>3B4F829C</paraID>
      <start>17</start>
      <end>18</end>
      <status>unmodified</status>
      <modifiedWord/>
      <trackRevisions>false</trackRevisions>
    </reviewItem>
    <reviewItem>
      <errorID>436e44cf-01b4-40da-bb80-522846728a40</errorID>
      <errorWord>(</errorWord>
      <group>L1_Format</group>
      <groupName>格式问题</groupName>
      <ability>L2_HalfPunc_CN</ability>
      <abilityName>全半角问题</abilityName>
      <candidateList>
        <item>（</item>
      </candidateList>
      <explain>文本全半角错误。</explain>
      <paraID>52B93BA8</paraID>
      <start>15</start>
      <end>16</end>
      <status>unmodified</status>
      <modifiedWord/>
      <trackRevisions>false</trackRevisions>
    </reviewItem>
    <reviewItem>
      <errorID>5320fd38-b55c-4bfc-b416-db8884536f89</errorID>
      <errorWord>)</errorWord>
      <group>L1_Format</group>
      <groupName>格式问题</groupName>
      <ability>L2_HalfPunc_CN</ability>
      <abilityName>全半角问题</abilityName>
      <candidateList>
        <item>）</item>
      </candidateList>
      <explain>文本全半角错误。</explain>
      <paraID>52B93BA8</paraID>
      <start>22</start>
      <end>23</end>
      <status>unmodified</status>
      <modifiedWord/>
      <trackRevisions>false</trackRevisions>
    </reviewItem>
    <reviewItem>
      <errorID>a094f3f9-438d-452c-8947-b64a1869ce58</errorID>
      <errorWord>位</errorWord>
      <group>L1_Word</group>
      <groupName>字词问题</groupName>
      <ability>L2_Typo</ability>
      <abilityName>字词错误</abilityName>
      <candidateList>
        <item>位公</item>
      </candidateList>
      <explain/>
      <paraID> 502423B</paraID>
      <start>36</start>
      <end>37</end>
      <status>unmodified</status>
      <modifiedWord/>
      <trackRevisions>false</trackRevisions>
    </reviewItem>
    <reviewItem>
      <errorID>b770cb1b-54a3-4bb4-bc39-838cb1e29352</errorID>
      <errorWord>和</errorWord>
      <group>L1_Word</group>
      <groupName>字词问题</groupName>
      <ability>L2_Typo</ability>
      <abilityName>字词错误</abilityName>
      <candidateList>
        <item>和加</item>
      </candidateList>
      <explain/>
      <paraID>7BF0CC30</paraID>
      <start>60</start>
      <end>61</end>
      <status>unmodified</status>
      <modifiedWord/>
      <trackRevisions>false</trackRevisions>
    </reviewItem>
    <reviewItem>
      <errorID>2c91b0b3-1b77-44ab-b416-52d5ab9093dc</errorID>
      <errorWord>并</errorWord>
      <group>L1_Word</group>
      <groupName>字词问题</groupName>
      <ability>L2_Typo</ability>
      <abilityName>字词错误</abilityName>
      <candidateList>
        <item>并加</item>
      </candidateList>
      <explain/>
      <paraID>438EF11E</paraID>
      <start>35</start>
      <end>36</end>
      <status>unmodified</status>
      <modifiedWord/>
      <trackRevisions>false</trackRevisions>
    </reviewItem>
    <reviewItem>
      <errorID>f3b62dfc-3075-4e77-8a31-32769a77b0a0</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1B5B04C8</paraID>
      <start>137</start>
      <end>153</end>
      <status>modified</status>
      <modifiedWord>中华人民共和国政府采购法实施条例</modifiedWord>
      <trackRevisions>false</trackRevisions>
    </reviewItem>
    <reviewItem>
      <errorID>3bd722f1-d48d-43a1-abf0-6451f8480997</errorID>
      <errorWord>位</errorWord>
      <group>L1_Word</group>
      <groupName>字词问题</groupName>
      <ability>L2_Typo</ability>
      <abilityName>字词错误</abilityName>
      <candidateList>
        <item>位公</item>
      </candidateList>
      <explain/>
      <paraID>5B474A16</paraID>
      <start>64</start>
      <end>66</end>
      <status>modified</status>
      <modifiedWord>位公</modifiedWord>
      <trackRevisions>false</trackRevisions>
    </reviewItem>
    <reviewItem>
      <errorID>27eaf73a-6cf1-404e-9447-8e1277bd3fbd</errorID>
      <errorWord>法律、法规</errorWord>
      <group>L1_Word</group>
      <groupName>字词问题</groupName>
      <ability>L2_Typo</ability>
      <abilityName>字词错误</abilityName>
      <candidateList>
        <item>法律法规</item>
      </candidateList>
      <explain/>
      <paraID>5C03CABE</paraID>
      <start>7</start>
      <end>11</end>
      <status>modified</status>
      <modifiedWord>法律法规</modifiedWord>
      <trackRevisions>false</trackRevisions>
    </reviewItem>
    <reviewItem>
      <errorID>dc96a112-f225-474b-b0ae-26ebc964dda8</errorID>
      <errorWord>,</errorWord>
      <group>L1_Format</group>
      <groupName>格式问题</groupName>
      <ability>L2_HalfPunc_CN</ability>
      <abilityName>全半角问题</abilityName>
      <candidateList>
        <item>，</item>
      </candidateList>
      <explain>文本全半角错误。</explain>
      <paraID>469BA4A7</paraID>
      <start>13</start>
      <end>14</end>
      <status>unmodified</status>
      <modifiedWord/>
      <trackRevisions>false</trackRevisions>
    </reviewItem>
    <reviewItem>
      <errorID>152d17e8-2912-4248-818d-ef9c0ea5f806</errorID>
      <errorWord>位</errorWord>
      <group>L1_Word</group>
      <groupName>字词问题</groupName>
      <ability>L2_Typo</ability>
      <abilityName>字词错误</abilityName>
      <candidateList>
        <item>位公</item>
      </candidateList>
      <explain/>
      <paraID>3F657F29</paraID>
      <start>68</start>
      <end>70</end>
      <status>modified</status>
      <modifiedWord>位公</modifiedWord>
      <trackRevisions>false</trackRevisions>
    </reviewItem>
    <reviewItem>
      <errorID>be0bb906-61a4-4134-8599-637b6081aa25</errorID>
      <errorWord>)</errorWord>
      <group>L1_Format</group>
      <groupName>格式问题</groupName>
      <ability>L2_HalfPunc_CN</ability>
      <abilityName>全半角问题</abilityName>
      <candidateList>
        <item>）</item>
      </candidateList>
      <explain>文本全半角错误。</explain>
      <paraID>5D18DF57</paraID>
      <start>44</start>
      <end>45</end>
      <status>unmodified</status>
      <modifiedWord/>
      <trackRevisions>false</trackRevisions>
    </reviewItem>
    <reviewItem>
      <errorID>22474f4a-b9ca-416f-a705-d0bf785ad631</errorID>
      <errorWord>(</errorWord>
      <group>L1_Format</group>
      <groupName>格式问题</groupName>
      <ability>L2_HalfPunc_CN</ability>
      <abilityName>全半角问题</abilityName>
      <candidateList>
        <item>（</item>
      </candidateList>
      <explain>文本全半角错误。</explain>
      <paraID>4B7B83B8</paraID>
      <start>17</start>
      <end>18</end>
      <status>unmodified</status>
      <modifiedWord/>
      <trackRevisions>false</trackRevisions>
    </reviewItem>
    <reviewItem>
      <errorID>9b425b22-3acc-4102-96e6-d093da42ad29</errorID>
      <errorWord>.</errorWord>
      <group>L1_Format</group>
      <groupName>格式问题</groupName>
      <ability>L2_HalfPunc_CN</ability>
      <abilityName>全半角问题</abilityName>
      <candidateList>
        <item>。</item>
      </candidateList>
      <explain>文本全半角错误。</explain>
      <paraID>4B7B83B8</paraID>
      <start>19</start>
      <end>20</end>
      <status>unmodified</status>
      <modifiedWord/>
      <trackRevisions>false</trackRevisions>
    </reviewItem>
    <reviewItem>
      <errorID>5f75f21a-f177-4f1e-b356-f90f6e535013</errorID>
      <errorWord>(</errorWord>
      <group>L1_Format</group>
      <groupName>格式问题</groupName>
      <ability>L2_HalfPunc_CN</ability>
      <abilityName>全半角问题</abilityName>
      <candidateList>
        <item>（</item>
      </candidateList>
      <explain>文本全半角错误。</explain>
      <paraID>4B7B83B8</paraID>
      <start>31</start>
      <end>32</end>
      <status>unmodified</status>
      <modifiedWord/>
      <trackRevisions>false</trackRevisions>
    </reviewItem>
    <reviewItem>
      <errorID>9a0b4e0e-4f7c-4945-8270-6bfd0d390a47</errorID>
      <errorWord>)</errorWord>
      <group>L1_Format</group>
      <groupName>格式问题</groupName>
      <ability>L2_HalfPunc_CN</ability>
      <abilityName>全半角问题</abilityName>
      <candidateList>
        <item>）</item>
      </candidateList>
      <explain>文本全半角错误。</explain>
      <paraID>4B7B83B8</paraID>
      <start>40</start>
      <end>41</end>
      <status>unmodified</status>
      <modifiedWord/>
      <trackRevisions>false</trackRevisions>
    </reviewItem>
    <reviewItem>
      <errorID>014d3602-b8d4-41f4-8811-4d2578c67a72</errorID>
      <errorWord>(</errorWord>
      <group>L1_Format</group>
      <groupName>格式问题</groupName>
      <ability>L2_HalfPunc_CN</ability>
      <abilityName>全半角问题</abilityName>
      <candidateList>
        <item>（</item>
      </candidateList>
      <explain>文本全半角错误。</explain>
      <paraID>4B7B83B8</paraID>
      <start>75</start>
      <end>76</end>
      <status>unmodified</status>
      <modifiedWord/>
      <trackRevisions>false</trackRevisions>
    </reviewItem>
    <reviewItem>
      <errorID>b5d6bd02-1877-4aad-9331-a92bb378e08f</errorID>
      <errorWord>)</errorWord>
      <group>L1_Format</group>
      <groupName>格式问题</groupName>
      <ability>L2_HalfPunc_CN</ability>
      <abilityName>全半角问题</abilityName>
      <candidateList>
        <item>）</item>
      </candidateList>
      <explain>文本全半角错误。</explain>
      <paraID>4B7B83B8</paraID>
      <start>84</start>
      <end>85</end>
      <status>unmodified</status>
      <modifiedWord/>
      <trackRevisions>false</trackRevisions>
    </reviewItem>
    <reviewItem>
      <errorID>1f55eaf1-0dc3-453d-af5e-4c6ccff669c1</errorID>
      <errorWord>)</errorWord>
      <group>L1_Format</group>
      <groupName>格式问题</groupName>
      <ability>L2_HalfPunc_CN</ability>
      <abilityName>全半角问题</abilityName>
      <candidateList>
        <item>）</item>
      </candidateList>
      <explain>文本全半角错误。</explain>
      <paraID>4B7B83B8</paraID>
      <start>144</start>
      <end>145</end>
      <status>unmodified</status>
      <modifiedWord/>
      <trackRevisions>false</trackRevisions>
    </reviewItem>
    <reviewItem>
      <errorID>4a5a60ca-ab0a-4791-808b-887388fadc67</errorID>
      <errorWord>(</errorWord>
      <group>L1_Format</group>
      <groupName>格式问题</groupName>
      <ability>L2_HalfPunc_CN</ability>
      <abilityName>全半角问题</abilityName>
      <candidateList>
        <item>（</item>
      </candidateList>
      <explain>文本全半角错误。</explain>
      <paraID>5C79172A</paraID>
      <start>20</start>
      <end>21</end>
      <status>unmodified</status>
      <modifiedWord/>
      <trackRevisions>false</trackRevisions>
    </reviewItem>
    <reviewItem>
      <errorID>c97c8201-00cf-43f6-891b-7d885b5efd11</errorID>
      <errorWord>)</errorWord>
      <group>L1_Format</group>
      <groupName>格式问题</groupName>
      <ability>L2_HalfPunc_CN</ability>
      <abilityName>全半角问题</abilityName>
      <candidateList>
        <item>）</item>
      </candidateList>
      <explain>文本全半角错误。</explain>
      <paraID>5C79172A</paraID>
      <start>23</start>
      <end>24</end>
      <status>unmodified</status>
      <modifiedWord/>
      <trackRevisions>false</trackRevisions>
    </reviewItem>
    <reviewItem>
      <errorID>5733f7fc-3e44-4a89-a0ee-dea9e4e2bae5</errorID>
      <errorWord>(</errorWord>
      <group>L1_Format</group>
      <groupName>格式问题</groupName>
      <ability>L2_HalfPunc_CN</ability>
      <abilityName>全半角问题</abilityName>
      <candidateList>
        <item>（</item>
      </candidateList>
      <explain>文本全半角错误。</explain>
      <paraID>300CD14F</paraID>
      <start>7</start>
      <end>8</end>
      <status>unmodified</status>
      <modifiedWord/>
      <trackRevisions>false</trackRevisions>
    </reviewItem>
    <reviewItem>
      <errorID>1ea3cdc8-7a31-4a2b-a085-c0ea1c7423b8</errorID>
      <errorWord>)</errorWord>
      <group>L1_Format</group>
      <groupName>格式问题</groupName>
      <ability>L2_HalfPunc_CN</ability>
      <abilityName>全半角问题</abilityName>
      <candidateList>
        <item>）</item>
      </candidateList>
      <explain>文本全半角错误。</explain>
      <paraID>300CD14F</paraID>
      <start>18</start>
      <end>19</end>
      <status>unmodified</status>
      <modifiedWord/>
      <trackRevisions>false</trackRevisions>
    </reviewItem>
    <reviewItem>
      <errorID>e3bbecdb-8c08-4a74-94c6-1b5f3842434f</errorID>
      <errorWord>规则</errorWord>
      <group>L1_Grammar</group>
      <groupName>语法问题</groupName>
      <ability>L2_Grammar</ability>
      <abilityName>语法错误</abilityName>
      <candidateList>
        <item>规定</item>
      </candidateList>
      <explain>“执行～规则”搭配不当，建议修改为“执行～规定”。</explain>
      <paraID>2F45D706</paraID>
      <start>63</start>
      <end>65</end>
      <status>unmodified</status>
      <modifiedWord/>
      <trackRevisions>false</trackRevisions>
    </reviewItem>
    <reviewItem>
      <errorID>61e6b848-be4e-43e5-baf8-274645d3e258</errorID>
      <errorWord>规则</errorWord>
      <group>L1_Grammar</group>
      <groupName>语法问题</groupName>
      <ability>L2_Grammar</ability>
      <abilityName>语法错误</abilityName>
      <candidateList>
        <item>规定</item>
      </candidateList>
      <explain>“执行～规则”搭配不当，建议修改为“执行～规定”。</explain>
      <paraID>63C54E0E</paraID>
      <start>65</start>
      <end>67</end>
      <status>unmodified</status>
      <modifiedWord/>
      <trackRevisions>false</trackRevisions>
    </reviewItem>
    <reviewItem>
      <errorID>a492e7b1-4747-4a99-b4cf-cf0af047c08e</errorID>
      <errorWord>规则</errorWord>
      <group>L1_Grammar</group>
      <groupName>语法问题</groupName>
      <ability>L2_Grammar</ability>
      <abilityName>语法错误</abilityName>
      <candidateList>
        <item>规定</item>
      </candidateList>
      <explain>“执行～规则”搭配不当，建议修改为“执行～规定”。</explain>
      <paraID>61EDB1DD</paraID>
      <start>65</start>
      <end>67</end>
      <status>unmodified</status>
      <modifiedWord/>
      <trackRevisions>false</trackRevisions>
    </reviewItem>
    <reviewItem>
      <errorID>e2fe71b9-98e7-417b-acf3-9e1d50d57c2c</errorID>
      <errorWord>规则</errorWord>
      <group>L1_Grammar</group>
      <groupName>语法问题</groupName>
      <ability>L2_Grammar</ability>
      <abilityName>语法错误</abilityName>
      <candidateList>
        <item>规定</item>
      </candidateList>
      <explain>“执行～规则”搭配不当，建议修改为“执行～规定”。</explain>
      <paraID>280419BF</paraID>
      <start>65</start>
      <end>67</end>
      <status>unmodified</status>
      <modifiedWord/>
      <trackRevisions>false</trackRevisions>
    </reviewItem>
    <reviewItem>
      <errorID>385c29b5-43e5-467c-a5c9-93509806377b</errorID>
      <errorWord>晰</errorWord>
      <group>L1_Word</group>
      <groupName>字词问题</groupName>
      <ability>L2_Typo</ability>
      <abilityName>字词错误</abilityName>
      <candidateList>
        <item>晰地</item>
      </candidateList>
      <explain/>
      <paraID> 2B6B46D</paraID>
      <start>1</start>
      <end>2</end>
      <status>unmodified</status>
      <modifiedWord/>
      <trackRevisions>false</trackRevisions>
    </reviewItem>
    <reviewItem>
      <errorID>259666a5-6af7-49d3-b37c-ce8581b3d05e</errorID>
      <errorWord>规则</errorWord>
      <group>L1_Grammar</group>
      <groupName>语法问题</groupName>
      <ability>L2_Grammar</ability>
      <abilityName>语法错误</abilityName>
      <candidateList>
        <item>规定</item>
      </candidateList>
      <explain>“执行～规则”搭配不当，建议修改为“执行～规定”。</explain>
      <paraID>363462BC</paraID>
      <start>63</start>
      <end>65</end>
      <status>unmodified</status>
      <modifiedWord/>
      <trackRevisions>false</trackRevisions>
    </reviewItem>
    <reviewItem>
      <errorID>05b03817-6927-48f7-94e9-962b0779a693</errorID>
      <errorWord>(</errorWord>
      <group>L1_Format</group>
      <groupName>格式问题</groupName>
      <ability>L2_HalfPunc_CN</ability>
      <abilityName>全半角问题</abilityName>
      <candidateList>
        <item>（</item>
      </candidateList>
      <explain>文本全半角错误。</explain>
      <paraID>6A950200</paraID>
      <start>10</start>
      <end>11</end>
      <status>unmodified</status>
      <modifiedWord/>
      <trackRevisions>false</trackRevisions>
    </reviewItem>
    <reviewItem>
      <errorID>2b61af57-ffe6-4c7a-8857-798e171c98fb</errorID>
      <errorWord>)</errorWord>
      <group>L1_Format</group>
      <groupName>格式问题</groupName>
      <ability>L2_HalfPunc_CN</ability>
      <abilityName>全半角问题</abilityName>
      <candidateList>
        <item>）</item>
      </candidateList>
      <explain>文本全半角错误。</explain>
      <paraID>6A950200</paraID>
      <start>13</start>
      <end>14</end>
      <status>unmodified</status>
      <modifiedWord/>
      <trackRevisions>false</trackRevisions>
    </reviewItem>
    <reviewItem>
      <errorID>7f8ec684-2593-427c-81ab-1c58bd7ad861</errorID>
      <errorWord>,</errorWord>
      <group>L1_Format</group>
      <groupName>格式问题</groupName>
      <ability>L2_HalfPunc_CN</ability>
      <abilityName>全半角问题</abilityName>
      <candidateList>
        <item>，</item>
      </candidateList>
      <explain>文本全半角错误。</explain>
      <paraID>6A950200</paraID>
      <start>26</start>
      <end>27</end>
      <status>unmodified</status>
      <modifiedWord/>
      <trackRevisions>false</trackRevisions>
    </reviewItem>
    <reviewItem>
      <errorID>7b7228b9-bad4-43c7-bd05-8f407b1bc53d</errorID>
      <errorWord>(</errorWord>
      <group>L1_Format</group>
      <groupName>格式问题</groupName>
      <ability>L2_HalfPunc_CN</ability>
      <abilityName>全半角问题</abilityName>
      <candidateList>
        <item>（</item>
      </candidateList>
      <explain>文本全半角错误。</explain>
      <paraID>7A75D33C</paraID>
      <start>20</start>
      <end>21</end>
      <status>unmodified</status>
      <modifiedWord/>
      <trackRevisions>false</trackRevisions>
    </reviewItem>
    <reviewItem>
      <errorID>77a7c970-e795-4607-a722-ce18dfa66f6e</errorID>
      <errorWord>)</errorWord>
      <group>L1_Format</group>
      <groupName>格式问题</groupName>
      <ability>L2_HalfPunc_CN</ability>
      <abilityName>全半角问题</abilityName>
      <candidateList>
        <item>）</item>
      </candidateList>
      <explain>文本全半角错误。</explain>
      <paraID>7A75D33C</paraID>
      <start>27</start>
      <end>28</end>
      <status>unmodified</status>
      <modifiedWord/>
      <trackRevisions>false</trackRevisions>
    </reviewItem>
    <reviewItem>
      <errorID>10e3f0c4-3585-4d1f-9c2c-3757ad2093ed</errorID>
      <errorWord>(</errorWord>
      <group>L1_Format</group>
      <groupName>格式问题</groupName>
      <ability>L2_HalfPunc_CN</ability>
      <abilityName>全半角问题</abilityName>
      <candidateList>
        <item>（</item>
      </candidateList>
      <explain>文本全半角错误。</explain>
      <paraID>7A75D33C</paraID>
      <start>39</start>
      <end>40</end>
      <status>unmodified</status>
      <modifiedWord/>
      <trackRevisions>false</trackRevisions>
    </reviewItem>
    <reviewItem>
      <errorID>6220c039-da8e-46cb-a4b1-fa1e9e32fe30</errorID>
      <errorWord>)</errorWord>
      <group>L1_Format</group>
      <groupName>格式问题</groupName>
      <ability>L2_HalfPunc_CN</ability>
      <abilityName>全半角问题</abilityName>
      <candidateList>
        <item>）</item>
      </candidateList>
      <explain>文本全半角错误。</explain>
      <paraID>7A75D33C</paraID>
      <start>46</start>
      <end>47</end>
      <status>unmodified</status>
      <modifiedWord/>
      <trackRevisions>false</trackRevisions>
    </reviewItem>
    <reviewItem>
      <errorID>06451d87-e29e-4590-80e6-16f90b86078a</errorID>
      <errorWord>(</errorWord>
      <group>L1_Format</group>
      <groupName>格式问题</groupName>
      <ability>L2_HalfPunc_CN</ability>
      <abilityName>全半角问题</abilityName>
      <candidateList>
        <item>（</item>
      </candidateList>
      <explain>文本全半角错误。</explain>
      <paraID>29BEA9DB</paraID>
      <start>2</start>
      <end>3</end>
      <status>unmodified</status>
      <modifiedWord/>
      <trackRevisions>false</trackRevisions>
    </reviewItem>
    <reviewItem>
      <errorID>1030740d-0dd0-46a5-ac6d-a4be045071de</errorID>
      <errorWord>)</errorWord>
      <group>L1_Format</group>
      <groupName>格式问题</groupName>
      <ability>L2_HalfPunc_CN</ability>
      <abilityName>全半角问题</abilityName>
      <candidateList>
        <item>）</item>
      </candidateList>
      <explain>文本全半角错误。</explain>
      <paraID>29BEA9DB</paraID>
      <start>9</start>
      <end>10</end>
      <status>unmodified</status>
      <modifiedWord/>
      <trackRevisions>false</trackRevisions>
    </reviewItem>
    <reviewItem>
      <errorID>77b7e027-f40c-446e-ae71-a8d0dc058ebb</errorID>
      <errorWord>岗</errorWord>
      <group>L1_Word</group>
      <groupName>字词问题</groupName>
      <ability>L2_Typo</ability>
      <abilityName>字词错误</abilityName>
      <candidateList>
        <item>钢</item>
      </candidateList>
      <explain>存在发音相同字词的误用。</explain>
      <paraID>33EB7447</paraID>
      <start>10</start>
      <end>11</end>
      <status>unmodified</status>
      <modifiedWord/>
      <trackRevisions>false</trackRevisions>
    </reviewItem>
    <reviewItem>
      <errorID>1a281127-a00b-4264-810e-1217a71e34bd</errorID>
      <errorWord>(</errorWord>
      <group>L1_Format</group>
      <groupName>格式问题</groupName>
      <ability>L2_HalfPunc_CN</ability>
      <abilityName>全半角问题</abilityName>
      <candidateList>
        <item>（</item>
      </candidateList>
      <explain>文本全半角错误。</explain>
      <paraID>4CDC5EA8</paraID>
      <start>4</start>
      <end>5</end>
      <status>unmodified</status>
      <modifiedWord/>
      <trackRevisions>false</trackRevisions>
    </reviewItem>
    <reviewItem>
      <errorID>80217f9f-e492-410f-9c55-ad1a76a74dbd</errorID>
      <errorWord>)</errorWord>
      <group>L1_Format</group>
      <groupName>格式问题</groupName>
      <ability>L2_HalfPunc_CN</ability>
      <abilityName>全半角问题</abilityName>
      <candidateList>
        <item>）</item>
      </candidateList>
      <explain>文本全半角错误。</explain>
      <paraID>4CDC5EA8</paraID>
      <start>10</start>
      <end>11</end>
      <status>unmodified</status>
      <modifiedWord/>
      <trackRevisions>false</trackRevisions>
    </reviewItem>
    <reviewItem>
      <errorID>d3309b32-b6be-47eb-8ea5-237111e89112</errorID>
      <errorWord>原器件</errorWord>
      <group>L1_Word</group>
      <groupName>字词问题</groupName>
      <ability>L2_Typo</ability>
      <abilityName>字词错误</abilityName>
      <candidateList>
        <item>元器件</item>
      </candidateList>
      <explain/>
      <paraID>29D40279</paraID>
      <start>5</start>
      <end>8</end>
      <status>unmodified</status>
      <modifiedWord/>
      <trackRevisions>false</trackRevisions>
    </reviewItem>
    <reviewItem>
      <errorID>8c834d97-7bd6-4fb5-956d-7a423b675149</errorID>
      <errorWord>:</errorWord>
      <group>L1_Format</group>
      <groupName>格式问题</groupName>
      <ability>L2_HalfPunc_CN</ability>
      <abilityName>全半角问题</abilityName>
      <candidateList>
        <item>：</item>
      </candidateList>
      <explain>文本全半角错误。</explain>
      <paraID>5D0F8F94</paraID>
      <start>9</start>
      <end>10</end>
      <status>unmodified</status>
      <modifiedWord/>
      <trackRevisions>false</trackRevisions>
    </reviewItem>
    <reviewItem>
      <errorID>e02d0870-0e29-41cc-9bfa-7631762fee52</errorID>
      <errorWord>,</errorWord>
      <group>L1_Format</group>
      <groupName>格式问题</groupName>
      <ability>L2_HalfPunc_CN</ability>
      <abilityName>全半角问题</abilityName>
      <candidateList>
        <item>，</item>
      </candidateList>
      <explain>文本全半角错误。</explain>
      <paraID>75903E86</paraID>
      <start>24</start>
      <end>25</end>
      <status>unmodified</status>
      <modifiedWord/>
      <trackRevisions>false</trackRevisions>
    </reviewItem>
    <reviewItem>
      <errorID>3a353e18-3181-4bd0-ad24-710e17f405b5</errorID>
      <errorWord>法律、法规</errorWord>
      <group>L1_Word</group>
      <groupName>字词问题</groupName>
      <ability>L2_Typo</ability>
      <abilityName>字词错误</abilityName>
      <candidateList>
        <item>法律法规</item>
      </candidateList>
      <explain/>
      <paraID>3C270666</paraID>
      <start>22</start>
      <end>26</end>
      <status>modified</status>
      <modifiedWord>法律法规</modifiedWord>
      <trackRevisions>false</trackRevisions>
    </reviewItem>
    <reviewItem>
      <errorID>fefb11e9-84ce-45e4-a198-0b3a1cc0a417</errorID>
      <errorWord>其它</errorWord>
      <group>L1_Word</group>
      <groupName>字词问题</groupName>
      <ability>L2_Alias</ability>
      <abilityName>也作/曾用词</abilityName>
      <candidateList>
        <item>其他</item>
      </candidateList>
      <explain>词汇[其它]为不规范表述或旧称，其规范书面表述为[其他]。</explain>
      <paraID>402D5CE2</paraID>
      <start>4</start>
      <end>6</end>
      <status>modified</status>
      <modifiedWord>其他</modifiedWord>
      <trackRevisions>false</trackRevisions>
    </reviewItem>
    <reviewItem>
      <errorID>09a4259f-b58c-49e9-9816-629dd633c018</errorID>
      <errorWord>《</errorWord>
      <group>L1_Punc</group>
      <groupName>标点问题</groupName>
      <ability>L2_Punc_CN</ability>
      <abilityName>标点符号问题</abilityName>
      <candidateList/>
      <explain>同一形式括号套用。</explain>
      <paraID>31EDF745</paraID>
      <start>10</start>
      <end>11</end>
      <status>unmodified</status>
      <modifiedWord/>
      <trackRevisions>false</trackRevisions>
    </reviewItem>
    <reviewItem>
      <errorID>d18531f2-92a5-4feb-87dc-521db18b7144</errorID>
      <errorWord>》</errorWord>
      <group>L1_Punc</group>
      <groupName>标点问题</groupName>
      <ability>L2_Punc_CN</ability>
      <abilityName>标点符号问题</abilityName>
      <candidateList/>
      <explain>同一形式括号套用。</explain>
      <paraID>31EDF745</paraID>
      <start>23</start>
      <end>24</end>
      <status>unmodified</status>
      <modifiedWord/>
      <trackRevisions>false</trackRevisions>
    </reviewItem>
    <reviewItem>
      <errorID>6c4029b1-658e-4de3-9b22-29572c068328</errorID>
      <errorWord>采购人</errorWord>
      <group>L1_Word</group>
      <groupName>字词问题</groupName>
      <ability>L2_Typo</ability>
      <abilityName>字词错误</abilityName>
      <candidateList>
        <item>采购</item>
      </candidateList>
      <explain/>
      <paraID>64596A5C</paraID>
      <start>420</start>
      <end>422</end>
      <status>modified</status>
      <modifiedWord>采购</modifiedWord>
      <trackRevisions>false</trackRevisions>
    </reviewItem>
    <reviewItem>
      <errorID>687724aa-bf6f-40a9-b32c-62a7ee0992ca</errorID>
      <errorWord>:</errorWord>
      <group>L1_Format</group>
      <groupName>格式问题</groupName>
      <ability>L2_HalfPunc_CN</ability>
      <abilityName>全半角问题</abilityName>
      <candidateList>
        <item>：</item>
      </candidateList>
      <explain>文本全半角错误。</explain>
      <paraID>4D801516</paraID>
      <start>8</start>
      <end>9</end>
      <status>unmodified</status>
      <modifiedWord/>
      <trackRevisions>false</trackRevisions>
    </reviewItem>
    <reviewItem>
      <errorID>1a5b2d4b-2710-4264-b62d-bd30cc11eec8</errorID>
      <errorWord>,</errorWord>
      <group>L1_Format</group>
      <groupName>格式问题</groupName>
      <ability>L2_HalfPunc_CN</ability>
      <abilityName>全半角问题</abilityName>
      <candidateList>
        <item>，</item>
      </candidateList>
      <explain>文本全半角错误。</explain>
      <paraID>6A43436B</paraID>
      <start>46</start>
      <end>47</end>
      <status>unmodified</status>
      <modifiedWord/>
      <trackRevisions>false</trackRevisions>
    </reviewItem>
    <reviewItem>
      <errorID>509d705b-4fb5-479a-b188-8737ffbbe813</errorID>
      <errorWord>（</errorWord>
      <group>L1_Format</group>
      <groupName>格式问题</groupName>
      <ability>L2_HalfPunc_CN</ability>
      <abilityName>全半角问题</abilityName>
      <candidateList>
        <item>(</item>
      </candidateList>
      <explain>文本全半角错误。</explain>
      <paraID>60DF41CD</paraID>
      <start>0</start>
      <end>1</end>
      <status>unmodified</status>
      <modifiedWord/>
      <trackRevisions>false</trackRevisions>
    </reviewItem>
    <reviewItem>
      <errorID>8d2d3d02-86a5-4014-b145-a91616645a50</errorID>
      <errorWord>）</errorWord>
      <group>L1_Format</group>
      <groupName>格式问题</groupName>
      <ability>L2_HalfPunc_CN</ability>
      <abilityName>全半角问题</abilityName>
      <candidateList>
        <item>)</item>
      </candidateList>
      <explain>文本全半角错误。</explain>
      <paraID>60DF41CD</paraID>
      <start>13</start>
      <end>14</end>
      <status>unmodified</status>
      <modifiedWord/>
      <trackRevisions>false</trackRevisions>
    </reviewItem>
    <reviewItem>
      <errorID>094a8c98-5e5a-4ea1-bf63-ff09955ca31b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76308567</paraID>
      <start>13</start>
      <end>16</end>
      <status>unmodified</status>
      <modifiedWord/>
      <trackRevisions>false</trackRevisions>
    </reviewItem>
    <reviewItem>
      <errorID>b6bee3a3-79fd-4e83-95ec-4e2ae5f3a203</errorID>
      <errorWord>)</errorWord>
      <group>L1_Format</group>
      <groupName>格式问题</groupName>
      <ability>L2_HalfPunc_CN</ability>
      <abilityName>全半角问题</abilityName>
      <candidateList>
        <item>）</item>
      </candidateList>
      <explain>文本全半角错误。</explain>
      <paraID>22D0AD66</paraID>
      <start>24</start>
      <end>25</end>
      <status>unmodified</status>
      <modifiedWord/>
      <trackRevisions>false</trackRevisions>
    </reviewItem>
    <reviewItem>
      <errorID>3b9efef3-d1c8-4238-8de8-c4c32841592e</errorID>
      <errorWord>)</errorWord>
      <group>L1_Format</group>
      <groupName>格式问题</groupName>
      <ability>L2_HalfPunc_CN</ability>
      <abilityName>全半角问题</abilityName>
      <candidateList>
        <item>）</item>
      </candidateList>
      <explain>文本全半角错误。</explain>
      <paraID>104B2150</paraID>
      <start>33</start>
      <end>34</end>
      <status>unmodified</status>
      <modifiedWord/>
      <trackRevisions>false</trackRevisions>
    </reviewItem>
    <reviewItem>
      <errorID>b34bb84f-d537-4e81-a979-cefaf2905eea</errorID>
      <errorWord>:</errorWord>
      <group>L1_Format</group>
      <groupName>格式问题</groupName>
      <ability>L2_HalfPunc_CN</ability>
      <abilityName>全半角问题</abilityName>
      <candidateList>
        <item>：</item>
      </candidateList>
      <explain>文本全半角错误。</explain>
      <paraID> 23F4E85</paraID>
      <start>6</start>
      <end>7</end>
      <status>unmodified</status>
      <modifiedWord/>
      <trackRevisions>false</trackRevisions>
    </reviewItem>
    <reviewItem>
      <errorID>4bd2c1d2-ffe3-478d-bad3-5ed47975aabb</errorID>
      <errorWord>)</errorWord>
      <group>L1_Format</group>
      <groupName>格式问题</groupName>
      <ability>L2_HalfPunc_CN</ability>
      <abilityName>全半角问题</abilityName>
      <candidateList>
        <item>）</item>
      </candidateList>
      <explain>文本全半角错误。</explain>
      <paraID> 23F4E85</paraID>
      <start>37</start>
      <end>38</end>
      <status>unmodified</status>
      <modifiedWord/>
      <trackRevisions>false</trackRevisions>
    </reviewItem>
    <reviewItem>
      <errorID>809850ee-4934-44cc-bee4-6bfe3044ab80</errorID>
      <errorWord>(</errorWord>
      <group>L1_Format</group>
      <groupName>格式问题</groupName>
      <ability>L2_HalfPunc_CN</ability>
      <abilityName>全半角问题</abilityName>
      <candidateList>
        <item>（</item>
      </candidateList>
      <explain>文本全半角错误。</explain>
      <paraID>3A03DA40</paraID>
      <start>6</start>
      <end>7</end>
      <status>unmodified</status>
      <modifiedWord/>
      <trackRevisions>false</trackRevisions>
    </reviewItem>
    <reviewItem>
      <errorID>536ba6ae-1e52-411f-870c-b0f1d86ebbf6</errorID>
      <errorWord>)</errorWord>
      <group>L1_Format</group>
      <groupName>格式问题</groupName>
      <ability>L2_HalfPunc_CN</ability>
      <abilityName>全半角问题</abilityName>
      <candidateList>
        <item>）</item>
      </candidateList>
      <explain>文本全半角错误。</explain>
      <paraID>3A03DA40</paraID>
      <start>9</start>
      <end>10</end>
      <status>unmodified</status>
      <modifiedWord/>
      <trackRevisions>false</trackRevisions>
    </reviewItem>
    <reviewItem>
      <errorID>92266840-3ee4-4d9b-a807-c945ac9a6b03</errorID>
      <errorWord>(</errorWord>
      <group>L1_Format</group>
      <groupName>格式问题</groupName>
      <ability>L2_HalfPunc_CN</ability>
      <abilityName>全半角问题</abilityName>
      <candidateList>
        <item>（</item>
      </candidateList>
      <explain>文本全半角错误。</explain>
      <paraID>3A03DA40</paraID>
      <start>44</start>
      <end>45</end>
      <status>unmodified</status>
      <modifiedWord/>
      <trackRevisions>false</trackRevisions>
    </reviewItem>
    <reviewItem>
      <errorID>313d0eeb-da71-482a-a8cd-0c3dc120d956</errorID>
      <errorWord>)</errorWord>
      <group>L1_Format</group>
      <groupName>格式问题</groupName>
      <ability>L2_HalfPunc_CN</ability>
      <abilityName>全半角问题</abilityName>
      <candidateList>
        <item>）</item>
      </candidateList>
      <explain>文本全半角错误。</explain>
      <paraID>3A03DA40</paraID>
      <start>47</start>
      <end>48</end>
      <status>unmodified</status>
      <modifiedWord/>
      <trackRevisions>false</trackRevisions>
    </reviewItem>
    <reviewItem>
      <errorID>bd31cf61-39cc-4a71-8b7b-518b13332260</errorID>
      <errorWord>收人</errorWord>
      <group>L1_Other</group>
      <groupName>其他问题</groupName>
      <ability>L2_UserTypo</ability>
      <abilityName>自定义错误</abilityName>
      <candidateList>
        <item>收入</item>
      </candidateList>
      <explain>来自自定义错词库。</explain>
      <paraID>248A6FDF</paraID>
      <start>72</start>
      <end>74</end>
      <status>unmodified</status>
      <modifiedWord/>
      <trackRevisions>false</trackRevisions>
    </reviewItem>
    <reviewItem>
      <errorID>2269f56a-40a8-41d1-9b12-99e61308c28e</errorID>
      <errorWord>收人</errorWord>
      <group>L1_Other</group>
      <groupName>其他问题</groupName>
      <ability>L2_UserTypo</ability>
      <abilityName>自定义错误</abilityName>
      <candidateList>
        <item>收入</item>
      </candidateList>
      <explain>来自自定义错词库。</explain>
      <paraID>6DF28471</paraID>
      <start>30</start>
      <end>32</end>
      <status>unmodified</status>
      <modifiedWord/>
      <trackRevisions>false</trackRevisions>
    </reviewItem>
    <reviewItem>
      <errorID>5e631983-f3ba-448f-9c8d-77bc86d60913</errorID>
      <errorWord>收人</errorWord>
      <group>L1_Other</group>
      <groupName>其他问题</groupName>
      <ability>L2_UserTypo</ability>
      <abilityName>自定义错误</abilityName>
      <candidateList>
        <item>收入</item>
      </candidateList>
      <explain>来自自定义错词库。</explain>
      <paraID>6DF28471</paraID>
      <start>51</start>
      <end>53</end>
      <status>unmodified</status>
      <modifiedWord/>
      <trackRevisions>false</trackRevisions>
    </reviewItem>
    <reviewItem>
      <errorID>e3248a0b-b6b3-4f82-85f8-f978389812e0</errorID>
      <errorWord>送达至</errorWord>
      <group>L1_Word</group>
      <groupName>字词问题</groupName>
      <ability>L2_Typo</ability>
      <abilityName>字词错误</abilityName>
      <candidateList>
        <item>送达</item>
      </candidateList>
      <explain/>
      <paraID> BCFD95E</paraID>
      <start>22</start>
      <end>25</end>
      <status>unmodified</status>
      <modifiedWord/>
      <trackRevisions>false</trackRevisions>
    </reviewItem>
    <reviewItem>
      <errorID>b94a8568-1f92-41d6-b71a-d870c6bc8ebe</errorID>
      <errorWord>收人</errorWord>
      <group>L1_Other</group>
      <groupName>其他问题</groupName>
      <ability>L2_UserTypo</ability>
      <abilityName>自定义错误</abilityName>
      <candidateList>
        <item>收入</item>
      </candidateList>
      <explain>来自自定义错词库。</explain>
      <paraID> BCFD95E</paraID>
      <start>33</start>
      <end>35</end>
      <status>unmodified</status>
      <modifiedWord/>
      <trackRevisions>false</trackRevisions>
    </reviewItem>
    <reviewItem>
      <errorID>be621d4d-e074-40bd-ad17-cbf696c2d882</errorID>
      <errorWord>涵义</errorWord>
      <group>L1_Word</group>
      <groupName>字词问题</groupName>
      <ability>L2_Alias</ability>
      <abilityName>也作/曾用词</abilityName>
      <candidateList>
        <item>含义</item>
      </candidateList>
      <explain>词汇[涵义]为不规范表述或旧称，其规范书面表述为[含义]。</explain>
      <paraID>5D8BFD70</paraID>
      <start>31</start>
      <end>33</end>
      <status>modified</status>
      <modifiedWord>含义</modifiedWord>
      <trackRevisions>false</trackRevisions>
    </reviewItem>
    <reviewItem>
      <errorID>2b4137b5-e5c9-46dd-b771-e0ce7d402d7d</errorID>
      <errorWord>涵义</errorWord>
      <group>L1_Word</group>
      <groupName>字词问题</groupName>
      <ability>L2_Alias</ability>
      <abilityName>也作/曾用词</abilityName>
      <candidateList>
        <item>含义</item>
      </candidateList>
      <explain>词汇[涵义]为不规范表述或旧称，其规范书面表述为[含义]。</explain>
      <paraID>5D8BFD70</paraID>
      <start>77</start>
      <end>79</end>
      <status>modified</status>
      <modifiedWord>含义</modifiedWord>
      <trackRevisions>false</trackRevisions>
    </reviewItem>
    <reviewItem>
      <errorID>7e28a22d-8d18-4b63-a67b-f8edc3cf726c</errorID>
      <errorWord>,</errorWord>
      <group>L1_Format</group>
      <groupName>格式问题</groupName>
      <ability>L2_HalfPunc_CN</ability>
      <abilityName>全半角问题</abilityName>
      <candidateList>
        <item>，</item>
      </candidateList>
      <explain>文本全半角错误。</explain>
      <paraID>2D40ADB2</paraID>
      <start>31</start>
      <end>32</end>
      <status>unmodified</status>
      <modifiedWord/>
      <trackRevisions>false</trackRevisions>
    </reviewItem>
    <reviewItem>
      <errorID>c69cdc69-00a8-470b-8bb6-bf0ae3b11ecd</errorID>
      <errorWord>,</errorWord>
      <group>L1_Format</group>
      <groupName>格式问题</groupName>
      <ability>L2_HalfPunc_CN</ability>
      <abilityName>全半角问题</abilityName>
      <candidateList>
        <item>，</item>
      </candidateList>
      <explain>文本全半角错误。</explain>
      <paraID>2C5251D7</paraID>
      <start>92</start>
      <end>93</end>
      <status>unmodified</status>
      <modifiedWord/>
      <trackRevisions>false</trackRevisions>
    </reviewItem>
    <reviewItem>
      <errorID>6889fa71-cfdd-45e1-825d-0521b8bf10c7</errorID>
      <errorWord>噪音</errorWord>
      <group>L1_Word</group>
      <groupName>字词问题</groupName>
      <ability>L2_Alias</ability>
      <abilityName>也作/曾用词</abilityName>
      <candidateList>
        <item>噪声</item>
      </candidateList>
      <explain>词汇[噪音]为不规范表述或旧称，其规范书面表述为[噪声]。</explain>
      <paraID>2C2BBF99</paraID>
      <start>69</start>
      <end>71</end>
      <status>modified</status>
      <modifiedWord>噪声</modifiedWord>
      <trackRevisions>false</trackRevisions>
    </reviewItem>
    <reviewItem>
      <errorID>316b2e1f-5815-4899-abc7-2fc54e96fec3</errorID>
      <errorWord>;</errorWord>
      <group>L1_Format</group>
      <groupName>格式问题</groupName>
      <ability>L2_HalfPunc_CN</ability>
      <abilityName>全半角问题</abilityName>
      <candidateList>
        <item>；</item>
      </candidateList>
      <explain>文本全半角错误。</explain>
      <paraID>66C9978C</paraID>
      <start>16</start>
      <end>17</end>
      <status>modified</status>
      <modifiedWord>；</modifiedWord>
      <trackRevisions>false</trackRevisions>
    </reviewItem>
    <reviewItem>
      <errorID>4115e5c9-b021-43d6-b18f-5e7118e262ee</errorID>
      <errorWord>;</errorWord>
      <group>L1_Format</group>
      <groupName>格式问题</groupName>
      <ability>L2_HalfPunc_CN</ability>
      <abilityName>全半角问题</abilityName>
      <candidateList>
        <item>；</item>
      </candidateList>
      <explain>文本全半角错误。</explain>
      <paraID>5EC7B70A</paraID>
      <start>16</start>
      <end>17</end>
      <status>unmodified</status>
      <modifiedWord/>
      <trackRevisions>false</trackRevisions>
    </reviewItem>
    <reviewItem>
      <errorID>0f391827-308d-4148-9957-64d4dfc51c35</errorID>
      <errorWord>;</errorWord>
      <group>L1_Format</group>
      <groupName>格式问题</groupName>
      <ability>L2_HalfPunc_CN</ability>
      <abilityName>全半角问题</abilityName>
      <candidateList>
        <item>；</item>
      </candidateList>
      <explain>文本全半角错误。</explain>
      <paraID>2EC5EB07</paraID>
      <start>23</start>
      <end>24</end>
      <status>unmodified</status>
      <modifiedWord/>
      <trackRevisions>false</trackRevisions>
    </reviewItem>
    <reviewItem>
      <errorID>30111dc8-6eb6-4994-bc4e-869cf2cce534</errorID>
      <errorWord>;</errorWord>
      <group>L1_Format</group>
      <groupName>格式问题</groupName>
      <ability>L2_HalfPunc_CN</ability>
      <abilityName>全半角问题</abilityName>
      <candidateList>
        <item>；</item>
      </candidateList>
      <explain>文本全半角错误。</explain>
      <paraID>79D630B3</paraID>
      <start>14</start>
      <end>15</end>
      <status>unmodified</status>
      <modifiedWord/>
      <trackRevisions>false</trackRevisions>
    </reviewItem>
    <reviewItem>
      <errorID>5866046b-0bb3-4935-9405-849da643ab75</errorID>
      <errorWord>;</errorWord>
      <group>L1_Format</group>
      <groupName>格式问题</groupName>
      <ability>L2_HalfPunc_CN</ability>
      <abilityName>全半角问题</abilityName>
      <candidateList>
        <item>；</item>
      </candidateList>
      <explain>文本全半角错误。</explain>
      <paraID>291735F8</paraID>
      <start>7</start>
      <end>8</end>
      <status>unmodified</status>
      <modifiedWord/>
      <trackRevisions>false</trackRevisions>
    </reviewItem>
    <reviewItem>
      <errorID>6783304c-a015-4341-aa74-aed2d88faa18</errorID>
      <errorWord>:</errorWord>
      <group>L1_Format</group>
      <groupName>格式问题</groupName>
      <ability>L2_HalfPunc_CN</ability>
      <abilityName>全半角问题</abilityName>
      <candidateList>
        <item>：</item>
      </candidateList>
      <explain>文本全半角错误。</explain>
      <paraID>7A7E3725</paraID>
      <start>20</start>
      <end>21</end>
      <status>unmodified</status>
      <modifiedWord/>
      <trackRevisions>false</trackRevisions>
    </reviewItem>
    <reviewItem>
      <errorID>b3d7fb61-37e1-4435-8d36-0e06252c1557</errorID>
      <errorWord>;</errorWord>
      <group>L1_Format</group>
      <groupName>格式问题</groupName>
      <ability>L2_HalfPunc_CN</ability>
      <abilityName>全半角问题</abilityName>
      <candidateList>
        <item>；</item>
      </candidateList>
      <explain>文本全半角错误。</explain>
      <paraID>57166E4A</paraID>
      <start>14</start>
      <end>15</end>
      <status>unmodified</status>
      <modifiedWord/>
      <trackRevisions>false</trackRevisions>
    </reviewItem>
    <reviewItem>
      <errorID>49e29136-f615-427a-a31b-c5b8c6c2235a</errorID>
      <errorWord>;</errorWord>
      <group>L1_Format</group>
      <groupName>格式问题</groupName>
      <ability>L2_HalfPunc_CN</ability>
      <abilityName>全半角问题</abilityName>
      <candidateList>
        <item>；</item>
      </candidateList>
      <explain>文本全半角错误。</explain>
      <paraID>129203CC</paraID>
      <start>18</start>
      <end>19</end>
      <status>unmodified</status>
      <modifiedWord/>
      <trackRevisions>false</trackRevisions>
    </reviewItem>
    <reviewItem>
      <errorID>9d977a51-e96b-491e-88ed-bbb8ec10ee8c</errorID>
      <errorWord>运入</errorWord>
      <group>L1_Word</group>
      <groupName>字词问题</groupName>
      <ability>L2_Typo</ability>
      <abilityName>字词错误</abilityName>
      <candidateList>
        <item>进入</item>
      </candidateList>
      <explain/>
      <paraID>143FE78B</paraID>
      <start>3</start>
      <end>5</end>
      <status>unmodified</status>
      <modifiedWord/>
      <trackRevisions>false</trackRevisions>
    </reviewItem>
    <reviewItem>
      <errorID>70c00024-206c-48b5-bdb2-e0c5db1d34c1</errorID>
      <errorWord>:</errorWord>
      <group>L1_Format</group>
      <groupName>格式问题</groupName>
      <ability>L2_HalfPunc_CN</ability>
      <abilityName>全半角问题</abilityName>
      <candidateList>
        <item>：</item>
      </candidateList>
      <explain>文本全半角错误。</explain>
      <paraID>48A0DAE8</paraID>
      <start>43</start>
      <end>44</end>
      <status>unmodified</status>
      <modifiedWord/>
      <trackRevisions>false</trackRevisions>
    </reviewItem>
    <reviewItem>
      <errorID>c4f1a4cf-fac2-4bd3-b5e0-62a1c3cd43e4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5DF30C16</paraID>
      <start>0</start>
      <end>2</end>
      <status>unmodified</status>
      <modifiedWord/>
      <trackRevisions>false</trackRevisions>
    </reviewItem>
    <reviewItem>
      <errorID>cdcd25c4-deb6-4149-8a7e-b009a7e8e1f3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8E53A5</paraID>
      <start>0</start>
      <end>2</end>
      <status>unmodified</status>
      <modifiedWord/>
      <trackRevisions>false</trackRevisions>
    </reviewItem>
    <reviewItem>
      <errorID>5135105a-8a27-4732-90ad-a1d79550ab60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766538FB</paraID>
      <start>0</start>
      <end>2</end>
      <status>unmodified</status>
      <modifiedWord/>
      <trackRevisions>false</trackRevisions>
    </reviewItem>
    <reviewItem>
      <errorID>9f1baa5e-6d73-4251-b5fe-fe309757c3de</errorID>
      <errorWord>其它</errorWord>
      <group>L1_Word</group>
      <groupName>字词问题</groupName>
      <ability>L2_Alias</ability>
      <abilityName>也作/曾用词</abilityName>
      <candidateList>
        <item>其他</item>
      </candidateList>
      <explain>词汇[其它]为不规范表述或旧称，其规范书面表述为[其他]。</explain>
      <paraID>766538FB</paraID>
      <start>2</start>
      <end>4</end>
      <status>modified</status>
      <modifiedWord>其他</modifiedWord>
      <trackRevisions>false</trackRevisions>
    </reviewItem>
    <reviewItem>
      <errorID>260cb884-185f-42cf-bd23-3a05519247fa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749C3DC4</paraID>
      <start>0</start>
      <end>2</end>
      <status>unmodified</status>
      <modifiedWord/>
      <trackRevisions>false</trackRevisions>
    </reviewItem>
    <reviewItem>
      <errorID>fb5e4576-c9db-490f-9200-9460558a03d6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2451F0B4</paraID>
      <start>0</start>
      <end>2</end>
      <status>unmodified</status>
      <modifiedWord/>
      <trackRevisions>false</trackRevisions>
    </reviewItem>
    <reviewItem>
      <errorID>c45cb470-a22c-4db0-9e77-84f899af5277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4C5E69BA</paraID>
      <start>0</start>
      <end>2</end>
      <status>unmodified</status>
      <modifiedWord/>
      <trackRevisions>false</trackRevisions>
    </reviewItem>
    <reviewItem>
      <errorID>f660a93b-be8f-423f-9d2c-857f57f3ea44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72146CA2</paraID>
      <start>25</start>
      <end>28</end>
      <status>unmodified</status>
      <modifiedWord/>
      <trackRevisions>false</trackRevisions>
    </reviewItem>
    <reviewItem>
      <errorID>bec22903-65c4-4009-b113-c4cc6e7ea773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72146CA2</paraID>
      <start>38</start>
      <end>41</end>
      <status>unmodified</status>
      <modifiedWord/>
      <trackRevisions>false</trackRevisions>
    </reviewItem>
    <reviewItem>
      <errorID>c4ae2c11-7a5e-47c5-b824-9817d4385b92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72146CA2</paraID>
      <start>138</start>
      <end>141</end>
      <status>unmodified</status>
      <modifiedWord/>
      <trackRevisions>false</trackRevisions>
    </reviewItem>
    <reviewItem>
      <errorID>72f4003e-d5e5-43d4-bf17-99914aa138e1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72146CA2</paraID>
      <start>202</start>
      <end>205</end>
      <status>unmodified</status>
      <modifiedWord/>
      <trackRevisions>false</trackRevisions>
    </reviewItem>
    <reviewItem>
      <errorID>1474899b-5ec2-4725-82d4-809b406409e3</errorID>
      <errorWord>法律、法规</errorWord>
      <group>L1_Word</group>
      <groupName>字词问题</groupName>
      <ability>L2_Typo</ability>
      <abilityName>字词错误</abilityName>
      <candidateList>
        <item>法律法规</item>
      </candidateList>
      <explain/>
      <paraID>72146CA2</paraID>
      <start>234</start>
      <end>238</end>
      <status>modified</status>
      <modifiedWord>法律法规</modifiedWord>
      <trackRevisions>false</trackRevisions>
    </reviewItem>
    <reviewItem>
      <errorID>424bd193-3b30-468e-ab0d-1562f380443e</errorID>
      <errorWord>。。</errorWord>
      <group>L1_Punc</group>
      <groupName>标点问题</groupName>
      <ability>L2_Punc_CN</ability>
      <abilityName>标点符号问题</abilityName>
      <candidateList>
        <item>。</item>
      </candidateList>
      <explain/>
      <paraID>72146CA2</paraID>
      <start>248</start>
      <end>249</end>
      <status>modified</status>
      <modifiedWord>。</modifiedWord>
      <trackRevisions>false</trackRevisions>
    </reviewItem>
    <reviewItem>
      <errorID>133f2151-fc82-4c17-8ed0-9c1adf90f3ff</errorID>
      <errorWord>法律、法规</errorWord>
      <group>L1_Word</group>
      <groupName>字词问题</groupName>
      <ability>L2_Typo</ability>
      <abilityName>字词错误</abilityName>
      <candidateList>
        <item>法律法规</item>
      </candidateList>
      <explain/>
      <paraID>14987CB0</paraID>
      <start>33</start>
      <end>37</end>
      <status>modified</status>
      <modifiedWord>法律法规</modifiedWord>
      <trackRevisions>false</trackRevisions>
    </reviewItem>
    <reviewItem>
      <errorID>052271b8-de75-4476-818b-2f18d560bbc0</errorID>
      <errorWord>:/。</errorWord>
      <group>L1_Punc</group>
      <groupName>标点问题</groupName>
      <ability>L2_Punc_CN</ability>
      <abilityName>标点符号问题</abilityName>
      <candidateList>
        <item>:</item>
      </candidateList>
      <explain/>
      <paraID>60CA9982</paraID>
      <start>15</start>
      <end>18</end>
      <status>unmodified</status>
      <modifiedWord/>
      <trackRevisions>false</trackRevisions>
    </reviewItem>
    <reviewItem>
      <errorID>0618a4de-b73d-4b00-aa34-e0f61a35d2e0</errorID>
      <errorWord>(</errorWord>
      <group>L1_Format</group>
      <groupName>格式问题</groupName>
      <ability>L2_HalfPunc_CN</ability>
      <abilityName>全半角问题</abilityName>
      <candidateList>
        <item>（</item>
      </candidateList>
      <explain>文本全半角错误。</explain>
      <paraID>727A6EDF</paraID>
      <start>91</start>
      <end>92</end>
      <status>unmodified</status>
      <modifiedWord/>
      <trackRevisions>false</trackRevisions>
    </reviewItem>
    <reviewItem>
      <errorID>07087152-1f6c-4415-b601-7018bdd2ce8c</errorID>
      <errorWord>)</errorWord>
      <group>L1_Format</group>
      <groupName>格式问题</groupName>
      <ability>L2_HalfPunc_CN</ability>
      <abilityName>全半角问题</abilityName>
      <candidateList>
        <item>）</item>
      </candidateList>
      <explain>文本全半角错误。</explain>
      <paraID>727A6EDF</paraID>
      <start>131</start>
      <end>132</end>
      <status>unmodified</status>
      <modifiedWord/>
      <trackRevisions>false</trackRevisions>
    </reviewItem>
    <reviewItem>
      <errorID>23d8276d-f95e-46d7-b5b5-31c415643a68</errorID>
      <errorWord>(</errorWord>
      <group>L1_Format</group>
      <groupName>格式问题</groupName>
      <ability>L2_HalfPunc_CN</ability>
      <abilityName>全半角问题</abilityName>
      <candidateList>
        <item>（</item>
      </candidateList>
      <explain>文本全半角错误。</explain>
      <paraID>7164CADD</paraID>
      <start>92</start>
      <end>93</end>
      <status>unmodified</status>
      <modifiedWord/>
      <trackRevisions>false</trackRevisions>
    </reviewItem>
    <reviewItem>
      <errorID>8f5bf617-961c-4df8-a00d-c2e90a8500b9</errorID>
      <errorWord>)</errorWord>
      <group>L1_Format</group>
      <groupName>格式问题</groupName>
      <ability>L2_HalfPunc_CN</ability>
      <abilityName>全半角问题</abilityName>
      <candidateList>
        <item>）</item>
      </candidateList>
      <explain>文本全半角错误。</explain>
      <paraID>7164CADD</paraID>
      <start>94</start>
      <end>95</end>
      <status>unmodified</status>
      <modifiedWord/>
      <trackRevisions>false</trackRevisions>
    </reviewItem>
    <reviewItem>
      <errorID>d671f229-cc64-45f4-8b38-3c59ba6e9884</errorID>
      <errorWord>噪音</errorWord>
      <group>L1_Word</group>
      <groupName>字词问题</groupName>
      <ability>L2_Alias</ability>
      <abilityName>也作/曾用词</abilityName>
      <candidateList>
        <item>噪声</item>
      </candidateList>
      <explain>词汇[噪音]为不规范表述或旧称，其规范书面表述为[噪声]。</explain>
      <paraID>76CA98EC</paraID>
      <start>45</start>
      <end>47</end>
      <status>modified</status>
      <modifiedWord>噪声</modifiedWord>
      <trackRevisions>false</trackRevisions>
    </reviewItem>
    <reviewItem>
      <errorID>3d9b34fe-143c-410e-b57f-b65d989257ee</errorID>
      <errorWord>噪音</errorWord>
      <group>L1_Word</group>
      <groupName>字词问题</groupName>
      <ability>L2_Alias</ability>
      <abilityName>也作/曾用词</abilityName>
      <candidateList>
        <item>噪声</item>
      </candidateList>
      <explain>词汇[噪音]为不规范表述或旧称，其规范书面表述为[噪声]。</explain>
      <paraID>76CA98EC</paraID>
      <start>93</start>
      <end>95</end>
      <status>modified</status>
      <modifiedWord>噪声</modifiedWord>
      <trackRevisions>false</trackRevisions>
    </reviewItem>
    <reviewItem>
      <errorID>d60bb79e-9191-4d07-9b6a-3c339ebf18a8</errorID>
      <errorWord>(</errorWord>
      <group>L1_Format</group>
      <groupName>格式问题</groupName>
      <ability>L2_HalfPunc_CN</ability>
      <abilityName>全半角问题</abilityName>
      <candidateList>
        <item>（</item>
      </candidateList>
      <explain>文本全半角错误。</explain>
      <paraID>738B9D10</paraID>
      <start>11</start>
      <end>12</end>
      <status>unmodified</status>
      <modifiedWord/>
      <trackRevisions>false</trackRevisions>
    </reviewItem>
    <reviewItem>
      <errorID>0b40945a-b685-4b1b-ac47-aa6604a58859</errorID>
      <errorWord>)</errorWord>
      <group>L1_Format</group>
      <groupName>格式问题</groupName>
      <ability>L2_HalfPunc_CN</ability>
      <abilityName>全半角问题</abilityName>
      <candidateList>
        <item>）</item>
      </candidateList>
      <explain>文本全半角错误。</explain>
      <paraID>738B9D10</paraID>
      <start>16</start>
      <end>17</end>
      <status>unmodified</status>
      <modifiedWord/>
      <trackRevisions>false</trackRevisions>
    </reviewItem>
    <reviewItem>
      <errorID>ffffb9e2-f675-4dc1-9ab2-c98b022d8b58</errorID>
      <errorWord>(</errorWord>
      <group>L1_Format</group>
      <groupName>格式问题</groupName>
      <ability>L2_HalfPunc_CN</ability>
      <abilityName>全半角问题</abilityName>
      <candidateList>
        <item>（</item>
      </candidateList>
      <explain>文本全半角错误。</explain>
      <paraID>738B9D10</paraID>
      <start>167</start>
      <end>168</end>
      <status>unmodified</status>
      <modifiedWord/>
      <trackRevisions>false</trackRevisions>
    </reviewItem>
    <reviewItem>
      <errorID>25a4b3d6-b494-4baa-9111-63b5897df832</errorID>
      <errorWord>)</errorWord>
      <group>L1_Format</group>
      <groupName>格式问题</groupName>
      <ability>L2_HalfPunc_CN</ability>
      <abilityName>全半角问题</abilityName>
      <candidateList>
        <item>）</item>
      </candidateList>
      <explain>文本全半角错误。</explain>
      <paraID>738B9D10</paraID>
      <start>205</start>
      <end>206</end>
      <status>unmodified</status>
      <modifiedWord/>
      <trackRevisions>false</trackRevisions>
    </reviewItem>
    <reviewItem>
      <errorID>6cca1a52-1fc8-47c4-aa9a-5d2214668071</errorID>
      <errorWord>(</errorWord>
      <group>L1_Format</group>
      <groupName>格式问题</groupName>
      <ability>L2_HalfPunc_CN</ability>
      <abilityName>全半角问题</abilityName>
      <candidateList>
        <item>（</item>
      </candidateList>
      <explain>文本全半角错误。</explain>
      <paraID>4E155F81</paraID>
      <start>48</start>
      <end>49</end>
      <status>unmodified</status>
      <modifiedWord/>
      <trackRevisions>false</trackRevisions>
    </reviewItem>
    <reviewItem>
      <errorID>a14b1226-0433-4624-add4-6ece41780dbf</errorID>
      <errorWord>)</errorWord>
      <group>L1_Format</group>
      <groupName>格式问题</groupName>
      <ability>L2_HalfPunc_CN</ability>
      <abilityName>全半角问题</abilityName>
      <candidateList>
        <item>）</item>
      </candidateList>
      <explain>文本全半角错误。</explain>
      <paraID>4E155F81</paraID>
      <start>63</start>
      <end>64</end>
      <status>unmodified</status>
      <modifiedWord/>
      <trackRevisions>false</trackRevisions>
    </reviewItem>
    <reviewItem>
      <errorID>4a1811bf-f093-4b9f-84ff-8b0c3ee6e00b</errorID>
      <errorWord>(</errorWord>
      <group>L1_Format</group>
      <groupName>格式问题</groupName>
      <ability>L2_HalfPunc_CN</ability>
      <abilityName>全半角问题</abilityName>
      <candidateList>
        <item>（</item>
      </candidateList>
      <explain>文本全半角错误。</explain>
      <paraID>4E155F81</paraID>
      <start>204</start>
      <end>205</end>
      <status>unmodified</status>
      <modifiedWord/>
      <trackRevisions>false</trackRevisions>
    </reviewItem>
    <reviewItem>
      <errorID>ca757b92-1d3f-4ab5-a1b4-0b42533a82da</errorID>
      <errorWord>)</errorWord>
      <group>L1_Format</group>
      <groupName>格式问题</groupName>
      <ability>L2_HalfPunc_CN</ability>
      <abilityName>全半角问题</abilityName>
      <candidateList>
        <item>）</item>
      </candidateList>
      <explain>文本全半角错误。</explain>
      <paraID>4E155F81</paraID>
      <start>207</start>
      <end>208</end>
      <status>unmodified</status>
      <modifiedWord/>
      <trackRevisions>false</trackRevisions>
    </reviewItem>
    <reviewItem>
      <errorID>0981d8e8-9137-4557-98e2-5a1e424e74de</errorID>
      <errorWord>(</errorWord>
      <group>L1_Format</group>
      <groupName>格式问题</groupName>
      <ability>L2_HalfPunc_CN</ability>
      <abilityName>全半角问题</abilityName>
      <candidateList>
        <item>（</item>
      </candidateList>
      <explain>文本全半角错误。</explain>
      <paraID>4E155F81</paraID>
      <start>265</start>
      <end>266</end>
      <status>unmodified</status>
      <modifiedWord/>
      <trackRevisions>false</trackRevisions>
    </reviewItem>
    <reviewItem>
      <errorID>fff852da-e9f4-4abe-ba6a-af9987653fc5</errorID>
      <errorWord>)</errorWord>
      <group>L1_Format</group>
      <groupName>格式问题</groupName>
      <ability>L2_HalfPunc_CN</ability>
      <abilityName>全半角问题</abilityName>
      <candidateList>
        <item>）</item>
      </candidateList>
      <explain>文本全半角错误。</explain>
      <paraID>4E155F81</paraID>
      <start>303</start>
      <end>304</end>
      <status>unmodified</status>
      <modifiedWord/>
      <trackRevisions>false</trackRevisions>
    </reviewItem>
    <reviewItem>
      <errorID>65b9c796-1671-4a0a-b70c-f0835f2c2ee0</errorID>
      <errorWord>:/</errorWord>
      <group>L1_Punc</group>
      <groupName>标点问题</groupName>
      <ability>L2_Punc_CN</ability>
      <abilityName>标点符号问题</abilityName>
      <candidateList>
        <item>:</item>
      </candidateList>
      <explain/>
      <paraID>3B038BBC</paraID>
      <start>10</start>
      <end>12</end>
      <status>unmodified</status>
      <modifiedWord/>
      <trackRevisions>false</trackRevisions>
    </reviewItem>
    <reviewItem>
      <errorID>5f43c70e-1323-400c-9e8e-bc1de1a5cf9d</errorID>
      <errorWord>:/</errorWord>
      <group>L1_Punc</group>
      <groupName>标点问题</groupName>
      <ability>L2_Punc_CN</ability>
      <abilityName>标点符号问题</abilityName>
      <candidateList>
        <item>:</item>
      </candidateList>
      <explain/>
      <paraID>121488A9</paraID>
      <start>10</start>
      <end>12</end>
      <status>unmodified</status>
      <modifiedWord/>
      <trackRevisions>false</trackRevisions>
    </reviewItem>
    <reviewItem>
      <errorID>d794eeb7-aff7-44b7-bc3d-38d4f4e958d5</errorID>
      <errorWord>：/</errorWord>
      <group>L1_Punc</group>
      <groupName>标点问题</groupName>
      <ability>L2_Punc_CN</ability>
      <abilityName>标点符号问题</abilityName>
      <candidateList>
        <item>：</item>
      </candidateList>
      <explain/>
      <paraID>38CB7B4F</paraID>
      <start>31</start>
      <end>33</end>
      <status>unmodified</status>
      <modifiedWord/>
      <trackRevisions>false</trackRevisions>
    </reviewItem>
    <reviewItem>
      <errorID>8bec671e-8d34-4f0b-80a0-bee0d31da86f</errorID>
      <errorWord>:/</errorWord>
      <group>L1_Punc</group>
      <groupName>标点问题</groupName>
      <ability>L2_Punc_CN</ability>
      <abilityName>标点符号问题</abilityName>
      <candidateList>
        <item>:</item>
      </candidateList>
      <explain/>
      <paraID>71465D36</paraID>
      <start>8</start>
      <end>10</end>
      <status>unmodified</status>
      <modifiedWord/>
      <trackRevisions>false</trackRevisions>
    </reviewItem>
    <reviewItem>
      <errorID>ae7492e8-cad8-4fb4-a6e9-847bbcf939b1</errorID>
      <errorWord>噪音</errorWord>
      <group>L1_Word</group>
      <groupName>字词问题</groupName>
      <ability>L2_Alias</ability>
      <abilityName>也作/曾用词</abilityName>
      <candidateList>
        <item>噪声</item>
      </candidateList>
      <explain>词汇[噪音]为不规范表述或旧称，其规范书面表述为[噪声]。</explain>
      <paraID>35E159A5</paraID>
      <start>14</start>
      <end>16</end>
      <status>modified</status>
      <modifiedWord>噪声</modifiedWord>
      <trackRevisions>false</trackRevisions>
    </reviewItem>
    <reviewItem>
      <errorID>506e7d29-97a3-4fa3-8496-666393b4bea7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2138EA95</paraID>
      <start>31</start>
      <end>34</end>
      <status>unmodified</status>
      <modifiedWord/>
      <trackRevisions>false</trackRevisions>
    </reviewItem>
    <reviewItem>
      <errorID>54c443f2-1f21-4a24-bf7a-53e66c39ee61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2138EA95</paraID>
      <start>55</start>
      <end>58</end>
      <status>unmodified</status>
      <modifiedWord/>
      <trackRevisions>false</trackRevisions>
    </reviewItem>
    <reviewItem>
      <errorID>9b211271-b784-4386-bc5e-00ad14367ff1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2138EA95</paraID>
      <start>79</start>
      <end>82</end>
      <status>unmodified</status>
      <modifiedWord/>
      <trackRevisions>false</trackRevisions>
    </reviewItem>
    <reviewItem>
      <errorID>d6d656b0-c9ac-437c-b346-63c42153d2f7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2138EA95</paraID>
      <start>100</start>
      <end>103</end>
      <status>unmodified</status>
      <modifiedWord/>
      <trackRevisions>false</trackRevisions>
    </reviewItem>
    <reviewItem>
      <errorID>61830e61-a286-446a-80ad-7f2a46a06f73</errorID>
      <errorWord>(</errorWord>
      <group>L1_Format</group>
      <groupName>格式问题</groupName>
      <ability>L2_HalfPunc_CN</ability>
      <abilityName>全半角问题</abilityName>
      <candidateList>
        <item>（</item>
      </candidateList>
      <explain>文本全半角错误。</explain>
      <paraID>2138EA95</paraID>
      <start>135</start>
      <end>136</end>
      <status>unmodified</status>
      <modifiedWord/>
      <trackRevisions>false</trackRevisions>
    </reviewItem>
    <reviewItem>
      <errorID>0d15106b-2d09-4ed3-b9c1-7ffd55f0a505</errorID>
      <errorWord>)</errorWord>
      <group>L1_Format</group>
      <groupName>格式问题</groupName>
      <ability>L2_HalfPunc_CN</ability>
      <abilityName>全半角问题</abilityName>
      <candidateList>
        <item>）</item>
      </candidateList>
      <explain>文本全半角错误。</explain>
      <paraID>2138EA95</paraID>
      <start>138</start>
      <end>139</end>
      <status>unmodified</status>
      <modifiedWord/>
      <trackRevisions>false</trackRevisions>
    </reviewItem>
    <reviewItem>
      <errorID>ce473da3-b9f3-4cfc-8cbe-abb10b1d9827</errorID>
      <errorWord>(</errorWord>
      <group>L1_Format</group>
      <groupName>格式问题</groupName>
      <ability>L2_HalfPunc_CN</ability>
      <abilityName>全半角问题</abilityName>
      <candidateList>
        <item>（</item>
      </candidateList>
      <explain>文本全半角错误。</explain>
      <paraID>1F8C263B</paraID>
      <start>23</start>
      <end>24</end>
      <status>unmodified</status>
      <modifiedWord/>
      <trackRevisions>false</trackRevisions>
    </reviewItem>
    <reviewItem>
      <errorID>1968f903-26b2-4d18-a636-b2189b2363de</errorID>
      <errorWord>)</errorWord>
      <group>L1_Format</group>
      <groupName>格式问题</groupName>
      <ability>L2_HalfPunc_CN</ability>
      <abilityName>全半角问题</abilityName>
      <candidateList>
        <item>）</item>
      </candidateList>
      <explain>文本全半角错误。</explain>
      <paraID>1F8C263B</paraID>
      <start>38</start>
      <end>39</end>
      <status>unmodified</status>
      <modifiedWord/>
      <trackRevisions>false</trackRevisions>
    </reviewItem>
    <reviewItem>
      <errorID>b83dd179-a3ad-4bd4-8cf6-57d3427692c1</errorID>
      <errorWord>(</errorWord>
      <group>L1_Format</group>
      <groupName>格式问题</groupName>
      <ability>L2_HalfPunc_CN</ability>
      <abilityName>全半角问题</abilityName>
      <candidateList>
        <item>（</item>
      </candidateList>
      <explain>文本全半角错误。</explain>
      <paraID>760B3115</paraID>
      <start>27</start>
      <end>28</end>
      <status>unmodified</status>
      <modifiedWord/>
      <trackRevisions>false</trackRevisions>
    </reviewItem>
    <reviewItem>
      <errorID>fd27c03a-fe82-45cc-ab81-df932d98a3f6</errorID>
      <errorWord>)</errorWord>
      <group>L1_Format</group>
      <groupName>格式问题</groupName>
      <ability>L2_HalfPunc_CN</ability>
      <abilityName>全半角问题</abilityName>
      <candidateList>
        <item>）</item>
      </candidateList>
      <explain>文本全半角错误。</explain>
      <paraID>760B3115</paraID>
      <start>36</start>
      <end>37</end>
      <status>unmodified</status>
      <modifiedWord/>
      <trackRevisions>false</trackRevisions>
    </reviewItem>
    <reviewItem>
      <errorID>a26f4f62-60de-4a8d-a7cb-cb5e80a04836</errorID>
      <errorWord>(</errorWord>
      <group>L1_Format</group>
      <groupName>格式问题</groupName>
      <ability>L2_HalfPunc_CN</ability>
      <abilityName>全半角问题</abilityName>
      <candidateList>
        <item>（</item>
      </candidateList>
      <explain>文本全半角错误。</explain>
      <paraID>2666E233</paraID>
      <start>25</start>
      <end>26</end>
      <status>unmodified</status>
      <modifiedWord/>
      <trackRevisions>false</trackRevisions>
    </reviewItem>
    <reviewItem>
      <errorID>107bfdb0-af00-4a19-85ca-ba77ef63ea94</errorID>
      <errorWord>)</errorWord>
      <group>L1_Format</group>
      <groupName>格式问题</groupName>
      <ability>L2_HalfPunc_CN</ability>
      <abilityName>全半角问题</abilityName>
      <candidateList>
        <item>）</item>
      </candidateList>
      <explain>文本全半角错误。</explain>
      <paraID>2666E233</paraID>
      <start>32</start>
      <end>33</end>
      <status>unmodified</status>
      <modifiedWord/>
      <trackRevisions>false</trackRevisions>
    </reviewItem>
    <reviewItem>
      <errorID>d45338e4-c38c-48a7-a054-8cfceab6c35e</errorID>
      <errorWord>(</errorWord>
      <group>L1_Format</group>
      <groupName>格式问题</groupName>
      <ability>L2_HalfPunc_CN</ability>
      <abilityName>全半角问题</abilityName>
      <candidateList>
        <item>（</item>
      </candidateList>
      <explain>文本全半角错误。</explain>
      <paraID>6705CDE0</paraID>
      <start>31</start>
      <end>32</end>
      <status>unmodified</status>
      <modifiedWord/>
      <trackRevisions>false</trackRevisions>
    </reviewItem>
    <reviewItem>
      <errorID>9d644e65-b520-470c-a7c4-208be1cd9fa6</errorID>
      <errorWord>)</errorWord>
      <group>L1_Format</group>
      <groupName>格式问题</groupName>
      <ability>L2_HalfPunc_CN</ability>
      <abilityName>全半角问题</abilityName>
      <candidateList>
        <item>）</item>
      </candidateList>
      <explain>文本全半角错误。</explain>
      <paraID>6705CDE0</paraID>
      <start>33</start>
      <end>34</end>
      <status>unmodified</status>
      <modifiedWord/>
      <trackRevisions>false</trackRevisions>
    </reviewItem>
    <reviewItem>
      <errorID>0c42ef92-9517-4774-b636-4f6cf9e0feba</errorID>
      <errorWord>(</errorWord>
      <group>L1_Format</group>
      <groupName>格式问题</groupName>
      <ability>L2_HalfPunc_CN</ability>
      <abilityName>全半角问题</abilityName>
      <candidateList>
        <item>（</item>
      </candidateList>
      <explain>文本全半角错误。</explain>
      <paraID>6705CDE0</paraID>
      <start>74</start>
      <end>75</end>
      <status>unmodified</status>
      <modifiedWord/>
      <trackRevisions>false</trackRevisions>
    </reviewItem>
    <reviewItem>
      <errorID>b72367bc-f1f7-4557-a040-a1f6d79c60bd</errorID>
      <errorWord>)</errorWord>
      <group>L1_Format</group>
      <groupName>格式问题</groupName>
      <ability>L2_HalfPunc_CN</ability>
      <abilityName>全半角问题</abilityName>
      <candidateList>
        <item>）</item>
      </candidateList>
      <explain>文本全半角错误。</explain>
      <paraID>6705CDE0</paraID>
      <start>94</start>
      <end>95</end>
      <status>unmodified</status>
      <modifiedWord/>
      <trackRevisions>false</trackRevisions>
    </reviewItem>
    <reviewItem>
      <errorID>b718a796-14ab-4f07-8afe-c6a31245bae9</errorID>
      <errorWord>(</errorWord>
      <group>L1_Format</group>
      <groupName>格式问题</groupName>
      <ability>L2_HalfPunc_CN</ability>
      <abilityName>全半角问题</abilityName>
      <candidateList>
        <item>（</item>
      </candidateList>
      <explain>文本全半角错误。</explain>
      <paraID> 23E6FAB</paraID>
      <start>55</start>
      <end>56</end>
      <status>unmodified</status>
      <modifiedWord/>
      <trackRevisions>false</trackRevisions>
    </reviewItem>
    <reviewItem>
      <errorID>15b216f1-bbd8-4d3d-9f1c-b4f4603f118f</errorID>
      <errorWord>)</errorWord>
      <group>L1_Format</group>
      <groupName>格式问题</groupName>
      <ability>L2_HalfPunc_CN</ability>
      <abilityName>全半角问题</abilityName>
      <candidateList>
        <item>）</item>
      </candidateList>
      <explain>文本全半角错误。</explain>
      <paraID> 23E6FAB</paraID>
      <start>72</start>
      <end>73</end>
      <status>unmodified</status>
      <modifiedWord/>
      <trackRevisions>false</trackRevisions>
    </reviewItem>
    <reviewItem>
      <errorID>4c7dfd12-b222-4ea6-a41e-a23c8e95b916</errorID>
      <errorWord>(</errorWord>
      <group>L1_Format</group>
      <groupName>格式问题</groupName>
      <ability>L2_HalfPunc_CN</ability>
      <abilityName>全半角问题</abilityName>
      <candidateList>
        <item>（</item>
      </candidateList>
      <explain>文本全半角错误。</explain>
      <paraID> A3A09F1</paraID>
      <start>31</start>
      <end>32</end>
      <status>unmodified</status>
      <modifiedWord/>
      <trackRevisions>false</trackRevisions>
    </reviewItem>
    <reviewItem>
      <errorID>334cbe6a-5a34-4884-9b65-f81bd7b37c2d</errorID>
      <errorWord>)</errorWord>
      <group>L1_Format</group>
      <groupName>格式问题</groupName>
      <ability>L2_HalfPunc_CN</ability>
      <abilityName>全半角问题</abilityName>
      <candidateList>
        <item>）</item>
      </candidateList>
      <explain>文本全半角错误。</explain>
      <paraID> A3A09F1</paraID>
      <start>50</start>
      <end>51</end>
      <status>unmodified</status>
      <modifiedWord/>
      <trackRevisions>false</trackRevisions>
    </reviewItem>
    <reviewItem>
      <errorID>778ebeb9-b5cf-46c3-bc9f-6de2834653fc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1A149868</paraID>
      <start>31</start>
      <end>34</end>
      <status>unmodified</status>
      <modifiedWord/>
      <trackRevisions>false</trackRevisions>
    </reviewItem>
    <reviewItem>
      <errorID>2c146d3b-9598-4832-b582-c34e84c7a7a0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1A149868</paraID>
      <start>45</start>
      <end>48</end>
      <status>unmodified</status>
      <modifiedWord/>
      <trackRevisions>false</trackRevisions>
    </reviewItem>
    <reviewItem>
      <errorID>93e2a377-b5ae-4cb6-ad6a-f7a1e35ca0e7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1A149868</paraID>
      <start>69</start>
      <end>72</end>
      <status>unmodified</status>
      <modifiedWord/>
      <trackRevisions>false</trackRevisions>
    </reviewItem>
    <reviewItem>
      <errorID>2188c4cd-76cb-4e7e-9569-a7aa4e5a0271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1A149868</paraID>
      <start>123</start>
      <end>126</end>
      <status>unmodified</status>
      <modifiedWord/>
      <trackRevisions>false</trackRevisions>
    </reviewItem>
    <reviewItem>
      <errorID>00e5a2f1-c9ec-4686-bc55-dc9598bd3c3e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1A149868</paraID>
      <start>145</start>
      <end>148</end>
      <status>unmodified</status>
      <modifiedWord/>
      <trackRevisions>false</trackRevisions>
    </reviewItem>
    <reviewItem>
      <errorID>9a7f0035-6289-4a0d-9343-3b6569ed2689</errorID>
      <errorWord>(</errorWord>
      <group>L1_Format</group>
      <groupName>格式问题</groupName>
      <ability>L2_HalfPunc_CN</ability>
      <abilityName>全半角问题</abilityName>
      <candidateList>
        <item>（</item>
      </candidateList>
      <explain>文本全半角错误。</explain>
      <paraID>1A149868</paraID>
      <start>180</start>
      <end>181</end>
      <status>unmodified</status>
      <modifiedWord/>
      <trackRevisions>false</trackRevisions>
    </reviewItem>
    <reviewItem>
      <errorID>b4d69f23-59b0-4e36-bcd8-16fcf5a6de2d</errorID>
      <errorWord>)</errorWord>
      <group>L1_Format</group>
      <groupName>格式问题</groupName>
      <ability>L2_HalfPunc_CN</ability>
      <abilityName>全半角问题</abilityName>
      <candidateList>
        <item>）</item>
      </candidateList>
      <explain>文本全半角错误。</explain>
      <paraID>1A149868</paraID>
      <start>183</start>
      <end>184</end>
      <status>unmodified</status>
      <modifiedWord/>
      <trackRevisions>false</trackRevisions>
    </reviewItem>
    <reviewItem>
      <errorID>3f5d8989-fa0e-4e85-abe2-c888152e3906</errorID>
      <errorWord>(</errorWord>
      <group>L1_Format</group>
      <groupName>格式问题</groupName>
      <ability>L2_HalfPunc_CN</ability>
      <abilityName>全半角问题</abilityName>
      <candidateList>
        <item>（</item>
      </candidateList>
      <explain>文本全半角错误。</explain>
      <paraID>2C837E4E</paraID>
      <start>22</start>
      <end>23</end>
      <status>unmodified</status>
      <modifiedWord/>
      <trackRevisions>false</trackRevisions>
    </reviewItem>
    <reviewItem>
      <errorID>ae235e5a-d745-4110-b952-1ca6386e940a</errorID>
      <errorWord>)</errorWord>
      <group>L1_Format</group>
      <groupName>格式问题</groupName>
      <ability>L2_HalfPunc_CN</ability>
      <abilityName>全半角问题</abilityName>
      <candidateList>
        <item>）</item>
      </candidateList>
      <explain>文本全半角错误。</explain>
      <paraID>2C837E4E</paraID>
      <start>37</start>
      <end>38</end>
      <status>unmodified</status>
      <modifiedWord/>
      <trackRevisions>false</trackRevisions>
    </reviewItem>
    <reviewItem>
      <errorID>01370096-ed25-491d-b5f2-fff3e9822a3f</errorID>
      <errorWord>(</errorWord>
      <group>L1_Format</group>
      <groupName>格式问题</groupName>
      <ability>L2_HalfPunc_CN</ability>
      <abilityName>全半角问题</abilityName>
      <candidateList>
        <item>（</item>
      </candidateList>
      <explain>文本全半角错误。</explain>
      <paraID>7498733F</paraID>
      <start>16</start>
      <end>17</end>
      <status>unmodified</status>
      <modifiedWord/>
      <trackRevisions>false</trackRevisions>
    </reviewItem>
    <reviewItem>
      <errorID>4783d974-df57-4bf5-b754-cdebb9827525</errorID>
      <errorWord>)</errorWord>
      <group>L1_Format</group>
      <groupName>格式问题</groupName>
      <ability>L2_HalfPunc_CN</ability>
      <abilityName>全半角问题</abilityName>
      <candidateList>
        <item>）</item>
      </candidateList>
      <explain>文本全半角错误。</explain>
      <paraID>7498733F</paraID>
      <start>44</start>
      <end>45</end>
      <status>unmodified</status>
      <modifiedWord/>
      <trackRevisions>false</trackRevisions>
    </reviewItem>
    <reviewItem>
      <errorID>0adad5bc-127a-4451-accf-7d52025f3fa1</errorID>
      <errorWord>规范</errorWord>
      <group>L1_Grammar</group>
      <groupName>语法问题</groupName>
      <ability>L2_Grammar</ability>
      <abilityName>语法错误</abilityName>
      <candidateList>
        <item>完善</item>
      </candidateList>
      <explain>“规范～提出”搭配不当，建议修改为“完善～提出”。</explain>
      <paraID>3C05E067</paraID>
      <start>19</start>
      <end>21</end>
      <status>unmodified</status>
      <modifiedWord/>
      <trackRevisions>false</trackRevisions>
    </reviewItem>
    <reviewItem>
      <errorID>b50520d0-ec25-44ef-b61a-6e5f47223fa2</errorID>
      <errorWord>，</errorWord>
      <group>L1_Word</group>
      <groupName>字词问题</groupName>
      <ability>L2_Typo</ability>
      <abilityName>字词错误</abilityName>
      <candidateList>
        <item>，由</item>
      </candidateList>
      <explain/>
      <paraID>6A1E1906</paraID>
      <start>12</start>
      <end>14</end>
      <status>modified</status>
      <modifiedWord>，由</modifiedWord>
      <trackRevisions>false</trackRevisions>
    </reviewItem>
    <reviewItem>
      <errorID>dbe8c5ad-1ee0-434d-bd41-a20d3ff1a96d</errorID>
      <errorWord>,</errorWord>
      <group>L1_Format</group>
      <groupName>格式问题</groupName>
      <ability>L2_HalfPunc_CN</ability>
      <abilityName>全半角问题</abilityName>
      <candidateList>
        <item>，</item>
      </candidateList>
      <explain>文本全半角错误。</explain>
      <paraID> E55DC96</paraID>
      <start>23</start>
      <end>24</end>
      <status>unmodified</status>
      <modifiedWord/>
      <trackRevisions>false</trackRevisions>
    </reviewItem>
    <reviewItem>
      <errorID>31090521-0750-459e-ad14-73700962aed9</errorID>
      <errorWord>,</errorWord>
      <group>L1_Format</group>
      <groupName>格式问题</groupName>
      <ability>L2_HalfPunc_CN</ability>
      <abilityName>全半角问题</abilityName>
      <candidateList>
        <item>，</item>
      </candidateList>
      <explain>文本全半角错误。</explain>
      <paraID> E55DC96</paraID>
      <start>58</start>
      <end>59</end>
      <status>unmodified</status>
      <modifiedWord/>
      <trackRevisions>false</trackRevisions>
    </reviewItem>
    <reviewItem>
      <errorID>7668bdbc-1010-43f2-b11a-829e8c4fce4b</errorID>
      <errorWord>,</errorWord>
      <group>L1_Format</group>
      <groupName>格式问题</groupName>
      <ability>L2_HalfPunc_CN</ability>
      <abilityName>全半角问题</abilityName>
      <candidateList>
        <item>，</item>
      </candidateList>
      <explain>文本全半角错误。</explain>
      <paraID>557D08DF</paraID>
      <start>45</start>
      <end>46</end>
      <status>unmodified</status>
      <modifiedWord/>
      <trackRevisions>false</trackRevisions>
    </reviewItem>
    <reviewItem>
      <errorID>68e2903d-ced8-4559-87e0-92d794f182e1</errorID>
      <errorWord>：/。</errorWord>
      <group>L1_Punc</group>
      <groupName>标点问题</groupName>
      <ability>L2_Punc_CN</ability>
      <abilityName>标点符号问题</abilityName>
      <candidateList>
        <item>：</item>
      </candidateList>
      <explain/>
      <paraID>4566B351</paraID>
      <start>16</start>
      <end>19</end>
      <status>unmodified</status>
      <modifiedWord/>
      <trackRevisions>false</trackRevisions>
    </reviewItem>
    <reviewItem>
      <errorID>46653709-7c7a-4ac5-a92d-940f6bca15d7</errorID>
      <errorWord>：/。</errorWord>
      <group>L1_Punc</group>
      <groupName>标点问题</groupName>
      <ability>L2_Punc_CN</ability>
      <abilityName>标点符号问题</abilityName>
      <candidateList>
        <item>：</item>
      </candidateList>
      <explain/>
      <paraID> FFA010C</paraID>
      <start>4</start>
      <end>7</end>
      <status>unmodified</status>
      <modifiedWord/>
      <trackRevisions>false</trackRevisions>
    </reviewItem>
    <reviewItem>
      <errorID>51b2b4a2-e89d-4fd6-90f5-2deb9c217eaa</errorID>
      <errorWord>：/。</errorWord>
      <group>L1_Punc</group>
      <groupName>标点问题</groupName>
      <ability>L2_Punc_CN</ability>
      <abilityName>标点符号问题</abilityName>
      <candidateList>
        <item>：</item>
      </candidateList>
      <explain/>
      <paraID> 506DBF1</paraID>
      <start>9</start>
      <end>12</end>
      <status>unmodified</status>
      <modifiedWord/>
      <trackRevisions>false</trackRevisions>
    </reviewItem>
    <reviewItem>
      <errorID>c89c7c88-516b-43a1-86fe-5c19b6de6ec9</errorID>
      <errorWord>新</errorWord>
      <group>L1_Word</group>
      <groupName>字词问题</groupName>
      <ability>L2_Typo</ability>
      <abilityName>字词错误</abilityName>
      <candidateList>
        <item>新一</item>
      </candidateList>
      <explain/>
      <paraID>4610639E</paraID>
      <start>17</start>
      <end>18</end>
      <status>unmodified</status>
      <modifiedWord/>
      <trackRevisions>false</trackRevisions>
    </reviewItem>
    <reviewItem>
      <errorID>7fe39a41-10f7-481e-bd0e-5032d58e340b</errorID>
      <errorWord>需</errorWord>
      <group>L1_Word</group>
      <groupName>字词问题</groupName>
      <ability>L2_Typo</ability>
      <abilityName>字词错误</abilityName>
      <candidateList>
        <item>须</item>
      </candidateList>
      <explain>存在发音相同字词的误用。</explain>
      <paraID>3BD0BF25</paraID>
      <start>82</start>
      <end>83</end>
      <status>unmodified</status>
      <modifiedWord/>
      <trackRevisions>false</trackRevisions>
    </reviewItem>
    <reviewItem>
      <errorID>899abcba-6a7a-4880-bf7c-710067a5e3b8</errorID>
      <errorWord>(</errorWord>
      <group>L1_Format</group>
      <groupName>格式问题</groupName>
      <ability>L2_HalfPunc_CN</ability>
      <abilityName>全半角问题</abilityName>
      <candidateList>
        <item>（</item>
      </candidateList>
      <explain>文本全半角错误。</explain>
      <paraID>5FBE7DD4</paraID>
      <start>123</start>
      <end>124</end>
      <status>unmodified</status>
      <modifiedWord/>
      <trackRevisions>false</trackRevisions>
    </reviewItem>
    <reviewItem>
      <errorID>e388f77f-b026-4beb-92e4-cb9422576596</errorID>
      <errorWord>)</errorWord>
      <group>L1_Format</group>
      <groupName>格式问题</groupName>
      <ability>L2_HalfPunc_CN</ability>
      <abilityName>全半角问题</abilityName>
      <candidateList>
        <item>）</item>
      </candidateList>
      <explain>文本全半角错误。</explain>
      <paraID>5FBE7DD4</paraID>
      <start>145</start>
      <end>146</end>
      <status>unmodified</status>
      <modifiedWord/>
      <trackRevisions>false</trackRevisions>
    </reviewItem>
    <reviewItem>
      <errorID>690496ff-43d8-4bc1-8fa9-44c008808224</errorID>
      <errorWord>：/。</errorWord>
      <group>L1_Punc</group>
      <groupName>标点问题</groupName>
      <ability>L2_Punc_CN</ability>
      <abilityName>标点符号问题</abilityName>
      <candidateList>
        <item>：</item>
      </candidateList>
      <explain/>
      <paraID>59459011</paraID>
      <start>10</start>
      <end>13</end>
      <status>unmodified</status>
      <modifiedWord/>
      <trackRevisions>false</trackRevisions>
    </reviewItem>
    <reviewItem>
      <errorID>ebaebf0d-dae4-44e0-b8a6-07463141bccf</errorID>
      <errorWord>(</errorWord>
      <group>L1_Format</group>
      <groupName>格式问题</groupName>
      <ability>L2_HalfPunc_CN</ability>
      <abilityName>全半角问题</abilityName>
      <candidateList>
        <item>（</item>
      </candidateList>
      <explain>文本全半角错误。</explain>
      <paraID>1B6C2B6B</paraID>
      <start>20</start>
      <end>21</end>
      <status>unmodified</status>
      <modifiedWord/>
      <trackRevisions>false</trackRevisions>
    </reviewItem>
    <reviewItem>
      <errorID>434e828a-98f9-4621-b307-6754dd8bcad1</errorID>
      <errorWord>),</errorWord>
      <group>L1_Format</group>
      <groupName>格式问题</groupName>
      <ability>L2_HalfPunc_CN</ability>
      <abilityName>全半角问题</abilityName>
      <candidateList>
        <item>），</item>
      </candidateList>
      <explain>文本全半角错误。</explain>
      <paraID>1B6C2B6B</paraID>
      <start>30</start>
      <end>32</end>
      <status>unmodified</status>
      <modifiedWord/>
      <trackRevisions>false</trackRevisions>
    </reviewItem>
    <reviewItem>
      <errorID>a2d25daf-1975-4b2a-a90d-6002712b2a60</errorID>
      <errorWord>(</errorWord>
      <group>L1_Format</group>
      <groupName>格式问题</groupName>
      <ability>L2_HalfPunc_CN</ability>
      <abilityName>全半角问题</abilityName>
      <candidateList>
        <item>（</item>
      </candidateList>
      <explain>文本全半角错误。</explain>
      <paraID>62B40844</paraID>
      <start>16</start>
      <end>17</end>
      <status>unmodified</status>
      <modifiedWord/>
      <trackRevisions>false</trackRevisions>
    </reviewItem>
    <reviewItem>
      <errorID>9820cd42-b720-43dc-9a7c-0166d3936cbe</errorID>
      <errorWord>)</errorWord>
      <group>L1_Format</group>
      <groupName>格式问题</groupName>
      <ability>L2_HalfPunc_CN</ability>
      <abilityName>全半角问题</abilityName>
      <candidateList>
        <item>）</item>
      </candidateList>
      <explain>文本全半角错误。</explain>
      <paraID>62B40844</paraID>
      <start>51</start>
      <end>52</end>
      <status>unmodified</status>
      <modifiedWord/>
      <trackRevisions>false</trackRevisions>
    </reviewItem>
    <reviewItem>
      <errorID>8bf1525a-2ee0-45d9-99d7-702261ad463e</errorID>
      <errorWord>(</errorWord>
      <group>L1_Format</group>
      <groupName>格式问题</groupName>
      <ability>L2_HalfPunc_CN</ability>
      <abilityName>全半角问题</abilityName>
      <candidateList>
        <item>（</item>
      </candidateList>
      <explain>文本全半角错误。</explain>
      <paraID>2FADF29E</paraID>
      <start>48</start>
      <end>49</end>
      <status>unmodified</status>
      <modifiedWord/>
      <trackRevisions>false</trackRevisions>
    </reviewItem>
    <reviewItem>
      <errorID>8cd4db30-0b1c-44ec-afcd-b0520cd6ae70</errorID>
      <errorWord>)</errorWord>
      <group>L1_Format</group>
      <groupName>格式问题</groupName>
      <ability>L2_HalfPunc_CN</ability>
      <abilityName>全半角问题</abilityName>
      <candidateList>
        <item>）</item>
      </candidateList>
      <explain>文本全半角错误。</explain>
      <paraID>2FADF29E</paraID>
      <start>58</start>
      <end>59</end>
      <status>unmodified</status>
      <modifiedWord/>
      <trackRevisions>false</trackRevisions>
    </reviewItem>
    <reviewItem>
      <errorID>dc8c328f-e90b-460b-97a6-9aca1d939a39</errorID>
      <errorWord>(</errorWord>
      <group>L1_Format</group>
      <groupName>格式问题</groupName>
      <ability>L2_HalfPunc_CN</ability>
      <abilityName>全半角问题</abilityName>
      <candidateList>
        <item>（</item>
      </candidateList>
      <explain>文本全半角错误。</explain>
      <paraID>19ECE085</paraID>
      <start>58</start>
      <end>59</end>
      <status>unmodified</status>
      <modifiedWord/>
      <trackRevisions>false</trackRevisions>
    </reviewItem>
    <reviewItem>
      <errorID>4023cc94-c224-4ea1-b7f6-1d2f12bdd439</errorID>
      <errorWord>)</errorWord>
      <group>L1_Format</group>
      <groupName>格式问题</groupName>
      <ability>L2_HalfPunc_CN</ability>
      <abilityName>全半角问题</abilityName>
      <candidateList>
        <item>）</item>
      </candidateList>
      <explain>文本全半角错误。</explain>
      <paraID>19ECE085</paraID>
      <start>72</start>
      <end>73</end>
      <status>unmodified</status>
      <modifiedWord/>
      <trackRevisions>false</trackRevisions>
    </reviewItem>
    <reviewItem>
      <errorID>87b47598-a442-43f6-94a3-d1a9b6a5f4a4</errorID>
      <errorWord>(</errorWord>
      <group>L1_Format</group>
      <groupName>格式问题</groupName>
      <ability>L2_HalfPunc_CN</ability>
      <abilityName>全半角问题</abilityName>
      <candidateList>
        <item>（</item>
      </candidateList>
      <explain>文本全半角错误。</explain>
      <paraID>2D63D699</paraID>
      <start>71</start>
      <end>72</end>
      <status>unmodified</status>
      <modifiedWord/>
      <trackRevisions>false</trackRevisions>
    </reviewItem>
    <reviewItem>
      <errorID>bd180bf4-d25c-4e5a-8cf4-9ae92adb9cfc</errorID>
      <errorWord>)</errorWord>
      <group>L1_Format</group>
      <groupName>格式问题</groupName>
      <ability>L2_HalfPunc_CN</ability>
      <abilityName>全半角问题</abilityName>
      <candidateList>
        <item>）</item>
      </candidateList>
      <explain>文本全半角错误。</explain>
      <paraID>2D63D699</paraID>
      <start>81</start>
      <end>82</end>
      <status>unmodified</status>
      <modifiedWord/>
      <trackRevisions>false</trackRevisions>
    </reviewItem>
    <reviewItem>
      <errorID>04042235-2ca8-4418-9a1f-8655b762a298</errorID>
      <errorWord>(</errorWord>
      <group>L1_Format</group>
      <groupName>格式问题</groupName>
      <ability>L2_HalfPunc_CN</ability>
      <abilityName>全半角问题</abilityName>
      <candidateList>
        <item>（</item>
      </candidateList>
      <explain>文本全半角错误。</explain>
      <paraID>2D63D699</paraID>
      <start>158</start>
      <end>159</end>
      <status>unmodified</status>
      <modifiedWord/>
      <trackRevisions>false</trackRevisions>
    </reviewItem>
    <reviewItem>
      <errorID>b6ede2e6-1077-472b-807f-73a7d26cd8ce</errorID>
      <errorWord>)</errorWord>
      <group>L1_Format</group>
      <groupName>格式问题</groupName>
      <ability>L2_HalfPunc_CN</ability>
      <abilityName>全半角问题</abilityName>
      <candidateList>
        <item>）</item>
      </candidateList>
      <explain>文本全半角错误。</explain>
      <paraID>2D63D699</paraID>
      <start>170</start>
      <end>171</end>
      <status>unmodified</status>
      <modifiedWord/>
      <trackRevisions>false</trackRevisions>
    </reviewItem>
    <reviewItem>
      <errorID>6240a739-915f-4aa8-9001-6fa1098d1955</errorID>
      <errorWord>(</errorWord>
      <group>L1_Format</group>
      <groupName>格式问题</groupName>
      <ability>L2_HalfPunc_CN</ability>
      <abilityName>全半角问题</abilityName>
      <candidateList>
        <item>（</item>
      </candidateList>
      <explain>文本全半角错误。</explain>
      <paraID>2D63D699</paraID>
      <start>212</start>
      <end>213</end>
      <status>unmodified</status>
      <modifiedWord/>
      <trackRevisions>false</trackRevisions>
    </reviewItem>
    <reviewItem>
      <errorID>59c688ac-2d35-4976-a9e0-385de56b4d7c</errorID>
      <errorWord>)</errorWord>
      <group>L1_Format</group>
      <groupName>格式问题</groupName>
      <ability>L2_HalfPunc_CN</ability>
      <abilityName>全半角问题</abilityName>
      <candidateList>
        <item>）</item>
      </candidateList>
      <explain>文本全半角错误。</explain>
      <paraID>2D63D699</paraID>
      <start>231</start>
      <end>232</end>
      <status>unmodified</status>
      <modifiedWord/>
      <trackRevisions>false</trackRevisions>
    </reviewItem>
    <reviewItem>
      <errorID>cf123d46-9dc0-4ef1-bb9d-bc0c345f4386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62E05A3E</paraID>
      <start>33</start>
      <end>36</end>
      <status>unmodified</status>
      <modifiedWord/>
      <trackRevisions>false</trackRevisions>
    </reviewItem>
    <reviewItem>
      <errorID>91efa378-7b0e-42ca-909a-b459b97266df</errorID>
      <errorWord>(</errorWord>
      <group>L1_Format</group>
      <groupName>格式问题</groupName>
      <ability>L2_HalfPunc_CN</ability>
      <abilityName>全半角问题</abilityName>
      <candidateList>
        <item>（</item>
      </candidateList>
      <explain>文本全半角错误。</explain>
      <paraID>62E05A3E</paraID>
      <start>73</start>
      <end>74</end>
      <status>unmodified</status>
      <modifiedWord/>
      <trackRevisions>false</trackRevisions>
    </reviewItem>
    <reviewItem>
      <errorID>d30c008f-486e-42a4-a861-bab334e41866</errorID>
      <errorWord>)</errorWord>
      <group>L1_Format</group>
      <groupName>格式问题</groupName>
      <ability>L2_HalfPunc_CN</ability>
      <abilityName>全半角问题</abilityName>
      <candidateList>
        <item>）</item>
      </candidateList>
      <explain>文本全半角错误。</explain>
      <paraID>62E05A3E</paraID>
      <start>88</start>
      <end>89</end>
      <status>unmodified</status>
      <modifiedWord/>
      <trackRevisions>false</trackRevisions>
    </reviewItem>
    <reviewItem>
      <errorID>f6801e71-2569-4171-934b-746288952974</errorID>
      <errorWord>,</errorWord>
      <group>L1_Format</group>
      <groupName>格式问题</groupName>
      <ability>L2_HalfPunc_CN</ability>
      <abilityName>全半角问题</abilityName>
      <candidateList>
        <item>，</item>
      </candidateList>
      <explain>文本全半角错误。</explain>
      <paraID>710E2316</paraID>
      <start>176</start>
      <end>177</end>
      <status>unmodified</status>
      <modifiedWord/>
      <trackRevisions>false</trackRevisions>
    </reviewItem>
    <reviewItem>
      <errorID>89c0089f-7761-418a-94b1-3a18ca675782</errorID>
      <errorWord>噪音</errorWord>
      <group>L1_Word</group>
      <groupName>字词问题</groupName>
      <ability>L2_Alias</ability>
      <abilityName>也作/曾用词</abilityName>
      <candidateList>
        <item>噪声</item>
      </candidateList>
      <explain>词汇[噪音]为不规范表述或旧称，其规范书面表述为[噪声]。</explain>
      <paraID>3591DBA2</paraID>
      <start>27</start>
      <end>29</end>
      <status>modified</status>
      <modifiedWord>噪声</modifiedWord>
      <trackRevisions>false</trackRevisions>
    </reviewItem>
    <reviewItem>
      <errorID>52197ef4-408e-465e-b7fc-edb476e4ff82</errorID>
      <errorWord>(</errorWord>
      <group>L1_Format</group>
      <groupName>格式问题</groupName>
      <ability>L2_HalfPunc_CN</ability>
      <abilityName>全半角问题</abilityName>
      <candidateList>
        <item>（</item>
      </candidateList>
      <explain>文本全半角错误。</explain>
      <paraID>1E3EA379</paraID>
      <start>30</start>
      <end>31</end>
      <status>unmodified</status>
      <modifiedWord/>
      <trackRevisions>false</trackRevisions>
    </reviewItem>
    <reviewItem>
      <errorID>9c6878eb-c8c7-469f-b0bf-fb0a1a61d3f8</errorID>
      <errorWord>)</errorWord>
      <group>L1_Format</group>
      <groupName>格式问题</groupName>
      <ability>L2_HalfPunc_CN</ability>
      <abilityName>全半角问题</abilityName>
      <candidateList>
        <item>）</item>
      </candidateList>
      <explain>文本全半角错误。</explain>
      <paraID>1E3EA379</paraID>
      <start>41</start>
      <end>42</end>
      <status>unmodified</status>
      <modifiedWord/>
      <trackRevisions>false</trackRevisions>
    </reviewItem>
    <reviewItem>
      <errorID>a51db079-e29a-4ee1-86db-76c904da2f15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5764C071</paraID>
      <start>0</start>
      <end>3</end>
      <status>unmodified</status>
      <modifiedWord/>
      <trackRevisions>false</trackRevisions>
    </reviewItem>
    <reviewItem>
      <errorID>b8ec988f-48ac-4d24-8681-53fafa4bb5da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4F37897D</paraID>
      <start>0</start>
      <end>3</end>
      <status>unmodified</status>
      <modifiedWord/>
      <trackRevisions>false</trackRevisions>
    </reviewItem>
    <reviewItem>
      <errorID>b270af4e-730c-4ee0-a9fa-57efcb139784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20A26378</paraID>
      <start>0</start>
      <end>3</end>
      <status>unmodified</status>
      <modifiedWord/>
      <trackRevisions>false</trackRevisions>
    </reviewItem>
    <reviewItem>
      <errorID>be26444c-ceca-4d2d-af9c-3b8de7241d1e</errorID>
      <errorWord>配备</errorWord>
      <group>L1_Grammar</group>
      <groupName>语法问题</groupName>
      <ability>L2_Grammar</ability>
      <abilityName>语法错误</abilityName>
      <candidateList>
        <item>搭载</item>
      </candidateList>
      <explain>“配备～项目”搭配不当，建议修改为“搭载～项目”。</explain>
      <paraID>11A36A33</paraID>
      <start>7</start>
      <end>9</end>
      <status>unmodified</status>
      <modifiedWord/>
      <trackRevisions>false</trackRevisions>
    </reviewItem>
    <reviewItem>
      <errorID>cf5cf40b-ff51-466b-b210-f9cb1e6b400c</errorID>
      <errorWord>(</errorWord>
      <group>L1_Format</group>
      <groupName>格式问题</groupName>
      <ability>L2_HalfPunc_CN</ability>
      <abilityName>全半角问题</abilityName>
      <candidateList>
        <item>（</item>
      </candidateList>
      <explain>文本全半角错误。</explain>
      <paraID> E55A468</paraID>
      <start>50</start>
      <end>51</end>
      <status>unmodified</status>
      <modifiedWord/>
      <trackRevisions>false</trackRevisions>
    </reviewItem>
    <reviewItem>
      <errorID>b2b60e98-77f1-468c-9fa1-5957fa6828af</errorID>
      <errorWord>)</errorWord>
      <group>L1_Format</group>
      <groupName>格式问题</groupName>
      <ability>L2_HalfPunc_CN</ability>
      <abilityName>全半角问题</abilityName>
      <candidateList>
        <item>）</item>
      </candidateList>
      <explain>文本全半角错误。</explain>
      <paraID> E55A468</paraID>
      <start>59</start>
      <end>60</end>
      <status>unmodified</status>
      <modifiedWord/>
      <trackRevisions>false</trackRevisions>
    </reviewItem>
    <reviewItem>
      <errorID>f49df849-28fc-469b-a089-3927552be661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59B07705</paraID>
      <start>51</start>
      <end>54</end>
      <status>unmodified</status>
      <modifiedWord/>
      <trackRevisions>false</trackRevisions>
    </reviewItem>
    <reviewItem>
      <errorID>6bd89762-198c-4095-b7c2-9d2641bad30f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59B07705</paraID>
      <start>66</start>
      <end>69</end>
      <status>unmodified</status>
      <modifiedWord/>
      <trackRevisions>false</trackRevisions>
    </reviewItem>
    <reviewItem>
      <errorID>95024e51-abb7-406b-86fc-1802a2607494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59B07705</paraID>
      <start>79</start>
      <end>82</end>
      <status>unmodified</status>
      <modifiedWord/>
      <trackRevisions>false</trackRevisions>
    </reviewItem>
    <reviewItem>
      <errorID>a19e1653-9909-4820-b104-3c08609925f9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59B07705</paraID>
      <start>94</start>
      <end>97</end>
      <status>unmodified</status>
      <modifiedWord/>
      <trackRevisions>false</trackRevisions>
    </reviewItem>
    <reviewItem>
      <errorID>76c250f0-4705-4139-a326-22cc2e6736ca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59B07705</paraID>
      <start>107</start>
      <end>110</end>
      <status>unmodified</status>
      <modifiedWord/>
      <trackRevisions>false</trackRevisions>
    </reviewItem>
    <reviewItem>
      <errorID>d174b66f-404e-4846-813d-42d748644252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59B07705</paraID>
      <start>125</start>
      <end>128</end>
      <status>unmodified</status>
      <modifiedWord/>
      <trackRevisions>false</trackRevisions>
    </reviewItem>
    <reviewItem>
      <errorID>7b86bcd9-c871-419e-bbbd-7cdbb36b7b5a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59B07705</paraID>
      <start>139</start>
      <end>142</end>
      <status>unmodified</status>
      <modifiedWord/>
      <trackRevisions>false</trackRevisions>
    </reviewItem>
    <reviewItem>
      <errorID>59a1432c-e248-4a0a-b9d9-8ab8393604ba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5DB1AE59</paraID>
      <start>0</start>
      <end>2</end>
      <status>unmodified</status>
      <modifiedWord/>
      <trackRevisions>false</trackRevisions>
    </reviewItem>
    <reviewItem>
      <errorID>328ab2c1-5d55-4aa9-82fd-53f617461376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47A6CC5</paraID>
      <start>0</start>
      <end>2</end>
      <status>unmodified</status>
      <modifiedWord/>
      <trackRevisions>false</trackRevisions>
    </reviewItem>
    <reviewItem>
      <errorID>2eaa9a88-dadc-465d-8ef4-6d19d75cfb73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67AB6C46</paraID>
      <start>0</start>
      <end>2</end>
      <status>unmodified</status>
      <modifiedWord/>
      <trackRevisions>false</trackRevisions>
    </reviewItem>
    <reviewItem>
      <errorID>7da72201-7217-42ca-aa50-11abc21a957d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3665A7CD</paraID>
      <start>0</start>
      <end>2</end>
      <status>unmodified</status>
      <modifiedWord/>
      <trackRevisions>false</trackRevisions>
    </reviewItem>
    <reviewItem>
      <errorID>4f23bfae-145e-4efb-8f01-02136cbe4091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74E32C4D</paraID>
      <start>0</start>
      <end>2</end>
      <status>unmodified</status>
      <modifiedWord/>
      <trackRevisions>false</trackRevisions>
    </reviewItem>
    <reviewItem>
      <errorID>63ca8fec-4ae2-467d-b038-5771018158a0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4A277517</paraID>
      <start>0</start>
      <end>2</end>
      <status>unmodified</status>
      <modifiedWord/>
      <trackRevisions>false</trackRevisions>
    </reviewItem>
    <reviewItem>
      <errorID>912a4471-8066-4ac4-8a15-d20e2a197cc4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66C3DB94</paraID>
      <start>0</start>
      <end>2</end>
      <status>unmodified</status>
      <modifiedWord/>
      <trackRevisions>false</trackRevisions>
    </reviewItem>
    <reviewItem>
      <errorID>afd4725d-f06f-42cb-bb09-deb8f8ee7830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5B2BFE23</paraID>
      <start>0</start>
      <end>2</end>
      <status>unmodified</status>
      <modifiedWord/>
      <trackRevisions>false</trackRevisions>
    </reviewItem>
    <reviewItem>
      <errorID>7930c1e1-f6d0-4f98-9720-df203046c90c</errorID>
      <errorWord>法律、法规</errorWord>
      <group>L1_Word</group>
      <groupName>字词问题</groupName>
      <ability>L2_Typo</ability>
      <abilityName>字词错误</abilityName>
      <candidateList>
        <item>法律法规</item>
      </candidateList>
      <explain/>
      <paraID>5B2BFE23</paraID>
      <start>32</start>
      <end>36</end>
      <status>modified</status>
      <modifiedWord>法律法规</modifiedWord>
      <trackRevisions>false</trackRevisions>
    </reviewItem>
    <reviewItem>
      <errorID>74ba2bcb-8433-4efd-b64d-0ccc5ceb58a5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41C17483</paraID>
      <start>0</start>
      <end>2</end>
      <status>unmodified</status>
      <modifiedWord/>
      <trackRevisions>false</trackRevisions>
    </reviewItem>
    <reviewItem>
      <errorID>606cd515-ddee-4c2b-91c7-05b700319dd7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359F905F</paraID>
      <start>0</start>
      <end>2</end>
      <status>unmodified</status>
      <modifiedWord/>
      <trackRevisions>false</trackRevisions>
    </reviewItem>
    <reviewItem>
      <errorID>d2c519f3-74a9-48eb-b92d-a0b9106b5098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45724AA1</paraID>
      <start>0</start>
      <end>2</end>
      <status>unmodified</status>
      <modifiedWord/>
      <trackRevisions>false</trackRevisions>
    </reviewItem>
    <reviewItem>
      <errorID>28eaebc0-48cc-4e66-8f49-ec7311af8c94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4CA5CC38</paraID>
      <start>0</start>
      <end>2</end>
      <status>unmodified</status>
      <modifiedWord/>
      <trackRevisions>false</trackRevisions>
    </reviewItem>
    <reviewItem>
      <errorID>f0cca275-3195-4ffa-887e-171b996c2275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F984FFF</paraID>
      <start>0</start>
      <end>2</end>
      <status>unmodified</status>
      <modifiedWord/>
      <trackRevisions>false</trackRevisions>
    </reviewItem>
    <reviewItem>
      <errorID>95de2d24-b377-41e4-904c-5ade4634cfff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6141A055</paraID>
      <start>0</start>
      <end>2</end>
      <status>unmodified</status>
      <modifiedWord/>
      <trackRevisions>false</trackRevisions>
    </reviewItem>
    <reviewItem>
      <errorID>7cf6c7ab-294c-43ec-93a6-7a56c31f5353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2DB0CDA6</paraID>
      <start>0</start>
      <end>2</end>
      <status>unmodified</status>
      <modifiedWord/>
      <trackRevisions>false</trackRevisions>
    </reviewItem>
    <reviewItem>
      <errorID>8b99e02e-ceaa-48d4-be8d-d2760fd88f1b</errorID>
      <errorWord>提高</errorWord>
      <group>L1_Grammar</group>
      <groupName>语法问题</groupName>
      <ability>L2_Grammar</ability>
      <abilityName>语法错误</abilityName>
      <candidateList>
        <item>增强</item>
      </candidateList>
      <explain>“提高～意识”搭配不当，建议修改为“增强～意识”。</explain>
      <paraID>2DB0CDA6</paraID>
      <start>22</start>
      <end>24</end>
      <status>modified</status>
      <modifiedWord>增强</modifiedWord>
      <trackRevisions>false</trackRevisions>
    </reviewItem>
    <reviewItem>
      <errorID>e19e7e81-ad1d-4e7d-a54a-223f211f0434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72CE1AF0</paraID>
      <start>0</start>
      <end>2</end>
      <status>unmodified</status>
      <modifiedWord/>
      <trackRevisions>false</trackRevisions>
    </reviewItem>
    <reviewItem>
      <errorID>8d19b4bd-455c-49e7-84d0-45f1b03f4935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67EC6DE2</paraID>
      <start>0</start>
      <end>3</end>
      <status>unmodified</status>
      <modifiedWord/>
      <trackRevisions>false</trackRevisions>
    </reviewItem>
    <reviewItem>
      <errorID>327acff6-578c-4915-ab50-8468c0151dbe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74406B50</paraID>
      <start>0</start>
      <end>3</end>
      <status>unmodified</status>
      <modifiedWord/>
      <trackRevisions>false</trackRevisions>
    </reviewItem>
    <reviewItem>
      <errorID>efc4300d-678b-43a2-ba6e-7f90d9a9bb6e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6661D1B3</paraID>
      <start>0</start>
      <end>3</end>
      <status>unmodified</status>
      <modifiedWord/>
      <trackRevisions>false</trackRevisions>
    </reviewItem>
    <reviewItem>
      <errorID>1e2d6cfa-f512-427f-b938-98be6a2a40a4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51B6A0C2</paraID>
      <start>0</start>
      <end>3</end>
      <status>unmodified</status>
      <modifiedWord/>
      <trackRevisions>false</trackRevisions>
    </reviewItem>
    <reviewItem>
      <errorID>4b922014-3ce8-43cf-8a76-5dc8bb2f434c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66421F6C</paraID>
      <start>0</start>
      <end>3</end>
      <status>unmodified</status>
      <modifiedWord/>
      <trackRevisions>false</trackRevisions>
    </reviewItem>
    <reviewItem>
      <errorID>af3db046-f783-4d91-ba6d-65ba9db237e9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5A7F98</paraID>
      <start>0</start>
      <end>2</end>
      <status>unmodified</status>
      <modifiedWord/>
      <trackRevisions>false</trackRevisions>
    </reviewItem>
    <reviewItem>
      <errorID>abc5a585-8f7e-4fbb-8f8d-d3ba9e201e02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2ADDA4E4</paraID>
      <start>0</start>
      <end>2</end>
      <status>unmodified</status>
      <modifiedWord/>
      <trackRevisions>false</trackRevisions>
    </reviewItem>
    <reviewItem>
      <errorID>c17ba0cf-de92-4204-9ee0-87885705b471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60305AB6</paraID>
      <start>0</start>
      <end>2</end>
      <status>unmodified</status>
      <modifiedWord/>
      <trackRevisions>false</trackRevisions>
    </reviewItem>
    <reviewItem>
      <errorID>a6bd5418-123c-48ea-a46b-1654ea4b9394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60305AB6</paraID>
      <start>43</start>
      <end>46</end>
      <status>unmodified</status>
      <modifiedWord/>
      <trackRevisions>false</trackRevisions>
    </reviewItem>
    <reviewItem>
      <errorID>a59aaab0-e51f-428f-bd1e-08cb3ac6e624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60305AB6</paraID>
      <start>61</start>
      <end>64</end>
      <status>unmodified</status>
      <modifiedWord/>
      <trackRevisions>false</trackRevisions>
    </reviewItem>
    <reviewItem>
      <errorID>2a7a168f-d5a8-4997-8d6b-0ce4456576a0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60305AB6</paraID>
      <start>74</start>
      <end>77</end>
      <status>unmodified</status>
      <modifiedWord/>
      <trackRevisions>false</trackRevisions>
    </reviewItem>
    <reviewItem>
      <errorID>bf4bc7d9-2c0c-440e-9d42-f0196915cf6a</errorID>
      <errorWord>签订之日起至</errorWord>
      <group>L1_Word</group>
      <groupName>字词问题</groupName>
      <ability>L2_Typo</ability>
      <abilityName>字词错误</abilityName>
      <candidateList>
        <item>签订之日起</item>
      </candidateList>
      <explain/>
      <paraID>4CE6E8BE</paraID>
      <start>8</start>
      <end>13</end>
      <status>modified</status>
      <modifiedWord>签订之日起</modifiedWord>
      <trackRevisions>false</trackRevisions>
    </reviewItem>
    <reviewItem>
      <errorID>a4bb9eae-6a37-4a28-9eec-26f55513856f</errorID>
      <errorWord>》</errorWord>
      <group>L1_Word</group>
      <groupName>字词问题</groupName>
      <ability>L2_Typo</ability>
      <abilityName>字词错误</abilityName>
      <candidateList>
        <item>》和</item>
      </candidateList>
      <explain/>
      <paraID>210D3B13</paraID>
      <start>60</start>
      <end>61</end>
      <status>unmodified</status>
      <modifiedWord/>
      <trackRevisions>false</trackRevisions>
    </reviewItem>
    <reviewItem>
      <errorID>5c36f503-8863-4025-9e07-719a6e916dff</errorID>
      <errorWord>（</errorWord>
      <group>L1_Format</group>
      <groupName>格式问题</groupName>
      <ability>L2_HalfPunc_CN</ability>
      <abilityName>全半角问题</abilityName>
      <candidateList>
        <item>(</item>
      </candidateList>
      <explain>文本全半角错误。</explain>
      <paraID>157916E6</paraID>
      <start>0</start>
      <end>1</end>
      <status>unmodified</status>
      <modifiedWord/>
      <trackRevisions>false</trackRevisions>
    </reviewItem>
    <reviewItem>
      <errorID>9ec842d6-04d5-44a6-bb5e-89a4d4caad53</errorID>
      <errorWord>）</errorWord>
      <group>L1_Format</group>
      <groupName>格式问题</groupName>
      <ability>L2_HalfPunc_CN</ability>
      <abilityName>全半角问题</abilityName>
      <candidateList>
        <item>)</item>
      </candidateList>
      <explain>文本全半角错误。</explain>
      <paraID>157916E6</paraID>
      <start>2</start>
      <end>3</end>
      <status>unmodified</status>
      <modifiedWord/>
      <trackRevisions>false</trackRevisions>
    </reviewItem>
    <reviewItem>
      <errorID>e3742624-86dd-4dc9-b1db-3321b5d8fee2</errorID>
      <errorWord>（</errorWord>
      <group>L1_Format</group>
      <groupName>格式问题</groupName>
      <ability>L2_HalfPunc_CN</ability>
      <abilityName>全半角问题</abilityName>
      <candidateList>
        <item>(</item>
      </candidateList>
      <explain>文本全半角错误。</explain>
      <paraID>61702210</paraID>
      <start>0</start>
      <end>1</end>
      <status>unmodified</status>
      <modifiedWord/>
      <trackRevisions>false</trackRevisions>
    </reviewItem>
    <reviewItem>
      <errorID>a15caae7-1f40-42a9-ae36-88d43900c5e3</errorID>
      <errorWord>）</errorWord>
      <group>L1_Format</group>
      <groupName>格式问题</groupName>
      <ability>L2_HalfPunc_CN</ability>
      <abilityName>全半角问题</abilityName>
      <candidateList>
        <item>)</item>
      </candidateList>
      <explain>文本全半角错误。</explain>
      <paraID>61702210</paraID>
      <start>2</start>
      <end>3</end>
      <status>unmodified</status>
      <modifiedWord/>
      <trackRevisions>false</trackRevisions>
    </reviewItem>
    <reviewItem>
      <errorID>42394bb9-f712-4af4-b8a3-59592a139c81</errorID>
      <errorWord>（</errorWord>
      <group>L1_Format</group>
      <groupName>格式问题</groupName>
      <ability>L2_HalfPunc_CN</ability>
      <abilityName>全半角问题</abilityName>
      <candidateList>
        <item>(</item>
      </candidateList>
      <explain>文本全半角错误。</explain>
      <paraID>25D7A3FA</paraID>
      <start>0</start>
      <end>1</end>
      <status>unmodified</status>
      <modifiedWord/>
      <trackRevisions>false</trackRevisions>
    </reviewItem>
    <reviewItem>
      <errorID>42a6bbf7-bb22-4623-9b55-7d6e5c11c56b</errorID>
      <errorWord>）</errorWord>
      <group>L1_Format</group>
      <groupName>格式问题</groupName>
      <ability>L2_HalfPunc_CN</ability>
      <abilityName>全半角问题</abilityName>
      <candidateList>
        <item>)</item>
      </candidateList>
      <explain>文本全半角错误。</explain>
      <paraID>25D7A3FA</paraID>
      <start>2</start>
      <end>3</end>
      <status>unmodified</status>
      <modifiedWord/>
      <trackRevisions>false</trackRevisions>
    </reviewItem>
    <reviewItem>
      <errorID>57d86bf9-fe9f-47ff-a73a-b44a570725a6</errorID>
      <errorWord>做补充说明</errorWord>
      <group>L1_Word</group>
      <groupName>字词问题</groupName>
      <ability>L2_Typo</ability>
      <abilityName>字词错误</abilityName>
      <candidateList>
        <item>作补充说明</item>
      </candidateList>
      <explain/>
      <paraID>4FE9DC6E</paraID>
      <start>84</start>
      <end>89</end>
      <status>modified</status>
      <modifiedWord>作补充说明</modifiedWord>
      <trackRevisions>false</trackRevisions>
    </reviewItem>
    <reviewItem>
      <errorID>18413174-cf90-4edc-93c4-d406edbe13be</errorID>
      <errorWord>需</errorWord>
      <group>L1_Word</group>
      <groupName>字词问题</groupName>
      <ability>L2_Typo</ability>
      <abilityName>字词错误</abilityName>
      <candidateList>
        <item>须</item>
      </candidateList>
      <explain>存在发音相同字词的误用。</explain>
      <paraID> 46653B2</paraID>
      <start>3</start>
      <end>4</end>
      <status>unmodified</status>
      <modifiedWord/>
      <trackRevisions>false</trackRevisions>
    </reviewItem>
    <reviewItem>
      <errorID>d47b2462-dae1-48fb-bc9e-600721af8721</errorID>
      <errorWord>:</errorWord>
      <group>L1_Format</group>
      <groupName>格式问题</groupName>
      <ability>L2_HalfPunc_CN</ability>
      <abilityName>全半角问题</abilityName>
      <candidateList>
        <item>：</item>
      </candidateList>
      <explain>文本全半角错误。</explain>
      <paraID>453FFD93</paraID>
      <start>8</start>
      <end>9</end>
      <status>unmodified</status>
      <modifiedWord/>
      <trackRevisions>false</trackRevisions>
    </reviewItem>
    <reviewItem>
      <errorID>1a302c8c-14e5-46b1-9452-ae66b5a1d4e8</errorID>
      <errorWord>(</errorWord>
      <group>L1_Format</group>
      <groupName>格式问题</groupName>
      <ability>L2_HalfPunc_CN</ability>
      <abilityName>全半角问题</abilityName>
      <candidateList>
        <item>（</item>
      </candidateList>
      <explain>文本全半角错误。</explain>
      <paraID>1A09E205</paraID>
      <start>28</start>
      <end>29</end>
      <status>unmodified</status>
      <modifiedWord/>
      <trackRevisions>false</trackRevisions>
    </reviewItem>
    <reviewItem>
      <errorID>a4753727-dd31-4c1d-acbc-6921beb5efc6</errorID>
      <errorWord>)</errorWord>
      <group>L1_Format</group>
      <groupName>格式问题</groupName>
      <ability>L2_HalfPunc_CN</ability>
      <abilityName>全半角问题</abilityName>
      <candidateList>
        <item>）</item>
      </candidateList>
      <explain>文本全半角错误。</explain>
      <paraID>1A09E205</paraID>
      <start>34</start>
      <end>35</end>
      <status>unmodified</status>
      <modifiedWord/>
      <trackRevisions>false</trackRevisions>
    </reviewItem>
    <reviewItem>
      <errorID>a652084f-6b9c-4705-b747-c4e1781f253a</errorID>
      <errorWord>:</errorWord>
      <group>L1_Format</group>
      <groupName>格式问题</groupName>
      <ability>L2_HalfPunc_CN</ability>
      <abilityName>全半角问题</abilityName>
      <candidateList>
        <item>：</item>
      </candidateList>
      <explain>文本全半角错误。</explain>
      <paraID>74E044C1</paraID>
      <start>5</start>
      <end>6</end>
      <status>unmodified</status>
      <modifiedWord/>
      <trackRevisions>false</trackRevisions>
    </reviewItem>
    <reviewItem>
      <errorID>9deffbca-880f-486c-a60d-8f5da82b2d80</errorID>
      <errorWord>(</errorWord>
      <group>L1_Format</group>
      <groupName>格式问题</groupName>
      <ability>L2_HalfPunc_CN</ability>
      <abilityName>全半角问题</abilityName>
      <candidateList>
        <item>（</item>
      </candidateList>
      <explain>文本全半角错误。</explain>
      <paraID>13CAAD0F</paraID>
      <start>28</start>
      <end>29</end>
      <status>unmodified</status>
      <modifiedWord/>
      <trackRevisions>false</trackRevisions>
    </reviewItem>
    <reviewItem>
      <errorID>9d2779bd-1827-4e93-9561-96abd4b562c1</errorID>
      <errorWord>)</errorWord>
      <group>L1_Format</group>
      <groupName>格式问题</groupName>
      <ability>L2_HalfPunc_CN</ability>
      <abilityName>全半角问题</abilityName>
      <candidateList>
        <item>）</item>
      </candidateList>
      <explain>文本全半角错误。</explain>
      <paraID>13CAAD0F</paraID>
      <start>34</start>
      <end>35</end>
      <status>unmodified</status>
      <modifiedWord/>
      <trackRevisions>false</trackRevisions>
    </reviewItem>
    <reviewItem>
      <errorID>22847fb2-3d38-4c87-a34b-ba5b20f02b58</errorID>
      <errorWord>2025全</errorWord>
      <group>L1_Word</group>
      <groupName>字词问题</groupName>
      <ability>L2_Typo</ability>
      <abilityName>字词错误</abilityName>
      <candidateList>
        <item>2025</item>
      </candidateList>
      <explain/>
      <paraID> 788A889</paraID>
      <start>28</start>
      <end>33</end>
      <status>unmodified</status>
      <modifiedWord/>
      <trackRevisions>false</trackRevisions>
    </reviewItem>
    <reviewItem>
      <errorID>22f7ddd4-4524-4395-b364-d5f1eb21a8d7</errorID>
      <errorWord>位</errorWord>
      <group>L1_Word</group>
      <groupName>字词问题</groupName>
      <ability>L2_Typo</ability>
      <abilityName>字词错误</abilityName>
      <candidateList>
        <item>位公</item>
      </candidateList>
      <explain/>
      <paraID>792CA5AB</paraID>
      <start>13</start>
      <end>14</end>
      <status>unmodified</status>
      <modifiedWord/>
      <trackRevisions>false</trackRevisions>
    </reviewItem>
    <reviewItem>
      <errorID>26aa65fa-0b16-47a3-a832-70da9c832379</errorID>
      <errorWord>位</errorWord>
      <group>L1_Word</group>
      <groupName>字词问题</groupName>
      <ability>L2_Typo</ability>
      <abilityName>字词错误</abilityName>
      <candidateList>
        <item>位公</item>
      </candidateList>
      <explain/>
      <paraID>77752ACF</paraID>
      <start>13</start>
      <end>14</end>
      <status>unmodified</status>
      <modifiedWord/>
      <trackRevisions>false</trackRevisions>
    </reviewItem>
    <reviewItem>
      <errorID>e25a8295-c6f6-4316-b40a-baefd2bb6cc8</errorID>
      <errorWord>(</errorWord>
      <group>L1_Format</group>
      <groupName>格式问题</groupName>
      <ability>L2_HalfPunc_CN</ability>
      <abilityName>全半角问题</abilityName>
      <candidateList>
        <item>（</item>
      </candidateList>
      <explain>文本全半角错误。</explain>
      <paraID>5C3A746A</paraID>
      <start>14</start>
      <end>15</end>
      <status>unmodified</status>
      <modifiedWord/>
      <trackRevisions>false</trackRevisions>
    </reviewItem>
    <reviewItem>
      <errorID>09708b05-2ce2-4c5b-ae8b-596b8919d698</errorID>
      <errorWord>)</errorWord>
      <group>L1_Format</group>
      <groupName>格式问题</groupName>
      <ability>L2_HalfPunc_CN</ability>
      <abilityName>全半角问题</abilityName>
      <candidateList>
        <item>）</item>
      </candidateList>
      <explain>文本全半角错误。</explain>
      <paraID>5C3A746A</paraID>
      <start>47</start>
      <end>48</end>
      <status>unmodified</status>
      <modifiedWord/>
      <trackRevisions>false</trackRevisions>
    </reviewItem>
    <reviewItem>
      <errorID>0792c77c-da32-4e78-aefd-3820a666ccc4</errorID>
      <errorWord>(</errorWord>
      <group>L1_Format</group>
      <groupName>格式问题</groupName>
      <ability>L2_HalfPunc_CN</ability>
      <abilityName>全半角问题</abilityName>
      <candidateList>
        <item>（</item>
      </candidateList>
      <explain>文本全半角错误。</explain>
      <paraID>5C3A746A</paraID>
      <start>83</start>
      <end>84</end>
      <status>unmodified</status>
      <modifiedWord/>
      <trackRevisions>false</trackRevisions>
    </reviewItem>
    <reviewItem>
      <errorID>ca5f726f-b5c6-4631-a706-a53fec7d3599</errorID>
      <errorWord>)</errorWord>
      <group>L1_Format</group>
      <groupName>格式问题</groupName>
      <ability>L2_HalfPunc_CN</ability>
      <abilityName>全半角问题</abilityName>
      <candidateList>
        <item>）</item>
      </candidateList>
      <explain>文本全半角错误。</explain>
      <paraID>5C3A746A</paraID>
      <start>116</start>
      <end>117</end>
      <status>unmodified</status>
      <modifiedWord/>
      <trackRevisions>false</trackRevisions>
    </reviewItem>
    <reviewItem>
      <errorID>2ad4061a-5c52-46cd-bab9-8374df42f004</errorID>
      <errorWord>(</errorWord>
      <group>L1_Format</group>
      <groupName>格式问题</groupName>
      <ability>L2_HalfPunc_CN</ability>
      <abilityName>全半角问题</abilityName>
      <candidateList>
        <item>（</item>
      </candidateList>
      <explain>文本全半角错误。</explain>
      <paraID>5C3A746A</paraID>
      <start>138</start>
      <end>139</end>
      <status>unmodified</status>
      <modifiedWord/>
      <trackRevisions>false</trackRevisions>
    </reviewItem>
    <reviewItem>
      <errorID>7545b2db-33ed-49e8-a3f0-461a7fd54812</errorID>
      <errorWord>)</errorWord>
      <group>L1_Format</group>
      <groupName>格式问题</groupName>
      <ability>L2_HalfPunc_CN</ability>
      <abilityName>全半角问题</abilityName>
      <candidateList>
        <item>）</item>
      </candidateList>
      <explain>文本全半角错误。</explain>
      <paraID>5C3A746A</paraID>
      <start>162</start>
      <end>163</end>
      <status>unmodified</status>
      <modifiedWord/>
      <trackRevisions>false</trackRevisions>
    </reviewItem>
    <reviewItem>
      <errorID>15b163b6-2a9b-4fb3-b15b-168d946c1ecc</errorID>
      <errorWord>:</errorWord>
      <group>L1_Format</group>
      <groupName>格式问题</groupName>
      <ability>L2_HalfPunc_CN</ability>
      <abilityName>全半角问题</abilityName>
      <candidateList>
        <item>：</item>
      </candidateList>
      <explain>文本全半角错误。</explain>
      <paraID>17534DDC</paraID>
      <start>106</start>
      <end>107</end>
      <status>unmodified</status>
      <modifiedWord/>
      <trackRevisions>false</trackRevisions>
    </reviewItem>
    <reviewItem>
      <errorID>ae7c9ad1-48f9-455a-9071-e1080806e1a1</errorID>
      <errorWord>)</errorWord>
      <group>L1_Format</group>
      <groupName>格式问题</groupName>
      <ability>L2_HalfPunc_CN</ability>
      <abilityName>全半角问题</abilityName>
      <candidateList>
        <item>）</item>
      </candidateList>
      <explain>文本全半角错误。</explain>
      <paraID>496EF8AE</paraID>
      <start>110</start>
      <end>111</end>
      <status>unmodified</status>
      <modifiedWord/>
      <trackRevisions>false</trackRevisions>
    </reviewItem>
    <reviewItem>
      <errorID>8670d5f6-5bac-4698-b090-bfc8b28c3b24</errorID>
      <errorWord>......</errorWord>
      <group>L1_Punc</group>
      <groupName>标点问题</groupName>
      <ability>L2_Punc_CN</ability>
      <abilityName>标点符号问题</abilityName>
      <candidateList>
        <item>……</item>
      </candidateList>
      <explain/>
      <paraID>79393CDA</paraID>
      <start>0</start>
      <end>6</end>
      <status>unmodified</status>
      <modifiedWord/>
      <trackRevisions>false</trackRevisions>
    </reviewItem>
    <reviewItem>
      <errorID>29206242-5b80-4b83-b6e7-62acfb59008b</errorID>
      <errorWord>:</errorWord>
      <group>L1_Format</group>
      <groupName>格式问题</groupName>
      <ability>L2_HalfPunc_CN</ability>
      <abilityName>全半角问题</abilityName>
      <candidateList>
        <item>：</item>
      </candidateList>
      <explain>文本全半角错误。</explain>
      <paraID>72867551</paraID>
      <start>2</start>
      <end>3</end>
      <status>unmodified</status>
      <modifiedWord/>
      <trackRevisions>false</trackRevisions>
    </reviewItem>
    <reviewItem>
      <errorID>adc8bfa6-3f6a-4835-9b95-2328cac65af9</errorID>
      <errorWord>需</errorWord>
      <group>L1_Word</group>
      <groupName>字词问题</groupName>
      <ability>L2_Typo</ability>
      <abilityName>字词错误</abilityName>
      <candidateList>
        <item>须</item>
      </candidateList>
      <explain>存在发音相同字词的误用。</explain>
      <paraID>2B4F9EB6</paraID>
      <start>6</start>
      <end>7</end>
      <status>unmodified</status>
      <modifiedWord/>
      <trackRevisions>false</trackRevisions>
    </reviewItem>
    <reviewItem>
      <errorID>1d3711e0-ad0c-4c45-bf28-ebbd8d41196c</errorID>
      <errorWord>(</errorWord>
      <group>L1_Format</group>
      <groupName>格式问题</groupName>
      <ability>L2_HalfPunc_CN</ability>
      <abilityName>全半角问题</abilityName>
      <candidateList>
        <item>（</item>
      </candidateList>
      <explain>文本全半角错误。</explain>
      <paraID>28887061</paraID>
      <start>72</start>
      <end>73</end>
      <status>unmodified</status>
      <modifiedWord/>
      <trackRevisions>false</trackRevisions>
    </reviewItem>
    <reviewItem>
      <errorID>fd5b31a3-9929-49a8-99cd-4178e33e3693</errorID>
      <errorWord>)</errorWord>
      <group>L1_Format</group>
      <groupName>格式问题</groupName>
      <ability>L2_HalfPunc_CN</ability>
      <abilityName>全半角问题</abilityName>
      <candidateList>
        <item>）</item>
      </candidateList>
      <explain>文本全半角错误。</explain>
      <paraID>28887061</paraID>
      <start>116</start>
      <end>117</end>
      <status>unmodified</status>
      <modifiedWord/>
      <trackRevisions>false</trackRevisions>
    </reviewItem>
    <reviewItem>
      <errorID>faadc407-547c-4245-ab74-df9d04aa1775</errorID>
      <errorWord>:</errorWord>
      <group>L1_Format</group>
      <groupName>格式问题</groupName>
      <ability>L2_HalfPunc_CN</ability>
      <abilityName>全半角问题</abilityName>
      <candidateList>
        <item>：</item>
      </candidateList>
      <explain>文本全半角错误。</explain>
      <paraID>5B848C23</paraID>
      <start>4</start>
      <end>5</end>
      <status>unmodified</status>
      <modifiedWord/>
      <trackRevisions>false</trackRevisions>
    </reviewItem>
    <reviewItem>
      <errorID>4fd910b1-6d20-4216-a15c-510d6d783ae0</errorID>
      <errorWord>,</errorWord>
      <group>L1_Format</group>
      <groupName>格式问题</groupName>
      <ability>L2_HalfPunc_CN</ability>
      <abilityName>全半角问题</abilityName>
      <candidateList>
        <item>，</item>
      </candidateList>
      <explain>文本全半角错误。</explain>
      <paraID>4569A267</paraID>
      <start>46</start>
      <end>47</end>
      <status>unmodified</status>
      <modifiedWord/>
      <trackRevisions>false</trackRevisions>
    </reviewItem>
    <reviewItem>
      <errorID>9d50e0f3-5598-4510-8d85-d68ceb8313da</errorID>
      <errorWord>(</errorWord>
      <group>L1_Format</group>
      <groupName>格式问题</groupName>
      <ability>L2_HalfPunc_CN</ability>
      <abilityName>全半角问题</abilityName>
      <candidateList>
        <item>（</item>
      </candidateList>
      <explain>文本全半角错误。</explain>
      <paraID>285AE78D</paraID>
      <start>23</start>
      <end>24</end>
      <status>unmodified</status>
      <modifiedWord/>
      <trackRevisions>false</trackRevisions>
    </reviewItem>
    <reviewItem>
      <errorID>0cdebf6e-90d2-4c8e-bd9e-2d9221151fb0</errorID>
      <errorWord>)</errorWord>
      <group>L1_Format</group>
      <groupName>格式问题</groupName>
      <ability>L2_HalfPunc_CN</ability>
      <abilityName>全半角问题</abilityName>
      <candidateList>
        <item>）</item>
      </candidateList>
      <explain>文本全半角错误。</explain>
      <paraID>285AE78D</paraID>
      <start>29</start>
      <end>30</end>
      <status>unmodified</status>
      <modifiedWord/>
      <trackRevisions>false</trackRevisions>
    </reviewItem>
    <reviewItem>
      <errorID>84869118-439b-4b95-9d33-a9be44217d5b</errorID>
      <errorWord>（</errorWord>
      <group>L1_Punc</group>
      <groupName>标点问题</groupName>
      <ability>L2_Punc_CN</ability>
      <abilityName>标点符号问题</abilityName>
      <candidateList/>
      <explain>同一形式括号套用。</explain>
      <paraID> C3C6D98</paraID>
      <start>21</start>
      <end>22</end>
      <status>unmodified</status>
      <modifiedWord/>
      <trackRevisions>false</trackRevisions>
    </reviewItem>
    <reviewItem>
      <errorID>8404354a-5162-4d16-9cca-665e98c463a9</errorID>
      <errorWord>(</errorWord>
      <group>L1_Punc</group>
      <groupName>标点问题</groupName>
      <ability>L2_Punc_CN</ability>
      <abilityName>标点符号问题</abilityName>
      <candidateList/>
      <explain>同一形式括号套用。</explain>
      <paraID> C3C6D98</paraID>
      <start>42</start>
      <end>43</end>
      <status>unmodified</status>
      <modifiedWord/>
      <trackRevisions>false</trackRevisions>
    </reviewItem>
    <reviewItem>
      <errorID>b7e50f04-768b-4ad3-8916-a5c96dffaf1c</errorID>
      <errorWord>)</errorWord>
      <group>L1_Punc</group>
      <groupName>标点问题</groupName>
      <ability>L2_Punc_CN</ability>
      <abilityName>标点符号问题</abilityName>
      <candidateList/>
      <explain>同一形式括号套用。</explain>
      <paraID> C3C6D98</paraID>
      <start>45</start>
      <end>46</end>
      <status>unmodified</status>
      <modifiedWord/>
      <trackRevisions>false</trackRevisions>
    </reviewItem>
    <reviewItem>
      <errorID>2cc68296-84b5-4c35-a68c-814541f58207</errorID>
      <errorWord>）</errorWord>
      <group>L1_Punc</group>
      <groupName>标点问题</groupName>
      <ability>L2_Punc_CN</ability>
      <abilityName>标点符号问题</abilityName>
      <candidateList/>
      <explain>同一形式括号套用。</explain>
      <paraID> C3C6D98</paraID>
      <start>59</start>
      <end>60</end>
      <status>unmodified</status>
      <modifiedWord/>
      <trackRevisions>false</trackRevisions>
    </reviewItem>
    <reviewItem>
      <errorID>c522e321-5fe4-4b18-afca-6c23dd4fa1ee</errorID>
      <errorWord>(</errorWord>
      <group>L1_Format</group>
      <groupName>格式问题</groupName>
      <ability>L2_HalfPunc_CN</ability>
      <abilityName>全半角问题</abilityName>
      <candidateList>
        <item>（</item>
      </candidateList>
      <explain>文本全半角错误。</explain>
      <paraID>24744651</paraID>
      <start>23</start>
      <end>24</end>
      <status>unmodified</status>
      <modifiedWord/>
      <trackRevisions>false</trackRevisions>
    </reviewItem>
    <reviewItem>
      <errorID>df57b3c3-122a-4c14-be07-928e6f422888</errorID>
      <errorWord>)</errorWord>
      <group>L1_Format</group>
      <groupName>格式问题</groupName>
      <ability>L2_HalfPunc_CN</ability>
      <abilityName>全半角问题</abilityName>
      <candidateList>
        <item>）</item>
      </candidateList>
      <explain>文本全半角错误。</explain>
      <paraID>24744651</paraID>
      <start>29</start>
      <end>30</end>
      <status>unmodified</status>
      <modifiedWord/>
      <trackRevisions>false</trackRevisions>
    </reviewItem>
    <reviewItem>
      <errorID>f7a052be-d3ce-47a6-8f1e-30c9d4c59dc4</errorID>
      <errorWord>(</errorWord>
      <group>L1_Format</group>
      <groupName>格式问题</groupName>
      <ability>L2_HalfPunc_CN</ability>
      <abilityName>全半角问题</abilityName>
      <candidateList>
        <item>（</item>
      </candidateList>
      <explain>文本全半角错误。</explain>
      <paraID>7362742E</paraID>
      <start>13</start>
      <end>14</end>
      <status>unmodified</status>
      <modifiedWord/>
      <trackRevisions>false</trackRevisions>
    </reviewItem>
    <reviewItem>
      <errorID>e2116583-7007-40df-8dc6-8ac1b2723d3d</errorID>
      <errorWord>)</errorWord>
      <group>L1_Format</group>
      <groupName>格式问题</groupName>
      <ability>L2_HalfPunc_CN</ability>
      <abilityName>全半角问题</abilityName>
      <candidateList>
        <item>）</item>
      </candidateList>
      <explain>文本全半角错误。</explain>
      <paraID>7362742E</paraID>
      <start>22</start>
      <end>23</end>
      <status>unmodified</status>
      <modifiedWord/>
      <trackRevisions>false</trackRevisions>
    </reviewItem>
    <reviewItem>
      <errorID>b21738eb-0f8f-4000-8a29-65827ee423a6</errorID>
      <errorWord>(</errorWord>
      <group>L1_Format</group>
      <groupName>格式问题</groupName>
      <ability>L2_HalfPunc_CN</ability>
      <abilityName>全半角问题</abilityName>
      <candidateList>
        <item>（</item>
      </candidateList>
      <explain>文本全半角错误。</explain>
      <paraID>7362742E</paraID>
      <start>57</start>
      <end>58</end>
      <status>unmodified</status>
      <modifiedWord/>
      <trackRevisions>false</trackRevisions>
    </reviewItem>
    <reviewItem>
      <errorID>545dc5ea-580d-45d3-a369-86e3e1d14376</errorID>
      <errorWord>)</errorWord>
      <group>L1_Format</group>
      <groupName>格式问题</groupName>
      <ability>L2_HalfPunc_CN</ability>
      <abilityName>全半角问题</abilityName>
      <candidateList>
        <item>）</item>
      </candidateList>
      <explain>文本全半角错误。</explain>
      <paraID>7362742E</paraID>
      <start>66</start>
      <end>67</end>
      <status>unmodified</status>
      <modifiedWord/>
      <trackRevisions>false</trackRevisions>
    </reviewItem>
    <reviewItem>
      <errorID>184eaa1a-bdbe-4138-a991-f02da9d7698b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25C20EEC</paraID>
      <start>0</start>
      <end>2</end>
      <status>unmodified</status>
      <modifiedWord/>
      <trackRevisions>false</trackRevisions>
    </reviewItem>
    <reviewItem>
      <errorID>703646b0-2e9f-430c-a25a-b1e4fc0f6300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20C32ABC</paraID>
      <start>0</start>
      <end>2</end>
      <status>unmodified</status>
      <modifiedWord/>
      <trackRevisions>false</trackRevisions>
    </reviewItem>
    <reviewItem>
      <errorID>94f18bb0-ed85-457e-8429-3673b9fd8a9c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7A4B2E35</paraID>
      <start>0</start>
      <end>2</end>
      <status>unmodified</status>
      <modifiedWord/>
      <trackRevisions>false</trackRevisions>
    </reviewItem>
    <reviewItem>
      <errorID>832a070e-48e2-4e23-887f-7d00b8fbeb42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3138A522</paraID>
      <start>0</start>
      <end>2</end>
      <status>unmodified</status>
      <modifiedWord/>
      <trackRevisions>false</trackRevisions>
    </reviewItem>
    <reviewItem>
      <errorID>d62a0e44-55de-4908-8895-438c4bbb8459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6523E92F</paraID>
      <start>0</start>
      <end>2</end>
      <status>unmodified</status>
      <modifiedWord/>
      <trackRevisions>false</trackRevisions>
    </reviewItem>
    <reviewItem>
      <errorID>c8a6c3eb-10b7-4465-9746-8948377a8acc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2DB59621</paraID>
      <start>0</start>
      <end>2</end>
      <status>unmodified</status>
      <modifiedWord/>
      <trackRevisions>false</trackRevisions>
    </reviewItem>
    <reviewItem>
      <errorID>81abda25-6a72-4ec7-9bd8-1434f774c318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2A4D329A</paraID>
      <start>0</start>
      <end>2</end>
      <status>unmodified</status>
      <modifiedWord/>
      <trackRevisions>false</trackRevisions>
    </reviewItem>
    <reviewItem>
      <errorID>7102dc35-1ded-4a3a-a669-6014ef4bf3b8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6E9B03C7</paraID>
      <start>0</start>
      <end>2</end>
      <status>unmodified</status>
      <modifiedWord/>
      <trackRevisions>false</trackRevisions>
    </reviewItem>
    <reviewItem>
      <errorID>168435d8-e0c0-4dc9-b23f-d5e9b551914d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4BECCE39</paraID>
      <start>0</start>
      <end>2</end>
      <status>unmodified</status>
      <modifiedWord/>
      <trackRevisions>false</trackRevisions>
    </reviewItem>
    <reviewItem>
      <errorID>e44eea5e-cb9e-4287-95e6-d2920b5f1c9d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56B02DF5</paraID>
      <start>0</start>
      <end>3</end>
      <status>unmodified</status>
      <modifiedWord/>
      <trackRevisions>false</trackRevisions>
    </reviewItem>
    <reviewItem>
      <errorID>a8acaa5f-25e2-4975-a73e-7026eb574ab9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482CB3CF</paraID>
      <start>0</start>
      <end>2</end>
      <status>unmodified</status>
      <modifiedWord/>
      <trackRevisions>false</trackRevisions>
    </reviewItem>
    <reviewItem>
      <errorID>0c02f606-129d-48f8-983e-ca0a1fa12944</errorID>
      <errorWord>(</errorWord>
      <group>L1_Format</group>
      <groupName>格式问题</groupName>
      <ability>L2_HalfPunc_CN</ability>
      <abilityName>全半角问题</abilityName>
      <candidateList>
        <item>（</item>
      </candidateList>
      <explain>文本全半角错误。</explain>
      <paraID>19737B9D</paraID>
      <start>12</start>
      <end>13</end>
      <status>unmodified</status>
      <modifiedWord/>
      <trackRevisions>false</trackRevisions>
    </reviewItem>
    <reviewItem>
      <errorID>0a275091-0f98-4301-96c4-b5efee774210</errorID>
      <errorWord>)</errorWord>
      <group>L1_Format</group>
      <groupName>格式问题</groupName>
      <ability>L2_HalfPunc_CN</ability>
      <abilityName>全半角问题</abilityName>
      <candidateList>
        <item>）</item>
      </candidateList>
      <explain>文本全半角错误。</explain>
      <paraID>19737B9D</paraID>
      <start>20</start>
      <end>21</end>
      <status>unmodified</status>
      <modifiedWord/>
      <trackRevisions>false</trackRevisions>
    </reviewItem>
    <reviewItem>
      <errorID>530d985c-6ee5-4799-a73d-1d615cd08b98</errorID>
      <errorWord>(</errorWord>
      <group>L1_Format</group>
      <groupName>格式问题</groupName>
      <ability>L2_HalfPunc_CN</ability>
      <abilityName>全半角问题</abilityName>
      <candidateList>
        <item>（</item>
      </candidateList>
      <explain>文本全半角错误。</explain>
      <paraID> 37220ED</paraID>
      <start>4</start>
      <end>5</end>
      <status>unmodified</status>
      <modifiedWord/>
      <trackRevisions>false</trackRevisions>
    </reviewItem>
    <reviewItem>
      <errorID>423f6495-384a-4441-a2e9-c1db5cdc53ad</errorID>
      <errorWord>)</errorWord>
      <group>L1_Format</group>
      <groupName>格式问题</groupName>
      <ability>L2_HalfPunc_CN</ability>
      <abilityName>全半角问题</abilityName>
      <candidateList>
        <item>）</item>
      </candidateList>
      <explain>文本全半角错误。</explain>
      <paraID> 37220ED</paraID>
      <start>10</start>
      <end>11</end>
      <status>unmodified</status>
      <modifiedWord/>
      <trackRevisions>false</trackRevisions>
    </reviewItem>
    <reviewItem>
      <errorID>f7c8d86c-db89-49eb-9859-dfd0adf406e2</errorID>
      <errorWord>(</errorWord>
      <group>L1_Format</group>
      <groupName>格式问题</groupName>
      <ability>L2_HalfPunc_CN</ability>
      <abilityName>全半角问题</abilityName>
      <candidateList>
        <item>（</item>
      </candidateList>
      <explain>文本全半角错误。</explain>
      <paraID>4457C4C7</paraID>
      <start>8</start>
      <end>9</end>
      <status>unmodified</status>
      <modifiedWord/>
      <trackRevisions>false</trackRevisions>
    </reviewItem>
    <reviewItem>
      <errorID>55730fe6-f478-4fd7-ad32-120b2e35de89</errorID>
      <errorWord>)</errorWord>
      <group>L1_Format</group>
      <groupName>格式问题</groupName>
      <ability>L2_HalfPunc_CN</ability>
      <abilityName>全半角问题</abilityName>
      <candidateList>
        <item>）</item>
      </candidateList>
      <explain>文本全半角错误。</explain>
      <paraID>4457C4C7</paraID>
      <start>14</start>
      <end>15</end>
      <status>unmodified</status>
      <modifiedWord/>
      <trackRevisions>false</trackRevisions>
    </reviewItem>
    <reviewItem>
      <errorID>75627fec-a1f5-410a-8aaa-ac01a8c85706</errorID>
      <errorWord>其它</errorWord>
      <group>L1_Word</group>
      <groupName>字词问题</groupName>
      <ability>L2_Alias</ability>
      <abilityName>也作/曾用词</abilityName>
      <candidateList>
        <item>其他</item>
      </candidateList>
      <explain>词汇[其它]为不规范表述或旧称，其规范书面表述为[其他]。</explain>
      <paraID>504EEC2E</paraID>
      <start>46</start>
      <end>48</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AE17F2-A1F2-4DE0-A92B-4409547380A7}">
  <ds:schemaRefs/>
</ds:datastoreItem>
</file>

<file path=customXml/itemProps3.xml><?xml version="1.0" encoding="utf-8"?>
<ds:datastoreItem xmlns:ds="http://schemas.openxmlformats.org/officeDocument/2006/customXml" ds:itemID="{37e090db-e4b9-495b-afb0-e733761321e0}">
  <ds:schemaRefs/>
</ds:datastoreItem>
</file>

<file path=docProps/app.xml><?xml version="1.0" encoding="utf-8"?>
<Properties xmlns="http://schemas.openxmlformats.org/officeDocument/2006/extended-properties" xmlns:vt="http://schemas.openxmlformats.org/officeDocument/2006/docPropsVTypes">
  <Template>Normal</Template>
  <Company>管理资源吧</Company>
  <Pages>168</Pages>
  <Words>5196</Words>
  <Characters>5844</Characters>
  <Lines>1000</Lines>
  <Paragraphs>281</Paragraphs>
  <TotalTime>290</TotalTime>
  <ScaleCrop>false</ScaleCrop>
  <LinksUpToDate>false</LinksUpToDate>
  <CharactersWithSpaces>5972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2019-08-29T16:42:00Z</dcterms:created>
  <dc:creator>GZB</dc:creator>
  <cp:lastModifiedBy>杜航</cp:lastModifiedBy>
  <cp:lastPrinted>2026-10-08T08:42:00Z</cp:lastPrinted>
  <dcterms:modified xsi:type="dcterms:W3CDTF">2026-10-10T06:06:07Z</dcterms:modified>
  <dc:title>招标编号：xxx政采招[20xxx] xxx号</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4EE1A4F3AFC346E488422A716A569576_13</vt:lpwstr>
  </property>
  <property fmtid="{D5CDD505-2E9C-101B-9397-08002B2CF9AE}" pid="4" name="KSOTemplateDocerSaveRecord">
    <vt:lpwstr>eyJoZGlkIjoiNGVjNGI1ZWQxMDUyODY5ZDAxOTAyNjljNjE1NWUwNGQiLCJ1c2VySWQiOiIzMDgwODY2MDYifQ==</vt:lpwstr>
  </property>
</Properties>
</file>