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widowControl/>
        <w:jc w:val="left"/>
        <w:rPr>
          <w:highlight w:val="none"/>
        </w:rPr>
      </w:pPr>
      <w:r>
        <w:rPr>
          <w:highlight w:val="none"/>
        </w:rPr>
        <mc:AlternateContent>
          <mc:Choice Requires="wps">
            <w:drawing>
              <wp:anchor distT="0" distB="0" distL="114300" distR="114300" simplePos="0" relativeHeight="251675648" behindDoc="0" locked="0" layoutInCell="1" allowOverlap="1">
                <wp:simplePos x="0" y="0"/>
                <wp:positionH relativeFrom="column">
                  <wp:posOffset>592455</wp:posOffset>
                </wp:positionH>
                <wp:positionV relativeFrom="paragraph">
                  <wp:posOffset>5996305</wp:posOffset>
                </wp:positionV>
                <wp:extent cx="5200015" cy="486410"/>
                <wp:effectExtent l="0" t="0" r="1905" b="3810"/>
                <wp:wrapNone/>
                <wp:docPr id="46" name="Rectangle 16"/>
                <wp:cNvGraphicFramePr/>
                <a:graphic xmlns:a="http://schemas.openxmlformats.org/drawingml/2006/main">
                  <a:graphicData uri="http://schemas.microsoft.com/office/word/2010/wordprocessingShape">
                    <wps:wsp>
                      <wps:cNvSpPr>
                        <a:spLocks noChangeArrowheads="1"/>
                      </wps:cNvSpPr>
                      <wps:spPr bwMode="auto">
                        <a:xfrm>
                          <a:off x="0" y="0"/>
                          <a:ext cx="5200015" cy="486410"/>
                        </a:xfrm>
                        <a:prstGeom prst="rect">
                          <a:avLst/>
                        </a:prstGeom>
                        <a:noFill/>
                        <a:ln>
                          <a:noFill/>
                        </a:ln>
                      </wps:spPr>
                      <wps:txbx>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招 标 人</w:t>
                            </w:r>
                            <w:r>
                              <w:rPr>
                                <w:rFonts w:hint="eastAsia"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rPr>
                              <w:t xml:space="preserve">  </w:t>
                            </w:r>
                            <w:r>
                              <w:rPr>
                                <w:rFonts w:hint="eastAsia" w:ascii="华文楷体" w:hAnsi="华文楷体" w:eastAsia="华文楷体" w:cs="Times New Roman"/>
                                <w:kern w:val="0"/>
                                <w:sz w:val="30"/>
                                <w:szCs w:val="30"/>
                                <w:u w:val="single"/>
                              </w:rPr>
                              <w:t>中华人民共和国高崎</w:t>
                            </w:r>
                            <w:r>
                              <w:rPr>
                                <w:rFonts w:hint="eastAsia" w:ascii="华文楷体" w:hAnsi="华文楷体" w:eastAsia="华文楷体" w:cs="Times New Roman"/>
                                <w:color w:val="0C0C0C"/>
                                <w:kern w:val="0"/>
                                <w:sz w:val="30"/>
                                <w:szCs w:val="30"/>
                                <w:u w:val="single"/>
                              </w:rPr>
                              <w:t xml:space="preserve">出入境边防检查站  </w:t>
                            </w:r>
                          </w:p>
                        </w:txbxContent>
                      </wps:txbx>
                      <wps:bodyPr rot="0" vert="horz" wrap="square" lIns="91440" tIns="45720" rIns="91440" bIns="45720" anchor="t" anchorCtr="0" upright="1">
                        <a:noAutofit/>
                      </wps:bodyPr>
                    </wps:wsp>
                  </a:graphicData>
                </a:graphic>
              </wp:anchor>
            </w:drawing>
          </mc:Choice>
          <mc:Fallback>
            <w:pict>
              <v:rect id="Rectangle 16" o:spid="_x0000_s1026" o:spt="1" style="position:absolute;left:0pt;margin-left:46.65pt;margin-top:472.15pt;height:38.3pt;width:409.45pt;z-index:251675648;mso-width-relative:page;mso-height-relative:page;" filled="f" stroked="f" coordsize="21600,21600" o:gfxdata="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h1EWp9sAAAALAQAADwAAAAAAAAABACAAAAAiAAAA&#10;ZHJzL2Rvd25yZXYueG1sUEsBAhQAFAAAAAgAh07iQDbNLMAEAgAADQQAAA4AAAAAAAAAAQAgAAAA&#10;KgEAAGRycy9lMm9Eb2MueG1sUEsFBgAAAAAGAAYAWQEAAKAFAAAAAA==&#10;">
                <v:fill on="f" focussize="0,0"/>
                <v:stroke on="f"/>
                <v:imagedata o:title=""/>
                <o:lock v:ext="edit" aspectratio="f"/>
                <v:textbox>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招 标 人</w:t>
                      </w:r>
                      <w:r>
                        <w:rPr>
                          <w:rFonts w:hint="eastAsia"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rPr>
                        <w:t xml:space="preserve">  </w:t>
                      </w:r>
                      <w:r>
                        <w:rPr>
                          <w:rFonts w:hint="eastAsia" w:ascii="华文楷体" w:hAnsi="华文楷体" w:eastAsia="华文楷体" w:cs="Times New Roman"/>
                          <w:kern w:val="0"/>
                          <w:sz w:val="30"/>
                          <w:szCs w:val="30"/>
                          <w:u w:val="single"/>
                        </w:rPr>
                        <w:t>中华人民共和国高崎</w:t>
                      </w:r>
                      <w:r>
                        <w:rPr>
                          <w:rFonts w:hint="eastAsia" w:ascii="华文楷体" w:hAnsi="华文楷体" w:eastAsia="华文楷体" w:cs="Times New Roman"/>
                          <w:color w:val="0C0C0C"/>
                          <w:kern w:val="0"/>
                          <w:sz w:val="30"/>
                          <w:szCs w:val="30"/>
                          <w:u w:val="single"/>
                        </w:rPr>
                        <w:t xml:space="preserve">出入境边防检查站  </w:t>
                      </w:r>
                    </w:p>
                  </w:txbxContent>
                </v:textbox>
              </v:rect>
            </w:pict>
          </mc:Fallback>
        </mc:AlternateContent>
      </w:r>
      <w:r>
        <w:rPr>
          <w:highlight w:val="none"/>
        </w:rPr>
        <mc:AlternateContent>
          <mc:Choice Requires="wps">
            <w:drawing>
              <wp:anchor distT="0" distB="0" distL="114300" distR="114300" simplePos="0" relativeHeight="251672576" behindDoc="0" locked="0" layoutInCell="1" allowOverlap="1">
                <wp:simplePos x="0" y="0"/>
                <wp:positionH relativeFrom="column">
                  <wp:posOffset>575945</wp:posOffset>
                </wp:positionH>
                <wp:positionV relativeFrom="paragraph">
                  <wp:posOffset>4890770</wp:posOffset>
                </wp:positionV>
                <wp:extent cx="4776470" cy="368935"/>
                <wp:effectExtent l="1270" t="4445" r="3810" b="0"/>
                <wp:wrapNone/>
                <wp:docPr id="45" name="Rectangle 17"/>
                <wp:cNvGraphicFramePr/>
                <a:graphic xmlns:a="http://schemas.openxmlformats.org/drawingml/2006/main">
                  <a:graphicData uri="http://schemas.microsoft.com/office/word/2010/wordprocessingShape">
                    <wps:wsp>
                      <wps:cNvSpPr>
                        <a:spLocks noChangeArrowheads="1"/>
                      </wps:cNvSpPr>
                      <wps:spPr bwMode="auto">
                        <a:xfrm>
                          <a:off x="0" y="0"/>
                          <a:ext cx="4776470" cy="368935"/>
                        </a:xfrm>
                        <a:prstGeom prst="rect">
                          <a:avLst/>
                        </a:prstGeom>
                        <a:noFill/>
                        <a:ln>
                          <a:noFill/>
                        </a:ln>
                      </wps:spPr>
                      <wps:txbx>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项目名称</w:t>
                            </w:r>
                            <w:r>
                              <w:rPr>
                                <w:rFonts w:hint="eastAsia"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lang w:val="en-US" w:eastAsia="zh-CN"/>
                              </w:rPr>
                              <w:t xml:space="preserve">   </w:t>
                            </w:r>
                            <w:r>
                              <w:rPr>
                                <w:rFonts w:hint="eastAsia" w:ascii="华文楷体" w:hAnsi="华文楷体" w:eastAsia="华文楷体" w:cs="Times New Roman"/>
                                <w:color w:val="0C0C0C"/>
                                <w:kern w:val="0"/>
                                <w:sz w:val="28"/>
                                <w:szCs w:val="28"/>
                                <w:u w:val="single"/>
                                <w:lang w:eastAsia="zh-CN"/>
                              </w:rPr>
                              <w:t>机房核心设备及配套软件维保服务项目</w:t>
                            </w:r>
                            <w:r>
                              <w:rPr>
                                <w:rFonts w:hint="eastAsia" w:ascii="华文楷体" w:hAnsi="华文楷体" w:eastAsia="华文楷体" w:cs="Times New Roman"/>
                                <w:color w:val="0C0C0C"/>
                                <w:kern w:val="0"/>
                                <w:sz w:val="28"/>
                                <w:szCs w:val="28"/>
                                <w:u w:val="single"/>
                              </w:rPr>
                              <w:t xml:space="preserve">       </w:t>
                            </w:r>
                          </w:p>
                        </w:txbxContent>
                      </wps:txbx>
                      <wps:bodyPr rot="0" vert="horz" wrap="square" lIns="91440" tIns="45720" rIns="91440" bIns="45720" anchor="t" anchorCtr="0" upright="1">
                        <a:spAutoFit/>
                      </wps:bodyPr>
                    </wps:wsp>
                  </a:graphicData>
                </a:graphic>
              </wp:anchor>
            </w:drawing>
          </mc:Choice>
          <mc:Fallback>
            <w:pict>
              <v:rect id="Rectangle 17" o:spid="_x0000_s1026" o:spt="1" style="position:absolute;left:0pt;margin-left:45.35pt;margin-top:385.1pt;height:29.05pt;width:376.1pt;z-index:251672576;mso-width-relative:page;mso-height-relative:page;" filled="f" stroked="f" coordsize="21600,21600" o:gfxdata="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FPTxvPaAAAACgEAAA8AAAAAAAAAAQAgAAAAIgAA&#10;AGRycy9kb3ducmV2LnhtbFBLAQIUABQAAAAIAIdO4kA8bzpzBgIAAA0EAAAOAAAAAAAAAAEAIAAA&#10;ACkBAABkcnMvZTJvRG9jLnhtbFBLBQYAAAAABgAGAFkBAAChBQAAAAA=&#10;">
                <v:fill on="f" focussize="0,0"/>
                <v:stroke on="f"/>
                <v:imagedata o:title=""/>
                <o:lock v:ext="edit" aspectratio="f"/>
                <v:textbox style="mso-fit-shape-to-text:t;">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项目名称</w:t>
                      </w:r>
                      <w:r>
                        <w:rPr>
                          <w:rFonts w:hint="eastAsia"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lang w:val="en-US" w:eastAsia="zh-CN"/>
                        </w:rPr>
                        <w:t xml:space="preserve">   </w:t>
                      </w:r>
                      <w:r>
                        <w:rPr>
                          <w:rFonts w:hint="eastAsia" w:ascii="华文楷体" w:hAnsi="华文楷体" w:eastAsia="华文楷体" w:cs="Times New Roman"/>
                          <w:color w:val="0C0C0C"/>
                          <w:kern w:val="0"/>
                          <w:sz w:val="28"/>
                          <w:szCs w:val="28"/>
                          <w:u w:val="single"/>
                          <w:lang w:eastAsia="zh-CN"/>
                        </w:rPr>
                        <w:t>机房核心设备及配套软件维保服务项目</w:t>
                      </w:r>
                      <w:r>
                        <w:rPr>
                          <w:rFonts w:hint="eastAsia" w:ascii="华文楷体" w:hAnsi="华文楷体" w:eastAsia="华文楷体" w:cs="Times New Roman"/>
                          <w:color w:val="0C0C0C"/>
                          <w:kern w:val="0"/>
                          <w:sz w:val="28"/>
                          <w:szCs w:val="28"/>
                          <w:u w:val="single"/>
                        </w:rPr>
                        <w:t xml:space="preserve">       </w:t>
                      </w:r>
                    </w:p>
                  </w:txbxContent>
                </v:textbox>
              </v:rect>
            </w:pict>
          </mc:Fallback>
        </mc:AlternateContent>
      </w:r>
      <w:r>
        <w:rPr>
          <w:highlight w:val="none"/>
        </w:rPr>
        <mc:AlternateContent>
          <mc:Choice Requires="wps">
            <w:drawing>
              <wp:anchor distT="0" distB="0" distL="114300" distR="114300" simplePos="0" relativeHeight="251671552" behindDoc="0" locked="0" layoutInCell="1" allowOverlap="1">
                <wp:simplePos x="0" y="0"/>
                <wp:positionH relativeFrom="column">
                  <wp:posOffset>596265</wp:posOffset>
                </wp:positionH>
                <wp:positionV relativeFrom="paragraph">
                  <wp:posOffset>4289425</wp:posOffset>
                </wp:positionV>
                <wp:extent cx="5000625" cy="508000"/>
                <wp:effectExtent l="2540" t="3175" r="0" b="3175"/>
                <wp:wrapNone/>
                <wp:docPr id="44" name="Rectangle 18"/>
                <wp:cNvGraphicFramePr/>
                <a:graphic xmlns:a="http://schemas.openxmlformats.org/drawingml/2006/main">
                  <a:graphicData uri="http://schemas.microsoft.com/office/word/2010/wordprocessingShape">
                    <wps:wsp>
                      <wps:cNvSpPr>
                        <a:spLocks noChangeArrowheads="1"/>
                      </wps:cNvSpPr>
                      <wps:spPr bwMode="auto">
                        <a:xfrm>
                          <a:off x="0" y="0"/>
                          <a:ext cx="5000625" cy="508000"/>
                        </a:xfrm>
                        <a:prstGeom prst="rect">
                          <a:avLst/>
                        </a:prstGeom>
                        <a:noFill/>
                        <a:ln>
                          <a:noFill/>
                        </a:ln>
                      </wps:spPr>
                      <wps:txbx>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项目</w:t>
                            </w:r>
                            <w:r>
                              <w:rPr>
                                <w:rFonts w:hint="eastAsia" w:ascii="华文楷体" w:hAnsi="华文楷体" w:eastAsia="华文楷体" w:cs="Times New Roman"/>
                                <w:color w:val="0C0C0C"/>
                                <w:kern w:val="0"/>
                                <w:sz w:val="30"/>
                                <w:szCs w:val="30"/>
                                <w:lang w:val="zh-CN"/>
                              </w:rPr>
                              <w:t>编号</w:t>
                            </w:r>
                            <w:r>
                              <w:rPr>
                                <w:rFonts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rPr>
                              <w:t xml:space="preserve">            </w:t>
                            </w:r>
                            <w:r>
                              <w:rPr>
                                <w:rFonts w:hint="eastAsia" w:ascii="华文楷体" w:hAnsi="华文楷体" w:eastAsia="华文楷体" w:cs="Times New Roman"/>
                                <w:kern w:val="0"/>
                                <w:sz w:val="30"/>
                                <w:szCs w:val="30"/>
                                <w:u w:val="single"/>
                              </w:rPr>
                              <w:t xml:space="preserve">  </w:t>
                            </w:r>
                            <w:r>
                              <w:rPr>
                                <w:rFonts w:hint="eastAsia" w:ascii="华文楷体" w:hAnsi="华文楷体" w:eastAsia="华文楷体" w:cs="Times New Roman"/>
                                <w:kern w:val="0"/>
                                <w:sz w:val="30"/>
                                <w:szCs w:val="30"/>
                                <w:u w:val="single"/>
                                <w:lang w:eastAsia="zh-CN"/>
                              </w:rPr>
                              <w:t>2024GQ02</w:t>
                            </w:r>
                            <w:r>
                              <w:rPr>
                                <w:rFonts w:hint="eastAsia" w:ascii="华文楷体" w:hAnsi="华文楷体" w:eastAsia="华文楷体" w:cs="Times New Roman"/>
                                <w:kern w:val="0"/>
                                <w:sz w:val="30"/>
                                <w:szCs w:val="30"/>
                                <w:u w:val="single"/>
                              </w:rPr>
                              <w:t xml:space="preserve">               </w:t>
                            </w:r>
                          </w:p>
                        </w:txbxContent>
                      </wps:txbx>
                      <wps:bodyPr rot="0" vert="horz" wrap="square" lIns="91440" tIns="45720" rIns="91440" bIns="45720" anchor="t" anchorCtr="0" upright="1">
                        <a:noAutofit/>
                      </wps:bodyPr>
                    </wps:wsp>
                  </a:graphicData>
                </a:graphic>
              </wp:anchor>
            </w:drawing>
          </mc:Choice>
          <mc:Fallback>
            <w:pict>
              <v:rect id="Rectangle 18" o:spid="_x0000_s1026" o:spt="1" style="position:absolute;left:0pt;margin-left:46.95pt;margin-top:337.75pt;height:40pt;width:393.75pt;z-index:251671552;mso-width-relative:page;mso-height-relative:page;" filled="f" stroked="f" coordsize="21600,21600" o:gfxdata="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&#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WHOjbbAAAACgEAAA8AAAAAAAAAAQAgAAAAIgAAAGRy&#10;cy9kb3ducmV2LnhtbFBLAQIUABQAAAAIAIdO4kBNptWwAgIAAA0EAAAOAAAAAAAAAAEAIAAAACoB&#10;AABkcnMvZTJvRG9jLnhtbFBLBQYAAAAABgAGAFkBAACeBQAAAAA=&#10;">
                <v:fill on="f" focussize="0,0"/>
                <v:stroke on="f"/>
                <v:imagedata o:title=""/>
                <o:lock v:ext="edit" aspectratio="f"/>
                <v:textbox>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项目</w:t>
                      </w:r>
                      <w:r>
                        <w:rPr>
                          <w:rFonts w:hint="eastAsia" w:ascii="华文楷体" w:hAnsi="华文楷体" w:eastAsia="华文楷体" w:cs="Times New Roman"/>
                          <w:color w:val="0C0C0C"/>
                          <w:kern w:val="0"/>
                          <w:sz w:val="30"/>
                          <w:szCs w:val="30"/>
                          <w:lang w:val="zh-CN"/>
                        </w:rPr>
                        <w:t>编号</w:t>
                      </w:r>
                      <w:r>
                        <w:rPr>
                          <w:rFonts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rPr>
                        <w:t xml:space="preserve">            </w:t>
                      </w:r>
                      <w:r>
                        <w:rPr>
                          <w:rFonts w:hint="eastAsia" w:ascii="华文楷体" w:hAnsi="华文楷体" w:eastAsia="华文楷体" w:cs="Times New Roman"/>
                          <w:kern w:val="0"/>
                          <w:sz w:val="30"/>
                          <w:szCs w:val="30"/>
                          <w:u w:val="single"/>
                        </w:rPr>
                        <w:t xml:space="preserve">  </w:t>
                      </w:r>
                      <w:r>
                        <w:rPr>
                          <w:rFonts w:hint="eastAsia" w:ascii="华文楷体" w:hAnsi="华文楷体" w:eastAsia="华文楷体" w:cs="Times New Roman"/>
                          <w:kern w:val="0"/>
                          <w:sz w:val="30"/>
                          <w:szCs w:val="30"/>
                          <w:u w:val="single"/>
                          <w:lang w:eastAsia="zh-CN"/>
                        </w:rPr>
                        <w:t>2024GQ02</w:t>
                      </w:r>
                      <w:r>
                        <w:rPr>
                          <w:rFonts w:hint="eastAsia" w:ascii="华文楷体" w:hAnsi="华文楷体" w:eastAsia="华文楷体" w:cs="Times New Roman"/>
                          <w:kern w:val="0"/>
                          <w:sz w:val="30"/>
                          <w:szCs w:val="30"/>
                          <w:u w:val="single"/>
                        </w:rPr>
                        <w:t xml:space="preserve">               </w:t>
                      </w:r>
                    </w:p>
                  </w:txbxContent>
                </v:textbox>
              </v:rect>
            </w:pict>
          </mc:Fallback>
        </mc:AlternateContent>
      </w:r>
      <w:r>
        <w:rPr>
          <w:highlight w:val="none"/>
        </w:rPr>
        <mc:AlternateContent>
          <mc:Choice Requires="wps">
            <w:drawing>
              <wp:anchor distT="0" distB="0" distL="114300" distR="114300" simplePos="0" relativeHeight="251673600" behindDoc="0" locked="0" layoutInCell="1" allowOverlap="1">
                <wp:simplePos x="0" y="0"/>
                <wp:positionH relativeFrom="column">
                  <wp:posOffset>575945</wp:posOffset>
                </wp:positionH>
                <wp:positionV relativeFrom="paragraph">
                  <wp:posOffset>5483860</wp:posOffset>
                </wp:positionV>
                <wp:extent cx="4947285" cy="368935"/>
                <wp:effectExtent l="1270" t="0" r="4445" b="0"/>
                <wp:wrapNone/>
                <wp:docPr id="43" name="Rectangle 19"/>
                <wp:cNvGraphicFramePr/>
                <a:graphic xmlns:a="http://schemas.openxmlformats.org/drawingml/2006/main">
                  <a:graphicData uri="http://schemas.microsoft.com/office/word/2010/wordprocessingShape">
                    <wps:wsp>
                      <wps:cNvSpPr>
                        <a:spLocks noChangeArrowheads="1"/>
                      </wps:cNvSpPr>
                      <wps:spPr bwMode="auto">
                        <a:xfrm>
                          <a:off x="0" y="0"/>
                          <a:ext cx="4947285" cy="368935"/>
                        </a:xfrm>
                        <a:prstGeom prst="rect">
                          <a:avLst/>
                        </a:prstGeom>
                        <a:noFill/>
                        <a:ln>
                          <a:noFill/>
                        </a:ln>
                      </wps:spPr>
                      <wps:txbx>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采购方式</w:t>
                            </w:r>
                            <w:r>
                              <w:rPr>
                                <w:rFonts w:hint="eastAsia"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rPr>
                              <w:t xml:space="preserve">              公开比选               </w:t>
                            </w:r>
                          </w:p>
                        </w:txbxContent>
                      </wps:txbx>
                      <wps:bodyPr rot="0" vert="horz" wrap="square" lIns="91440" tIns="45720" rIns="91440" bIns="45720" anchor="t" anchorCtr="0" upright="1">
                        <a:spAutoFit/>
                      </wps:bodyPr>
                    </wps:wsp>
                  </a:graphicData>
                </a:graphic>
              </wp:anchor>
            </w:drawing>
          </mc:Choice>
          <mc:Fallback>
            <w:pict>
              <v:rect id="Rectangle 19" o:spid="_x0000_s1026" o:spt="1" style="position:absolute;left:0pt;margin-left:45.35pt;margin-top:431.8pt;height:29.05pt;width:389.55pt;z-index:251673600;mso-width-relative:page;mso-height-relative:page;" filled="f" stroked="f" coordsize="21600,21600" o:gfxdata="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n+3matkAAAAKAQAADwAAAAAAAAABACAAAAAiAAAA&#10;ZHJzL2Rvd25yZXYueG1sUEsBAhQAFAAAAAgAh07iQBlOLI8GAgAADQQAAA4AAAAAAAAAAQAgAAAA&#10;KAEAAGRycy9lMm9Eb2MueG1sUEsFBgAAAAAGAAYAWQEAAKAFAAAAAA==&#10;">
                <v:fill on="f" focussize="0,0"/>
                <v:stroke on="f"/>
                <v:imagedata o:title=""/>
                <o:lock v:ext="edit" aspectratio="f"/>
                <v:textbox style="mso-fit-shape-to-text:t;">
                  <w:txbxContent>
                    <w:p>
                      <w:pPr>
                        <w:jc w:val="left"/>
                        <w:rPr>
                          <w:rFonts w:ascii="华文楷体" w:hAnsi="华文楷体" w:eastAsia="华文楷体" w:cs="Times New Roman"/>
                          <w:color w:val="0C0C0C"/>
                          <w:kern w:val="0"/>
                          <w:sz w:val="30"/>
                          <w:szCs w:val="30"/>
                          <w:u w:val="single"/>
                        </w:rPr>
                      </w:pPr>
                      <w:r>
                        <w:rPr>
                          <w:rFonts w:hint="eastAsia" w:ascii="华文楷体" w:hAnsi="华文楷体" w:eastAsia="华文楷体" w:cs="Times New Roman"/>
                          <w:color w:val="0C0C0C"/>
                          <w:kern w:val="0"/>
                          <w:sz w:val="30"/>
                          <w:szCs w:val="30"/>
                        </w:rPr>
                        <w:t>采购方式</w:t>
                      </w:r>
                      <w:r>
                        <w:rPr>
                          <w:rFonts w:hint="eastAsia" w:ascii="华文楷体" w:hAnsi="华文楷体" w:eastAsia="华文楷体" w:cs="Times New Roman"/>
                          <w:color w:val="0C0C0C"/>
                          <w:kern w:val="0"/>
                          <w:sz w:val="30"/>
                          <w:szCs w:val="30"/>
                          <w:lang w:val="zh-CN"/>
                        </w:rPr>
                        <w:t>：</w:t>
                      </w:r>
                      <w:r>
                        <w:rPr>
                          <w:rFonts w:hint="eastAsia" w:ascii="华文楷体" w:hAnsi="华文楷体" w:eastAsia="华文楷体" w:cs="Times New Roman"/>
                          <w:color w:val="0C0C0C"/>
                          <w:kern w:val="0"/>
                          <w:sz w:val="30"/>
                          <w:szCs w:val="30"/>
                          <w:u w:val="single"/>
                        </w:rPr>
                        <w:t xml:space="preserve">              公开比选               </w:t>
                      </w:r>
                    </w:p>
                  </w:txbxContent>
                </v:textbox>
              </v:rect>
            </w:pict>
          </mc:Fallback>
        </mc:AlternateContent>
      </w:r>
      <w:r>
        <w:rPr>
          <w:highlight w:val="none"/>
        </w:rPr>
        <mc:AlternateContent>
          <mc:Choice Requires="wps">
            <w:drawing>
              <wp:anchor distT="0" distB="0" distL="114300" distR="114300" simplePos="0" relativeHeight="251670528" behindDoc="0" locked="0" layoutInCell="1" allowOverlap="1">
                <wp:simplePos x="0" y="0"/>
                <wp:positionH relativeFrom="margin">
                  <wp:posOffset>-14605</wp:posOffset>
                </wp:positionH>
                <wp:positionV relativeFrom="paragraph">
                  <wp:posOffset>2235835</wp:posOffset>
                </wp:positionV>
                <wp:extent cx="5791200" cy="1208405"/>
                <wp:effectExtent l="1270" t="0" r="0" b="3810"/>
                <wp:wrapNone/>
                <wp:docPr id="42" name="文本框 2"/>
                <wp:cNvGraphicFramePr/>
                <a:graphic xmlns:a="http://schemas.openxmlformats.org/drawingml/2006/main">
                  <a:graphicData uri="http://schemas.microsoft.com/office/word/2010/wordprocessingShape">
                    <wps:wsp>
                      <wps:cNvSpPr>
                        <a:spLocks noChangeArrowheads="1"/>
                      </wps:cNvSpPr>
                      <wps:spPr bwMode="auto">
                        <a:xfrm>
                          <a:off x="0" y="0"/>
                          <a:ext cx="5791200" cy="1208405"/>
                        </a:xfrm>
                        <a:prstGeom prst="rect">
                          <a:avLst/>
                        </a:prstGeom>
                        <a:noFill/>
                        <a:ln>
                          <a:noFill/>
                        </a:ln>
                      </wps:spPr>
                      <wps:txbx>
                        <w:txbxContent>
                          <w:p>
                            <w:pPr>
                              <w:autoSpaceDE w:val="0"/>
                              <w:autoSpaceDN w:val="0"/>
                              <w:adjustRightInd w:val="0"/>
                              <w:jc w:val="center"/>
                              <w:rPr>
                                <w:rFonts w:ascii="思源黑体 CN Bold" w:hAnsi="思源黑体 CN Bold" w:eastAsia="思源黑体 CN Bold"/>
                                <w:b/>
                                <w:bCs/>
                                <w:sz w:val="96"/>
                                <w:szCs w:val="96"/>
                              </w:rPr>
                            </w:pPr>
                            <w:r>
                              <w:rPr>
                                <w:rFonts w:hint="eastAsia" w:ascii="思源黑体 CN Bold" w:hAnsi="思源黑体 CN Bold" w:eastAsia="思源黑体 CN Bold" w:cs="Times New Roman"/>
                                <w:b/>
                                <w:bCs/>
                                <w:kern w:val="0"/>
                                <w:sz w:val="96"/>
                                <w:szCs w:val="96"/>
                              </w:rPr>
                              <w:t xml:space="preserve"> 比选</w:t>
                            </w:r>
                            <w:r>
                              <w:rPr>
                                <w:rFonts w:hint="eastAsia" w:ascii="思源黑体 CN Bold" w:hAnsi="思源黑体 CN Bold" w:eastAsia="思源黑体 CN Bold" w:cs="Times New Roman"/>
                                <w:b/>
                                <w:bCs/>
                                <w:kern w:val="0"/>
                                <w:sz w:val="96"/>
                                <w:szCs w:val="96"/>
                                <w:lang w:val="zh-CN"/>
                              </w:rPr>
                              <w:t>文件</w:t>
                            </w: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1.15pt;margin-top:176.05pt;height:95.15pt;width:456pt;mso-position-horizontal-relative:margin;z-index:251670528;mso-width-relative:page;mso-height-relative:page;" filled="f" stroked="f" coordsize="21600,21600" o:gfxdata="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XLCb03AAAAAoBAAAPAAAA&#10;AAAAAAEAIAAAACIAAABkcnMvZG93bnJldi54bWxQSwECFAAUAAAACACHTuJArTNmNRECAAANBAAA&#10;DgAAAAAAAAABACAAAAArAQAAZHJzL2Uyb0RvYy54bWxQSwUGAAAAAAYABgBZAQAArgUAAAAA&#10;">
                <v:fill on="f" focussize="0,0"/>
                <v:stroke on="f"/>
                <v:imagedata o:title=""/>
                <o:lock v:ext="edit" aspectratio="f"/>
                <v:textbox>
                  <w:txbxContent>
                    <w:p>
                      <w:pPr>
                        <w:autoSpaceDE w:val="0"/>
                        <w:autoSpaceDN w:val="0"/>
                        <w:adjustRightInd w:val="0"/>
                        <w:jc w:val="center"/>
                        <w:rPr>
                          <w:rFonts w:ascii="思源黑体 CN Bold" w:hAnsi="思源黑体 CN Bold" w:eastAsia="思源黑体 CN Bold"/>
                          <w:b/>
                          <w:bCs/>
                          <w:sz w:val="96"/>
                          <w:szCs w:val="96"/>
                        </w:rPr>
                      </w:pPr>
                      <w:r>
                        <w:rPr>
                          <w:rFonts w:hint="eastAsia" w:ascii="思源黑体 CN Bold" w:hAnsi="思源黑体 CN Bold" w:eastAsia="思源黑体 CN Bold" w:cs="Times New Roman"/>
                          <w:b/>
                          <w:bCs/>
                          <w:kern w:val="0"/>
                          <w:sz w:val="96"/>
                          <w:szCs w:val="96"/>
                        </w:rPr>
                        <w:t xml:space="preserve"> 比选</w:t>
                      </w:r>
                      <w:r>
                        <w:rPr>
                          <w:rFonts w:hint="eastAsia" w:ascii="思源黑体 CN Bold" w:hAnsi="思源黑体 CN Bold" w:eastAsia="思源黑体 CN Bold" w:cs="Times New Roman"/>
                          <w:b/>
                          <w:bCs/>
                          <w:kern w:val="0"/>
                          <w:sz w:val="96"/>
                          <w:szCs w:val="96"/>
                          <w:lang w:val="zh-CN"/>
                        </w:rPr>
                        <w:t>文件</w:t>
                      </w:r>
                    </w:p>
                  </w:txbxContent>
                </v:textbox>
              </v:rect>
            </w:pict>
          </mc:Fallback>
        </mc:AlternateContent>
      </w:r>
      <w:r>
        <w:rPr>
          <w:highlight w:val="none"/>
        </w:rPr>
        <w:drawing>
          <wp:anchor distT="0" distB="0" distL="114300" distR="114300" simplePos="0" relativeHeight="251669504" behindDoc="0" locked="0" layoutInCell="1" allowOverlap="1">
            <wp:simplePos x="0" y="0"/>
            <wp:positionH relativeFrom="page">
              <wp:posOffset>-1130935</wp:posOffset>
            </wp:positionH>
            <wp:positionV relativeFrom="paragraph">
              <wp:posOffset>-937895</wp:posOffset>
            </wp:positionV>
            <wp:extent cx="4419600" cy="10752455"/>
            <wp:effectExtent l="0" t="0" r="0" b="0"/>
            <wp:wrapNone/>
            <wp:docPr id="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
                    <pic:cNvPicPr>
                      <a:picLocks noChangeAspect="1" noChangeArrowheads="1"/>
                    </pic:cNvPicPr>
                  </pic:nvPicPr>
                  <pic:blipFill>
                    <a:blip r:embed="rId29">
                      <a:extLst>
                        <a:ext uri="{28A0092B-C50C-407E-A947-70E740481C1C}">
                          <a14:useLocalDpi xmlns:a14="http://schemas.microsoft.com/office/drawing/2010/main" val="0"/>
                        </a:ext>
                      </a:extLst>
                    </a:blip>
                    <a:srcRect r="41846"/>
                    <a:stretch>
                      <a:fillRect/>
                    </a:stretch>
                  </pic:blipFill>
                  <pic:spPr>
                    <a:xfrm>
                      <a:off x="0" y="0"/>
                      <a:ext cx="4419600" cy="10752455"/>
                    </a:xfrm>
                    <a:prstGeom prst="rect">
                      <a:avLst/>
                    </a:prstGeom>
                    <a:noFill/>
                  </pic:spPr>
                </pic:pic>
              </a:graphicData>
            </a:graphic>
          </wp:anchor>
        </w:drawing>
      </w:r>
      <w:r>
        <w:rPr>
          <w:highlight w:val="none"/>
        </w:rPr>
        <w:drawing>
          <wp:inline distT="0" distB="0" distL="0" distR="0">
            <wp:extent cx="1009650" cy="542925"/>
            <wp:effectExtent l="0" t="0" r="0" b="9525"/>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1009650" cy="542925"/>
                    </a:xfrm>
                    <a:prstGeom prst="rect">
                      <a:avLst/>
                    </a:prstGeom>
                    <a:noFill/>
                    <a:ln>
                      <a:noFill/>
                    </a:ln>
                  </pic:spPr>
                </pic:pic>
              </a:graphicData>
            </a:graphic>
          </wp:inline>
        </w:drawing>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pStyle w:val="9"/>
        <w:rPr>
          <w:highlight w:val="none"/>
        </w:rPr>
      </w:pPr>
    </w:p>
    <w:p>
      <w:pPr>
        <w:pStyle w:val="9"/>
        <w:rPr>
          <w:rFonts w:ascii="宋体" w:hAnsi="宋体" w:eastAsia="宋体" w:cs="宋体"/>
          <w:highlight w:val="none"/>
        </w:rPr>
      </w:pPr>
    </w:p>
    <w:p>
      <w:pPr>
        <w:pStyle w:val="10"/>
        <w:rPr>
          <w:rFonts w:ascii="宋体" w:hAnsi="宋体" w:eastAsia="宋体" w:cs="宋体"/>
          <w:highlight w:val="none"/>
        </w:rPr>
      </w:pPr>
    </w:p>
    <w:p>
      <w:pPr>
        <w:rPr>
          <w:highlight w:val="none"/>
        </w:rPr>
      </w:pPr>
    </w:p>
    <w:p>
      <w:pPr>
        <w:jc w:val="center"/>
        <w:rPr>
          <w:highlight w:val="none"/>
        </w:rPr>
        <w:sectPr>
          <w:footerReference r:id="rId3" w:type="default"/>
          <w:pgSz w:w="11910" w:h="16850"/>
          <w:pgMar w:top="1380" w:right="1040" w:bottom="1160" w:left="1480" w:header="0" w:footer="980" w:gutter="0"/>
          <w:pgNumType w:start="1"/>
          <w:cols w:space="720" w:num="1"/>
        </w:sectPr>
      </w:pPr>
      <w:r>
        <w:rPr>
          <w:highlight w:val="none"/>
        </w:rPr>
        <mc:AlternateContent>
          <mc:Choice Requires="wps">
            <w:drawing>
              <wp:anchor distT="0" distB="0" distL="114300" distR="114300" simplePos="0" relativeHeight="251674624" behindDoc="0" locked="0" layoutInCell="1" allowOverlap="1">
                <wp:simplePos x="0" y="0"/>
                <wp:positionH relativeFrom="margin">
                  <wp:posOffset>857885</wp:posOffset>
                </wp:positionH>
                <wp:positionV relativeFrom="paragraph">
                  <wp:posOffset>4452620</wp:posOffset>
                </wp:positionV>
                <wp:extent cx="4332605" cy="657225"/>
                <wp:effectExtent l="0" t="0" r="3810" b="3175"/>
                <wp:wrapNone/>
                <wp:docPr id="40" name="Rectangle 23"/>
                <wp:cNvGraphicFramePr/>
                <a:graphic xmlns:a="http://schemas.openxmlformats.org/drawingml/2006/main">
                  <a:graphicData uri="http://schemas.microsoft.com/office/word/2010/wordprocessingShape">
                    <wps:wsp>
                      <wps:cNvSpPr>
                        <a:spLocks noChangeArrowheads="1"/>
                      </wps:cNvSpPr>
                      <wps:spPr bwMode="auto">
                        <a:xfrm>
                          <a:off x="0" y="0"/>
                          <a:ext cx="4332605" cy="657225"/>
                        </a:xfrm>
                        <a:prstGeom prst="rect">
                          <a:avLst/>
                        </a:prstGeom>
                        <a:noFill/>
                        <a:ln>
                          <a:noFill/>
                        </a:ln>
                      </wps:spPr>
                      <wps:txbx>
                        <w:txbxContent>
                          <w:p>
                            <w:pPr>
                              <w:spacing w:line="400" w:lineRule="exact"/>
                              <w:jc w:val="center"/>
                              <w:rPr>
                                <w:rFonts w:ascii="华文楷体" w:hAnsi="华文楷体" w:eastAsia="华文楷体"/>
                                <w:b/>
                                <w:bCs/>
                                <w:color w:val="000000"/>
                                <w:spacing w:val="17"/>
                                <w:w w:val="93"/>
                                <w:kern w:val="0"/>
                                <w:sz w:val="22"/>
                                <w:szCs w:val="24"/>
                                <w:lang w:bidi="en-US"/>
                              </w:rPr>
                            </w:pPr>
                          </w:p>
                          <w:p>
                            <w:pPr>
                              <w:spacing w:line="400" w:lineRule="exact"/>
                              <w:jc w:val="center"/>
                              <w:rPr>
                                <w:rFonts w:ascii="华文楷体" w:hAnsi="华文楷体" w:eastAsia="华文楷体"/>
                                <w:b/>
                                <w:bCs/>
                                <w:color w:val="000000"/>
                                <w:spacing w:val="17"/>
                                <w:w w:val="93"/>
                                <w:kern w:val="0"/>
                                <w:sz w:val="22"/>
                                <w:szCs w:val="24"/>
                                <w:lang w:bidi="en-US"/>
                              </w:rPr>
                            </w:pPr>
                            <w:r>
                              <w:rPr>
                                <w:rFonts w:hint="eastAsia" w:ascii="华文楷体" w:hAnsi="华文楷体" w:eastAsia="华文楷体"/>
                                <w:b/>
                                <w:bCs/>
                                <w:color w:val="000000"/>
                                <w:spacing w:val="17"/>
                                <w:w w:val="93"/>
                                <w:kern w:val="0"/>
                                <w:sz w:val="22"/>
                                <w:szCs w:val="24"/>
                                <w:lang w:bidi="en-US"/>
                              </w:rPr>
                              <w:t xml:space="preserve">二 〇 二 </w:t>
                            </w:r>
                            <w:r>
                              <w:rPr>
                                <w:rFonts w:hint="eastAsia" w:ascii="华文楷体" w:hAnsi="华文楷体" w:eastAsia="华文楷体"/>
                                <w:b/>
                                <w:bCs/>
                                <w:color w:val="000000"/>
                                <w:spacing w:val="17"/>
                                <w:w w:val="93"/>
                                <w:kern w:val="0"/>
                                <w:sz w:val="22"/>
                                <w:szCs w:val="24"/>
                                <w:lang w:val="en-US" w:eastAsia="zh-CN" w:bidi="en-US"/>
                              </w:rPr>
                              <w:t xml:space="preserve">四 </w:t>
                            </w:r>
                            <w:r>
                              <w:rPr>
                                <w:rFonts w:hint="eastAsia" w:ascii="华文楷体" w:hAnsi="华文楷体" w:eastAsia="华文楷体"/>
                                <w:b/>
                                <w:bCs/>
                                <w:color w:val="000000"/>
                                <w:spacing w:val="17"/>
                                <w:w w:val="93"/>
                                <w:kern w:val="0"/>
                                <w:sz w:val="22"/>
                                <w:szCs w:val="24"/>
                                <w:lang w:bidi="en-US"/>
                              </w:rPr>
                              <w:t xml:space="preserve">年 </w:t>
                            </w:r>
                            <w:r>
                              <w:rPr>
                                <w:rFonts w:hint="eastAsia" w:ascii="华文楷体" w:hAnsi="华文楷体" w:eastAsia="华文楷体"/>
                                <w:b/>
                                <w:bCs/>
                                <w:color w:val="000000"/>
                                <w:spacing w:val="17"/>
                                <w:w w:val="93"/>
                                <w:kern w:val="0"/>
                                <w:sz w:val="22"/>
                                <w:szCs w:val="24"/>
                                <w:lang w:val="en-US" w:eastAsia="zh-CN" w:bidi="en-US"/>
                              </w:rPr>
                              <w:t>四</w:t>
                            </w:r>
                            <w:r>
                              <w:rPr>
                                <w:rFonts w:hint="eastAsia" w:ascii="华文楷体" w:hAnsi="华文楷体" w:eastAsia="华文楷体"/>
                                <w:b/>
                                <w:bCs/>
                                <w:color w:val="000000"/>
                                <w:spacing w:val="17"/>
                                <w:w w:val="93"/>
                                <w:kern w:val="0"/>
                                <w:sz w:val="22"/>
                                <w:szCs w:val="24"/>
                                <w:lang w:bidi="en-US"/>
                              </w:rPr>
                              <w:t xml:space="preserve"> 月</w:t>
                            </w:r>
                          </w:p>
                        </w:txbxContent>
                      </wps:txbx>
                      <wps:bodyPr rot="0" vert="horz" wrap="square" lIns="91440" tIns="45720" rIns="91440" bIns="45720" anchor="t" anchorCtr="0" upright="1">
                        <a:noAutofit/>
                      </wps:bodyPr>
                    </wps:wsp>
                  </a:graphicData>
                </a:graphic>
              </wp:anchor>
            </w:drawing>
          </mc:Choice>
          <mc:Fallback>
            <w:pict>
              <v:rect id="Rectangle 23" o:spid="_x0000_s1026" o:spt="1" style="position:absolute;left:0pt;margin-left:67.55pt;margin-top:350.6pt;height:51.75pt;width:341.15pt;mso-position-horizontal-relative:margin;z-index:251674624;mso-width-relative:page;mso-height-relative:page;" filled="f" stroked="f" coordsize="21600,21600" o:gfxdata="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ttt19sAAAALAQAADwAAAAAAAAABACAAAAAiAAAA&#10;ZHJzL2Rvd25yZXYueG1sUEsBAhQAFAAAAAgAh07iQGBi5QcEAgAADQQAAA4AAAAAAAAAAQAgAAAA&#10;KgEAAGRycy9lMm9Eb2MueG1sUEsFBgAAAAAGAAYAWQEAAKAFAAAAAA==&#10;">
                <v:fill on="f" focussize="0,0"/>
                <v:stroke on="f"/>
                <v:imagedata o:title=""/>
                <o:lock v:ext="edit" aspectratio="f"/>
                <v:textbox>
                  <w:txbxContent>
                    <w:p>
                      <w:pPr>
                        <w:spacing w:line="400" w:lineRule="exact"/>
                        <w:jc w:val="center"/>
                        <w:rPr>
                          <w:rFonts w:ascii="华文楷体" w:hAnsi="华文楷体" w:eastAsia="华文楷体"/>
                          <w:b/>
                          <w:bCs/>
                          <w:color w:val="000000"/>
                          <w:spacing w:val="17"/>
                          <w:w w:val="93"/>
                          <w:kern w:val="0"/>
                          <w:sz w:val="22"/>
                          <w:szCs w:val="24"/>
                          <w:lang w:bidi="en-US"/>
                        </w:rPr>
                      </w:pPr>
                    </w:p>
                    <w:p>
                      <w:pPr>
                        <w:spacing w:line="400" w:lineRule="exact"/>
                        <w:jc w:val="center"/>
                        <w:rPr>
                          <w:rFonts w:ascii="华文楷体" w:hAnsi="华文楷体" w:eastAsia="华文楷体"/>
                          <w:b/>
                          <w:bCs/>
                          <w:color w:val="000000"/>
                          <w:spacing w:val="17"/>
                          <w:w w:val="93"/>
                          <w:kern w:val="0"/>
                          <w:sz w:val="22"/>
                          <w:szCs w:val="24"/>
                          <w:lang w:bidi="en-US"/>
                        </w:rPr>
                      </w:pPr>
                      <w:r>
                        <w:rPr>
                          <w:rFonts w:hint="eastAsia" w:ascii="华文楷体" w:hAnsi="华文楷体" w:eastAsia="华文楷体"/>
                          <w:b/>
                          <w:bCs/>
                          <w:color w:val="000000"/>
                          <w:spacing w:val="17"/>
                          <w:w w:val="93"/>
                          <w:kern w:val="0"/>
                          <w:sz w:val="22"/>
                          <w:szCs w:val="24"/>
                          <w:lang w:bidi="en-US"/>
                        </w:rPr>
                        <w:t xml:space="preserve">二 〇 二 </w:t>
                      </w:r>
                      <w:r>
                        <w:rPr>
                          <w:rFonts w:hint="eastAsia" w:ascii="华文楷体" w:hAnsi="华文楷体" w:eastAsia="华文楷体"/>
                          <w:b/>
                          <w:bCs/>
                          <w:color w:val="000000"/>
                          <w:spacing w:val="17"/>
                          <w:w w:val="93"/>
                          <w:kern w:val="0"/>
                          <w:sz w:val="22"/>
                          <w:szCs w:val="24"/>
                          <w:lang w:val="en-US" w:eastAsia="zh-CN" w:bidi="en-US"/>
                        </w:rPr>
                        <w:t xml:space="preserve">四 </w:t>
                      </w:r>
                      <w:r>
                        <w:rPr>
                          <w:rFonts w:hint="eastAsia" w:ascii="华文楷体" w:hAnsi="华文楷体" w:eastAsia="华文楷体"/>
                          <w:b/>
                          <w:bCs/>
                          <w:color w:val="000000"/>
                          <w:spacing w:val="17"/>
                          <w:w w:val="93"/>
                          <w:kern w:val="0"/>
                          <w:sz w:val="22"/>
                          <w:szCs w:val="24"/>
                          <w:lang w:bidi="en-US"/>
                        </w:rPr>
                        <w:t xml:space="preserve">年 </w:t>
                      </w:r>
                      <w:r>
                        <w:rPr>
                          <w:rFonts w:hint="eastAsia" w:ascii="华文楷体" w:hAnsi="华文楷体" w:eastAsia="华文楷体"/>
                          <w:b/>
                          <w:bCs/>
                          <w:color w:val="000000"/>
                          <w:spacing w:val="17"/>
                          <w:w w:val="93"/>
                          <w:kern w:val="0"/>
                          <w:sz w:val="22"/>
                          <w:szCs w:val="24"/>
                          <w:lang w:val="en-US" w:eastAsia="zh-CN" w:bidi="en-US"/>
                        </w:rPr>
                        <w:t>四</w:t>
                      </w:r>
                      <w:r>
                        <w:rPr>
                          <w:rFonts w:hint="eastAsia" w:ascii="华文楷体" w:hAnsi="华文楷体" w:eastAsia="华文楷体"/>
                          <w:b/>
                          <w:bCs/>
                          <w:color w:val="000000"/>
                          <w:spacing w:val="17"/>
                          <w:w w:val="93"/>
                          <w:kern w:val="0"/>
                          <w:sz w:val="22"/>
                          <w:szCs w:val="24"/>
                          <w:lang w:bidi="en-US"/>
                        </w:rPr>
                        <w:t xml:space="preserve"> 月</w:t>
                      </w:r>
                    </w:p>
                  </w:txbxContent>
                </v:textbox>
              </v:rect>
            </w:pict>
          </mc:Fallback>
        </mc:AlternateContent>
      </w:r>
      <w:r>
        <w:rPr>
          <w:highlight w:val="none"/>
        </w:rPr>
        <w:drawing>
          <wp:anchor distT="0" distB="0" distL="114300" distR="114300" simplePos="0" relativeHeight="251668480" behindDoc="0" locked="0" layoutInCell="1" allowOverlap="1">
            <wp:simplePos x="0" y="0"/>
            <wp:positionH relativeFrom="margin">
              <wp:posOffset>3712845</wp:posOffset>
            </wp:positionH>
            <wp:positionV relativeFrom="paragraph">
              <wp:posOffset>3567430</wp:posOffset>
            </wp:positionV>
            <wp:extent cx="4267835" cy="4370070"/>
            <wp:effectExtent l="419100" t="438150" r="418465" b="430530"/>
            <wp:wrapNone/>
            <wp:docPr id="3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9"/>
                    <pic:cNvPicPr>
                      <a:picLocks noChangeAspect="1" noChangeArrowheads="1"/>
                    </pic:cNvPicPr>
                  </pic:nvPicPr>
                  <pic:blipFill>
                    <a:blip r:embed="rId31">
                      <a:extLst>
                        <a:ext uri="{28A0092B-C50C-407E-A947-70E740481C1C}">
                          <a14:useLocalDpi xmlns:a14="http://schemas.microsoft.com/office/drawing/2010/main" val="0"/>
                        </a:ext>
                      </a:extLst>
                    </a:blip>
                    <a:srcRect t="59352" r="43848"/>
                    <a:stretch>
                      <a:fillRect/>
                    </a:stretch>
                  </pic:blipFill>
                  <pic:spPr>
                    <a:xfrm rot="780000" flipH="1">
                      <a:off x="0" y="0"/>
                      <a:ext cx="4267835" cy="4370070"/>
                    </a:xfrm>
                    <a:prstGeom prst="rect">
                      <a:avLst/>
                    </a:prstGeom>
                    <a:noFill/>
                  </pic:spPr>
                </pic:pic>
              </a:graphicData>
            </a:graphic>
          </wp:anchor>
        </w:drawing>
      </w:r>
    </w:p>
    <w:p>
      <w:pPr>
        <w:spacing w:line="360" w:lineRule="auto"/>
        <w:jc w:val="center"/>
        <w:rPr>
          <w:rFonts w:ascii="宋体" w:hAnsi="宋体" w:eastAsia="宋体" w:cs="宋体"/>
          <w:highlight w:val="none"/>
        </w:rPr>
      </w:pPr>
      <w:r>
        <w:rPr>
          <w:rFonts w:hint="eastAsia" w:ascii="宋体" w:hAnsi="宋体" w:eastAsia="宋体" w:cs="宋体"/>
          <w:b/>
          <w:bCs/>
          <w:sz w:val="32"/>
          <w:szCs w:val="32"/>
          <w:highlight w:val="none"/>
        </w:rPr>
        <w:t xml:space="preserve">目 </w:t>
      </w:r>
      <w:r>
        <w:rPr>
          <w:rFonts w:hint="eastAsia" w:ascii="宋体" w:hAnsi="宋体" w:eastAsia="宋体" w:cs="宋体"/>
          <w:b/>
          <w:bCs/>
          <w:spacing w:val="159"/>
          <w:sz w:val="32"/>
          <w:szCs w:val="32"/>
          <w:highlight w:val="none"/>
        </w:rPr>
        <w:t xml:space="preserve"> </w:t>
      </w:r>
      <w:r>
        <w:rPr>
          <w:rFonts w:hint="eastAsia" w:ascii="宋体" w:hAnsi="宋体" w:eastAsia="宋体" w:cs="宋体"/>
          <w:b/>
          <w:bCs/>
          <w:sz w:val="32"/>
          <w:szCs w:val="32"/>
          <w:highlight w:val="none"/>
        </w:rPr>
        <w:t>录</w:t>
      </w:r>
    </w:p>
    <w:p>
      <w:pPr>
        <w:pStyle w:val="19"/>
        <w:tabs>
          <w:tab w:val="right" w:leader="dot" w:pos="9390"/>
        </w:tabs>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"1-3"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"_Toc25618" </w:instrText>
      </w:r>
      <w:r>
        <w:rPr>
          <w:highlight w:val="none"/>
        </w:rPr>
        <w:fldChar w:fldCharType="separate"/>
      </w:r>
      <w:r>
        <w:rPr>
          <w:rFonts w:hint="eastAsia" w:ascii="宋体" w:hAnsi="宋体" w:eastAsia="宋体" w:cs="宋体"/>
          <w:sz w:val="24"/>
          <w:szCs w:val="24"/>
          <w:highlight w:val="none"/>
        </w:rPr>
        <w:t>第一章 比选邀请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_Toc25618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"_Toc10067" </w:instrText>
      </w:r>
      <w:r>
        <w:rPr>
          <w:highlight w:val="none"/>
        </w:rPr>
        <w:fldChar w:fldCharType="separate"/>
      </w:r>
      <w:r>
        <w:rPr>
          <w:rFonts w:hint="eastAsia" w:ascii="宋体" w:hAnsi="宋体" w:eastAsia="宋体" w:cs="宋体"/>
          <w:sz w:val="24"/>
          <w:szCs w:val="24"/>
          <w:highlight w:val="none"/>
        </w:rPr>
        <w:t>比选邀请函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_Toc10067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"_Toc3942" </w:instrText>
      </w:r>
      <w:r>
        <w:rPr>
          <w:highlight w:val="none"/>
        </w:rPr>
        <w:fldChar w:fldCharType="separate"/>
      </w:r>
      <w:r>
        <w:rPr>
          <w:rFonts w:hint="eastAsia" w:ascii="宋体" w:hAnsi="宋体" w:eastAsia="宋体" w:cs="宋体"/>
          <w:sz w:val="24"/>
          <w:szCs w:val="24"/>
          <w:highlight w:val="none"/>
        </w:rPr>
        <w:t>采购项目一览表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_Toc3942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9"/>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"_Toc26649" </w:instrText>
      </w:r>
      <w:r>
        <w:rPr>
          <w:highlight w:val="none"/>
        </w:rPr>
        <w:fldChar w:fldCharType="separate"/>
      </w:r>
      <w:r>
        <w:rPr>
          <w:rFonts w:hint="eastAsia" w:ascii="宋体" w:hAnsi="宋体" w:eastAsia="宋体" w:cs="宋体"/>
          <w:sz w:val="24"/>
          <w:szCs w:val="24"/>
          <w:highlight w:val="none"/>
        </w:rPr>
        <w:t>第二章 响应供应商须知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_Toc26649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"_Toc30700" </w:instrText>
      </w:r>
      <w:r>
        <w:rPr>
          <w:highlight w:val="none"/>
        </w:rPr>
        <w:fldChar w:fldCharType="separate"/>
      </w:r>
      <w:r>
        <w:rPr>
          <w:rFonts w:hint="eastAsia" w:ascii="宋体" w:hAnsi="宋体" w:eastAsia="宋体" w:cs="宋体"/>
          <w:sz w:val="24"/>
          <w:szCs w:val="24"/>
          <w:highlight w:val="none"/>
        </w:rPr>
        <w:t>响应供应商须知前附表1</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_Toc30700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"_Toc21659" </w:instrText>
      </w:r>
      <w:r>
        <w:rPr>
          <w:highlight w:val="none"/>
        </w:rPr>
        <w:fldChar w:fldCharType="separate"/>
      </w:r>
      <w:r>
        <w:rPr>
          <w:rFonts w:hint="eastAsia" w:ascii="宋体" w:hAnsi="宋体" w:eastAsia="宋体" w:cs="宋体"/>
          <w:sz w:val="24"/>
          <w:szCs w:val="24"/>
          <w:highlight w:val="none"/>
        </w:rPr>
        <w:t>响应供应商须知前附表2:资格性、符合性检查表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_Toc21659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"_Toc19528" </w:instrText>
      </w:r>
      <w:r>
        <w:rPr>
          <w:highlight w:val="none"/>
        </w:rPr>
        <w:fldChar w:fldCharType="separate"/>
      </w:r>
      <w:r>
        <w:rPr>
          <w:rFonts w:hint="eastAsia" w:ascii="宋体" w:hAnsi="宋体" w:eastAsia="宋体" w:cs="宋体"/>
          <w:sz w:val="24"/>
          <w:szCs w:val="24"/>
          <w:highlight w:val="none"/>
        </w:rPr>
        <w:t>响应供应商须知前附表3：评审方法、评审标准、定选原则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_Toc19528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"_Toc25983" </w:instrText>
      </w:r>
      <w:r>
        <w:rPr>
          <w:highlight w:val="none"/>
        </w:rPr>
        <w:fldChar w:fldCharType="separate"/>
      </w:r>
      <w:r>
        <w:rPr>
          <w:rFonts w:hint="eastAsia" w:ascii="宋体" w:hAnsi="宋体" w:eastAsia="宋体" w:cs="宋体"/>
          <w:sz w:val="24"/>
          <w:szCs w:val="24"/>
          <w:highlight w:val="none"/>
        </w:rPr>
        <w:t>一、说明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_Toc25983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"_Toc23763" </w:instrText>
      </w:r>
      <w:r>
        <w:rPr>
          <w:highlight w:val="none"/>
        </w:rPr>
        <w:fldChar w:fldCharType="separate"/>
      </w:r>
      <w:r>
        <w:rPr>
          <w:rFonts w:hint="eastAsia" w:ascii="宋体" w:hAnsi="宋体" w:eastAsia="宋体" w:cs="宋体"/>
          <w:sz w:val="24"/>
          <w:szCs w:val="24"/>
          <w:highlight w:val="none"/>
        </w:rPr>
        <w:t>二、比选文件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_Toc23763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"_Toc8927" </w:instrText>
      </w:r>
      <w:r>
        <w:rPr>
          <w:highlight w:val="none"/>
        </w:rPr>
        <w:fldChar w:fldCharType="separate"/>
      </w:r>
      <w:r>
        <w:rPr>
          <w:rFonts w:hint="eastAsia" w:ascii="宋体" w:hAnsi="宋体" w:eastAsia="宋体" w:cs="宋体"/>
          <w:sz w:val="24"/>
          <w:szCs w:val="24"/>
          <w:highlight w:val="none"/>
        </w:rPr>
        <w:t>三、响应文件的编写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_Toc8927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"_Toc11734" </w:instrText>
      </w:r>
      <w:r>
        <w:rPr>
          <w:highlight w:val="none"/>
        </w:rPr>
        <w:fldChar w:fldCharType="separate"/>
      </w:r>
      <w:r>
        <w:rPr>
          <w:rFonts w:hint="eastAsia" w:ascii="宋体" w:hAnsi="宋体" w:eastAsia="宋体" w:cs="宋体"/>
          <w:sz w:val="24"/>
          <w:szCs w:val="24"/>
          <w:highlight w:val="none"/>
        </w:rPr>
        <w:t>四、 响应文件的提交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_Toc11734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"_Toc4620" </w:instrText>
      </w:r>
      <w:r>
        <w:rPr>
          <w:highlight w:val="none"/>
        </w:rPr>
        <w:fldChar w:fldCharType="separate"/>
      </w:r>
      <w:r>
        <w:rPr>
          <w:rFonts w:hint="eastAsia" w:ascii="宋体" w:hAnsi="宋体" w:eastAsia="宋体" w:cs="宋体"/>
          <w:sz w:val="24"/>
          <w:szCs w:val="24"/>
          <w:highlight w:val="none"/>
        </w:rPr>
        <w:t>五、响应文件的评估和比较</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_Toc4620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"_Toc16584" </w:instrText>
      </w:r>
      <w:r>
        <w:rPr>
          <w:highlight w:val="none"/>
        </w:rPr>
        <w:fldChar w:fldCharType="separate"/>
      </w:r>
      <w:r>
        <w:rPr>
          <w:rFonts w:hint="eastAsia" w:ascii="宋体" w:hAnsi="宋体" w:eastAsia="宋体" w:cs="宋体"/>
          <w:sz w:val="24"/>
          <w:szCs w:val="24"/>
          <w:highlight w:val="none"/>
        </w:rPr>
        <w:t>六、成交与签订合同</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_Toc16584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9"/>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"_Toc8807" </w:instrText>
      </w:r>
      <w:r>
        <w:rPr>
          <w:highlight w:val="none"/>
        </w:rPr>
        <w:fldChar w:fldCharType="separate"/>
      </w:r>
      <w:r>
        <w:rPr>
          <w:rFonts w:hint="eastAsia" w:ascii="宋体" w:hAnsi="宋体" w:eastAsia="宋体" w:cs="宋体"/>
          <w:sz w:val="24"/>
          <w:szCs w:val="24"/>
          <w:highlight w:val="none"/>
        </w:rPr>
        <w:t>第三章 项目内容及要求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"_Toc29764" </w:instrText>
      </w:r>
      <w:r>
        <w:rPr>
          <w:highlight w:val="none"/>
        </w:rPr>
        <w:fldChar w:fldCharType="separate"/>
      </w:r>
      <w:r>
        <w:rPr>
          <w:rFonts w:hint="eastAsia" w:ascii="宋体" w:hAnsi="宋体" w:eastAsia="宋体" w:cs="宋体"/>
          <w:sz w:val="24"/>
          <w:szCs w:val="24"/>
          <w:highlight w:val="none"/>
        </w:rPr>
        <w:t>一、项目概况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_Toc29764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"_Toc6642" </w:instrText>
      </w:r>
      <w:r>
        <w:rPr>
          <w:highlight w:val="none"/>
        </w:rPr>
        <w:fldChar w:fldCharType="separate"/>
      </w:r>
      <w:r>
        <w:rPr>
          <w:rFonts w:hint="eastAsia" w:ascii="宋体" w:hAnsi="宋体" w:eastAsia="宋体" w:cs="宋体"/>
          <w:sz w:val="24"/>
          <w:szCs w:val="24"/>
          <w:highlight w:val="none"/>
        </w:rPr>
        <w:t>二、项目需求描述</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_Toc6642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"_Toc6345" </w:instrText>
      </w:r>
      <w:r>
        <w:rPr>
          <w:highlight w:val="none"/>
        </w:rPr>
        <w:fldChar w:fldCharType="separate"/>
      </w:r>
      <w:r>
        <w:rPr>
          <w:rFonts w:hint="eastAsia" w:ascii="宋体" w:hAnsi="宋体" w:eastAsia="宋体" w:cs="宋体"/>
          <w:sz w:val="24"/>
          <w:szCs w:val="24"/>
          <w:highlight w:val="none"/>
        </w:rPr>
        <w:t>三、报价响应供应商资格要求与资格证明文件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_Toc6345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"_Toc18317" </w:instrText>
      </w:r>
      <w:r>
        <w:rPr>
          <w:highlight w:val="none"/>
        </w:rPr>
        <w:fldChar w:fldCharType="separate"/>
      </w:r>
      <w:r>
        <w:rPr>
          <w:rFonts w:hint="eastAsia" w:ascii="宋体" w:hAnsi="宋体" w:eastAsia="宋体" w:cs="宋体"/>
          <w:sz w:val="24"/>
          <w:szCs w:val="24"/>
          <w:highlight w:val="none"/>
        </w:rPr>
        <w:t>四、响应要求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_Toc18317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"_Toc2195" </w:instrText>
      </w:r>
      <w:r>
        <w:rPr>
          <w:highlight w:val="none"/>
        </w:rPr>
        <w:fldChar w:fldCharType="separate"/>
      </w:r>
      <w:r>
        <w:rPr>
          <w:rFonts w:hint="eastAsia" w:ascii="宋体" w:hAnsi="宋体" w:eastAsia="宋体" w:cs="宋体"/>
          <w:sz w:val="24"/>
          <w:szCs w:val="24"/>
          <w:highlight w:val="none"/>
        </w:rPr>
        <w:t>五、报价要求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"_Toc12285" </w:instrText>
      </w:r>
      <w:r>
        <w:rPr>
          <w:highlight w:val="none"/>
        </w:rPr>
        <w:fldChar w:fldCharType="separate"/>
      </w:r>
      <w:r>
        <w:rPr>
          <w:rFonts w:hint="eastAsia" w:ascii="宋体" w:hAnsi="宋体" w:eastAsia="宋体" w:cs="宋体"/>
          <w:sz w:val="24"/>
          <w:szCs w:val="24"/>
          <w:highlight w:val="none"/>
        </w:rPr>
        <w:t>六、验收条件及标准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_Toc12285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"_Toc17153" </w:instrText>
      </w:r>
      <w:r>
        <w:rPr>
          <w:highlight w:val="none"/>
        </w:rPr>
        <w:fldChar w:fldCharType="separate"/>
      </w:r>
      <w:r>
        <w:rPr>
          <w:rFonts w:hint="eastAsia" w:ascii="宋体" w:hAnsi="宋体" w:eastAsia="宋体" w:cs="宋体"/>
          <w:sz w:val="24"/>
          <w:szCs w:val="24"/>
          <w:highlight w:val="none"/>
        </w:rPr>
        <w:t>七、合同签订</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_Toc17153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"_Toc21538" </w:instrText>
      </w:r>
      <w:r>
        <w:rPr>
          <w:highlight w:val="none"/>
        </w:rPr>
        <w:fldChar w:fldCharType="separate"/>
      </w:r>
      <w:r>
        <w:rPr>
          <w:rFonts w:hint="eastAsia" w:ascii="宋体" w:hAnsi="宋体" w:eastAsia="宋体" w:cs="宋体"/>
          <w:sz w:val="24"/>
          <w:szCs w:val="24"/>
          <w:highlight w:val="none"/>
        </w:rPr>
        <w:t>八、付款条件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_Toc21538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0"/>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"_Toc20581" </w:instrText>
      </w:r>
      <w:r>
        <w:rPr>
          <w:highlight w:val="none"/>
        </w:rPr>
        <w:fldChar w:fldCharType="separate"/>
      </w:r>
      <w:r>
        <w:rPr>
          <w:rFonts w:hint="eastAsia" w:ascii="宋体" w:hAnsi="宋体" w:eastAsia="宋体" w:cs="宋体"/>
          <w:sz w:val="24"/>
          <w:szCs w:val="24"/>
          <w:highlight w:val="none"/>
        </w:rPr>
        <w:t>九、其他</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_Toc20581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9"/>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"_Toc25112" </w:instrText>
      </w:r>
      <w:r>
        <w:rPr>
          <w:highlight w:val="none"/>
        </w:rPr>
        <w:fldChar w:fldCharType="separate"/>
      </w:r>
      <w:r>
        <w:rPr>
          <w:rFonts w:hint="eastAsia" w:ascii="宋体" w:hAnsi="宋体" w:eastAsia="宋体" w:cs="宋体"/>
          <w:sz w:val="24"/>
          <w:szCs w:val="24"/>
          <w:highlight w:val="none"/>
        </w:rPr>
        <w:t>第四章 采购合同（参考文本）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_Toc25112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9"/>
        <w:tabs>
          <w:tab w:val="right" w:leader="dot" w:pos="9390"/>
        </w:tabs>
        <w:spacing w:line="360" w:lineRule="auto"/>
        <w:rPr>
          <w:rFonts w:ascii="宋体" w:hAnsi="宋体" w:eastAsia="宋体" w:cs="宋体"/>
          <w:sz w:val="24"/>
          <w:szCs w:val="24"/>
          <w:highlight w:val="none"/>
        </w:rPr>
      </w:pPr>
      <w:r>
        <w:rPr>
          <w:highlight w:val="none"/>
        </w:rPr>
        <w:fldChar w:fldCharType="begin"/>
      </w:r>
      <w:r>
        <w:rPr>
          <w:highlight w:val="none"/>
        </w:rPr>
        <w:instrText xml:space="preserve"> HYPERLINK \l "_Toc6460" </w:instrText>
      </w:r>
      <w:r>
        <w:rPr>
          <w:highlight w:val="none"/>
        </w:rPr>
        <w:fldChar w:fldCharType="separate"/>
      </w:r>
      <w:r>
        <w:rPr>
          <w:rFonts w:hint="eastAsia" w:ascii="宋体" w:hAnsi="宋体" w:eastAsia="宋体" w:cs="宋体"/>
          <w:sz w:val="24"/>
          <w:szCs w:val="24"/>
          <w:highlight w:val="none"/>
        </w:rPr>
        <w:t>第五章 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tabs>
          <w:tab w:val="left" w:pos="851"/>
          <w:tab w:val="right" w:leader="dot" w:pos="9185"/>
        </w:tabs>
        <w:spacing w:before="461" w:line="360" w:lineRule="auto"/>
        <w:jc w:val="center"/>
        <w:rPr>
          <w:highlight w:val="none"/>
        </w:rPr>
      </w:pPr>
      <w:r>
        <w:rPr>
          <w:rFonts w:hint="eastAsia" w:ascii="宋体" w:hAnsi="宋体" w:eastAsia="宋体" w:cs="宋体"/>
          <w:sz w:val="24"/>
          <w:szCs w:val="24"/>
          <w:highlight w:val="none"/>
        </w:rPr>
        <w:fldChar w:fldCharType="end"/>
      </w:r>
    </w:p>
    <w:p>
      <w:pPr>
        <w:rPr>
          <w:highlight w:val="none"/>
        </w:rPr>
        <w:sectPr>
          <w:footerReference r:id="rId4" w:type="default"/>
          <w:pgSz w:w="11910" w:h="16850"/>
          <w:pgMar w:top="1380" w:right="1040" w:bottom="1160" w:left="1480" w:header="0" w:footer="980" w:gutter="0"/>
          <w:pgNumType w:start="1"/>
          <w:cols w:space="720" w:num="1"/>
        </w:sectPr>
      </w:pPr>
    </w:p>
    <w:p>
      <w:pPr>
        <w:pStyle w:val="2"/>
        <w:spacing w:before="0" w:after="0" w:line="360" w:lineRule="auto"/>
        <w:jc w:val="center"/>
        <w:rPr>
          <w:rFonts w:hint="eastAsia" w:ascii="宋体" w:hAnsi="宋体" w:eastAsia="宋体" w:cs="宋体"/>
          <w:b/>
          <w:bCs/>
          <w:sz w:val="36"/>
          <w:szCs w:val="36"/>
          <w:highlight w:val="none"/>
        </w:rPr>
      </w:pPr>
      <w:bookmarkStart w:id="0" w:name="_Toc25618"/>
      <w:bookmarkStart w:id="1" w:name="_Toc1532"/>
      <w:bookmarkStart w:id="2" w:name="_Toc28458"/>
      <w:bookmarkStart w:id="3" w:name="_Toc32486"/>
      <w:r>
        <w:rPr>
          <w:rFonts w:hint="eastAsia" w:ascii="宋体" w:hAnsi="宋体" w:eastAsia="宋体" w:cs="宋体"/>
          <w:b/>
          <w:bCs/>
          <w:sz w:val="36"/>
          <w:szCs w:val="36"/>
          <w:highlight w:val="none"/>
        </w:rPr>
        <w:t>第一章 比选邀请</w:t>
      </w:r>
      <w:bookmarkEnd w:id="0"/>
      <w:bookmarkEnd w:id="1"/>
      <w:bookmarkEnd w:id="2"/>
      <w:bookmarkEnd w:id="3"/>
    </w:p>
    <w:p>
      <w:pPr>
        <w:pStyle w:val="3"/>
        <w:spacing w:line="240" w:lineRule="auto"/>
        <w:jc w:val="center"/>
        <w:rPr>
          <w:rFonts w:hint="eastAsia" w:ascii="宋体" w:hAnsi="宋体" w:eastAsia="宋体" w:cs="宋体"/>
          <w:highlight w:val="none"/>
        </w:rPr>
      </w:pPr>
      <w:bookmarkStart w:id="4" w:name="_Toc10067"/>
      <w:bookmarkStart w:id="5" w:name="_Toc15417"/>
      <w:bookmarkStart w:id="6" w:name="_Toc28825"/>
      <w:bookmarkStart w:id="7" w:name="_Toc3333"/>
      <w:r>
        <w:rPr>
          <w:rFonts w:hint="eastAsia" w:ascii="宋体" w:hAnsi="宋体" w:eastAsia="宋体" w:cs="宋体"/>
          <w:highlight w:val="none"/>
        </w:rPr>
        <w:t>比选邀请函</w:t>
      </w:r>
      <w:bookmarkEnd w:id="4"/>
      <w:bookmarkEnd w:id="5"/>
      <w:bookmarkEnd w:id="6"/>
      <w:bookmarkEnd w:id="7"/>
      <w:r>
        <w:rPr>
          <w:rFonts w:hint="eastAsia" w:ascii="宋体" w:hAnsi="宋体" w:eastAsia="宋体" w:cs="宋体"/>
          <w:highlight w:val="none"/>
        </w:rPr>
        <w:t xml:space="preserve"> </w:t>
      </w:r>
    </w:p>
    <w:p>
      <w:pPr>
        <w:keepNext w:val="0"/>
        <w:keepLines w:val="0"/>
        <w:pageBreakBefore w:val="0"/>
        <w:widowControl w:val="0"/>
        <w:kinsoku/>
        <w:wordWrap/>
        <w:overflowPunct/>
        <w:topLinePunct w:val="0"/>
        <w:autoSpaceDE/>
        <w:autoSpaceDN/>
        <w:bidi w:val="0"/>
        <w:adjustRightInd/>
        <w:snapToGrid/>
        <w:spacing w:line="276" w:lineRule="auto"/>
        <w:ind w:firstLine="482" w:firstLineChars="200"/>
        <w:textAlignment w:val="auto"/>
        <w:rPr>
          <w:rFonts w:hint="eastAsia" w:ascii="宋体" w:hAnsi="宋体" w:eastAsia="宋体" w:cs="宋体"/>
          <w:sz w:val="24"/>
          <w:highlight w:val="none"/>
        </w:rPr>
      </w:pPr>
      <w:r>
        <w:rPr>
          <w:rFonts w:hint="eastAsia" w:ascii="宋体" w:hAnsi="宋体" w:eastAsia="宋体" w:cs="宋体"/>
          <w:b/>
          <w:bCs/>
          <w:sz w:val="24"/>
          <w:highlight w:val="none"/>
          <w:u w:val="single"/>
        </w:rPr>
        <w:t>中华人民共和国高崎出入境边防检查站</w:t>
      </w:r>
      <w:r>
        <w:rPr>
          <w:rFonts w:hint="eastAsia" w:ascii="宋体" w:hAnsi="宋体" w:eastAsia="宋体" w:cs="宋体"/>
          <w:sz w:val="24"/>
          <w:highlight w:val="none"/>
        </w:rPr>
        <w:t>以</w:t>
      </w:r>
      <w:r>
        <w:rPr>
          <w:rFonts w:hint="eastAsia" w:ascii="宋体" w:hAnsi="宋体" w:eastAsia="宋体" w:cs="宋体"/>
          <w:b/>
          <w:bCs/>
          <w:sz w:val="24"/>
          <w:highlight w:val="none"/>
          <w:u w:val="single"/>
        </w:rPr>
        <w:t>公开比选</w:t>
      </w:r>
      <w:r>
        <w:rPr>
          <w:rFonts w:hint="eastAsia" w:ascii="宋体" w:hAnsi="宋体" w:eastAsia="宋体" w:cs="宋体"/>
          <w:sz w:val="24"/>
          <w:highlight w:val="none"/>
        </w:rPr>
        <w:t>方式对</w:t>
      </w:r>
      <w:r>
        <w:rPr>
          <w:rFonts w:hint="eastAsia" w:ascii="宋体" w:hAnsi="宋体" w:eastAsia="宋体" w:cs="宋体"/>
          <w:b/>
          <w:bCs/>
          <w:sz w:val="24"/>
          <w:highlight w:val="none"/>
          <w:u w:val="single"/>
          <w:lang w:eastAsia="zh-CN"/>
        </w:rPr>
        <w:t>机房核心设备及配套软件维保服务项目</w:t>
      </w:r>
      <w:r>
        <w:rPr>
          <w:rFonts w:hint="eastAsia" w:ascii="宋体" w:hAnsi="宋体" w:eastAsia="宋体" w:cs="宋体"/>
          <w:sz w:val="24"/>
          <w:highlight w:val="none"/>
        </w:rPr>
        <w:t xml:space="preserve">进行自行采购，欢迎国内合格的供应商前来提交密封的响应文件。 </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b/>
          <w:bCs/>
          <w:sz w:val="24"/>
          <w:highlight w:val="none"/>
          <w:u w:val="single"/>
          <w:lang w:eastAsia="zh-CN"/>
        </w:rPr>
      </w:pPr>
      <w:r>
        <w:rPr>
          <w:rFonts w:hint="eastAsia" w:ascii="宋体" w:hAnsi="宋体" w:eastAsia="宋体" w:cs="宋体"/>
          <w:sz w:val="24"/>
          <w:highlight w:val="none"/>
        </w:rPr>
        <w:t>1. 项目编号：</w:t>
      </w:r>
      <w:r>
        <w:rPr>
          <w:rFonts w:hint="eastAsia" w:ascii="宋体" w:hAnsi="宋体" w:eastAsia="宋体" w:cs="宋体"/>
          <w:b/>
          <w:bCs/>
          <w:sz w:val="24"/>
          <w:highlight w:val="none"/>
          <w:u w:val="single"/>
          <w:lang w:eastAsia="zh-CN"/>
        </w:rPr>
        <w:t>2024GQ02</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2. 项目名称、数量及主要技术要求：见采购项目一览表。 </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 获取采购文件</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方 式：通过中国政府采购网（h</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"http://www.ccgp.gov.cn/" \h </w:instrText>
      </w:r>
      <w:r>
        <w:rPr>
          <w:rFonts w:hint="eastAsia" w:ascii="宋体" w:hAnsi="宋体" w:eastAsia="宋体" w:cs="宋体"/>
          <w:highlight w:val="none"/>
        </w:rPr>
        <w:fldChar w:fldCharType="separate"/>
      </w:r>
      <w:r>
        <w:rPr>
          <w:rFonts w:hint="eastAsia" w:ascii="宋体" w:hAnsi="宋体" w:eastAsia="宋体" w:cs="宋体"/>
          <w:sz w:val="24"/>
          <w:highlight w:val="none"/>
        </w:rPr>
        <w:t>ttp://www.ccgp.gov.cn/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）在线获取。</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时 间：即日起至文件递交截止时间为止。</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售 价：0元</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项目报名：</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"mailto:拟参与本项目比价活动的意向供应商，需填写《报名表》并发送指定邮箱18950021377@189.cn"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
          <w:bCs/>
          <w:color w:val="000000" w:themeColor="text1"/>
          <w:sz w:val="24"/>
          <w:highlight w:val="none"/>
          <w:u w:val="single"/>
          <w14:textFill>
            <w14:solidFill>
              <w14:schemeClr w14:val="tx1"/>
            </w14:solidFill>
          </w14:textFill>
        </w:rPr>
        <w:t>拟参与本项目</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比选</w:t>
      </w:r>
      <w:r>
        <w:rPr>
          <w:rFonts w:hint="eastAsia" w:ascii="宋体" w:hAnsi="宋体" w:eastAsia="宋体" w:cs="宋体"/>
          <w:b/>
          <w:bCs/>
          <w:color w:val="000000" w:themeColor="text1"/>
          <w:sz w:val="24"/>
          <w:highlight w:val="none"/>
          <w:u w:val="single"/>
          <w14:textFill>
            <w14:solidFill>
              <w14:schemeClr w14:val="tx1"/>
            </w14:solidFill>
          </w14:textFill>
        </w:rPr>
        <w:t>活动的意向供应商，需填写《报名表》并发送指定邮箱18950021377@189.cn</w:t>
      </w:r>
      <w:r>
        <w:rPr>
          <w:rFonts w:hint="eastAsia" w:ascii="宋体" w:hAnsi="宋体" w:eastAsia="宋体" w:cs="宋体"/>
          <w:b/>
          <w:bCs/>
          <w:color w:val="000000" w:themeColor="text1"/>
          <w:sz w:val="24"/>
          <w:highlight w:val="none"/>
          <w:u w:val="single"/>
          <w14:textFill>
            <w14:solidFill>
              <w14:schemeClr w14:val="tx1"/>
            </w14:solidFill>
          </w14:textFill>
        </w:rPr>
        <w:fldChar w:fldCharType="end"/>
      </w:r>
      <w:r>
        <w:rPr>
          <w:rFonts w:hint="eastAsia" w:ascii="宋体" w:hAnsi="宋体" w:eastAsia="宋体" w:cs="宋体"/>
          <w:b/>
          <w:bCs/>
          <w:color w:val="000000" w:themeColor="text1"/>
          <w:sz w:val="24"/>
          <w:highlight w:val="none"/>
          <w:u w:val="single"/>
          <w14:textFill>
            <w14:solidFill>
              <w14:schemeClr w14:val="tx1"/>
            </w14:solidFill>
          </w14:textFill>
        </w:rPr>
        <w:t>完成本项目报名，未完成报名手续的供应商其报价文件将会被拒绝。</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highlight w:val="none"/>
        </w:rPr>
      </w:pPr>
      <w:r>
        <w:rPr>
          <w:rFonts w:hint="eastAsia" w:ascii="宋体" w:hAnsi="宋体" w:eastAsia="宋体" w:cs="宋体"/>
          <w:color w:val="000000" w:themeColor="text1"/>
          <w:sz w:val="24"/>
          <w:highlight w:val="none"/>
          <w14:textFill>
            <w14:solidFill>
              <w14:schemeClr w14:val="tx1"/>
            </w14:solidFill>
          </w14:textFill>
        </w:rPr>
        <w:t>报名时间</w:t>
      </w:r>
      <w:bookmarkStart w:id="136" w:name="_GoBack"/>
      <w:r>
        <w:rPr>
          <w:rFonts w:hint="eastAsia" w:ascii="宋体" w:hAnsi="宋体" w:eastAsia="宋体" w:cs="宋体"/>
          <w:color w:val="000000" w:themeColor="text1"/>
          <w:sz w:val="24"/>
          <w:highlight w:val="none"/>
          <w14:textFill>
            <w14:solidFill>
              <w14:schemeClr w14:val="tx1"/>
            </w14:solidFill>
          </w14:textFill>
        </w:rPr>
        <w:t>：2024年</w:t>
      </w:r>
      <w:r>
        <w:rPr>
          <w:rFonts w:hint="eastAsia" w:ascii="宋体" w:hAnsi="宋体" w:eastAsia="宋体" w:cs="宋体"/>
          <w:color w:val="000000" w:themeColor="text1"/>
          <w:sz w:val="24"/>
          <w:highlight w:val="none"/>
          <w:lang w:val="en-US" w:eastAsia="zh-CN"/>
          <w14:textFill>
            <w14:solidFill>
              <w14:schemeClr w14:val="tx1"/>
            </w14:solidFill>
          </w14:textFill>
        </w:rPr>
        <w:t>04</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09</w:t>
      </w:r>
      <w:r>
        <w:rPr>
          <w:rFonts w:hint="eastAsia" w:ascii="宋体" w:hAnsi="宋体" w:eastAsia="宋体" w:cs="宋体"/>
          <w:color w:val="000000" w:themeColor="text1"/>
          <w:sz w:val="24"/>
          <w:highlight w:val="none"/>
          <w14:textFill>
            <w14:solidFill>
              <w14:schemeClr w14:val="tx1"/>
            </w14:solidFill>
          </w14:textFill>
        </w:rPr>
        <w:t>日至2024年</w:t>
      </w:r>
      <w:r>
        <w:rPr>
          <w:rFonts w:hint="eastAsia" w:ascii="宋体" w:hAnsi="宋体" w:eastAsia="宋体" w:cs="宋体"/>
          <w:color w:val="000000" w:themeColor="text1"/>
          <w:sz w:val="24"/>
          <w:highlight w:val="none"/>
          <w:lang w:val="en-US" w:eastAsia="zh-CN"/>
          <w14:textFill>
            <w14:solidFill>
              <w14:schemeClr w14:val="tx1"/>
            </w14:solidFill>
          </w14:textFill>
        </w:rPr>
        <w:t>04</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12</w:t>
      </w:r>
      <w:r>
        <w:rPr>
          <w:rFonts w:hint="eastAsia" w:ascii="宋体" w:hAnsi="宋体" w:eastAsia="宋体" w:cs="宋体"/>
          <w:color w:val="000000" w:themeColor="text1"/>
          <w:sz w:val="24"/>
          <w:highlight w:val="none"/>
          <w14:textFill>
            <w14:solidFill>
              <w14:schemeClr w14:val="tx1"/>
            </w14:solidFill>
          </w14:textFill>
        </w:rPr>
        <w:t>日</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节假日除外</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，每天上午08:00-12:00，下午14:30-18:00（北京时间）</w:t>
      </w:r>
      <w:r>
        <w:rPr>
          <w:rFonts w:hint="eastAsia" w:ascii="宋体" w:hAnsi="宋体" w:eastAsia="宋体" w:cs="宋体"/>
          <w:color w:val="000000" w:themeColor="text1"/>
          <w:sz w:val="24"/>
          <w:highlight w:val="none"/>
          <w14:textFill>
            <w14:solidFill>
              <w14:schemeClr w14:val="tx1"/>
            </w14:solidFill>
          </w14:textFill>
        </w:rPr>
        <w:t>。</w:t>
      </w:r>
    </w:p>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b/>
          <w:sz w:val="24"/>
          <w:highlight w:val="none"/>
        </w:rPr>
      </w:pPr>
      <w:r>
        <w:rPr>
          <w:rFonts w:hint="eastAsia" w:ascii="宋体" w:hAnsi="宋体" w:eastAsia="宋体" w:cs="宋体"/>
          <w:sz w:val="24"/>
          <w:highlight w:val="none"/>
        </w:rPr>
        <w:t>所有响应文件应于202</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年</w:t>
      </w:r>
      <w:r>
        <w:rPr>
          <w:rFonts w:hint="eastAsia" w:ascii="宋体" w:hAnsi="宋体" w:eastAsia="宋体" w:cs="宋体"/>
          <w:b/>
          <w:bCs/>
          <w:sz w:val="24"/>
          <w:highlight w:val="none"/>
          <w:u w:val="single"/>
          <w:lang w:val="en-US" w:eastAsia="zh-CN"/>
        </w:rPr>
        <w:t>04</w:t>
      </w:r>
      <w:r>
        <w:rPr>
          <w:rFonts w:hint="eastAsia" w:ascii="宋体" w:hAnsi="宋体" w:eastAsia="宋体" w:cs="宋体"/>
          <w:sz w:val="24"/>
          <w:highlight w:val="none"/>
        </w:rPr>
        <w:t>月</w:t>
      </w:r>
      <w:r>
        <w:rPr>
          <w:rFonts w:hint="eastAsia" w:ascii="宋体" w:hAnsi="宋体" w:eastAsia="宋体" w:cs="宋体"/>
          <w:b/>
          <w:bCs/>
          <w:sz w:val="24"/>
          <w:highlight w:val="none"/>
          <w:u w:val="single"/>
          <w:lang w:val="en-US" w:eastAsia="zh-CN"/>
        </w:rPr>
        <w:t>18</w:t>
      </w:r>
      <w:r>
        <w:rPr>
          <w:rFonts w:hint="eastAsia" w:ascii="宋体" w:hAnsi="宋体" w:eastAsia="宋体" w:cs="宋体"/>
          <w:sz w:val="24"/>
          <w:highlight w:val="none"/>
        </w:rPr>
        <w:t>日上午</w:t>
      </w:r>
      <w:r>
        <w:rPr>
          <w:rFonts w:hint="eastAsia" w:ascii="宋体" w:hAnsi="宋体" w:eastAsia="宋体" w:cs="宋体"/>
          <w:sz w:val="24"/>
          <w:highlight w:val="none"/>
          <w:lang w:val="en-US" w:eastAsia="zh-CN"/>
        </w:rPr>
        <w:t>9</w:t>
      </w:r>
      <w:r>
        <w:rPr>
          <w:rFonts w:hint="eastAsia" w:ascii="宋体" w:hAnsi="宋体" w:eastAsia="宋体" w:cs="宋体"/>
          <w:sz w:val="24"/>
          <w:highlight w:val="none"/>
        </w:rPr>
        <w:t>：00时</w:t>
      </w:r>
      <w:bookmarkEnd w:id="136"/>
      <w:r>
        <w:rPr>
          <w:rFonts w:hint="eastAsia" w:ascii="宋体" w:hAnsi="宋体" w:eastAsia="宋体" w:cs="宋体"/>
          <w:sz w:val="24"/>
          <w:highlight w:val="none"/>
        </w:rPr>
        <w:t>（北京时间）之前递交到</w:t>
      </w:r>
      <w:r>
        <w:rPr>
          <w:rFonts w:hint="eastAsia" w:ascii="宋体" w:hAnsi="宋体" w:eastAsia="宋体" w:cs="宋体"/>
          <w:b/>
          <w:bCs/>
          <w:sz w:val="24"/>
          <w:highlight w:val="none"/>
          <w:u w:val="single"/>
        </w:rPr>
        <w:t>厦门市思明区莲岳路221号公交大厦一号楼</w:t>
      </w:r>
      <w:r>
        <w:rPr>
          <w:rFonts w:hint="eastAsia" w:ascii="宋体" w:hAnsi="宋体" w:eastAsia="宋体" w:cs="宋体"/>
          <w:b/>
          <w:bCs/>
          <w:sz w:val="24"/>
          <w:highlight w:val="none"/>
          <w:u w:val="single"/>
          <w:lang w:val="en-US" w:eastAsia="zh-CN"/>
        </w:rPr>
        <w:t>2101单元开标厅</w:t>
      </w:r>
      <w:r>
        <w:rPr>
          <w:rFonts w:hint="eastAsia" w:ascii="宋体" w:hAnsi="宋体" w:eastAsia="宋体" w:cs="宋体"/>
          <w:sz w:val="24"/>
          <w:highlight w:val="none"/>
        </w:rPr>
        <w:t>，快递邮寄或直接送达以签收时间为准，逾期递交的或不符合规定的响应文件将被拒绝。采用</w:t>
      </w:r>
      <w:r>
        <w:rPr>
          <w:rFonts w:hint="eastAsia" w:ascii="宋体" w:hAnsi="宋体" w:eastAsia="宋体" w:cs="宋体"/>
          <w:b/>
          <w:sz w:val="24"/>
          <w:highlight w:val="none"/>
        </w:rPr>
        <w:t>快递邮寄的，快递封面或外包装应明显标注“中华人民共和国高崎出入境边防检查站</w:t>
      </w:r>
      <w:r>
        <w:rPr>
          <w:rFonts w:hint="eastAsia" w:ascii="宋体" w:hAnsi="宋体" w:eastAsia="宋体" w:cs="宋体"/>
          <w:b/>
          <w:sz w:val="24"/>
          <w:highlight w:val="none"/>
          <w:lang w:eastAsia="zh-CN"/>
        </w:rPr>
        <w:t>机房核心设备及配套软件维保服务项目</w:t>
      </w:r>
      <w:r>
        <w:rPr>
          <w:rFonts w:hint="eastAsia" w:ascii="宋体" w:hAnsi="宋体" w:eastAsia="宋体" w:cs="宋体"/>
          <w:b/>
          <w:sz w:val="24"/>
          <w:highlight w:val="none"/>
        </w:rPr>
        <w:t>”。</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5. 响应供应商对本次比选活动事项提出疑问的，请以书面的形式与采购人联系。 </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 以上信息或本项目</w:t>
      </w:r>
      <w:r>
        <w:rPr>
          <w:rFonts w:hint="eastAsia" w:ascii="宋体" w:hAnsi="宋体" w:eastAsia="宋体" w:cs="宋体"/>
          <w:sz w:val="24"/>
          <w:highlight w:val="none"/>
          <w:lang w:eastAsia="zh-CN"/>
        </w:rPr>
        <w:t>的其他内容</w:t>
      </w:r>
      <w:r>
        <w:rPr>
          <w:rFonts w:hint="eastAsia" w:ascii="宋体" w:hAnsi="宋体" w:eastAsia="宋体" w:cs="宋体"/>
          <w:sz w:val="24"/>
          <w:highlight w:val="none"/>
        </w:rPr>
        <w:t>如有变更，采购人将通过中国政府采购网（h</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"http://www.ccgp.gov.cn/" \h </w:instrText>
      </w:r>
      <w:r>
        <w:rPr>
          <w:rFonts w:hint="eastAsia" w:ascii="宋体" w:hAnsi="宋体" w:eastAsia="宋体" w:cs="宋体"/>
          <w:highlight w:val="none"/>
        </w:rPr>
        <w:fldChar w:fldCharType="separate"/>
      </w:r>
      <w:r>
        <w:rPr>
          <w:rFonts w:hint="eastAsia" w:ascii="宋体" w:hAnsi="宋体" w:eastAsia="宋体" w:cs="宋体"/>
          <w:sz w:val="24"/>
          <w:highlight w:val="none"/>
        </w:rPr>
        <w:t>ttp://www.ccgp.gov.cn/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）等信息发布媒体通知，请各响应供应商在响应文件递交截止前随时留意以上网站关于本比选项目的有关信息。 </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7. 交通拥堵，递交响应文件请提前做好准备。 </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8. 采购人联系方式：</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eastAsia" w:ascii="宋体" w:hAnsi="宋体" w:eastAsia="宋体" w:cs="宋体"/>
          <w:sz w:val="24"/>
          <w:highlight w:val="none"/>
        </w:rPr>
      </w:pPr>
      <w:r>
        <w:rPr>
          <w:rFonts w:hint="eastAsia" w:ascii="宋体" w:hAnsi="宋体" w:eastAsia="宋体" w:cs="宋体"/>
          <w:sz w:val="24"/>
          <w:highlight w:val="none"/>
        </w:rPr>
        <w:t>地址：厦门市湖里区禾山路1626号</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eastAsia" w:ascii="宋体" w:hAnsi="宋体" w:eastAsia="宋体" w:cs="宋体"/>
          <w:sz w:val="24"/>
          <w:highlight w:val="none"/>
        </w:rPr>
      </w:pPr>
      <w:r>
        <w:rPr>
          <w:rFonts w:hint="eastAsia" w:ascii="宋体" w:hAnsi="宋体" w:eastAsia="宋体" w:cs="宋体"/>
          <w:sz w:val="24"/>
          <w:highlight w:val="none"/>
        </w:rPr>
        <w:t>联系人1：陈警官（采购需求咨询）</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eastAsia" w:ascii="宋体" w:hAnsi="宋体" w:eastAsia="宋体" w:cs="宋体"/>
          <w:sz w:val="24"/>
          <w:highlight w:val="none"/>
        </w:rPr>
      </w:pPr>
      <w:r>
        <w:rPr>
          <w:rFonts w:hint="eastAsia" w:ascii="宋体" w:hAnsi="宋体" w:eastAsia="宋体" w:cs="宋体"/>
          <w:sz w:val="24"/>
          <w:highlight w:val="none"/>
        </w:rPr>
        <w:t>电话：0592-5797862</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eastAsia" w:ascii="宋体" w:hAnsi="宋体" w:eastAsia="宋体" w:cs="宋体"/>
          <w:sz w:val="24"/>
          <w:highlight w:val="none"/>
        </w:rPr>
      </w:pPr>
      <w:r>
        <w:rPr>
          <w:rFonts w:hint="eastAsia" w:ascii="宋体" w:hAnsi="宋体" w:eastAsia="宋体" w:cs="宋体"/>
          <w:sz w:val="24"/>
          <w:highlight w:val="none"/>
        </w:rPr>
        <w:t>联系人2：陈警官（采购文件咨询）</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eastAsia" w:ascii="宋体" w:hAnsi="宋体" w:eastAsia="宋体" w:cs="宋体"/>
          <w:sz w:val="24"/>
          <w:highlight w:val="none"/>
        </w:rPr>
      </w:pPr>
      <w:r>
        <w:rPr>
          <w:rFonts w:hint="eastAsia" w:ascii="宋体" w:hAnsi="宋体" w:eastAsia="宋体" w:cs="宋体"/>
          <w:sz w:val="24"/>
          <w:highlight w:val="none"/>
        </w:rPr>
        <w:t>电话：0592-5797836</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9.文件递交联系</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rPr>
        <w:t>地址：厦门市思明区莲岳路221号公交大厦1号楼</w:t>
      </w:r>
      <w:r>
        <w:rPr>
          <w:rFonts w:hint="eastAsia" w:ascii="宋体" w:hAnsi="宋体" w:eastAsia="宋体" w:cs="宋体"/>
          <w:sz w:val="24"/>
          <w:highlight w:val="none"/>
          <w:lang w:val="en-US" w:eastAsia="zh-CN"/>
        </w:rPr>
        <w:t>2101单元</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eastAsia" w:ascii="宋体" w:hAnsi="宋体" w:eastAsia="宋体" w:cs="宋体"/>
          <w:sz w:val="24"/>
          <w:highlight w:val="none"/>
        </w:rPr>
      </w:pPr>
      <w:r>
        <w:rPr>
          <w:rFonts w:hint="eastAsia" w:ascii="宋体" w:hAnsi="宋体" w:eastAsia="宋体" w:cs="宋体"/>
          <w:sz w:val="24"/>
          <w:highlight w:val="none"/>
        </w:rPr>
        <w:t>联系人：严先生</w:t>
      </w:r>
    </w:p>
    <w:p>
      <w:pPr>
        <w:keepNext w:val="0"/>
        <w:keepLines w:val="0"/>
        <w:pageBreakBefore w:val="0"/>
        <w:widowControl w:val="0"/>
        <w:kinsoku/>
        <w:wordWrap/>
        <w:overflowPunct/>
        <w:topLinePunct w:val="0"/>
        <w:autoSpaceDE/>
        <w:autoSpaceDN/>
        <w:bidi w:val="0"/>
        <w:adjustRightInd/>
        <w:snapToGrid/>
        <w:spacing w:line="276" w:lineRule="auto"/>
        <w:ind w:firstLine="960" w:firstLineChars="4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电话：0592-2070077/</w:t>
      </w:r>
      <w:r>
        <w:rPr>
          <w:rFonts w:hint="eastAsia" w:ascii="宋体" w:hAnsi="宋体" w:eastAsia="宋体" w:cs="宋体"/>
          <w:sz w:val="24"/>
          <w:highlight w:val="none"/>
          <w:lang w:val="en-US" w:eastAsia="zh-CN"/>
        </w:rPr>
        <w:t>18950021377</w:t>
      </w:r>
    </w:p>
    <w:p>
      <w:pPr>
        <w:pStyle w:val="2"/>
        <w:rPr>
          <w:rFonts w:hint="eastAsia" w:ascii="宋体" w:hAnsi="宋体" w:eastAsia="宋体" w:cs="宋体"/>
          <w:highlight w:val="none"/>
        </w:rPr>
        <w:sectPr>
          <w:footerReference r:id="rId5" w:type="default"/>
          <w:pgSz w:w="11910" w:h="16850"/>
          <w:pgMar w:top="1400" w:right="1134" w:bottom="1160" w:left="1417" w:header="0" w:footer="980" w:gutter="0"/>
          <w:pgNumType w:start="1"/>
          <w:cols w:space="720" w:num="1"/>
        </w:sectPr>
      </w:pPr>
    </w:p>
    <w:p>
      <w:pPr>
        <w:pStyle w:val="9"/>
        <w:spacing w:line="311" w:lineRule="exact"/>
        <w:jc w:val="left"/>
        <w:rPr>
          <w:rFonts w:hint="eastAsia" w:ascii="宋体" w:hAnsi="宋体" w:eastAsia="宋体" w:cs="宋体"/>
          <w:highlight w:val="none"/>
        </w:rPr>
      </w:pPr>
      <w:r>
        <w:rPr>
          <w:rFonts w:hint="eastAsia" w:ascii="宋体" w:hAnsi="宋体" w:eastAsia="宋体" w:cs="宋体"/>
          <w:highlight w:val="none"/>
        </w:rPr>
        <w:t xml:space="preserve">附：采购项目一览表 </w:t>
      </w:r>
    </w:p>
    <w:p>
      <w:pPr>
        <w:rPr>
          <w:rFonts w:hint="eastAsia" w:ascii="宋体" w:hAnsi="宋体" w:eastAsia="宋体" w:cs="宋体"/>
          <w:sz w:val="20"/>
          <w:szCs w:val="20"/>
          <w:highlight w:val="none"/>
        </w:rPr>
      </w:pPr>
    </w:p>
    <w:p>
      <w:pPr>
        <w:pStyle w:val="3"/>
        <w:spacing w:line="240" w:lineRule="auto"/>
        <w:jc w:val="center"/>
        <w:rPr>
          <w:rFonts w:hint="eastAsia" w:ascii="宋体" w:hAnsi="宋体" w:eastAsia="宋体" w:cs="宋体"/>
          <w:highlight w:val="none"/>
        </w:rPr>
      </w:pPr>
      <w:bookmarkStart w:id="8" w:name="_Toc1255"/>
      <w:bookmarkStart w:id="9" w:name="_Toc3942"/>
      <w:bookmarkStart w:id="10" w:name="_Toc6408"/>
      <w:bookmarkStart w:id="11" w:name="_Toc12011"/>
      <w:r>
        <w:rPr>
          <w:rFonts w:hint="eastAsia" w:ascii="宋体" w:hAnsi="宋体" w:eastAsia="宋体" w:cs="宋体"/>
          <w:highlight w:val="none"/>
        </w:rPr>
        <w:t>采购项目一览表</w:t>
      </w:r>
      <w:bookmarkEnd w:id="8"/>
      <w:bookmarkEnd w:id="9"/>
      <w:bookmarkEnd w:id="10"/>
      <w:bookmarkEnd w:id="11"/>
      <w:r>
        <w:rPr>
          <w:rFonts w:hint="eastAsia" w:ascii="宋体" w:hAnsi="宋体" w:eastAsia="宋体" w:cs="宋体"/>
          <w:highlight w:val="none"/>
        </w:rPr>
        <w:t xml:space="preserve"> </w:t>
      </w:r>
    </w:p>
    <w:p>
      <w:pPr>
        <w:rPr>
          <w:rFonts w:hint="eastAsia" w:ascii="宋体" w:hAnsi="宋体" w:eastAsia="宋体" w:cs="宋体"/>
          <w:b/>
          <w:bCs/>
          <w:sz w:val="20"/>
          <w:szCs w:val="20"/>
          <w:highlight w:val="none"/>
        </w:rPr>
      </w:pPr>
    </w:p>
    <w:p>
      <w:pPr>
        <w:rPr>
          <w:rFonts w:hint="eastAsia" w:ascii="宋体" w:hAnsi="宋体" w:eastAsia="宋体" w:cs="宋体"/>
          <w:b/>
          <w:bCs/>
          <w:sz w:val="20"/>
          <w:szCs w:val="20"/>
          <w:highlight w:val="none"/>
        </w:rPr>
      </w:pPr>
    </w:p>
    <w:p>
      <w:pPr>
        <w:spacing w:before="4"/>
        <w:rPr>
          <w:rFonts w:hint="eastAsia" w:ascii="宋体" w:hAnsi="宋体" w:eastAsia="宋体" w:cs="宋体"/>
          <w:b/>
          <w:bCs/>
          <w:sz w:val="19"/>
          <w:szCs w:val="19"/>
          <w:highlight w:val="none"/>
        </w:rPr>
      </w:pPr>
    </w:p>
    <w:tbl>
      <w:tblPr>
        <w:tblStyle w:val="24"/>
        <w:tblW w:w="9176" w:type="dxa"/>
        <w:tblInd w:w="109" w:type="dxa"/>
        <w:tblLayout w:type="fixed"/>
        <w:tblCellMar>
          <w:top w:w="0" w:type="dxa"/>
          <w:left w:w="0" w:type="dxa"/>
          <w:bottom w:w="0" w:type="dxa"/>
          <w:right w:w="0" w:type="dxa"/>
        </w:tblCellMar>
      </w:tblPr>
      <w:tblGrid>
        <w:gridCol w:w="637"/>
        <w:gridCol w:w="1704"/>
        <w:gridCol w:w="696"/>
        <w:gridCol w:w="1421"/>
        <w:gridCol w:w="1661"/>
        <w:gridCol w:w="3057"/>
      </w:tblGrid>
      <w:tr>
        <w:tblPrEx>
          <w:tblCellMar>
            <w:top w:w="0" w:type="dxa"/>
            <w:left w:w="0" w:type="dxa"/>
            <w:bottom w:w="0" w:type="dxa"/>
            <w:right w:w="0" w:type="dxa"/>
          </w:tblCellMar>
        </w:tblPrEx>
        <w:trPr>
          <w:trHeight w:val="482" w:hRule="exact"/>
        </w:trPr>
        <w:tc>
          <w:tcPr>
            <w:tcW w:w="637" w:type="dxa"/>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2"/>
                <w:highlight w:val="none"/>
              </w:rPr>
            </w:pPr>
            <w:r>
              <w:rPr>
                <w:rFonts w:hint="eastAsia" w:ascii="宋体" w:hAnsi="宋体" w:eastAsia="宋体" w:cs="宋体"/>
                <w:sz w:val="22"/>
                <w:highlight w:val="none"/>
              </w:rPr>
              <w:t>序号</w:t>
            </w:r>
          </w:p>
        </w:tc>
        <w:tc>
          <w:tcPr>
            <w:tcW w:w="1704" w:type="dxa"/>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2"/>
                <w:highlight w:val="none"/>
              </w:rPr>
            </w:pPr>
            <w:r>
              <w:rPr>
                <w:rFonts w:hint="eastAsia" w:ascii="宋体" w:hAnsi="宋体" w:eastAsia="宋体" w:cs="宋体"/>
                <w:sz w:val="22"/>
                <w:highlight w:val="none"/>
              </w:rPr>
              <w:t>项目名称</w:t>
            </w:r>
          </w:p>
        </w:tc>
        <w:tc>
          <w:tcPr>
            <w:tcW w:w="696" w:type="dxa"/>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2"/>
                <w:highlight w:val="none"/>
              </w:rPr>
            </w:pPr>
            <w:r>
              <w:rPr>
                <w:rFonts w:hint="eastAsia" w:ascii="宋体" w:hAnsi="宋体" w:eastAsia="宋体" w:cs="宋体"/>
                <w:sz w:val="22"/>
                <w:highlight w:val="none"/>
              </w:rPr>
              <w:t>数量</w:t>
            </w:r>
          </w:p>
        </w:tc>
        <w:tc>
          <w:tcPr>
            <w:tcW w:w="1421" w:type="dxa"/>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2"/>
                <w:highlight w:val="none"/>
              </w:rPr>
            </w:pPr>
            <w:r>
              <w:rPr>
                <w:rFonts w:hint="eastAsia" w:ascii="宋体" w:hAnsi="宋体" w:eastAsia="宋体" w:cs="宋体"/>
                <w:sz w:val="22"/>
                <w:highlight w:val="none"/>
              </w:rPr>
              <w:t>主要技术要求</w:t>
            </w:r>
          </w:p>
        </w:tc>
        <w:tc>
          <w:tcPr>
            <w:tcW w:w="1661" w:type="dxa"/>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2"/>
                <w:highlight w:val="none"/>
              </w:rPr>
            </w:pPr>
            <w:r>
              <w:rPr>
                <w:rFonts w:hint="eastAsia" w:ascii="宋体" w:hAnsi="宋体" w:eastAsia="宋体" w:cs="宋体"/>
                <w:sz w:val="22"/>
                <w:highlight w:val="none"/>
              </w:rPr>
              <w:t>履约地点</w:t>
            </w:r>
          </w:p>
        </w:tc>
        <w:tc>
          <w:tcPr>
            <w:tcW w:w="3057" w:type="dxa"/>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2"/>
                <w:highlight w:val="none"/>
              </w:rPr>
            </w:pPr>
            <w:r>
              <w:rPr>
                <w:rFonts w:hint="eastAsia" w:ascii="宋体" w:hAnsi="宋体" w:eastAsia="宋体" w:cs="宋体"/>
                <w:sz w:val="22"/>
                <w:highlight w:val="none"/>
              </w:rPr>
              <w:t>项目</w:t>
            </w:r>
            <w:r>
              <w:rPr>
                <w:rFonts w:hint="eastAsia" w:ascii="宋体" w:hAnsi="宋体" w:eastAsia="宋体" w:cs="宋体"/>
                <w:sz w:val="22"/>
                <w:highlight w:val="none"/>
                <w:lang w:val="en-US" w:eastAsia="zh-CN"/>
              </w:rPr>
              <w:t>服务</w:t>
            </w:r>
            <w:r>
              <w:rPr>
                <w:rFonts w:hint="eastAsia" w:ascii="宋体" w:hAnsi="宋体" w:eastAsia="宋体" w:cs="宋体"/>
                <w:sz w:val="22"/>
                <w:highlight w:val="none"/>
              </w:rPr>
              <w:t>期</w:t>
            </w:r>
          </w:p>
        </w:tc>
      </w:tr>
      <w:tr>
        <w:tblPrEx>
          <w:tblCellMar>
            <w:top w:w="0" w:type="dxa"/>
            <w:left w:w="0" w:type="dxa"/>
            <w:bottom w:w="0" w:type="dxa"/>
            <w:right w:w="0" w:type="dxa"/>
          </w:tblCellMar>
        </w:tblPrEx>
        <w:trPr>
          <w:trHeight w:val="2281" w:hRule="exact"/>
        </w:trPr>
        <w:tc>
          <w:tcPr>
            <w:tcW w:w="637" w:type="dxa"/>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c>
          <w:tcPr>
            <w:tcW w:w="1704" w:type="dxa"/>
            <w:tcBorders>
              <w:top w:val="single" w:color="000000" w:sz="4" w:space="0"/>
              <w:left w:val="single" w:color="000000" w:sz="4" w:space="0"/>
              <w:bottom w:val="single" w:color="000000" w:sz="4" w:space="0"/>
              <w:right w:val="single" w:color="000000" w:sz="4" w:space="0"/>
            </w:tcBorders>
            <w:vAlign w:val="center"/>
          </w:tcPr>
          <w:p>
            <w:pPr>
              <w:pStyle w:val="33"/>
              <w:ind w:right="0"/>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机房核心设备及配套软件维保服务项目</w:t>
            </w:r>
          </w:p>
        </w:tc>
        <w:tc>
          <w:tcPr>
            <w:tcW w:w="696" w:type="dxa"/>
            <w:tcBorders>
              <w:top w:val="single" w:color="000000" w:sz="4" w:space="0"/>
              <w:left w:val="single" w:color="000000" w:sz="4" w:space="0"/>
              <w:bottom w:val="single" w:color="000000" w:sz="4" w:space="0"/>
              <w:right w:val="single" w:color="000000" w:sz="4" w:space="0"/>
            </w:tcBorders>
            <w:vAlign w:val="center"/>
          </w:tcPr>
          <w:p>
            <w:pPr>
              <w:pStyle w:val="33"/>
              <w:ind w:right="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 批</w:t>
            </w:r>
          </w:p>
        </w:tc>
        <w:tc>
          <w:tcPr>
            <w:tcW w:w="1421" w:type="dxa"/>
            <w:tcBorders>
              <w:top w:val="single" w:color="000000" w:sz="4" w:space="0"/>
              <w:left w:val="single" w:color="000000" w:sz="4" w:space="0"/>
              <w:bottom w:val="single" w:color="000000" w:sz="4" w:space="0"/>
              <w:right w:val="single" w:color="000000" w:sz="4" w:space="0"/>
            </w:tcBorders>
            <w:vAlign w:val="center"/>
          </w:tcPr>
          <w:p>
            <w:pPr>
              <w:pStyle w:val="33"/>
              <w:ind w:right="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详见比选文件第三章</w:t>
            </w:r>
          </w:p>
        </w:tc>
        <w:tc>
          <w:tcPr>
            <w:tcW w:w="1661" w:type="dxa"/>
            <w:tcBorders>
              <w:top w:val="single" w:color="000000" w:sz="4" w:space="0"/>
              <w:left w:val="single" w:color="000000" w:sz="4" w:space="0"/>
              <w:bottom w:val="single" w:color="000000" w:sz="4" w:space="0"/>
              <w:right w:val="single" w:color="000000" w:sz="4" w:space="0"/>
            </w:tcBorders>
            <w:vAlign w:val="center"/>
          </w:tcPr>
          <w:p>
            <w:pPr>
              <w:pStyle w:val="33"/>
              <w:ind w:right="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采购人指定地点</w:t>
            </w:r>
          </w:p>
        </w:tc>
        <w:tc>
          <w:tcPr>
            <w:tcW w:w="3057" w:type="dxa"/>
            <w:tcBorders>
              <w:top w:val="single" w:color="000000" w:sz="4" w:space="0"/>
              <w:left w:val="single" w:color="000000" w:sz="4" w:space="0"/>
              <w:bottom w:val="single" w:color="000000" w:sz="4" w:space="0"/>
              <w:right w:val="single" w:color="000000" w:sz="4" w:space="0"/>
            </w:tcBorders>
            <w:vAlign w:val="center"/>
          </w:tcPr>
          <w:p>
            <w:pPr>
              <w:pStyle w:val="33"/>
              <w:ind w:right="0"/>
              <w:jc w:val="center"/>
              <w:rPr>
                <w:rFonts w:hint="eastAsia" w:ascii="宋体" w:hAnsi="宋体" w:eastAsia="宋体" w:cs="宋体"/>
                <w:sz w:val="22"/>
                <w:szCs w:val="22"/>
                <w:highlight w:val="none"/>
                <w:lang w:val="en-US" w:eastAsia="zh-CN"/>
              </w:rPr>
            </w:pPr>
            <w:r>
              <w:rPr>
                <w:rFonts w:hint="eastAsia" w:ascii="宋体" w:hAnsi="宋体" w:eastAsia="宋体" w:cs="宋体"/>
                <w:color w:val="auto"/>
                <w:sz w:val="22"/>
                <w:szCs w:val="22"/>
                <w:highlight w:val="none"/>
                <w:lang w:val="en-US" w:eastAsia="zh-CN"/>
              </w:rPr>
              <w:t>原维保服务合同到期之日起，服务期1年。</w:t>
            </w:r>
          </w:p>
        </w:tc>
      </w:tr>
    </w:tbl>
    <w:p>
      <w:pPr>
        <w:pStyle w:val="33"/>
        <w:spacing w:line="274" w:lineRule="exact"/>
        <w:jc w:val="center"/>
        <w:rPr>
          <w:rFonts w:hint="eastAsia" w:ascii="宋体" w:hAnsi="宋体" w:eastAsia="宋体" w:cs="宋体"/>
          <w:sz w:val="22"/>
          <w:highlight w:val="none"/>
        </w:rPr>
      </w:pPr>
      <w:r>
        <w:rPr>
          <w:rFonts w:hint="eastAsia" w:ascii="宋体" w:hAnsi="宋体" w:eastAsia="宋体" w:cs="宋体"/>
          <w:sz w:val="22"/>
          <w:highlight w:val="none"/>
        </w:rPr>
        <w:t>注：本项目为一个合同包，响应供应商须对合同包内所有内容进行</w:t>
      </w:r>
      <w:r>
        <w:rPr>
          <w:rFonts w:hint="eastAsia" w:ascii="宋体" w:hAnsi="宋体" w:eastAsia="宋体" w:cs="宋体"/>
          <w:sz w:val="22"/>
          <w:highlight w:val="none"/>
          <w:lang w:eastAsia="zh-CN"/>
        </w:rPr>
        <w:t>响应</w:t>
      </w:r>
      <w:r>
        <w:rPr>
          <w:rFonts w:hint="eastAsia" w:ascii="宋体" w:hAnsi="宋体" w:eastAsia="宋体" w:cs="宋体"/>
          <w:sz w:val="22"/>
          <w:highlight w:val="none"/>
        </w:rPr>
        <w:t xml:space="preserve">，按合同包推荐成交供应商。 </w:t>
      </w:r>
    </w:p>
    <w:p>
      <w:pPr>
        <w:pStyle w:val="9"/>
        <w:jc w:val="left"/>
        <w:rPr>
          <w:rFonts w:hint="eastAsia" w:ascii="宋体" w:hAnsi="宋体" w:eastAsia="宋体" w:cs="宋体"/>
          <w:highlight w:val="none"/>
        </w:rPr>
      </w:pPr>
      <w:r>
        <w:rPr>
          <w:rFonts w:hint="eastAsia" w:ascii="宋体" w:hAnsi="宋体" w:eastAsia="宋体" w:cs="宋体"/>
          <w:highlight w:val="none"/>
        </w:rPr>
        <w:t xml:space="preserve"> </w:t>
      </w:r>
    </w:p>
    <w:p>
      <w:pPr>
        <w:pStyle w:val="9"/>
        <w:spacing w:before="151"/>
        <w:jc w:val="left"/>
        <w:rPr>
          <w:rFonts w:hint="eastAsia" w:ascii="宋体" w:hAnsi="宋体" w:eastAsia="宋体" w:cs="宋体"/>
          <w:highlight w:val="none"/>
        </w:rPr>
      </w:pPr>
      <w:r>
        <w:rPr>
          <w:rFonts w:hint="eastAsia" w:ascii="宋体" w:hAnsi="宋体" w:eastAsia="宋体" w:cs="宋体"/>
          <w:highlight w:val="none"/>
        </w:rPr>
        <w:t xml:space="preserve"> </w:t>
      </w:r>
    </w:p>
    <w:p>
      <w:pPr>
        <w:jc w:val="left"/>
        <w:rPr>
          <w:rFonts w:hint="eastAsia" w:ascii="宋体" w:hAnsi="宋体" w:eastAsia="宋体" w:cs="宋体"/>
          <w:highlight w:val="none"/>
        </w:rPr>
        <w:sectPr>
          <w:pgSz w:w="11910" w:h="16850"/>
          <w:pgMar w:top="1380" w:right="1020" w:bottom="1160" w:left="1480" w:header="0" w:footer="980" w:gutter="0"/>
          <w:cols w:space="720" w:num="1"/>
        </w:sectPr>
      </w:pPr>
    </w:p>
    <w:p>
      <w:pPr>
        <w:pStyle w:val="2"/>
        <w:spacing w:before="0" w:after="0" w:line="360" w:lineRule="auto"/>
        <w:jc w:val="center"/>
        <w:rPr>
          <w:rFonts w:hint="eastAsia" w:ascii="宋体" w:hAnsi="宋体" w:eastAsia="宋体" w:cs="宋体"/>
          <w:b/>
          <w:bCs/>
          <w:sz w:val="36"/>
          <w:szCs w:val="36"/>
          <w:highlight w:val="none"/>
        </w:rPr>
      </w:pPr>
      <w:bookmarkStart w:id="12" w:name="_Toc26649"/>
      <w:bookmarkStart w:id="13" w:name="_Toc30842"/>
      <w:bookmarkStart w:id="14" w:name="_Toc2231"/>
      <w:bookmarkStart w:id="15" w:name="_Toc9991"/>
      <w:r>
        <w:rPr>
          <w:rFonts w:hint="eastAsia" w:ascii="宋体" w:hAnsi="宋体" w:eastAsia="宋体" w:cs="宋体"/>
          <w:b/>
          <w:bCs/>
          <w:sz w:val="36"/>
          <w:szCs w:val="36"/>
          <w:highlight w:val="none"/>
        </w:rPr>
        <w:t>第二章 响应供应商须知</w:t>
      </w:r>
      <w:bookmarkEnd w:id="12"/>
      <w:bookmarkEnd w:id="13"/>
      <w:bookmarkEnd w:id="14"/>
      <w:bookmarkEnd w:id="15"/>
      <w:r>
        <w:rPr>
          <w:rFonts w:hint="eastAsia" w:ascii="宋体" w:hAnsi="宋体" w:eastAsia="宋体" w:cs="宋体"/>
          <w:b/>
          <w:bCs/>
          <w:sz w:val="36"/>
          <w:szCs w:val="36"/>
          <w:highlight w:val="none"/>
        </w:rPr>
        <w:t xml:space="preserve"> </w:t>
      </w:r>
    </w:p>
    <w:p>
      <w:pPr>
        <w:pStyle w:val="3"/>
        <w:spacing w:line="240" w:lineRule="auto"/>
        <w:jc w:val="center"/>
        <w:rPr>
          <w:rFonts w:hint="eastAsia" w:ascii="宋体" w:hAnsi="宋体" w:eastAsia="宋体" w:cs="宋体"/>
          <w:highlight w:val="none"/>
        </w:rPr>
      </w:pPr>
      <w:bookmarkStart w:id="16" w:name="_Toc6658"/>
      <w:bookmarkStart w:id="17" w:name="_Toc29882"/>
      <w:bookmarkStart w:id="18" w:name="_Toc17788"/>
      <w:bookmarkStart w:id="19" w:name="_Toc30700"/>
      <w:r>
        <w:rPr>
          <w:rFonts w:hint="eastAsia" w:ascii="宋体" w:hAnsi="宋体" w:eastAsia="宋体" w:cs="宋体"/>
          <w:highlight w:val="none"/>
        </w:rPr>
        <w:t>响应供应商须知前附表</w:t>
      </w:r>
      <w:bookmarkEnd w:id="16"/>
      <w:bookmarkEnd w:id="17"/>
      <w:bookmarkEnd w:id="18"/>
      <w:r>
        <w:rPr>
          <w:rFonts w:hint="eastAsia" w:ascii="宋体" w:hAnsi="宋体" w:eastAsia="宋体" w:cs="宋体"/>
          <w:highlight w:val="none"/>
        </w:rPr>
        <w:t>1</w:t>
      </w:r>
      <w:bookmarkEnd w:id="19"/>
      <w:r>
        <w:rPr>
          <w:rFonts w:hint="eastAsia" w:ascii="宋体" w:hAnsi="宋体" w:eastAsia="宋体" w:cs="宋体"/>
          <w:highlight w:val="none"/>
        </w:rPr>
        <w:t xml:space="preserve"> </w:t>
      </w:r>
    </w:p>
    <w:p>
      <w:pPr>
        <w:rPr>
          <w:rFonts w:hint="eastAsia" w:ascii="宋体" w:hAnsi="宋体" w:eastAsia="宋体" w:cs="宋体"/>
          <w:highlight w:val="none"/>
        </w:rPr>
      </w:pPr>
    </w:p>
    <w:p>
      <w:pPr>
        <w:spacing w:line="355" w:lineRule="auto"/>
        <w:ind w:left="109" w:firstLine="525"/>
        <w:jc w:val="left"/>
        <w:rPr>
          <w:rFonts w:hint="eastAsia" w:ascii="宋体" w:hAnsi="宋体" w:eastAsia="宋体" w:cs="宋体"/>
          <w:szCs w:val="21"/>
          <w:highlight w:val="none"/>
        </w:rPr>
      </w:pPr>
      <w:r>
        <w:rPr>
          <w:rFonts w:hint="eastAsia" w:ascii="宋体" w:hAnsi="宋体" w:eastAsia="宋体" w:cs="宋体"/>
          <w:spacing w:val="-6"/>
          <w:sz w:val="22"/>
          <w:szCs w:val="22"/>
          <w:highlight w:val="none"/>
        </w:rPr>
        <w:t>本须知前附表中的条款是与《响应供应商须知》中的条款相对应的。如果有矛盾的话，应以本须</w:t>
      </w:r>
      <w:r>
        <w:rPr>
          <w:rFonts w:hint="eastAsia" w:ascii="宋体" w:hAnsi="宋体" w:eastAsia="宋体" w:cs="宋体"/>
          <w:sz w:val="22"/>
          <w:szCs w:val="22"/>
          <w:highlight w:val="none"/>
        </w:rPr>
        <w:t>知前附表为准。</w:t>
      </w:r>
      <w:r>
        <w:rPr>
          <w:rFonts w:hint="eastAsia" w:ascii="宋体" w:hAnsi="宋体" w:eastAsia="宋体" w:cs="宋体"/>
          <w:spacing w:val="-3"/>
          <w:szCs w:val="21"/>
          <w:highlight w:val="none"/>
        </w:rPr>
        <w:t xml:space="preserve"> </w:t>
      </w:r>
    </w:p>
    <w:tbl>
      <w:tblPr>
        <w:tblStyle w:val="25"/>
        <w:tblW w:w="0" w:type="auto"/>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8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pPr>
              <w:pStyle w:val="33"/>
              <w:spacing w:line="480" w:lineRule="exact"/>
              <w:ind w:left="86" w:right="-2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序</w:t>
            </w:r>
            <w:r>
              <w:rPr>
                <w:rFonts w:hint="eastAsia" w:ascii="宋体" w:hAnsi="宋体" w:eastAsia="宋体" w:cs="宋体"/>
                <w:b/>
                <w:bCs/>
                <w:spacing w:val="-3"/>
                <w:sz w:val="22"/>
                <w:szCs w:val="22"/>
                <w:highlight w:val="none"/>
              </w:rPr>
              <w:t>号</w:t>
            </w:r>
            <w:r>
              <w:rPr>
                <w:rFonts w:hint="eastAsia" w:ascii="宋体" w:hAnsi="宋体" w:eastAsia="宋体" w:cs="宋体"/>
                <w:b/>
                <w:bCs/>
                <w:sz w:val="22"/>
                <w:szCs w:val="22"/>
                <w:highlight w:val="none"/>
              </w:rPr>
              <w:t xml:space="preserve"> </w:t>
            </w:r>
          </w:p>
        </w:tc>
        <w:tc>
          <w:tcPr>
            <w:tcW w:w="8115" w:type="dxa"/>
          </w:tcPr>
          <w:p>
            <w:pPr>
              <w:pStyle w:val="33"/>
              <w:spacing w:line="480" w:lineRule="exact"/>
              <w:ind w:left="103"/>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编  </w:t>
            </w:r>
            <w:r>
              <w:rPr>
                <w:rFonts w:hint="eastAsia" w:ascii="宋体" w:hAnsi="宋体" w:eastAsia="宋体" w:cs="宋体"/>
                <w:b/>
                <w:bCs/>
                <w:spacing w:val="-3"/>
                <w:sz w:val="22"/>
                <w:szCs w:val="22"/>
                <w:highlight w:val="none"/>
              </w:rPr>
              <w:t xml:space="preserve"> </w:t>
            </w:r>
            <w:r>
              <w:rPr>
                <w:rFonts w:hint="eastAsia" w:ascii="宋体" w:hAnsi="宋体" w:eastAsia="宋体" w:cs="宋体"/>
                <w:b/>
                <w:bCs/>
                <w:sz w:val="22"/>
                <w:szCs w:val="22"/>
                <w:highlight w:val="none"/>
              </w:rPr>
              <w:t xml:space="preserve">列  </w:t>
            </w:r>
            <w:r>
              <w:rPr>
                <w:rFonts w:hint="eastAsia" w:ascii="宋体" w:hAnsi="宋体" w:eastAsia="宋体" w:cs="宋体"/>
                <w:b/>
                <w:bCs/>
                <w:spacing w:val="-3"/>
                <w:sz w:val="22"/>
                <w:szCs w:val="22"/>
                <w:highlight w:val="none"/>
              </w:rPr>
              <w:t xml:space="preserve"> </w:t>
            </w:r>
            <w:r>
              <w:rPr>
                <w:rFonts w:hint="eastAsia" w:ascii="宋体" w:hAnsi="宋体" w:eastAsia="宋体" w:cs="宋体"/>
                <w:b/>
                <w:bCs/>
                <w:sz w:val="22"/>
                <w:szCs w:val="22"/>
                <w:highlight w:val="none"/>
              </w:rPr>
              <w:t xml:space="preserve">内 </w:t>
            </w:r>
            <w:r>
              <w:rPr>
                <w:rFonts w:hint="eastAsia" w:ascii="宋体" w:hAnsi="宋体" w:eastAsia="宋体" w:cs="宋体"/>
                <w:b/>
                <w:bCs/>
                <w:spacing w:val="-3"/>
                <w:sz w:val="22"/>
                <w:szCs w:val="22"/>
                <w:highlight w:val="none"/>
              </w:rPr>
              <w:t xml:space="preserve"> </w:t>
            </w:r>
            <w:r>
              <w:rPr>
                <w:rFonts w:hint="eastAsia" w:ascii="宋体" w:hAnsi="宋体" w:eastAsia="宋体" w:cs="宋体"/>
                <w:b/>
                <w:bCs/>
                <w:sz w:val="22"/>
                <w:szCs w:val="22"/>
                <w:highlight w:val="none"/>
              </w:rPr>
              <w:t xml:space="preserve"> </w:t>
            </w:r>
            <w:r>
              <w:rPr>
                <w:rFonts w:hint="eastAsia" w:ascii="宋体" w:hAnsi="宋体" w:eastAsia="宋体" w:cs="宋体"/>
                <w:b/>
                <w:bCs/>
                <w:spacing w:val="-1"/>
                <w:sz w:val="22"/>
                <w:szCs w:val="22"/>
                <w:highlight w:val="none"/>
              </w:rPr>
              <w:t xml:space="preserve"> </w:t>
            </w:r>
            <w:r>
              <w:rPr>
                <w:rFonts w:hint="eastAsia" w:ascii="宋体" w:hAnsi="宋体" w:eastAsia="宋体" w:cs="宋体"/>
                <w:b/>
                <w:bCs/>
                <w:spacing w:val="-3"/>
                <w:sz w:val="22"/>
                <w:szCs w:val="22"/>
                <w:highlight w:val="none"/>
              </w:rPr>
              <w:t>容</w:t>
            </w:r>
            <w:r>
              <w:rPr>
                <w:rFonts w:hint="eastAsia" w:ascii="宋体" w:hAnsi="宋体" w:eastAsia="宋体" w:cs="宋体"/>
                <w:b/>
                <w:bCs/>
                <w:sz w:val="22"/>
                <w:szCs w:val="22"/>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z w:val="22"/>
                <w:szCs w:val="22"/>
                <w:highlight w:val="none"/>
              </w:rPr>
            </w:pPr>
            <w:r>
              <w:rPr>
                <w:rFonts w:hint="eastAsia" w:ascii="宋体" w:hAnsi="宋体" w:eastAsia="宋体" w:cs="宋体"/>
                <w:spacing w:val="-1"/>
                <w:sz w:val="22"/>
                <w:szCs w:val="24"/>
                <w:highlight w:val="none"/>
              </w:rPr>
              <w:t>1</w:t>
            </w:r>
          </w:p>
        </w:tc>
        <w:tc>
          <w:tcPr>
            <w:tcW w:w="8115" w:type="dxa"/>
            <w:vAlign w:val="center"/>
          </w:tcPr>
          <w:p>
            <w:pPr>
              <w:pStyle w:val="33"/>
              <w:spacing w:line="480" w:lineRule="exact"/>
              <w:ind w:left="51"/>
              <w:rPr>
                <w:rFonts w:hint="eastAsia" w:ascii="宋体" w:hAnsi="宋体" w:eastAsia="宋体" w:cs="宋体"/>
                <w:sz w:val="22"/>
                <w:szCs w:val="21"/>
                <w:highlight w:val="none"/>
                <w:u w:val="single"/>
                <w:lang w:eastAsia="zh-CN"/>
              </w:rPr>
            </w:pPr>
            <w:r>
              <w:rPr>
                <w:rFonts w:hint="eastAsia" w:ascii="宋体" w:hAnsi="宋体" w:eastAsia="宋体" w:cs="宋体"/>
                <w:sz w:val="22"/>
                <w:szCs w:val="22"/>
                <w:highlight w:val="none"/>
              </w:rPr>
              <w:t>项目</w:t>
            </w:r>
            <w:r>
              <w:rPr>
                <w:rFonts w:hint="eastAsia" w:ascii="宋体" w:hAnsi="宋体" w:eastAsia="宋体" w:cs="宋体"/>
                <w:spacing w:val="-3"/>
                <w:sz w:val="22"/>
                <w:szCs w:val="22"/>
                <w:highlight w:val="none"/>
              </w:rPr>
              <w:t>名</w:t>
            </w:r>
            <w:r>
              <w:rPr>
                <w:rFonts w:hint="eastAsia" w:ascii="宋体" w:hAnsi="宋体" w:eastAsia="宋体" w:cs="宋体"/>
                <w:sz w:val="22"/>
                <w:szCs w:val="22"/>
                <w:highlight w:val="none"/>
              </w:rPr>
              <w:t>称</w:t>
            </w:r>
            <w:r>
              <w:rPr>
                <w:rFonts w:hint="eastAsia" w:ascii="宋体" w:hAnsi="宋体" w:eastAsia="宋体" w:cs="宋体"/>
                <w:spacing w:val="-3"/>
                <w:sz w:val="22"/>
                <w:szCs w:val="22"/>
                <w:highlight w:val="none"/>
              </w:rPr>
              <w:t>：</w:t>
            </w:r>
            <w:r>
              <w:rPr>
                <w:rFonts w:hint="eastAsia" w:ascii="宋体" w:hAnsi="宋体" w:eastAsia="宋体" w:cs="宋体"/>
                <w:sz w:val="22"/>
                <w:szCs w:val="21"/>
                <w:highlight w:val="none"/>
                <w:lang w:eastAsia="zh-CN"/>
              </w:rPr>
              <w:t>机房核心设备及配套软件维保服务项目</w:t>
            </w:r>
          </w:p>
          <w:p>
            <w:pPr>
              <w:pStyle w:val="33"/>
              <w:spacing w:line="480" w:lineRule="exact"/>
              <w:ind w:left="52"/>
              <w:rPr>
                <w:rFonts w:hint="eastAsia" w:ascii="宋体" w:hAnsi="宋体" w:eastAsia="宋体" w:cs="宋体"/>
                <w:sz w:val="22"/>
                <w:szCs w:val="22"/>
                <w:highlight w:val="none"/>
              </w:rPr>
            </w:pPr>
            <w:r>
              <w:rPr>
                <w:rFonts w:hint="eastAsia" w:ascii="宋体" w:hAnsi="宋体" w:eastAsia="宋体" w:cs="宋体"/>
                <w:sz w:val="22"/>
                <w:szCs w:val="22"/>
                <w:highlight w:val="none"/>
              </w:rPr>
              <w:t>采购</w:t>
            </w:r>
            <w:r>
              <w:rPr>
                <w:rFonts w:hint="eastAsia" w:ascii="宋体" w:hAnsi="宋体" w:eastAsia="宋体" w:cs="宋体"/>
                <w:spacing w:val="-3"/>
                <w:sz w:val="22"/>
                <w:szCs w:val="22"/>
                <w:highlight w:val="none"/>
              </w:rPr>
              <w:t>人</w:t>
            </w:r>
            <w:r>
              <w:rPr>
                <w:rFonts w:hint="eastAsia" w:ascii="宋体" w:hAnsi="宋体" w:eastAsia="宋体" w:cs="宋体"/>
                <w:sz w:val="22"/>
                <w:szCs w:val="22"/>
                <w:highlight w:val="none"/>
              </w:rPr>
              <w:t>名</w:t>
            </w:r>
            <w:r>
              <w:rPr>
                <w:rFonts w:hint="eastAsia" w:ascii="宋体" w:hAnsi="宋体" w:eastAsia="宋体" w:cs="宋体"/>
                <w:spacing w:val="-3"/>
                <w:sz w:val="22"/>
                <w:szCs w:val="22"/>
                <w:highlight w:val="none"/>
              </w:rPr>
              <w:t>称</w:t>
            </w:r>
            <w:r>
              <w:rPr>
                <w:rFonts w:hint="eastAsia" w:ascii="宋体" w:hAnsi="宋体" w:eastAsia="宋体" w:cs="宋体"/>
                <w:spacing w:val="-1"/>
                <w:sz w:val="22"/>
                <w:szCs w:val="22"/>
                <w:highlight w:val="none"/>
              </w:rPr>
              <w:t>：中华人民共和国</w:t>
            </w:r>
            <w:r>
              <w:rPr>
                <w:rFonts w:hint="eastAsia" w:ascii="宋体" w:hAnsi="宋体" w:eastAsia="宋体" w:cs="宋体"/>
                <w:sz w:val="22"/>
                <w:szCs w:val="22"/>
                <w:highlight w:val="none"/>
              </w:rPr>
              <w:t>高崎出入境边防检查站</w:t>
            </w:r>
          </w:p>
          <w:p>
            <w:pPr>
              <w:pStyle w:val="33"/>
              <w:spacing w:line="480" w:lineRule="exact"/>
              <w:ind w:left="52" w:right="4614"/>
              <w:rPr>
                <w:rFonts w:hint="eastAsia" w:ascii="宋体" w:hAnsi="宋体" w:eastAsia="宋体" w:cs="宋体"/>
                <w:sz w:val="22"/>
                <w:szCs w:val="22"/>
                <w:highlight w:val="none"/>
              </w:rPr>
            </w:pPr>
            <w:r>
              <w:rPr>
                <w:rFonts w:hint="eastAsia" w:ascii="宋体" w:hAnsi="宋体" w:eastAsia="宋体" w:cs="宋体"/>
                <w:sz w:val="22"/>
                <w:szCs w:val="22"/>
                <w:highlight w:val="none"/>
              </w:rPr>
              <w:t>项目</w:t>
            </w:r>
            <w:r>
              <w:rPr>
                <w:rFonts w:hint="eastAsia" w:ascii="宋体" w:hAnsi="宋体" w:eastAsia="宋体" w:cs="宋体"/>
                <w:spacing w:val="-3"/>
                <w:sz w:val="22"/>
                <w:szCs w:val="22"/>
                <w:highlight w:val="none"/>
              </w:rPr>
              <w:t>内</w:t>
            </w:r>
            <w:r>
              <w:rPr>
                <w:rFonts w:hint="eastAsia" w:ascii="宋体" w:hAnsi="宋体" w:eastAsia="宋体" w:cs="宋体"/>
                <w:spacing w:val="-1"/>
                <w:sz w:val="22"/>
                <w:szCs w:val="22"/>
                <w:highlight w:val="none"/>
              </w:rPr>
              <w:t>容</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rPr>
              <w:t>详</w:t>
            </w:r>
            <w:r>
              <w:rPr>
                <w:rFonts w:hint="eastAsia" w:ascii="宋体" w:hAnsi="宋体" w:eastAsia="宋体" w:cs="宋体"/>
                <w:spacing w:val="-3"/>
                <w:sz w:val="22"/>
                <w:szCs w:val="22"/>
                <w:highlight w:val="none"/>
              </w:rPr>
              <w:t>见比选</w:t>
            </w:r>
            <w:r>
              <w:rPr>
                <w:rFonts w:hint="eastAsia" w:ascii="宋体" w:hAnsi="宋体" w:eastAsia="宋体" w:cs="宋体"/>
                <w:sz w:val="22"/>
                <w:szCs w:val="22"/>
                <w:highlight w:val="none"/>
              </w:rPr>
              <w:t>文</w:t>
            </w:r>
            <w:r>
              <w:rPr>
                <w:rFonts w:hint="eastAsia" w:ascii="宋体" w:hAnsi="宋体" w:eastAsia="宋体" w:cs="宋体"/>
                <w:spacing w:val="-3"/>
                <w:sz w:val="22"/>
                <w:szCs w:val="22"/>
                <w:highlight w:val="none"/>
              </w:rPr>
              <w:t>件</w:t>
            </w:r>
            <w:r>
              <w:rPr>
                <w:rFonts w:hint="eastAsia" w:ascii="宋体" w:hAnsi="宋体" w:eastAsia="宋体" w:cs="宋体"/>
                <w:sz w:val="22"/>
                <w:szCs w:val="22"/>
                <w:highlight w:val="none"/>
              </w:rPr>
              <w:t>第三</w:t>
            </w:r>
            <w:r>
              <w:rPr>
                <w:rFonts w:hint="eastAsia" w:ascii="宋体" w:hAnsi="宋体" w:eastAsia="宋体" w:cs="宋体"/>
                <w:spacing w:val="-3"/>
                <w:sz w:val="22"/>
                <w:szCs w:val="22"/>
                <w:highlight w:val="none"/>
              </w:rPr>
              <w:t>章</w:t>
            </w:r>
            <w:r>
              <w:rPr>
                <w:rFonts w:hint="eastAsia" w:ascii="宋体" w:hAnsi="宋体" w:eastAsia="宋体" w:cs="宋体"/>
                <w:sz w:val="22"/>
                <w:szCs w:val="22"/>
                <w:highlight w:val="none"/>
              </w:rPr>
              <w:t xml:space="preserve"> </w:t>
            </w:r>
          </w:p>
          <w:p>
            <w:pPr>
              <w:pStyle w:val="33"/>
              <w:spacing w:line="480" w:lineRule="exact"/>
              <w:ind w:left="52" w:right="4614"/>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项目</w:t>
            </w:r>
            <w:r>
              <w:rPr>
                <w:rFonts w:hint="eastAsia" w:ascii="宋体" w:hAnsi="宋体" w:eastAsia="宋体" w:cs="宋体"/>
                <w:spacing w:val="-3"/>
                <w:sz w:val="22"/>
                <w:szCs w:val="22"/>
                <w:highlight w:val="none"/>
              </w:rPr>
              <w:t>编</w:t>
            </w:r>
            <w:r>
              <w:rPr>
                <w:rFonts w:hint="eastAsia" w:ascii="宋体" w:hAnsi="宋体" w:eastAsia="宋体" w:cs="宋体"/>
                <w:sz w:val="22"/>
                <w:szCs w:val="22"/>
                <w:highlight w:val="none"/>
              </w:rPr>
              <w:t>号</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lang w:eastAsia="zh-CN"/>
              </w:rPr>
              <w:t>2024GQ02</w:t>
            </w:r>
          </w:p>
          <w:p>
            <w:pPr>
              <w:pStyle w:val="33"/>
              <w:spacing w:line="480" w:lineRule="exact"/>
              <w:ind w:left="52" w:right="4614"/>
              <w:rPr>
                <w:rFonts w:hint="eastAsia" w:ascii="宋体" w:hAnsi="宋体" w:eastAsia="宋体" w:cs="宋体"/>
                <w:sz w:val="22"/>
                <w:szCs w:val="22"/>
                <w:highlight w:val="none"/>
              </w:rPr>
            </w:pPr>
            <w:r>
              <w:rPr>
                <w:rFonts w:hint="eastAsia" w:ascii="宋体" w:hAnsi="宋体" w:eastAsia="宋体" w:cs="宋体"/>
                <w:sz w:val="22"/>
                <w:szCs w:val="22"/>
                <w:highlight w:val="none"/>
              </w:rPr>
              <w:t>项目</w:t>
            </w:r>
            <w:r>
              <w:rPr>
                <w:rFonts w:hint="eastAsia" w:ascii="宋体" w:hAnsi="宋体" w:eastAsia="宋体" w:cs="宋体"/>
                <w:spacing w:val="-3"/>
                <w:sz w:val="22"/>
                <w:szCs w:val="22"/>
                <w:highlight w:val="none"/>
              </w:rPr>
              <w:t>预</w:t>
            </w:r>
            <w:r>
              <w:rPr>
                <w:rFonts w:hint="eastAsia" w:ascii="宋体" w:hAnsi="宋体" w:eastAsia="宋体" w:cs="宋体"/>
                <w:sz w:val="22"/>
                <w:szCs w:val="22"/>
                <w:highlight w:val="none"/>
              </w:rPr>
              <w:t>算</w:t>
            </w:r>
            <w:r>
              <w:rPr>
                <w:rFonts w:hint="eastAsia" w:ascii="宋体" w:hAnsi="宋体" w:eastAsia="宋体" w:cs="宋体"/>
                <w:spacing w:val="-3"/>
                <w:sz w:val="22"/>
                <w:szCs w:val="22"/>
                <w:highlight w:val="none"/>
              </w:rPr>
              <w:t>：</w:t>
            </w:r>
            <w:r>
              <w:rPr>
                <w:rFonts w:hint="eastAsia" w:ascii="宋体" w:hAnsi="宋体" w:eastAsia="宋体" w:cs="宋体"/>
                <w:b/>
                <w:bCs/>
                <w:sz w:val="22"/>
                <w:szCs w:val="22"/>
                <w:highlight w:val="none"/>
                <w:u w:val="single"/>
                <w:lang w:val="en-US" w:eastAsia="zh-CN"/>
              </w:rPr>
              <w:t>225000元</w:t>
            </w:r>
            <w:r>
              <w:rPr>
                <w:rFonts w:hint="eastAsia" w:ascii="宋体" w:hAnsi="宋体" w:eastAsia="宋体" w:cs="宋体"/>
                <w:sz w:val="22"/>
                <w:szCs w:val="22"/>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z w:val="22"/>
                <w:szCs w:val="22"/>
                <w:highlight w:val="none"/>
              </w:rPr>
            </w:pPr>
            <w:r>
              <w:rPr>
                <w:rFonts w:hint="eastAsia" w:ascii="宋体" w:hAnsi="宋体" w:eastAsia="宋体" w:cs="宋体"/>
                <w:spacing w:val="-1"/>
                <w:sz w:val="22"/>
                <w:szCs w:val="24"/>
                <w:highlight w:val="none"/>
              </w:rPr>
              <w:t>2</w:t>
            </w:r>
          </w:p>
        </w:tc>
        <w:tc>
          <w:tcPr>
            <w:tcW w:w="8115" w:type="dxa"/>
            <w:vAlign w:val="center"/>
          </w:tcPr>
          <w:p>
            <w:pPr>
              <w:pStyle w:val="33"/>
              <w:spacing w:line="480" w:lineRule="exact"/>
              <w:ind w:left="51"/>
              <w:rPr>
                <w:rFonts w:hint="eastAsia" w:ascii="宋体" w:hAnsi="宋体" w:eastAsia="宋体" w:cs="宋体"/>
                <w:sz w:val="22"/>
                <w:szCs w:val="22"/>
                <w:highlight w:val="none"/>
              </w:rPr>
            </w:pPr>
            <w:r>
              <w:rPr>
                <w:rFonts w:hint="eastAsia" w:ascii="宋体" w:hAnsi="宋体" w:eastAsia="宋体" w:cs="宋体"/>
                <w:sz w:val="22"/>
                <w:szCs w:val="22"/>
                <w:highlight w:val="none"/>
              </w:rPr>
              <w:t>响应</w:t>
            </w:r>
            <w:r>
              <w:rPr>
                <w:rFonts w:hint="eastAsia" w:ascii="宋体" w:hAnsi="宋体" w:eastAsia="宋体" w:cs="宋体"/>
                <w:spacing w:val="-3"/>
                <w:sz w:val="22"/>
                <w:szCs w:val="22"/>
                <w:highlight w:val="none"/>
              </w:rPr>
              <w:t>供</w:t>
            </w:r>
            <w:r>
              <w:rPr>
                <w:rFonts w:hint="eastAsia" w:ascii="宋体" w:hAnsi="宋体" w:eastAsia="宋体" w:cs="宋体"/>
                <w:sz w:val="22"/>
                <w:szCs w:val="22"/>
                <w:highlight w:val="none"/>
              </w:rPr>
              <w:t>应</w:t>
            </w:r>
            <w:r>
              <w:rPr>
                <w:rFonts w:hint="eastAsia" w:ascii="宋体" w:hAnsi="宋体" w:eastAsia="宋体" w:cs="宋体"/>
                <w:spacing w:val="-3"/>
                <w:sz w:val="22"/>
                <w:szCs w:val="22"/>
                <w:highlight w:val="none"/>
              </w:rPr>
              <w:t>商</w:t>
            </w:r>
            <w:r>
              <w:rPr>
                <w:rFonts w:hint="eastAsia" w:ascii="宋体" w:hAnsi="宋体" w:eastAsia="宋体" w:cs="宋体"/>
                <w:sz w:val="22"/>
                <w:szCs w:val="22"/>
                <w:highlight w:val="none"/>
              </w:rPr>
              <w:t>资</w:t>
            </w:r>
            <w:r>
              <w:rPr>
                <w:rFonts w:hint="eastAsia" w:ascii="宋体" w:hAnsi="宋体" w:eastAsia="宋体" w:cs="宋体"/>
                <w:spacing w:val="-3"/>
                <w:sz w:val="22"/>
                <w:szCs w:val="22"/>
                <w:highlight w:val="none"/>
              </w:rPr>
              <w:t>格</w:t>
            </w:r>
            <w:r>
              <w:rPr>
                <w:rFonts w:hint="eastAsia" w:ascii="宋体" w:hAnsi="宋体" w:eastAsia="宋体" w:cs="宋体"/>
                <w:sz w:val="22"/>
                <w:szCs w:val="22"/>
                <w:highlight w:val="none"/>
              </w:rPr>
              <w:t>要</w:t>
            </w:r>
            <w:r>
              <w:rPr>
                <w:rFonts w:hint="eastAsia" w:ascii="宋体" w:hAnsi="宋体" w:eastAsia="宋体" w:cs="宋体"/>
                <w:spacing w:val="-3"/>
                <w:sz w:val="22"/>
                <w:szCs w:val="22"/>
                <w:highlight w:val="none"/>
              </w:rPr>
              <w:t>求</w:t>
            </w:r>
            <w:r>
              <w:rPr>
                <w:rFonts w:hint="eastAsia" w:ascii="宋体" w:hAnsi="宋体" w:eastAsia="宋体" w:cs="宋体"/>
                <w:sz w:val="22"/>
                <w:szCs w:val="22"/>
                <w:highlight w:val="none"/>
              </w:rPr>
              <w:t xml:space="preserve"> </w:t>
            </w:r>
          </w:p>
          <w:p>
            <w:pPr>
              <w:pStyle w:val="33"/>
              <w:spacing w:line="480" w:lineRule="exact"/>
              <w:ind w:left="51"/>
              <w:rPr>
                <w:rFonts w:hint="eastAsia" w:ascii="宋体" w:hAnsi="宋体" w:eastAsia="宋体" w:cs="宋体"/>
                <w:sz w:val="22"/>
                <w:szCs w:val="22"/>
                <w:highlight w:val="none"/>
              </w:rPr>
            </w:pPr>
            <w:r>
              <w:rPr>
                <w:rFonts w:hint="eastAsia" w:ascii="宋体" w:hAnsi="宋体" w:eastAsia="宋体" w:cs="宋体"/>
                <w:sz w:val="22"/>
                <w:szCs w:val="22"/>
                <w:highlight w:val="none"/>
              </w:rPr>
              <w:t>详见</w:t>
            </w:r>
            <w:r>
              <w:rPr>
                <w:rFonts w:hint="eastAsia" w:ascii="宋体" w:hAnsi="宋体" w:eastAsia="宋体" w:cs="宋体"/>
                <w:spacing w:val="-3"/>
                <w:sz w:val="22"/>
                <w:szCs w:val="22"/>
                <w:highlight w:val="none"/>
              </w:rPr>
              <w:t>第</w:t>
            </w:r>
            <w:r>
              <w:rPr>
                <w:rFonts w:hint="eastAsia" w:ascii="宋体" w:hAnsi="宋体" w:eastAsia="宋体" w:cs="宋体"/>
                <w:sz w:val="22"/>
                <w:szCs w:val="22"/>
                <w:highlight w:val="none"/>
              </w:rPr>
              <w:t>二</w:t>
            </w:r>
            <w:r>
              <w:rPr>
                <w:rFonts w:hint="eastAsia" w:ascii="宋体" w:hAnsi="宋体" w:eastAsia="宋体" w:cs="宋体"/>
                <w:spacing w:val="-3"/>
                <w:sz w:val="22"/>
                <w:szCs w:val="22"/>
                <w:highlight w:val="none"/>
              </w:rPr>
              <w:t>章</w:t>
            </w:r>
            <w:r>
              <w:rPr>
                <w:rFonts w:hint="eastAsia" w:ascii="宋体" w:hAnsi="宋体" w:eastAsia="宋体" w:cs="宋体"/>
                <w:sz w:val="22"/>
                <w:szCs w:val="22"/>
                <w:highlight w:val="none"/>
              </w:rPr>
              <w:t>“</w:t>
            </w:r>
            <w:r>
              <w:rPr>
                <w:rFonts w:hint="eastAsia" w:ascii="宋体" w:hAnsi="宋体" w:eastAsia="宋体" w:cs="宋体"/>
                <w:spacing w:val="-3"/>
                <w:sz w:val="22"/>
                <w:szCs w:val="22"/>
                <w:highlight w:val="none"/>
              </w:rPr>
              <w:t>响应供应商</w:t>
            </w:r>
            <w:r>
              <w:rPr>
                <w:rFonts w:hint="eastAsia" w:ascii="宋体" w:hAnsi="宋体" w:eastAsia="宋体" w:cs="宋体"/>
                <w:sz w:val="22"/>
                <w:szCs w:val="22"/>
                <w:highlight w:val="none"/>
              </w:rPr>
              <w:t>须知</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rPr>
              <w:t>第</w:t>
            </w:r>
            <w:r>
              <w:rPr>
                <w:rFonts w:hint="eastAsia" w:ascii="宋体" w:hAnsi="宋体" w:eastAsia="宋体" w:cs="宋体"/>
                <w:spacing w:val="-53"/>
                <w:sz w:val="22"/>
                <w:szCs w:val="22"/>
                <w:highlight w:val="none"/>
              </w:rPr>
              <w:t xml:space="preserve"> </w:t>
            </w:r>
            <w:r>
              <w:rPr>
                <w:rFonts w:hint="eastAsia" w:ascii="宋体" w:hAnsi="宋体" w:eastAsia="宋体" w:cs="宋体"/>
                <w:sz w:val="22"/>
                <w:szCs w:val="22"/>
                <w:highlight w:val="none"/>
              </w:rPr>
              <w:t>3</w:t>
            </w:r>
            <w:r>
              <w:rPr>
                <w:rFonts w:hint="eastAsia" w:ascii="宋体" w:hAnsi="宋体" w:eastAsia="宋体" w:cs="宋体"/>
                <w:spacing w:val="-55"/>
                <w:sz w:val="22"/>
                <w:szCs w:val="22"/>
                <w:highlight w:val="none"/>
              </w:rPr>
              <w:t xml:space="preserve"> </w:t>
            </w:r>
            <w:r>
              <w:rPr>
                <w:rFonts w:hint="eastAsia" w:ascii="宋体" w:hAnsi="宋体" w:eastAsia="宋体" w:cs="宋体"/>
                <w:sz w:val="22"/>
                <w:szCs w:val="22"/>
                <w:highlight w:val="none"/>
              </w:rPr>
              <w:t>条</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rPr>
              <w:t>以</w:t>
            </w:r>
            <w:r>
              <w:rPr>
                <w:rFonts w:hint="eastAsia" w:ascii="宋体" w:hAnsi="宋体" w:eastAsia="宋体" w:cs="宋体"/>
                <w:spacing w:val="-3"/>
                <w:sz w:val="22"/>
                <w:szCs w:val="22"/>
                <w:highlight w:val="none"/>
              </w:rPr>
              <w:t>及</w:t>
            </w:r>
            <w:r>
              <w:rPr>
                <w:rFonts w:hint="eastAsia" w:ascii="宋体" w:hAnsi="宋体" w:eastAsia="宋体" w:cs="宋体"/>
                <w:sz w:val="22"/>
                <w:szCs w:val="22"/>
                <w:highlight w:val="none"/>
              </w:rPr>
              <w:t>第</w:t>
            </w:r>
            <w:r>
              <w:rPr>
                <w:rFonts w:hint="eastAsia" w:ascii="宋体" w:hAnsi="宋体" w:eastAsia="宋体" w:cs="宋体"/>
                <w:spacing w:val="-3"/>
                <w:sz w:val="22"/>
                <w:szCs w:val="22"/>
                <w:highlight w:val="none"/>
              </w:rPr>
              <w:t>三</w:t>
            </w:r>
            <w:r>
              <w:rPr>
                <w:rFonts w:hint="eastAsia" w:ascii="宋体" w:hAnsi="宋体" w:eastAsia="宋体" w:cs="宋体"/>
                <w:sz w:val="22"/>
                <w:szCs w:val="22"/>
                <w:highlight w:val="none"/>
              </w:rPr>
              <w:t>章“</w:t>
            </w:r>
            <w:r>
              <w:rPr>
                <w:rFonts w:hint="eastAsia" w:ascii="宋体" w:hAnsi="宋体" w:eastAsia="宋体" w:cs="宋体"/>
                <w:spacing w:val="-3"/>
                <w:sz w:val="22"/>
                <w:szCs w:val="22"/>
                <w:highlight w:val="none"/>
              </w:rPr>
              <w:t>项</w:t>
            </w:r>
            <w:r>
              <w:rPr>
                <w:rFonts w:hint="eastAsia" w:ascii="宋体" w:hAnsi="宋体" w:eastAsia="宋体" w:cs="宋体"/>
                <w:sz w:val="22"/>
                <w:szCs w:val="22"/>
                <w:highlight w:val="none"/>
              </w:rPr>
              <w:t>目</w:t>
            </w:r>
            <w:r>
              <w:rPr>
                <w:rFonts w:hint="eastAsia" w:ascii="宋体" w:hAnsi="宋体" w:eastAsia="宋体" w:cs="宋体"/>
                <w:spacing w:val="-3"/>
                <w:sz w:val="22"/>
                <w:szCs w:val="22"/>
                <w:highlight w:val="none"/>
              </w:rPr>
              <w:t>内</w:t>
            </w:r>
            <w:r>
              <w:rPr>
                <w:rFonts w:hint="eastAsia" w:ascii="宋体" w:hAnsi="宋体" w:eastAsia="宋体" w:cs="宋体"/>
                <w:sz w:val="22"/>
                <w:szCs w:val="22"/>
                <w:highlight w:val="none"/>
              </w:rPr>
              <w:t>容</w:t>
            </w:r>
            <w:r>
              <w:rPr>
                <w:rFonts w:hint="eastAsia" w:ascii="宋体" w:hAnsi="宋体" w:eastAsia="宋体" w:cs="宋体"/>
                <w:spacing w:val="-3"/>
                <w:sz w:val="22"/>
                <w:szCs w:val="22"/>
                <w:highlight w:val="none"/>
              </w:rPr>
              <w:t>及</w:t>
            </w:r>
            <w:r>
              <w:rPr>
                <w:rFonts w:hint="eastAsia" w:ascii="宋体" w:hAnsi="宋体" w:eastAsia="宋体" w:cs="宋体"/>
                <w:sz w:val="22"/>
                <w:szCs w:val="22"/>
                <w:highlight w:val="none"/>
              </w:rPr>
              <w:t>要</w:t>
            </w:r>
            <w:r>
              <w:rPr>
                <w:rFonts w:hint="eastAsia" w:ascii="宋体" w:hAnsi="宋体" w:eastAsia="宋体" w:cs="宋体"/>
                <w:spacing w:val="-3"/>
                <w:sz w:val="22"/>
                <w:szCs w:val="22"/>
                <w:highlight w:val="none"/>
              </w:rPr>
              <w:t>求</w:t>
            </w:r>
            <w:r>
              <w:rPr>
                <w:rFonts w:hint="eastAsia" w:ascii="宋体" w:hAnsi="宋体" w:eastAsia="宋体" w:cs="宋体"/>
                <w:sz w:val="22"/>
                <w:szCs w:val="22"/>
                <w:highlight w:val="none"/>
              </w:rPr>
              <w:t>”</w:t>
            </w:r>
            <w:r>
              <w:rPr>
                <w:rFonts w:hint="eastAsia" w:ascii="宋体" w:hAnsi="宋体" w:eastAsia="宋体" w:cs="宋体"/>
                <w:spacing w:val="-3"/>
                <w:sz w:val="22"/>
                <w:szCs w:val="22"/>
                <w:highlight w:val="none"/>
              </w:rPr>
              <w:t>部</w:t>
            </w:r>
            <w:r>
              <w:rPr>
                <w:rFonts w:hint="eastAsia" w:ascii="宋体" w:hAnsi="宋体" w:eastAsia="宋体" w:cs="宋体"/>
                <w:sz w:val="22"/>
                <w:szCs w:val="22"/>
                <w:highlight w:val="none"/>
              </w:rPr>
              <w:t>分</w:t>
            </w:r>
            <w:r>
              <w:rPr>
                <w:rFonts w:hint="eastAsia" w:ascii="宋体" w:hAnsi="宋体" w:eastAsia="宋体" w:cs="宋体"/>
                <w:spacing w:val="-2"/>
                <w:sz w:val="22"/>
                <w:szCs w:val="22"/>
                <w:highlight w:val="none"/>
              </w:rPr>
              <w:t>。</w:t>
            </w:r>
            <w:r>
              <w:rPr>
                <w:rFonts w:hint="eastAsia" w:ascii="宋体" w:hAnsi="宋体" w:eastAsia="宋体" w:cs="宋体"/>
                <w:sz w:val="22"/>
                <w:szCs w:val="22"/>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z w:val="22"/>
                <w:szCs w:val="22"/>
                <w:highlight w:val="none"/>
              </w:rPr>
            </w:pPr>
            <w:r>
              <w:rPr>
                <w:rFonts w:hint="eastAsia" w:ascii="宋体" w:hAnsi="宋体" w:eastAsia="宋体" w:cs="宋体"/>
                <w:spacing w:val="-1"/>
                <w:sz w:val="22"/>
                <w:szCs w:val="24"/>
                <w:highlight w:val="none"/>
              </w:rPr>
              <w:t>3</w:t>
            </w:r>
          </w:p>
        </w:tc>
        <w:tc>
          <w:tcPr>
            <w:tcW w:w="8115" w:type="dxa"/>
            <w:vAlign w:val="center"/>
          </w:tcPr>
          <w:p>
            <w:pPr>
              <w:pStyle w:val="33"/>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报价</w:t>
            </w:r>
            <w:r>
              <w:rPr>
                <w:rFonts w:hint="eastAsia" w:ascii="宋体" w:hAnsi="宋体" w:eastAsia="宋体" w:cs="宋体"/>
                <w:spacing w:val="-3"/>
                <w:sz w:val="22"/>
                <w:szCs w:val="22"/>
                <w:highlight w:val="none"/>
              </w:rPr>
              <w:t>有</w:t>
            </w:r>
            <w:r>
              <w:rPr>
                <w:rFonts w:hint="eastAsia" w:ascii="宋体" w:hAnsi="宋体" w:eastAsia="宋体" w:cs="宋体"/>
                <w:sz w:val="22"/>
                <w:szCs w:val="22"/>
                <w:highlight w:val="none"/>
              </w:rPr>
              <w:t>效</w:t>
            </w:r>
            <w:r>
              <w:rPr>
                <w:rFonts w:hint="eastAsia" w:ascii="宋体" w:hAnsi="宋体" w:eastAsia="宋体" w:cs="宋体"/>
                <w:spacing w:val="-3"/>
                <w:sz w:val="22"/>
                <w:szCs w:val="22"/>
                <w:highlight w:val="none"/>
              </w:rPr>
              <w:t>期</w:t>
            </w:r>
            <w:r>
              <w:rPr>
                <w:rFonts w:hint="eastAsia" w:ascii="宋体" w:hAnsi="宋体" w:eastAsia="宋体" w:cs="宋体"/>
                <w:sz w:val="22"/>
                <w:szCs w:val="22"/>
                <w:highlight w:val="none"/>
              </w:rPr>
              <w:t>：</w:t>
            </w:r>
            <w:r>
              <w:rPr>
                <w:rFonts w:hint="eastAsia" w:ascii="宋体" w:hAnsi="宋体" w:eastAsia="宋体" w:cs="宋体"/>
                <w:spacing w:val="-3"/>
                <w:sz w:val="22"/>
                <w:szCs w:val="22"/>
                <w:highlight w:val="none"/>
              </w:rPr>
              <w:t>报</w:t>
            </w:r>
            <w:r>
              <w:rPr>
                <w:rFonts w:hint="eastAsia" w:ascii="宋体" w:hAnsi="宋体" w:eastAsia="宋体" w:cs="宋体"/>
                <w:sz w:val="22"/>
                <w:szCs w:val="22"/>
                <w:highlight w:val="none"/>
              </w:rPr>
              <w:t>价</w:t>
            </w:r>
            <w:r>
              <w:rPr>
                <w:rFonts w:hint="eastAsia" w:ascii="宋体" w:hAnsi="宋体" w:eastAsia="宋体" w:cs="宋体"/>
                <w:spacing w:val="-3"/>
                <w:sz w:val="22"/>
                <w:szCs w:val="22"/>
                <w:highlight w:val="none"/>
              </w:rPr>
              <w:t>截</w:t>
            </w:r>
            <w:r>
              <w:rPr>
                <w:rFonts w:hint="eastAsia" w:ascii="宋体" w:hAnsi="宋体" w:eastAsia="宋体" w:cs="宋体"/>
                <w:sz w:val="22"/>
                <w:szCs w:val="22"/>
                <w:highlight w:val="none"/>
              </w:rPr>
              <w:t>止</w:t>
            </w:r>
            <w:r>
              <w:rPr>
                <w:rFonts w:hint="eastAsia" w:ascii="宋体" w:hAnsi="宋体" w:eastAsia="宋体" w:cs="宋体"/>
                <w:spacing w:val="-3"/>
                <w:sz w:val="22"/>
                <w:szCs w:val="22"/>
                <w:highlight w:val="none"/>
              </w:rPr>
              <w:t>期</w:t>
            </w:r>
            <w:r>
              <w:rPr>
                <w:rFonts w:hint="eastAsia" w:ascii="宋体" w:hAnsi="宋体" w:eastAsia="宋体" w:cs="宋体"/>
                <w:sz w:val="22"/>
                <w:szCs w:val="22"/>
                <w:highlight w:val="none"/>
              </w:rPr>
              <w:t>结</w:t>
            </w:r>
            <w:r>
              <w:rPr>
                <w:rFonts w:hint="eastAsia" w:ascii="宋体" w:hAnsi="宋体" w:eastAsia="宋体" w:cs="宋体"/>
                <w:spacing w:val="-3"/>
                <w:sz w:val="22"/>
                <w:szCs w:val="22"/>
                <w:highlight w:val="none"/>
              </w:rPr>
              <w:t>束</w:t>
            </w:r>
            <w:r>
              <w:rPr>
                <w:rFonts w:hint="eastAsia" w:ascii="宋体" w:hAnsi="宋体" w:eastAsia="宋体" w:cs="宋体"/>
                <w:sz w:val="22"/>
                <w:szCs w:val="22"/>
                <w:highlight w:val="none"/>
              </w:rPr>
              <w:t>后</w:t>
            </w:r>
            <w:r>
              <w:rPr>
                <w:rFonts w:hint="eastAsia" w:ascii="宋体" w:hAnsi="宋体" w:eastAsia="宋体" w:cs="宋体"/>
                <w:spacing w:val="-55"/>
                <w:sz w:val="22"/>
                <w:szCs w:val="22"/>
                <w:highlight w:val="none"/>
              </w:rPr>
              <w:t xml:space="preserve"> </w:t>
            </w:r>
            <w:r>
              <w:rPr>
                <w:rFonts w:hint="eastAsia" w:ascii="宋体" w:hAnsi="宋体" w:eastAsia="宋体" w:cs="宋体"/>
                <w:b/>
                <w:bCs/>
                <w:spacing w:val="2"/>
                <w:w w:val="99"/>
                <w:sz w:val="22"/>
                <w:szCs w:val="22"/>
                <w:highlight w:val="none"/>
              </w:rPr>
              <w:t>9</w:t>
            </w:r>
            <w:r>
              <w:rPr>
                <w:rFonts w:hint="eastAsia" w:ascii="宋体" w:hAnsi="宋体" w:eastAsia="宋体" w:cs="宋体"/>
                <w:b/>
                <w:bCs/>
                <w:w w:val="99"/>
                <w:sz w:val="22"/>
                <w:szCs w:val="22"/>
                <w:highlight w:val="none"/>
              </w:rPr>
              <w:t>0</w:t>
            </w:r>
            <w:r>
              <w:rPr>
                <w:rFonts w:hint="eastAsia" w:ascii="宋体" w:hAnsi="宋体" w:eastAsia="宋体" w:cs="宋体"/>
                <w:b/>
                <w:bCs/>
                <w:spacing w:val="-54"/>
                <w:sz w:val="22"/>
                <w:szCs w:val="22"/>
                <w:highlight w:val="none"/>
              </w:rPr>
              <w:t xml:space="preserve"> </w:t>
            </w:r>
            <w:r>
              <w:rPr>
                <w:rFonts w:hint="eastAsia" w:ascii="宋体" w:hAnsi="宋体" w:eastAsia="宋体" w:cs="宋体"/>
                <w:sz w:val="22"/>
                <w:szCs w:val="22"/>
                <w:highlight w:val="none"/>
              </w:rPr>
              <w:t>个</w:t>
            </w:r>
            <w:r>
              <w:rPr>
                <w:rFonts w:hint="eastAsia" w:ascii="宋体" w:hAnsi="宋体" w:eastAsia="宋体" w:cs="宋体"/>
                <w:spacing w:val="-3"/>
                <w:sz w:val="22"/>
                <w:szCs w:val="22"/>
                <w:highlight w:val="none"/>
              </w:rPr>
              <w:t>日</w:t>
            </w:r>
            <w:r>
              <w:rPr>
                <w:rFonts w:hint="eastAsia" w:ascii="宋体" w:hAnsi="宋体" w:eastAsia="宋体" w:cs="宋体"/>
                <w:sz w:val="22"/>
                <w:szCs w:val="22"/>
                <w:highlight w:val="none"/>
              </w:rPr>
              <w:t>历</w:t>
            </w:r>
            <w:r>
              <w:rPr>
                <w:rFonts w:hint="eastAsia" w:ascii="宋体" w:hAnsi="宋体" w:eastAsia="宋体" w:cs="宋体"/>
                <w:spacing w:val="-3"/>
                <w:sz w:val="22"/>
                <w:szCs w:val="22"/>
                <w:highlight w:val="none"/>
              </w:rPr>
              <w:t>日。</w:t>
            </w:r>
            <w:r>
              <w:rPr>
                <w:rFonts w:hint="eastAsia" w:ascii="宋体" w:hAnsi="宋体" w:eastAsia="宋体" w:cs="宋体"/>
                <w:sz w:val="22"/>
                <w:szCs w:val="22"/>
                <w:highlight w:val="none"/>
              </w:rPr>
              <w:t xml:space="preserve"> 有效</w:t>
            </w:r>
            <w:r>
              <w:rPr>
                <w:rFonts w:hint="eastAsia" w:ascii="宋体" w:hAnsi="宋体" w:eastAsia="宋体" w:cs="宋体"/>
                <w:spacing w:val="-3"/>
                <w:sz w:val="22"/>
                <w:szCs w:val="22"/>
                <w:highlight w:val="none"/>
              </w:rPr>
              <w:t>期</w:t>
            </w:r>
            <w:r>
              <w:rPr>
                <w:rFonts w:hint="eastAsia" w:ascii="宋体" w:hAnsi="宋体" w:eastAsia="宋体" w:cs="宋体"/>
                <w:sz w:val="22"/>
                <w:szCs w:val="22"/>
                <w:highlight w:val="none"/>
              </w:rPr>
              <w:t>不</w:t>
            </w:r>
            <w:r>
              <w:rPr>
                <w:rFonts w:hint="eastAsia" w:ascii="宋体" w:hAnsi="宋体" w:eastAsia="宋体" w:cs="宋体"/>
                <w:spacing w:val="-3"/>
                <w:sz w:val="22"/>
                <w:szCs w:val="22"/>
                <w:highlight w:val="none"/>
              </w:rPr>
              <w:t>足</w:t>
            </w:r>
            <w:r>
              <w:rPr>
                <w:rFonts w:hint="eastAsia" w:ascii="宋体" w:hAnsi="宋体" w:eastAsia="宋体" w:cs="宋体"/>
                <w:sz w:val="22"/>
                <w:szCs w:val="22"/>
                <w:highlight w:val="none"/>
              </w:rPr>
              <w:t>将</w:t>
            </w:r>
            <w:r>
              <w:rPr>
                <w:rFonts w:hint="eastAsia" w:ascii="宋体" w:hAnsi="宋体" w:eastAsia="宋体" w:cs="宋体"/>
                <w:spacing w:val="-3"/>
                <w:sz w:val="22"/>
                <w:szCs w:val="22"/>
                <w:highlight w:val="none"/>
              </w:rPr>
              <w:t>导</w:t>
            </w:r>
            <w:r>
              <w:rPr>
                <w:rFonts w:hint="eastAsia" w:ascii="宋体" w:hAnsi="宋体" w:eastAsia="宋体" w:cs="宋体"/>
                <w:sz w:val="22"/>
                <w:szCs w:val="22"/>
                <w:highlight w:val="none"/>
              </w:rPr>
              <w:t>致</w:t>
            </w:r>
            <w:r>
              <w:rPr>
                <w:rFonts w:hint="eastAsia" w:ascii="宋体" w:hAnsi="宋体" w:eastAsia="宋体" w:cs="宋体"/>
                <w:spacing w:val="-3"/>
                <w:sz w:val="22"/>
                <w:szCs w:val="22"/>
                <w:highlight w:val="none"/>
              </w:rPr>
              <w:t>其</w:t>
            </w:r>
            <w:r>
              <w:rPr>
                <w:rFonts w:hint="eastAsia" w:ascii="宋体" w:hAnsi="宋体" w:eastAsia="宋体" w:cs="宋体"/>
                <w:sz w:val="22"/>
                <w:szCs w:val="22"/>
                <w:highlight w:val="none"/>
              </w:rPr>
              <w:t>报</w:t>
            </w:r>
            <w:r>
              <w:rPr>
                <w:rFonts w:hint="eastAsia" w:ascii="宋体" w:hAnsi="宋体" w:eastAsia="宋体" w:cs="宋体"/>
                <w:spacing w:val="-3"/>
                <w:sz w:val="22"/>
                <w:szCs w:val="22"/>
                <w:highlight w:val="none"/>
              </w:rPr>
              <w:t>价</w:t>
            </w:r>
            <w:r>
              <w:rPr>
                <w:rFonts w:hint="eastAsia" w:ascii="宋体" w:hAnsi="宋体" w:eastAsia="宋体" w:cs="宋体"/>
                <w:sz w:val="22"/>
                <w:szCs w:val="22"/>
                <w:highlight w:val="none"/>
              </w:rPr>
              <w:t>被拒</w:t>
            </w:r>
            <w:r>
              <w:rPr>
                <w:rFonts w:hint="eastAsia" w:ascii="宋体" w:hAnsi="宋体" w:eastAsia="宋体" w:cs="宋体"/>
                <w:spacing w:val="-3"/>
                <w:sz w:val="22"/>
                <w:szCs w:val="22"/>
                <w:highlight w:val="none"/>
              </w:rPr>
              <w:t>绝。</w:t>
            </w:r>
            <w:r>
              <w:rPr>
                <w:rFonts w:hint="eastAsia" w:ascii="宋体" w:hAnsi="宋体" w:eastAsia="宋体" w:cs="宋体"/>
                <w:sz w:val="22"/>
                <w:szCs w:val="22"/>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z w:val="22"/>
                <w:szCs w:val="22"/>
                <w:highlight w:val="none"/>
              </w:rPr>
            </w:pPr>
            <w:r>
              <w:rPr>
                <w:rFonts w:hint="eastAsia" w:ascii="宋体" w:hAnsi="宋体" w:eastAsia="宋体" w:cs="宋体"/>
                <w:spacing w:val="-1"/>
                <w:sz w:val="22"/>
                <w:szCs w:val="24"/>
                <w:highlight w:val="none"/>
              </w:rPr>
              <w:t>4</w:t>
            </w:r>
          </w:p>
        </w:tc>
        <w:tc>
          <w:tcPr>
            <w:tcW w:w="8115" w:type="dxa"/>
            <w:vAlign w:val="center"/>
          </w:tcPr>
          <w:p>
            <w:pPr>
              <w:pStyle w:val="33"/>
              <w:spacing w:line="480" w:lineRule="exact"/>
              <w:ind w:left="51" w:right="3402"/>
              <w:rPr>
                <w:rFonts w:hint="eastAsia" w:ascii="宋体" w:hAnsi="宋体" w:eastAsia="宋体" w:cs="宋体"/>
                <w:sz w:val="22"/>
                <w:szCs w:val="22"/>
                <w:highlight w:val="none"/>
              </w:rPr>
            </w:pPr>
            <w:r>
              <w:rPr>
                <w:rFonts w:hint="eastAsia" w:ascii="宋体" w:hAnsi="宋体" w:eastAsia="宋体" w:cs="宋体"/>
                <w:sz w:val="22"/>
                <w:szCs w:val="22"/>
                <w:highlight w:val="none"/>
              </w:rPr>
              <w:t>响应文件</w:t>
            </w:r>
            <w:r>
              <w:rPr>
                <w:rFonts w:hint="eastAsia" w:ascii="宋体" w:hAnsi="宋体" w:eastAsia="宋体" w:cs="宋体"/>
                <w:spacing w:val="-3"/>
                <w:sz w:val="22"/>
                <w:szCs w:val="22"/>
                <w:highlight w:val="none"/>
              </w:rPr>
              <w:t>递</w:t>
            </w:r>
            <w:r>
              <w:rPr>
                <w:rFonts w:hint="eastAsia" w:ascii="宋体" w:hAnsi="宋体" w:eastAsia="宋体" w:cs="宋体"/>
                <w:sz w:val="22"/>
                <w:szCs w:val="22"/>
                <w:highlight w:val="none"/>
              </w:rPr>
              <w:t>交</w:t>
            </w:r>
            <w:r>
              <w:rPr>
                <w:rFonts w:hint="eastAsia" w:ascii="宋体" w:hAnsi="宋体" w:eastAsia="宋体" w:cs="宋体"/>
                <w:spacing w:val="-3"/>
                <w:sz w:val="22"/>
                <w:szCs w:val="22"/>
                <w:highlight w:val="none"/>
              </w:rPr>
              <w:t>地</w:t>
            </w:r>
            <w:r>
              <w:rPr>
                <w:rFonts w:hint="eastAsia" w:ascii="宋体" w:hAnsi="宋体" w:eastAsia="宋体" w:cs="宋体"/>
                <w:sz w:val="22"/>
                <w:szCs w:val="22"/>
                <w:highlight w:val="none"/>
              </w:rPr>
              <w:t>址</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rPr>
              <w:t>见</w:t>
            </w:r>
            <w:r>
              <w:rPr>
                <w:rFonts w:hint="eastAsia" w:ascii="宋体" w:hAnsi="宋体" w:eastAsia="宋体" w:cs="宋体"/>
                <w:spacing w:val="-3"/>
                <w:sz w:val="22"/>
                <w:szCs w:val="22"/>
                <w:highlight w:val="none"/>
              </w:rPr>
              <w:t>第</w:t>
            </w:r>
            <w:r>
              <w:rPr>
                <w:rFonts w:hint="eastAsia" w:ascii="宋体" w:hAnsi="宋体" w:eastAsia="宋体" w:cs="宋体"/>
                <w:sz w:val="22"/>
                <w:szCs w:val="22"/>
                <w:highlight w:val="none"/>
              </w:rPr>
              <w:t>一章</w:t>
            </w:r>
            <w:r>
              <w:rPr>
                <w:rFonts w:hint="eastAsia" w:ascii="宋体" w:hAnsi="宋体" w:eastAsia="宋体" w:cs="宋体"/>
                <w:spacing w:val="-3"/>
                <w:sz w:val="22"/>
                <w:szCs w:val="22"/>
                <w:highlight w:val="none"/>
              </w:rPr>
              <w:t>比选邀</w:t>
            </w:r>
            <w:r>
              <w:rPr>
                <w:rFonts w:hint="eastAsia" w:ascii="宋体" w:hAnsi="宋体" w:eastAsia="宋体" w:cs="宋体"/>
                <w:sz w:val="22"/>
                <w:szCs w:val="22"/>
                <w:highlight w:val="none"/>
              </w:rPr>
              <w:t>请</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rPr>
              <w:t xml:space="preserve"> </w:t>
            </w:r>
          </w:p>
          <w:p>
            <w:pPr>
              <w:pStyle w:val="33"/>
              <w:spacing w:line="480" w:lineRule="exact"/>
              <w:ind w:left="52" w:right="4404"/>
              <w:rPr>
                <w:rFonts w:hint="eastAsia" w:ascii="宋体" w:hAnsi="宋体" w:eastAsia="宋体" w:cs="宋体"/>
                <w:sz w:val="22"/>
                <w:szCs w:val="22"/>
                <w:highlight w:val="none"/>
              </w:rPr>
            </w:pPr>
            <w:r>
              <w:rPr>
                <w:rFonts w:hint="eastAsia" w:ascii="宋体" w:hAnsi="宋体" w:eastAsia="宋体" w:cs="宋体"/>
                <w:sz w:val="22"/>
                <w:szCs w:val="22"/>
                <w:highlight w:val="none"/>
              </w:rPr>
              <w:t>报价</w:t>
            </w:r>
            <w:r>
              <w:rPr>
                <w:rFonts w:hint="eastAsia" w:ascii="宋体" w:hAnsi="宋体" w:eastAsia="宋体" w:cs="宋体"/>
                <w:spacing w:val="-3"/>
                <w:sz w:val="22"/>
                <w:szCs w:val="22"/>
                <w:highlight w:val="none"/>
              </w:rPr>
              <w:t>截</w:t>
            </w:r>
            <w:r>
              <w:rPr>
                <w:rFonts w:hint="eastAsia" w:ascii="宋体" w:hAnsi="宋体" w:eastAsia="宋体" w:cs="宋体"/>
                <w:sz w:val="22"/>
                <w:szCs w:val="22"/>
                <w:highlight w:val="none"/>
              </w:rPr>
              <w:t>止</w:t>
            </w:r>
            <w:r>
              <w:rPr>
                <w:rFonts w:hint="eastAsia" w:ascii="宋体" w:hAnsi="宋体" w:eastAsia="宋体" w:cs="宋体"/>
                <w:spacing w:val="-3"/>
                <w:sz w:val="22"/>
                <w:szCs w:val="22"/>
                <w:highlight w:val="none"/>
              </w:rPr>
              <w:t>时</w:t>
            </w:r>
            <w:r>
              <w:rPr>
                <w:rFonts w:hint="eastAsia" w:ascii="宋体" w:hAnsi="宋体" w:eastAsia="宋体" w:cs="宋体"/>
                <w:sz w:val="22"/>
                <w:szCs w:val="22"/>
                <w:highlight w:val="none"/>
              </w:rPr>
              <w:t>间</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rPr>
              <w:t>见</w:t>
            </w:r>
            <w:r>
              <w:rPr>
                <w:rFonts w:hint="eastAsia" w:ascii="宋体" w:hAnsi="宋体" w:eastAsia="宋体" w:cs="宋体"/>
                <w:spacing w:val="-3"/>
                <w:sz w:val="22"/>
                <w:szCs w:val="22"/>
                <w:highlight w:val="none"/>
              </w:rPr>
              <w:t>第</w:t>
            </w:r>
            <w:r>
              <w:rPr>
                <w:rFonts w:hint="eastAsia" w:ascii="宋体" w:hAnsi="宋体" w:eastAsia="宋体" w:cs="宋体"/>
                <w:sz w:val="22"/>
                <w:szCs w:val="22"/>
                <w:highlight w:val="none"/>
              </w:rPr>
              <w:t>一</w:t>
            </w:r>
            <w:r>
              <w:rPr>
                <w:rFonts w:hint="eastAsia" w:ascii="宋体" w:hAnsi="宋体" w:eastAsia="宋体" w:cs="宋体"/>
                <w:spacing w:val="-3"/>
                <w:sz w:val="22"/>
                <w:szCs w:val="22"/>
                <w:highlight w:val="none"/>
              </w:rPr>
              <w:t>章</w:t>
            </w:r>
            <w:r>
              <w:rPr>
                <w:rFonts w:hint="eastAsia" w:ascii="宋体" w:hAnsi="宋体" w:eastAsia="宋体" w:cs="宋体"/>
                <w:sz w:val="22"/>
                <w:szCs w:val="22"/>
                <w:highlight w:val="none"/>
              </w:rPr>
              <w:t>比选</w:t>
            </w:r>
            <w:r>
              <w:rPr>
                <w:rFonts w:hint="eastAsia" w:ascii="宋体" w:hAnsi="宋体" w:eastAsia="宋体" w:cs="宋体"/>
                <w:spacing w:val="-3"/>
                <w:sz w:val="22"/>
                <w:szCs w:val="22"/>
                <w:highlight w:val="none"/>
              </w:rPr>
              <w:t>邀</w:t>
            </w:r>
            <w:r>
              <w:rPr>
                <w:rFonts w:hint="eastAsia" w:ascii="宋体" w:hAnsi="宋体" w:eastAsia="宋体" w:cs="宋体"/>
                <w:sz w:val="22"/>
                <w:szCs w:val="22"/>
                <w:highlight w:val="none"/>
              </w:rPr>
              <w:t>请</w:t>
            </w:r>
            <w:r>
              <w:rPr>
                <w:rFonts w:hint="eastAsia" w:ascii="宋体" w:hAnsi="宋体" w:eastAsia="宋体" w:cs="宋体"/>
                <w:spacing w:val="-3"/>
                <w:sz w:val="22"/>
                <w:szCs w:val="22"/>
                <w:highlight w:val="none"/>
              </w:rPr>
              <w:t>。</w:t>
            </w:r>
            <w:r>
              <w:rPr>
                <w:rFonts w:hint="eastAsia" w:ascii="宋体" w:hAnsi="宋体" w:eastAsia="宋体" w:cs="宋体"/>
                <w:sz w:val="22"/>
                <w:szCs w:val="22"/>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z w:val="22"/>
                <w:szCs w:val="22"/>
                <w:highlight w:val="none"/>
              </w:rPr>
            </w:pPr>
            <w:r>
              <w:rPr>
                <w:rFonts w:hint="eastAsia" w:ascii="宋体" w:hAnsi="宋体" w:eastAsia="宋体" w:cs="宋体"/>
                <w:spacing w:val="-1"/>
                <w:sz w:val="22"/>
                <w:szCs w:val="24"/>
                <w:highlight w:val="none"/>
              </w:rPr>
              <w:t>5</w:t>
            </w:r>
          </w:p>
        </w:tc>
        <w:tc>
          <w:tcPr>
            <w:tcW w:w="8115" w:type="dxa"/>
            <w:vAlign w:val="center"/>
          </w:tcPr>
          <w:p>
            <w:pPr>
              <w:pStyle w:val="33"/>
              <w:spacing w:line="480" w:lineRule="exact"/>
              <w:ind w:left="52"/>
              <w:rPr>
                <w:rFonts w:hint="eastAsia" w:ascii="宋体" w:hAnsi="宋体" w:eastAsia="宋体" w:cs="宋体"/>
                <w:sz w:val="22"/>
                <w:szCs w:val="22"/>
                <w:highlight w:val="none"/>
              </w:rPr>
            </w:pPr>
            <w:r>
              <w:rPr>
                <w:rFonts w:hint="eastAsia" w:ascii="宋体" w:hAnsi="宋体" w:eastAsia="宋体" w:cs="宋体"/>
                <w:sz w:val="22"/>
                <w:szCs w:val="22"/>
                <w:highlight w:val="none"/>
              </w:rPr>
              <w:t>响应</w:t>
            </w:r>
            <w:r>
              <w:rPr>
                <w:rFonts w:hint="eastAsia" w:ascii="宋体" w:hAnsi="宋体" w:eastAsia="宋体" w:cs="宋体"/>
                <w:spacing w:val="-3"/>
                <w:sz w:val="22"/>
                <w:szCs w:val="22"/>
                <w:highlight w:val="none"/>
              </w:rPr>
              <w:t>保</w:t>
            </w:r>
            <w:r>
              <w:rPr>
                <w:rFonts w:hint="eastAsia" w:ascii="宋体" w:hAnsi="宋体" w:eastAsia="宋体" w:cs="宋体"/>
                <w:sz w:val="22"/>
                <w:szCs w:val="22"/>
                <w:highlight w:val="none"/>
              </w:rPr>
              <w:t>证</w:t>
            </w:r>
            <w:r>
              <w:rPr>
                <w:rFonts w:hint="eastAsia" w:ascii="宋体" w:hAnsi="宋体" w:eastAsia="宋体" w:cs="宋体"/>
                <w:spacing w:val="-3"/>
                <w:sz w:val="22"/>
                <w:szCs w:val="22"/>
                <w:highlight w:val="none"/>
              </w:rPr>
              <w:t>金：</w:t>
            </w:r>
            <w:r>
              <w:rPr>
                <w:rFonts w:hint="eastAsia" w:ascii="宋体" w:hAnsi="宋体" w:eastAsia="宋体" w:cs="宋体"/>
                <w:sz w:val="22"/>
                <w:szCs w:val="22"/>
                <w:highlight w:val="none"/>
              </w:rPr>
              <w:t xml:space="preserve"> </w:t>
            </w:r>
          </w:p>
          <w:p>
            <w:pPr>
              <w:pStyle w:val="33"/>
              <w:spacing w:line="480" w:lineRule="exact"/>
              <w:ind w:left="52" w:right="47"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本项目无保证金。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z w:val="22"/>
                <w:szCs w:val="22"/>
                <w:highlight w:val="none"/>
              </w:rPr>
            </w:pPr>
            <w:r>
              <w:rPr>
                <w:rFonts w:hint="eastAsia" w:ascii="宋体" w:hAnsi="宋体" w:eastAsia="宋体" w:cs="宋体"/>
                <w:spacing w:val="-1"/>
                <w:sz w:val="22"/>
                <w:szCs w:val="24"/>
                <w:highlight w:val="none"/>
              </w:rPr>
              <w:t>6</w:t>
            </w:r>
          </w:p>
        </w:tc>
        <w:tc>
          <w:tcPr>
            <w:tcW w:w="8115" w:type="dxa"/>
            <w:vAlign w:val="center"/>
          </w:tcPr>
          <w:p>
            <w:pPr>
              <w:pStyle w:val="33"/>
              <w:spacing w:line="480" w:lineRule="exact"/>
              <w:ind w:firstLine="0" w:firstLineChars="0"/>
              <w:rPr>
                <w:rFonts w:hint="eastAsia" w:ascii="宋体" w:hAnsi="宋体" w:eastAsia="宋体" w:cs="宋体"/>
                <w:spacing w:val="-3"/>
                <w:sz w:val="22"/>
                <w:szCs w:val="22"/>
                <w:highlight w:val="none"/>
              </w:rPr>
            </w:pPr>
            <w:r>
              <w:rPr>
                <w:rFonts w:hint="eastAsia" w:ascii="宋体" w:hAnsi="宋体" w:eastAsia="宋体" w:cs="宋体"/>
                <w:sz w:val="22"/>
                <w:szCs w:val="22"/>
                <w:highlight w:val="none"/>
              </w:rPr>
              <w:t>评审</w:t>
            </w:r>
            <w:r>
              <w:rPr>
                <w:rFonts w:hint="eastAsia" w:ascii="宋体" w:hAnsi="宋体" w:eastAsia="宋体" w:cs="宋体"/>
                <w:spacing w:val="-3"/>
                <w:sz w:val="22"/>
                <w:szCs w:val="22"/>
                <w:highlight w:val="none"/>
              </w:rPr>
              <w:t>方</w:t>
            </w:r>
            <w:r>
              <w:rPr>
                <w:rFonts w:hint="eastAsia" w:ascii="宋体" w:hAnsi="宋体" w:eastAsia="宋体" w:cs="宋体"/>
                <w:sz w:val="22"/>
                <w:szCs w:val="22"/>
                <w:highlight w:val="none"/>
              </w:rPr>
              <w:t>法</w:t>
            </w:r>
            <w:r>
              <w:rPr>
                <w:rFonts w:hint="eastAsia" w:ascii="宋体" w:hAnsi="宋体" w:eastAsia="宋体" w:cs="宋体"/>
                <w:spacing w:val="-3"/>
                <w:sz w:val="22"/>
                <w:szCs w:val="22"/>
                <w:highlight w:val="none"/>
              </w:rPr>
              <w:t>和</w:t>
            </w:r>
            <w:r>
              <w:rPr>
                <w:rFonts w:hint="eastAsia" w:ascii="宋体" w:hAnsi="宋体" w:eastAsia="宋体" w:cs="宋体"/>
                <w:sz w:val="22"/>
                <w:szCs w:val="22"/>
                <w:highlight w:val="none"/>
              </w:rPr>
              <w:t>成</w:t>
            </w:r>
            <w:r>
              <w:rPr>
                <w:rFonts w:hint="eastAsia" w:ascii="宋体" w:hAnsi="宋体" w:eastAsia="宋体" w:cs="宋体"/>
                <w:spacing w:val="-3"/>
                <w:sz w:val="22"/>
                <w:szCs w:val="22"/>
                <w:highlight w:val="none"/>
              </w:rPr>
              <w:t>交</w:t>
            </w:r>
            <w:r>
              <w:rPr>
                <w:rFonts w:hint="eastAsia" w:ascii="宋体" w:hAnsi="宋体" w:eastAsia="宋体" w:cs="宋体"/>
                <w:sz w:val="22"/>
                <w:szCs w:val="22"/>
                <w:highlight w:val="none"/>
              </w:rPr>
              <w:t>原</w:t>
            </w:r>
            <w:r>
              <w:rPr>
                <w:rFonts w:hint="eastAsia" w:ascii="宋体" w:hAnsi="宋体" w:eastAsia="宋体" w:cs="宋体"/>
                <w:spacing w:val="-3"/>
                <w:sz w:val="22"/>
                <w:szCs w:val="22"/>
                <w:highlight w:val="none"/>
              </w:rPr>
              <w:t>则：综合评分法，</w:t>
            </w:r>
          </w:p>
          <w:p>
            <w:pPr>
              <w:pStyle w:val="33"/>
              <w:spacing w:line="480" w:lineRule="exact"/>
              <w:ind w:firstLine="428" w:firstLineChars="200"/>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根据比选内容的特点依法组建比选小组。比选小组由技术、经济、法律方面的专家和采购人代表组成。成员为 5 人以上单数组成，专家人数不能少于2/3。在响应文件递交截止时间后的适当时间里由比选小组对响应文件进行审查、评估和比较，并做出授予合同的建议。</w:t>
            </w:r>
          </w:p>
          <w:p>
            <w:pPr>
              <w:pStyle w:val="33"/>
              <w:spacing w:line="480" w:lineRule="exact"/>
              <w:ind w:firstLine="428" w:firstLineChars="200"/>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对所有比选响应供应商的材料比选，都采用相同的程序和标准。由比选小组根据比选资格要求审核各比选响应供应商的比选文件是否合格、有效，凡不符合专业条件要求和未实质性响应比选方案要求的比选响应供应商均不进入比选评审。通过以上审核，则依照比选文件规定的标准和权重进行评审。</w:t>
            </w:r>
          </w:p>
          <w:p>
            <w:pPr>
              <w:pStyle w:val="33"/>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比选小组对通过以上审核的有效响应供应商进行评审和推荐，评审结果按照评审总得分由高到低顺序排列。评审总得分相同的，按照报价由低到高顺序排列。评标总得分、报价均相同的，按照技术得分由高到低；评标总得分、报价、技术得分均相同的，按照商务得分由高到低；若还是无法区分排序的，采取随机抽取的方式确定。</w:t>
            </w:r>
          </w:p>
          <w:p>
            <w:pPr>
              <w:pStyle w:val="33"/>
              <w:spacing w:line="480" w:lineRule="exact"/>
              <w:ind w:firstLine="442" w:firstLineChars="200"/>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采购人委托比选小组依据比选文件的评审方法和成交原则直接确认成交供应商，在完成内部结果公示后，由项目咨询服务公司依据成交结果向成交供应商发出成交通知书。</w:t>
            </w:r>
          </w:p>
          <w:p>
            <w:pPr>
              <w:pStyle w:val="33"/>
              <w:spacing w:line="480" w:lineRule="exact"/>
              <w:ind w:firstLine="440" w:firstLineChars="200"/>
              <w:rPr>
                <w:rFonts w:hint="eastAsia" w:ascii="宋体" w:hAnsi="宋体" w:eastAsia="宋体" w:cs="宋体"/>
                <w:b/>
                <w:bCs/>
                <w:sz w:val="22"/>
                <w:szCs w:val="22"/>
                <w:highlight w:val="none"/>
                <w:u w:val="single"/>
              </w:rPr>
            </w:pPr>
            <w:r>
              <w:rPr>
                <w:rFonts w:hint="eastAsia" w:ascii="宋体" w:hAnsi="宋体" w:eastAsia="宋体" w:cs="宋体"/>
                <w:sz w:val="22"/>
                <w:szCs w:val="22"/>
                <w:highlight w:val="none"/>
              </w:rPr>
              <w:t>若本次比选为本项目采购的首次比选，当对采购文件</w:t>
            </w:r>
            <w:r>
              <w:rPr>
                <w:rFonts w:hint="eastAsia" w:ascii="宋体" w:hAnsi="宋体" w:eastAsia="宋体" w:cs="宋体"/>
                <w:sz w:val="22"/>
                <w:szCs w:val="22"/>
                <w:highlight w:val="none"/>
                <w:lang w:eastAsia="zh-CN"/>
              </w:rPr>
              <w:t>作出</w:t>
            </w:r>
            <w:r>
              <w:rPr>
                <w:rFonts w:hint="eastAsia" w:ascii="宋体" w:hAnsi="宋体" w:eastAsia="宋体" w:cs="宋体"/>
                <w:sz w:val="22"/>
                <w:szCs w:val="22"/>
                <w:highlight w:val="none"/>
              </w:rPr>
              <w:t>实</w:t>
            </w:r>
            <w:r>
              <w:rPr>
                <w:rFonts w:hint="eastAsia" w:ascii="宋体" w:hAnsi="宋体" w:eastAsia="宋体" w:cs="宋体"/>
                <w:spacing w:val="2"/>
                <w:sz w:val="22"/>
                <w:szCs w:val="22"/>
                <w:highlight w:val="none"/>
              </w:rPr>
              <w:t>质</w:t>
            </w:r>
            <w:r>
              <w:rPr>
                <w:rFonts w:hint="eastAsia" w:ascii="宋体" w:hAnsi="宋体" w:eastAsia="宋体" w:cs="宋体"/>
                <w:sz w:val="22"/>
                <w:szCs w:val="22"/>
                <w:highlight w:val="none"/>
              </w:rPr>
              <w:t>性响应的供应商不</w:t>
            </w:r>
            <w:r>
              <w:rPr>
                <w:rFonts w:hint="eastAsia" w:ascii="宋体" w:hAnsi="宋体" w:eastAsia="宋体" w:cs="宋体"/>
                <w:spacing w:val="2"/>
                <w:sz w:val="22"/>
                <w:szCs w:val="22"/>
                <w:highlight w:val="none"/>
              </w:rPr>
              <w:t>足</w:t>
            </w:r>
            <w:r>
              <w:rPr>
                <w:rFonts w:hint="eastAsia" w:ascii="宋体" w:hAnsi="宋体" w:eastAsia="宋体" w:cs="宋体"/>
                <w:sz w:val="22"/>
                <w:szCs w:val="22"/>
                <w:highlight w:val="none"/>
              </w:rPr>
              <w:t>三家时，本次比选失</w:t>
            </w:r>
            <w:r>
              <w:rPr>
                <w:rFonts w:hint="eastAsia" w:ascii="宋体" w:hAnsi="宋体" w:eastAsia="宋体" w:cs="宋体"/>
                <w:spacing w:val="2"/>
                <w:sz w:val="22"/>
                <w:szCs w:val="22"/>
                <w:highlight w:val="none"/>
              </w:rPr>
              <w:t>败</w:t>
            </w:r>
            <w:r>
              <w:rPr>
                <w:rFonts w:hint="eastAsia" w:ascii="宋体" w:hAnsi="宋体" w:eastAsia="宋体" w:cs="宋体"/>
                <w:sz w:val="22"/>
                <w:szCs w:val="22"/>
                <w:highlight w:val="none"/>
              </w:rPr>
              <w:t>。失败后将另行公告征</w:t>
            </w:r>
            <w:r>
              <w:rPr>
                <w:rFonts w:hint="eastAsia" w:ascii="宋体" w:hAnsi="宋体" w:eastAsia="宋体" w:cs="宋体"/>
                <w:spacing w:val="2"/>
                <w:sz w:val="22"/>
                <w:szCs w:val="22"/>
                <w:highlight w:val="none"/>
              </w:rPr>
              <w:t>集</w:t>
            </w:r>
            <w:r>
              <w:rPr>
                <w:rFonts w:hint="eastAsia" w:ascii="宋体" w:hAnsi="宋体" w:eastAsia="宋体" w:cs="宋体"/>
                <w:sz w:val="22"/>
                <w:szCs w:val="22"/>
                <w:highlight w:val="none"/>
              </w:rPr>
              <w:t>和补充供应商或由比选</w:t>
            </w:r>
            <w:r>
              <w:rPr>
                <w:rFonts w:hint="eastAsia" w:ascii="宋体" w:hAnsi="宋体" w:eastAsia="宋体" w:cs="宋体"/>
                <w:spacing w:val="2"/>
                <w:sz w:val="22"/>
                <w:szCs w:val="22"/>
                <w:highlight w:val="none"/>
              </w:rPr>
              <w:t>小</w:t>
            </w:r>
            <w:r>
              <w:rPr>
                <w:rFonts w:hint="eastAsia" w:ascii="宋体" w:hAnsi="宋体" w:eastAsia="宋体" w:cs="宋体"/>
                <w:sz w:val="22"/>
                <w:szCs w:val="22"/>
                <w:highlight w:val="none"/>
              </w:rPr>
              <w:t>组从符合相应资格条件的供应商名单</w:t>
            </w:r>
            <w:r>
              <w:rPr>
                <w:rFonts w:hint="eastAsia" w:ascii="宋体" w:hAnsi="宋体" w:eastAsia="宋体" w:cs="宋体"/>
                <w:spacing w:val="2"/>
                <w:sz w:val="22"/>
                <w:szCs w:val="22"/>
                <w:highlight w:val="none"/>
              </w:rPr>
              <w:t>中</w:t>
            </w:r>
            <w:r>
              <w:rPr>
                <w:rFonts w:hint="eastAsia" w:ascii="宋体" w:hAnsi="宋体" w:eastAsia="宋体" w:cs="宋体"/>
                <w:sz w:val="22"/>
                <w:szCs w:val="22"/>
                <w:highlight w:val="none"/>
              </w:rPr>
              <w:t>补充参加报价的供应商</w:t>
            </w:r>
            <w:r>
              <w:rPr>
                <w:rFonts w:hint="eastAsia" w:ascii="宋体" w:hAnsi="宋体" w:eastAsia="宋体" w:cs="宋体"/>
                <w:spacing w:val="2"/>
                <w:sz w:val="22"/>
                <w:szCs w:val="22"/>
                <w:highlight w:val="none"/>
              </w:rPr>
              <w:t>，</w:t>
            </w:r>
            <w:r>
              <w:rPr>
                <w:rFonts w:hint="eastAsia" w:ascii="宋体" w:hAnsi="宋体" w:eastAsia="宋体" w:cs="宋体"/>
                <w:sz w:val="22"/>
                <w:szCs w:val="22"/>
                <w:highlight w:val="none"/>
              </w:rPr>
              <w:t>并重新组织比选。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pacing w:val="-1"/>
                <w:sz w:val="22"/>
                <w:szCs w:val="24"/>
                <w:highlight w:val="none"/>
              </w:rPr>
            </w:pPr>
            <w:r>
              <w:rPr>
                <w:rFonts w:hint="eastAsia" w:ascii="宋体" w:hAnsi="宋体" w:eastAsia="宋体" w:cs="宋体"/>
                <w:spacing w:val="-1"/>
                <w:sz w:val="22"/>
                <w:szCs w:val="24"/>
                <w:highlight w:val="none"/>
              </w:rPr>
              <w:t>7</w:t>
            </w:r>
          </w:p>
        </w:tc>
        <w:tc>
          <w:tcPr>
            <w:tcW w:w="8115" w:type="dxa"/>
          </w:tcPr>
          <w:p>
            <w:pPr>
              <w:spacing w:line="480" w:lineRule="exact"/>
              <w:ind w:firstLine="440" w:firstLineChars="200"/>
              <w:rPr>
                <w:rFonts w:hint="eastAsia" w:ascii="宋体" w:hAnsi="宋体" w:eastAsia="宋体" w:cs="宋体"/>
                <w:spacing w:val="-3"/>
                <w:sz w:val="22"/>
                <w:szCs w:val="22"/>
                <w:highlight w:val="none"/>
              </w:rPr>
            </w:pPr>
            <w:r>
              <w:rPr>
                <w:rFonts w:hint="eastAsia" w:ascii="宋体" w:hAnsi="宋体" w:eastAsia="宋体" w:cs="宋体"/>
                <w:sz w:val="22"/>
                <w:szCs w:val="22"/>
                <w:highlight w:val="none"/>
              </w:rPr>
              <w:t>项目咨询服务费标</w:t>
            </w:r>
            <w:r>
              <w:rPr>
                <w:rFonts w:hint="eastAsia" w:ascii="宋体" w:hAnsi="宋体" w:eastAsia="宋体" w:cs="宋体"/>
                <w:spacing w:val="-3"/>
                <w:sz w:val="22"/>
                <w:szCs w:val="22"/>
                <w:highlight w:val="none"/>
              </w:rPr>
              <w:t>准</w:t>
            </w:r>
            <w:r>
              <w:rPr>
                <w:rFonts w:hint="eastAsia" w:ascii="宋体" w:hAnsi="宋体" w:eastAsia="宋体" w:cs="宋体"/>
                <w:sz w:val="22"/>
                <w:szCs w:val="22"/>
                <w:highlight w:val="none"/>
              </w:rPr>
              <w:t>及</w:t>
            </w:r>
            <w:r>
              <w:rPr>
                <w:rFonts w:hint="eastAsia" w:ascii="宋体" w:hAnsi="宋体" w:eastAsia="宋体" w:cs="宋体"/>
                <w:spacing w:val="-3"/>
                <w:sz w:val="22"/>
                <w:szCs w:val="22"/>
                <w:highlight w:val="none"/>
              </w:rPr>
              <w:t>缴</w:t>
            </w:r>
            <w:r>
              <w:rPr>
                <w:rFonts w:hint="eastAsia" w:ascii="宋体" w:hAnsi="宋体" w:eastAsia="宋体" w:cs="宋体"/>
                <w:sz w:val="22"/>
                <w:szCs w:val="22"/>
                <w:highlight w:val="none"/>
              </w:rPr>
              <w:t>纳方</w:t>
            </w:r>
            <w:r>
              <w:rPr>
                <w:rFonts w:hint="eastAsia" w:ascii="宋体" w:hAnsi="宋体" w:eastAsia="宋体" w:cs="宋体"/>
                <w:spacing w:val="-3"/>
                <w:sz w:val="22"/>
                <w:szCs w:val="22"/>
                <w:highlight w:val="none"/>
              </w:rPr>
              <w:t>式：本项目由采购人自行组织采购，其中文件编制、协助组织开评标等相关工作均由</w:t>
            </w:r>
            <w:r>
              <w:rPr>
                <w:rFonts w:hint="eastAsia" w:ascii="宋体" w:hAnsi="宋体" w:eastAsia="宋体" w:cs="宋体"/>
                <w:sz w:val="22"/>
                <w:szCs w:val="22"/>
                <w:highlight w:val="none"/>
              </w:rPr>
              <w:t>项目咨询公司协助完成。项目咨询公司按项目中标（成交）金额的1.5%（不足3000元按3000元）向报价成交</w:t>
            </w:r>
            <w:r>
              <w:rPr>
                <w:rFonts w:hint="eastAsia" w:ascii="宋体" w:hAnsi="宋体" w:eastAsia="宋体" w:cs="宋体"/>
                <w:spacing w:val="1"/>
                <w:sz w:val="22"/>
                <w:szCs w:val="22"/>
                <w:highlight w:val="none"/>
              </w:rPr>
              <w:t>人</w:t>
            </w:r>
            <w:r>
              <w:rPr>
                <w:rFonts w:hint="eastAsia" w:ascii="宋体" w:hAnsi="宋体" w:eastAsia="宋体" w:cs="宋体"/>
                <w:sz w:val="22"/>
                <w:szCs w:val="22"/>
                <w:highlight w:val="none"/>
              </w:rPr>
              <w:t>收取咨询服务费（服务费包含但不限于：文件编制、协助组织开评标、开评标场地使用费用、专家津贴等费用）</w:t>
            </w:r>
            <w:r>
              <w:rPr>
                <w:rFonts w:hint="eastAsia" w:ascii="宋体" w:hAnsi="宋体" w:eastAsia="宋体" w:cs="宋体"/>
                <w:spacing w:val="-41"/>
                <w:sz w:val="22"/>
                <w:szCs w:val="22"/>
                <w:highlight w:val="none"/>
              </w:rPr>
              <w:t>。</w:t>
            </w:r>
            <w:r>
              <w:rPr>
                <w:rFonts w:hint="eastAsia" w:ascii="宋体" w:hAnsi="宋体" w:eastAsia="宋体" w:cs="宋体"/>
                <w:spacing w:val="-3"/>
                <w:sz w:val="22"/>
                <w:szCs w:val="22"/>
                <w:highlight w:val="none"/>
              </w:rPr>
              <w:t>报</w:t>
            </w:r>
            <w:r>
              <w:rPr>
                <w:rFonts w:hint="eastAsia" w:ascii="宋体" w:hAnsi="宋体" w:eastAsia="宋体" w:cs="宋体"/>
                <w:sz w:val="22"/>
                <w:szCs w:val="22"/>
                <w:highlight w:val="none"/>
              </w:rPr>
              <w:t>价</w:t>
            </w:r>
            <w:r>
              <w:rPr>
                <w:rFonts w:hint="eastAsia" w:ascii="宋体" w:hAnsi="宋体" w:eastAsia="宋体" w:cs="宋体"/>
                <w:spacing w:val="-3"/>
                <w:sz w:val="22"/>
                <w:szCs w:val="22"/>
                <w:highlight w:val="none"/>
              </w:rPr>
              <w:t>成</w:t>
            </w:r>
            <w:r>
              <w:rPr>
                <w:rFonts w:hint="eastAsia" w:ascii="宋体" w:hAnsi="宋体" w:eastAsia="宋体" w:cs="宋体"/>
                <w:sz w:val="22"/>
                <w:szCs w:val="22"/>
                <w:highlight w:val="none"/>
              </w:rPr>
              <w:t>交</w:t>
            </w:r>
            <w:r>
              <w:rPr>
                <w:rFonts w:hint="eastAsia" w:ascii="宋体" w:hAnsi="宋体" w:eastAsia="宋体" w:cs="宋体"/>
                <w:spacing w:val="-3"/>
                <w:sz w:val="22"/>
                <w:szCs w:val="22"/>
                <w:highlight w:val="none"/>
              </w:rPr>
              <w:t>人</w:t>
            </w:r>
            <w:r>
              <w:rPr>
                <w:rFonts w:hint="eastAsia" w:ascii="宋体" w:hAnsi="宋体" w:eastAsia="宋体" w:cs="宋体"/>
                <w:sz w:val="22"/>
                <w:szCs w:val="22"/>
                <w:highlight w:val="none"/>
              </w:rPr>
              <w:t>在</w:t>
            </w:r>
            <w:r>
              <w:rPr>
                <w:rFonts w:hint="eastAsia" w:ascii="宋体" w:hAnsi="宋体" w:eastAsia="宋体" w:cs="宋体"/>
                <w:spacing w:val="-3"/>
                <w:sz w:val="22"/>
                <w:szCs w:val="22"/>
                <w:highlight w:val="none"/>
              </w:rPr>
              <w:t>领</w:t>
            </w:r>
            <w:r>
              <w:rPr>
                <w:rFonts w:hint="eastAsia" w:ascii="宋体" w:hAnsi="宋体" w:eastAsia="宋体" w:cs="宋体"/>
                <w:sz w:val="22"/>
                <w:szCs w:val="22"/>
                <w:highlight w:val="none"/>
              </w:rPr>
              <w:t>取成</w:t>
            </w:r>
            <w:r>
              <w:rPr>
                <w:rFonts w:hint="eastAsia" w:ascii="宋体" w:hAnsi="宋体" w:eastAsia="宋体" w:cs="宋体"/>
                <w:spacing w:val="-3"/>
                <w:sz w:val="22"/>
                <w:szCs w:val="22"/>
                <w:highlight w:val="none"/>
              </w:rPr>
              <w:t>交</w:t>
            </w:r>
            <w:r>
              <w:rPr>
                <w:rFonts w:hint="eastAsia" w:ascii="宋体" w:hAnsi="宋体" w:eastAsia="宋体" w:cs="宋体"/>
                <w:sz w:val="22"/>
                <w:szCs w:val="22"/>
                <w:highlight w:val="none"/>
              </w:rPr>
              <w:t>通</w:t>
            </w:r>
            <w:r>
              <w:rPr>
                <w:rFonts w:hint="eastAsia" w:ascii="宋体" w:hAnsi="宋体" w:eastAsia="宋体" w:cs="宋体"/>
                <w:spacing w:val="-3"/>
                <w:sz w:val="22"/>
                <w:szCs w:val="22"/>
                <w:highlight w:val="none"/>
              </w:rPr>
              <w:t>知</w:t>
            </w:r>
            <w:r>
              <w:rPr>
                <w:rFonts w:hint="eastAsia" w:ascii="宋体" w:hAnsi="宋体" w:eastAsia="宋体" w:cs="宋体"/>
                <w:sz w:val="22"/>
                <w:szCs w:val="22"/>
                <w:highlight w:val="none"/>
              </w:rPr>
              <w:t>书</w:t>
            </w:r>
            <w:r>
              <w:rPr>
                <w:rFonts w:hint="eastAsia" w:ascii="宋体" w:hAnsi="宋体" w:eastAsia="宋体" w:cs="宋体"/>
                <w:spacing w:val="-3"/>
                <w:sz w:val="22"/>
                <w:szCs w:val="22"/>
                <w:highlight w:val="none"/>
              </w:rPr>
              <w:t>时</w:t>
            </w:r>
            <w:r>
              <w:rPr>
                <w:rFonts w:hint="eastAsia" w:ascii="宋体" w:hAnsi="宋体" w:eastAsia="宋体" w:cs="宋体"/>
                <w:spacing w:val="-41"/>
                <w:sz w:val="22"/>
                <w:szCs w:val="22"/>
                <w:highlight w:val="none"/>
              </w:rPr>
              <w:t>，</w:t>
            </w:r>
            <w:r>
              <w:rPr>
                <w:rFonts w:hint="eastAsia" w:ascii="宋体" w:hAnsi="宋体" w:eastAsia="宋体" w:cs="宋体"/>
                <w:spacing w:val="-3"/>
                <w:sz w:val="22"/>
                <w:szCs w:val="22"/>
                <w:highlight w:val="none"/>
              </w:rPr>
              <w:t>应</w:t>
            </w:r>
            <w:r>
              <w:rPr>
                <w:rFonts w:hint="eastAsia" w:ascii="宋体" w:hAnsi="宋体" w:eastAsia="宋体" w:cs="宋体"/>
                <w:spacing w:val="-3"/>
                <w:sz w:val="22"/>
                <w:szCs w:val="22"/>
                <w:highlight w:val="none"/>
                <w:lang w:eastAsia="zh-CN"/>
              </w:rPr>
              <w:t>以转账</w:t>
            </w:r>
            <w:r>
              <w:rPr>
                <w:rFonts w:hint="eastAsia" w:ascii="宋体" w:hAnsi="宋体" w:eastAsia="宋体" w:cs="宋体"/>
                <w:sz w:val="22"/>
                <w:szCs w:val="22"/>
                <w:highlight w:val="none"/>
                <w:lang w:eastAsia="zh-CN"/>
              </w:rPr>
              <w:t>支票</w:t>
            </w:r>
            <w:r>
              <w:rPr>
                <w:rFonts w:hint="eastAsia" w:ascii="宋体" w:hAnsi="宋体" w:eastAsia="宋体" w:cs="宋体"/>
                <w:spacing w:val="-41"/>
                <w:sz w:val="22"/>
                <w:szCs w:val="22"/>
                <w:highlight w:val="none"/>
              </w:rPr>
              <w:t>、</w:t>
            </w:r>
            <w:r>
              <w:rPr>
                <w:rFonts w:hint="eastAsia" w:ascii="宋体" w:hAnsi="宋体" w:eastAsia="宋体" w:cs="宋体"/>
                <w:spacing w:val="-3"/>
                <w:sz w:val="22"/>
                <w:szCs w:val="22"/>
                <w:highlight w:val="none"/>
              </w:rPr>
              <w:t>汇</w:t>
            </w:r>
            <w:r>
              <w:rPr>
                <w:rFonts w:hint="eastAsia" w:ascii="宋体" w:hAnsi="宋体" w:eastAsia="宋体" w:cs="宋体"/>
                <w:sz w:val="22"/>
                <w:szCs w:val="22"/>
                <w:highlight w:val="none"/>
              </w:rPr>
              <w:t>票</w:t>
            </w:r>
            <w:r>
              <w:rPr>
                <w:rFonts w:hint="eastAsia" w:ascii="宋体" w:hAnsi="宋体" w:eastAsia="宋体" w:cs="宋体"/>
                <w:spacing w:val="-41"/>
                <w:sz w:val="22"/>
                <w:szCs w:val="22"/>
                <w:highlight w:val="none"/>
              </w:rPr>
              <w:t>、</w:t>
            </w:r>
            <w:r>
              <w:rPr>
                <w:rFonts w:hint="eastAsia" w:ascii="宋体" w:hAnsi="宋体" w:eastAsia="宋体" w:cs="宋体"/>
                <w:spacing w:val="-3"/>
                <w:sz w:val="22"/>
                <w:szCs w:val="22"/>
                <w:highlight w:val="none"/>
              </w:rPr>
              <w:t>现</w:t>
            </w:r>
            <w:r>
              <w:rPr>
                <w:rFonts w:hint="eastAsia" w:ascii="宋体" w:hAnsi="宋体" w:eastAsia="宋体" w:cs="宋体"/>
                <w:sz w:val="22"/>
                <w:szCs w:val="22"/>
                <w:highlight w:val="none"/>
              </w:rPr>
              <w:t>金</w:t>
            </w:r>
            <w:r>
              <w:rPr>
                <w:rFonts w:hint="eastAsia" w:ascii="宋体" w:hAnsi="宋体" w:eastAsia="宋体" w:cs="宋体"/>
                <w:spacing w:val="-3"/>
                <w:sz w:val="22"/>
                <w:szCs w:val="22"/>
                <w:highlight w:val="none"/>
              </w:rPr>
              <w:t>等</w:t>
            </w:r>
            <w:r>
              <w:rPr>
                <w:rFonts w:hint="eastAsia" w:ascii="宋体" w:hAnsi="宋体" w:eastAsia="宋体" w:cs="宋体"/>
                <w:sz w:val="22"/>
                <w:szCs w:val="22"/>
                <w:highlight w:val="none"/>
              </w:rPr>
              <w:t>付</w:t>
            </w:r>
            <w:r>
              <w:rPr>
                <w:rFonts w:hint="eastAsia" w:ascii="宋体" w:hAnsi="宋体" w:eastAsia="宋体" w:cs="宋体"/>
                <w:spacing w:val="-3"/>
                <w:sz w:val="22"/>
                <w:szCs w:val="22"/>
                <w:highlight w:val="none"/>
              </w:rPr>
              <w:t>款</w:t>
            </w:r>
            <w:r>
              <w:rPr>
                <w:rFonts w:hint="eastAsia" w:ascii="宋体" w:hAnsi="宋体" w:eastAsia="宋体" w:cs="宋体"/>
                <w:sz w:val="22"/>
                <w:szCs w:val="22"/>
                <w:highlight w:val="none"/>
              </w:rPr>
              <w:t>方式</w:t>
            </w:r>
            <w:r>
              <w:rPr>
                <w:rFonts w:hint="eastAsia" w:ascii="宋体" w:hAnsi="宋体" w:eastAsia="宋体" w:cs="宋体"/>
                <w:spacing w:val="-3"/>
                <w:sz w:val="22"/>
                <w:szCs w:val="22"/>
                <w:highlight w:val="none"/>
              </w:rPr>
              <w:t>向</w:t>
            </w:r>
            <w:r>
              <w:rPr>
                <w:rFonts w:hint="eastAsia" w:ascii="宋体" w:hAnsi="宋体" w:eastAsia="宋体" w:cs="宋体"/>
                <w:sz w:val="22"/>
                <w:szCs w:val="22"/>
                <w:highlight w:val="none"/>
              </w:rPr>
              <w:t>项目咨询服务公司一</w:t>
            </w:r>
            <w:r>
              <w:rPr>
                <w:rFonts w:hint="eastAsia" w:ascii="宋体" w:hAnsi="宋体" w:eastAsia="宋体" w:cs="宋体"/>
                <w:spacing w:val="-3"/>
                <w:sz w:val="22"/>
                <w:szCs w:val="22"/>
                <w:highlight w:val="none"/>
              </w:rPr>
              <w:t>次</w:t>
            </w:r>
            <w:r>
              <w:rPr>
                <w:rFonts w:hint="eastAsia" w:ascii="宋体" w:hAnsi="宋体" w:eastAsia="宋体" w:cs="宋体"/>
                <w:sz w:val="22"/>
                <w:szCs w:val="22"/>
                <w:highlight w:val="none"/>
              </w:rPr>
              <w:t>性</w:t>
            </w:r>
            <w:r>
              <w:rPr>
                <w:rFonts w:hint="eastAsia" w:ascii="宋体" w:hAnsi="宋体" w:eastAsia="宋体" w:cs="宋体"/>
                <w:spacing w:val="-3"/>
                <w:sz w:val="22"/>
                <w:szCs w:val="22"/>
                <w:highlight w:val="none"/>
              </w:rPr>
              <w:t>付</w:t>
            </w:r>
            <w:r>
              <w:rPr>
                <w:rFonts w:hint="eastAsia" w:ascii="宋体" w:hAnsi="宋体" w:eastAsia="宋体" w:cs="宋体"/>
                <w:sz w:val="22"/>
                <w:szCs w:val="22"/>
                <w:highlight w:val="none"/>
              </w:rPr>
              <w:t>清咨询服务费</w:t>
            </w:r>
            <w:r>
              <w:rPr>
                <w:rFonts w:hint="eastAsia" w:ascii="宋体" w:hAnsi="宋体" w:eastAsia="宋体" w:cs="宋体"/>
                <w:spacing w:val="-3"/>
                <w:sz w:val="22"/>
                <w:szCs w:val="22"/>
                <w:highlight w:val="none"/>
              </w:rPr>
              <w:t>。</w:t>
            </w:r>
          </w:p>
          <w:p>
            <w:pPr>
              <w:spacing w:line="480" w:lineRule="exact"/>
              <w:ind w:firstLine="428" w:firstLineChars="200"/>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咨询服务费银行账户信息：</w:t>
            </w:r>
          </w:p>
          <w:p>
            <w:pPr>
              <w:spacing w:line="480" w:lineRule="exact"/>
              <w:ind w:firstLine="428" w:firstLineChars="200"/>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开 户 行</w:t>
            </w:r>
            <w:r>
              <w:rPr>
                <w:rFonts w:hint="eastAsia" w:ascii="宋体" w:hAnsi="宋体" w:eastAsia="宋体" w:cs="宋体"/>
                <w:spacing w:val="-3"/>
                <w:sz w:val="22"/>
                <w:szCs w:val="22"/>
                <w:highlight w:val="none"/>
                <w:lang w:eastAsia="zh-CN"/>
              </w:rPr>
              <w:t>：</w:t>
            </w:r>
            <w:r>
              <w:rPr>
                <w:rFonts w:hint="eastAsia" w:ascii="宋体" w:hAnsi="宋体" w:eastAsia="宋体" w:cs="宋体"/>
                <w:spacing w:val="-3"/>
                <w:sz w:val="22"/>
                <w:szCs w:val="22"/>
                <w:highlight w:val="none"/>
              </w:rPr>
              <w:t xml:space="preserve"> 中国建设银行股份有限公司厦门湖滨南支行</w:t>
            </w:r>
          </w:p>
          <w:p>
            <w:pPr>
              <w:spacing w:line="480" w:lineRule="exact"/>
              <w:ind w:firstLine="428" w:firstLineChars="200"/>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账    号</w:t>
            </w:r>
            <w:r>
              <w:rPr>
                <w:rFonts w:hint="eastAsia" w:ascii="宋体" w:hAnsi="宋体" w:eastAsia="宋体" w:cs="宋体"/>
                <w:spacing w:val="-3"/>
                <w:sz w:val="22"/>
                <w:szCs w:val="22"/>
                <w:highlight w:val="none"/>
                <w:lang w:eastAsia="zh-CN"/>
              </w:rPr>
              <w:t>：</w:t>
            </w:r>
            <w:r>
              <w:rPr>
                <w:rFonts w:hint="eastAsia" w:ascii="宋体" w:hAnsi="宋体" w:eastAsia="宋体" w:cs="宋体"/>
                <w:spacing w:val="-3"/>
                <w:sz w:val="22"/>
                <w:szCs w:val="22"/>
                <w:highlight w:val="none"/>
              </w:rPr>
              <w:t xml:space="preserve"> 35150198690100000573</w:t>
            </w:r>
          </w:p>
          <w:p>
            <w:pPr>
              <w:spacing w:line="480" w:lineRule="exact"/>
              <w:ind w:firstLine="428" w:firstLineChars="200"/>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收款单位</w:t>
            </w:r>
            <w:r>
              <w:rPr>
                <w:rFonts w:hint="eastAsia" w:ascii="宋体" w:hAnsi="宋体" w:eastAsia="宋体" w:cs="宋体"/>
                <w:spacing w:val="-3"/>
                <w:sz w:val="22"/>
                <w:szCs w:val="22"/>
                <w:highlight w:val="none"/>
                <w:lang w:eastAsia="zh-CN"/>
              </w:rPr>
              <w:t>：</w:t>
            </w:r>
            <w:r>
              <w:rPr>
                <w:rFonts w:hint="eastAsia" w:ascii="宋体" w:hAnsi="宋体" w:eastAsia="宋体" w:cs="宋体"/>
                <w:spacing w:val="-3"/>
                <w:sz w:val="22"/>
                <w:szCs w:val="22"/>
                <w:highlight w:val="none"/>
              </w:rPr>
              <w:t xml:space="preserve"> 厦门市招拍挂信息技术有限公司</w:t>
            </w:r>
          </w:p>
          <w:p>
            <w:pPr>
              <w:spacing w:line="480" w:lineRule="exact"/>
              <w:ind w:firstLine="428" w:firstLineChars="200"/>
              <w:rPr>
                <w:rFonts w:hint="eastAsia" w:ascii="宋体" w:hAnsi="宋体" w:eastAsia="宋体" w:cs="宋体"/>
                <w:sz w:val="22"/>
                <w:szCs w:val="22"/>
                <w:highlight w:val="none"/>
              </w:rPr>
            </w:pPr>
            <w:r>
              <w:rPr>
                <w:rFonts w:hint="eastAsia" w:ascii="宋体" w:hAnsi="宋体" w:eastAsia="宋体" w:cs="宋体"/>
                <w:spacing w:val="-3"/>
                <w:sz w:val="22"/>
                <w:szCs w:val="22"/>
                <w:highlight w:val="none"/>
              </w:rPr>
              <w:t>财务部门电话</w:t>
            </w:r>
            <w:r>
              <w:rPr>
                <w:rFonts w:hint="eastAsia" w:ascii="宋体" w:hAnsi="宋体" w:eastAsia="宋体" w:cs="宋体"/>
                <w:spacing w:val="-3"/>
                <w:sz w:val="22"/>
                <w:szCs w:val="22"/>
                <w:highlight w:val="none"/>
                <w:lang w:eastAsia="zh-CN"/>
              </w:rPr>
              <w:t>：</w:t>
            </w:r>
            <w:r>
              <w:rPr>
                <w:rFonts w:hint="eastAsia" w:ascii="宋体" w:hAnsi="宋体" w:eastAsia="宋体" w:cs="宋体"/>
                <w:spacing w:val="-3"/>
                <w:sz w:val="22"/>
                <w:szCs w:val="22"/>
                <w:highlight w:val="none"/>
              </w:rPr>
              <w:t xml:space="preserve"> 0592-2070077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780" w:type="dxa"/>
            <w:vAlign w:val="center"/>
          </w:tcPr>
          <w:p>
            <w:pPr>
              <w:pStyle w:val="33"/>
              <w:spacing w:line="480" w:lineRule="exact"/>
              <w:jc w:val="center"/>
              <w:rPr>
                <w:rFonts w:hint="eastAsia" w:ascii="宋体" w:hAnsi="宋体" w:eastAsia="宋体" w:cs="宋体"/>
                <w:spacing w:val="-1"/>
                <w:sz w:val="22"/>
                <w:szCs w:val="24"/>
                <w:highlight w:val="none"/>
              </w:rPr>
            </w:pPr>
            <w:r>
              <w:rPr>
                <w:rFonts w:hint="eastAsia" w:ascii="宋体" w:hAnsi="宋体" w:eastAsia="宋体" w:cs="宋体"/>
                <w:spacing w:val="-1"/>
                <w:sz w:val="22"/>
                <w:szCs w:val="24"/>
                <w:highlight w:val="none"/>
              </w:rPr>
              <w:t>8</w:t>
            </w:r>
          </w:p>
        </w:tc>
        <w:tc>
          <w:tcPr>
            <w:tcW w:w="8115" w:type="dxa"/>
          </w:tcPr>
          <w:p>
            <w:pPr>
              <w:spacing w:line="480" w:lineRule="exact"/>
              <w:ind w:firstLine="428" w:firstLineChars="200"/>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比选文件中带“★”条款均为重要条款，响应供应商的响应文件对这些重要条款不满足或负偏离，将导致其为无效响应。</w:t>
            </w:r>
          </w:p>
          <w:p>
            <w:pPr>
              <w:spacing w:line="480" w:lineRule="exact"/>
              <w:ind w:firstLine="428" w:firstLineChars="200"/>
              <w:rPr>
                <w:rFonts w:hint="eastAsia" w:ascii="宋体" w:hAnsi="宋体" w:eastAsia="宋体" w:cs="宋体"/>
                <w:sz w:val="22"/>
                <w:szCs w:val="22"/>
                <w:highlight w:val="none"/>
              </w:rPr>
            </w:pPr>
            <w:r>
              <w:rPr>
                <w:rFonts w:hint="eastAsia" w:ascii="宋体" w:hAnsi="宋体" w:eastAsia="宋体" w:cs="宋体"/>
                <w:spacing w:val="-3"/>
                <w:sz w:val="22"/>
                <w:szCs w:val="22"/>
                <w:highlight w:val="none"/>
              </w:rPr>
              <w:t>比选文件★条款要求汇总，详见响应文件格式《“★”号条款逐条响应情况表》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pStyle w:val="33"/>
              <w:spacing w:line="480" w:lineRule="exact"/>
              <w:jc w:val="center"/>
              <w:rPr>
                <w:rFonts w:hint="eastAsia" w:ascii="宋体" w:hAnsi="宋体" w:eastAsia="宋体" w:cs="宋体"/>
                <w:spacing w:val="-1"/>
                <w:sz w:val="22"/>
                <w:szCs w:val="24"/>
                <w:highlight w:val="none"/>
              </w:rPr>
            </w:pPr>
            <w:r>
              <w:rPr>
                <w:rFonts w:hint="eastAsia" w:ascii="宋体" w:hAnsi="宋体" w:eastAsia="宋体" w:cs="宋体"/>
                <w:spacing w:val="-1"/>
                <w:sz w:val="22"/>
                <w:szCs w:val="24"/>
                <w:highlight w:val="none"/>
              </w:rPr>
              <w:t>9</w:t>
            </w:r>
          </w:p>
        </w:tc>
        <w:tc>
          <w:tcPr>
            <w:tcW w:w="8115" w:type="dxa"/>
          </w:tcPr>
          <w:p>
            <w:pPr>
              <w:pStyle w:val="33"/>
              <w:spacing w:line="480" w:lineRule="exact"/>
              <w:jc w:val="left"/>
              <w:rPr>
                <w:rFonts w:hint="eastAsia" w:ascii="宋体" w:hAnsi="宋体" w:eastAsia="宋体" w:cs="宋体"/>
                <w:sz w:val="22"/>
                <w:szCs w:val="22"/>
                <w:highlight w:val="none"/>
              </w:rPr>
            </w:pPr>
            <w:r>
              <w:rPr>
                <w:rFonts w:hint="eastAsia" w:ascii="宋体" w:hAnsi="宋体" w:eastAsia="宋体" w:cs="宋体"/>
                <w:b/>
                <w:bCs/>
                <w:sz w:val="22"/>
                <w:szCs w:val="22"/>
                <w:highlight w:val="none"/>
              </w:rPr>
              <w:t>重要提示</w:t>
            </w:r>
            <w:r>
              <w:rPr>
                <w:rFonts w:hint="eastAsia" w:ascii="宋体" w:hAnsi="宋体" w:eastAsia="宋体" w:cs="宋体"/>
                <w:b/>
                <w:bCs/>
                <w:spacing w:val="-3"/>
                <w:sz w:val="22"/>
                <w:szCs w:val="22"/>
                <w:highlight w:val="none"/>
              </w:rPr>
              <w:t>：</w:t>
            </w:r>
            <w:r>
              <w:rPr>
                <w:rFonts w:hint="eastAsia" w:ascii="宋体" w:hAnsi="宋体" w:eastAsia="宋体" w:cs="宋体"/>
                <w:b/>
                <w:bCs/>
                <w:w w:val="99"/>
                <w:sz w:val="22"/>
                <w:szCs w:val="22"/>
                <w:highlight w:val="none"/>
              </w:rPr>
              <w:t xml:space="preserve"> </w:t>
            </w:r>
          </w:p>
          <w:p>
            <w:pPr>
              <w:pStyle w:val="33"/>
              <w:spacing w:line="480" w:lineRule="exact"/>
              <w:ind w:firstLine="442" w:firstLineChars="20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交通拥堵</w:t>
            </w:r>
            <w:r>
              <w:rPr>
                <w:rFonts w:hint="eastAsia" w:ascii="宋体" w:hAnsi="宋体" w:eastAsia="宋体" w:cs="宋体"/>
                <w:b/>
                <w:bCs/>
                <w:spacing w:val="-29"/>
                <w:sz w:val="22"/>
                <w:szCs w:val="22"/>
                <w:highlight w:val="none"/>
              </w:rPr>
              <w:t>，</w:t>
            </w:r>
            <w:r>
              <w:rPr>
                <w:rFonts w:hint="eastAsia" w:ascii="宋体" w:hAnsi="宋体" w:eastAsia="宋体" w:cs="宋体"/>
                <w:b/>
                <w:bCs/>
                <w:sz w:val="22"/>
                <w:szCs w:val="22"/>
                <w:highlight w:val="none"/>
              </w:rPr>
              <w:t>递交响应文件请提前做好准备。在规定的响应截止时间之后送达的响应文件将被拒收，敬请谅解。</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本项目采购标的</w:t>
            </w:r>
            <w:r>
              <w:rPr>
                <w:rFonts w:hint="eastAsia" w:ascii="宋体" w:hAnsi="宋体" w:eastAsia="宋体" w:cs="宋体"/>
                <w:b/>
                <w:bCs/>
                <w:sz w:val="22"/>
                <w:szCs w:val="22"/>
                <w:highlight w:val="none"/>
                <w:u w:val="single"/>
              </w:rPr>
              <w:t>不属于政府集中采购目录范围，且项目预算金额未达到分散采购限额标准，非政府采购项目由采购人自行组织项目采购</w:t>
            </w:r>
            <w:r>
              <w:rPr>
                <w:rFonts w:hint="eastAsia" w:ascii="宋体" w:hAnsi="宋体" w:eastAsia="宋体" w:cs="宋体"/>
                <w:sz w:val="22"/>
                <w:szCs w:val="22"/>
                <w:highlight w:val="none"/>
              </w:rPr>
              <w:t>。</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本项目积极响应优化营商环境政策，采购文件不进行发售，无纸质文件，</w:t>
            </w:r>
            <w:r>
              <w:rPr>
                <w:rFonts w:hint="eastAsia" w:ascii="宋体" w:hAnsi="宋体" w:eastAsia="宋体" w:cs="宋体"/>
                <w:b/>
                <w:bCs/>
                <w:sz w:val="22"/>
                <w:szCs w:val="22"/>
                <w:highlight w:val="none"/>
                <w:u w:val="single"/>
              </w:rPr>
              <w:t>不向供应商收取任何以补偿印刷、邮寄成本为由的标书费</w:t>
            </w:r>
            <w:r>
              <w:rPr>
                <w:rFonts w:hint="eastAsia" w:ascii="宋体" w:hAnsi="宋体" w:eastAsia="宋体" w:cs="宋体"/>
                <w:sz w:val="22"/>
                <w:szCs w:val="22"/>
                <w:highlight w:val="none"/>
              </w:rPr>
              <w:t>，在中国政府采购网上面向社会公示，欢迎意向供应商咨询与参与响应。为保障项目充分竞争，降低供应商参与比选活动成本，本项目</w:t>
            </w:r>
            <w:r>
              <w:rPr>
                <w:rFonts w:hint="eastAsia" w:ascii="宋体" w:hAnsi="宋体" w:eastAsia="宋体" w:cs="宋体"/>
                <w:b/>
                <w:bCs/>
                <w:sz w:val="22"/>
                <w:szCs w:val="22"/>
                <w:highlight w:val="none"/>
                <w:u w:val="single"/>
              </w:rPr>
              <w:t>不收取投标（响应）保证金</w:t>
            </w:r>
            <w:r>
              <w:rPr>
                <w:rFonts w:hint="eastAsia" w:ascii="宋体" w:hAnsi="宋体" w:eastAsia="宋体" w:cs="宋体"/>
                <w:sz w:val="22"/>
                <w:szCs w:val="22"/>
                <w:highlight w:val="none"/>
              </w:rPr>
              <w:t>。</w:t>
            </w:r>
            <w:r>
              <w:rPr>
                <w:rFonts w:hint="eastAsia" w:ascii="宋体" w:hAnsi="宋体" w:eastAsia="宋体" w:cs="宋体"/>
                <w:b/>
                <w:bCs/>
                <w:sz w:val="22"/>
                <w:szCs w:val="22"/>
                <w:highlight w:val="none"/>
                <w:u w:val="single"/>
              </w:rPr>
              <w:t>但供应商在项目采购活动中存在提供虚假材料、恶意低价等谋取成交的违法、违规行为，影响采购人正常采购进度、对采购人造成损失的，采购人有权依照民法典相关合同违约情形对其进行处罚。</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在项目公示期间，任何意向供应商对比选文件内容存在疑义，均可直接通过公告、比选文件中公示的采购人、项目咨询公司联系方式咨询相关疑义。</w:t>
            </w:r>
            <w:r>
              <w:rPr>
                <w:rFonts w:hint="eastAsia" w:ascii="宋体" w:hAnsi="宋体" w:eastAsia="宋体" w:cs="宋体"/>
                <w:b/>
                <w:bCs/>
                <w:sz w:val="22"/>
                <w:szCs w:val="22"/>
                <w:highlight w:val="none"/>
              </w:rPr>
              <w:t>疑义提出须在响应文件递交截止日期前一个工作日的工作时间结束前（北京时间下午5：00）提出。</w:t>
            </w:r>
            <w:r>
              <w:rPr>
                <w:rFonts w:hint="eastAsia" w:ascii="宋体" w:hAnsi="宋体" w:eastAsia="宋体" w:cs="宋体"/>
                <w:b/>
                <w:bCs/>
                <w:sz w:val="22"/>
                <w:szCs w:val="22"/>
                <w:highlight w:val="none"/>
                <w:u w:val="single"/>
              </w:rPr>
              <w:t>未在规定时间内提出疑义的意向供应商视为完全认同和接受本项目采购标的和技术服务要求等内容。</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参照《政府采购货物和服务招标投标管理办法》 财政部令第 87 号等相关规定，</w:t>
            </w:r>
            <w:r>
              <w:rPr>
                <w:rFonts w:hint="eastAsia" w:ascii="宋体" w:hAnsi="宋体" w:eastAsia="宋体" w:cs="宋体"/>
                <w:b/>
                <w:bCs/>
                <w:sz w:val="22"/>
                <w:szCs w:val="22"/>
                <w:highlight w:val="none"/>
              </w:rPr>
              <w:t>采购人或者采购代理机构应当</w:t>
            </w:r>
            <w:r>
              <w:rPr>
                <w:rFonts w:hint="eastAsia" w:ascii="宋体" w:hAnsi="宋体" w:eastAsia="宋体" w:cs="宋体"/>
                <w:b/>
                <w:bCs/>
                <w:sz w:val="22"/>
                <w:szCs w:val="22"/>
                <w:highlight w:val="none"/>
                <w:u w:val="single"/>
              </w:rPr>
              <w:t>对开标、评标现场活动进行全程录音录像</w:t>
            </w:r>
            <w:r>
              <w:rPr>
                <w:rFonts w:hint="eastAsia" w:ascii="宋体" w:hAnsi="宋体" w:eastAsia="宋体" w:cs="宋体"/>
                <w:b/>
                <w:bCs/>
                <w:sz w:val="22"/>
                <w:szCs w:val="22"/>
                <w:highlight w:val="none"/>
              </w:rPr>
              <w:t>。录音录像应当清晰可辨，</w:t>
            </w:r>
            <w:r>
              <w:rPr>
                <w:rFonts w:hint="eastAsia" w:ascii="宋体" w:hAnsi="宋体" w:eastAsia="宋体" w:cs="宋体"/>
                <w:b/>
                <w:bCs/>
                <w:sz w:val="22"/>
                <w:szCs w:val="22"/>
                <w:highlight w:val="none"/>
                <w:u w:val="single"/>
              </w:rPr>
              <w:t>音像资料作为采购文件一并存档</w:t>
            </w:r>
            <w:r>
              <w:rPr>
                <w:rFonts w:hint="eastAsia" w:ascii="宋体" w:hAnsi="宋体" w:eastAsia="宋体" w:cs="宋体"/>
                <w:sz w:val="22"/>
                <w:szCs w:val="22"/>
                <w:highlight w:val="none"/>
              </w:rPr>
              <w:t>。采购人办公场地不满足此部分要求，故委托项目咨询公司“厦门市招拍挂信息技术有限公司”（以下简称为招拍挂，招拍挂为中国政府采购网登记备案代理机构）协助采购人组织本次比选采购活动。</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项目咨询公司负责本项目采购文件的起草编制、提供线下开评标场地、协助采购人组织开评标工作、过程材料收集汇总移交、协助采购人处理意向供应商的咨询回复工作。</w:t>
            </w:r>
            <w:r>
              <w:rPr>
                <w:rFonts w:hint="eastAsia" w:ascii="宋体" w:hAnsi="宋体" w:eastAsia="宋体" w:cs="宋体"/>
                <w:b/>
                <w:bCs/>
                <w:sz w:val="22"/>
                <w:szCs w:val="22"/>
                <w:highlight w:val="none"/>
                <w:u w:val="single"/>
              </w:rPr>
              <w:t>项目采购活动过程中所涉及的开评标场地使用费、评审专家的评审费用津贴以及项目咨询公司的正常办公运营开支等费用由项目成交供应商统一支付</w:t>
            </w:r>
            <w:r>
              <w:rPr>
                <w:rFonts w:hint="eastAsia" w:ascii="宋体" w:hAnsi="宋体" w:eastAsia="宋体" w:cs="宋体"/>
                <w:sz w:val="22"/>
                <w:szCs w:val="22"/>
                <w:highlight w:val="none"/>
              </w:rPr>
              <w:t>，项目咨询服务费按项目中标（成交）金额的1.5%收取（不足3000元按3000元计取）。</w:t>
            </w:r>
          </w:p>
          <w:p>
            <w:pPr>
              <w:pStyle w:val="33"/>
              <w:numPr>
                <w:ilvl w:val="0"/>
                <w:numId w:val="3"/>
              </w:numPr>
              <w:spacing w:line="480" w:lineRule="exact"/>
              <w:ind w:firstLine="440" w:firstLineChars="200"/>
              <w:jc w:val="left"/>
              <w:rPr>
                <w:rFonts w:hint="eastAsia" w:ascii="宋体" w:hAnsi="宋体" w:eastAsia="宋体" w:cs="宋体"/>
                <w:b/>
                <w:bCs/>
                <w:sz w:val="22"/>
                <w:szCs w:val="22"/>
                <w:highlight w:val="none"/>
              </w:rPr>
            </w:pPr>
            <w:r>
              <w:rPr>
                <w:rFonts w:hint="eastAsia" w:ascii="宋体" w:hAnsi="宋体" w:eastAsia="宋体" w:cs="宋体"/>
                <w:sz w:val="22"/>
                <w:szCs w:val="22"/>
                <w:highlight w:val="none"/>
              </w:rPr>
              <w:t>参与响应供应商应根据比选文件要求编制响应文件，响应文件格式参考比选文件“第五章 响应文件格式”。响应供应商应将响应文件正本和全部副本分别用信封密封，并标明项目编号、 响应供应商名称</w:t>
            </w:r>
            <w:r>
              <w:rPr>
                <w:rFonts w:hint="eastAsia" w:ascii="宋体" w:hAnsi="宋体" w:eastAsia="宋体" w:cs="宋体"/>
                <w:sz w:val="22"/>
                <w:szCs w:val="22"/>
                <w:highlight w:val="none"/>
                <w:lang w:eastAsia="zh-CN"/>
              </w:rPr>
              <w:t>及</w:t>
            </w:r>
            <w:r>
              <w:rPr>
                <w:rFonts w:hint="eastAsia" w:ascii="宋体" w:hAnsi="宋体" w:eastAsia="宋体" w:cs="宋体"/>
                <w:sz w:val="22"/>
                <w:szCs w:val="22"/>
                <w:highlight w:val="none"/>
              </w:rPr>
              <w:t>“正本”或“副本”字样。响应文件未密封将导致其报价被拒绝。 本项目实行两阶段评审。响应文件由资信、技术商务部分和报价部分组成，响应供应商须将资信、技术商务部分和报价部分单独装订，分册密封递交。</w:t>
            </w:r>
            <w:r>
              <w:rPr>
                <w:rFonts w:hint="eastAsia" w:ascii="宋体" w:hAnsi="宋体" w:eastAsia="宋体" w:cs="宋体"/>
                <w:b/>
                <w:bCs/>
                <w:sz w:val="22"/>
                <w:szCs w:val="22"/>
                <w:highlight w:val="none"/>
              </w:rPr>
              <w:t>响应文件所有资信、技术商务分册（含正本和全部副本）内不得出现有关本次报价价格，否则符合性审查不合格。</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比选小组由采购人的代表和有关专家共五人以上的单数组成，其中专家的人数不得少于成员总数的三分之二。</w:t>
            </w:r>
            <w:r>
              <w:rPr>
                <w:rFonts w:hint="eastAsia" w:ascii="宋体" w:hAnsi="宋体" w:eastAsia="宋体" w:cs="宋体"/>
                <w:b/>
                <w:bCs/>
                <w:sz w:val="22"/>
                <w:szCs w:val="22"/>
                <w:highlight w:val="none"/>
                <w:u w:val="single"/>
              </w:rPr>
              <w:t>专家将通过省级以上政府采购专家库中随机抽取</w:t>
            </w:r>
            <w:r>
              <w:rPr>
                <w:rFonts w:hint="eastAsia" w:ascii="宋体" w:hAnsi="宋体" w:eastAsia="宋体" w:cs="宋体"/>
                <w:sz w:val="22"/>
                <w:szCs w:val="22"/>
                <w:highlight w:val="none"/>
              </w:rPr>
              <w:t>。比选小组根据比选文件所约定的评审方法，在有效响应供应商家数不少于3家的前提下，拆封“报价一览表”；比选小组根据评分标准的规定，对各响应供应商的响应情况进行评分，并计算出各响应供应商的总得分，按规定的排序方法排列成交候选人顺序，并按确定的成交候选人数量推荐出成交候选人。</w:t>
            </w:r>
            <w:r>
              <w:rPr>
                <w:rFonts w:hint="eastAsia" w:ascii="宋体" w:hAnsi="宋体" w:eastAsia="宋体" w:cs="宋体"/>
                <w:b/>
                <w:bCs/>
                <w:sz w:val="22"/>
                <w:szCs w:val="22"/>
                <w:highlight w:val="none"/>
                <w:u w:val="single"/>
              </w:rPr>
              <w:t>本项目采购人委托比选小组依据比选文件的评审方法和成交原则直接确认成交供应商。</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供应商应对其响应文件中提供各种资料、说明的真实性负责。在评审过程中，如有发现供应商有为谋取成交而提供虚假资料欺骗采购人和评委的行为，将取消其成交资格，并按相关规定处罚。</w:t>
            </w:r>
          </w:p>
          <w:p>
            <w:pPr>
              <w:pStyle w:val="33"/>
              <w:numPr>
                <w:ilvl w:val="0"/>
                <w:numId w:val="3"/>
              </w:numPr>
              <w:spacing w:line="480" w:lineRule="exact"/>
              <w:ind w:firstLine="442" w:firstLineChars="200"/>
              <w:jc w:val="left"/>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依照采购人内控管理规定，零星采购项目成交结果仅在采购人内部系统公示，不对外公示成交结果。</w:t>
            </w:r>
            <w:r>
              <w:rPr>
                <w:rFonts w:hint="eastAsia" w:ascii="宋体" w:hAnsi="宋体" w:eastAsia="宋体" w:cs="宋体"/>
                <w:sz w:val="22"/>
                <w:szCs w:val="22"/>
                <w:highlight w:val="none"/>
              </w:rPr>
              <w:t xml:space="preserve">在完成内部结果公示后3个工作日内由项目咨询服务公司依据成交结果向成交供应商发出成交通知，同时向所有参与报价的未成交供应商发出落标通知。成交供应商需凭项目咨询服务费转账凭证联系项目咨询公司领取成交通知书。任何参与本项目响应供应商也可在内部结果公示完成后电联采购人或项目咨询公司了解本项目成交信息。成交信息内容参照关于印发《政府采购公告和公示信息格式规范（2020 年版）》 的通知 财办库〔2020〕50 号 </w:t>
            </w:r>
            <w:r>
              <w:rPr>
                <w:rFonts w:hint="eastAsia" w:ascii="宋体" w:hAnsi="宋体" w:eastAsia="宋体" w:cs="宋体"/>
                <w:b/>
                <w:bCs/>
                <w:sz w:val="22"/>
                <w:szCs w:val="22"/>
                <w:highlight w:val="none"/>
                <w:u w:val="single"/>
              </w:rPr>
              <w:t>仅包含成交供应商名称、成交金额、成交标的等</w:t>
            </w:r>
            <w:r>
              <w:rPr>
                <w:rFonts w:hint="eastAsia" w:ascii="宋体" w:hAnsi="宋体" w:eastAsia="宋体" w:cs="宋体"/>
                <w:sz w:val="22"/>
                <w:szCs w:val="22"/>
                <w:highlight w:val="none"/>
              </w:rPr>
              <w:t>，具体内容详见财办库〔2020〕50 号 中标（成交）结果公告格式规范。其他信息参照《政府采购非招标采购方式管理办法》财政部令第 74 号 第二十五条 “</w:t>
            </w:r>
            <w:r>
              <w:rPr>
                <w:rFonts w:hint="eastAsia" w:ascii="宋体" w:hAnsi="宋体" w:eastAsia="宋体" w:cs="宋体"/>
                <w:b/>
                <w:bCs/>
                <w:sz w:val="22"/>
                <w:szCs w:val="22"/>
                <w:highlight w:val="none"/>
                <w:u w:val="single"/>
              </w:rPr>
              <w:t>谈判小组、询价小组成员以及与评审工作有关的人员不得泄露评审情况以及评审过程中获悉的国家秘密、商业秘密。”均属于不得泄露情形。</w:t>
            </w:r>
            <w:r>
              <w:rPr>
                <w:rFonts w:hint="eastAsia" w:ascii="宋体" w:hAnsi="宋体" w:eastAsia="宋体" w:cs="宋体"/>
                <w:sz w:val="22"/>
                <w:szCs w:val="22"/>
                <w:highlight w:val="none"/>
              </w:rPr>
              <w:t>若需要办理书面落标通知手续，供应商可自行联系项目咨询公司办理。</w:t>
            </w:r>
          </w:p>
          <w:p>
            <w:pPr>
              <w:pStyle w:val="33"/>
              <w:numPr>
                <w:ilvl w:val="0"/>
                <w:numId w:val="3"/>
              </w:numPr>
              <w:spacing w:line="480" w:lineRule="exact"/>
              <w:ind w:firstLine="442" w:firstLineChars="200"/>
              <w:jc w:val="left"/>
              <w:rPr>
                <w:rFonts w:hint="eastAsia" w:ascii="宋体" w:hAnsi="宋体" w:eastAsia="宋体" w:cs="宋体"/>
                <w:sz w:val="22"/>
                <w:szCs w:val="22"/>
                <w:highlight w:val="none"/>
              </w:rPr>
            </w:pPr>
            <w:r>
              <w:rPr>
                <w:rFonts w:hint="eastAsia" w:ascii="宋体" w:hAnsi="宋体" w:eastAsia="宋体" w:cs="宋体"/>
                <w:b/>
                <w:bCs/>
                <w:sz w:val="22"/>
                <w:szCs w:val="22"/>
                <w:highlight w:val="none"/>
                <w:u w:val="single"/>
              </w:rPr>
              <w:t>为避免部分供应商通过恶意低价、提供虚假材料等手段谋取项目成交</w:t>
            </w:r>
            <w:r>
              <w:rPr>
                <w:rFonts w:hint="eastAsia" w:ascii="宋体" w:hAnsi="宋体" w:eastAsia="宋体" w:cs="宋体"/>
                <w:sz w:val="22"/>
                <w:szCs w:val="22"/>
                <w:highlight w:val="none"/>
              </w:rPr>
              <w:t>，项目成交合同签订前，</w:t>
            </w:r>
            <w:r>
              <w:rPr>
                <w:rFonts w:hint="eastAsia" w:ascii="宋体" w:hAnsi="宋体" w:eastAsia="宋体" w:cs="宋体"/>
                <w:b/>
                <w:bCs/>
                <w:sz w:val="22"/>
                <w:szCs w:val="22"/>
                <w:highlight w:val="none"/>
                <w:u w:val="single"/>
              </w:rPr>
              <w:t>采购人有权要求拟成交候选人提供响应文件中复印件的原件进行核对（由项目咨询单位协助）</w:t>
            </w:r>
            <w:r>
              <w:rPr>
                <w:rFonts w:hint="eastAsia" w:ascii="宋体" w:hAnsi="宋体" w:eastAsia="宋体" w:cs="宋体"/>
                <w:b/>
                <w:bCs/>
                <w:sz w:val="22"/>
                <w:szCs w:val="22"/>
                <w:highlight w:val="none"/>
                <w:u w:val="single"/>
                <w:lang w:eastAsia="zh-CN"/>
              </w:rPr>
              <w:t>，</w:t>
            </w:r>
            <w:r>
              <w:rPr>
                <w:rFonts w:hint="eastAsia" w:ascii="宋体" w:hAnsi="宋体" w:eastAsia="宋体" w:cs="宋体"/>
                <w:b/>
                <w:bCs/>
                <w:sz w:val="22"/>
                <w:szCs w:val="22"/>
                <w:highlight w:val="none"/>
                <w:u w:val="single"/>
              </w:rPr>
              <w:t xml:space="preserve"> 以及审查拟成交候选人的资格、信誉、生产条件、产品技术状态、性能以及在不违背相关法律法规规定</w:t>
            </w:r>
            <w:r>
              <w:rPr>
                <w:rFonts w:hint="eastAsia" w:ascii="宋体" w:hAnsi="宋体" w:eastAsia="宋体" w:cs="宋体"/>
                <w:b/>
                <w:bCs/>
                <w:sz w:val="22"/>
                <w:szCs w:val="22"/>
                <w:highlight w:val="none"/>
                <w:u w:val="single"/>
                <w:lang w:eastAsia="zh-CN"/>
              </w:rPr>
              <w:t>的其他</w:t>
            </w:r>
            <w:r>
              <w:rPr>
                <w:rFonts w:hint="eastAsia" w:ascii="宋体" w:hAnsi="宋体" w:eastAsia="宋体" w:cs="宋体"/>
                <w:b/>
                <w:bCs/>
                <w:sz w:val="22"/>
                <w:szCs w:val="22"/>
                <w:highlight w:val="none"/>
                <w:u w:val="single"/>
              </w:rPr>
              <w:t>采购人认为有必要了解的问题。</w:t>
            </w:r>
            <w:r>
              <w:rPr>
                <w:rFonts w:hint="eastAsia" w:ascii="宋体" w:hAnsi="宋体" w:eastAsia="宋体" w:cs="宋体"/>
                <w:sz w:val="22"/>
                <w:szCs w:val="22"/>
                <w:highlight w:val="none"/>
              </w:rPr>
              <w:t>接受质询的成交候选人必须如实回答询问或接受采购人的考察，并提供所需的有关资料。</w:t>
            </w:r>
            <w:r>
              <w:rPr>
                <w:rFonts w:hint="eastAsia" w:ascii="宋体" w:hAnsi="宋体" w:eastAsia="宋体" w:cs="宋体"/>
                <w:b/>
                <w:bCs/>
                <w:sz w:val="22"/>
                <w:szCs w:val="22"/>
                <w:highlight w:val="none"/>
                <w:u w:val="single"/>
              </w:rPr>
              <w:t>如果成交候选人未配合采购人提供相关证明材料</w:t>
            </w:r>
            <w:r>
              <w:rPr>
                <w:rFonts w:hint="eastAsia" w:ascii="宋体" w:hAnsi="宋体" w:eastAsia="宋体" w:cs="宋体"/>
                <w:b/>
                <w:bCs/>
                <w:sz w:val="22"/>
                <w:szCs w:val="22"/>
                <w:highlight w:val="none"/>
                <w:u w:val="single"/>
                <w:lang w:eastAsia="zh-CN"/>
              </w:rPr>
              <w:t>，</w:t>
            </w:r>
            <w:r>
              <w:rPr>
                <w:rFonts w:hint="eastAsia" w:ascii="宋体" w:hAnsi="宋体" w:eastAsia="宋体" w:cs="宋体"/>
                <w:b/>
                <w:bCs/>
                <w:sz w:val="22"/>
                <w:szCs w:val="22"/>
                <w:highlight w:val="none"/>
                <w:u w:val="single"/>
              </w:rPr>
              <w:t>或无能力履行合同，其报价将被拒绝，采购人将递补下一成交候选人做类似审查</w:t>
            </w:r>
            <w:r>
              <w:rPr>
                <w:rFonts w:hint="eastAsia" w:ascii="宋体" w:hAnsi="宋体" w:eastAsia="宋体" w:cs="宋体"/>
                <w:sz w:val="22"/>
                <w:szCs w:val="22"/>
                <w:highlight w:val="none"/>
              </w:rPr>
              <w:t>。本项目仅评比确认三位成交候选人，若均无法通过相关审查，则重新组织本项目比选采购活动。</w:t>
            </w:r>
          </w:p>
          <w:p>
            <w:pPr>
              <w:pStyle w:val="33"/>
              <w:numPr>
                <w:ilvl w:val="0"/>
                <w:numId w:val="3"/>
              </w:numPr>
              <w:spacing w:line="480" w:lineRule="exact"/>
              <w:ind w:firstLine="440" w:firstLineChars="200"/>
              <w:jc w:val="left"/>
              <w:rPr>
                <w:rFonts w:hint="eastAsia" w:ascii="宋体" w:hAnsi="宋体" w:eastAsia="宋体" w:cs="宋体"/>
                <w:b/>
                <w:bCs/>
                <w:sz w:val="22"/>
                <w:szCs w:val="22"/>
                <w:highlight w:val="none"/>
              </w:rPr>
            </w:pPr>
            <w:r>
              <w:rPr>
                <w:rFonts w:hint="eastAsia" w:ascii="宋体" w:hAnsi="宋体" w:eastAsia="宋体" w:cs="宋体"/>
                <w:sz w:val="22"/>
                <w:szCs w:val="22"/>
                <w:highlight w:val="none"/>
              </w:rPr>
              <w:t>本项目积极响应优化营商环境加快合同签订工作，对于通过资格审查、符合比选文件要求的拟成交供应商，</w:t>
            </w:r>
            <w:r>
              <w:rPr>
                <w:rFonts w:hint="eastAsia" w:ascii="宋体" w:hAnsi="宋体" w:eastAsia="宋体" w:cs="宋体"/>
                <w:b/>
                <w:bCs/>
                <w:sz w:val="22"/>
                <w:szCs w:val="22"/>
                <w:highlight w:val="none"/>
                <w:u w:val="single"/>
              </w:rPr>
              <w:t>采购人、成交人将依据比选文件和成交人响应文件内容在《成交通知书》发出之日起10个工作日内签订项目合同，合同内容不得对比较文件和响应文件构成实质性偏离。</w:t>
            </w:r>
            <w:r>
              <w:rPr>
                <w:rFonts w:hint="eastAsia" w:ascii="宋体" w:hAnsi="宋体" w:eastAsia="宋体" w:cs="宋体"/>
                <w:sz w:val="22"/>
                <w:szCs w:val="22"/>
                <w:highlight w:val="none"/>
              </w:rPr>
              <w:t>任何试图改变项目采购标的、验收标准等实质性要求的请求，均将被拒绝。</w:t>
            </w:r>
          </w:p>
          <w:p>
            <w:pPr>
              <w:pStyle w:val="33"/>
              <w:numPr>
                <w:ilvl w:val="0"/>
                <w:numId w:val="3"/>
              </w:numPr>
              <w:spacing w:line="480" w:lineRule="exact"/>
              <w:ind w:firstLine="442" w:firstLineChars="20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u w:val="single"/>
              </w:rPr>
              <w:t>若在签订合同时，发现成交供应商有提供虚假材料谋取成交等违法违规行为，影响采购人正常采购进度，将取消其成交供应商资格，并按相关规定处罚；给采购人造成损失的，还必须进行赔偿并负相关责任。已缴纳的项目咨询服务费作为采购活动中的成本支出，不予退还。</w:t>
            </w:r>
          </w:p>
          <w:p>
            <w:pPr>
              <w:pStyle w:val="33"/>
              <w:numPr>
                <w:ilvl w:val="0"/>
                <w:numId w:val="3"/>
              </w:numPr>
              <w:spacing w:line="48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响应供应商对成交结果有异议的，应当在获悉成交信息之日</w:t>
            </w:r>
            <w:r>
              <w:rPr>
                <w:rFonts w:hint="eastAsia" w:ascii="宋体" w:hAnsi="宋体" w:eastAsia="宋体" w:cs="宋体"/>
                <w:b/>
                <w:bCs/>
                <w:sz w:val="22"/>
                <w:szCs w:val="22"/>
                <w:highlight w:val="none"/>
              </w:rPr>
              <w:t>（接到项目咨询公司逐一通知成交信息之日起）</w:t>
            </w:r>
            <w:r>
              <w:rPr>
                <w:rFonts w:hint="eastAsia" w:ascii="宋体" w:hAnsi="宋体" w:eastAsia="宋体" w:cs="宋体"/>
                <w:sz w:val="22"/>
                <w:szCs w:val="22"/>
                <w:highlight w:val="none"/>
              </w:rPr>
              <w:t xml:space="preserve">起 7 个工作日内，以书面形式向采购人提出质疑。采购人、项目咨询服务公司应当在收到响应供应商书面质疑后 7 个工作日内，对质疑内容作出答复。 </w:t>
            </w:r>
          </w:p>
          <w:p>
            <w:pPr>
              <w:pStyle w:val="33"/>
              <w:numPr>
                <w:ilvl w:val="0"/>
                <w:numId w:val="3"/>
              </w:numPr>
              <w:spacing w:line="480" w:lineRule="exact"/>
              <w:ind w:firstLine="440" w:firstLineChars="200"/>
              <w:jc w:val="left"/>
              <w:rPr>
                <w:rFonts w:hint="eastAsia" w:ascii="宋体" w:hAnsi="宋体" w:eastAsia="宋体" w:cs="宋体"/>
                <w:b/>
                <w:bCs/>
                <w:sz w:val="22"/>
                <w:szCs w:val="22"/>
                <w:highlight w:val="none"/>
              </w:rPr>
            </w:pPr>
            <w:r>
              <w:rPr>
                <w:rFonts w:hint="eastAsia" w:ascii="宋体" w:hAnsi="宋体" w:eastAsia="宋体" w:cs="宋体"/>
                <w:sz w:val="22"/>
                <w:szCs w:val="22"/>
                <w:highlight w:val="none"/>
              </w:rPr>
              <w:t>质疑供应商对采购人、项目咨询服务公司的答复不满意或者采购人、项目咨询服务公司未在规定时间内答复的，可以在答复期满后15个工作日内书面向采购人提出投诉。响应供应商未在上述规定的时间内提出质疑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其提出质疑将被拒绝。</w:t>
            </w:r>
          </w:p>
        </w:tc>
      </w:tr>
    </w:tbl>
    <w:p>
      <w:pPr>
        <w:pStyle w:val="3"/>
        <w:spacing w:line="240" w:lineRule="auto"/>
        <w:jc w:val="center"/>
        <w:rPr>
          <w:rFonts w:hint="eastAsia" w:ascii="宋体" w:hAnsi="宋体" w:eastAsia="宋体" w:cs="宋体"/>
          <w:highlight w:val="none"/>
        </w:rPr>
      </w:pPr>
      <w:r>
        <w:rPr>
          <w:rFonts w:hint="eastAsia" w:ascii="宋体" w:hAnsi="宋体" w:eastAsia="宋体" w:cs="宋体"/>
          <w:sz w:val="20"/>
          <w:szCs w:val="20"/>
          <w:highlight w:val="none"/>
        </w:rPr>
        <w:br w:type="page"/>
      </w:r>
      <w:bookmarkStart w:id="20" w:name="_Toc30707"/>
      <w:bookmarkStart w:id="21" w:name="_Toc21659"/>
      <w:r>
        <w:rPr>
          <w:rFonts w:hint="eastAsia" w:ascii="宋体" w:hAnsi="宋体" w:eastAsia="宋体" w:cs="宋体"/>
          <w:highlight w:val="none"/>
        </w:rPr>
        <w:t>响应供应商须知前附表2</w:t>
      </w:r>
      <w:r>
        <w:rPr>
          <w:rFonts w:hint="eastAsia" w:ascii="宋体" w:hAnsi="宋体" w:eastAsia="宋体" w:cs="宋体"/>
          <w:highlight w:val="none"/>
          <w:lang w:eastAsia="zh-CN"/>
        </w:rPr>
        <w:t>：</w:t>
      </w:r>
      <w:r>
        <w:rPr>
          <w:rFonts w:hint="eastAsia" w:ascii="宋体" w:hAnsi="宋体" w:eastAsia="宋体" w:cs="宋体"/>
          <w:highlight w:val="none"/>
        </w:rPr>
        <w:t>资格性、符合性检查表</w:t>
      </w:r>
      <w:bookmarkEnd w:id="20"/>
      <w:bookmarkEnd w:id="21"/>
    </w:p>
    <w:p>
      <w:pPr>
        <w:spacing w:line="360" w:lineRule="auto"/>
        <w:ind w:firstLine="495"/>
        <w:rPr>
          <w:rFonts w:hint="eastAsia" w:ascii="宋体" w:hAnsi="宋体" w:eastAsia="宋体" w:cs="宋体"/>
          <w:sz w:val="22"/>
          <w:szCs w:val="22"/>
          <w:highlight w:val="none"/>
        </w:rPr>
      </w:pPr>
      <w:r>
        <w:rPr>
          <w:rFonts w:hint="eastAsia" w:ascii="宋体" w:hAnsi="宋体" w:eastAsia="宋体" w:cs="宋体"/>
          <w:sz w:val="22"/>
          <w:szCs w:val="22"/>
          <w:highlight w:val="none"/>
        </w:rPr>
        <w:t>本须知前附表2集中列示了资格性、符合性检查的所有条款，其内容是比选小组判断响应供应商的响应是否有效的重要依据。</w:t>
      </w:r>
    </w:p>
    <w:tbl>
      <w:tblPr>
        <w:tblStyle w:val="24"/>
        <w:tblW w:w="940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426"/>
        <w:gridCol w:w="850"/>
        <w:gridCol w:w="7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7"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项号</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章</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条款号</w:t>
            </w:r>
          </w:p>
        </w:tc>
        <w:tc>
          <w:tcPr>
            <w:tcW w:w="745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二</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c>
          <w:tcPr>
            <w:tcW w:w="7451"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合格的响应供应商</w:t>
            </w:r>
          </w:p>
          <w:p>
            <w:pPr>
              <w:spacing w:line="360" w:lineRule="auto"/>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具体内容详见第二章第3条“合格的响应供应商”。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三</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c>
          <w:tcPr>
            <w:tcW w:w="745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响应资格要求与资格证明文件：</w:t>
            </w:r>
          </w:p>
          <w:p>
            <w:pPr>
              <w:widowControl/>
              <w:spacing w:line="360" w:lineRule="auto"/>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响应供应商应当提供符合下列要求并加盖响应供应商公章的材料：</w:t>
            </w:r>
          </w:p>
          <w:p>
            <w:pPr>
              <w:pStyle w:val="3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1、合格的法人营业执照副本的有效复印件。 </w:t>
            </w:r>
          </w:p>
          <w:p>
            <w:pPr>
              <w:pStyle w:val="3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2、响应供应商代表不是法定代表人的，必须在响应文件中提供法定代表人授权书原件和身份证有效复印件。</w:t>
            </w:r>
          </w:p>
          <w:p>
            <w:pPr>
              <w:pStyle w:val="3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本项目采取“信用承诺制”，允许供应商提供资格承诺函（格式见附件）的即可参加比选活动，在响应文件中无需再提供财务状况报告、依法缴纳税收和社会保障资金的相关证明材料。供应商应当遵循诚实信用原则，不得作虚假承诺。供应商承诺不实的，属于提供虚假材料谋取成交，应依法承担相应的法律责任。</w:t>
            </w:r>
          </w:p>
          <w:p>
            <w:pPr>
              <w:pStyle w:val="3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4、具备履行合同所必需的设备和专业技术能力的证明材料或书面声明。   </w:t>
            </w:r>
          </w:p>
          <w:p>
            <w:pPr>
              <w:pStyle w:val="3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5、本项目不接受联合体形式的报价响应。 </w:t>
            </w:r>
          </w:p>
          <w:p>
            <w:pPr>
              <w:pStyle w:val="3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以上资格证明文件均应加盖响应供应商公章。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7"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项号</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章</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条款号</w:t>
            </w:r>
          </w:p>
        </w:tc>
        <w:tc>
          <w:tcPr>
            <w:tcW w:w="745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一</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7451" w:type="dxa"/>
            <w:tcBorders>
              <w:top w:val="single" w:color="auto" w:sz="4" w:space="0"/>
              <w:left w:val="single" w:color="auto" w:sz="4" w:space="0"/>
              <w:bottom w:val="single" w:color="auto" w:sz="4" w:space="0"/>
              <w:right w:val="single" w:color="auto" w:sz="4" w:space="0"/>
            </w:tcBorders>
            <w:vAlign w:val="center"/>
          </w:tcPr>
          <w:p>
            <w:pPr>
              <w:spacing w:line="360" w:lineRule="auto"/>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响应供应商的响应文件未按规定的递交响应文件截止时间之前提交的，其投标（响应）将被拒绝。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二</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3.6</w:t>
            </w:r>
          </w:p>
        </w:tc>
        <w:tc>
          <w:tcPr>
            <w:tcW w:w="7451"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响应供应商存在下列情形之一的，将被认定为串通响应行为并作无效响应处理：</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不同响应供应商的响应文件错、漏之处一致或雷同，且不能合理解释的；</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不同响应供应商的法定代表人（单位负责人）、委托代理人等由同一个单位缴纳社会保险的；</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由同一人或分别由几个有利害关系的人携带两个以上（含两个）响应供应商的企业资料参与资格审查、领取项目资料，或代表两个以上（含两个）响应供应商参加项目答疑会、交纳或退还响应保证金、开标的；</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响应供应商之间协商响应报价等响应文件的实质性内容；</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响应供应商之间约定中选</w:t>
            </w:r>
            <w:r>
              <w:rPr>
                <w:rFonts w:hint="eastAsia" w:ascii="宋体" w:hAnsi="宋体" w:eastAsia="宋体" w:cs="宋体"/>
                <w:sz w:val="22"/>
                <w:szCs w:val="22"/>
                <w:highlight w:val="none"/>
                <w:lang w:eastAsia="zh-CN"/>
              </w:rPr>
              <w:t>供应商</w:t>
            </w:r>
            <w:r>
              <w:rPr>
                <w:rFonts w:hint="eastAsia" w:ascii="宋体" w:hAnsi="宋体" w:eastAsia="宋体" w:cs="宋体"/>
                <w:sz w:val="22"/>
                <w:szCs w:val="22"/>
                <w:highlight w:val="none"/>
              </w:rPr>
              <w:t>；</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响应供应商之间约定部分响应供应商放弃投标（响应）或者中选供应商；</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属于同一集团、协会、商会等组织成员的响应供应商按照该组织要求协同投标（响应）；</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响应供应商之间为谋取中选供应商或者排斥特定响应供应商而采取的其他联合行动；</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不同响应供应商的响应文件由同一单位或者个人编制；</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不同响应供应商委托同一单位或者个人办理投标（响应）事宜；</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不同响应供应商的响应文件载明的项目管理成员为同一人；</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不同响应供应商的响应文件异常一致或者响应报价呈规律性差异；</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不同响应供应商的响应文件相互混装；</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不同响应供应商的响应保证金从同一单位或者个人的账户转出；</w:t>
            </w:r>
          </w:p>
          <w:p>
            <w:pPr>
              <w:numPr>
                <w:ilvl w:val="0"/>
                <w:numId w:val="4"/>
              </w:numPr>
              <w:tabs>
                <w:tab w:val="left" w:pos="-6487"/>
                <w:tab w:val="left" w:pos="-4645"/>
                <w:tab w:val="clear" w:pos="1280"/>
              </w:tabs>
              <w:spacing w:line="360" w:lineRule="auto"/>
              <w:ind w:left="13" w:leftChars="6" w:firstLine="15" w:firstLineChars="7"/>
              <w:rPr>
                <w:rFonts w:hint="eastAsia" w:ascii="宋体" w:hAnsi="宋体" w:eastAsia="宋体" w:cs="宋体"/>
                <w:sz w:val="22"/>
                <w:szCs w:val="22"/>
                <w:highlight w:val="none"/>
              </w:rPr>
            </w:pPr>
            <w:r>
              <w:rPr>
                <w:rFonts w:hint="eastAsia" w:ascii="宋体" w:hAnsi="宋体" w:eastAsia="宋体" w:cs="宋体"/>
                <w:sz w:val="22"/>
                <w:szCs w:val="22"/>
                <w:highlight w:val="none"/>
              </w:rPr>
              <w:t>有关法律、法规或规章规定的其他串通投标（响应）行为。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二</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11.1</w:t>
            </w:r>
          </w:p>
        </w:tc>
        <w:tc>
          <w:tcPr>
            <w:tcW w:w="745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响应有效期：见响应供应商须知前附表1第3项。有效期不足将导致其响应文件被拒绝。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4</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二</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17.2</w:t>
            </w:r>
          </w:p>
        </w:tc>
        <w:tc>
          <w:tcPr>
            <w:tcW w:w="7451" w:type="dxa"/>
            <w:tcBorders>
              <w:top w:val="single" w:color="auto" w:sz="4" w:space="0"/>
              <w:left w:val="single" w:color="auto" w:sz="4" w:space="0"/>
              <w:bottom w:val="single" w:color="auto" w:sz="4" w:space="0"/>
              <w:right w:val="single" w:color="auto" w:sz="4" w:space="0"/>
            </w:tcBorders>
            <w:vAlign w:val="center"/>
          </w:tcPr>
          <w:p>
            <w:pPr>
              <w:tabs>
                <w:tab w:val="left" w:pos="-4645"/>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实质性偏离是指：</w:t>
            </w:r>
          </w:p>
          <w:p>
            <w:pPr>
              <w:numPr>
                <w:ilvl w:val="0"/>
                <w:numId w:val="5"/>
              </w:numPr>
              <w:tabs>
                <w:tab w:val="left" w:pos="-6487"/>
                <w:tab w:val="left" w:pos="-4645"/>
                <w:tab w:val="clear" w:pos="1280"/>
              </w:tabs>
              <w:spacing w:line="360" w:lineRule="auto"/>
              <w:ind w:left="619" w:leftChars="12" w:hanging="594" w:hangingChars="270"/>
              <w:rPr>
                <w:rFonts w:hint="eastAsia" w:ascii="宋体" w:hAnsi="宋体" w:eastAsia="宋体" w:cs="宋体"/>
                <w:sz w:val="22"/>
                <w:szCs w:val="22"/>
                <w:highlight w:val="none"/>
              </w:rPr>
            </w:pPr>
            <w:r>
              <w:rPr>
                <w:rFonts w:hint="eastAsia" w:ascii="宋体" w:hAnsi="宋体" w:eastAsia="宋体" w:cs="宋体"/>
                <w:sz w:val="22"/>
                <w:szCs w:val="22"/>
                <w:highlight w:val="none"/>
              </w:rPr>
              <w:t>实质性影响合同的范围、质量和履行；</w:t>
            </w:r>
          </w:p>
          <w:p>
            <w:pPr>
              <w:numPr>
                <w:ilvl w:val="0"/>
                <w:numId w:val="5"/>
              </w:numPr>
              <w:tabs>
                <w:tab w:val="left" w:pos="-6487"/>
                <w:tab w:val="left" w:pos="-4645"/>
                <w:tab w:val="clear" w:pos="1280"/>
              </w:tabs>
              <w:spacing w:line="360" w:lineRule="auto"/>
              <w:ind w:left="619" w:leftChars="12" w:hanging="594" w:hangingChars="270"/>
              <w:rPr>
                <w:rFonts w:hint="eastAsia" w:ascii="宋体" w:hAnsi="宋体" w:eastAsia="宋体" w:cs="宋体"/>
                <w:sz w:val="22"/>
                <w:szCs w:val="22"/>
                <w:highlight w:val="none"/>
              </w:rPr>
            </w:pPr>
            <w:r>
              <w:rPr>
                <w:rFonts w:hint="eastAsia" w:ascii="宋体" w:hAnsi="宋体" w:eastAsia="宋体" w:cs="宋体"/>
                <w:sz w:val="22"/>
                <w:szCs w:val="22"/>
                <w:highlight w:val="none"/>
              </w:rPr>
              <w:t>实质性违背比选文件，限制了采购人的权利和中选</w:t>
            </w:r>
            <w:r>
              <w:rPr>
                <w:rFonts w:hint="eastAsia" w:ascii="宋体" w:hAnsi="宋体" w:eastAsia="宋体" w:cs="宋体"/>
                <w:sz w:val="22"/>
                <w:szCs w:val="22"/>
                <w:highlight w:val="none"/>
                <w:lang w:eastAsia="zh-CN"/>
              </w:rPr>
              <w:t>供应商</w:t>
            </w:r>
            <w:r>
              <w:rPr>
                <w:rFonts w:hint="eastAsia" w:ascii="宋体" w:hAnsi="宋体" w:eastAsia="宋体" w:cs="宋体"/>
                <w:sz w:val="22"/>
                <w:szCs w:val="22"/>
                <w:highlight w:val="none"/>
              </w:rPr>
              <w:t>合同项下的义务；</w:t>
            </w:r>
          </w:p>
          <w:p>
            <w:pPr>
              <w:numPr>
                <w:ilvl w:val="0"/>
                <w:numId w:val="5"/>
              </w:numPr>
              <w:tabs>
                <w:tab w:val="left" w:pos="-6487"/>
                <w:tab w:val="left" w:pos="-4645"/>
                <w:tab w:val="clear" w:pos="1280"/>
              </w:tabs>
              <w:spacing w:line="360" w:lineRule="auto"/>
              <w:ind w:left="619" w:leftChars="12" w:hanging="594" w:hangingChars="270"/>
              <w:rPr>
                <w:rFonts w:hint="eastAsia" w:ascii="宋体" w:hAnsi="宋体" w:eastAsia="宋体" w:cs="宋体"/>
                <w:sz w:val="22"/>
                <w:szCs w:val="22"/>
                <w:highlight w:val="none"/>
              </w:rPr>
            </w:pPr>
            <w:r>
              <w:rPr>
                <w:rFonts w:hint="eastAsia" w:ascii="宋体" w:hAnsi="宋体" w:eastAsia="宋体" w:cs="宋体"/>
                <w:sz w:val="22"/>
                <w:szCs w:val="22"/>
                <w:highlight w:val="none"/>
              </w:rPr>
              <w:t>不公正地影响了其他</w:t>
            </w:r>
            <w:r>
              <w:rPr>
                <w:rFonts w:hint="eastAsia" w:ascii="宋体" w:hAnsi="宋体" w:eastAsia="宋体" w:cs="宋体"/>
                <w:sz w:val="22"/>
                <w:szCs w:val="22"/>
                <w:highlight w:val="none"/>
                <w:lang w:eastAsia="zh-CN"/>
              </w:rPr>
              <w:t>作出</w:t>
            </w:r>
            <w:r>
              <w:rPr>
                <w:rFonts w:hint="eastAsia" w:ascii="宋体" w:hAnsi="宋体" w:eastAsia="宋体" w:cs="宋体"/>
                <w:sz w:val="22"/>
                <w:szCs w:val="22"/>
                <w:highlight w:val="none"/>
              </w:rPr>
              <w:t>实质性响应的响应供应商的竞争地位。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二</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17.2</w:t>
            </w:r>
          </w:p>
        </w:tc>
        <w:tc>
          <w:tcPr>
            <w:tcW w:w="7451" w:type="dxa"/>
            <w:tcBorders>
              <w:top w:val="single" w:color="auto" w:sz="4" w:space="0"/>
              <w:left w:val="single" w:color="auto" w:sz="4" w:space="0"/>
              <w:bottom w:val="single" w:color="auto" w:sz="4" w:space="0"/>
              <w:right w:val="single" w:color="auto" w:sz="4" w:space="0"/>
            </w:tcBorders>
            <w:vAlign w:val="center"/>
          </w:tcPr>
          <w:p>
            <w:pPr>
              <w:tabs>
                <w:tab w:val="left" w:pos="-4645"/>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凡有下列情况之一者，响应文件也将被视为未实质性响应比选文件要求： </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响应文件未按照本须知第14条的规定进行密封、标记的；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响应文件未按规定加盖响应供应商公章的； </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响应文件未按规定由响应供应商的法定代表人（单位负责人）或其授权代表签字；</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非法定代表人（单位负责人）的签字人未在响应文件中提供经法定代表人（单位负责人）签字并加盖响应供应商公章的有效授权委托书的；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开标一览表未加盖响应供应商公章，开标一览表的比选项目名称、项目编号等重要信息错误的；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未按照要求提交响应保证金</w:t>
            </w:r>
            <w:r>
              <w:rPr>
                <w:rFonts w:hint="eastAsia" w:ascii="宋体" w:hAnsi="宋体" w:eastAsia="宋体" w:cs="宋体"/>
                <w:sz w:val="22"/>
                <w:szCs w:val="22"/>
                <w:highlight w:val="none"/>
                <w:lang w:eastAsia="zh-CN"/>
              </w:rPr>
              <w:t>或</w:t>
            </w:r>
            <w:r>
              <w:rPr>
                <w:rFonts w:hint="eastAsia" w:ascii="宋体" w:hAnsi="宋体" w:eastAsia="宋体" w:cs="宋体"/>
                <w:sz w:val="22"/>
                <w:szCs w:val="22"/>
                <w:highlight w:val="none"/>
              </w:rPr>
              <w:t>响应保证金的金额不足</w:t>
            </w:r>
            <w:r>
              <w:rPr>
                <w:rFonts w:hint="eastAsia" w:ascii="宋体" w:hAnsi="宋体" w:eastAsia="宋体" w:cs="宋体"/>
                <w:sz w:val="22"/>
                <w:szCs w:val="22"/>
                <w:highlight w:val="none"/>
                <w:lang w:eastAsia="zh-CN"/>
              </w:rPr>
              <w:t>或</w:t>
            </w:r>
            <w:r>
              <w:rPr>
                <w:rFonts w:hint="eastAsia" w:ascii="宋体" w:hAnsi="宋体" w:eastAsia="宋体" w:cs="宋体"/>
                <w:sz w:val="22"/>
                <w:szCs w:val="22"/>
                <w:highlight w:val="none"/>
              </w:rPr>
              <w:t>响应保证金形式不符合比选文件要求</w:t>
            </w:r>
            <w:r>
              <w:rPr>
                <w:rFonts w:hint="eastAsia" w:ascii="宋体" w:hAnsi="宋体" w:eastAsia="宋体" w:cs="宋体"/>
                <w:sz w:val="22"/>
                <w:szCs w:val="22"/>
                <w:highlight w:val="none"/>
                <w:lang w:eastAsia="zh-CN"/>
              </w:rPr>
              <w:t>或</w:t>
            </w:r>
            <w:r>
              <w:rPr>
                <w:rFonts w:hint="eastAsia" w:ascii="宋体" w:hAnsi="宋体" w:eastAsia="宋体" w:cs="宋体"/>
                <w:sz w:val="22"/>
                <w:szCs w:val="22"/>
                <w:highlight w:val="none"/>
              </w:rPr>
              <w:t>保证金不能确保进账的；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响应供应商的响应有效期不满足比选文件要求的；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响应内容与比选内容及要求有重大偏离或保留的，或响应文件不符合比选文件中规定</w:t>
            </w:r>
            <w:r>
              <w:rPr>
                <w:rFonts w:hint="eastAsia" w:ascii="宋体" w:hAnsi="宋体" w:eastAsia="宋体" w:cs="宋体"/>
                <w:sz w:val="22"/>
                <w:szCs w:val="22"/>
                <w:highlight w:val="none"/>
                <w:lang w:eastAsia="zh-CN"/>
              </w:rPr>
              <w:t>的其他</w:t>
            </w:r>
            <w:r>
              <w:rPr>
                <w:rFonts w:hint="eastAsia" w:ascii="宋体" w:hAnsi="宋体" w:eastAsia="宋体" w:cs="宋体"/>
                <w:sz w:val="22"/>
                <w:szCs w:val="22"/>
                <w:highlight w:val="none"/>
              </w:rPr>
              <w:t>实质性条款（如不满足保修期、供货期、结算方式和条件等要求）；</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响应供应商的技术、商务响应方面明显复制比选文件要求的；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两个或两个以上响应供应商的响应文件在其个性部分明显出现雷同的；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响应供应商提交的是可选择的报价；</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响应供应商未按规定对项目响应进行分项报价；</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响应供应商提交的报价超过项目预算或控制价；</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响应供应商报价明显低于成本价的且不能合理说明或不在规定时间内作说明的；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响应文件中提供虚假或失实资料的；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响应文件不满足比选文件中带★条款要求的；</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比选文件规定的其他情形；</w:t>
            </w:r>
          </w:p>
          <w:p>
            <w:pPr>
              <w:numPr>
                <w:ilvl w:val="0"/>
                <w:numId w:val="6"/>
              </w:numPr>
              <w:tabs>
                <w:tab w:val="left" w:pos="-4645"/>
                <w:tab w:val="left" w:pos="-4503"/>
                <w:tab w:val="clear" w:pos="1280"/>
              </w:tabs>
              <w:spacing w:line="360" w:lineRule="auto"/>
              <w:ind w:left="0" w:firstLine="22"/>
              <w:rPr>
                <w:rFonts w:hint="eastAsia" w:ascii="宋体" w:hAnsi="宋体" w:eastAsia="宋体" w:cs="宋体"/>
                <w:sz w:val="22"/>
                <w:szCs w:val="22"/>
                <w:highlight w:val="none"/>
              </w:rPr>
            </w:pPr>
            <w:r>
              <w:rPr>
                <w:rFonts w:hint="eastAsia" w:ascii="宋体" w:hAnsi="宋体" w:eastAsia="宋体" w:cs="宋体"/>
                <w:sz w:val="22"/>
                <w:szCs w:val="22"/>
                <w:highlight w:val="none"/>
              </w:rPr>
              <w:t>比选小组认定属于无效响应的其他情形。</w:t>
            </w:r>
          </w:p>
        </w:tc>
      </w:tr>
    </w:tbl>
    <w:p>
      <w:pPr>
        <w:widowControl/>
        <w:jc w:val="left"/>
        <w:rPr>
          <w:rFonts w:hint="eastAsia" w:ascii="宋体" w:hAnsi="宋体" w:eastAsia="宋体" w:cs="宋体"/>
          <w:b/>
          <w:szCs w:val="21"/>
          <w:highlight w:val="none"/>
        </w:rPr>
      </w:pPr>
    </w:p>
    <w:p>
      <w:pPr>
        <w:rPr>
          <w:rFonts w:hint="eastAsia" w:ascii="宋体" w:hAnsi="宋体" w:eastAsia="宋体" w:cs="宋体"/>
          <w:highlight w:val="none"/>
        </w:rPr>
      </w:pPr>
      <w:bookmarkStart w:id="22" w:name="_Toc17509"/>
    </w:p>
    <w:p>
      <w:pPr>
        <w:pStyle w:val="32"/>
        <w:rPr>
          <w:rFonts w:hint="eastAsia" w:ascii="宋体" w:hAnsi="宋体" w:eastAsia="宋体" w:cs="宋体"/>
          <w:color w:val="auto"/>
          <w:highlight w:val="none"/>
        </w:rPr>
      </w:pPr>
    </w:p>
    <w:p>
      <w:pPr>
        <w:pStyle w:val="3"/>
        <w:spacing w:line="240" w:lineRule="auto"/>
        <w:jc w:val="center"/>
        <w:rPr>
          <w:rFonts w:hint="eastAsia" w:ascii="宋体" w:hAnsi="宋体" w:eastAsia="宋体" w:cs="宋体"/>
          <w:highlight w:val="none"/>
        </w:rPr>
      </w:pPr>
      <w:bookmarkStart w:id="23" w:name="_Toc19528"/>
      <w:r>
        <w:rPr>
          <w:rFonts w:hint="eastAsia" w:ascii="宋体" w:hAnsi="宋体" w:eastAsia="宋体" w:cs="宋体"/>
          <w:highlight w:val="none"/>
        </w:rPr>
        <w:t>响应供应商须知前附表3：评审方法、评审标准、定选原则</w:t>
      </w:r>
      <w:bookmarkEnd w:id="22"/>
      <w:bookmarkEnd w:id="23"/>
    </w:p>
    <w:p>
      <w:pPr>
        <w:pStyle w:val="7"/>
        <w:adjustRightInd/>
        <w:snapToGrid w:val="0"/>
        <w:ind w:firstLine="0"/>
        <w:rPr>
          <w:rFonts w:hint="eastAsia" w:ascii="宋体" w:hAnsi="宋体" w:eastAsia="宋体" w:cs="宋体"/>
          <w:sz w:val="22"/>
          <w:szCs w:val="22"/>
          <w:highlight w:val="none"/>
        </w:rPr>
      </w:pPr>
      <w:r>
        <w:rPr>
          <w:rFonts w:hint="eastAsia" w:ascii="宋体" w:hAnsi="宋体" w:eastAsia="宋体" w:cs="宋体"/>
          <w:sz w:val="22"/>
          <w:szCs w:val="22"/>
          <w:highlight w:val="none"/>
        </w:rPr>
        <w:t>一、评审方法：综合评分法。</w:t>
      </w:r>
    </w:p>
    <w:p>
      <w:pPr>
        <w:pStyle w:val="7"/>
        <w:snapToGrid w:val="0"/>
        <w:ind w:firstLine="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二、评审标准</w:t>
      </w:r>
    </w:p>
    <w:p>
      <w:pPr>
        <w:pStyle w:val="7"/>
        <w:snapToGrid w:val="0"/>
        <w:ind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（一）具体的评审标准：对所有响应供应商的响应文件评审，都采用相同的程序和标准。首先，由比选小组根据比选文件要求</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无效响应界定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审核各响应文件是否合格、有效，凡不符合专业条件要求和未实质性响应比选文件要求的响应均不进入评分程序。通过以上审核，有三家或三家以上符合专业条件要求并对比选文件作出实质性响应的响应供应商，则依照以下标准进行评分。</w:t>
      </w:r>
    </w:p>
    <w:p>
      <w:pPr>
        <w:pStyle w:val="7"/>
        <w:snapToGrid w:val="0"/>
        <w:ind w:firstLine="0"/>
        <w:rPr>
          <w:rFonts w:hint="eastAsia" w:ascii="宋体" w:hAnsi="宋体" w:eastAsia="宋体" w:cs="宋体"/>
          <w:sz w:val="22"/>
          <w:szCs w:val="22"/>
          <w:highlight w:val="none"/>
        </w:rPr>
      </w:pPr>
      <w:r>
        <w:rPr>
          <w:rFonts w:hint="eastAsia" w:ascii="宋体" w:hAnsi="宋体" w:eastAsia="宋体" w:cs="宋体"/>
          <w:sz w:val="22"/>
          <w:szCs w:val="22"/>
          <w:highlight w:val="none"/>
        </w:rPr>
        <w:t>1、评分细则</w:t>
      </w:r>
    </w:p>
    <w:tbl>
      <w:tblPr>
        <w:tblStyle w:val="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9"/>
        <w:gridCol w:w="7354"/>
        <w:gridCol w:w="81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tabs>
                <w:tab w:val="left" w:pos="900"/>
                <w:tab w:val="left" w:pos="1080"/>
              </w:tabs>
              <w:spacing w:line="460" w:lineRule="exact"/>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序号</w:t>
            </w:r>
          </w:p>
        </w:tc>
        <w:tc>
          <w:tcPr>
            <w:tcW w:w="7354" w:type="dxa"/>
            <w:vAlign w:val="center"/>
          </w:tcPr>
          <w:p>
            <w:pPr>
              <w:tabs>
                <w:tab w:val="left" w:pos="900"/>
                <w:tab w:val="left" w:pos="1080"/>
              </w:tabs>
              <w:spacing w:line="460" w:lineRule="exact"/>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评分界定</w:t>
            </w:r>
          </w:p>
        </w:tc>
        <w:tc>
          <w:tcPr>
            <w:tcW w:w="815" w:type="dxa"/>
            <w:vAlign w:val="center"/>
          </w:tcPr>
          <w:p>
            <w:pPr>
              <w:tabs>
                <w:tab w:val="left" w:pos="900"/>
                <w:tab w:val="left" w:pos="1080"/>
              </w:tabs>
              <w:spacing w:line="460" w:lineRule="exact"/>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948" w:type="dxa"/>
            <w:gridSpan w:val="3"/>
            <w:vAlign w:val="center"/>
          </w:tcPr>
          <w:p>
            <w:pPr>
              <w:spacing w:line="460" w:lineRule="exact"/>
              <w:jc w:val="center"/>
              <w:rPr>
                <w:rFonts w:hint="eastAsia" w:ascii="宋体" w:hAnsi="宋体" w:eastAsia="宋体" w:cs="宋体"/>
                <w:bCs/>
                <w:sz w:val="22"/>
                <w:szCs w:val="22"/>
                <w:highlight w:val="none"/>
              </w:rPr>
            </w:pPr>
            <w:r>
              <w:rPr>
                <w:rFonts w:hint="eastAsia" w:ascii="宋体" w:hAnsi="宋体" w:eastAsia="宋体" w:cs="宋体"/>
                <w:b/>
                <w:sz w:val="22"/>
                <w:szCs w:val="22"/>
                <w:highlight w:val="none"/>
              </w:rPr>
              <w:t>1、技术因素（满分</w:t>
            </w:r>
            <w:r>
              <w:rPr>
                <w:rFonts w:hint="eastAsia" w:ascii="宋体" w:hAnsi="宋体" w:eastAsia="宋体" w:cs="宋体"/>
                <w:sz w:val="22"/>
                <w:szCs w:val="22"/>
                <w:highlight w:val="none"/>
              </w:rPr>
              <w:t>【50】</w:t>
            </w:r>
            <w:r>
              <w:rPr>
                <w:rFonts w:hint="eastAsia" w:ascii="宋体" w:hAnsi="宋体" w:eastAsia="宋体" w:cs="宋体"/>
                <w:b/>
                <w:sz w:val="22"/>
                <w:szCs w:val="22"/>
                <w:highlight w:val="none"/>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根据供应商提供的维保方案进行评价：</w:t>
            </w:r>
          </w:p>
          <w:p>
            <w:pPr>
              <w:spacing w:line="460" w:lineRule="exac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①</w:t>
            </w:r>
            <w:r>
              <w:rPr>
                <w:rFonts w:hint="eastAsia" w:ascii="宋体" w:hAnsi="宋体" w:eastAsia="宋体" w:cs="宋体"/>
                <w:kern w:val="0"/>
                <w:sz w:val="22"/>
                <w:szCs w:val="22"/>
                <w:highlight w:val="none"/>
                <w:lang w:val="en-US" w:eastAsia="zh-CN"/>
              </w:rPr>
              <w:t>有提供基本合理的维保方案</w:t>
            </w:r>
            <w:r>
              <w:rPr>
                <w:rFonts w:hint="eastAsia" w:ascii="宋体" w:hAnsi="宋体" w:eastAsia="宋体" w:cs="宋体"/>
                <w:kern w:val="0"/>
                <w:sz w:val="22"/>
                <w:szCs w:val="22"/>
                <w:highlight w:val="none"/>
              </w:rPr>
              <w:t>得1分；</w:t>
            </w:r>
          </w:p>
          <w:p>
            <w:pPr>
              <w:spacing w:line="460" w:lineRule="exac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②在满足①的基础上，</w:t>
            </w:r>
            <w:r>
              <w:rPr>
                <w:rFonts w:hint="eastAsia" w:ascii="宋体" w:hAnsi="宋体" w:eastAsia="宋体" w:cs="宋体"/>
                <w:sz w:val="22"/>
                <w:szCs w:val="22"/>
                <w:highlight w:val="none"/>
              </w:rPr>
              <w:t>方案基本合理、维保服务内容完整，基本满足采购人需求的得3分；</w:t>
            </w:r>
          </w:p>
          <w:p>
            <w:pPr>
              <w:spacing w:line="460" w:lineRule="exact"/>
              <w:rPr>
                <w:rFonts w:hint="eastAsia" w:ascii="宋体" w:hAnsi="宋体" w:eastAsia="宋体" w:cs="宋体"/>
                <w:kern w:val="0"/>
                <w:sz w:val="22"/>
                <w:szCs w:val="22"/>
                <w:highlight w:val="none"/>
              </w:rPr>
            </w:pPr>
            <w:r>
              <w:rPr>
                <w:rFonts w:hint="eastAsia" w:ascii="宋体" w:hAnsi="宋体" w:eastAsia="宋体" w:cs="宋体"/>
                <w:sz w:val="22"/>
                <w:szCs w:val="22"/>
                <w:highlight w:val="none"/>
              </w:rPr>
              <w:t>③在②的基础上，</w:t>
            </w:r>
            <w:r>
              <w:rPr>
                <w:rFonts w:hint="eastAsia" w:ascii="宋体" w:hAnsi="宋体" w:eastAsia="宋体" w:cs="宋体"/>
                <w:kern w:val="0"/>
                <w:sz w:val="22"/>
                <w:szCs w:val="22"/>
                <w:highlight w:val="none"/>
              </w:rPr>
              <w:t>方案合理可行、完整全面、规范，有详细的计划安排和保障措施的得6分；</w:t>
            </w:r>
          </w:p>
          <w:p>
            <w:pPr>
              <w:pStyle w:val="8"/>
              <w:spacing w:line="46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④未提供相关方案阐述或方案阐述内容不符合上述标准的不得分。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pStyle w:val="8"/>
              <w:spacing w:line="460" w:lineRule="exact"/>
              <w:ind w:left="45"/>
              <w:rPr>
                <w:rFonts w:hint="eastAsia" w:ascii="宋体" w:hAnsi="宋体" w:eastAsia="宋体" w:cs="宋体"/>
                <w:sz w:val="22"/>
                <w:szCs w:val="22"/>
                <w:highlight w:val="none"/>
              </w:rPr>
            </w:pPr>
            <w:r>
              <w:rPr>
                <w:rFonts w:hint="eastAsia" w:ascii="宋体" w:hAnsi="宋体" w:eastAsia="宋体" w:cs="宋体"/>
                <w:kern w:val="0"/>
                <w:sz w:val="22"/>
                <w:szCs w:val="22"/>
                <w:highlight w:val="none"/>
              </w:rPr>
              <w:t>根据供应商提供的故障响应情况进行评价，包括故障处理流程、处理方法、提升故障抢修效率三个方面：供应商每提供一个方面准确、详尽的说明，并且对关键内容分析到位、阐述全面的得1分，本项满分3分，未提供或内容不满足上述要求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pStyle w:val="8"/>
              <w:spacing w:line="46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color w:val="000000"/>
                <w:kern w:val="0"/>
                <w:sz w:val="22"/>
                <w:szCs w:val="22"/>
                <w:highlight w:val="none"/>
              </w:rPr>
              <w:t>对本项目的重点、难点问题的分析及处理措施进行综合评价，每提出一个符合本项目实际情况的重点难点问题分析及相应解决方法措施的得1分，满分3分。</w:t>
            </w:r>
            <w:r>
              <w:rPr>
                <w:rFonts w:hint="eastAsia" w:ascii="宋体" w:hAnsi="宋体" w:eastAsia="宋体" w:cs="宋体"/>
                <w:color w:val="auto"/>
                <w:kern w:val="0"/>
                <w:sz w:val="22"/>
                <w:szCs w:val="22"/>
                <w:highlight w:val="none"/>
              </w:rPr>
              <w:t>未提供的不得分。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pStyle w:val="8"/>
              <w:spacing w:line="460" w:lineRule="exact"/>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color w:val="000000"/>
                <w:kern w:val="0"/>
                <w:sz w:val="22"/>
                <w:szCs w:val="22"/>
                <w:highlight w:val="none"/>
              </w:rPr>
              <w:t>提供的巡检方案进行评价：</w:t>
            </w:r>
          </w:p>
          <w:p>
            <w:pPr>
              <w:widowControl/>
              <w:spacing w:line="460" w:lineRule="exact"/>
              <w:jc w:val="left"/>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①有提供基本可行的巡检方案的得1分；</w:t>
            </w:r>
          </w:p>
          <w:p>
            <w:pPr>
              <w:widowControl/>
              <w:spacing w:line="460" w:lineRule="exact"/>
              <w:jc w:val="left"/>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②在满足①的基础上，方案内容完整详尽、措施安排合理、条理清晰、</w:t>
            </w:r>
            <w:r>
              <w:rPr>
                <w:rFonts w:hint="eastAsia" w:ascii="宋体" w:hAnsi="宋体" w:eastAsia="宋体" w:cs="宋体"/>
                <w:color w:val="000000"/>
                <w:sz w:val="22"/>
                <w:szCs w:val="22"/>
                <w:highlight w:val="none"/>
              </w:rPr>
              <w:t>作业流程详细完整、</w:t>
            </w:r>
            <w:r>
              <w:rPr>
                <w:rFonts w:hint="eastAsia" w:ascii="宋体" w:hAnsi="宋体" w:eastAsia="宋体" w:cs="宋体"/>
                <w:color w:val="000000"/>
                <w:kern w:val="0"/>
                <w:sz w:val="22"/>
                <w:szCs w:val="22"/>
                <w:highlight w:val="none"/>
              </w:rPr>
              <w:t>切合实际、重点突出、有利于项目实施的得3分；</w:t>
            </w:r>
          </w:p>
          <w:p>
            <w:pPr>
              <w:spacing w:line="46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③未提供相关方案阐述或方案阐述内容不符合上述标准的不得分。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根据供应商提供的服务记录方案进行评价：</w:t>
            </w:r>
          </w:p>
          <w:p>
            <w:pPr>
              <w:spacing w:line="460" w:lineRule="exac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①服务记录内容符合采购要求的得1分；</w:t>
            </w:r>
          </w:p>
          <w:p>
            <w:pPr>
              <w:spacing w:line="460" w:lineRule="exac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②在满足①的基础上，有提供服务记录格式、年度维护报告格式，内容完整清晰的得3分；</w:t>
            </w:r>
          </w:p>
          <w:p>
            <w:pPr>
              <w:spacing w:line="460" w:lineRule="exact"/>
              <w:rPr>
                <w:rFonts w:hint="eastAsia" w:ascii="宋体" w:hAnsi="宋体" w:eastAsia="宋体" w:cs="宋体"/>
                <w:sz w:val="22"/>
                <w:szCs w:val="22"/>
                <w:highlight w:val="none"/>
              </w:rPr>
            </w:pPr>
            <w:r>
              <w:rPr>
                <w:rFonts w:hint="eastAsia" w:ascii="宋体" w:hAnsi="宋体" w:eastAsia="宋体" w:cs="宋体"/>
                <w:kern w:val="0"/>
                <w:sz w:val="22"/>
                <w:szCs w:val="22"/>
                <w:highlight w:val="none"/>
              </w:rPr>
              <w:t>③未提供相关方案阐述或方案阐述内容不符合上述标准的不得分。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结合采购人现有系统运行现状和环境现状提供的突发事件应急预案进行评价（</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提交可能发生的突发事件应急预案。方案中包含应急处理流程、应急预防措施及策略等）</w:t>
            </w:r>
          </w:p>
          <w:p>
            <w:pPr>
              <w:spacing w:line="46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①有提供突发事件应急预案的得1分；</w:t>
            </w:r>
          </w:p>
          <w:p>
            <w:pPr>
              <w:spacing w:line="46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②在①的基础上，方案包含应急处理流程、应急预防措施及策略、基本合理、完整，基本满足采购人需求的得3分；</w:t>
            </w:r>
          </w:p>
          <w:p>
            <w:pPr>
              <w:spacing w:line="46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③在②的基础上，突发事件应急预案合理可行、完整全面，内容详细、排查思路清晰，有常规性的处理措施及关键性故障处理预案、投入的人员有相关的处理经验的得6分；</w:t>
            </w:r>
          </w:p>
          <w:p>
            <w:pPr>
              <w:spacing w:line="46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④未提供相关方案阐述或方案阐述内容不符合上述标准的不得分。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提供的运维服务档案资料管理方案的合理性、可行性及详细程度进行评价：</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①有提供运维服务档案资料管理方案、基本合理可行，基本满足采购人需求的得1分；</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②在①的基础上，运维服务档案资料管理方案合理可行、内容全面及详细，对前序服务内容交接全面细致，服务结束后有完整的服务总结和移交内容，有利于采购人对档案进行查询的得3分；</w:t>
            </w:r>
          </w:p>
          <w:p>
            <w:pPr>
              <w:pStyle w:val="8"/>
              <w:spacing w:line="46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③未提供相关方案阐述或方案阐述内容不符合上述标准的不得分。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pStyle w:val="8"/>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提供的培训计划的完整性、合理性、操作性进行评价：</w:t>
            </w:r>
          </w:p>
          <w:p>
            <w:pPr>
              <w:pStyle w:val="8"/>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①有提供培训方案、培训计划基本完整、合理，基本满足采购人需求的得1分；</w:t>
            </w:r>
          </w:p>
          <w:p>
            <w:pPr>
              <w:pStyle w:val="8"/>
              <w:spacing w:line="460" w:lineRule="exact"/>
              <w:rPr>
                <w:rFonts w:hint="eastAsia" w:ascii="宋体" w:hAnsi="宋体" w:eastAsia="宋体" w:cs="宋体"/>
                <w:sz w:val="22"/>
                <w:szCs w:val="22"/>
                <w:highlight w:val="none"/>
              </w:rPr>
            </w:pPr>
            <w:r>
              <w:rPr>
                <w:rFonts w:hint="eastAsia" w:ascii="宋体" w:hAnsi="宋体" w:eastAsia="宋体" w:cs="宋体"/>
                <w:kern w:val="0"/>
                <w:sz w:val="22"/>
                <w:szCs w:val="22"/>
                <w:highlight w:val="none"/>
              </w:rPr>
              <w:t>②在</w:t>
            </w:r>
            <w:r>
              <w:rPr>
                <w:rFonts w:hint="eastAsia" w:ascii="宋体" w:hAnsi="宋体" w:eastAsia="宋体" w:cs="宋体"/>
                <w:sz w:val="22"/>
                <w:szCs w:val="22"/>
                <w:highlight w:val="none"/>
              </w:rPr>
              <w:t>①的</w:t>
            </w:r>
            <w:r>
              <w:rPr>
                <w:rFonts w:hint="eastAsia" w:ascii="宋体" w:hAnsi="宋体" w:eastAsia="宋体" w:cs="宋体"/>
                <w:kern w:val="0"/>
                <w:sz w:val="22"/>
                <w:szCs w:val="22"/>
                <w:highlight w:val="none"/>
              </w:rPr>
              <w:t>基础上，</w:t>
            </w:r>
            <w:r>
              <w:rPr>
                <w:rFonts w:hint="eastAsia" w:ascii="宋体" w:hAnsi="宋体" w:eastAsia="宋体" w:cs="宋体"/>
                <w:sz w:val="22"/>
                <w:szCs w:val="22"/>
                <w:highlight w:val="none"/>
              </w:rPr>
              <w:t>培训计划合理可行、内容完整、操作性强，有明确的师资力量和详细的培训计划安排，便于采购人对系统的掌握及使用的得3分；</w:t>
            </w:r>
          </w:p>
          <w:p>
            <w:pPr>
              <w:pStyle w:val="8"/>
              <w:spacing w:line="46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③未提供相关方案阐述或方案阐述内容不符合上述标准的不得分。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提供的安全管理方面工作方案及举措进行评价：</w:t>
            </w:r>
          </w:p>
          <w:p>
            <w:pPr>
              <w:spacing w:line="46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①有提供安全管理方面工作方案及举措的得0.5分；</w:t>
            </w:r>
          </w:p>
          <w:p>
            <w:pPr>
              <w:spacing w:line="46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②在①的基础上，方案基本合理、完整，基本满足采购人需求的得1分；</w:t>
            </w:r>
          </w:p>
          <w:p>
            <w:pPr>
              <w:spacing w:line="46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③在②的基础上，方案包含但不限于网络及信息安全管理、拟投入的服务人员进入机房管理、数据保密管理等、完整可行、有利于本项目实施，并且承诺完全遵守采购人关于上述方面的管理制度的得3分；</w:t>
            </w:r>
          </w:p>
          <w:p>
            <w:pPr>
              <w:spacing w:line="46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④未提供相关方案阐述或方案阐述内容不符合上述标准的不得分。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提供的备品备件总体情况进行评价：所提供的备件种类齐全、数量充足、有详细的备品备件清单，能满足项目需求的得3分；备品备件清单简略、备件种类及数量有缺漏，但能基本满足项目需求的得1分；备件种类及数量不能满足项目需求或未提供备品备件清单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Merge w:val="restart"/>
            <w:vAlign w:val="center"/>
          </w:tcPr>
          <w:p>
            <w:pPr>
              <w:pStyle w:val="44"/>
              <w:widowControl/>
              <w:numPr>
                <w:ilvl w:val="0"/>
                <w:numId w:val="7"/>
              </w:numPr>
              <w:spacing w:line="460" w:lineRule="exact"/>
              <w:ind w:left="0" w:firstLine="0" w:firstLineChars="0"/>
              <w:jc w:val="center"/>
              <w:rPr>
                <w:rFonts w:hint="eastAsia" w:ascii="宋体" w:hAnsi="宋体" w:eastAsia="宋体" w:cs="宋体"/>
                <w:kern w:val="10"/>
                <w:sz w:val="22"/>
                <w:szCs w:val="22"/>
                <w:highlight w:val="none"/>
              </w:rPr>
            </w:pPr>
          </w:p>
        </w:tc>
        <w:tc>
          <w:tcPr>
            <w:tcW w:w="8169" w:type="dxa"/>
            <w:gridSpan w:val="2"/>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根据供应商提供拟投入本项目维保服务的服务团队进行评价：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Merge w:val="continue"/>
            <w:vAlign w:val="center"/>
          </w:tcPr>
          <w:p>
            <w:pPr>
              <w:pStyle w:val="44"/>
              <w:widowControl/>
              <w:numPr>
                <w:ilvl w:val="255"/>
                <w:numId w:val="0"/>
              </w:numPr>
              <w:spacing w:line="460" w:lineRule="exact"/>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①运维工程师具有信息技术服务标准ITSS IT服务项目经理、ITSS IT服务工程师证书，每1人得2分，最高得4分。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Merge w:val="continue"/>
            <w:vAlign w:val="center"/>
          </w:tcPr>
          <w:p>
            <w:pPr>
              <w:pStyle w:val="44"/>
              <w:widowControl/>
              <w:numPr>
                <w:ilvl w:val="255"/>
                <w:numId w:val="0"/>
              </w:numPr>
              <w:spacing w:line="460" w:lineRule="exact"/>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②运维安全工程师具有中国信息安全测评中心注册信息安全工程师（CISP）证书，得2分。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Merge w:val="continue"/>
            <w:vAlign w:val="center"/>
          </w:tcPr>
          <w:p>
            <w:pPr>
              <w:pStyle w:val="44"/>
              <w:widowControl/>
              <w:numPr>
                <w:ilvl w:val="255"/>
                <w:numId w:val="0"/>
              </w:numPr>
              <w:spacing w:line="460" w:lineRule="exact"/>
              <w:rPr>
                <w:rFonts w:hint="eastAsia" w:ascii="宋体" w:hAnsi="宋体" w:eastAsia="宋体" w:cs="宋体"/>
                <w:kern w:val="1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③运维网络工程师具有计算机网络管理员或网络工程师证书，得2分。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4" w:hRule="atLeast"/>
          <w:jc w:val="center"/>
        </w:trPr>
        <w:tc>
          <w:tcPr>
            <w:tcW w:w="779" w:type="dxa"/>
            <w:vMerge w:val="continue"/>
            <w:vAlign w:val="center"/>
          </w:tcPr>
          <w:p>
            <w:pPr>
              <w:pStyle w:val="44"/>
              <w:widowControl/>
              <w:numPr>
                <w:ilvl w:val="255"/>
                <w:numId w:val="0"/>
              </w:numPr>
              <w:spacing w:line="460" w:lineRule="exact"/>
              <w:rPr>
                <w:rFonts w:hint="eastAsia" w:ascii="宋体" w:hAnsi="宋体" w:eastAsia="宋体" w:cs="宋体"/>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④消防系统运维人员具有注册消防工程师或（中级（或四级）及以上等级的）消防设施操作员得1分。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1" w:hRule="atLeast"/>
          <w:jc w:val="center"/>
        </w:trPr>
        <w:tc>
          <w:tcPr>
            <w:tcW w:w="779" w:type="dxa"/>
            <w:vMerge w:val="continue"/>
            <w:vAlign w:val="center"/>
          </w:tcPr>
          <w:p>
            <w:pPr>
              <w:pStyle w:val="44"/>
              <w:widowControl/>
              <w:numPr>
                <w:ilvl w:val="255"/>
                <w:numId w:val="0"/>
              </w:numPr>
              <w:spacing w:line="460" w:lineRule="exact"/>
              <w:rPr>
                <w:rFonts w:hint="eastAsia" w:ascii="宋体" w:hAnsi="宋体" w:eastAsia="宋体" w:cs="宋体"/>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⑤电力维修人员具有中华人民共和国特种作业操作证（作业类别：电工作业）证书得1分。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1" w:hRule="atLeast"/>
          <w:jc w:val="center"/>
        </w:trPr>
        <w:tc>
          <w:tcPr>
            <w:tcW w:w="779" w:type="dxa"/>
            <w:vMerge w:val="continue"/>
            <w:vAlign w:val="center"/>
          </w:tcPr>
          <w:p>
            <w:pPr>
              <w:pStyle w:val="44"/>
              <w:widowControl/>
              <w:numPr>
                <w:ilvl w:val="255"/>
                <w:numId w:val="0"/>
              </w:numPr>
              <w:spacing w:line="460" w:lineRule="exact"/>
              <w:rPr>
                <w:rFonts w:hint="eastAsia" w:ascii="宋体" w:hAnsi="宋体" w:eastAsia="宋体" w:cs="宋体"/>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⑥系统专业培训团队中，网络设备培训人员具有</w:t>
            </w:r>
            <w:r>
              <w:rPr>
                <w:rFonts w:hint="eastAsia" w:ascii="宋体" w:hAnsi="宋体" w:eastAsia="宋体" w:cs="宋体"/>
                <w:spacing w:val="-8"/>
                <w:sz w:val="22"/>
                <w:szCs w:val="22"/>
                <w:highlight w:val="none"/>
              </w:rPr>
              <w:t>IE（HCIE或H3CIE）认证</w:t>
            </w:r>
            <w:r>
              <w:rPr>
                <w:rFonts w:hint="eastAsia" w:ascii="宋体" w:hAnsi="宋体" w:eastAsia="宋体" w:cs="宋体"/>
                <w:sz w:val="22"/>
                <w:szCs w:val="22"/>
                <w:highlight w:val="none"/>
              </w:rPr>
              <w:t>、 VMware</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培训人员具有</w:t>
            </w:r>
            <w:r>
              <w:rPr>
                <w:rFonts w:hint="eastAsia" w:ascii="宋体" w:hAnsi="宋体" w:eastAsia="宋体" w:cs="宋体"/>
                <w:spacing w:val="-8"/>
                <w:sz w:val="22"/>
                <w:szCs w:val="22"/>
                <w:highlight w:val="none"/>
              </w:rPr>
              <w:t>VCI认证</w:t>
            </w:r>
            <w:r>
              <w:rPr>
                <w:rFonts w:hint="eastAsia" w:ascii="宋体" w:hAnsi="宋体" w:eastAsia="宋体" w:cs="宋体"/>
                <w:sz w:val="22"/>
                <w:szCs w:val="22"/>
                <w:highlight w:val="none"/>
              </w:rPr>
              <w:t>、Oracle培训人员具有</w:t>
            </w:r>
            <w:r>
              <w:rPr>
                <w:rFonts w:hint="eastAsia" w:ascii="宋体" w:hAnsi="宋体" w:eastAsia="宋体" w:cs="宋体"/>
                <w:spacing w:val="-8"/>
                <w:sz w:val="22"/>
                <w:szCs w:val="22"/>
                <w:highlight w:val="none"/>
              </w:rPr>
              <w:t>OCP认证</w:t>
            </w:r>
            <w:r>
              <w:rPr>
                <w:rFonts w:hint="eastAsia" w:ascii="宋体" w:hAnsi="宋体" w:eastAsia="宋体" w:cs="宋体"/>
                <w:sz w:val="22"/>
                <w:szCs w:val="22"/>
                <w:highlight w:val="none"/>
              </w:rPr>
              <w:t>、Linux培训人员具有</w:t>
            </w:r>
            <w:r>
              <w:rPr>
                <w:rFonts w:hint="eastAsia" w:ascii="宋体" w:hAnsi="宋体" w:eastAsia="宋体" w:cs="宋体"/>
                <w:spacing w:val="-8"/>
                <w:sz w:val="22"/>
                <w:szCs w:val="22"/>
                <w:highlight w:val="none"/>
              </w:rPr>
              <w:t>RHCI认证证书。每提供1本证书得1分，本项最高得分4分。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Merge w:val="continue"/>
            <w:vAlign w:val="center"/>
          </w:tcPr>
          <w:p>
            <w:pPr>
              <w:pStyle w:val="44"/>
              <w:widowControl/>
              <w:numPr>
                <w:ilvl w:val="255"/>
                <w:numId w:val="0"/>
              </w:numPr>
              <w:spacing w:line="460" w:lineRule="exact"/>
              <w:rPr>
                <w:rFonts w:hint="eastAsia" w:ascii="宋体" w:hAnsi="宋体" w:eastAsia="宋体" w:cs="宋体"/>
                <w:kern w:val="10"/>
                <w:sz w:val="22"/>
                <w:szCs w:val="22"/>
                <w:highlight w:val="none"/>
              </w:rPr>
            </w:pPr>
          </w:p>
        </w:tc>
        <w:tc>
          <w:tcPr>
            <w:tcW w:w="8169" w:type="dxa"/>
            <w:gridSpan w:val="2"/>
            <w:vAlign w:val="center"/>
          </w:tcPr>
          <w:p>
            <w:pPr>
              <w:spacing w:line="46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注</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上述人员供应商须提供相应的证书扫描件及响应截止时间前六个月（不含响应截止时间当月）任意一个月响应供应商为其缴交社保的证明材料，否则不得分。同一人员证书不重复计算。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948" w:type="dxa"/>
            <w:gridSpan w:val="3"/>
            <w:vAlign w:val="center"/>
          </w:tcPr>
          <w:p>
            <w:pPr>
              <w:spacing w:line="460" w:lineRule="exact"/>
              <w:jc w:val="center"/>
              <w:rPr>
                <w:rFonts w:hint="eastAsia" w:ascii="宋体" w:hAnsi="宋体" w:eastAsia="宋体" w:cs="宋体"/>
                <w:bCs/>
                <w:sz w:val="22"/>
                <w:szCs w:val="22"/>
                <w:highlight w:val="none"/>
              </w:rPr>
            </w:pPr>
            <w:r>
              <w:rPr>
                <w:rFonts w:hint="eastAsia" w:ascii="宋体" w:hAnsi="宋体" w:eastAsia="宋体" w:cs="宋体"/>
                <w:b/>
                <w:sz w:val="22"/>
                <w:szCs w:val="22"/>
                <w:highlight w:val="none"/>
              </w:rPr>
              <w:t>2、商务因素（满分【</w:t>
            </w:r>
            <w:r>
              <w:rPr>
                <w:rFonts w:hint="eastAsia" w:ascii="宋体" w:hAnsi="宋体" w:eastAsia="宋体" w:cs="宋体"/>
                <w:bCs/>
                <w:sz w:val="22"/>
                <w:szCs w:val="22"/>
                <w:highlight w:val="none"/>
              </w:rPr>
              <w:t>20</w:t>
            </w:r>
            <w:r>
              <w:rPr>
                <w:rFonts w:hint="eastAsia" w:ascii="宋体" w:hAnsi="宋体" w:eastAsia="宋体" w:cs="宋体"/>
                <w:b/>
                <w:sz w:val="22"/>
                <w:szCs w:val="22"/>
                <w:highlight w:val="none"/>
              </w:rPr>
              <w:t>】</w:t>
            </w:r>
            <w:r>
              <w:rPr>
                <w:rFonts w:hint="eastAsia" w:ascii="宋体" w:hAnsi="宋体" w:eastAsia="宋体" w:cs="宋体"/>
                <w:b/>
                <w:kern w:val="10"/>
                <w:sz w:val="22"/>
                <w:szCs w:val="22"/>
                <w:highlight w:val="none"/>
              </w:rPr>
              <w:t xml:space="preserve"> 分</w:t>
            </w:r>
            <w:r>
              <w:rPr>
                <w:rFonts w:hint="eastAsia" w:ascii="宋体" w:hAnsi="宋体" w:eastAsia="宋体" w:cs="宋体"/>
                <w:b/>
                <w:sz w:val="22"/>
                <w:szCs w:val="22"/>
                <w:highlight w:val="none"/>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pStyle w:val="11"/>
              <w:spacing w:line="460" w:lineRule="exact"/>
              <w:ind w:firstLine="0" w:firstLineChars="0"/>
              <w:rPr>
                <w:rFonts w:hint="eastAsia" w:ascii="宋体" w:hAnsi="宋体" w:eastAsia="宋体" w:cs="宋体"/>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pacing w:val="-8"/>
                <w:sz w:val="22"/>
                <w:szCs w:val="22"/>
                <w:highlight w:val="none"/>
              </w:rPr>
              <w:t>具有有效的</w:t>
            </w:r>
            <w:r>
              <w:rPr>
                <w:rFonts w:hint="eastAsia" w:ascii="宋体" w:hAnsi="宋体" w:eastAsia="宋体" w:cs="宋体"/>
                <w:bCs/>
                <w:spacing w:val="-8"/>
                <w:sz w:val="22"/>
                <w:szCs w:val="22"/>
                <w:highlight w:val="none"/>
              </w:rPr>
              <w:t>ISO9001</w:t>
            </w:r>
            <w:r>
              <w:rPr>
                <w:rFonts w:hint="eastAsia" w:ascii="宋体" w:hAnsi="宋体" w:eastAsia="宋体" w:cs="宋体"/>
                <w:spacing w:val="-8"/>
                <w:sz w:val="22"/>
                <w:szCs w:val="22"/>
                <w:highlight w:val="none"/>
              </w:rPr>
              <w:t>质量管理体系认证的得1分，需提供有效认证证书扫描件，否则不得分。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pStyle w:val="11"/>
              <w:spacing w:line="460" w:lineRule="exact"/>
              <w:ind w:firstLine="0" w:firstLineChars="0"/>
              <w:rPr>
                <w:rFonts w:hint="eastAsia" w:ascii="宋体" w:hAnsi="宋体" w:eastAsia="宋体" w:cs="宋体"/>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pacing w:val="-8"/>
                <w:sz w:val="22"/>
                <w:szCs w:val="22"/>
                <w:highlight w:val="none"/>
              </w:rPr>
              <w:t>具有有效的ISO14001</w:t>
            </w:r>
            <w:r>
              <w:rPr>
                <w:rFonts w:hint="eastAsia" w:ascii="宋体" w:hAnsi="宋体" w:eastAsia="宋体" w:cs="宋体"/>
                <w:sz w:val="22"/>
                <w:szCs w:val="22"/>
                <w:highlight w:val="none"/>
              </w:rPr>
              <w:t>环境管理体系认证</w:t>
            </w:r>
            <w:r>
              <w:rPr>
                <w:rFonts w:hint="eastAsia" w:ascii="宋体" w:hAnsi="宋体" w:eastAsia="宋体" w:cs="宋体"/>
                <w:spacing w:val="-8"/>
                <w:sz w:val="22"/>
                <w:szCs w:val="22"/>
                <w:highlight w:val="none"/>
              </w:rPr>
              <w:t>的得1分，需提供有效认证证书扫描件，否则不得分。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pStyle w:val="11"/>
              <w:spacing w:line="460" w:lineRule="exact"/>
              <w:ind w:firstLine="0" w:firstLineChars="0"/>
              <w:rPr>
                <w:rFonts w:hint="eastAsia" w:ascii="宋体" w:hAnsi="宋体" w:eastAsia="宋体" w:cs="宋体"/>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pacing w:val="-8"/>
                <w:sz w:val="22"/>
                <w:szCs w:val="22"/>
                <w:highlight w:val="none"/>
              </w:rPr>
              <w:t>具有有效的ISO45001</w:t>
            </w:r>
            <w:r>
              <w:rPr>
                <w:rFonts w:hint="eastAsia" w:ascii="宋体" w:hAnsi="宋体" w:eastAsia="宋体" w:cs="宋体"/>
                <w:sz w:val="22"/>
                <w:szCs w:val="22"/>
                <w:highlight w:val="none"/>
              </w:rPr>
              <w:t>职业健康安全管理体系认证</w:t>
            </w:r>
            <w:r>
              <w:rPr>
                <w:rFonts w:hint="eastAsia" w:ascii="宋体" w:hAnsi="宋体" w:eastAsia="宋体" w:cs="宋体"/>
                <w:spacing w:val="-8"/>
                <w:sz w:val="22"/>
                <w:szCs w:val="22"/>
                <w:highlight w:val="none"/>
              </w:rPr>
              <w:t>的得1分，需提供有效认证证书扫描件，否则不得分。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pStyle w:val="11"/>
              <w:spacing w:line="460" w:lineRule="exact"/>
              <w:ind w:firstLine="0" w:firstLineChars="0"/>
              <w:rPr>
                <w:rFonts w:hint="eastAsia" w:ascii="宋体" w:hAnsi="宋体" w:eastAsia="宋体" w:cs="宋体"/>
                <w:spacing w:val="-8"/>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pacing w:val="-8"/>
                <w:sz w:val="22"/>
                <w:szCs w:val="22"/>
                <w:highlight w:val="none"/>
              </w:rPr>
              <w:t>具有有效的</w:t>
            </w:r>
            <w:r>
              <w:rPr>
                <w:rFonts w:hint="eastAsia" w:ascii="宋体" w:hAnsi="宋体" w:eastAsia="宋体" w:cs="宋体"/>
                <w:bCs/>
                <w:spacing w:val="-8"/>
                <w:sz w:val="22"/>
                <w:szCs w:val="22"/>
                <w:highlight w:val="none"/>
              </w:rPr>
              <w:t>IS027001</w:t>
            </w:r>
            <w:r>
              <w:rPr>
                <w:rFonts w:hint="eastAsia" w:ascii="宋体" w:hAnsi="宋体" w:eastAsia="宋体" w:cs="宋体"/>
                <w:sz w:val="22"/>
                <w:szCs w:val="22"/>
                <w:highlight w:val="none"/>
              </w:rPr>
              <w:t>信息安全管理体系认证</w:t>
            </w:r>
            <w:r>
              <w:rPr>
                <w:rFonts w:hint="eastAsia" w:ascii="宋体" w:hAnsi="宋体" w:eastAsia="宋体" w:cs="宋体"/>
                <w:spacing w:val="-8"/>
                <w:sz w:val="22"/>
                <w:szCs w:val="22"/>
                <w:highlight w:val="none"/>
              </w:rPr>
              <w:t>的得1分，需提供有效认证证书扫描件，否则不得分。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pStyle w:val="11"/>
              <w:spacing w:line="460" w:lineRule="exact"/>
              <w:ind w:firstLine="0" w:firstLineChars="0"/>
              <w:rPr>
                <w:rFonts w:hint="eastAsia" w:ascii="宋体" w:hAnsi="宋体" w:eastAsia="宋体" w:cs="宋体"/>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具有有效的ISO20000信息技术服务管理体系认证的得1分，</w:t>
            </w:r>
            <w:r>
              <w:rPr>
                <w:rFonts w:hint="eastAsia" w:ascii="宋体" w:hAnsi="宋体" w:eastAsia="宋体" w:cs="宋体"/>
                <w:spacing w:val="-8"/>
                <w:sz w:val="22"/>
                <w:szCs w:val="22"/>
                <w:highlight w:val="none"/>
              </w:rPr>
              <w:t>需提供有效认证证书扫描件，</w:t>
            </w:r>
            <w:r>
              <w:rPr>
                <w:rFonts w:hint="eastAsia" w:ascii="宋体" w:hAnsi="宋体" w:eastAsia="宋体" w:cs="宋体"/>
                <w:sz w:val="22"/>
                <w:szCs w:val="22"/>
                <w:highlight w:val="none"/>
              </w:rPr>
              <w:t>否则不得分。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b/>
                <w:spacing w:val="-8"/>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可提供厦门本地化服务的得2分，否则不得分。提供服务能力的证明材料或承诺成交后可提供本地化服务（需提供承诺函，格式自拟）。</w:t>
            </w:r>
          </w:p>
        </w:tc>
        <w:tc>
          <w:tcPr>
            <w:tcW w:w="815" w:type="dxa"/>
            <w:vAlign w:val="center"/>
          </w:tcPr>
          <w:p>
            <w:pPr>
              <w:spacing w:line="460" w:lineRule="exact"/>
              <w:jc w:val="center"/>
              <w:rPr>
                <w:rFonts w:hint="eastAsia" w:ascii="宋体" w:hAnsi="宋体" w:eastAsia="宋体" w:cs="宋体"/>
                <w:bCs/>
                <w:sz w:val="22"/>
                <w:szCs w:val="22"/>
                <w:highlight w:val="none"/>
              </w:rPr>
            </w:pPr>
            <w:r>
              <w:rPr>
                <w:rFonts w:hint="eastAsia" w:ascii="宋体" w:hAnsi="宋体" w:eastAsia="宋体" w:cs="宋体"/>
                <w:sz w:val="22"/>
                <w:szCs w:val="22"/>
                <w:highlight w:val="none"/>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bCs/>
                <w:sz w:val="22"/>
                <w:szCs w:val="22"/>
                <w:highlight w:val="none"/>
              </w:rPr>
              <w:t>承诺成交后为投入本项目的所有服务人员购买人身意外险（保险期至少包含项目实施期间），并对服务人员安全负全部责任，若本项目服务人员发生安全事故，承担全部责任的得3分。</w:t>
            </w:r>
            <w:r>
              <w:rPr>
                <w:rFonts w:hint="eastAsia" w:ascii="宋体" w:hAnsi="宋体" w:eastAsia="宋体" w:cs="宋体"/>
                <w:kern w:val="0"/>
                <w:sz w:val="22"/>
                <w:szCs w:val="22"/>
                <w:highlight w:val="none"/>
              </w:rPr>
              <w:t>供应商</w:t>
            </w:r>
            <w:r>
              <w:rPr>
                <w:rFonts w:hint="eastAsia" w:ascii="宋体" w:hAnsi="宋体" w:eastAsia="宋体" w:cs="宋体"/>
                <w:bCs/>
                <w:sz w:val="22"/>
                <w:szCs w:val="22"/>
                <w:highlight w:val="none"/>
              </w:rPr>
              <w:t>须提供相应的书面承诺，未提供承诺或承诺不齐全的不得分。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承诺维保人员</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小时内到达采购人办公场所进行故障应急处置的得2分。响应供应商须提供到场维修响应时间的承诺函及响应如何实现的合理方案，提供不齐或方案不合理不得分。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拥有7×24小时电话热线服务并提供电话号码，且承诺提供服务时间为7×24小时的得2分，未提供承诺或不满足要求不得分。</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供应商</w:t>
            </w:r>
            <w:r>
              <w:rPr>
                <w:rFonts w:hint="eastAsia" w:ascii="宋体" w:hAnsi="宋体" w:eastAsia="宋体" w:cs="宋体"/>
                <w:bCs/>
                <w:sz w:val="22"/>
                <w:szCs w:val="22"/>
                <w:highlight w:val="none"/>
              </w:rPr>
              <w:t>承诺在维保服务期限内免费提供一次LINUX培训（培训时长不低于</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天共</w:t>
            </w:r>
            <w:r>
              <w:rPr>
                <w:rFonts w:hint="eastAsia" w:ascii="宋体" w:hAnsi="宋体" w:eastAsia="宋体" w:cs="宋体"/>
                <w:bCs/>
                <w:sz w:val="22"/>
                <w:szCs w:val="22"/>
                <w:highlight w:val="none"/>
                <w:lang w:val="en-US" w:eastAsia="zh-CN"/>
              </w:rPr>
              <w:t>6</w:t>
            </w:r>
            <w:r>
              <w:rPr>
                <w:rFonts w:hint="eastAsia" w:ascii="宋体" w:hAnsi="宋体" w:eastAsia="宋体" w:cs="宋体"/>
                <w:bCs/>
                <w:sz w:val="22"/>
                <w:szCs w:val="22"/>
                <w:highlight w:val="none"/>
              </w:rPr>
              <w:t>个课时）的得</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分</w:t>
            </w:r>
            <w:r>
              <w:rPr>
                <w:rFonts w:hint="eastAsia" w:ascii="宋体" w:hAnsi="宋体" w:eastAsia="宋体" w:cs="宋体"/>
                <w:sz w:val="22"/>
                <w:szCs w:val="22"/>
                <w:highlight w:val="none"/>
              </w:rPr>
              <w:t>，未提供承诺或不满足要求不得分</w:t>
            </w:r>
            <w:r>
              <w:rPr>
                <w:rFonts w:hint="eastAsia" w:ascii="宋体" w:hAnsi="宋体" w:eastAsia="宋体" w:cs="宋体"/>
                <w:bCs/>
                <w:sz w:val="22"/>
                <w:szCs w:val="22"/>
                <w:highlight w:val="none"/>
              </w:rPr>
              <w:t>。</w:t>
            </w:r>
          </w:p>
        </w:tc>
        <w:tc>
          <w:tcPr>
            <w:tcW w:w="815" w:type="dxa"/>
            <w:vAlign w:val="center"/>
          </w:tcPr>
          <w:p>
            <w:pPr>
              <w:spacing w:line="460" w:lineRule="exact"/>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供应商</w:t>
            </w:r>
            <w:r>
              <w:rPr>
                <w:rFonts w:hint="eastAsia" w:ascii="宋体" w:hAnsi="宋体" w:eastAsia="宋体" w:cs="宋体"/>
                <w:bCs/>
                <w:sz w:val="22"/>
                <w:szCs w:val="22"/>
                <w:highlight w:val="none"/>
              </w:rPr>
              <w:t>承诺在维保服务期限内免费提供一次VMware虚拟化培训（培训时长不低于</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天共</w:t>
            </w:r>
            <w:r>
              <w:rPr>
                <w:rFonts w:hint="eastAsia" w:ascii="宋体" w:hAnsi="宋体" w:eastAsia="宋体" w:cs="宋体"/>
                <w:bCs/>
                <w:sz w:val="22"/>
                <w:szCs w:val="22"/>
                <w:highlight w:val="none"/>
                <w:lang w:val="en-US" w:eastAsia="zh-CN"/>
              </w:rPr>
              <w:t>6</w:t>
            </w:r>
            <w:r>
              <w:rPr>
                <w:rFonts w:hint="eastAsia" w:ascii="宋体" w:hAnsi="宋体" w:eastAsia="宋体" w:cs="宋体"/>
                <w:bCs/>
                <w:sz w:val="22"/>
                <w:szCs w:val="22"/>
                <w:highlight w:val="none"/>
              </w:rPr>
              <w:t>个课时）的得</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分</w:t>
            </w:r>
            <w:r>
              <w:rPr>
                <w:rFonts w:hint="eastAsia" w:ascii="宋体" w:hAnsi="宋体" w:eastAsia="宋体" w:cs="宋体"/>
                <w:sz w:val="22"/>
                <w:szCs w:val="22"/>
                <w:highlight w:val="none"/>
              </w:rPr>
              <w:t>，未提供承诺或不满足要求不得分</w:t>
            </w:r>
            <w:r>
              <w:rPr>
                <w:rFonts w:hint="eastAsia" w:ascii="宋体" w:hAnsi="宋体" w:eastAsia="宋体" w:cs="宋体"/>
                <w:bCs/>
                <w:sz w:val="22"/>
                <w:szCs w:val="22"/>
                <w:highlight w:val="none"/>
              </w:rPr>
              <w:t>。</w:t>
            </w:r>
          </w:p>
        </w:tc>
        <w:tc>
          <w:tcPr>
            <w:tcW w:w="815" w:type="dxa"/>
            <w:vAlign w:val="center"/>
          </w:tcPr>
          <w:p>
            <w:pPr>
              <w:spacing w:line="460" w:lineRule="exact"/>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供应商</w:t>
            </w:r>
            <w:r>
              <w:rPr>
                <w:rFonts w:hint="eastAsia" w:ascii="宋体" w:hAnsi="宋体" w:eastAsia="宋体" w:cs="宋体"/>
                <w:bCs/>
                <w:sz w:val="22"/>
                <w:szCs w:val="22"/>
                <w:highlight w:val="none"/>
              </w:rPr>
              <w:t>承诺在维保服务期限内免费提供一次</w:t>
            </w:r>
            <w:r>
              <w:rPr>
                <w:rFonts w:hint="eastAsia" w:ascii="宋体" w:hAnsi="宋体" w:eastAsia="宋体" w:cs="宋体"/>
                <w:bCs/>
                <w:sz w:val="22"/>
                <w:szCs w:val="22"/>
                <w:highlight w:val="none"/>
                <w:lang w:val="en-US" w:eastAsia="zh-CN"/>
              </w:rPr>
              <w:t>HCIA</w:t>
            </w:r>
            <w:r>
              <w:rPr>
                <w:rFonts w:hint="eastAsia" w:ascii="宋体" w:hAnsi="宋体" w:eastAsia="宋体" w:cs="宋体"/>
                <w:bCs/>
                <w:sz w:val="22"/>
                <w:szCs w:val="22"/>
                <w:highlight w:val="none"/>
              </w:rPr>
              <w:t>虚拟化培训（培训时长不低于</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天共</w:t>
            </w:r>
            <w:r>
              <w:rPr>
                <w:rFonts w:hint="eastAsia" w:ascii="宋体" w:hAnsi="宋体" w:eastAsia="宋体" w:cs="宋体"/>
                <w:bCs/>
                <w:sz w:val="22"/>
                <w:szCs w:val="22"/>
                <w:highlight w:val="none"/>
                <w:lang w:val="en-US" w:eastAsia="zh-CN"/>
              </w:rPr>
              <w:t>6</w:t>
            </w:r>
            <w:r>
              <w:rPr>
                <w:rFonts w:hint="eastAsia" w:ascii="宋体" w:hAnsi="宋体" w:eastAsia="宋体" w:cs="宋体"/>
                <w:bCs/>
                <w:sz w:val="22"/>
                <w:szCs w:val="22"/>
                <w:highlight w:val="none"/>
              </w:rPr>
              <w:t>个课时）的得</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分</w:t>
            </w:r>
            <w:r>
              <w:rPr>
                <w:rFonts w:hint="eastAsia" w:ascii="宋体" w:hAnsi="宋体" w:eastAsia="宋体" w:cs="宋体"/>
                <w:sz w:val="22"/>
                <w:szCs w:val="22"/>
                <w:highlight w:val="none"/>
              </w:rPr>
              <w:t>，未提供承诺或不满足要求不得分</w:t>
            </w:r>
            <w:r>
              <w:rPr>
                <w:rFonts w:hint="eastAsia" w:ascii="宋体" w:hAnsi="宋体" w:eastAsia="宋体" w:cs="宋体"/>
                <w:bCs/>
                <w:sz w:val="22"/>
                <w:szCs w:val="22"/>
                <w:highlight w:val="none"/>
              </w:rPr>
              <w:t>。</w:t>
            </w:r>
          </w:p>
        </w:tc>
        <w:tc>
          <w:tcPr>
            <w:tcW w:w="815" w:type="dxa"/>
            <w:vAlign w:val="center"/>
          </w:tcPr>
          <w:p>
            <w:pPr>
              <w:spacing w:line="460" w:lineRule="exac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供应商</w:t>
            </w:r>
            <w:r>
              <w:rPr>
                <w:rFonts w:hint="eastAsia" w:ascii="宋体" w:hAnsi="宋体" w:eastAsia="宋体" w:cs="宋体"/>
                <w:bCs/>
                <w:sz w:val="22"/>
                <w:szCs w:val="22"/>
                <w:highlight w:val="none"/>
              </w:rPr>
              <w:t>承诺在维保服务期限内免费提供一次</w:t>
            </w:r>
            <w:r>
              <w:rPr>
                <w:rFonts w:hint="eastAsia" w:ascii="宋体" w:hAnsi="宋体" w:eastAsia="宋体" w:cs="宋体"/>
                <w:bCs/>
                <w:sz w:val="22"/>
                <w:szCs w:val="22"/>
                <w:highlight w:val="none"/>
                <w:lang w:val="en-US" w:eastAsia="zh-CN"/>
              </w:rPr>
              <w:t>Oracle</w:t>
            </w:r>
            <w:r>
              <w:rPr>
                <w:rFonts w:hint="eastAsia" w:ascii="宋体" w:hAnsi="宋体" w:eastAsia="宋体" w:cs="宋体"/>
                <w:bCs/>
                <w:sz w:val="22"/>
                <w:szCs w:val="22"/>
                <w:highlight w:val="none"/>
              </w:rPr>
              <w:t>虚拟化培训（培训时长不低于</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天共</w:t>
            </w:r>
            <w:r>
              <w:rPr>
                <w:rFonts w:hint="eastAsia" w:ascii="宋体" w:hAnsi="宋体" w:eastAsia="宋体" w:cs="宋体"/>
                <w:bCs/>
                <w:sz w:val="22"/>
                <w:szCs w:val="22"/>
                <w:highlight w:val="none"/>
                <w:lang w:val="en-US" w:eastAsia="zh-CN"/>
              </w:rPr>
              <w:t>6</w:t>
            </w:r>
            <w:r>
              <w:rPr>
                <w:rFonts w:hint="eastAsia" w:ascii="宋体" w:hAnsi="宋体" w:eastAsia="宋体" w:cs="宋体"/>
                <w:bCs/>
                <w:sz w:val="22"/>
                <w:szCs w:val="22"/>
                <w:highlight w:val="none"/>
              </w:rPr>
              <w:t>个课时）的得</w:t>
            </w:r>
            <w:r>
              <w:rPr>
                <w:rFonts w:hint="eastAsia" w:ascii="宋体" w:hAnsi="宋体" w:eastAsia="宋体" w:cs="宋体"/>
                <w:bCs/>
                <w:sz w:val="22"/>
                <w:szCs w:val="22"/>
                <w:highlight w:val="none"/>
                <w:lang w:val="en-US" w:eastAsia="zh-CN"/>
              </w:rPr>
              <w:t>1</w:t>
            </w:r>
            <w:r>
              <w:rPr>
                <w:rFonts w:hint="eastAsia" w:ascii="宋体" w:hAnsi="宋体" w:eastAsia="宋体" w:cs="宋体"/>
                <w:bCs/>
                <w:sz w:val="22"/>
                <w:szCs w:val="22"/>
                <w:highlight w:val="none"/>
              </w:rPr>
              <w:t>分</w:t>
            </w:r>
            <w:r>
              <w:rPr>
                <w:rFonts w:hint="eastAsia" w:ascii="宋体" w:hAnsi="宋体" w:eastAsia="宋体" w:cs="宋体"/>
                <w:sz w:val="22"/>
                <w:szCs w:val="22"/>
                <w:highlight w:val="none"/>
              </w:rPr>
              <w:t>，未提供承诺或不满足要求不得分</w:t>
            </w:r>
            <w:r>
              <w:rPr>
                <w:rFonts w:hint="eastAsia" w:ascii="宋体" w:hAnsi="宋体" w:eastAsia="宋体" w:cs="宋体"/>
                <w:bCs/>
                <w:sz w:val="22"/>
                <w:szCs w:val="22"/>
                <w:highlight w:val="none"/>
              </w:rPr>
              <w:t>。</w:t>
            </w:r>
          </w:p>
        </w:tc>
        <w:tc>
          <w:tcPr>
            <w:tcW w:w="815" w:type="dxa"/>
            <w:vAlign w:val="center"/>
          </w:tcPr>
          <w:p>
            <w:pPr>
              <w:spacing w:line="460" w:lineRule="exac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pStyle w:val="44"/>
              <w:widowControl/>
              <w:numPr>
                <w:ilvl w:val="0"/>
                <w:numId w:val="8"/>
              </w:numPr>
              <w:spacing w:line="460" w:lineRule="exact"/>
              <w:ind w:left="0" w:firstLine="0" w:firstLineChars="0"/>
              <w:jc w:val="center"/>
              <w:rPr>
                <w:rFonts w:hint="eastAsia" w:ascii="宋体" w:hAnsi="宋体" w:eastAsia="宋体" w:cs="宋体"/>
                <w:kern w:val="0"/>
                <w:sz w:val="22"/>
                <w:szCs w:val="22"/>
                <w:highlight w:val="none"/>
              </w:rPr>
            </w:pP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根据</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类似业绩进行评价： 根据</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提供的202</w:t>
            </w: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 xml:space="preserve">年1月1日以来（以合同签订时间为准），独立承接的类似本项目的机房维保项目的经营业绩情况进行评价，每提供1个有效经营业绩得0.5分，本项满分2分； </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须在响应文件中提供该业绩的以下资料扫描件：</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①中标（成交）公告（提供相关网站中标（成交）公告的下载网页及其网址）；</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②中标（成交）通知书扫描件；</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③采购合同文本扫描件；</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④经采购人确认的季度或年度的维保报告或者项目验收报告扫描件。</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以上①②③只提供一项即可，④为必须项。未按照比选文件要求提供完整资料的业绩不予计分。 </w:t>
            </w:r>
            <w:r>
              <w:rPr>
                <w:rFonts w:hint="eastAsia" w:ascii="宋体" w:hAnsi="宋体" w:eastAsia="宋体" w:cs="宋体"/>
                <w:color w:val="FF0000"/>
                <w:sz w:val="22"/>
                <w:szCs w:val="22"/>
                <w:highlight w:val="none"/>
              </w:rPr>
              <w:t xml:space="preserve"> </w:t>
            </w:r>
          </w:p>
        </w:tc>
        <w:tc>
          <w:tcPr>
            <w:tcW w:w="815"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948" w:type="dxa"/>
            <w:gridSpan w:val="3"/>
            <w:vAlign w:val="center"/>
          </w:tcPr>
          <w:p>
            <w:pPr>
              <w:spacing w:line="460" w:lineRule="exact"/>
              <w:jc w:val="center"/>
              <w:rPr>
                <w:rFonts w:hint="eastAsia" w:ascii="宋体" w:hAnsi="宋体" w:eastAsia="宋体" w:cs="宋体"/>
                <w:b/>
                <w:sz w:val="22"/>
                <w:szCs w:val="22"/>
                <w:highlight w:val="none"/>
              </w:rPr>
            </w:pPr>
            <w:r>
              <w:rPr>
                <w:rFonts w:hint="eastAsia" w:ascii="宋体" w:hAnsi="宋体" w:eastAsia="宋体" w:cs="宋体"/>
                <w:b/>
                <w:kern w:val="10"/>
                <w:sz w:val="22"/>
                <w:szCs w:val="22"/>
                <w:highlight w:val="none"/>
              </w:rPr>
              <w:t>3、</w:t>
            </w:r>
            <w:r>
              <w:rPr>
                <w:rFonts w:hint="eastAsia" w:ascii="宋体" w:hAnsi="宋体" w:eastAsia="宋体" w:cs="宋体"/>
                <w:b/>
                <w:sz w:val="22"/>
                <w:szCs w:val="22"/>
                <w:highlight w:val="none"/>
              </w:rPr>
              <w:t>价格因素</w:t>
            </w:r>
            <w:r>
              <w:rPr>
                <w:rFonts w:hint="eastAsia" w:ascii="宋体" w:hAnsi="宋体" w:eastAsia="宋体" w:cs="宋体"/>
                <w:b/>
                <w:kern w:val="10"/>
                <w:sz w:val="22"/>
                <w:szCs w:val="22"/>
                <w:highlight w:val="none"/>
              </w:rPr>
              <w:t>（满分【30】分）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79" w:type="dxa"/>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3-1</w:t>
            </w:r>
          </w:p>
        </w:tc>
        <w:tc>
          <w:tcPr>
            <w:tcW w:w="7354" w:type="dxa"/>
            <w:vAlign w:val="center"/>
          </w:tcPr>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取有效</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的最低评标价作为基准价A值，有效</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的价格得分按以下公式计算：</w:t>
            </w:r>
          </w:p>
          <w:p>
            <w:pPr>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价格得分=该价格评分项满分分值×（A÷</w:t>
            </w:r>
            <w:r>
              <w:rPr>
                <w:rFonts w:hint="eastAsia" w:ascii="宋体" w:hAnsi="宋体" w:eastAsia="宋体" w:cs="宋体"/>
                <w:kern w:val="0"/>
                <w:sz w:val="22"/>
                <w:szCs w:val="22"/>
                <w:highlight w:val="none"/>
              </w:rPr>
              <w:t>供应商</w:t>
            </w:r>
            <w:r>
              <w:rPr>
                <w:rFonts w:hint="eastAsia" w:ascii="宋体" w:hAnsi="宋体" w:eastAsia="宋体" w:cs="宋体"/>
                <w:sz w:val="22"/>
                <w:szCs w:val="22"/>
                <w:highlight w:val="none"/>
              </w:rPr>
              <w:t>的评标价）</w:t>
            </w:r>
          </w:p>
        </w:tc>
        <w:tc>
          <w:tcPr>
            <w:tcW w:w="815" w:type="dxa"/>
            <w:vAlign w:val="center"/>
          </w:tcPr>
          <w:p>
            <w:pPr>
              <w:spacing w:line="460" w:lineRule="exact"/>
              <w:jc w:val="center"/>
              <w:rPr>
                <w:rFonts w:hint="eastAsia" w:ascii="宋体" w:hAnsi="宋体" w:eastAsia="宋体" w:cs="宋体"/>
                <w:bCs/>
                <w:sz w:val="22"/>
                <w:szCs w:val="22"/>
                <w:highlight w:val="none"/>
              </w:rPr>
            </w:pPr>
            <w:r>
              <w:rPr>
                <w:rFonts w:hint="eastAsia" w:ascii="宋体" w:hAnsi="宋体" w:eastAsia="宋体" w:cs="宋体"/>
                <w:sz w:val="22"/>
                <w:szCs w:val="22"/>
                <w:highlight w:val="none"/>
              </w:rPr>
              <w:t>【30】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948" w:type="dxa"/>
            <w:gridSpan w:val="3"/>
            <w:vAlign w:val="center"/>
          </w:tcPr>
          <w:p>
            <w:pPr>
              <w:spacing w:line="460" w:lineRule="exact"/>
              <w:jc w:val="center"/>
              <w:rPr>
                <w:rFonts w:hint="eastAsia" w:ascii="宋体" w:hAnsi="宋体" w:eastAsia="宋体" w:cs="宋体"/>
                <w:sz w:val="22"/>
                <w:szCs w:val="22"/>
                <w:highlight w:val="none"/>
              </w:rPr>
            </w:pPr>
            <w:r>
              <w:rPr>
                <w:rFonts w:hint="eastAsia" w:ascii="宋体" w:hAnsi="宋体" w:eastAsia="宋体" w:cs="宋体"/>
                <w:b/>
                <w:bCs/>
                <w:sz w:val="22"/>
                <w:szCs w:val="22"/>
                <w:highlight w:val="none"/>
              </w:rPr>
              <w:t>响应供应商的评审总得分＝技术因素得分＋商务因素得分＋价格因素得分</w:t>
            </w:r>
          </w:p>
        </w:tc>
      </w:tr>
    </w:tbl>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2、评审得分汇总</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对评审专家技术及商务、价格部分评分结果统计时，再行算术平均计算各有效响应供应商的技术及商务最终得分。</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推荐成交候选供应商名单。</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成交候选供应商数量：3个。</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候选供应商排列顺序。经响应文件初审、澄清有关问题、比较与评价评审程序后，按以下办法推荐中选候选供应商名单的排列顺序，按照评审总得分由高到低顺序排列。评审总得分相同的，按照报价由低到高顺序排列。评标总得分、报价均相同的，采取随机抽取的方式确定。</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3、定选原则：</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确定</w:t>
      </w:r>
      <w:r>
        <w:rPr>
          <w:rFonts w:hint="eastAsia" w:ascii="宋体" w:hAnsi="宋体" w:eastAsia="宋体" w:cs="宋体"/>
          <w:sz w:val="22"/>
          <w:szCs w:val="22"/>
          <w:highlight w:val="none"/>
          <w:lang w:val="en-US" w:eastAsia="zh-CN"/>
        </w:rPr>
        <w:t>成交</w:t>
      </w:r>
      <w:r>
        <w:rPr>
          <w:rFonts w:hint="eastAsia" w:ascii="宋体" w:hAnsi="宋体" w:eastAsia="宋体" w:cs="宋体"/>
          <w:sz w:val="22"/>
          <w:szCs w:val="22"/>
          <w:highlight w:val="none"/>
        </w:rPr>
        <w:t>供应商数量： 1  个</w:t>
      </w:r>
    </w:p>
    <w:p>
      <w:pPr>
        <w:rPr>
          <w:rFonts w:hint="eastAsia" w:ascii="宋体" w:hAnsi="宋体" w:eastAsia="宋体" w:cs="宋体"/>
          <w:sz w:val="20"/>
          <w:szCs w:val="20"/>
          <w:highlight w:val="none"/>
        </w:rPr>
      </w:pPr>
    </w:p>
    <w:p>
      <w:pPr>
        <w:pStyle w:val="11"/>
        <w:rPr>
          <w:rFonts w:hint="eastAsia" w:ascii="宋体" w:hAnsi="宋体" w:eastAsia="宋体" w:cs="宋体"/>
          <w:highlight w:val="none"/>
        </w:rPr>
      </w:pPr>
    </w:p>
    <w:p>
      <w:pPr>
        <w:rPr>
          <w:rFonts w:hint="eastAsia" w:ascii="宋体" w:hAnsi="宋体" w:eastAsia="宋体" w:cs="宋体"/>
          <w:highlight w:val="none"/>
        </w:rPr>
      </w:pPr>
      <w:bookmarkStart w:id="24" w:name="_Toc15160"/>
      <w:bookmarkStart w:id="25" w:name="_Toc31669"/>
      <w:bookmarkStart w:id="26" w:name="_Toc11526"/>
      <w:r>
        <w:rPr>
          <w:rFonts w:hint="eastAsia" w:ascii="宋体" w:hAnsi="宋体" w:eastAsia="宋体" w:cs="宋体"/>
          <w:highlight w:val="none"/>
        </w:rPr>
        <w:br w:type="page"/>
      </w:r>
    </w:p>
    <w:p>
      <w:pPr>
        <w:pStyle w:val="3"/>
        <w:spacing w:line="402" w:lineRule="exact"/>
        <w:ind w:left="55" w:right="18"/>
        <w:jc w:val="center"/>
        <w:rPr>
          <w:rFonts w:hint="eastAsia" w:ascii="宋体" w:hAnsi="宋体" w:eastAsia="宋体" w:cs="宋体"/>
          <w:highlight w:val="none"/>
        </w:rPr>
      </w:pPr>
      <w:bookmarkStart w:id="27" w:name="_Toc25983"/>
      <w:r>
        <w:rPr>
          <w:rFonts w:hint="eastAsia" w:ascii="宋体" w:hAnsi="宋体" w:eastAsia="宋体" w:cs="宋体"/>
          <w:highlight w:val="none"/>
        </w:rPr>
        <w:t>一、说明</w:t>
      </w:r>
      <w:bookmarkEnd w:id="24"/>
      <w:bookmarkEnd w:id="25"/>
      <w:bookmarkEnd w:id="26"/>
      <w:bookmarkEnd w:id="27"/>
      <w:r>
        <w:rPr>
          <w:rFonts w:hint="eastAsia" w:ascii="宋体" w:hAnsi="宋体" w:eastAsia="宋体" w:cs="宋体"/>
          <w:w w:val="98"/>
          <w:highlight w:val="none"/>
        </w:rPr>
        <w:t xml:space="preserve"> </w:t>
      </w:r>
    </w:p>
    <w:p>
      <w:pPr>
        <w:rPr>
          <w:rFonts w:hint="eastAsia" w:ascii="宋体" w:hAnsi="宋体" w:eastAsia="宋体" w:cs="宋体"/>
          <w:highlight w:val="none"/>
        </w:rPr>
      </w:pP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适用范围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本比选文件仅适用于比选邀请中所叙述项目的采购。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定义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“采购单位”系指组织本次比选活动的采购人。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“采购人”系指本次本项目的业主方。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“项目咨询服务公司”系指协助采购人组织本次采购活动的厦门市招拍挂信息技术有限公司。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“响应供应商”系指购买了本比选文件，且已经提交或者准备提交本次响应文件的供货商或服务商。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合格的响应供应商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凡有能力提供本比选文件所述货物及服务的，符合本比选文件规定资格要求的境内供货商或服务商均可能成为合格的响应供应商。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 响应供应商应遵守中国的有关</w:t>
      </w:r>
      <w:r>
        <w:rPr>
          <w:rFonts w:hint="eastAsia" w:ascii="宋体" w:hAnsi="宋体" w:eastAsia="宋体" w:cs="宋体"/>
          <w:sz w:val="24"/>
          <w:szCs w:val="24"/>
          <w:highlight w:val="none"/>
          <w:lang w:eastAsia="zh-CN"/>
        </w:rPr>
        <w:t>法律法规</w:t>
      </w:r>
      <w:r>
        <w:rPr>
          <w:rFonts w:hint="eastAsia" w:ascii="宋体" w:hAnsi="宋体" w:eastAsia="宋体" w:cs="宋体"/>
          <w:sz w:val="24"/>
          <w:szCs w:val="24"/>
          <w:highlight w:val="none"/>
        </w:rPr>
        <w:t xml:space="preserve">和规章的规定。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一个响应供应商只能提交一个响应文件。如果响应供应商之间存在下列互为关联关系的情形之一的，不得同时参加本项目比选：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 法定代表人为同一人的两个及两个以上法人；</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 母公司及其直接或间接持股50％及以上的被投资公司；</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 均为同一家母公司直接或间接持股50％及以上的被投资公司。</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 单位负责人（董事长或总经理）为同一人的不同单位。</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3.4 响应供应商不得与本次采购项目设计、编制技术规格</w:t>
      </w:r>
      <w:r>
        <w:rPr>
          <w:rFonts w:hint="eastAsia" w:ascii="宋体" w:hAnsi="宋体" w:eastAsia="宋体" w:cs="宋体"/>
          <w:sz w:val="24"/>
          <w:szCs w:val="24"/>
          <w:highlight w:val="none"/>
          <w:lang w:eastAsia="zh-CN"/>
        </w:rPr>
        <w:t>和其他</w:t>
      </w:r>
      <w:r>
        <w:rPr>
          <w:rFonts w:hint="eastAsia" w:ascii="宋体" w:hAnsi="宋体" w:eastAsia="宋体" w:cs="宋体"/>
          <w:sz w:val="24"/>
          <w:szCs w:val="24"/>
          <w:highlight w:val="none"/>
        </w:rPr>
        <w:t xml:space="preserve">文件的公司或提供咨询服务的公司包括其附属机构有任何关联。对于信息系统建设项目，受托为整体采购项目或者其中分项目的前期工作提供设计、编制规范、进行管理等服务的供应商及其附属机构，不得再参加该整体采购项目及其所有分项目的采购活动。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本项目不接受联合体形式的报价。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响应供应商存在下列情形之一的，将被认定为串通围标行为并作无效报价处理：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不同响应供应商的响应文件错、漏之处一致或雷同，且不能合理解释的；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不同响应供应商的法定代表人、委托代理人等由同一单位缴纳社会保险的；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由同一人或分别由几个有利害关系的人携带两个以上（含两个）响应供应商的企 业资料参与资格审查、领取采购资料，或代表两个以上（含两个）响应供应商参加采购答疑会；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 有关</w:t>
      </w:r>
      <w:r>
        <w:rPr>
          <w:rFonts w:hint="eastAsia" w:ascii="宋体" w:hAnsi="宋体" w:eastAsia="宋体" w:cs="宋体"/>
          <w:sz w:val="24"/>
          <w:szCs w:val="24"/>
          <w:highlight w:val="none"/>
          <w:lang w:eastAsia="zh-CN"/>
        </w:rPr>
        <w:t>法律法规</w:t>
      </w:r>
      <w:r>
        <w:rPr>
          <w:rFonts w:hint="eastAsia" w:ascii="宋体" w:hAnsi="宋体" w:eastAsia="宋体" w:cs="宋体"/>
          <w:sz w:val="24"/>
          <w:szCs w:val="24"/>
          <w:highlight w:val="none"/>
        </w:rPr>
        <w:t xml:space="preserve">或规章规定的其他串通围标行为。 </w:t>
      </w:r>
    </w:p>
    <w:p>
      <w:pPr>
        <w:pStyle w:val="9"/>
        <w:spacing w:line="500" w:lineRule="exact"/>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 xml:space="preserve">4. 报价费用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 响应供应商自行承担其响应比选所涉及的一切费用。不论比选结果如何，“采购人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项目咨询服务公司”均无义务和责任承担这些费用。 </w:t>
      </w:r>
    </w:p>
    <w:p>
      <w:pPr>
        <w:pStyle w:val="9"/>
        <w:spacing w:line="500" w:lineRule="exact"/>
        <w:ind w:firstLine="479"/>
        <w:rPr>
          <w:rFonts w:hint="eastAsia" w:ascii="宋体" w:hAnsi="宋体" w:eastAsia="宋体" w:cs="宋体"/>
          <w:sz w:val="30"/>
          <w:szCs w:val="30"/>
          <w:highlight w:val="none"/>
        </w:rPr>
      </w:pPr>
      <w:r>
        <w:rPr>
          <w:rFonts w:hint="eastAsia" w:ascii="宋体" w:hAnsi="宋体" w:eastAsia="宋体" w:cs="宋体"/>
          <w:spacing w:val="-5"/>
          <w:sz w:val="24"/>
          <w:szCs w:val="24"/>
          <w:highlight w:val="none"/>
        </w:rPr>
        <w:t xml:space="preserve"> </w:t>
      </w:r>
    </w:p>
    <w:p>
      <w:pPr>
        <w:pStyle w:val="3"/>
        <w:spacing w:line="402" w:lineRule="exact"/>
        <w:ind w:left="55" w:right="18"/>
        <w:jc w:val="center"/>
        <w:rPr>
          <w:rFonts w:hint="eastAsia" w:ascii="宋体" w:hAnsi="宋体" w:eastAsia="宋体" w:cs="宋体"/>
          <w:sz w:val="43"/>
          <w:szCs w:val="43"/>
          <w:highlight w:val="none"/>
        </w:rPr>
      </w:pPr>
      <w:bookmarkStart w:id="28" w:name="_Toc10111"/>
      <w:bookmarkStart w:id="29" w:name="_Toc23763"/>
      <w:bookmarkStart w:id="30" w:name="_Toc1016"/>
      <w:bookmarkStart w:id="31" w:name="_Toc9196"/>
      <w:r>
        <w:rPr>
          <w:rFonts w:hint="eastAsia" w:ascii="宋体" w:hAnsi="宋体" w:eastAsia="宋体" w:cs="宋体"/>
          <w:highlight w:val="none"/>
        </w:rPr>
        <w:t>二、比选文件</w:t>
      </w:r>
      <w:bookmarkEnd w:id="28"/>
      <w:bookmarkEnd w:id="29"/>
      <w:bookmarkEnd w:id="30"/>
      <w:bookmarkEnd w:id="31"/>
      <w:r>
        <w:rPr>
          <w:rFonts w:hint="eastAsia" w:ascii="宋体" w:hAnsi="宋体" w:eastAsia="宋体" w:cs="宋体"/>
          <w:highlight w:val="none"/>
        </w:rPr>
        <w:t xml:space="preserve"> </w:t>
      </w:r>
    </w:p>
    <w:p>
      <w:pPr>
        <w:pStyle w:val="9"/>
        <w:spacing w:line="500" w:lineRule="exact"/>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 xml:space="preserve">5. 比选文件的组成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比选文件用以阐明所需货物及服务比选程序、内容和合同主要条款。比选文件由下述部分组成：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比选邀请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响应供应商须知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项目内容及要求 </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 合同参考文本</w:t>
      </w:r>
    </w:p>
    <w:p>
      <w:pPr>
        <w:pStyle w:val="9"/>
        <w:spacing w:line="500" w:lineRule="exact"/>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 响应文件格式</w:t>
      </w:r>
    </w:p>
    <w:p>
      <w:pPr>
        <w:pStyle w:val="9"/>
        <w:spacing w:line="500" w:lineRule="exact"/>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 xml:space="preserve">6. 比选文件的澄清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响应供应商对比选文件如有疑点，可要求澄清。要求澄清应按比选邀请中载明的时间、地址以书面的形式通知采购人。采购人将视情况在原采购信息发布媒体上发布更正公告。该澄清内容为比选文件的组成部分。 </w:t>
      </w:r>
    </w:p>
    <w:p>
      <w:pPr>
        <w:pStyle w:val="9"/>
        <w:spacing w:line="500" w:lineRule="exact"/>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 xml:space="preserve">7. 比选文件的修改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项目咨询服务公司根据采购人需求可主动或依响应供应商要求澄清的问题而修改比选文件，由采购人在原信息发布媒体上发布更正公告。该修改内容为比选文件的组成部分，对响应供应商具有约束力。响应供应商可查询相关网站内容也可向采购人索取书面修改文件。 响应供应商在收到该文件后应以书面形式予以确认，否则视为收悉。响应供应商编制响应文件时被视为已考虑了上述修改。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为使响应供应商在准备响应文件时有合理的时间考虑响应文件的修改，采购人可酌情推迟比选截止时间。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7.3 答疑文件、补充通知、修改通知将构成比选文件的一部分，对比选双方均有约束力；答疑文件、补充通知、修改通知与比选文件不一致的部分及内容以前者为准；答疑文件、补充通知、修改通知内容不一</w:t>
      </w:r>
      <w:r>
        <w:rPr>
          <w:rFonts w:hint="eastAsia" w:ascii="宋体" w:hAnsi="宋体" w:eastAsia="宋体" w:cs="宋体"/>
          <w:sz w:val="24"/>
          <w:szCs w:val="24"/>
          <w:highlight w:val="none"/>
          <w:lang w:eastAsia="zh-CN"/>
        </w:rPr>
        <w:t>致的</w:t>
      </w:r>
      <w:r>
        <w:rPr>
          <w:rFonts w:hint="eastAsia" w:ascii="宋体" w:hAnsi="宋体" w:eastAsia="宋体" w:cs="宋体"/>
          <w:sz w:val="24"/>
          <w:szCs w:val="24"/>
          <w:highlight w:val="none"/>
        </w:rPr>
        <w:t>，以最后一次发出的为准。</w:t>
      </w:r>
    </w:p>
    <w:p>
      <w:pPr>
        <w:rPr>
          <w:rFonts w:hint="eastAsia" w:ascii="宋体" w:hAnsi="宋体" w:eastAsia="宋体" w:cs="宋体"/>
          <w:highlight w:val="none"/>
        </w:rPr>
      </w:pPr>
    </w:p>
    <w:p>
      <w:pPr>
        <w:rPr>
          <w:rFonts w:hint="eastAsia" w:ascii="宋体" w:hAnsi="宋体" w:eastAsia="宋体" w:cs="宋体"/>
          <w:highlight w:val="none"/>
        </w:rPr>
      </w:pPr>
    </w:p>
    <w:p>
      <w:pPr>
        <w:pStyle w:val="3"/>
        <w:spacing w:line="402" w:lineRule="exact"/>
        <w:ind w:left="55" w:right="18"/>
        <w:jc w:val="center"/>
        <w:rPr>
          <w:rFonts w:hint="eastAsia" w:ascii="宋体" w:hAnsi="宋体" w:eastAsia="宋体" w:cs="宋体"/>
          <w:sz w:val="24"/>
          <w:szCs w:val="24"/>
          <w:highlight w:val="none"/>
        </w:rPr>
      </w:pPr>
      <w:bookmarkStart w:id="32" w:name="_Toc17659"/>
      <w:bookmarkStart w:id="33" w:name="_Toc5239"/>
      <w:bookmarkStart w:id="34" w:name="_Toc8793"/>
      <w:bookmarkStart w:id="35" w:name="_Toc8927"/>
      <w:r>
        <w:rPr>
          <w:rFonts w:hint="eastAsia" w:ascii="宋体" w:hAnsi="宋体" w:eastAsia="宋体" w:cs="宋体"/>
          <w:highlight w:val="none"/>
        </w:rPr>
        <w:t>三、响应文件的编写</w:t>
      </w:r>
      <w:bookmarkEnd w:id="32"/>
      <w:bookmarkEnd w:id="33"/>
      <w:bookmarkEnd w:id="34"/>
      <w:bookmarkEnd w:id="35"/>
      <w:r>
        <w:rPr>
          <w:rFonts w:hint="eastAsia" w:ascii="宋体" w:hAnsi="宋体" w:eastAsia="宋体" w:cs="宋体"/>
          <w:highlight w:val="none"/>
        </w:rPr>
        <w:t xml:space="preserve">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要求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响应供应商应仔细阅读比选文件的所有内容，按照比选文件的要求提交响应文件。响应文件应对比选文件的要求作出实质性响应，并保证所提供的全部资料的真实性，否则其报价将被拒绝。 </w:t>
      </w:r>
    </w:p>
    <w:p>
      <w:pPr>
        <w:spacing w:line="420" w:lineRule="exact"/>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8.2 除非有另外的规定，采购人不接受有任何可选择性的报价，每一种货物（或服务）只能有一个报价。</w:t>
      </w:r>
      <w:r>
        <w:rPr>
          <w:rFonts w:hint="eastAsia" w:ascii="宋体" w:hAnsi="宋体" w:eastAsia="宋体" w:cs="宋体"/>
          <w:b/>
          <w:sz w:val="24"/>
          <w:szCs w:val="24"/>
          <w:highlight w:val="none"/>
        </w:rPr>
        <w:t>响应文件中的大写金额与小写金额不一致的，将作为废标处理。</w:t>
      </w:r>
    </w:p>
    <w:p>
      <w:pPr>
        <w:spacing w:line="4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8.3 响应供应商提交的资格证明文件、响应价格构成文件和技术响应文件、商务响应文件都是比选小组进行评审的主要依据，响应供应商提供的资料尽可能详尽。</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响应文件语言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响应文件应用中文书写。响应文件中所附或所引用的原件不是中文时，应附中文译本。各种计量单位及符号应采用国际上统一使用的公制计量单位和符号。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响应文件的组成响应文件应包括但不限于本比选文件第四章《响应文件格式》的内容。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响应有效期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响应文件从响应供应商须知前附表所规定的响应截止期之后开始生效，在响应供应商须知前附表所规定的期限内保持有效。有效期不足将导致其响应文件被拒绝。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12.发生以下情形之一的，给采购单位造成损失的，相关责任人应当承担赔偿责任：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响应供应商在响应文件递交截止时间后，响应有效期内撤回的；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响应成交人未能按本须知第 22 条规定签订合同；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响应成交人未按响应供应商须知前附表规定缴纳咨询服务费用；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以他人名义参与报价或者以其他方式弄虚作假，骗取成交；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本比选文件中规定的其他情形。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响应文件的格式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13.1 响应供应商须编制由本须知第10条规定文件组成的响应文件正本壹份，副本贰份，正本必须用A4等标准幅面纸张打印装订（相关证明材料可以按比选文件要求直接使用有效的且加盖响应供应商公章的原件、复印件或资料彩页等），副本可以用正本的完整复印件，并在封面标明“正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副本”字样。正本与副本如有不一致，则以正本为准。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响应文件应由响应供应商的法定代表人或者其授权代表签字并加盖公章，如由后者签字，应提供“法定代表人授权委托书”。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除非有另外的规定或许可，报价使用货币为人民币。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响应供应商应提交证明其拟供货物（或服务）符合比选文件要求的技术响应文件，该文件可以是文字资料、图纸和数据，并须提供货物（或服务）主要技术性能的详细描述。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 响应文件的正本和全部副本均应使用不能擦去的墨料或墨水打印、书写或复印， 并由法定代表人或其授权代表签署，盖响应供应商公章。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全套响应文件应无涂改和行间插字，除非这些改动是根据采购人的指示进行的，或者是为改正响应供应商造成的必须修改的错误而进行的。有改动时，修改处应当由法定代表人或授权代表签字证明或加盖校正章或公章。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 未按本须知规定的格式填写响应文件、响应文件字迹模糊不清的，其报价将被拒绝。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13.8 响应供应商应将上述文件按顺序胶装或装订成册、打印页码，并编列响应文件目录、资料清单。由于装订不规范或编排顺序混乱而导致响应文件被误读或漏读，该响应供应商可能将因此承担不利的评审结果或该报价可能被视为无效报价。 </w:t>
      </w:r>
    </w:p>
    <w:p>
      <w:pPr>
        <w:pStyle w:val="10"/>
        <w:rPr>
          <w:rFonts w:hint="eastAsia" w:ascii="宋体" w:hAnsi="宋体" w:eastAsia="宋体" w:cs="宋体"/>
          <w:sz w:val="24"/>
          <w:szCs w:val="24"/>
          <w:highlight w:val="none"/>
        </w:rPr>
      </w:pPr>
    </w:p>
    <w:p>
      <w:pPr>
        <w:pStyle w:val="3"/>
        <w:numPr>
          <w:ilvl w:val="0"/>
          <w:numId w:val="9"/>
        </w:numPr>
        <w:spacing w:line="402" w:lineRule="exact"/>
        <w:ind w:left="55" w:right="18"/>
        <w:jc w:val="center"/>
        <w:rPr>
          <w:rFonts w:hint="eastAsia" w:ascii="宋体" w:hAnsi="宋体" w:eastAsia="宋体" w:cs="宋体"/>
          <w:highlight w:val="none"/>
        </w:rPr>
      </w:pPr>
      <w:bookmarkStart w:id="36" w:name="_Toc25938"/>
      <w:bookmarkStart w:id="37" w:name="_Toc14827"/>
      <w:bookmarkStart w:id="38" w:name="_Toc11734"/>
      <w:bookmarkStart w:id="39" w:name="_Toc3970"/>
      <w:r>
        <w:rPr>
          <w:rFonts w:hint="eastAsia" w:ascii="宋体" w:hAnsi="宋体" w:eastAsia="宋体" w:cs="宋体"/>
          <w:highlight w:val="none"/>
        </w:rPr>
        <w:t>响应文件的提交</w:t>
      </w:r>
      <w:bookmarkEnd w:id="36"/>
      <w:bookmarkEnd w:id="37"/>
      <w:bookmarkEnd w:id="38"/>
      <w:bookmarkEnd w:id="39"/>
    </w:p>
    <w:p>
      <w:pPr>
        <w:rPr>
          <w:rFonts w:hint="eastAsia" w:ascii="宋体" w:hAnsi="宋体" w:eastAsia="宋体" w:cs="宋体"/>
          <w:highlight w:val="none"/>
        </w:rPr>
      </w:pP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响应文件的密封、标记和递交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响应供应商应将响应文件正本和全部副本分别用信封密封，并标明项目编号、 响应供应商名称、货物名称及“正本”或“副本”字样。响应文件未密封将导致其报价被拒绝。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每一信封密封处应注明“于XX之前（指比选邀请中规定的报价日期及时间）不准启封”的字样，并加盖响应供应商公章或由报价代表签字。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14.3 如果响应文件由邮局或专人送交，响应供应商应将响应文件按照本须知第14.1</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条至第 14.2 条的规定进行密封和标记后，按响应供应商须知前附表注明的地址送至接收 人。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如果未按上述规定进行密封和标记，采购人及项目咨询服务公司将不承担由此造成的对响应文件的误投或提前拆封的责任。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14.5 响应文件应在比选邀请中规定的截止时间前送达，迟到的响应文件为无效报价 文件，将被拒收。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 响应供应商在报价截止时间前，可以对所提交的响应文件进行修改或者撤回， 并书面通知采购人。修改的内容和撤回通知应当按本须知要求签署、盖章、密封， 并作为响应文件的组成部分。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14.7 响应供应商在递交响应文件截止时间后不得修改、撤回响应文件。响应供应商在递交响应文件截止时间后修改响应文件的，其比选响应将被拒绝。</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14.8 递交响应文件截止时间结束后递交响应文件的响应供应商不足3家的，本次比选程序终止，除采购任务取消情形外，采购单位将按规定重新组织采购或者采取其他方式采购。</w:t>
      </w:r>
    </w:p>
    <w:p>
      <w:pPr>
        <w:rPr>
          <w:rFonts w:hint="eastAsia" w:ascii="宋体" w:hAnsi="宋体" w:eastAsia="宋体" w:cs="宋体"/>
          <w:highlight w:val="none"/>
        </w:rPr>
      </w:pPr>
    </w:p>
    <w:p>
      <w:pPr>
        <w:pStyle w:val="3"/>
        <w:spacing w:line="402" w:lineRule="exact"/>
        <w:ind w:left="55" w:right="18"/>
        <w:jc w:val="center"/>
        <w:rPr>
          <w:rFonts w:hint="eastAsia" w:ascii="宋体" w:hAnsi="宋体" w:eastAsia="宋体" w:cs="宋体"/>
          <w:highlight w:val="none"/>
        </w:rPr>
      </w:pPr>
      <w:bookmarkStart w:id="40" w:name="_Toc10728"/>
      <w:bookmarkStart w:id="41" w:name="_Toc4620"/>
      <w:bookmarkStart w:id="42" w:name="_Toc4736"/>
      <w:bookmarkStart w:id="43" w:name="_Toc25590"/>
      <w:r>
        <w:rPr>
          <w:rFonts w:hint="eastAsia" w:ascii="宋体" w:hAnsi="宋体" w:eastAsia="宋体" w:cs="宋体"/>
          <w:highlight w:val="none"/>
        </w:rPr>
        <w:t>五、响应文件的评估和比较</w:t>
      </w:r>
      <w:bookmarkEnd w:id="40"/>
      <w:bookmarkEnd w:id="41"/>
      <w:bookmarkEnd w:id="42"/>
      <w:bookmarkEnd w:id="43"/>
      <w:r>
        <w:rPr>
          <w:rFonts w:hint="eastAsia" w:ascii="宋体" w:hAnsi="宋体" w:eastAsia="宋体" w:cs="宋体"/>
          <w:highlight w:val="none"/>
        </w:rPr>
        <w:t xml:space="preserve"> </w:t>
      </w:r>
    </w:p>
    <w:p>
      <w:pPr>
        <w:rPr>
          <w:rFonts w:hint="eastAsia" w:ascii="宋体" w:hAnsi="宋体" w:eastAsia="宋体" w:cs="宋体"/>
          <w:highlight w:val="none"/>
        </w:rPr>
      </w:pP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评审时间 </w:t>
      </w:r>
    </w:p>
    <w:p>
      <w:pPr>
        <w:pStyle w:val="9"/>
        <w:spacing w:line="500" w:lineRule="exact"/>
        <w:ind w:firstLine="480" w:firstLineChars="200"/>
        <w:jc w:val="left"/>
        <w:rPr>
          <w:rFonts w:hint="eastAsia" w:ascii="宋体" w:hAnsi="宋体" w:eastAsia="宋体" w:cs="宋体"/>
          <w:highlight w:val="none"/>
        </w:rPr>
      </w:pPr>
      <w:r>
        <w:rPr>
          <w:rFonts w:hint="eastAsia" w:ascii="宋体" w:hAnsi="宋体" w:eastAsia="宋体" w:cs="宋体"/>
          <w:sz w:val="24"/>
          <w:szCs w:val="24"/>
          <w:highlight w:val="none"/>
        </w:rPr>
        <w:t xml:space="preserve">15.1 在响应供应商须知前附表中所规定的时间、地点评审（如有推迟情形，以推迟后的时间、地点为准）。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比选小组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比选小组由技术、经济、法律方面的专家和采购人代表组成。成员为 </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人以上单数组成，专家人数不能少于 2/3。在比选文件递交时间后及时成立比选小组，由比选小组对采购文件、各响应供应商的响应文件进行审查、质疑、评估和比较，并做出推荐报价成交人的建议。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 响应文件的初审</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对所有响应供应商的评估，都采用相同的程序和标准。评议过程将严格按照比选文件的要求和条件进行。</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有关响应文件的审查、澄清、评估和比较以及推荐中选供应商候选人的一切情况都不得透露给任一响应供应商或与上述评审工作无关的人员。</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响应供应商任何试图影响采购人、项目咨询公司以及比选小组对响应文件的审查、评估、比较或者推荐候选人的行为，都将导致其响应被拒绝，并被没收响应保证金。</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17.1 资格性检查。依据法律法规和比选文件的规定，在对响应文件详细评估之前，比选小组将依据响应供应商提交的响应文件按响应供应商须知前附表 2 所述的资格性要求对响应供应商进行资格审查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以确定其是否具备响应资格。如果响应供应商不具备响应资格，不满足比选文件所规定的资格标准或提供资格证明文件不全的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其响应将被拒绝。</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对于通过资格性审查的响应文件，比选小组将对其进行符合性审查，以确定响应文件是否完整、有无计算上的错误、是否提交了响应保证金、文件是否已正确签署。</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17.2 符合性检查。依据比选文件的规定，比选小组将从响应文件的有效性、完整性和对比选文件的响应程度进行审查，以确定其是否符合对比选文件的实质性要求作出响应（采购人可根据具体项目的情况对实质性要求作特别的规定。）实质性偏离是指：（1）实质性影响合同的范围、质量和履行；（2）实质性违背比选文件，限制了采购人的权利和中选</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合同项下的义务；（3）不公正地影响了其他作出实质性响应的响应供应商的竞争地位。对没有实质性响应的响应文件将不进行评估，其响应将被拒绝。</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凡有下列情况之一者，响应文件将被视为未实质性响应比选文件要求（即无效响应）：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 响应文件未按比选文件要求提交</w:t>
      </w:r>
      <w:r>
        <w:rPr>
          <w:rFonts w:hint="eastAsia" w:ascii="宋体" w:hAnsi="宋体" w:eastAsia="宋体" w:cs="宋体"/>
          <w:sz w:val="24"/>
          <w:szCs w:val="24"/>
          <w:highlight w:val="none"/>
          <w:lang w:eastAsia="zh-CN"/>
        </w:rPr>
        <w:t>必需</w:t>
      </w:r>
      <w:r>
        <w:rPr>
          <w:rFonts w:hint="eastAsia" w:ascii="宋体" w:hAnsi="宋体" w:eastAsia="宋体" w:cs="宋体"/>
          <w:sz w:val="24"/>
          <w:szCs w:val="24"/>
          <w:highlight w:val="none"/>
        </w:rPr>
        <w:t xml:space="preserve">材料的；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响应文件未按照本须知的规定进行密封、标记的；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响应文件未按规定由响应供应商的法定代表人或其授权代表签字；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非法定代表人的签字人未在响应文件中提供经法定代表人签字并加盖响应供应商公章的有效授权委托书的；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响应文件主要内容（如响应文件、报价一览表等）未加盖响应供应商公章；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响应供应商的报价有效期不满足比选文件要求的；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响应文件内容与采购内容及要求有重大偏离或保留的；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响应供应商提交的是可选择的报价；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响应供应商未按规定进行分项报价；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（10）响应供应商提交的最终报价超过采购预算或控制价；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（11）响应供应商报价明显低于成本价的且不能合理说明或不在规定时间内作说明的；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（12）响应文件中提供虚假或失实资料的；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（13）响应文件不符合比选文件中规定</w:t>
      </w:r>
      <w:r>
        <w:rPr>
          <w:rFonts w:hint="eastAsia" w:ascii="宋体" w:hAnsi="宋体" w:eastAsia="宋体" w:cs="宋体"/>
          <w:sz w:val="24"/>
          <w:szCs w:val="24"/>
          <w:highlight w:val="none"/>
          <w:lang w:eastAsia="zh-CN"/>
        </w:rPr>
        <w:t>的其他</w:t>
      </w:r>
      <w:r>
        <w:rPr>
          <w:rFonts w:hint="eastAsia" w:ascii="宋体" w:hAnsi="宋体" w:eastAsia="宋体" w:cs="宋体"/>
          <w:sz w:val="24"/>
          <w:szCs w:val="24"/>
          <w:highlight w:val="none"/>
        </w:rPr>
        <w:t xml:space="preserve">实质性条款（如不满足保修期、供货期要求等）；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（14）响应文件不满足比选文件中带★条款要求的；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（15）响应供应商的技术、商务报价方面明显复制比选文件要求的；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（16）采购人根据具体项目的情况</w:t>
      </w:r>
      <w:r>
        <w:rPr>
          <w:rFonts w:hint="eastAsia" w:ascii="宋体" w:hAnsi="宋体" w:eastAsia="宋体" w:cs="宋体"/>
          <w:sz w:val="24"/>
          <w:szCs w:val="24"/>
          <w:highlight w:val="none"/>
          <w:lang w:eastAsia="zh-CN"/>
        </w:rPr>
        <w:t>对</w:t>
      </w:r>
      <w:r>
        <w:rPr>
          <w:rFonts w:hint="eastAsia" w:ascii="宋体" w:hAnsi="宋体" w:eastAsia="宋体" w:cs="宋体"/>
          <w:sz w:val="24"/>
          <w:szCs w:val="24"/>
          <w:highlight w:val="none"/>
        </w:rPr>
        <w:t xml:space="preserve">实质性要求作特别的规定。 比选小组决定比选的响应性只根据响应文件本身的内容，而不寻求其他的外部证据。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符合性检查的具体内容详见 响应供应商须知前附表 2: 资格性、符合性检查表。</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比选小组决定供应商的响应性只根据响应文件本身的内容，而不寻求其他外部证据。</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18.响应文件的澄清</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18.1 对响应文件中含义不明确、同类问题表述不一致或者有明显文字和计算错误的内容，比选小组可以书面形式要求响应供应商作出必要的澄清、说明或者纠正。响应供应商的澄清、说明或者补正应当在比选小组规定的时间内以书面形式作出，由其法定代表人（单位负责人）或者授权代表签字，并不得超出响应文件的范围或者改变响应文件的实质性内容。</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 比较与评价</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19.1 比选小组将按响应供应商须知前附表 3 所述评审方法与标准，对资格性检查和符合性检查合格的响应文件进行商务和技术评估，综合比较与评价。</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19.2 对漏（缺）报项的处理：比选文件中要求列入报价的费用（含配置、功能），漏（缺）报的视同已含在响应总价中。但在评审时取有效响应供应商该项最高报价加入漏（缺）报人的评审价进行评审。对多报项及赠送项的价格评审时不予核减，全部进入评审价评议。</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19.3 比选小组认为响应供应商的报价明显低于其他通过符合性审查响应供应商的报价，有可能影响产品质量或者不能诚信履约的，应当要求其在评审现场合理的时间内提供书面说明，必要时提交相关证明材料；响应供应商不能证明其报价合理性的，比选小组应当将其作为无效响应处理。</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19.4 比选小组将按比较与评价最优在先原则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排列评价顺序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根据在响应供应商须知前附表 3 中确定的中选供应商候选人数量推荐出中选供应商候选人。</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19.5 在评审期间，若出现符合本须知规定的所有响应条件的响应供应商不足三家情形的，本次比选程序终止，除采购任务取消情形外，采购单位将依法重新组织采购或者采取其他方式采购。</w:t>
      </w:r>
    </w:p>
    <w:p>
      <w:pPr>
        <w:rPr>
          <w:rFonts w:hint="eastAsia" w:ascii="宋体" w:hAnsi="宋体" w:eastAsia="宋体" w:cs="宋体"/>
          <w:highlight w:val="none"/>
        </w:rPr>
      </w:pPr>
    </w:p>
    <w:p>
      <w:pPr>
        <w:pStyle w:val="3"/>
        <w:spacing w:line="402" w:lineRule="exact"/>
        <w:ind w:left="55" w:right="18"/>
        <w:jc w:val="center"/>
        <w:rPr>
          <w:rFonts w:hint="eastAsia" w:ascii="宋体" w:hAnsi="宋体" w:eastAsia="宋体" w:cs="宋体"/>
          <w:highlight w:val="none"/>
        </w:rPr>
      </w:pPr>
      <w:bookmarkStart w:id="44" w:name="_Toc19036"/>
      <w:bookmarkStart w:id="45" w:name="_Toc1171"/>
      <w:bookmarkStart w:id="46" w:name="_Toc1010"/>
      <w:bookmarkStart w:id="47" w:name="_Toc16584"/>
      <w:r>
        <w:rPr>
          <w:rFonts w:hint="eastAsia" w:ascii="宋体" w:hAnsi="宋体" w:eastAsia="宋体" w:cs="宋体"/>
          <w:highlight w:val="none"/>
        </w:rPr>
        <w:t>六、成交与签订合同</w:t>
      </w:r>
      <w:bookmarkEnd w:id="44"/>
      <w:bookmarkEnd w:id="45"/>
      <w:bookmarkEnd w:id="46"/>
      <w:bookmarkEnd w:id="47"/>
      <w:r>
        <w:rPr>
          <w:rFonts w:hint="eastAsia" w:ascii="宋体" w:hAnsi="宋体" w:eastAsia="宋体" w:cs="宋体"/>
          <w:highlight w:val="none"/>
        </w:rPr>
        <w:t xml:space="preserve"> </w:t>
      </w:r>
    </w:p>
    <w:p>
      <w:pPr>
        <w:rPr>
          <w:rFonts w:hint="eastAsia" w:ascii="宋体" w:hAnsi="宋体" w:eastAsia="宋体" w:cs="宋体"/>
          <w:highlight w:val="none"/>
        </w:rPr>
      </w:pP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成交准则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最低报价不作为中选供应商的保证。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 推荐情况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20.2.1 响应供应商的响应文件符合比选文件要求，按比选文件确定评审方法、标准， 经比选小组评审并推荐成交候选供应商。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20.2.2 出现响应供应商有串通哄抬价格嫌疑，或出现影响采购公正的违法、违规行为，或因重大变故采购任务取消的，比选小组可以作出不予推荐成交候选供应商、比选失败的决定。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 评审结束后，项目咨询服务公司在五个工作日内将评审报告送采购人。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20.4 采购人在收到评审报告后五个工作日内，按照评审报告中推荐的成交候选人顺 序确定拟报价成交人。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20.4.1 采购人可以要求拟报价成交人候选人提供响应文件中复印件的原件（由项目咨询单位协助）进行核对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以及审查拟报价成交人候选人的响应供应商资格、信誉、生产条件、产品技术状态、性能以及在不违背相关法律法规规定</w:t>
      </w:r>
      <w:r>
        <w:rPr>
          <w:rFonts w:hint="eastAsia" w:ascii="宋体" w:hAnsi="宋体" w:eastAsia="宋体" w:cs="宋体"/>
          <w:sz w:val="24"/>
          <w:szCs w:val="24"/>
          <w:highlight w:val="none"/>
          <w:lang w:eastAsia="zh-CN"/>
        </w:rPr>
        <w:t>的其他</w:t>
      </w:r>
      <w:r>
        <w:rPr>
          <w:rFonts w:hint="eastAsia" w:ascii="宋体" w:hAnsi="宋体" w:eastAsia="宋体" w:cs="宋体"/>
          <w:sz w:val="24"/>
          <w:szCs w:val="24"/>
          <w:highlight w:val="none"/>
        </w:rPr>
        <w:t xml:space="preserve">采购人认为有必要了解的问题。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20.4.2 接受质询的成交候选人必须如实回答询问或接受采购人的考察，并提供所需</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的有关资料。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20.4.3 如果成交候选人未在成交通知书发出后的 5 个工作日内配合采购人办理 20.4.1款项的内容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或无能力履行合同，其报价将被拒绝，采购人将对递补下一成交候选人做类似审查， 并将审查结果报比选小组讨论或上报采购主管部门按相关规定处理。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成交通知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结果确认后，项目咨询公司向报价成交人发出成交通知书。成交通知书对采购人和报价成交人具有同等法律效力。成交通知书发出后，采购人改变成交结果，或者报价成交人放弃成交，应当承担相应的法律责任。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响应供应商对成交结果有异议的，应当在获悉成交信息之日（</w:t>
      </w:r>
      <w:r>
        <w:rPr>
          <w:rFonts w:hint="eastAsia" w:ascii="宋体" w:hAnsi="宋体" w:eastAsia="宋体" w:cs="宋体"/>
          <w:b/>
          <w:bCs/>
          <w:sz w:val="24"/>
          <w:szCs w:val="24"/>
          <w:highlight w:val="none"/>
        </w:rPr>
        <w:t>接到项目咨询公司逐一通知成交信息之日起</w:t>
      </w:r>
      <w:r>
        <w:rPr>
          <w:rFonts w:hint="eastAsia" w:ascii="宋体" w:hAnsi="宋体" w:eastAsia="宋体" w:cs="宋体"/>
          <w:sz w:val="24"/>
          <w:szCs w:val="24"/>
          <w:highlight w:val="none"/>
        </w:rPr>
        <w:t xml:space="preserve">）起 7 个工作日内，以书面形式向采购人提出质疑。采购人、项目咨询服务公司应当在收到响应供应商书面质疑后 7 个工作日内，对质疑内容作出答复。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供应商对采购人、项目咨询服务公司的答复不满意或者采购人、项目咨询服务公司未在规定时间内答复的，可以在答复期满后15个工作日内书面向采购人提出投诉。响应供应商未在上述规定的时间内提出质疑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其提出质疑将被拒绝。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项目咨询服务公司依据成交结果向成交供应商发出成交通知，同时向所有参与报价的未成交供应商发出落标通知。书面通知需自行到项目咨询公司领取或联系邮寄等。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 《成交通知书》将作为签订采购合同的依据。采购合同签订后，《成交通知书》 成为合同的一部分。 </w:t>
      </w: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签订合同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采购人、报价成交人应当在《成交通知书》发出之日起10个工作日内，根据比选文件确定的事项和报价成交人响应文件，签订合同。双方所签订的合同不得对询价文件和报价成交人响应文件作实质性修改。逾期未签订合同，按照有关法律规定承担相应的法律责任。属报价成交人责任的，需承担对采购人造成的损失赔偿。 </w:t>
      </w:r>
    </w:p>
    <w:p>
      <w:pPr>
        <w:pStyle w:val="9"/>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比选文件、比选文件的修改文件、报价成交人的响应文件、补充或修改的文件及澄清等，均为双方签订采购合同的组成部分，并与合同一并作为本比选文件所列采购项目的互补性法律文件，与合同具有同等法律效力。 </w:t>
      </w:r>
    </w:p>
    <w:p>
      <w:pPr>
        <w:rPr>
          <w:rFonts w:hint="eastAsia" w:ascii="宋体" w:hAnsi="宋体" w:eastAsia="宋体" w:cs="宋体"/>
          <w:highlight w:val="none"/>
        </w:rPr>
      </w:pPr>
      <w:r>
        <w:rPr>
          <w:rFonts w:hint="eastAsia" w:ascii="宋体" w:hAnsi="宋体" w:eastAsia="宋体" w:cs="宋体"/>
          <w:highlight w:val="none"/>
        </w:rPr>
        <w:br w:type="page"/>
      </w:r>
    </w:p>
    <w:p>
      <w:pPr>
        <w:pStyle w:val="2"/>
        <w:rPr>
          <w:rFonts w:hint="eastAsia" w:ascii="宋体" w:hAnsi="宋体" w:eastAsia="宋体" w:cs="宋体"/>
          <w:highlight w:val="none"/>
        </w:rPr>
        <w:sectPr>
          <w:pgSz w:w="11910" w:h="16850"/>
          <w:pgMar w:top="1380" w:right="1020" w:bottom="1160" w:left="1480" w:header="0" w:footer="980" w:gutter="0"/>
          <w:cols w:space="720" w:num="1"/>
        </w:sectPr>
      </w:pPr>
    </w:p>
    <w:p>
      <w:pPr>
        <w:pStyle w:val="2"/>
        <w:spacing w:before="0" w:after="0" w:line="360" w:lineRule="auto"/>
        <w:jc w:val="center"/>
        <w:rPr>
          <w:rFonts w:hint="eastAsia" w:ascii="宋体" w:hAnsi="宋体" w:eastAsia="宋体" w:cs="宋体"/>
          <w:sz w:val="24"/>
          <w:szCs w:val="24"/>
          <w:highlight w:val="none"/>
        </w:rPr>
      </w:pPr>
      <w:bookmarkStart w:id="48" w:name="_Toc3685"/>
      <w:bookmarkStart w:id="49" w:name="_Toc29841"/>
      <w:bookmarkStart w:id="50" w:name="_Toc28122"/>
      <w:bookmarkStart w:id="51" w:name="_Toc8807"/>
      <w:r>
        <w:rPr>
          <w:rFonts w:hint="eastAsia" w:ascii="宋体" w:hAnsi="宋体" w:eastAsia="宋体" w:cs="宋体"/>
          <w:b/>
          <w:bCs/>
          <w:sz w:val="36"/>
          <w:szCs w:val="36"/>
          <w:highlight w:val="none"/>
        </w:rPr>
        <w:t>第三章 项目内容及要求</w:t>
      </w:r>
      <w:bookmarkEnd w:id="48"/>
      <w:bookmarkEnd w:id="49"/>
      <w:bookmarkEnd w:id="50"/>
      <w:bookmarkEnd w:id="51"/>
      <w:r>
        <w:rPr>
          <w:rFonts w:hint="eastAsia" w:ascii="宋体" w:hAnsi="宋体" w:eastAsia="宋体" w:cs="宋体"/>
          <w:b/>
          <w:bCs/>
          <w:sz w:val="36"/>
          <w:szCs w:val="36"/>
          <w:highlight w:val="none"/>
        </w:rPr>
        <w:t xml:space="preserve"> </w:t>
      </w:r>
    </w:p>
    <w:p>
      <w:pPr>
        <w:pStyle w:val="3"/>
        <w:spacing w:line="402" w:lineRule="exact"/>
        <w:jc w:val="left"/>
        <w:rPr>
          <w:rFonts w:hint="eastAsia" w:ascii="宋体" w:hAnsi="宋体" w:eastAsia="宋体" w:cs="宋体"/>
          <w:sz w:val="28"/>
          <w:szCs w:val="28"/>
          <w:highlight w:val="none"/>
        </w:rPr>
      </w:pPr>
      <w:bookmarkStart w:id="52" w:name="_Toc16907"/>
      <w:bookmarkStart w:id="53" w:name="_Toc30511"/>
      <w:bookmarkStart w:id="54" w:name="_Toc29764"/>
      <w:r>
        <w:rPr>
          <w:rFonts w:hint="eastAsia" w:ascii="宋体" w:hAnsi="宋体" w:eastAsia="宋体" w:cs="宋体"/>
          <w:sz w:val="28"/>
          <w:szCs w:val="28"/>
          <w:highlight w:val="none"/>
        </w:rPr>
        <w:t>一、项目</w:t>
      </w:r>
      <w:bookmarkEnd w:id="52"/>
      <w:bookmarkEnd w:id="53"/>
      <w:r>
        <w:rPr>
          <w:rFonts w:hint="eastAsia" w:ascii="宋体" w:hAnsi="宋体" w:eastAsia="宋体" w:cs="宋体"/>
          <w:sz w:val="28"/>
          <w:szCs w:val="28"/>
          <w:highlight w:val="none"/>
        </w:rPr>
        <w:t>概况</w:t>
      </w:r>
      <w:bookmarkEnd w:id="54"/>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本项目为中华人民共和国高崎出入境边防检查站</w:t>
      </w:r>
      <w:r>
        <w:rPr>
          <w:rFonts w:hint="eastAsia" w:ascii="宋体" w:hAnsi="宋体" w:eastAsia="宋体" w:cs="宋体"/>
          <w:sz w:val="22"/>
          <w:szCs w:val="22"/>
          <w:highlight w:val="none"/>
          <w:lang w:eastAsia="zh-CN"/>
        </w:rPr>
        <w:t>机房核心设备及配套软件维保服务项目</w:t>
      </w:r>
      <w:r>
        <w:rPr>
          <w:rFonts w:hint="eastAsia" w:ascii="宋体" w:hAnsi="宋体" w:eastAsia="宋体" w:cs="宋体"/>
          <w:sz w:val="22"/>
          <w:szCs w:val="22"/>
          <w:highlight w:val="none"/>
        </w:rPr>
        <w:t>，为加强机房设备的维护管理，提升机房设备运行的安全性和可靠性，确保机关及各执勤现场机房设备稳定运行，拟通过比选方式确定一家维护服务单位，维保服务期1年。主要内容包括不间断电源、精密空调、消防系统、服务器、存储、网络等核心设备及配套软件的定期巡检，系统故障响应处置，免费运维培训等。</w:t>
      </w:r>
      <w:bookmarkStart w:id="55" w:name="_Toc17875"/>
      <w:bookmarkStart w:id="56" w:name="_Toc13981"/>
    </w:p>
    <w:p>
      <w:pPr>
        <w:pStyle w:val="10"/>
        <w:rPr>
          <w:rFonts w:hint="eastAsia" w:ascii="宋体" w:hAnsi="宋体" w:eastAsia="宋体" w:cs="宋体"/>
          <w:highlight w:val="none"/>
        </w:rPr>
      </w:pPr>
    </w:p>
    <w:p>
      <w:pPr>
        <w:pStyle w:val="3"/>
        <w:spacing w:line="402" w:lineRule="exact"/>
        <w:jc w:val="left"/>
        <w:rPr>
          <w:rFonts w:hint="eastAsia" w:ascii="宋体" w:hAnsi="宋体" w:eastAsia="宋体" w:cs="宋体"/>
          <w:sz w:val="22"/>
          <w:szCs w:val="22"/>
          <w:highlight w:val="none"/>
        </w:rPr>
      </w:pPr>
      <w:bookmarkStart w:id="57" w:name="_Toc6642"/>
      <w:r>
        <w:rPr>
          <w:rFonts w:hint="eastAsia" w:ascii="宋体" w:hAnsi="宋体" w:eastAsia="宋体" w:cs="宋体"/>
          <w:sz w:val="28"/>
          <w:szCs w:val="28"/>
          <w:highlight w:val="none"/>
        </w:rPr>
        <w:t>二、项目需求描述</w:t>
      </w:r>
      <w:bookmarkEnd w:id="57"/>
    </w:p>
    <w:p>
      <w:pPr>
        <w:pStyle w:val="9"/>
        <w:spacing w:before="120" w:beforeLines="50" w:line="500" w:lineRule="exact"/>
        <w:ind w:firstLine="442" w:firstLineChars="20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1.维保服务范围</w:t>
      </w:r>
    </w:p>
    <w:tbl>
      <w:tblPr>
        <w:tblStyle w:val="2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1"/>
        <w:gridCol w:w="3314"/>
        <w:gridCol w:w="3107"/>
        <w:gridCol w:w="26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设备型号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设备用途</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设备位置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macrosan MS2000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梅沙应用服务器存储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RH5885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RH5885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存储 OCEANSTOROCEANSTOR 5500V3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存储 OCEANSTOROCEANSTOR 5500V3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RH2288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IBM 3650M4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DELL 5510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DELL 5510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RH5885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RH2288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H3C R4900 G3 8SFF</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服务器 H3C R4900 G3 8SFF</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深信服 VDS-R-5050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办公网云桌面服务器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IBM System x3650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梅沙FTP服务器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IBM System x3650 M4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中转服务器2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IAPI服务器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新FTP服务器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执法记录仪服务器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OceanStor 5300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执法记录仪管理系统存储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5300V5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执法记录仪管理系统存储拓展柜</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DATAPP备份一体机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数据备份一体机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网御星云 TD2000-YC-18C</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入侵检测系统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绿盟NSFOCUS堡垒机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办公网堡垒机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网御星云POWER-V2230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互联网防火墙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北塔E100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中转网北塔系统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VZ04011003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VZ04011003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OceanStor 5300 V5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虚拟化存储1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OceanStor 5300 V5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虚拟化存储2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虚拟化服务器1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虚拟化服务器2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虚拟化服务器3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虚拟化服务器4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虚拟化服务器5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中转网服务器1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中转网服务器2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OceanStor 5300 V5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中转网存储1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RH2288H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互联网服务器旧</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RH2288H V5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互联网服务器新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IBM System x3250 M3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应用服务器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RH2288H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中转服务器1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辅助合核验服务器虚拟化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辅助合核验服务器虚拟化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监控网核心交换机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监控网核心交换机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S5700-28C-EI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入境双号交换机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高崎机场一楼入境机柜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S5700-28C-EI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入境单号交换机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高崎机场一楼入境机柜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 xml:space="preserve">华为交换机 </w:t>
            </w:r>
            <w:r>
              <w:rPr>
                <w:rStyle w:val="46"/>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S5720-52P-SI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入境公安网交换机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高崎机场一楼入境机柜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H3C交换机 S7503E-S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二楼区域公安网交换机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高崎机场二楼机柜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S5700-28C-EI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二楼区域梅沙网交换机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高崎机场二楼机柜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华为交换机S5700-28C-EI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三楼区域梅沙网交换机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高崎机场三楼机柜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VZ04011003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高崎站部办公楼6楼机房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OceanStor 5300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平台存储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五通三楼A机房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监控网核心交换机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五通三楼A机房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联想 system x3650 M5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应用服务器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联想 system x3650 M5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应用服务器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OA服务器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IBM system x3650 M3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网站服务器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DELL PowerEdge R710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技术FTP/梅沙虚拟机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IBM system x3650 M2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公用FTP/DNS服务器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公安网核查比对服务器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RH5885H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面相比对服务器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执法记录仪采集服务器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IBM system x3650 M3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旅客信息系统服务器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网御星云POWER-V2230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互联网防火墙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VZ04365001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VZ04365001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联想 system x3650 M5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邮轮场地服务器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S5720-52X-SI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扩建机房梅沙交换机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邮轮中心扩建机房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89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网御星云POWER-V2230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监控网防火墙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H3C交换机 S7506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站部公安网核心交换机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站部办公楼6楼机房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S5730-68C-SI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站部公安网接入交换机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站部办公楼6楼机房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华为交换机 S5720-52X-SI</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培训楼公安网接入交换机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站部培训楼2楼机房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伊顿9355-40-N-O-MBS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松下LC-PH12320ST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UPS电池（72节）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伊顿9355-40-N-O-MBS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松下LC-PH12320ST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UPS电池（72节）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华为UPS2000-G-20KRTL</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高崎机场二楼机房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高崎机场二楼机房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华为UPS2000-G-20KRTL</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高崎站部办公楼7楼UPS间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UPS电池（64节）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高崎站部办公楼7楼UPS间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CASTLE 3C15KS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CASTLE 3C15KS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佳力图 MEAD702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精密空调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佳力图 MEAD702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精密空调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消防系统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包含火灾自动报警系统、气体灭火系统、管网系统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系统设备故障响应</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7*24小时响应，接到通知后2小时到达现场处理，故障12小时内不能排除应立即提供替代方案或不低于原设备档次的替代备件。交换机、UPS主机和精密空调硬件故障由维护服务提供商负责维修并承担维修费用。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系统设备巡检要求</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每月1次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运维培训要求</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免费HCIA、VMware、Oracle、Linux等相关软件基础培训</w:t>
            </w:r>
          </w:p>
        </w:tc>
      </w:tr>
    </w:tbl>
    <w:p>
      <w:pPr>
        <w:pStyle w:val="9"/>
        <w:spacing w:before="0" w:beforeLines="-2147483648" w:line="500" w:lineRule="exact"/>
        <w:ind w:firstLine="440" w:firstLineChars="200"/>
        <w:jc w:val="left"/>
        <w:rPr>
          <w:rFonts w:hint="eastAsia" w:ascii="宋体" w:hAnsi="宋体" w:eastAsia="宋体" w:cs="宋体"/>
          <w:b w:val="0"/>
          <w:bCs w:val="0"/>
          <w:sz w:val="22"/>
          <w:szCs w:val="22"/>
          <w:highlight w:val="none"/>
          <w:lang w:val="en-US" w:eastAsia="zh-CN"/>
        </w:rPr>
      </w:pPr>
      <w:r>
        <w:rPr>
          <w:rFonts w:hint="eastAsia" w:ascii="宋体" w:hAnsi="宋体" w:eastAsia="宋体" w:cs="宋体"/>
          <w:sz w:val="22"/>
          <w:szCs w:val="22"/>
          <w:highlight w:val="none"/>
        </w:rPr>
        <w:t>在项目实施过程中，以上维保服务清单如果有变动以采购人提供信息为准。</w:t>
      </w:r>
    </w:p>
    <w:p>
      <w:pPr>
        <w:rPr>
          <w:rFonts w:hint="eastAsia" w:ascii="宋体" w:hAnsi="宋体" w:eastAsia="宋体" w:cs="宋体"/>
          <w:highlight w:val="none"/>
        </w:rPr>
      </w:pPr>
    </w:p>
    <w:p>
      <w:pPr>
        <w:pStyle w:val="9"/>
        <w:spacing w:before="120" w:beforeLines="50" w:line="500" w:lineRule="exact"/>
        <w:ind w:firstLine="442" w:firstLineChars="20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2.服务要求</w:t>
      </w:r>
    </w:p>
    <w:bookmarkEnd w:id="55"/>
    <w:bookmarkEnd w:id="56"/>
    <w:p>
      <w:pPr>
        <w:pStyle w:val="9"/>
        <w:spacing w:line="500" w:lineRule="exact"/>
        <w:ind w:firstLine="440" w:firstLineChars="200"/>
        <w:jc w:val="left"/>
        <w:rPr>
          <w:rFonts w:hint="eastAsia" w:ascii="宋体" w:hAnsi="宋体" w:eastAsia="宋体" w:cs="宋体"/>
          <w:sz w:val="22"/>
          <w:szCs w:val="22"/>
          <w:highlight w:val="none"/>
        </w:rPr>
      </w:pPr>
      <w:bookmarkStart w:id="58" w:name="_Toc88780207"/>
      <w:r>
        <w:rPr>
          <w:rFonts w:hint="eastAsia" w:ascii="宋体" w:hAnsi="宋体" w:eastAsia="宋体" w:cs="宋体"/>
          <w:sz w:val="22"/>
          <w:szCs w:val="22"/>
          <w:highlight w:val="none"/>
        </w:rPr>
        <w:t>本项服务由成交供应商提供机房核心设备的定期巡检，以及巡检和日常运行中发现发生的问题隐患、故障的处理解决以及零部件更换，包括但不限于以下内容。</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2.1 电气工程</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机房采用双回路UPS系统，具有系统高容错能力，高可靠性，为机房IT设备、精密空调设备、监控中心设备、安防设备、消防设备、应急照明提供可靠用电。定期巡检内容主要包括：低压配电柜检查及维护；电缆及母排检查、维护；UPS检查及维护；电池及电池开关柜巡检；照明线路常规巡检；PDU、工业连接器检查及维护；防雷与接地检查与维护等。</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维保内容及要求：</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配电系统故障维修；</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配电系统日常巡检；</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机房配电系统用电分析；</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机房整体供电系统风险隐患的排查及用电系统可靠性评估；</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各开关连接点的温度检测、外观检查；</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检查主电源线电压、相电压、各相电流。</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操作控制显示屏是否异常告警日志和异常参数，并分析和排查；</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检查UPS机柜上空气过滤网没有任何的堵塞物，清洁空气过滤网和出风口；</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主机输入/输出电压、电流和功率检测；</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异常音响噪音检查，主机过热检查；</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电缆和接线端子外皮是否有龟裂、掉渣、擦伤和破损等；</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UPS系统的维修及故障处理。</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电池联线的连接情况；</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电池外观物理检查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变形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漏液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电池参数检查；</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浮充电压、电流的测量；</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检测电池内阻、放电测试；</w:t>
      </w:r>
    </w:p>
    <w:p>
      <w:pPr>
        <w:pStyle w:val="9"/>
        <w:numPr>
          <w:ilvl w:val="0"/>
          <w:numId w:val="10"/>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协助更换电池等。</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2.2 空调工程</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对空调系统设备、管道及其保温、各类阀门、压力表、温度计、过滤器、软连接、循环水泵、自动定压补水排气装置、全自动加药装置、水箱及水箱外保温、蓄冷罐设备、变频泵、水表和管道支架的巡检及维修；</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维保内容及要求：</w:t>
      </w:r>
    </w:p>
    <w:p>
      <w:pPr>
        <w:pStyle w:val="9"/>
        <w:numPr>
          <w:ilvl w:val="0"/>
          <w:numId w:val="11"/>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对内、外机表面清洁，保证设备无灰尘污渍；</w:t>
      </w:r>
    </w:p>
    <w:p>
      <w:pPr>
        <w:pStyle w:val="9"/>
        <w:numPr>
          <w:ilvl w:val="0"/>
          <w:numId w:val="11"/>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定期免费更换室内机空气过滤网、皮带；</w:t>
      </w:r>
    </w:p>
    <w:p>
      <w:pPr>
        <w:pStyle w:val="9"/>
        <w:numPr>
          <w:ilvl w:val="0"/>
          <w:numId w:val="11"/>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清洁加湿器和冷凝水盘，清理排水系统，每年免费更换一次加湿器；</w:t>
      </w:r>
    </w:p>
    <w:p>
      <w:pPr>
        <w:pStyle w:val="9"/>
        <w:numPr>
          <w:ilvl w:val="0"/>
          <w:numId w:val="11"/>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检测风机系统、加湿系统、制冷系统、电气控制系统相应电源与控制线插接、功能；</w:t>
      </w:r>
    </w:p>
    <w:p>
      <w:pPr>
        <w:pStyle w:val="9"/>
        <w:numPr>
          <w:ilvl w:val="0"/>
          <w:numId w:val="11"/>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检测精密空调功能状态，维修各类故障；</w:t>
      </w:r>
    </w:p>
    <w:p>
      <w:pPr>
        <w:pStyle w:val="9"/>
        <w:numPr>
          <w:ilvl w:val="0"/>
          <w:numId w:val="11"/>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根据场地环境实际温湿度，调整优化空调系统运转参数等。</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2.3消防工程</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维保内容及要求：</w:t>
      </w:r>
    </w:p>
    <w:p>
      <w:pPr>
        <w:pStyle w:val="9"/>
        <w:numPr>
          <w:ilvl w:val="0"/>
          <w:numId w:val="12"/>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对消防系统各设备、元器件、部件进行检测、保养、维修；</w:t>
      </w:r>
    </w:p>
    <w:p>
      <w:pPr>
        <w:pStyle w:val="9"/>
        <w:numPr>
          <w:ilvl w:val="0"/>
          <w:numId w:val="12"/>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定期消防模拟演练测试；</w:t>
      </w:r>
    </w:p>
    <w:p>
      <w:pPr>
        <w:pStyle w:val="9"/>
        <w:numPr>
          <w:ilvl w:val="0"/>
          <w:numId w:val="12"/>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烟感温感灵敏度测试，检查气瓶的气压和管道的连接；</w:t>
      </w:r>
    </w:p>
    <w:p>
      <w:pPr>
        <w:pStyle w:val="9"/>
        <w:numPr>
          <w:ilvl w:val="0"/>
          <w:numId w:val="12"/>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检查消防报警的声光警铃的工作情况、主机的运行情况及消防联动控制的可靠性；</w:t>
      </w:r>
    </w:p>
    <w:p>
      <w:pPr>
        <w:pStyle w:val="9"/>
        <w:numPr>
          <w:ilvl w:val="0"/>
          <w:numId w:val="12"/>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检查气瓶气压、主机主电备电情况；</w:t>
      </w:r>
    </w:p>
    <w:p>
      <w:pPr>
        <w:pStyle w:val="9"/>
        <w:numPr>
          <w:ilvl w:val="0"/>
          <w:numId w:val="12"/>
        </w:numPr>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协助采购人更换消防气体控制盘蓄电池组更换等。</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2.4服务器、存储、网络等</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对维保设备进行日常的保养、维护、故障排除等工作，重点查看交换机、服务器、应用平台等的使用情况，检查上述设备（系统）的使用日志，并对上述设备（系统）进行检测巡检和保养，向采购人提供检测巡检报告并经采购人确认。以保证上述设备（系统）能顺畅、稳定运行，最大限度减少故障的发生。</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2.5维护服务要求</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响应供应商应具有完善的维保服务管理体系，提供详细的维保服务方案、维修应急方案、备品备件清单、安全保密承诺等，并承诺为本项目提供专业的维护队伍，保证系统的正常运行。</w:t>
      </w:r>
    </w:p>
    <w:p>
      <w:pPr>
        <w:pStyle w:val="9"/>
        <w:numPr>
          <w:ilvl w:val="0"/>
          <w:numId w:val="13"/>
        </w:numPr>
        <w:spacing w:line="500" w:lineRule="exact"/>
        <w:ind w:left="0" w:firstLine="480"/>
        <w:jc w:val="left"/>
        <w:rPr>
          <w:rFonts w:hint="eastAsia" w:ascii="宋体" w:hAnsi="宋体" w:eastAsia="宋体" w:cs="宋体"/>
          <w:b/>
          <w:sz w:val="22"/>
          <w:szCs w:val="22"/>
          <w:highlight w:val="none"/>
        </w:rPr>
      </w:pPr>
      <w:r>
        <w:rPr>
          <w:rFonts w:hint="eastAsia" w:ascii="宋体" w:hAnsi="宋体" w:eastAsia="宋体" w:cs="宋体"/>
          <w:b/>
          <w:sz w:val="22"/>
          <w:szCs w:val="22"/>
          <w:highlight w:val="none"/>
        </w:rPr>
        <w:t>★</w:t>
      </w:r>
      <w:r>
        <w:rPr>
          <w:rFonts w:hint="eastAsia" w:ascii="宋体" w:hAnsi="宋体" w:eastAsia="宋体" w:cs="宋体"/>
          <w:b/>
          <w:sz w:val="22"/>
          <w:szCs w:val="22"/>
          <w:highlight w:val="none"/>
          <w:lang w:val="en-US" w:eastAsia="zh-CN"/>
        </w:rPr>
        <w:t>成交供应商</w:t>
      </w:r>
      <w:r>
        <w:rPr>
          <w:rFonts w:hint="eastAsia" w:ascii="宋体" w:hAnsi="宋体" w:eastAsia="宋体" w:cs="宋体"/>
          <w:b/>
          <w:sz w:val="22"/>
          <w:szCs w:val="22"/>
          <w:highlight w:val="none"/>
        </w:rPr>
        <w:t>须</w:t>
      </w:r>
      <w:r>
        <w:rPr>
          <w:rFonts w:hint="eastAsia" w:ascii="宋体" w:hAnsi="宋体" w:eastAsia="宋体" w:cs="宋体"/>
          <w:b/>
          <w:sz w:val="22"/>
          <w:szCs w:val="22"/>
          <w:highlight w:val="none"/>
          <w:lang w:val="en-US" w:eastAsia="zh-CN"/>
        </w:rPr>
        <w:t>承诺</w:t>
      </w:r>
      <w:r>
        <w:rPr>
          <w:rFonts w:hint="eastAsia" w:ascii="宋体" w:hAnsi="宋体" w:eastAsia="宋体" w:cs="宋体"/>
          <w:b/>
          <w:sz w:val="22"/>
          <w:szCs w:val="22"/>
          <w:highlight w:val="none"/>
        </w:rPr>
        <w:t>与采购人就</w:t>
      </w:r>
      <w:r>
        <w:rPr>
          <w:rFonts w:hint="eastAsia" w:ascii="宋体" w:hAnsi="宋体" w:eastAsia="宋体" w:cs="宋体"/>
          <w:b/>
          <w:sz w:val="22"/>
          <w:szCs w:val="22"/>
          <w:highlight w:val="none"/>
          <w:lang w:eastAsia="zh-CN"/>
        </w:rPr>
        <w:t>机房核心设备及配套软件维保服务项目</w:t>
      </w:r>
      <w:r>
        <w:rPr>
          <w:rFonts w:hint="eastAsia" w:ascii="宋体" w:hAnsi="宋体" w:eastAsia="宋体" w:cs="宋体"/>
          <w:b/>
          <w:sz w:val="22"/>
          <w:szCs w:val="22"/>
          <w:highlight w:val="none"/>
        </w:rPr>
        <w:t>签署相关保密协议，做好设备系统保密工作。</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响应供应商所提供的技术维保服务包含技术服务</w:t>
      </w:r>
      <w:r>
        <w:rPr>
          <w:rFonts w:hint="eastAsia" w:ascii="宋体" w:hAnsi="宋体" w:eastAsia="宋体" w:cs="宋体"/>
          <w:sz w:val="22"/>
          <w:szCs w:val="22"/>
          <w:highlight w:val="none"/>
          <w:lang w:val="en-US" w:eastAsia="zh-CN"/>
        </w:rPr>
        <w:t>及交换机、UPS主机和精密空调硬件故障硬件维修及更换费用</w:t>
      </w:r>
      <w:r>
        <w:rPr>
          <w:rFonts w:hint="eastAsia" w:ascii="宋体" w:hAnsi="宋体" w:eastAsia="宋体" w:cs="宋体"/>
          <w:sz w:val="22"/>
          <w:szCs w:val="22"/>
          <w:highlight w:val="none"/>
        </w:rPr>
        <w:t>，不包含</w:t>
      </w:r>
      <w:r>
        <w:rPr>
          <w:rFonts w:hint="eastAsia" w:ascii="宋体" w:hAnsi="宋体" w:eastAsia="宋体" w:cs="宋体"/>
          <w:sz w:val="22"/>
          <w:szCs w:val="22"/>
          <w:highlight w:val="none"/>
          <w:lang w:val="en-US" w:eastAsia="zh-CN"/>
        </w:rPr>
        <w:t>其他</w:t>
      </w:r>
      <w:r>
        <w:rPr>
          <w:rFonts w:hint="eastAsia" w:ascii="宋体" w:hAnsi="宋体" w:eastAsia="宋体" w:cs="宋体"/>
          <w:sz w:val="22"/>
          <w:szCs w:val="22"/>
          <w:highlight w:val="none"/>
        </w:rPr>
        <w:t>硬件维修更换及涉及采购</w:t>
      </w:r>
      <w:r>
        <w:rPr>
          <w:rFonts w:hint="eastAsia" w:ascii="宋体" w:hAnsi="宋体" w:eastAsia="宋体" w:cs="宋体"/>
          <w:sz w:val="22"/>
          <w:szCs w:val="22"/>
          <w:highlight w:val="none"/>
          <w:lang w:val="en-US" w:eastAsia="zh-CN"/>
        </w:rPr>
        <w:t>人</w:t>
      </w:r>
      <w:r>
        <w:rPr>
          <w:rFonts w:hint="eastAsia" w:ascii="宋体" w:hAnsi="宋体" w:eastAsia="宋体" w:cs="宋体"/>
          <w:sz w:val="22"/>
          <w:szCs w:val="22"/>
          <w:highlight w:val="none"/>
        </w:rPr>
        <w:t>专有应用类软件版本升级或更新的费用，如果</w:t>
      </w:r>
      <w:r>
        <w:rPr>
          <w:rFonts w:hint="eastAsia" w:ascii="宋体" w:hAnsi="宋体" w:eastAsia="宋体" w:cs="宋体"/>
          <w:sz w:val="22"/>
          <w:szCs w:val="22"/>
          <w:highlight w:val="none"/>
          <w:lang w:val="en-US" w:eastAsia="zh-CN"/>
        </w:rPr>
        <w:t>相关</w:t>
      </w:r>
      <w:r>
        <w:rPr>
          <w:rFonts w:hint="eastAsia" w:ascii="宋体" w:hAnsi="宋体" w:eastAsia="宋体" w:cs="宋体"/>
          <w:sz w:val="22"/>
          <w:szCs w:val="22"/>
          <w:highlight w:val="none"/>
        </w:rPr>
        <w:t>硬件维修更换或软件升级更新不涉及费用或采购方已付清费用，响应供应商须配合采购</w:t>
      </w:r>
      <w:r>
        <w:rPr>
          <w:rFonts w:hint="eastAsia" w:ascii="宋体" w:hAnsi="宋体" w:eastAsia="宋体" w:cs="宋体"/>
          <w:sz w:val="22"/>
          <w:szCs w:val="22"/>
          <w:highlight w:val="none"/>
          <w:lang w:val="en-US" w:eastAsia="zh-CN"/>
        </w:rPr>
        <w:t>人</w:t>
      </w:r>
      <w:r>
        <w:rPr>
          <w:rFonts w:hint="eastAsia" w:ascii="宋体" w:hAnsi="宋体" w:eastAsia="宋体" w:cs="宋体"/>
          <w:sz w:val="22"/>
          <w:szCs w:val="22"/>
          <w:highlight w:val="none"/>
        </w:rPr>
        <w:t>做好硬件维修更换以及相关升级。</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每月对维保服务内容至少进行一次全方位保养维护检查（具体要求详见维保清单）；定期总结基础设施运维情况，开展运维分析，提出优化建议；配合采购人不定期的现场抽检，检查各个维护系统的当前工况与维护工程师记录的数据是否一致；建立和维护基础设施运维文档。</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若成交供应商无法满足采购人软硬件维保需求、响应时间与质量，采购人可单方面终止合同，且不承担任何赔偿责任。</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响应供应商应提供详细的故障排查、维修及应急预案等解决方案。为采购人提供 7×24 小时的现场响应服务，解决保修范围内系统（设备）的所有故障。响应供应商须设有 24 小时应急电话，应急小组人员 24 小时手机处于开机状态，应急小组人员在接到应急电话后，根据故障的紧急程度，及时赶到现场维护。（7*24小时响应，接通知后</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小时到达现场处理，故障12小时内不能排除应立即提供替代方案或不低于原设备档次的替代备件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交换机、UPS主机和精密空调硬件故障由维护服务提供商负责维修并承担维修费用。</w:t>
      </w:r>
      <w:r>
        <w:rPr>
          <w:rFonts w:hint="eastAsia" w:ascii="宋体" w:hAnsi="宋体" w:eastAsia="宋体" w:cs="宋体"/>
          <w:sz w:val="22"/>
          <w:szCs w:val="22"/>
          <w:highlight w:val="none"/>
        </w:rPr>
        <w:t>）</w:t>
      </w:r>
    </w:p>
    <w:p>
      <w:pPr>
        <w:pStyle w:val="9"/>
        <w:numPr>
          <w:ilvl w:val="0"/>
          <w:numId w:val="13"/>
        </w:numPr>
        <w:spacing w:line="500" w:lineRule="exact"/>
        <w:ind w:left="0" w:firstLine="480"/>
        <w:jc w:val="left"/>
        <w:rPr>
          <w:rFonts w:hint="eastAsia" w:ascii="宋体" w:hAnsi="宋体" w:eastAsia="宋体" w:cs="宋体"/>
          <w:b/>
          <w:sz w:val="22"/>
          <w:szCs w:val="22"/>
          <w:highlight w:val="none"/>
        </w:rPr>
      </w:pPr>
      <w:r>
        <w:rPr>
          <w:rFonts w:hint="eastAsia" w:ascii="宋体" w:hAnsi="宋体" w:eastAsia="宋体" w:cs="宋体"/>
          <w:b/>
          <w:sz w:val="22"/>
          <w:szCs w:val="22"/>
          <w:highlight w:val="none"/>
        </w:rPr>
        <w:t>★为保证DATAPP备份一体机、入侵检查和防火墙设备的安全，响应供应商应承诺成交后从入侵检查和防火墙生产厂商购买维保服务，根据采购人的需要，将维保清单中DATAPP备份一体机、入侵检查和防火墙设备的系统软件升级到最新稳定版本，并保证后续及时更新补丁、修复漏洞、系统安全加固、提升安全保障能力，以确保DATAPP备份一体机、入侵检查和防火墙系统的运行安全。成交供应商在签订合同时需提供入侵检查和防火墙生产厂商出具的售后服务声明函等证明材料，否则将视为提供虚假承诺。</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成交供应商维护期间配合采购人定期开展应急演练，保障维保服务的信息系统正常运行。</w:t>
      </w:r>
    </w:p>
    <w:p>
      <w:pPr>
        <w:pStyle w:val="9"/>
        <w:numPr>
          <w:ilvl w:val="0"/>
          <w:numId w:val="13"/>
        </w:numPr>
        <w:spacing w:line="500" w:lineRule="exact"/>
        <w:ind w:left="0" w:firstLine="480"/>
        <w:jc w:val="left"/>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供应商须拥有能够满足本采购项目所需要的备品备件库，并提供备品备件库的相关信息（如备件清单等）。故障12小时内不能排除且采购人无相应备品备件替代时，供应商可紧急为采购人提供不低于原设备档次的替代备件。</w:t>
      </w:r>
      <w:r>
        <w:rPr>
          <w:rFonts w:hint="eastAsia" w:ascii="宋体" w:hAnsi="宋体" w:eastAsia="宋体" w:cs="宋体"/>
          <w:b w:val="0"/>
          <w:bCs/>
          <w:sz w:val="22"/>
          <w:szCs w:val="22"/>
          <w:highlight w:val="none"/>
          <w:lang w:val="en-US" w:eastAsia="zh-CN"/>
        </w:rPr>
        <w:t>交</w:t>
      </w:r>
      <w:r>
        <w:rPr>
          <w:rFonts w:hint="eastAsia" w:ascii="宋体" w:hAnsi="宋体" w:eastAsia="宋体" w:cs="宋体"/>
          <w:sz w:val="22"/>
          <w:szCs w:val="22"/>
          <w:highlight w:val="none"/>
          <w:lang w:val="en-US" w:eastAsia="zh-CN"/>
        </w:rPr>
        <w:t>换机、UPS主机和精密空调硬件故障由维护服务提供商负责维修并承担维修费用。其他</w:t>
      </w:r>
      <w:r>
        <w:rPr>
          <w:rFonts w:hint="eastAsia" w:ascii="宋体" w:hAnsi="宋体" w:eastAsia="宋体" w:cs="宋体"/>
          <w:b w:val="0"/>
          <w:bCs/>
          <w:sz w:val="22"/>
          <w:szCs w:val="22"/>
          <w:highlight w:val="none"/>
        </w:rPr>
        <w:t>备品备件由采购人按实购买，成交供应商负责免费更换。</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用于更换的硬件必须是全新，未使用过的原制造商产品，如确需应急，在征得采购人同意后，可先使用旧硬件，待新品到货后，重新更换。如需采用其他品牌的硬件必须经采购人同意，并承诺保证其性能等同于或高于原设备性能。如采购人自行对保修设备进行升级，则升级后新系统（设备）自动纳入本项目保修范围。</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为了避免工作事故、人身与设备损伤，也为了保持良好工作秩序，成交供应商人员在现场期间，应遵守采购人的规章制度</w:t>
      </w:r>
      <w:r>
        <w:rPr>
          <w:rFonts w:hint="eastAsia" w:ascii="宋体" w:hAnsi="宋体" w:eastAsia="宋体" w:cs="宋体"/>
          <w:sz w:val="22"/>
          <w:szCs w:val="22"/>
          <w:highlight w:val="none"/>
          <w:lang w:eastAsia="zh-CN"/>
        </w:rPr>
        <w:t>及其他</w:t>
      </w:r>
      <w:r>
        <w:rPr>
          <w:rFonts w:hint="eastAsia" w:ascii="宋体" w:hAnsi="宋体" w:eastAsia="宋体" w:cs="宋体"/>
          <w:sz w:val="22"/>
          <w:szCs w:val="22"/>
          <w:highlight w:val="none"/>
        </w:rPr>
        <w:t>由采购人提出来的规定。成交供应商应对所属人员进行安全教育并采取严格的安全措施，承担由于自身原因所造成的事故责任及其发生的一切费用。</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响应供应商应具有信息机房领域丰富的维护经验，给采购人提供机房日常运维技术支持服务，包括提供机房各系统的设计、变更、维护、升级改造及日常管理方案。</w:t>
      </w:r>
    </w:p>
    <w:p>
      <w:pPr>
        <w:pStyle w:val="9"/>
        <w:numPr>
          <w:ilvl w:val="0"/>
          <w:numId w:val="13"/>
        </w:numPr>
        <w:spacing w:line="500" w:lineRule="exact"/>
        <w:ind w:left="0" w:firstLine="42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响应供应商每年需提供</w:t>
      </w:r>
      <w:r>
        <w:rPr>
          <w:rFonts w:hint="eastAsia" w:ascii="宋体" w:hAnsi="宋体" w:eastAsia="宋体" w:cs="宋体"/>
          <w:sz w:val="22"/>
          <w:szCs w:val="22"/>
          <w:highlight w:val="none"/>
          <w:lang w:val="en-US" w:eastAsia="zh-CN"/>
        </w:rPr>
        <w:t>HCIA、</w:t>
      </w:r>
      <w:r>
        <w:rPr>
          <w:rFonts w:hint="eastAsia" w:ascii="宋体" w:hAnsi="宋体" w:eastAsia="宋体" w:cs="宋体"/>
          <w:sz w:val="22"/>
          <w:szCs w:val="22"/>
          <w:highlight w:val="none"/>
        </w:rPr>
        <w:t>VMware、Oracle、Linux等相关软件的基础培训。</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成交供应商应为本项目提供专业的服务团队并提供服务人员的详细信息。</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成交供应商应承诺在接到采购人的维保服务需求后，如因自身力量无法完成服务的，需立即协调原厂技术人员提供服务，所产生费用由成交供应商承担。</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成交供应商应积极开展相关运维服务档案资料建设，对运维明细、维修维护、备品备件等实施科学的记录，有利于采购人对档案进行查询。</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成交供应商应积极协助采购人进行日常维护工作及辅助建设，并提供相应的技术咨询服务，对采购人开展相关信息系统运维培训，制定并实施合理</w:t>
      </w:r>
      <w:r>
        <w:rPr>
          <w:rFonts w:hint="eastAsia" w:ascii="宋体" w:hAnsi="宋体" w:eastAsia="宋体" w:cs="宋体"/>
          <w:sz w:val="22"/>
          <w:szCs w:val="22"/>
          <w:highlight w:val="none"/>
          <w:lang w:eastAsia="zh-CN"/>
        </w:rPr>
        <w:t>科学</w:t>
      </w:r>
      <w:r>
        <w:rPr>
          <w:rFonts w:hint="eastAsia" w:ascii="宋体" w:hAnsi="宋体" w:eastAsia="宋体" w:cs="宋体"/>
          <w:sz w:val="22"/>
          <w:szCs w:val="22"/>
          <w:highlight w:val="none"/>
        </w:rPr>
        <w:t>可行的培训计划，提高采购人的运维水平。</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须承诺配合采购人做好信息系统、网络、数据等安全保密工作，必须与采购人就软硬件维保服务签署相关保密协议及承诺函，遵守采购人关于信息化合作企业管理、外来人员管理、网络及信息安全管理、进入机房管理、数据保密可靠等各项规定及要求。服务人员须与采购人签订保密协议及安全承诺函，遵守采购人关于保密安全的规章制度。</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成交供应商不得将本项目内容部分或全部转包他人。</w:t>
      </w:r>
    </w:p>
    <w:p>
      <w:pPr>
        <w:pStyle w:val="9"/>
        <w:numPr>
          <w:ilvl w:val="0"/>
          <w:numId w:val="13"/>
        </w:numPr>
        <w:spacing w:line="500" w:lineRule="exact"/>
        <w:ind w:left="0"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服务人员要求</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①项目经理：要求具有项目管理能力和丰富工作经验，具有较强的客户服务意识和沟通能力。负责双方的技术交流、协助管理成交供应商选派的服务人员、协助重要的技术服务需求的技术支持、同时接受反馈意见、协助改善技术服务质量。</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②服务工程师：具备相关软件硬件运维技能和工作经验，具有机房建设及运维的专业知识，并要求对本项目各系统的维护操作非常熟悉。</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③响应供应商须保证拟投入本项目服务人员固定，需提供人员名单；如因不可抗力或特殊情况需要更换服务人员的，更换前须征得采购人同意且更换人员的资质不得低于原有的。</w:t>
      </w:r>
    </w:p>
    <w:p>
      <w:pPr>
        <w:pStyle w:val="9"/>
        <w:numPr>
          <w:ilvl w:val="0"/>
          <w:numId w:val="13"/>
        </w:numPr>
        <w:spacing w:line="500" w:lineRule="exact"/>
        <w:ind w:left="0" w:firstLine="480"/>
        <w:jc w:val="left"/>
        <w:rPr>
          <w:rFonts w:hint="eastAsia" w:ascii="宋体" w:hAnsi="宋体" w:eastAsia="宋体" w:cs="宋体"/>
          <w:b/>
          <w:bCs/>
          <w:sz w:val="20"/>
          <w:szCs w:val="18"/>
          <w:highlight w:val="none"/>
        </w:rPr>
      </w:pPr>
      <w:r>
        <w:rPr>
          <w:rFonts w:hint="eastAsia" w:ascii="宋体" w:hAnsi="宋体" w:eastAsia="宋体" w:cs="宋体"/>
          <w:b/>
          <w:bCs/>
          <w:sz w:val="22"/>
          <w:szCs w:val="22"/>
          <w:highlight w:val="none"/>
        </w:rPr>
        <w:t>服务期内，维保项目中包含的部分设备不再需要使用时，采购人可提前通知，不再对该设备进行维保服务，相关费用按照响应文件及合同条款中的明细进行计算，在验收结算时扣除相关费用。</w:t>
      </w:r>
    </w:p>
    <w:p>
      <w:pPr>
        <w:pStyle w:val="10"/>
        <w:rPr>
          <w:rFonts w:hint="eastAsia" w:ascii="宋体" w:hAnsi="宋体" w:eastAsia="宋体" w:cs="宋体"/>
          <w:highlight w:val="none"/>
        </w:rPr>
      </w:pPr>
    </w:p>
    <w:p>
      <w:pPr>
        <w:pStyle w:val="3"/>
        <w:spacing w:line="402" w:lineRule="exact"/>
        <w:jc w:val="left"/>
        <w:rPr>
          <w:rFonts w:hint="eastAsia" w:ascii="宋体" w:hAnsi="宋体" w:eastAsia="宋体" w:cs="宋体"/>
          <w:highlight w:val="none"/>
        </w:rPr>
      </w:pPr>
      <w:bookmarkStart w:id="59" w:name="_Toc6345"/>
      <w:r>
        <w:rPr>
          <w:rFonts w:hint="eastAsia" w:ascii="宋体" w:hAnsi="宋体" w:eastAsia="宋体" w:cs="宋体"/>
          <w:sz w:val="28"/>
          <w:szCs w:val="28"/>
          <w:highlight w:val="none"/>
        </w:rPr>
        <w:t>三、报价响应供应商资格要求与资格证明文件</w:t>
      </w:r>
      <w:bookmarkEnd w:id="58"/>
      <w:bookmarkEnd w:id="59"/>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1、合格的法人营业执照副本的有效复印件。 </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2、响应供应商代表不是法定代表人的，必须在响应文件中提供法定代表人授权书原件和身份证有效复印件。</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3、本项目采取“信用承诺制”，允许供应商提供资格承诺函（格式见附件）的即可参加比选活动，在响应文件中无需再提供财务状况报告、依法缴纳税收和社会保障资金的相关证明材料。响应供应商应当遵循诚实信用原则，不得作虚假承诺。供应商承诺不实的，属于提供虚假材料谋取成交，应依法承担相应的法律责任。</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4、具备履行合同所必需的设备和专业技术能力的证明材料或书面声明。   </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5、本项目不接受联合体形式的报价响应。 </w:t>
      </w:r>
    </w:p>
    <w:p>
      <w:pPr>
        <w:pStyle w:val="9"/>
        <w:spacing w:line="500" w:lineRule="exact"/>
        <w:ind w:firstLine="442" w:firstLineChars="200"/>
        <w:jc w:val="left"/>
        <w:rPr>
          <w:rFonts w:hint="eastAsia" w:ascii="宋体" w:hAnsi="宋体" w:eastAsia="宋体" w:cs="宋体"/>
          <w:b/>
          <w:sz w:val="22"/>
          <w:szCs w:val="22"/>
          <w:highlight w:val="none"/>
        </w:rPr>
      </w:pPr>
      <w:r>
        <w:rPr>
          <w:rFonts w:hint="eastAsia" w:ascii="宋体" w:hAnsi="宋体" w:eastAsia="宋体" w:cs="宋体"/>
          <w:b/>
          <w:sz w:val="22"/>
          <w:szCs w:val="22"/>
          <w:highlight w:val="none"/>
        </w:rPr>
        <w:t>以上资格证明文件均应加盖响应供应商公章。</w:t>
      </w:r>
    </w:p>
    <w:p>
      <w:pPr>
        <w:pStyle w:val="10"/>
        <w:rPr>
          <w:rFonts w:hint="eastAsia" w:ascii="宋体" w:hAnsi="宋体" w:eastAsia="宋体" w:cs="宋体"/>
          <w:highlight w:val="none"/>
        </w:rPr>
      </w:pPr>
    </w:p>
    <w:p>
      <w:pPr>
        <w:pStyle w:val="3"/>
        <w:spacing w:line="402" w:lineRule="exact"/>
        <w:jc w:val="left"/>
        <w:rPr>
          <w:rFonts w:hint="eastAsia" w:ascii="宋体" w:hAnsi="宋体" w:eastAsia="宋体" w:cs="宋体"/>
          <w:sz w:val="24"/>
          <w:szCs w:val="24"/>
          <w:highlight w:val="none"/>
        </w:rPr>
      </w:pPr>
      <w:bookmarkStart w:id="60" w:name="_Toc18317"/>
      <w:bookmarkStart w:id="61" w:name="_Toc88780208"/>
      <w:r>
        <w:rPr>
          <w:rFonts w:hint="eastAsia" w:ascii="宋体" w:hAnsi="宋体" w:eastAsia="宋体" w:cs="宋体"/>
          <w:sz w:val="28"/>
          <w:szCs w:val="28"/>
          <w:highlight w:val="none"/>
        </w:rPr>
        <w:t>四、响应要求</w:t>
      </w:r>
      <w:bookmarkEnd w:id="60"/>
      <w:bookmarkEnd w:id="61"/>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1、响应供应商提供的服务内容必须符合国家相关标准和规范要求。</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2、成交供应商应</w:t>
      </w:r>
      <w:r>
        <w:rPr>
          <w:rFonts w:hint="eastAsia" w:ascii="宋体" w:hAnsi="宋体" w:eastAsia="宋体" w:cs="宋体"/>
          <w:sz w:val="22"/>
          <w:szCs w:val="22"/>
          <w:highlight w:val="none"/>
          <w:lang w:eastAsia="zh-CN"/>
        </w:rPr>
        <w:t>做好</w:t>
      </w:r>
      <w:r>
        <w:rPr>
          <w:rFonts w:hint="eastAsia" w:ascii="宋体" w:hAnsi="宋体" w:eastAsia="宋体" w:cs="宋体"/>
          <w:sz w:val="22"/>
          <w:szCs w:val="22"/>
          <w:highlight w:val="none"/>
        </w:rPr>
        <w:t>项目实施记录、配置设置资料的整理、文档资料的编制等工作。项目完成时将项目全部有关技术文件、配置设置资料</w:t>
      </w:r>
      <w:r>
        <w:rPr>
          <w:rFonts w:hint="eastAsia" w:ascii="宋体" w:hAnsi="宋体" w:eastAsia="宋体" w:cs="宋体"/>
          <w:sz w:val="22"/>
          <w:szCs w:val="22"/>
          <w:highlight w:val="none"/>
          <w:lang w:eastAsia="zh-CN"/>
        </w:rPr>
        <w:t>及</w:t>
      </w:r>
      <w:r>
        <w:rPr>
          <w:rFonts w:hint="eastAsia" w:ascii="宋体" w:hAnsi="宋体" w:eastAsia="宋体" w:cs="宋体"/>
          <w:sz w:val="22"/>
          <w:szCs w:val="22"/>
          <w:highlight w:val="none"/>
        </w:rPr>
        <w:t>测试、验收报告等文档汇集成册交付采购单位。</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3、比选文件中所述服务要求等内容为实现项目运行的基本要求，成交供应商必须与采购人紧密配合，准确把握需求并快速响应采购人需求存在的变化，并以项目实际维保服务内容和要求为准。</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4、现场软件服务工程师具备相关软件硬件运维工作经验，熟悉各类VMware、Oracle、linux和windows的日常运维工作、操作系统安全加固升级、网络基础知识。否则采购人有权利对成交供应商提供的现场软件服务工程师进行更换。</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5、成交供应商提供硬盘介质不返还服务，更换的旧硬盘设备归属权为采购人所有。</w:t>
      </w:r>
    </w:p>
    <w:p>
      <w:pPr>
        <w:pStyle w:val="9"/>
        <w:spacing w:line="500" w:lineRule="exact"/>
        <w:ind w:firstLine="442" w:firstLineChars="20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6、★响应供应商应承诺在接到采购人的维保服务需求后，如因自身力量无法完成服务的，需立即协调原厂技术人员提供服务，所产生费用由响应供应商承担。</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7、成交供应商投入项目的进场工作人员配备必要的维修工具、检测仪器、材料及通讯和交通工具。服装整齐、洁净，文明工作，不违反采购人单位安全、卫生等管理制度。作息时间符合采购人制度规定，确保符合服务承诺。成交供应商应加强进场工作人员的安全教育，相关人员人身安全事故责任均由成交供应商承担。</w:t>
      </w:r>
    </w:p>
    <w:p>
      <w:pPr>
        <w:pStyle w:val="9"/>
        <w:spacing w:line="50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8、项目技术人员通过运维管理软件、人工巡检等手段，针对本项目的软硬件设备和所有系统，及时发现软硬件是否存在异常，随时负责处理日常系统故障、设备调整、系统维护、升级等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 xml:space="preserve"> 收集系统运行日志。对于设备故障或者系统出现各类问题，分析问题的原因，形成相关的知识库。7*24小时响应，</w:t>
      </w:r>
      <w:r>
        <w:rPr>
          <w:rFonts w:hint="eastAsia" w:ascii="宋体" w:hAnsi="宋体" w:eastAsia="宋体" w:cs="宋体"/>
          <w:sz w:val="22"/>
          <w:szCs w:val="22"/>
          <w:highlight w:val="none"/>
          <w:lang w:eastAsia="zh-CN"/>
        </w:rPr>
        <w:t>接到</w:t>
      </w:r>
      <w:r>
        <w:rPr>
          <w:rFonts w:hint="eastAsia" w:ascii="宋体" w:hAnsi="宋体" w:eastAsia="宋体" w:cs="宋体"/>
          <w:sz w:val="22"/>
          <w:szCs w:val="22"/>
          <w:highlight w:val="none"/>
        </w:rPr>
        <w:t>通知后</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 xml:space="preserve">小时到达现场处理，故障12小时内不能排除应立即提供替代方案或不低于原设备档次的替代备件。维护期间，成交供应商不得随意更换项目技术人员，如需更换必须提交申请，征得同意后方可更换，更换技术人员需具备不低于同等服务水平的人员；采购人有权要求成交供应商对无法胜任工作要求的技术人员进行更换，成交供应商在收到采购人要求更换技术人员时要及时更换满足采购人要求的技术人员。 </w:t>
      </w:r>
      <w:bookmarkStart w:id="62" w:name="_Toc89791596"/>
      <w:bookmarkStart w:id="63" w:name="_Toc146679241"/>
      <w:bookmarkStart w:id="64" w:name="_Toc116869901"/>
      <w:bookmarkStart w:id="65" w:name="_Toc150163485"/>
      <w:bookmarkStart w:id="66" w:name="_Toc189832470"/>
      <w:bookmarkStart w:id="67" w:name="_Toc435020198"/>
      <w:bookmarkStart w:id="68" w:name="_Toc145393563"/>
      <w:bookmarkStart w:id="69" w:name="_Toc168037533"/>
      <w:bookmarkStart w:id="70" w:name="_Toc90180873"/>
      <w:bookmarkStart w:id="71" w:name="_Toc152583389"/>
      <w:bookmarkStart w:id="72" w:name="_Toc150852805"/>
      <w:bookmarkStart w:id="73" w:name="_Toc144818372"/>
      <w:bookmarkStart w:id="74" w:name="_Toc88780209"/>
      <w:bookmarkStart w:id="75" w:name="_Toc146679650"/>
      <w:bookmarkStart w:id="76" w:name="_Toc141847066"/>
      <w:bookmarkStart w:id="77" w:name="_Toc148496351"/>
      <w:bookmarkStart w:id="78" w:name="_Toc148496402"/>
      <w:bookmarkStart w:id="79" w:name="_Toc105315000"/>
      <w:bookmarkStart w:id="80" w:name="_Toc89791698"/>
      <w:bookmarkStart w:id="81" w:name="_Toc169877476"/>
      <w:bookmarkStart w:id="82" w:name="_Toc169944023"/>
      <w:bookmarkStart w:id="83" w:name="_Toc116895408"/>
      <w:bookmarkStart w:id="84" w:name="_Toc34471344"/>
      <w:bookmarkStart w:id="85" w:name="_Toc32815547"/>
      <w:bookmarkStart w:id="86" w:name="_Toc36974207"/>
      <w:bookmarkStart w:id="87" w:name="_Toc37236847"/>
      <w:bookmarkStart w:id="88" w:name="_Toc36885854"/>
      <w:bookmarkStart w:id="89" w:name="_Toc36974289"/>
      <w:bookmarkStart w:id="90" w:name="_Toc36974051"/>
      <w:bookmarkStart w:id="91" w:name="_Toc36867048"/>
      <w:bookmarkStart w:id="92" w:name="_Toc36973198"/>
      <w:bookmarkStart w:id="93" w:name="_Toc36973985"/>
      <w:bookmarkStart w:id="94" w:name="_Toc36974340"/>
    </w:p>
    <w:p>
      <w:pPr>
        <w:pStyle w:val="10"/>
        <w:rPr>
          <w:rFonts w:hint="eastAsia" w:ascii="宋体" w:hAnsi="宋体" w:eastAsia="宋体" w:cs="宋体"/>
          <w:highlight w:val="none"/>
        </w:rPr>
      </w:pPr>
    </w:p>
    <w:p>
      <w:pPr>
        <w:pStyle w:val="3"/>
        <w:spacing w:line="360" w:lineRule="auto"/>
        <w:jc w:val="left"/>
        <w:rPr>
          <w:rFonts w:hint="eastAsia" w:ascii="宋体" w:hAnsi="宋体" w:eastAsia="宋体" w:cs="宋体"/>
          <w:sz w:val="28"/>
          <w:szCs w:val="28"/>
          <w:highlight w:val="none"/>
        </w:rPr>
      </w:pPr>
      <w:bookmarkStart w:id="95" w:name="_Toc2195"/>
      <w:r>
        <w:rPr>
          <w:rFonts w:hint="eastAsia" w:ascii="宋体" w:hAnsi="宋体" w:eastAsia="宋体" w:cs="宋体"/>
          <w:sz w:val="28"/>
          <w:szCs w:val="28"/>
          <w:highlight w:val="none"/>
        </w:rPr>
        <w:t>五、报价要求</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95"/>
    </w:p>
    <w:p>
      <w:pPr>
        <w:pStyle w:val="9"/>
        <w:spacing w:line="500" w:lineRule="exact"/>
        <w:ind w:firstLine="442" w:firstLineChars="20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★1、本项目的采购预算为人民币</w:t>
      </w:r>
      <w:r>
        <w:rPr>
          <w:rFonts w:hint="eastAsia" w:ascii="宋体" w:hAnsi="宋体" w:eastAsia="宋体" w:cs="宋体"/>
          <w:b/>
          <w:bCs/>
          <w:sz w:val="22"/>
          <w:szCs w:val="22"/>
          <w:highlight w:val="none"/>
          <w:lang w:val="en-US" w:eastAsia="zh-CN"/>
        </w:rPr>
        <w:t>贰拾贰万伍仟元整（</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225000元）</w:t>
      </w:r>
      <w:r>
        <w:rPr>
          <w:rFonts w:hint="eastAsia" w:ascii="宋体" w:hAnsi="宋体" w:eastAsia="宋体" w:cs="宋体"/>
          <w:b/>
          <w:bCs/>
          <w:sz w:val="22"/>
          <w:szCs w:val="22"/>
          <w:highlight w:val="none"/>
        </w:rPr>
        <w:t>，采购预算为响应报价的最高限价，报价超过采购预算的属无效报价。</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2、报价以人民币为货币单位，应分报出单价、小计和总价。</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3、本项目为交钥匙工程。维护期间内所有可能发生的费用，包括安装调试、税金、人员工资、维保工具设备、劳保、可能少报漏报的细目及采购文件的特别规定等一切费用，已隐含在报价中，成交后不得再向采购人收取任何费用。</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4、响应供应商漏报、少报的费用，视为此项费用已隐含在报价中，成交后不得再向采购人收取任何费用。</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5、响应供应商对本项目只能有一个报价，采购单位不接受有选择的报价。</w:t>
      </w:r>
      <w:bookmarkEnd w:id="84"/>
      <w:bookmarkEnd w:id="85"/>
      <w:bookmarkEnd w:id="86"/>
      <w:bookmarkEnd w:id="87"/>
      <w:bookmarkEnd w:id="88"/>
      <w:bookmarkEnd w:id="89"/>
      <w:bookmarkEnd w:id="90"/>
      <w:bookmarkEnd w:id="91"/>
      <w:bookmarkEnd w:id="92"/>
      <w:bookmarkEnd w:id="93"/>
      <w:bookmarkEnd w:id="94"/>
      <w:bookmarkStart w:id="96" w:name="_Toc145393564"/>
      <w:bookmarkStart w:id="97" w:name="_Toc146679651"/>
      <w:bookmarkStart w:id="98" w:name="_Toc435020203"/>
      <w:bookmarkStart w:id="99" w:name="_Toc146679242"/>
      <w:bookmarkStart w:id="100" w:name="_Toc152583390"/>
      <w:bookmarkStart w:id="101" w:name="_Toc169944024"/>
      <w:bookmarkStart w:id="102" w:name="_Toc150163486"/>
      <w:bookmarkStart w:id="103" w:name="_Toc89791597"/>
      <w:bookmarkStart w:id="104" w:name="_Toc90180874"/>
      <w:bookmarkStart w:id="105" w:name="_Toc144818373"/>
      <w:bookmarkStart w:id="106" w:name="_Toc105315001"/>
      <w:bookmarkStart w:id="107" w:name="_Toc141847067"/>
      <w:bookmarkStart w:id="108" w:name="_Toc148496403"/>
      <w:bookmarkStart w:id="109" w:name="_Toc116895409"/>
      <w:bookmarkStart w:id="110" w:name="_Toc89791699"/>
      <w:bookmarkStart w:id="111" w:name="_Toc88780214"/>
      <w:bookmarkStart w:id="112" w:name="_Toc169877477"/>
      <w:bookmarkStart w:id="113" w:name="_Toc148496352"/>
      <w:bookmarkStart w:id="114" w:name="_Toc189832480"/>
      <w:bookmarkStart w:id="115" w:name="_Toc116869902"/>
      <w:bookmarkStart w:id="116" w:name="_Toc150852806"/>
      <w:bookmarkStart w:id="117" w:name="_Toc168037534"/>
    </w:p>
    <w:p>
      <w:pPr>
        <w:pStyle w:val="10"/>
        <w:rPr>
          <w:rFonts w:hint="eastAsia" w:ascii="宋体" w:hAnsi="宋体" w:eastAsia="宋体" w:cs="宋体"/>
          <w:highlight w:val="none"/>
        </w:rPr>
      </w:pPr>
    </w:p>
    <w:p>
      <w:pPr>
        <w:pStyle w:val="3"/>
        <w:spacing w:line="240" w:lineRule="auto"/>
        <w:jc w:val="left"/>
        <w:rPr>
          <w:rFonts w:hint="eastAsia" w:ascii="宋体" w:hAnsi="宋体" w:eastAsia="宋体" w:cs="宋体"/>
          <w:sz w:val="28"/>
          <w:szCs w:val="28"/>
          <w:highlight w:val="none"/>
        </w:rPr>
      </w:pPr>
      <w:bookmarkStart w:id="118" w:name="_Toc12285"/>
      <w:r>
        <w:rPr>
          <w:rFonts w:hint="eastAsia" w:ascii="宋体" w:hAnsi="宋体" w:eastAsia="宋体" w:cs="宋体"/>
          <w:sz w:val="28"/>
          <w:szCs w:val="28"/>
          <w:highlight w:val="none"/>
        </w:rPr>
        <w:t>六、验收条件及标准</w:t>
      </w:r>
      <w:bookmarkEnd w:id="118"/>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1、验收依据：比选文件、响应文件、合同、维护记录、国家有关的质量标准规定，均为验收依据。</w:t>
      </w:r>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2、维保服务期内，采购人将跟踪成交供应商维保服务情况，如果出现不满足比选文件服务要求的，将予以提醒或警告，出现严重失误的，采购人有权对成交供应商进行处罚直至解除维保合同。</w:t>
      </w:r>
    </w:p>
    <w:p>
      <w:pPr>
        <w:pStyle w:val="10"/>
        <w:rPr>
          <w:rFonts w:hint="eastAsia" w:ascii="宋体" w:hAnsi="宋体" w:eastAsia="宋体" w:cs="宋体"/>
          <w:highlight w:val="none"/>
        </w:rPr>
      </w:pPr>
    </w:p>
    <w:p>
      <w:pPr>
        <w:pStyle w:val="3"/>
        <w:spacing w:line="240" w:lineRule="auto"/>
        <w:jc w:val="left"/>
        <w:rPr>
          <w:rFonts w:hint="eastAsia" w:ascii="宋体" w:hAnsi="宋体" w:eastAsia="宋体" w:cs="宋体"/>
          <w:sz w:val="28"/>
          <w:szCs w:val="28"/>
          <w:highlight w:val="none"/>
        </w:rPr>
      </w:pPr>
      <w:bookmarkStart w:id="119" w:name="_Toc17153"/>
      <w:r>
        <w:rPr>
          <w:rFonts w:hint="eastAsia" w:ascii="宋体" w:hAnsi="宋体" w:eastAsia="宋体" w:cs="宋体"/>
          <w:sz w:val="28"/>
          <w:szCs w:val="28"/>
          <w:highlight w:val="none"/>
        </w:rPr>
        <w:t>七、合同签订</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9"/>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报价成交人接到《成交通知书》后，持《成交通知书》与采购人签订合同，比选文件、 报价成交人的响应文件均作为合同订立的基础。 </w:t>
      </w:r>
    </w:p>
    <w:p>
      <w:pPr>
        <w:pStyle w:val="10"/>
        <w:rPr>
          <w:rFonts w:hint="eastAsia" w:ascii="宋体" w:hAnsi="宋体" w:eastAsia="宋体" w:cs="宋体"/>
          <w:highlight w:val="none"/>
        </w:rPr>
      </w:pPr>
    </w:p>
    <w:p>
      <w:pPr>
        <w:pStyle w:val="3"/>
        <w:spacing w:line="240" w:lineRule="auto"/>
        <w:jc w:val="left"/>
        <w:rPr>
          <w:rFonts w:hint="eastAsia" w:ascii="宋体" w:hAnsi="宋体" w:eastAsia="宋体" w:cs="宋体"/>
          <w:sz w:val="28"/>
          <w:szCs w:val="28"/>
          <w:highlight w:val="none"/>
        </w:rPr>
      </w:pPr>
      <w:bookmarkStart w:id="120" w:name="_Toc21538"/>
      <w:bookmarkStart w:id="121" w:name="_Toc88780215"/>
      <w:r>
        <w:rPr>
          <w:rFonts w:hint="eastAsia" w:ascii="宋体" w:hAnsi="宋体" w:eastAsia="宋体" w:cs="宋体"/>
          <w:sz w:val="28"/>
          <w:szCs w:val="28"/>
          <w:highlight w:val="none"/>
        </w:rPr>
        <w:t>八、付款条件</w:t>
      </w:r>
      <w:bookmarkEnd w:id="120"/>
      <w:bookmarkEnd w:id="121"/>
    </w:p>
    <w:p>
      <w:pPr>
        <w:pStyle w:val="9"/>
        <w:spacing w:line="5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本合同签订后，采购人在收到维护单位开具等额、合法发票后的7个工作日之内，向维护单位支付合同总额的</w:t>
      </w:r>
      <w:r>
        <w:rPr>
          <w:rFonts w:hint="eastAsia" w:ascii="宋体" w:hAnsi="宋体" w:eastAsia="宋体" w:cs="宋体"/>
          <w:sz w:val="22"/>
          <w:szCs w:val="22"/>
          <w:highlight w:val="none"/>
          <w:lang w:val="en-US" w:eastAsia="zh-CN"/>
        </w:rPr>
        <w:t>60</w:t>
      </w:r>
      <w:r>
        <w:rPr>
          <w:rFonts w:hint="eastAsia" w:ascii="宋体" w:hAnsi="宋体" w:eastAsia="宋体" w:cs="宋体"/>
          <w:sz w:val="22"/>
          <w:szCs w:val="22"/>
          <w:highlight w:val="none"/>
        </w:rPr>
        <w:t>%，剩余合同总额</w:t>
      </w:r>
      <w:r>
        <w:rPr>
          <w:rFonts w:hint="eastAsia" w:ascii="宋体" w:hAnsi="宋体" w:eastAsia="宋体" w:cs="宋体"/>
          <w:sz w:val="22"/>
          <w:szCs w:val="22"/>
          <w:highlight w:val="none"/>
          <w:lang w:val="en-US" w:eastAsia="zh-CN"/>
        </w:rPr>
        <w:t>40</w:t>
      </w:r>
      <w:r>
        <w:rPr>
          <w:rFonts w:hint="eastAsia" w:ascii="宋体" w:hAnsi="宋体" w:eastAsia="宋体" w:cs="宋体"/>
          <w:sz w:val="22"/>
          <w:szCs w:val="22"/>
          <w:highlight w:val="none"/>
        </w:rPr>
        <w:t>%于合同签订之日起6个月后，采购人收到维护单位开具等额、合法发票后的7个工作日内支付。</w:t>
      </w:r>
    </w:p>
    <w:p>
      <w:pPr>
        <w:pStyle w:val="10"/>
        <w:rPr>
          <w:rFonts w:hint="eastAsia" w:ascii="宋体" w:hAnsi="宋体" w:eastAsia="宋体" w:cs="宋体"/>
          <w:highlight w:val="none"/>
        </w:rPr>
      </w:pPr>
    </w:p>
    <w:p>
      <w:pPr>
        <w:pStyle w:val="3"/>
        <w:spacing w:line="402" w:lineRule="exact"/>
        <w:jc w:val="left"/>
        <w:rPr>
          <w:rFonts w:hint="eastAsia" w:ascii="宋体" w:hAnsi="宋体" w:eastAsia="宋体" w:cs="宋体"/>
          <w:highlight w:val="none"/>
        </w:rPr>
      </w:pPr>
      <w:bookmarkStart w:id="122" w:name="_Toc20581"/>
      <w:bookmarkStart w:id="123" w:name="_Toc7971"/>
      <w:bookmarkStart w:id="124" w:name="_Toc1849"/>
      <w:r>
        <w:rPr>
          <w:rFonts w:hint="eastAsia" w:ascii="宋体" w:hAnsi="宋体" w:eastAsia="宋体" w:cs="宋体"/>
          <w:highlight w:val="none"/>
        </w:rPr>
        <w:t>九、其他</w:t>
      </w:r>
      <w:bookmarkEnd w:id="122"/>
      <w:bookmarkEnd w:id="123"/>
      <w:bookmarkEnd w:id="124"/>
    </w:p>
    <w:p>
      <w:pPr>
        <w:pStyle w:val="9"/>
        <w:spacing w:line="500" w:lineRule="exact"/>
        <w:ind w:firstLine="440" w:firstLineChars="200"/>
        <w:jc w:val="left"/>
        <w:rPr>
          <w:rFonts w:hint="eastAsia" w:ascii="宋体" w:hAnsi="宋体" w:eastAsia="宋体" w:cs="宋体"/>
          <w:sz w:val="24"/>
          <w:szCs w:val="24"/>
          <w:highlight w:val="none"/>
        </w:rPr>
      </w:pPr>
      <w:r>
        <w:rPr>
          <w:rFonts w:hint="eastAsia" w:ascii="宋体" w:hAnsi="宋体" w:eastAsia="宋体" w:cs="宋体"/>
          <w:sz w:val="22"/>
          <w:szCs w:val="22"/>
          <w:highlight w:val="none"/>
        </w:rPr>
        <w:t>1.关于明确串标情节及后果的预警提示，供应商应明确知晓相应行为及后果（本项目非政府采购项目，比选活动中串通情形参照政府采购相关政策法规）：</w:t>
      </w:r>
    </w:p>
    <w:tbl>
      <w:tblPr>
        <w:tblStyle w:val="24"/>
        <w:tblW w:w="9102"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910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042" w:type="dxa"/>
            <w:tcBorders>
              <w:top w:val="single" w:color="auto" w:sz="8" w:space="0"/>
              <w:left w:val="single" w:color="auto" w:sz="8" w:space="0"/>
              <w:bottom w:val="single" w:color="auto" w:sz="8" w:space="0"/>
              <w:right w:val="single" w:color="auto" w:sz="8" w:space="0"/>
            </w:tcBorders>
            <w:tcMar>
              <w:top w:w="0" w:type="dxa"/>
              <w:left w:w="140" w:type="dxa"/>
              <w:bottom w:w="0" w:type="dxa"/>
              <w:right w:w="140" w:type="dxa"/>
            </w:tcMar>
          </w:tcPr>
          <w:p>
            <w:pPr>
              <w:pStyle w:val="20"/>
              <w:spacing w:beforeAutospacing="0" w:afterAutospacing="0" w:line="276"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《中华人民共和国政府采购法实施条例》</w:t>
            </w:r>
          </w:p>
          <w:p>
            <w:pPr>
              <w:pStyle w:val="20"/>
              <w:spacing w:beforeAutospacing="0" w:afterAutospacing="0" w:line="276" w:lineRule="auto"/>
              <w:ind w:firstLine="56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第七十四条 有下列情形之一的，属于恶意串通，对供应商依照政府采购法第七十七条第一款的规定追究法律责任，对采购人、采购代理机构及其工作人员依照政府采购法第七十二条的规定追究法律责任：（一）供应商直接或者间接从采购人或者采购代理机构处获得其他供应商的相关情况并修改其投标文件或者响应文件；（二）供应商按照采购人或者采购代理机构的授意撤换、修改投标文件或者响应文件；（三）供应商之间协商报价、技术方案等投标文件或者响应文件的实质性内容；（四）属于同一集团、协会、商会等组织成员的供应商按照该组织要求协同参加政府采购活动；（五）供应商之间事先约定由某一特定供应商中标、成交；（六）供应商之间商定部分供应商放弃参加政府采购活动或者放弃中标、成交；（七）供应商与采购人或者采购代 理机构之间、供应商</w:t>
            </w:r>
            <w:r>
              <w:rPr>
                <w:rFonts w:hint="eastAsia" w:ascii="宋体" w:hAnsi="宋体" w:eastAsia="宋体" w:cs="宋体"/>
                <w:bCs/>
                <w:color w:val="000000"/>
                <w:szCs w:val="21"/>
                <w:highlight w:val="none"/>
                <w:shd w:val="clear" w:color="auto" w:fill="FFFFFF"/>
              </w:rPr>
              <w:t>相互之间，为谋求特定供应商中标、成交或者排斥其他供应商的其他串通行为。</w:t>
            </w:r>
          </w:p>
          <w:p>
            <w:pPr>
              <w:pStyle w:val="20"/>
              <w:spacing w:beforeAutospacing="0" w:afterAutospacing="0" w:line="276" w:lineRule="auto"/>
              <w:ind w:firstLine="56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shd w:val="clear" w:color="auto" w:fill="FFFFFF"/>
              </w:rPr>
              <w:t>《政府采购货物和服务招标投标管理办法》</w:t>
            </w:r>
          </w:p>
          <w:p>
            <w:pPr>
              <w:pStyle w:val="20"/>
              <w:spacing w:beforeAutospacing="0" w:afterAutospacing="0" w:line="276" w:lineRule="auto"/>
              <w:ind w:firstLine="56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shd w:val="clear" w:color="auto" w:fill="FFFFFF"/>
              </w:rPr>
              <w:t>第三十七条 有下列情形之一的，视为响应供应商串通投标，其投标无效：（一）不同响应供应商的投标文件由同一单位或者个人编制；（二）不同响应供应商委托同一单位或者个人办理投标事宜；（三）不同响应供应商的投标文件载明的项目管理成员或者联系人员为同一人；（四）不同响应供应商的投标文件异常一致或者投标报价呈规律性差异；（五）不同响应供应商的投标文件相互混装；（六）不同响应供应商的投标保证金从同一单位或者个人的账户转出。  </w:t>
            </w:r>
          </w:p>
        </w:tc>
      </w:tr>
    </w:tbl>
    <w:p>
      <w:pPr>
        <w:pStyle w:val="23"/>
        <w:ind w:firstLine="0" w:firstLineChars="0"/>
        <w:rPr>
          <w:rFonts w:hint="eastAsia" w:ascii="宋体" w:hAnsi="宋体" w:eastAsia="宋体" w:cs="宋体"/>
          <w:highlight w:val="none"/>
        </w:rPr>
        <w:sectPr>
          <w:headerReference r:id="rId6" w:type="default"/>
          <w:footerReference r:id="rId7" w:type="default"/>
          <w:pgSz w:w="11911" w:h="16849"/>
          <w:pgMar w:top="1378" w:right="901" w:bottom="1162" w:left="1480" w:header="0" w:footer="981" w:gutter="0"/>
          <w:cols w:space="0" w:num="1"/>
        </w:sectPr>
      </w:pPr>
    </w:p>
    <w:p>
      <w:pPr>
        <w:keepLines/>
        <w:pageBreakBefore/>
        <w:jc w:val="center"/>
        <w:outlineLvl w:val="0"/>
        <w:rPr>
          <w:rFonts w:hint="eastAsia" w:ascii="宋体" w:hAnsi="宋体" w:eastAsia="宋体" w:cs="宋体"/>
          <w:b/>
          <w:sz w:val="36"/>
          <w:highlight w:val="none"/>
        </w:rPr>
      </w:pPr>
      <w:bookmarkStart w:id="125" w:name="_Toc10414"/>
      <w:bookmarkStart w:id="126" w:name="_Toc25112"/>
      <w:bookmarkStart w:id="127" w:name="_Toc16482"/>
      <w:bookmarkStart w:id="128" w:name="_Toc83718701"/>
      <w:bookmarkStart w:id="129" w:name="_Toc30387"/>
      <w:bookmarkStart w:id="130" w:name="_Toc24461"/>
      <w:bookmarkStart w:id="131" w:name="_Toc21224"/>
      <w:bookmarkStart w:id="132" w:name="_Toc24345"/>
      <w:r>
        <w:rPr>
          <w:rFonts w:hint="eastAsia" w:ascii="宋体" w:hAnsi="宋体" w:eastAsia="宋体" w:cs="宋体"/>
          <w:b/>
          <w:bCs/>
          <w:sz w:val="36"/>
          <w:highlight w:val="none"/>
        </w:rPr>
        <w:t>第四章</w:t>
      </w:r>
      <w:r>
        <w:rPr>
          <w:rFonts w:hint="eastAsia" w:ascii="宋体" w:hAnsi="宋体" w:eastAsia="宋体" w:cs="宋体"/>
          <w:b/>
          <w:sz w:val="36"/>
          <w:highlight w:val="none"/>
        </w:rPr>
        <w:t xml:space="preserve"> 采购合同（参考文本）</w:t>
      </w:r>
      <w:bookmarkEnd w:id="125"/>
      <w:bookmarkEnd w:id="126"/>
      <w:bookmarkEnd w:id="127"/>
      <w:bookmarkEnd w:id="128"/>
    </w:p>
    <w:p>
      <w:pPr>
        <w:spacing w:before="120"/>
        <w:rPr>
          <w:rFonts w:hint="eastAsia" w:ascii="宋体" w:hAnsi="宋体" w:eastAsia="宋体" w:cs="宋体"/>
          <w:sz w:val="24"/>
          <w:highlight w:val="none"/>
        </w:rPr>
      </w:pP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9540" w:type="dxa"/>
            <w:tcBorders>
              <w:top w:val="single" w:color="auto" w:sz="4" w:space="0"/>
              <w:left w:val="single" w:color="auto" w:sz="4" w:space="0"/>
              <w:bottom w:val="single" w:color="auto" w:sz="4" w:space="0"/>
              <w:right w:val="single" w:color="auto" w:sz="4" w:space="0"/>
            </w:tcBorders>
          </w:tcPr>
          <w:p>
            <w:pPr>
              <w:spacing w:before="120" w:line="360" w:lineRule="auto"/>
              <w:ind w:left="105"/>
              <w:rPr>
                <w:rFonts w:hint="eastAsia" w:ascii="宋体" w:hAnsi="宋体" w:eastAsia="宋体" w:cs="宋体"/>
                <w:sz w:val="24"/>
                <w:highlight w:val="none"/>
              </w:rPr>
            </w:pPr>
            <w:r>
              <w:rPr>
                <w:rFonts w:hint="eastAsia" w:ascii="宋体" w:hAnsi="宋体" w:eastAsia="宋体" w:cs="宋体"/>
                <w:sz w:val="24"/>
                <w:highlight w:val="none"/>
              </w:rPr>
              <w:t>注释：</w:t>
            </w:r>
          </w:p>
          <w:p>
            <w:pPr>
              <w:spacing w:line="360" w:lineRule="auto"/>
              <w:ind w:firstLine="720" w:firstLineChars="300"/>
              <w:rPr>
                <w:rFonts w:hint="eastAsia" w:ascii="宋体" w:hAnsi="宋体" w:eastAsia="宋体" w:cs="宋体"/>
                <w:b/>
                <w:spacing w:val="20"/>
                <w:sz w:val="24"/>
                <w:highlight w:val="none"/>
              </w:rPr>
            </w:pPr>
            <w:r>
              <w:rPr>
                <w:rFonts w:hint="eastAsia" w:ascii="宋体" w:hAnsi="宋体" w:eastAsia="宋体" w:cs="宋体"/>
                <w:sz w:val="24"/>
                <w:highlight w:val="none"/>
              </w:rPr>
              <w:t>本格式条款仅作为双方签订合同的参考，为阐明各方的权利和义务，经协商可增加新的条款。但不得与比选文件、响应文件的实质性内容相背离。</w:t>
            </w:r>
          </w:p>
        </w:tc>
      </w:tr>
      <w:bookmarkEnd w:id="129"/>
    </w:tbl>
    <w:p>
      <w:pPr>
        <w:spacing w:before="120" w:line="500" w:lineRule="exact"/>
        <w:rPr>
          <w:rFonts w:ascii="Times New Roman" w:hAnsi="Times New Roman"/>
          <w:color w:val="000000"/>
          <w:sz w:val="24"/>
          <w:highlight w:val="none"/>
        </w:rPr>
      </w:pPr>
    </w:p>
    <w:p>
      <w:pPr>
        <w:spacing w:line="500" w:lineRule="exact"/>
        <w:ind w:left="-284"/>
        <w:jc w:val="right"/>
        <w:rPr>
          <w:rFonts w:hint="eastAsia" w:ascii="仿宋" w:hAnsi="仿宋" w:eastAsia="仿宋" w:cs="仿宋"/>
          <w:sz w:val="24"/>
          <w:highlight w:val="none"/>
        </w:rPr>
      </w:pPr>
      <w:r>
        <w:rPr>
          <w:rFonts w:hint="eastAsia" w:ascii="Times New Roman" w:hAnsi="Times New Roman" w:eastAsia="仿宋_GB2312"/>
          <w:sz w:val="24"/>
          <w:highlight w:val="none"/>
        </w:rPr>
        <w:t xml:space="preserve">                                   </w:t>
      </w:r>
      <w:r>
        <w:rPr>
          <w:rFonts w:hint="eastAsia" w:ascii="仿宋" w:hAnsi="仿宋" w:eastAsia="仿宋" w:cs="仿宋"/>
          <w:sz w:val="24"/>
          <w:highlight w:val="none"/>
        </w:rPr>
        <w:t xml:space="preserve"> 合同编号：</w:t>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rPr>
        <w:t>甲方（采购人）：中华人民共和国高崎出入境边防检查站</w:t>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rPr>
        <w:t>乙方（供应商）：</w:t>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rPr>
        <w:t>乙方（统一社会信用代码）：</w:t>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lang w:eastAsia="zh-CN"/>
        </w:rPr>
        <w:t>签订</w:t>
      </w:r>
      <w:r>
        <w:rPr>
          <w:rFonts w:hint="eastAsia" w:ascii="仿宋" w:hAnsi="仿宋" w:eastAsia="仿宋" w:cs="仿宋"/>
          <w:sz w:val="24"/>
          <w:highlight w:val="none"/>
        </w:rPr>
        <w:t>地点：福建省厦门市湖里区禾山路1626号</w:t>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lang w:eastAsia="zh-CN"/>
        </w:rPr>
        <w:t>签订</w:t>
      </w:r>
      <w:r>
        <w:rPr>
          <w:rFonts w:hint="eastAsia" w:ascii="仿宋" w:hAnsi="仿宋" w:eastAsia="仿宋" w:cs="仿宋"/>
          <w:sz w:val="24"/>
          <w:highlight w:val="none"/>
        </w:rPr>
        <w:t>日期：202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年    月    日</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根据项目编号为</w:t>
      </w:r>
      <w:r>
        <w:rPr>
          <w:rFonts w:hint="eastAsia" w:ascii="仿宋" w:hAnsi="仿宋" w:eastAsia="仿宋" w:cs="仿宋"/>
          <w:sz w:val="24"/>
          <w:highlight w:val="none"/>
          <w:lang w:eastAsia="zh-CN"/>
        </w:rPr>
        <w:t>2024GQ02</w:t>
      </w:r>
      <w:r>
        <w:rPr>
          <w:rFonts w:hint="eastAsia" w:ascii="仿宋" w:hAnsi="仿宋" w:eastAsia="仿宋" w:cs="仿宋"/>
          <w:sz w:val="24"/>
          <w:highlight w:val="none"/>
        </w:rPr>
        <w:t>中华人民共和国高崎出入境边防检查站</w:t>
      </w:r>
      <w:r>
        <w:rPr>
          <w:rFonts w:hint="eastAsia" w:ascii="仿宋" w:hAnsi="仿宋" w:eastAsia="仿宋" w:cs="仿宋"/>
          <w:sz w:val="24"/>
          <w:highlight w:val="none"/>
          <w:lang w:eastAsia="zh-CN"/>
        </w:rPr>
        <w:t>机房核心设备及配套软件维保服务项目</w:t>
      </w:r>
      <w:r>
        <w:rPr>
          <w:rFonts w:hint="eastAsia" w:ascii="仿宋" w:hAnsi="仿宋" w:eastAsia="仿宋" w:cs="仿宋"/>
          <w:sz w:val="24"/>
          <w:highlight w:val="none"/>
        </w:rPr>
        <w:t>（以下简称：“本项目”）的比选结果，乙方为成交人。现经甲乙双方友好协商，就以下事项达成一致并签订本合同：</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1、下列合同文件是构成本合同不可分割的部分：</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1.1合同条款；</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1.2比选文件、乙方的响应文件；</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1.3其他文件或材料：□无。□（若有联合协议或分包意向协议）。</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2、维保服务范围</w:t>
      </w:r>
    </w:p>
    <w:tbl>
      <w:tblPr>
        <w:tblStyle w:val="24"/>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3"/>
        <w:gridCol w:w="3374"/>
        <w:gridCol w:w="2964"/>
        <w:gridCol w:w="27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1"/>
                <w:szCs w:val="21"/>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序号</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1"/>
                <w:szCs w:val="21"/>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设备型号</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1"/>
                <w:szCs w:val="21"/>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设备用途</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1"/>
                <w:szCs w:val="21"/>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设备位置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macrosan MS2000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梅沙应用服务器存储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macrosan DSU2625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辅助核验服务器存储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RH5885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RH5885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存储 OCEANSTOROCEANSTOR 5500V3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存储 OCEANSTOROCEANSTOR 5500V3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RH2288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IBM 3650M4</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DELL 5510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DELL 5510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RH5885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RH2288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H3C R4900 G3 8SFF</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服务器 H3C R4900 G3 8SFF</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深信服 VDS-R-5050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办公网云桌面服务器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IBM System x3650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梅沙FTP服务器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IBM System x3650 M4</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中转服务器2</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IAPI服务器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新FTP服务器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执法记录仪服务器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OceanStor 5300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执法记录仪管理系统存储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5300V5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执法记录仪管理系统存储拓展柜</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DATAPP备份一体机</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数据备份一体机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网御星云 TD2000-YC-18C</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入侵检测系统</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绿盟NSFOCUS堡垒机</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办公网堡垒机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网御星云POWER-V2230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互联网防火墙</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北塔E100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中转网北塔系统</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VZ04011003</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VZ04011003</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OceanStor 5300 V5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虚拟化存储1</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OceanStor 5300 V5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虚拟化存储2</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虚拟化服务器1</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虚拟化服务器2</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虚拟化服务器3</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虚拟化服务器4</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虚拟化服务器5</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中转网服务器1</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中转网服务器2</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OceanStor 5300 V5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中转网存储1</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RH2288H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互联网服务器旧</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RH2288H V5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互联网服务器新</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IBM System x3250 M3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应用服务器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RH2288H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中转服务器1</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辅助合核验服务器虚拟化</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UniServer R4900 G3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辅助合核验服务器虚拟化</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监控网核心交换机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监控网核心交换机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S5700-28C-EI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入境双号交换机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高崎机场一楼入境机柜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S5700-28C-EI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入境单号交换机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高崎机场一楼入境机柜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 xml:space="preserve">华为交换机 </w:t>
            </w:r>
            <w:r>
              <w:rPr>
                <w:rStyle w:val="46"/>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 S5720-52P-SI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入境公安网交换机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高崎机场一楼入境机柜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H3C交换机 S7503E-S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二楼区域公安网交换机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高崎机场二楼机柜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S5700-28C-EI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二楼区域梅沙网交换机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高崎机场二楼机柜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华为交换机S5700-28C-EI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三楼区域梅沙网交换机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高崎机场三楼机柜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VZ04011003</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高崎站部办公楼6楼机房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OceanStor 5300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平台存储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五通三楼A机房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监控网核心交换机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五通三楼A机房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联想 system x3650 M5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应用服务器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联想 system x3650 M5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应用服务器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OA服务器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IBM system x3650 M3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网站服务器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DELL PowerEdge R710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技术FTP/梅沙虚拟机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IBM system x3650 M2</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公用FTP/DNS服务器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公安网核查比对服务器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RH5885H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面相比对服务器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 RH2288 V3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执法记录仪采集服务器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IBM system x3650 M3</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旅客信息系统服务器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梅沙网接入交换机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梅沙网接入交换机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网御星云POWER-V2230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互联网防火墙</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VZ04365001</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 SecPath F1030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VZ04365001</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五通三楼B机房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联想 system x3650 M5</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邮轮场地服务器</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S7706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公安网核心交换机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S5720-36PC-EI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S5720-52X-SI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扩建机房梅沙交换机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邮轮中心扩建机房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网御星云POWER-V2230</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监控网防火墙</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S5720-52P-LI-AC</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梅沙网交换机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H3C交换机 S7506</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站部公安网核心交换机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站部办公楼6楼机房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S5730-68C-SI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站部公安网接入交换机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站部办公楼6楼机房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华为交换机 S5720-52X-SI</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培训楼公安网接入交换机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站部培训楼2楼机房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伊顿9355-40-N-O-MBS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松下LC-PH12320ST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UPS电池（72节）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伊顿9355-40-N-O-MBS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松下LC-PH12320ST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UPS电池（72节）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华为UPS2000-G-20KRTL</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高崎机场二楼机房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高崎机场二楼机房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华为UPS2000-G-20KRTL</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高崎站部办公楼7楼UPS间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UPS电池（64节）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高崎站部办公楼7楼UPS间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CASTLE 3C15KS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CASTLE 3C15KS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邮轮中心出境机房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邮轮中心入境机房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111</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112</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113</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CASTLE 3C20KS</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UPS主机</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114</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松下LC-P12100ST</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UPS电池（32节）</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邮轮中心行政机房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115</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佳力图 MEAD702</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精密空调</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116</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佳力图 MEAD702</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精密空调</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117</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消防系统</w:t>
            </w:r>
          </w:p>
        </w:tc>
        <w:tc>
          <w:tcPr>
            <w:tcW w:w="2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包含火灾自动报警系统、气体灭火系统、管网系统</w:t>
            </w:r>
          </w:p>
        </w:tc>
        <w:tc>
          <w:tcPr>
            <w:tcW w:w="2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高崎机场负一楼中心机房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8"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118</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系统设备故障响应</w:t>
            </w:r>
          </w:p>
        </w:tc>
        <w:tc>
          <w:tcPr>
            <w:tcW w:w="5674"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7*24小时响应，接到通知后2小时到达现场处理，故障12小时内不能排除应立即提供替代方案或不低于原设备档次的替代备件。交换机、UPS主机和精密空调硬件故障由维护服务提供商负责维修并承担维修费用。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119</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系统设备巡检要求</w:t>
            </w:r>
          </w:p>
        </w:tc>
        <w:tc>
          <w:tcPr>
            <w:tcW w:w="567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每月1次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w:t>
            </w:r>
          </w:p>
        </w:tc>
        <w:tc>
          <w:tcPr>
            <w:tcW w:w="3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运维培训要求</w:t>
            </w:r>
          </w:p>
        </w:tc>
        <w:tc>
          <w:tcPr>
            <w:tcW w:w="567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免费HCIA、VMware、Oracle、Linux等相关软件基础培训</w:t>
            </w:r>
          </w:p>
        </w:tc>
      </w:tr>
    </w:tbl>
    <w:p>
      <w:pPr>
        <w:spacing w:line="50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在项目实施过程中，以上维保服务清单如果有变动以</w:t>
      </w:r>
      <w:r>
        <w:rPr>
          <w:rFonts w:hint="eastAsia" w:ascii="仿宋" w:hAnsi="仿宋" w:eastAsia="仿宋" w:cs="仿宋"/>
          <w:sz w:val="24"/>
          <w:highlight w:val="none"/>
          <w:lang w:val="en-US" w:eastAsia="zh-CN"/>
        </w:rPr>
        <w:t>甲方</w:t>
      </w:r>
      <w:r>
        <w:rPr>
          <w:rFonts w:hint="eastAsia" w:ascii="仿宋" w:hAnsi="仿宋" w:eastAsia="仿宋" w:cs="仿宋"/>
          <w:sz w:val="24"/>
          <w:highlight w:val="none"/>
        </w:rPr>
        <w:t>提供信息为准</w:t>
      </w:r>
      <w:r>
        <w:rPr>
          <w:rFonts w:hint="eastAsia" w:ascii="仿宋" w:hAnsi="仿宋" w:eastAsia="仿宋" w:cs="仿宋"/>
          <w:sz w:val="24"/>
          <w:highlight w:val="none"/>
          <w:lang w:eastAsia="zh-CN"/>
        </w:rPr>
        <w:t>。</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3、合同总金额</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3.1合同总金额为人民币大写：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4、合同标的交付时间、地点和条件</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4.1交付时间：合同签订日起生效，服务期一年。</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4.2交付地点：甲方指定地点；</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4.3交付条件： 经甲方验收合格 。</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5、合同标的应符合比选文件、乙方报价响应文件的规定或约定，具体如下：</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乙方按比选文件要求提供以下运维服务：</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本项服务由乙方提供机房核心设备的定期巡检，以及巡检和日常运行中发现发生的问题隐患、故障的处理解决以及零部件更换，包括但不限于以下内容。</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5.1 电气工程</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机房采用双回路UPS系统，具有系统高容错能力，高可靠性，为机房IT设备、精密空调设备、监控中心设备、安防设备、消防设备、应急照明提供可靠用电。定期巡检内容主要包括：低压配电柜检查及维护；电缆及母排检查、维护；UPS检查及维护；电池及电池开关柜巡检；照明线路常规巡检；PDU、工业连接器检查及维护；防雷与接地检查与维护等。</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维保内容及要求：</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配电系统故障维修；</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配电系统日常巡检；</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机房配电系统用电分析；</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机房整体供电系统风险隐患的排查及用电系统可靠性评估；</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各开关连接点的温度检测、外观检查；</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检查主电源线电压、相电压、各相电流。</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操作控制显示屏是否异常告警日志和异常参数，并分析和排查；</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检查UPS机柜上空气过滤网没有任何的堵塞物，清洁空气过滤网和出风口；</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主机输入/输出电压、电流和功率检测；</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异常音响噪音检查，主机过热检查；</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电缆和接线端子外皮是否有龟裂、掉渣、擦伤和破损等；</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UPS系统的维修及故障处理。</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电池联线的连接情况；</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电池外观物理检查</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rPr>
        <w:t>变形</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rPr>
        <w:t>漏液</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rPr>
        <w:t>；</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电池参数检查；</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浮充电压、电流的测量；</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检测电池内阻、放电测试；</w:t>
      </w:r>
    </w:p>
    <w:p>
      <w:pPr>
        <w:pStyle w:val="9"/>
        <w:numPr>
          <w:ilvl w:val="0"/>
          <w:numId w:val="14"/>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协助更换电池等。</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5.2 空调工程</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对空调系统设备、管道及其保温、各类阀门、压力表、温度计、过滤器、软连接、循环水泵、自动定压补水排气装置、全自动加药装置、水箱及水箱外保温、蓄冷罐设备、变频泵、水表和管道支架的巡检及维修；</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维保内容及要求：</w:t>
      </w:r>
    </w:p>
    <w:p>
      <w:pPr>
        <w:pStyle w:val="9"/>
        <w:numPr>
          <w:ilvl w:val="0"/>
          <w:numId w:val="15"/>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对内、外机表面清洁，保证设备无灰尘污渍；</w:t>
      </w:r>
    </w:p>
    <w:p>
      <w:pPr>
        <w:pStyle w:val="9"/>
        <w:numPr>
          <w:ilvl w:val="0"/>
          <w:numId w:val="15"/>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定期免费更换室内机空气过滤网、皮带；</w:t>
      </w:r>
    </w:p>
    <w:p>
      <w:pPr>
        <w:pStyle w:val="9"/>
        <w:numPr>
          <w:ilvl w:val="0"/>
          <w:numId w:val="15"/>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清洁加湿器和冷凝水盘，清理排水系统，每年免费更换一次加湿器；</w:t>
      </w:r>
    </w:p>
    <w:p>
      <w:pPr>
        <w:pStyle w:val="9"/>
        <w:numPr>
          <w:ilvl w:val="0"/>
          <w:numId w:val="15"/>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检测风机系统、加湿系统、制冷系统、电气控制系统相应电源与控制线插接、功能；</w:t>
      </w:r>
    </w:p>
    <w:p>
      <w:pPr>
        <w:pStyle w:val="9"/>
        <w:numPr>
          <w:ilvl w:val="0"/>
          <w:numId w:val="15"/>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检测精密空调功能状态，维修各类故障；</w:t>
      </w:r>
    </w:p>
    <w:p>
      <w:pPr>
        <w:pStyle w:val="9"/>
        <w:numPr>
          <w:ilvl w:val="0"/>
          <w:numId w:val="15"/>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根据场地环境实际温湿度，调整优化空调系统运转参数等。</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5.3消防工程</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维保内容及要求：</w:t>
      </w:r>
    </w:p>
    <w:p>
      <w:pPr>
        <w:pStyle w:val="9"/>
        <w:numPr>
          <w:ilvl w:val="0"/>
          <w:numId w:val="16"/>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对消防系统各设备、元器件、部件进行检测、保养、维修；</w:t>
      </w:r>
    </w:p>
    <w:p>
      <w:pPr>
        <w:pStyle w:val="9"/>
        <w:numPr>
          <w:ilvl w:val="0"/>
          <w:numId w:val="16"/>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定期消防模拟演练测试；</w:t>
      </w:r>
    </w:p>
    <w:p>
      <w:pPr>
        <w:pStyle w:val="9"/>
        <w:numPr>
          <w:ilvl w:val="0"/>
          <w:numId w:val="16"/>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烟感温感灵敏度测试，检查气瓶的气压和管道的连接；</w:t>
      </w:r>
    </w:p>
    <w:p>
      <w:pPr>
        <w:pStyle w:val="9"/>
        <w:numPr>
          <w:ilvl w:val="0"/>
          <w:numId w:val="16"/>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检查消防报警的声光警铃的工作情况、主机的运行情况及消防联动控制的可靠性；</w:t>
      </w:r>
    </w:p>
    <w:p>
      <w:pPr>
        <w:pStyle w:val="9"/>
        <w:numPr>
          <w:ilvl w:val="0"/>
          <w:numId w:val="16"/>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检查气瓶气压、主机主电备电情况；</w:t>
      </w:r>
    </w:p>
    <w:p>
      <w:pPr>
        <w:pStyle w:val="9"/>
        <w:numPr>
          <w:ilvl w:val="0"/>
          <w:numId w:val="16"/>
        </w:numPr>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协助采购人更换消防气体控制盘蓄电池组更换等。</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5.4服务器、存储、网络等</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对维保设备进行日常的保养、维护、故障排除等工作，重点查看交换机、服务器、应用平台等的使用情况，检查上述设备（系统）的使用日志，并对上述设备（系统）进行检测巡检和保养，向采购人提供检测巡检报告并经采购人确认。以保证上述设备（系统）能顺畅、稳定运行，最大限度减少故障的发生。</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5.5维护服务要求</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乙方应具有完善的维保服务管理体系，提供详细的维保服务方案、维修应急方案、备品备件清单、安全保密承诺等，并为本项目提供专业的维护队伍，保证系统的正常运行。</w:t>
      </w:r>
    </w:p>
    <w:p>
      <w:pPr>
        <w:pStyle w:val="9"/>
        <w:numPr>
          <w:ilvl w:val="0"/>
          <w:numId w:val="17"/>
        </w:numPr>
        <w:spacing w:line="500" w:lineRule="exact"/>
        <w:ind w:left="0" w:firstLine="480"/>
        <w:jc w:val="left"/>
        <w:rPr>
          <w:rFonts w:hint="eastAsia" w:ascii="仿宋" w:hAnsi="仿宋" w:eastAsia="仿宋" w:cs="仿宋"/>
          <w:b/>
          <w:sz w:val="22"/>
          <w:szCs w:val="22"/>
          <w:highlight w:val="none"/>
        </w:rPr>
      </w:pPr>
      <w:r>
        <w:rPr>
          <w:rFonts w:hint="eastAsia" w:ascii="仿宋" w:hAnsi="仿宋" w:eastAsia="仿宋" w:cs="仿宋"/>
          <w:b/>
          <w:sz w:val="22"/>
          <w:szCs w:val="22"/>
          <w:highlight w:val="none"/>
        </w:rPr>
        <w:t>★</w:t>
      </w:r>
      <w:r>
        <w:rPr>
          <w:rFonts w:hint="eastAsia" w:ascii="仿宋" w:hAnsi="仿宋" w:eastAsia="仿宋" w:cs="仿宋"/>
          <w:sz w:val="22"/>
          <w:szCs w:val="22"/>
          <w:highlight w:val="none"/>
        </w:rPr>
        <w:t>乙方</w:t>
      </w:r>
      <w:r>
        <w:rPr>
          <w:rFonts w:hint="eastAsia" w:ascii="仿宋" w:hAnsi="仿宋" w:eastAsia="仿宋" w:cs="仿宋"/>
          <w:b/>
          <w:sz w:val="22"/>
          <w:szCs w:val="22"/>
          <w:highlight w:val="none"/>
        </w:rPr>
        <w:t>须与甲方就</w:t>
      </w:r>
      <w:r>
        <w:rPr>
          <w:rFonts w:hint="eastAsia" w:ascii="仿宋" w:hAnsi="仿宋" w:eastAsia="仿宋" w:cs="仿宋"/>
          <w:b/>
          <w:sz w:val="22"/>
          <w:szCs w:val="22"/>
          <w:highlight w:val="none"/>
          <w:lang w:eastAsia="zh-CN"/>
        </w:rPr>
        <w:t>机房核心设备及配套软件维保服务项目</w:t>
      </w:r>
      <w:r>
        <w:rPr>
          <w:rFonts w:hint="eastAsia" w:ascii="仿宋" w:hAnsi="仿宋" w:eastAsia="仿宋" w:cs="仿宋"/>
          <w:b/>
          <w:sz w:val="22"/>
          <w:szCs w:val="22"/>
          <w:highlight w:val="none"/>
        </w:rPr>
        <w:t>签署相关保密协议，做好设备系统保密工作。</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所提供的技术维保服务包含技术服务及交换机、UPS主机和精密空调硬件故障硬件维修及更换费用，不包含其他硬件维修更换及涉及采购人专有应用类软件版本升级或更新的费用，如果相关硬件维修更换或软件升级更新不涉及费用或采购方已付清费用，响应供应商须配合采购人做好硬件维修更换以及相关升级。</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每月对维保服务内容至少进行一次全方位保养维护检查（具体要求详见维保清单）；定期总结基础设施运维情况，开展运维分析，提出优化建议；配合甲方不定期的现场抽检，检查各个维护系统的当前工况与维护工程师记录的数据是否一致；建立和维护基础设施运维文档。</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若乙方无法满足采购人软硬件维保需求、响应时间与质量，甲方可单方面终止合同，且不承担任何赔偿责任。</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乙方应提供详细的故障排查、维修及应急预案等解决方案。为甲方提供 7×24 小时的现场响应服务，解决保修范围内系统（设备）的所有故障。乙方须设有 24 小时应急电话，应急小组人员 24 小时手机处于开机状态，应急小组人员在接到应急电话后，根据故障的紧急程度，及时赶到现场维护。（7*24小时响应，接通知后</w:t>
      </w:r>
      <w:r>
        <w:rPr>
          <w:rFonts w:hint="eastAsia" w:ascii="仿宋" w:hAnsi="仿宋" w:eastAsia="仿宋" w:cs="仿宋"/>
          <w:sz w:val="22"/>
          <w:szCs w:val="22"/>
          <w:highlight w:val="none"/>
          <w:lang w:val="en-US" w:eastAsia="zh-CN"/>
        </w:rPr>
        <w:t>2</w:t>
      </w:r>
      <w:r>
        <w:rPr>
          <w:rFonts w:hint="eastAsia" w:ascii="仿宋" w:hAnsi="仿宋" w:eastAsia="仿宋" w:cs="仿宋"/>
          <w:sz w:val="22"/>
          <w:szCs w:val="22"/>
          <w:highlight w:val="none"/>
        </w:rPr>
        <w:t>小时到达现场处理，故障12小时内不能排除应立即提供替代方案或不低于原设备档次的替代备件，交换机、UPS主机和精密空调硬件故障由维护服务提供商负责维修并承担维修费用。）</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b/>
          <w:sz w:val="22"/>
          <w:szCs w:val="22"/>
          <w:highlight w:val="none"/>
        </w:rPr>
        <w:t>★为保证DATAPP备份一体机、入侵检查和防火墙设备的安全，</w:t>
      </w:r>
      <w:r>
        <w:rPr>
          <w:rFonts w:hint="eastAsia" w:ascii="仿宋" w:hAnsi="仿宋" w:eastAsia="仿宋" w:cs="仿宋"/>
          <w:sz w:val="22"/>
          <w:szCs w:val="22"/>
          <w:highlight w:val="none"/>
        </w:rPr>
        <w:t>乙方</w:t>
      </w:r>
      <w:r>
        <w:rPr>
          <w:rFonts w:hint="eastAsia" w:ascii="仿宋" w:hAnsi="仿宋" w:eastAsia="仿宋" w:cs="仿宋"/>
          <w:b/>
          <w:sz w:val="22"/>
          <w:szCs w:val="22"/>
          <w:highlight w:val="none"/>
        </w:rPr>
        <w:t>应承诺成交后从入侵检查和防火墙生产厂商购买维保服务，根据甲方的需要，将维保清单中DATAPP备份一体机、入侵检查和防火墙设备的系统软件升级到最新稳定版本，并保证后续及时更新补丁、修复漏洞、系统安全加固、提升安全保障能力，以确保DATAPP备份一体机、入侵检查和防火墙系统的运行安全。</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乙方维护期间配合甲方定期开展应急演练，保障维保服务的信息系统正常运行。</w:t>
      </w:r>
    </w:p>
    <w:p>
      <w:pPr>
        <w:pStyle w:val="9"/>
        <w:numPr>
          <w:ilvl w:val="0"/>
          <w:numId w:val="17"/>
        </w:numPr>
        <w:spacing w:line="500" w:lineRule="exact"/>
        <w:ind w:left="0" w:firstLine="480"/>
        <w:jc w:val="left"/>
        <w:rPr>
          <w:rFonts w:hint="eastAsia" w:ascii="仿宋" w:hAnsi="仿宋" w:eastAsia="仿宋" w:cs="仿宋"/>
          <w:b/>
          <w:sz w:val="22"/>
          <w:szCs w:val="22"/>
          <w:highlight w:val="none"/>
        </w:rPr>
      </w:pPr>
      <w:r>
        <w:rPr>
          <w:rFonts w:hint="eastAsia" w:ascii="仿宋" w:hAnsi="仿宋" w:eastAsia="仿宋" w:cs="仿宋"/>
          <w:b w:val="0"/>
          <w:bCs w:val="0"/>
          <w:sz w:val="22"/>
          <w:szCs w:val="22"/>
          <w:highlight w:val="none"/>
        </w:rPr>
        <w:t>乙方须拥有能够满足本采购项目所需要的备品备件库，并提供备品备件库的相关信息（如备件清单等）。故障12小时内不能排除且采购人无相应备品备件替代时，供应商可紧急为采购人提供不低于原设备档次的替代备件。交换机、UPS主机和精密空调硬件故障由维护服务提供商负责维修并承担维修费用。其他备品备件由采购人按实购买，成交供应商负责免费更换。</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用于更换的硬件必须是全新，未使用过的原制造商产品，如确需应急，在征得甲方同意后，可先使用旧硬件，待新品到货后，重新更换。如需采用其他品牌的硬件必须经甲方同意，并承诺保证其性能等同于或高于原设备性能。如甲方自行对保修设备进行升级，则升级后新系统（设备）自动纳入本项目保修范围。</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为了避免工作事故、人身与设备损伤，也为了保持良好工作秩序，乙方人员在现场期间，应遵守采购人的规章制度</w:t>
      </w:r>
      <w:r>
        <w:rPr>
          <w:rFonts w:hint="eastAsia" w:ascii="仿宋" w:hAnsi="仿宋" w:eastAsia="仿宋" w:cs="仿宋"/>
          <w:sz w:val="22"/>
          <w:szCs w:val="22"/>
          <w:highlight w:val="none"/>
          <w:lang w:eastAsia="zh-CN"/>
        </w:rPr>
        <w:t>及其他</w:t>
      </w:r>
      <w:r>
        <w:rPr>
          <w:rFonts w:hint="eastAsia" w:ascii="仿宋" w:hAnsi="仿宋" w:eastAsia="仿宋" w:cs="仿宋"/>
          <w:sz w:val="22"/>
          <w:szCs w:val="22"/>
          <w:highlight w:val="none"/>
        </w:rPr>
        <w:t>由采购人提出来的规定。乙方应对所属人员进行安全教育并采取严格的安全措施，承担由于自身原因所造成的事故责任及其发生的一切费用。</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乙方应具有信息机房领域丰富的维护经验，给甲方提供机房日常运维技术支持服务，包括提供机房各系统的设计、变更、维护、升级改造及日常管理方案。</w:t>
      </w:r>
    </w:p>
    <w:p>
      <w:pPr>
        <w:pStyle w:val="9"/>
        <w:numPr>
          <w:ilvl w:val="0"/>
          <w:numId w:val="17"/>
        </w:numPr>
        <w:spacing w:line="500" w:lineRule="exact"/>
        <w:ind w:left="0" w:firstLine="42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乙方每年需提供网络、VMware、Oracle、Linux等相关软件的基础培训。</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乙方应为本项目提供专业的服务团队并提供服务人员的详细信息。</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乙方应承诺在接到甲方的维保服务需求后，如因自身力量无法完成服务的，需立即协调原厂技术人员提供服务，所产生费用由成交供应商承担。</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乙方应积极开展相关运维服务档案资料建设，对运维明细、维修维护、备品备件等实施科学的记录，有利于甲方对档案进行查询。</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乙方应积极协助甲方进行日常维护工作及辅助建设，并提供相应的技术咨询服务，对甲方开展相关信息系统运维培训，制定并实施合理</w:t>
      </w:r>
      <w:r>
        <w:rPr>
          <w:rFonts w:hint="eastAsia" w:ascii="仿宋" w:hAnsi="仿宋" w:eastAsia="仿宋" w:cs="仿宋"/>
          <w:sz w:val="22"/>
          <w:szCs w:val="22"/>
          <w:highlight w:val="none"/>
          <w:lang w:eastAsia="zh-CN"/>
        </w:rPr>
        <w:t>科学</w:t>
      </w:r>
      <w:r>
        <w:rPr>
          <w:rFonts w:hint="eastAsia" w:ascii="仿宋" w:hAnsi="仿宋" w:eastAsia="仿宋" w:cs="仿宋"/>
          <w:sz w:val="22"/>
          <w:szCs w:val="22"/>
          <w:highlight w:val="none"/>
        </w:rPr>
        <w:t>可行的培训计划，提高甲方的运维水平。</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须承诺配合甲方做好信息系统、网络、数据等安全保密工作，必须与甲方就软硬件维保服务签署相关保密协议及承诺函，遵守甲方关于信息化合作企业管理、外来人员管理、网络及信息安全管理、进入机房管理、数据保密可靠等各项规定及要求。服务人员须与甲方签订保密协议及安全承诺函，遵守甲方关于保密安全的规章制度。</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乙方不得将本项目内容部分或全部转包他人。</w:t>
      </w:r>
    </w:p>
    <w:p>
      <w:pPr>
        <w:pStyle w:val="9"/>
        <w:numPr>
          <w:ilvl w:val="0"/>
          <w:numId w:val="17"/>
        </w:numPr>
        <w:spacing w:line="500" w:lineRule="exact"/>
        <w:ind w:left="0" w:firstLine="48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服务人员要求</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①项目经理：要求具有项目管理能力和丰富工作经验，具有较强的客户服务意识和沟通能力。负责双方的技术交流、协助管理乙方选派的服务人员、协助重要的技术服务需求的技术支持、同时接受反馈意见、协助改善技术服务质量。</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②服务工程师：具备相关软件硬件运维技能和工作经验，具有机房建设及运维的专业知识，并要求对本项目各系统的维护操作非常熟悉。</w:t>
      </w:r>
    </w:p>
    <w:p>
      <w:pPr>
        <w:pStyle w:val="9"/>
        <w:spacing w:line="500" w:lineRule="exact"/>
        <w:ind w:firstLine="440" w:firstLineChars="200"/>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③乙方须保证拟投入本项目服务人员固定，需提供人员名单；如因不可抗力或特殊情况需要更换服务人员的，更换前须征得甲方同意且更换人员的资质不得低于原有的。</w:t>
      </w:r>
    </w:p>
    <w:p>
      <w:pPr>
        <w:pStyle w:val="9"/>
        <w:numPr>
          <w:ilvl w:val="0"/>
          <w:numId w:val="17"/>
        </w:numPr>
        <w:spacing w:line="500" w:lineRule="exact"/>
        <w:ind w:left="0" w:firstLine="480"/>
        <w:jc w:val="left"/>
        <w:rPr>
          <w:rFonts w:hint="eastAsia" w:ascii="仿宋" w:hAnsi="仿宋" w:eastAsia="仿宋" w:cs="仿宋"/>
          <w:sz w:val="20"/>
          <w:szCs w:val="18"/>
          <w:highlight w:val="none"/>
        </w:rPr>
      </w:pPr>
      <w:r>
        <w:rPr>
          <w:rFonts w:hint="eastAsia" w:ascii="仿宋" w:hAnsi="仿宋" w:eastAsia="仿宋" w:cs="仿宋"/>
          <w:sz w:val="22"/>
          <w:szCs w:val="22"/>
          <w:highlight w:val="none"/>
        </w:rPr>
        <w:t>服务期内，维保项目中包含的部分设备不再需要使用时，甲方可提前通知，不再对该设备进行维保服务，相关费用按照响应文件及合同条款中的明细进行计算，在验收结算时扣除相关费用。</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6、验收</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①验收依据：比选文件、响应文件、合同、维护记录、国家有关的质量标准规定，均为验收依据。</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②维保服务期内，</w:t>
      </w:r>
      <w:r>
        <w:rPr>
          <w:rFonts w:hint="eastAsia" w:ascii="仿宋" w:hAnsi="仿宋" w:eastAsia="仿宋" w:cs="仿宋"/>
          <w:sz w:val="24"/>
          <w:highlight w:val="none"/>
          <w:lang w:val="en-US" w:eastAsia="zh-CN"/>
        </w:rPr>
        <w:t>甲方</w:t>
      </w:r>
      <w:r>
        <w:rPr>
          <w:rFonts w:hint="eastAsia" w:ascii="仿宋" w:hAnsi="仿宋" w:eastAsia="仿宋" w:cs="仿宋"/>
          <w:sz w:val="24"/>
          <w:highlight w:val="none"/>
        </w:rPr>
        <w:t>将跟踪成交供应商维保服务情况，如果出现不满足比选文件服务要求的，将予以提醒或警告，出现严重失误的，</w:t>
      </w:r>
      <w:r>
        <w:rPr>
          <w:rFonts w:hint="eastAsia" w:ascii="仿宋" w:hAnsi="仿宋" w:eastAsia="仿宋" w:cs="仿宋"/>
          <w:sz w:val="24"/>
          <w:highlight w:val="none"/>
          <w:lang w:val="en-US" w:eastAsia="zh-CN"/>
        </w:rPr>
        <w:t>甲方</w:t>
      </w:r>
      <w:r>
        <w:rPr>
          <w:rFonts w:hint="eastAsia" w:ascii="仿宋" w:hAnsi="仿宋" w:eastAsia="仿宋" w:cs="仿宋"/>
          <w:sz w:val="24"/>
          <w:highlight w:val="none"/>
        </w:rPr>
        <w:t>有权对</w:t>
      </w:r>
      <w:r>
        <w:rPr>
          <w:rFonts w:hint="eastAsia" w:ascii="仿宋" w:hAnsi="仿宋" w:eastAsia="仿宋" w:cs="仿宋"/>
          <w:sz w:val="24"/>
          <w:highlight w:val="none"/>
          <w:lang w:val="en-US" w:eastAsia="zh-CN"/>
        </w:rPr>
        <w:t>乙方</w:t>
      </w:r>
      <w:r>
        <w:rPr>
          <w:rFonts w:hint="eastAsia" w:ascii="仿宋" w:hAnsi="仿宋" w:eastAsia="仿宋" w:cs="仿宋"/>
          <w:sz w:val="24"/>
          <w:highlight w:val="none"/>
        </w:rPr>
        <w:t xml:space="preserve">进行处罚直至解除维保合同。 </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7、合同款项的支付按照比选文件的规定进行，具体如下：</w:t>
      </w:r>
    </w:p>
    <w:p>
      <w:pPr>
        <w:pStyle w:val="9"/>
        <w:spacing w:line="500" w:lineRule="exact"/>
        <w:ind w:firstLine="440" w:firstLineChars="200"/>
        <w:jc w:val="left"/>
        <w:rPr>
          <w:rFonts w:hint="eastAsia" w:ascii="仿宋" w:hAnsi="仿宋" w:eastAsia="仿宋" w:cs="仿宋"/>
          <w:highlight w:val="none"/>
        </w:rPr>
      </w:pPr>
      <w:r>
        <w:rPr>
          <w:rFonts w:hint="eastAsia" w:ascii="仿宋" w:hAnsi="仿宋" w:eastAsia="仿宋" w:cs="仿宋"/>
          <w:sz w:val="22"/>
          <w:szCs w:val="22"/>
          <w:highlight w:val="none"/>
        </w:rPr>
        <w:t>本合同签订后，</w:t>
      </w:r>
      <w:r>
        <w:rPr>
          <w:rFonts w:hint="eastAsia" w:ascii="仿宋" w:hAnsi="仿宋" w:eastAsia="仿宋" w:cs="仿宋"/>
          <w:sz w:val="22"/>
          <w:szCs w:val="22"/>
          <w:highlight w:val="none"/>
          <w:lang w:val="en-US" w:eastAsia="zh-CN"/>
        </w:rPr>
        <w:t>甲方</w:t>
      </w:r>
      <w:r>
        <w:rPr>
          <w:rFonts w:hint="eastAsia" w:ascii="仿宋" w:hAnsi="仿宋" w:eastAsia="仿宋" w:cs="仿宋"/>
          <w:sz w:val="22"/>
          <w:szCs w:val="22"/>
          <w:highlight w:val="none"/>
        </w:rPr>
        <w:t>在收到</w:t>
      </w:r>
      <w:r>
        <w:rPr>
          <w:rFonts w:hint="eastAsia" w:ascii="仿宋" w:hAnsi="仿宋" w:eastAsia="仿宋" w:cs="仿宋"/>
          <w:sz w:val="22"/>
          <w:szCs w:val="22"/>
          <w:highlight w:val="none"/>
          <w:lang w:val="en-US" w:eastAsia="zh-CN"/>
        </w:rPr>
        <w:t>乙方</w:t>
      </w:r>
      <w:r>
        <w:rPr>
          <w:rFonts w:hint="eastAsia" w:ascii="仿宋" w:hAnsi="仿宋" w:eastAsia="仿宋" w:cs="仿宋"/>
          <w:sz w:val="22"/>
          <w:szCs w:val="22"/>
          <w:highlight w:val="none"/>
        </w:rPr>
        <w:t>开具等额、合法发票后的7个工作日之内，向</w:t>
      </w:r>
      <w:r>
        <w:rPr>
          <w:rFonts w:hint="eastAsia" w:ascii="仿宋" w:hAnsi="仿宋" w:eastAsia="仿宋" w:cs="仿宋"/>
          <w:sz w:val="22"/>
          <w:szCs w:val="22"/>
          <w:highlight w:val="none"/>
          <w:lang w:val="en-US" w:eastAsia="zh-CN"/>
        </w:rPr>
        <w:t>乙方</w:t>
      </w:r>
      <w:r>
        <w:rPr>
          <w:rFonts w:hint="eastAsia" w:ascii="仿宋" w:hAnsi="仿宋" w:eastAsia="仿宋" w:cs="仿宋"/>
          <w:sz w:val="22"/>
          <w:szCs w:val="22"/>
          <w:highlight w:val="none"/>
        </w:rPr>
        <w:t>支付合同总额的</w:t>
      </w:r>
      <w:r>
        <w:rPr>
          <w:rFonts w:hint="eastAsia" w:ascii="仿宋" w:hAnsi="仿宋" w:eastAsia="仿宋" w:cs="仿宋"/>
          <w:sz w:val="22"/>
          <w:szCs w:val="22"/>
          <w:highlight w:val="none"/>
          <w:lang w:val="en-US" w:eastAsia="zh-CN"/>
        </w:rPr>
        <w:t>6</w:t>
      </w:r>
      <w:r>
        <w:rPr>
          <w:rFonts w:hint="eastAsia" w:ascii="仿宋" w:hAnsi="仿宋" w:eastAsia="仿宋" w:cs="仿宋"/>
          <w:sz w:val="22"/>
          <w:szCs w:val="22"/>
          <w:highlight w:val="none"/>
        </w:rPr>
        <w:t>0%，剩余合同总额</w:t>
      </w:r>
      <w:r>
        <w:rPr>
          <w:rFonts w:hint="eastAsia" w:ascii="仿宋" w:hAnsi="仿宋" w:eastAsia="仿宋" w:cs="仿宋"/>
          <w:sz w:val="22"/>
          <w:szCs w:val="22"/>
          <w:highlight w:val="none"/>
          <w:lang w:val="en-US" w:eastAsia="zh-CN"/>
        </w:rPr>
        <w:t>4</w:t>
      </w:r>
      <w:r>
        <w:rPr>
          <w:rFonts w:hint="eastAsia" w:ascii="仿宋" w:hAnsi="仿宋" w:eastAsia="仿宋" w:cs="仿宋"/>
          <w:sz w:val="22"/>
          <w:szCs w:val="22"/>
          <w:highlight w:val="none"/>
        </w:rPr>
        <w:t>0%于合同签订之日起6个月后，</w:t>
      </w:r>
      <w:r>
        <w:rPr>
          <w:rFonts w:hint="eastAsia" w:ascii="仿宋" w:hAnsi="仿宋" w:eastAsia="仿宋" w:cs="仿宋"/>
          <w:sz w:val="22"/>
          <w:szCs w:val="22"/>
          <w:highlight w:val="none"/>
          <w:lang w:val="en-US" w:eastAsia="zh-CN"/>
        </w:rPr>
        <w:t>甲方</w:t>
      </w:r>
      <w:r>
        <w:rPr>
          <w:rFonts w:hint="eastAsia" w:ascii="仿宋" w:hAnsi="仿宋" w:eastAsia="仿宋" w:cs="仿宋"/>
          <w:sz w:val="22"/>
          <w:szCs w:val="22"/>
          <w:highlight w:val="none"/>
        </w:rPr>
        <w:t>收到</w:t>
      </w:r>
      <w:r>
        <w:rPr>
          <w:rFonts w:hint="eastAsia" w:ascii="仿宋" w:hAnsi="仿宋" w:eastAsia="仿宋" w:cs="仿宋"/>
          <w:sz w:val="22"/>
          <w:szCs w:val="22"/>
          <w:highlight w:val="none"/>
          <w:lang w:val="en-US" w:eastAsia="zh-CN"/>
        </w:rPr>
        <w:t>乙方</w:t>
      </w:r>
      <w:r>
        <w:rPr>
          <w:rFonts w:hint="eastAsia" w:ascii="仿宋" w:hAnsi="仿宋" w:eastAsia="仿宋" w:cs="仿宋"/>
          <w:sz w:val="22"/>
          <w:szCs w:val="22"/>
          <w:highlight w:val="none"/>
        </w:rPr>
        <w:t>开具等额、合法发票后的7个工作日内支付。</w:t>
      </w:r>
      <w:r>
        <w:rPr>
          <w:rFonts w:hint="eastAsia" w:ascii="仿宋" w:hAnsi="仿宋" w:eastAsia="仿宋" w:cs="仿宋"/>
          <w:sz w:val="22"/>
          <w:szCs w:val="22"/>
        </w:rPr>
        <w:t>如乙方未按期提供发票，甲方有权拒绝付款，且不属于违约。</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8、知识产权：</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乙方须保障甲方在使用该货物或其任何一部分时不受到第三方关于侵犯专利权、商标权或工业设计权等知识产权的指控。如果任何第三方提出侵权指控与甲方无关，乙方须与第三方交涉并承担可能发生的责任与一切费用。如甲方因此而遭致损失的，乙方应赔偿该损失。</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9、违约责任</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9.1由于乙方原因未能按时完成项目服务，从合同约定完成之日起，每延期一天，乙方须向甲方支付合同总金额0.1%的违约金。 </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9.2甲、乙双方如有违反国家</w:t>
      </w:r>
      <w:r>
        <w:rPr>
          <w:rFonts w:hint="eastAsia" w:ascii="仿宋" w:hAnsi="仿宋" w:eastAsia="仿宋" w:cs="仿宋"/>
          <w:sz w:val="24"/>
          <w:highlight w:val="none"/>
          <w:lang w:eastAsia="zh-CN"/>
        </w:rPr>
        <w:t>法律法规</w:t>
      </w:r>
      <w:r>
        <w:rPr>
          <w:rFonts w:hint="eastAsia" w:ascii="仿宋" w:hAnsi="仿宋" w:eastAsia="仿宋" w:cs="仿宋"/>
          <w:sz w:val="24"/>
          <w:highlight w:val="none"/>
        </w:rPr>
        <w:t xml:space="preserve">的行为，各自承担后果。 </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9.3若乙方提供的服务不符合比选文件或响应文件确定的要求的，每出现一次乙方需向甲方支付违约金人民币【500】元。</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9.4在补救违约而采取的任何其他措施未能实现的情况下，即在甲方发出的违约通知后30天内（或经甲方书面确认的更长时间内）仍未纠正其违约行为，甲方有权向乙方发出书面违约通知，</w:t>
      </w:r>
      <w:r>
        <w:rPr>
          <w:rFonts w:hint="eastAsia" w:ascii="仿宋" w:hAnsi="仿宋" w:eastAsia="仿宋" w:cs="仿宋"/>
          <w:sz w:val="24"/>
        </w:rPr>
        <w:t>甲方</w:t>
      </w:r>
      <w:r>
        <w:rPr>
          <w:rFonts w:hint="eastAsia" w:ascii="仿宋" w:hAnsi="仿宋" w:eastAsia="仿宋" w:cs="仿宋"/>
          <w:sz w:val="24"/>
          <w:lang w:val="en-US" w:eastAsia="zh-CN"/>
        </w:rPr>
        <w:t>有权单方面</w:t>
      </w:r>
      <w:r>
        <w:rPr>
          <w:rFonts w:hint="eastAsia" w:ascii="仿宋" w:hAnsi="仿宋" w:eastAsia="仿宋" w:cs="仿宋"/>
          <w:sz w:val="24"/>
        </w:rPr>
        <w:t>终止本合同</w:t>
      </w:r>
      <w:r>
        <w:rPr>
          <w:rFonts w:hint="eastAsia" w:ascii="仿宋" w:hAnsi="仿宋" w:eastAsia="仿宋" w:cs="仿宋"/>
          <w:sz w:val="24"/>
          <w:lang w:eastAsia="zh-CN"/>
        </w:rPr>
        <w:t>，</w:t>
      </w:r>
      <w:r>
        <w:rPr>
          <w:rFonts w:hint="eastAsia" w:ascii="仿宋" w:hAnsi="仿宋" w:eastAsia="仿宋" w:cs="仿宋"/>
          <w:sz w:val="24"/>
          <w:lang w:val="en-US" w:eastAsia="zh-CN"/>
        </w:rPr>
        <w:t>解除通知自发出时生效。</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10、不可抗力</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不可抗力造成违约的，遭受不可抗力一方应及时向对方通报不能履行或不能完全履行的理由，并在随后取得有关主管机关证明后的10日内向另一方提供不可抗力发生以及持续期间的充分证据。基于以上行为，允许遭受不可抗力一方延期履行、部分履行或者不履行合同，并根据情况可部分或全部免于承担违约责任。</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本合同中的不可抗力指不能预见、不能避免并不能克服的客观情况。包括但不限于：自然灾害如地震、台风、洪水、火灾；政府行为、法律规定或其适用的变化或者其他任何无法预见、避免或者控制的事件。</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因国家政策调整，导致协议不能继续履行或履行存在困难或继续履行将严重损害国家利益的，视为不可抗力，甲方有权要求终止履行协议，并免于承担违约责任。</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合同纠纷处理方式：因本合同或与本合同有关的一切事项发生争议，由双方友好协商解决。协商不成的，任何一方均可向甲方所在地有管辖权的人民法院提起诉讼。本合同所载双方地址为发生争议时的法律文书送达地址。</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12、其他约定</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12.1本采购项目的比选文件、成交人的响应文件以及相关的澄清确认函（如果有的话）均为本合同不可分割的一部分，与本合同具有同等法律效力。</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13.2本合同未尽事宜，双方另行补充。</w:t>
      </w:r>
    </w:p>
    <w:p>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13.3本合同一式三份，经双方授权代表签字并盖章后生效。甲方执两份，乙方执一份，具有同等效力。</w:t>
      </w:r>
    </w:p>
    <w:tbl>
      <w:tblPr>
        <w:tblStyle w:val="2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32"/>
        <w:gridCol w:w="3402"/>
        <w:gridCol w:w="1332"/>
        <w:gridCol w:w="34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32" w:type="dxa"/>
            <w:tcBorders>
              <w:tl2br w:val="nil"/>
              <w:tr2bl w:val="nil"/>
            </w:tcBorders>
            <w:vAlign w:val="center"/>
          </w:tcPr>
          <w:p>
            <w:pPr>
              <w:spacing w:line="440" w:lineRule="exact"/>
              <w:jc w:val="left"/>
              <w:rPr>
                <w:rFonts w:hint="eastAsia" w:ascii="仿宋" w:hAnsi="仿宋" w:eastAsia="仿宋" w:cs="仿宋"/>
                <w:sz w:val="24"/>
                <w:highlight w:val="none"/>
              </w:rPr>
            </w:pPr>
            <w:r>
              <w:rPr>
                <w:rFonts w:hint="eastAsia" w:ascii="仿宋" w:hAnsi="仿宋" w:eastAsia="仿宋" w:cs="仿宋"/>
                <w:sz w:val="24"/>
                <w:highlight w:val="none"/>
              </w:rPr>
              <w:t>甲方：</w:t>
            </w:r>
          </w:p>
        </w:tc>
        <w:tc>
          <w:tcPr>
            <w:tcW w:w="3402" w:type="dxa"/>
            <w:tcBorders>
              <w:tl2br w:val="nil"/>
              <w:tr2bl w:val="nil"/>
            </w:tcBorders>
            <w:vAlign w:val="center"/>
          </w:tcPr>
          <w:p>
            <w:pPr>
              <w:spacing w:line="440" w:lineRule="exact"/>
              <w:jc w:val="left"/>
              <w:rPr>
                <w:rFonts w:hint="eastAsia" w:ascii="仿宋" w:hAnsi="仿宋" w:eastAsia="仿宋" w:cs="仿宋"/>
                <w:sz w:val="24"/>
                <w:highlight w:val="none"/>
              </w:rPr>
            </w:pPr>
            <w:r>
              <w:rPr>
                <w:rFonts w:hint="eastAsia" w:ascii="仿宋" w:hAnsi="仿宋" w:eastAsia="仿宋" w:cs="仿宋"/>
                <w:sz w:val="24"/>
                <w:highlight w:val="none"/>
              </w:rPr>
              <w:t>中华人民共和国高崎出入境边防检查站</w:t>
            </w:r>
          </w:p>
        </w:tc>
        <w:tc>
          <w:tcPr>
            <w:tcW w:w="1332" w:type="dxa"/>
            <w:tcBorders>
              <w:tl2br w:val="nil"/>
              <w:tr2bl w:val="nil"/>
            </w:tcBorders>
            <w:vAlign w:val="center"/>
          </w:tcPr>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乙方：</w:t>
            </w: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32" w:type="dxa"/>
            <w:tcBorders>
              <w:tl2br w:val="nil"/>
              <w:tr2bl w:val="nil"/>
            </w:tcBorders>
            <w:vAlign w:val="center"/>
          </w:tcPr>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单位地址：</w:t>
            </w:r>
          </w:p>
        </w:tc>
        <w:tc>
          <w:tcPr>
            <w:tcW w:w="3402" w:type="dxa"/>
            <w:tcBorders>
              <w:tl2br w:val="nil"/>
              <w:tr2bl w:val="nil"/>
            </w:tcBorders>
            <w:vAlign w:val="center"/>
          </w:tcPr>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福建省厦门市湖里区禾山路1626号</w:t>
            </w:r>
          </w:p>
        </w:tc>
        <w:tc>
          <w:tcPr>
            <w:tcW w:w="1332" w:type="dxa"/>
            <w:tcBorders>
              <w:tl2br w:val="nil"/>
              <w:tr2bl w:val="nil"/>
            </w:tcBorders>
            <w:vAlign w:val="center"/>
          </w:tcPr>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单位地址：</w:t>
            </w: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32" w:type="dxa"/>
            <w:tcBorders>
              <w:tl2br w:val="nil"/>
              <w:tr2bl w:val="nil"/>
            </w:tcBorders>
            <w:vAlign w:val="center"/>
          </w:tcPr>
          <w:p>
            <w:pPr>
              <w:spacing w:line="0" w:lineRule="atLeast"/>
              <w:rPr>
                <w:rFonts w:hint="eastAsia" w:ascii="仿宋" w:hAnsi="仿宋" w:eastAsia="仿宋" w:cs="仿宋"/>
                <w:sz w:val="24"/>
                <w:highlight w:val="none"/>
              </w:rPr>
            </w:pPr>
            <w:r>
              <w:rPr>
                <w:rFonts w:hint="eastAsia" w:ascii="仿宋" w:hAnsi="仿宋" w:eastAsia="仿宋" w:cs="仿宋"/>
                <w:sz w:val="24"/>
                <w:highlight w:val="none"/>
              </w:rPr>
              <w:t>法定代表人（委托代理人）签字或盖章：</w:t>
            </w: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c>
          <w:tcPr>
            <w:tcW w:w="1332" w:type="dxa"/>
            <w:tcBorders>
              <w:tl2br w:val="nil"/>
              <w:tr2bl w:val="nil"/>
            </w:tcBorders>
            <w:vAlign w:val="center"/>
          </w:tcPr>
          <w:p>
            <w:pPr>
              <w:spacing w:line="0" w:lineRule="atLeast"/>
              <w:rPr>
                <w:rFonts w:hint="eastAsia" w:ascii="仿宋" w:hAnsi="仿宋" w:eastAsia="仿宋" w:cs="仿宋"/>
                <w:sz w:val="24"/>
                <w:highlight w:val="none"/>
              </w:rPr>
            </w:pPr>
            <w:r>
              <w:rPr>
                <w:rFonts w:hint="eastAsia" w:ascii="仿宋" w:hAnsi="仿宋" w:eastAsia="仿宋" w:cs="仿宋"/>
                <w:sz w:val="24"/>
                <w:highlight w:val="none"/>
              </w:rPr>
              <w:t>法定代表人（委托代理人）签字或盖章：</w:t>
            </w: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32" w:type="dxa"/>
            <w:tcBorders>
              <w:tl2br w:val="nil"/>
              <w:tr2bl w:val="nil"/>
            </w:tcBorders>
            <w:vAlign w:val="center"/>
          </w:tcPr>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联系电话：</w:t>
            </w:r>
          </w:p>
        </w:tc>
        <w:tc>
          <w:tcPr>
            <w:tcW w:w="3402" w:type="dxa"/>
            <w:tcBorders>
              <w:tl2br w:val="nil"/>
              <w:tr2bl w:val="nil"/>
            </w:tcBorders>
            <w:vAlign w:val="center"/>
          </w:tcPr>
          <w:p>
            <w:pPr>
              <w:spacing w:line="440" w:lineRule="exact"/>
              <w:jc w:val="left"/>
              <w:rPr>
                <w:rFonts w:hint="eastAsia" w:ascii="仿宋" w:hAnsi="仿宋" w:eastAsia="仿宋" w:cs="仿宋"/>
                <w:sz w:val="24"/>
                <w:highlight w:val="none"/>
              </w:rPr>
            </w:pPr>
          </w:p>
        </w:tc>
        <w:tc>
          <w:tcPr>
            <w:tcW w:w="1332" w:type="dxa"/>
            <w:tcBorders>
              <w:tl2br w:val="nil"/>
              <w:tr2bl w:val="nil"/>
            </w:tcBorders>
            <w:vAlign w:val="center"/>
          </w:tcPr>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联系电话：</w:t>
            </w: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32" w:type="dxa"/>
            <w:tcBorders>
              <w:tl2br w:val="nil"/>
              <w:tr2bl w:val="nil"/>
            </w:tcBorders>
            <w:vAlign w:val="center"/>
          </w:tcPr>
          <w:p>
            <w:pPr>
              <w:spacing w:line="440" w:lineRule="exact"/>
              <w:jc w:val="center"/>
              <w:rPr>
                <w:rFonts w:hint="eastAsia" w:ascii="仿宋" w:hAnsi="仿宋" w:eastAsia="仿宋" w:cs="仿宋"/>
                <w:sz w:val="24"/>
                <w:highlight w:val="none"/>
              </w:rPr>
            </w:pP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c>
          <w:tcPr>
            <w:tcW w:w="1332" w:type="dxa"/>
            <w:tcBorders>
              <w:tl2br w:val="nil"/>
              <w:tr2bl w:val="nil"/>
            </w:tcBorders>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开户银行：</w:t>
            </w: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32" w:type="dxa"/>
            <w:tcBorders>
              <w:tl2br w:val="nil"/>
              <w:tr2bl w:val="nil"/>
            </w:tcBorders>
            <w:vAlign w:val="center"/>
          </w:tcPr>
          <w:p>
            <w:pPr>
              <w:spacing w:line="440" w:lineRule="exact"/>
              <w:jc w:val="center"/>
              <w:rPr>
                <w:rFonts w:hint="eastAsia" w:ascii="仿宋" w:hAnsi="仿宋" w:eastAsia="仿宋" w:cs="仿宋"/>
                <w:sz w:val="24"/>
                <w:highlight w:val="none"/>
              </w:rPr>
            </w:pP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c>
          <w:tcPr>
            <w:tcW w:w="1332" w:type="dxa"/>
            <w:tcBorders>
              <w:tl2br w:val="nil"/>
              <w:tr2bl w:val="nil"/>
            </w:tcBorders>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账号：</w:t>
            </w:r>
          </w:p>
        </w:tc>
        <w:tc>
          <w:tcPr>
            <w:tcW w:w="3402" w:type="dxa"/>
            <w:tcBorders>
              <w:tl2br w:val="nil"/>
              <w:tr2bl w:val="nil"/>
            </w:tcBorders>
            <w:vAlign w:val="center"/>
          </w:tcPr>
          <w:p>
            <w:pPr>
              <w:spacing w:line="440" w:lineRule="exact"/>
              <w:jc w:val="center"/>
              <w:rPr>
                <w:rFonts w:hint="eastAsia" w:ascii="仿宋" w:hAnsi="仿宋" w:eastAsia="仿宋" w:cs="仿宋"/>
                <w:sz w:val="24"/>
                <w:highlight w:val="none"/>
              </w:rPr>
            </w:pPr>
          </w:p>
        </w:tc>
      </w:tr>
    </w:tbl>
    <w:p>
      <w:pPr>
        <w:rPr>
          <w:highlight w:val="none"/>
        </w:rPr>
      </w:pPr>
    </w:p>
    <w:p>
      <w:pPr>
        <w:pStyle w:val="20"/>
        <w:spacing w:before="75" w:beforeAutospacing="0" w:after="75" w:afterAutospacing="0"/>
        <w:rPr>
          <w:rFonts w:ascii="宋体" w:hAnsi="宋体" w:eastAsia="宋体" w:cs="宋体"/>
          <w:b/>
          <w:bCs/>
          <w:kern w:val="44"/>
          <w:sz w:val="36"/>
          <w:szCs w:val="36"/>
          <w:highlight w:val="none"/>
        </w:rPr>
      </w:pPr>
    </w:p>
    <w:p>
      <w:pPr>
        <w:rPr>
          <w:rFonts w:ascii="宋体" w:hAnsi="宋体" w:eastAsia="宋体" w:cs="宋体"/>
          <w:b/>
          <w:bCs/>
          <w:sz w:val="36"/>
          <w:szCs w:val="36"/>
          <w:highlight w:val="none"/>
        </w:rPr>
      </w:pPr>
      <w:bookmarkStart w:id="133" w:name="_Toc6460"/>
      <w:r>
        <w:rPr>
          <w:rFonts w:hint="eastAsia" w:ascii="宋体" w:hAnsi="宋体" w:eastAsia="宋体" w:cs="宋体"/>
          <w:b/>
          <w:bCs/>
          <w:sz w:val="36"/>
          <w:szCs w:val="36"/>
          <w:highlight w:val="none"/>
        </w:rPr>
        <w:br w:type="page"/>
      </w:r>
    </w:p>
    <w:p>
      <w:pPr>
        <w:pStyle w:val="2"/>
        <w:spacing w:before="0" w:after="0" w:line="519" w:lineRule="exact"/>
        <w:jc w:val="center"/>
        <w:rPr>
          <w:rFonts w:hint="eastAsia" w:ascii="宋体" w:hAnsi="宋体" w:eastAsia="宋体" w:cs="宋体"/>
          <w:highlight w:val="none"/>
        </w:rPr>
      </w:pPr>
      <w:r>
        <w:rPr>
          <w:rFonts w:hint="eastAsia" w:ascii="宋体" w:hAnsi="宋体" w:eastAsia="宋体" w:cs="宋体"/>
          <w:b/>
          <w:bCs/>
          <w:sz w:val="36"/>
          <w:szCs w:val="36"/>
          <w:highlight w:val="none"/>
        </w:rPr>
        <w:t>第五章 响应文件格式</w:t>
      </w:r>
      <w:bookmarkEnd w:id="130"/>
      <w:bookmarkEnd w:id="131"/>
      <w:bookmarkEnd w:id="132"/>
      <w:bookmarkEnd w:id="133"/>
    </w:p>
    <w:p>
      <w:pPr>
        <w:rPr>
          <w:rFonts w:hint="eastAsia" w:ascii="宋体" w:hAnsi="宋体" w:eastAsia="宋体" w:cs="宋体"/>
          <w:b/>
          <w:bCs/>
          <w:sz w:val="20"/>
          <w:szCs w:val="20"/>
          <w:highlight w:val="none"/>
        </w:rPr>
      </w:pPr>
    </w:p>
    <w:p>
      <w:pPr>
        <w:rPr>
          <w:rFonts w:hint="eastAsia" w:ascii="宋体" w:hAnsi="宋体" w:eastAsia="宋体" w:cs="宋体"/>
          <w:b/>
          <w:bCs/>
          <w:sz w:val="20"/>
          <w:szCs w:val="20"/>
          <w:highlight w:val="none"/>
        </w:rPr>
      </w:pPr>
    </w:p>
    <w:p>
      <w:pPr>
        <w:rPr>
          <w:rFonts w:hint="eastAsia" w:ascii="宋体" w:hAnsi="宋体" w:eastAsia="宋体" w:cs="宋体"/>
          <w:b/>
          <w:bCs/>
          <w:sz w:val="20"/>
          <w:szCs w:val="20"/>
          <w:highlight w:val="none"/>
        </w:rPr>
      </w:pPr>
    </w:p>
    <w:p>
      <w:pPr>
        <w:rPr>
          <w:rFonts w:hint="eastAsia" w:ascii="宋体" w:hAnsi="宋体" w:eastAsia="宋体" w:cs="宋体"/>
          <w:b/>
          <w:bCs/>
          <w:sz w:val="20"/>
          <w:szCs w:val="20"/>
          <w:highlight w:val="none"/>
        </w:rPr>
      </w:pPr>
    </w:p>
    <w:p>
      <w:pPr>
        <w:spacing w:before="7"/>
        <w:rPr>
          <w:rFonts w:hint="eastAsia" w:ascii="宋体" w:hAnsi="宋体" w:eastAsia="宋体" w:cs="宋体"/>
          <w:b/>
          <w:bCs/>
          <w:sz w:val="11"/>
          <w:szCs w:val="11"/>
          <w:highlight w:val="none"/>
        </w:rPr>
      </w:pPr>
    </w:p>
    <w:tbl>
      <w:tblPr>
        <w:tblStyle w:val="24"/>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Pr>
          <w:p>
            <w:pPr>
              <w:spacing w:before="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注释：</w:t>
            </w:r>
          </w:p>
          <w:p>
            <w:pPr>
              <w:spacing w:before="120" w:line="360" w:lineRule="auto"/>
              <w:ind w:right="132"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《响应文件格式》是响应供应商的部分响应文件格式和签订合同时所需文件的格式。响应供应商可参考这些格式文件制作响应文件。</w:t>
            </w:r>
          </w:p>
        </w:tc>
      </w:tr>
    </w:tbl>
    <w:p>
      <w:pPr>
        <w:spacing w:line="1670" w:lineRule="exact"/>
        <w:ind w:left="331"/>
        <w:rPr>
          <w:rFonts w:hint="eastAsia" w:ascii="宋体" w:hAnsi="宋体" w:eastAsia="宋体" w:cs="宋体"/>
          <w:sz w:val="20"/>
          <w:szCs w:val="20"/>
          <w:highlight w:val="none"/>
        </w:rPr>
      </w:pPr>
    </w:p>
    <w:p>
      <w:pPr>
        <w:spacing w:line="1670" w:lineRule="exact"/>
        <w:rPr>
          <w:rFonts w:hint="eastAsia" w:ascii="宋体" w:hAnsi="宋体" w:eastAsia="宋体" w:cs="宋体"/>
          <w:sz w:val="20"/>
          <w:szCs w:val="20"/>
          <w:highlight w:val="none"/>
        </w:rPr>
        <w:sectPr>
          <w:headerReference r:id="rId8" w:type="default"/>
          <w:footerReference r:id="rId9" w:type="default"/>
          <w:pgSz w:w="11911" w:h="16849"/>
          <w:pgMar w:top="1378" w:right="901" w:bottom="1162" w:left="1480" w:header="0" w:footer="981" w:gutter="0"/>
          <w:cols w:space="0" w:num="1"/>
        </w:sectPr>
      </w:pPr>
    </w:p>
    <w:p>
      <w:pPr>
        <w:spacing w:line="449" w:lineRule="exact"/>
        <w:ind w:right="180"/>
        <w:jc w:val="center"/>
        <w:rPr>
          <w:rFonts w:hint="eastAsia" w:ascii="宋体" w:hAnsi="宋体" w:eastAsia="宋体" w:cs="宋体"/>
          <w:sz w:val="36"/>
          <w:szCs w:val="36"/>
          <w:highlight w:val="none"/>
        </w:rPr>
      </w:pPr>
      <w:r>
        <w:rPr>
          <w:rFonts w:hint="eastAsia" w:ascii="宋体" w:hAnsi="宋体" w:eastAsia="宋体" w:cs="宋体"/>
          <w:b/>
          <w:bCs/>
          <w:sz w:val="36"/>
          <w:szCs w:val="36"/>
          <w:highlight w:val="none"/>
        </w:rPr>
        <w:t>报价一览表</w:t>
      </w:r>
    </w:p>
    <w:p>
      <w:pPr>
        <w:pStyle w:val="9"/>
        <w:spacing w:line="360" w:lineRule="auto"/>
        <w:ind w:firstLine="480" w:firstLineChars="200"/>
        <w:jc w:val="left"/>
        <w:rPr>
          <w:rFonts w:hint="eastAsia" w:ascii="宋体" w:hAnsi="宋体" w:eastAsia="宋体" w:cs="宋体"/>
          <w:sz w:val="24"/>
          <w:szCs w:val="24"/>
          <w:highlight w:val="none"/>
        </w:rPr>
      </w:pPr>
    </w:p>
    <w:p>
      <w:pPr>
        <w:pStyle w:val="9"/>
        <w:spacing w:line="360" w:lineRule="auto"/>
        <w:ind w:firstLine="480" w:firstLineChars="200"/>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[报价内容（含报价一览表、分项报价表等）需单独使用信封密封，响应文件中不得出现报价金额等内容]</w:t>
      </w:r>
    </w:p>
    <w:p>
      <w:pPr>
        <w:pStyle w:val="9"/>
        <w:spacing w:before="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            项目编号∶                                                                       </w:t>
      </w:r>
      <w:r>
        <w:rPr>
          <w:rFonts w:hint="eastAsia" w:ascii="宋体" w:hAnsi="宋体" w:eastAsia="宋体" w:cs="宋体"/>
          <w:spacing w:val="119"/>
          <w:sz w:val="24"/>
          <w:szCs w:val="24"/>
          <w:highlight w:val="none"/>
        </w:rPr>
        <w:t xml:space="preserve"> </w:t>
      </w:r>
      <w:r>
        <w:rPr>
          <w:rFonts w:hint="eastAsia" w:ascii="宋体" w:hAnsi="宋体" w:eastAsia="宋体" w:cs="宋体"/>
          <w:sz w:val="24"/>
          <w:szCs w:val="24"/>
          <w:highlight w:val="none"/>
        </w:rPr>
        <w:t xml:space="preserve">货币单位： </w:t>
      </w:r>
    </w:p>
    <w:tbl>
      <w:tblPr>
        <w:tblStyle w:val="24"/>
        <w:tblW w:w="4998" w:type="pct"/>
        <w:jc w:val="center"/>
        <w:tblLayout w:type="autofit"/>
        <w:tblCellMar>
          <w:top w:w="0" w:type="dxa"/>
          <w:left w:w="0" w:type="dxa"/>
          <w:bottom w:w="0" w:type="dxa"/>
          <w:right w:w="0" w:type="dxa"/>
        </w:tblCellMar>
      </w:tblPr>
      <w:tblGrid>
        <w:gridCol w:w="801"/>
        <w:gridCol w:w="2163"/>
        <w:gridCol w:w="874"/>
        <w:gridCol w:w="2165"/>
        <w:gridCol w:w="2337"/>
        <w:gridCol w:w="1951"/>
        <w:gridCol w:w="4022"/>
      </w:tblGrid>
      <w:tr>
        <w:tblPrEx>
          <w:tblCellMar>
            <w:top w:w="0" w:type="dxa"/>
            <w:left w:w="0" w:type="dxa"/>
            <w:bottom w:w="0" w:type="dxa"/>
            <w:right w:w="0" w:type="dxa"/>
          </w:tblCellMar>
        </w:tblPrEx>
        <w:trPr>
          <w:trHeight w:val="482" w:hRule="exact"/>
          <w:jc w:val="center"/>
        </w:trPr>
        <w:tc>
          <w:tcPr>
            <w:tcW w:w="280"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55"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305"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756"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主要技术要求</w:t>
            </w:r>
          </w:p>
        </w:tc>
        <w:tc>
          <w:tcPr>
            <w:tcW w:w="816"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报价总价</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履约地点</w:t>
            </w:r>
          </w:p>
        </w:tc>
        <w:tc>
          <w:tcPr>
            <w:tcW w:w="1404"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期</w:t>
            </w:r>
          </w:p>
        </w:tc>
      </w:tr>
      <w:tr>
        <w:tblPrEx>
          <w:tblCellMar>
            <w:top w:w="0" w:type="dxa"/>
            <w:left w:w="0" w:type="dxa"/>
            <w:bottom w:w="0" w:type="dxa"/>
            <w:right w:w="0" w:type="dxa"/>
          </w:tblCellMar>
        </w:tblPrEx>
        <w:trPr>
          <w:trHeight w:val="2704" w:hRule="exact"/>
          <w:jc w:val="center"/>
        </w:trPr>
        <w:tc>
          <w:tcPr>
            <w:tcW w:w="280"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55" w:type="pct"/>
            <w:tcBorders>
              <w:top w:val="single" w:color="000000" w:sz="4" w:space="0"/>
              <w:left w:val="single" w:color="000000" w:sz="4" w:space="0"/>
              <w:bottom w:val="single" w:color="000000" w:sz="4" w:space="0"/>
              <w:right w:val="single" w:color="000000" w:sz="4" w:space="0"/>
            </w:tcBorders>
            <w:vAlign w:val="center"/>
          </w:tcPr>
          <w:p>
            <w:pPr>
              <w:pStyle w:val="33"/>
              <w:ind w:right="19"/>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机房核心设备及配套软件维保服务项目</w:t>
            </w:r>
          </w:p>
        </w:tc>
        <w:tc>
          <w:tcPr>
            <w:tcW w:w="305"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0"/>
                <w:sz w:val="24"/>
                <w:szCs w:val="24"/>
                <w:highlight w:val="none"/>
              </w:rPr>
              <w:t xml:space="preserve"> </w:t>
            </w:r>
            <w:r>
              <w:rPr>
                <w:rFonts w:hint="eastAsia" w:ascii="宋体" w:hAnsi="宋体" w:eastAsia="宋体" w:cs="宋体"/>
                <w:sz w:val="24"/>
                <w:szCs w:val="24"/>
                <w:highlight w:val="none"/>
              </w:rPr>
              <w:t>批</w:t>
            </w:r>
          </w:p>
        </w:tc>
        <w:tc>
          <w:tcPr>
            <w:tcW w:w="756" w:type="pct"/>
            <w:tcBorders>
              <w:top w:val="single" w:color="000000" w:sz="4" w:space="0"/>
              <w:left w:val="single" w:color="000000" w:sz="4" w:space="0"/>
              <w:bottom w:val="single" w:color="000000" w:sz="4" w:space="0"/>
              <w:right w:val="single" w:color="000000" w:sz="4" w:space="0"/>
            </w:tcBorders>
            <w:vAlign w:val="center"/>
          </w:tcPr>
          <w:p>
            <w:pPr>
              <w:pStyle w:val="33"/>
              <w:ind w:right="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详见比选文件 </w:t>
            </w:r>
          </w:p>
          <w:p>
            <w:pPr>
              <w:pStyle w:val="33"/>
              <w:ind w:right="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第三章</w:t>
            </w:r>
          </w:p>
        </w:tc>
        <w:tc>
          <w:tcPr>
            <w:tcW w:w="816" w:type="pct"/>
            <w:tcBorders>
              <w:top w:val="single" w:color="000000" w:sz="4" w:space="0"/>
              <w:left w:val="single" w:color="000000" w:sz="4" w:space="0"/>
              <w:bottom w:val="single" w:color="000000" w:sz="4" w:space="0"/>
              <w:right w:val="single" w:color="000000" w:sz="4" w:space="0"/>
            </w:tcBorders>
            <w:vAlign w:val="center"/>
          </w:tcPr>
          <w:p>
            <w:pPr>
              <w:pStyle w:val="33"/>
              <w:ind w:right="74"/>
              <w:jc w:val="center"/>
              <w:rPr>
                <w:rFonts w:hint="eastAsia" w:ascii="宋体" w:hAnsi="宋体" w:eastAsia="宋体" w:cs="宋体"/>
                <w:sz w:val="24"/>
                <w:szCs w:val="24"/>
                <w:highlight w:val="none"/>
              </w:rPr>
            </w:pP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33"/>
              <w:ind w:right="-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采购人指定地点</w:t>
            </w:r>
          </w:p>
        </w:tc>
        <w:tc>
          <w:tcPr>
            <w:tcW w:w="1404" w:type="pct"/>
            <w:tcBorders>
              <w:top w:val="single" w:color="000000" w:sz="4" w:space="0"/>
              <w:left w:val="single" w:color="000000" w:sz="4" w:space="0"/>
              <w:bottom w:val="single" w:color="000000" w:sz="4" w:space="0"/>
              <w:right w:val="single" w:color="000000" w:sz="4" w:space="0"/>
            </w:tcBorders>
            <w:vAlign w:val="center"/>
          </w:tcPr>
          <w:p>
            <w:pPr>
              <w:pStyle w:val="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原维保服务合同到期之日起，服务期1年。</w:t>
            </w:r>
          </w:p>
        </w:tc>
      </w:tr>
    </w:tbl>
    <w:p>
      <w:pPr>
        <w:pStyle w:val="10"/>
        <w:ind w:left="0"/>
        <w:rPr>
          <w:rFonts w:hint="eastAsia" w:ascii="宋体" w:hAnsi="宋体" w:eastAsia="宋体" w:cs="宋体"/>
          <w:sz w:val="24"/>
          <w:szCs w:val="24"/>
          <w:highlight w:val="none"/>
        </w:rPr>
      </w:pPr>
    </w:p>
    <w:p>
      <w:pPr>
        <w:spacing w:before="9"/>
        <w:rPr>
          <w:rFonts w:hint="eastAsia" w:ascii="宋体" w:hAnsi="宋体" w:eastAsia="宋体" w:cs="宋体"/>
          <w:sz w:val="24"/>
          <w:szCs w:val="24"/>
          <w:highlight w:val="none"/>
        </w:rPr>
      </w:pPr>
    </w:p>
    <w:p>
      <w:pPr>
        <w:pStyle w:val="9"/>
        <w:spacing w:line="274" w:lineRule="exact"/>
        <w:jc w:val="left"/>
        <w:rPr>
          <w:rFonts w:hint="eastAsia" w:ascii="宋体" w:hAnsi="宋体" w:eastAsia="宋体" w:cs="宋体"/>
          <w:sz w:val="24"/>
          <w:szCs w:val="24"/>
          <w:highlight w:val="none"/>
        </w:rPr>
      </w:pPr>
    </w:p>
    <w:p>
      <w:pPr>
        <w:pStyle w:val="9"/>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pPr>
        <w:pStyle w:val="9"/>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★、本项目的采购预算为人民币贰拾贰万伍仟元整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￥225000元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，采购预算为响应报价的最高限价，报价超过采购预算的属无效报价。            </w:t>
      </w:r>
    </w:p>
    <w:p>
      <w:pPr>
        <w:pStyle w:val="9"/>
        <w:spacing w:line="357" w:lineRule="auto"/>
        <w:ind w:right="635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9"/>
        <w:spacing w:line="357" w:lineRule="auto"/>
        <w:ind w:right="635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响应供应商名称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响应供应商代表签字： </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spacing w:line="357" w:lineRule="auto"/>
        <w:jc w:val="left"/>
        <w:rPr>
          <w:rFonts w:hint="eastAsia" w:ascii="宋体" w:hAnsi="宋体" w:eastAsia="宋体" w:cs="宋体"/>
          <w:sz w:val="24"/>
          <w:szCs w:val="24"/>
          <w:highlight w:val="none"/>
        </w:rPr>
        <w:sectPr>
          <w:headerReference r:id="rId10" w:type="default"/>
          <w:footerReference r:id="rId11" w:type="default"/>
          <w:pgSz w:w="16849" w:h="11911" w:orient="landscape"/>
          <w:pgMar w:top="1480" w:right="1378" w:bottom="901" w:left="1162" w:header="0" w:footer="981" w:gutter="0"/>
          <w:cols w:space="0" w:num="1"/>
        </w:sectPr>
      </w:pPr>
    </w:p>
    <w:p>
      <w:pPr>
        <w:spacing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分项报价表</w:t>
      </w:r>
    </w:p>
    <w:p>
      <w:pPr>
        <w:pStyle w:val="9"/>
        <w:spacing w:line="360" w:lineRule="auto"/>
        <w:ind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FF0000"/>
          <w:sz w:val="24"/>
          <w:szCs w:val="24"/>
          <w:highlight w:val="none"/>
        </w:rPr>
        <w:t>[报价内容（含报价一览表、分项报价表等）需单独使用信封密封，响应文件中不得出现报价金额等内容]</w:t>
      </w:r>
    </w:p>
    <w:p>
      <w:pPr>
        <w:spacing w:line="360" w:lineRule="auto"/>
        <w:ind w:firstLine="240" w:firstLineChars="100"/>
        <w:rPr>
          <w:rFonts w:hint="eastAsia" w:ascii="宋体" w:hAnsi="宋体" w:eastAsia="宋体" w:cs="宋体"/>
          <w:sz w:val="24"/>
          <w:highlight w:val="none"/>
        </w:rPr>
      </w:pPr>
      <w:r>
        <w:rPr>
          <w:rFonts w:hint="eastAsia" w:ascii="宋体" w:hAnsi="宋体" w:eastAsia="宋体" w:cs="宋体"/>
          <w:sz w:val="24"/>
          <w:highlight w:val="none"/>
        </w:rPr>
        <w:t xml:space="preserve">项目编号∶                        项目名称 ：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2196"/>
        <w:gridCol w:w="2382"/>
        <w:gridCol w:w="1262"/>
        <w:gridCol w:w="112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1"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费用构成</w:t>
            </w: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规格</w:t>
            </w: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数量</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单价</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23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7982" w:type="dxa"/>
            <w:gridSpan w:val="5"/>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合计：</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 w:val="24"/>
                <w:highlight w:val="none"/>
              </w:rPr>
            </w:pP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备注：1．该表格式仅供参考，</w:t>
      </w:r>
      <w:r>
        <w:rPr>
          <w:rFonts w:hint="eastAsia" w:ascii="宋体" w:hAnsi="宋体" w:eastAsia="宋体" w:cs="宋体"/>
          <w:sz w:val="24"/>
          <w:highlight w:val="none"/>
          <w:lang w:val="en-US" w:eastAsia="zh-CN"/>
        </w:rPr>
        <w:t>报价</w:t>
      </w:r>
      <w:r>
        <w:rPr>
          <w:rFonts w:hint="eastAsia" w:ascii="宋体" w:hAnsi="宋体" w:eastAsia="宋体" w:cs="宋体"/>
          <w:sz w:val="24"/>
          <w:highlight w:val="none"/>
        </w:rPr>
        <w:t>响应供应商可参考以上内容做出详细的分项报价。</w:t>
      </w:r>
    </w:p>
    <w:p>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2．此表合计总价若与报价一览表有出入，以报价一览表</w:t>
      </w:r>
      <w:r>
        <w:rPr>
          <w:rFonts w:hint="eastAsia" w:ascii="宋体" w:hAnsi="宋体" w:eastAsia="宋体" w:cs="宋体"/>
          <w:sz w:val="24"/>
          <w:highlight w:val="none"/>
          <w:lang w:val="en-US" w:eastAsia="zh-CN"/>
        </w:rPr>
        <w:t>报价</w:t>
      </w:r>
      <w:r>
        <w:rPr>
          <w:rFonts w:hint="eastAsia" w:ascii="宋体" w:hAnsi="宋体" w:eastAsia="宋体" w:cs="宋体"/>
          <w:sz w:val="24"/>
          <w:highlight w:val="none"/>
        </w:rPr>
        <w:t>价格为准。</w:t>
      </w:r>
    </w:p>
    <w:p>
      <w:pPr>
        <w:spacing w:line="360" w:lineRule="auto"/>
        <w:ind w:firstLine="720" w:firstLineChars="300"/>
        <w:rPr>
          <w:rFonts w:hint="eastAsia" w:ascii="宋体" w:hAnsi="宋体" w:eastAsia="宋体" w:cs="宋体"/>
          <w:sz w:val="24"/>
          <w:highlight w:val="none"/>
        </w:rPr>
      </w:pPr>
    </w:p>
    <w:p>
      <w:pPr>
        <w:pStyle w:val="9"/>
        <w:spacing w:line="440" w:lineRule="exact"/>
        <w:jc w:val="left"/>
        <w:rPr>
          <w:rFonts w:hint="eastAsia" w:ascii="宋体" w:hAnsi="宋体" w:eastAsia="宋体" w:cs="宋体"/>
          <w:spacing w:val="-8"/>
          <w:sz w:val="24"/>
          <w:szCs w:val="24"/>
          <w:highlight w:val="none"/>
        </w:rPr>
      </w:pPr>
    </w:p>
    <w:p>
      <w:pPr>
        <w:pStyle w:val="9"/>
        <w:spacing w:line="440" w:lineRule="exact"/>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响应供应商（全称并加盖公章）：</w:t>
      </w:r>
      <w:r>
        <w:rPr>
          <w:rFonts w:hint="eastAsia" w:ascii="宋体" w:hAnsi="宋体" w:eastAsia="宋体" w:cs="宋体"/>
          <w:spacing w:val="-8"/>
          <w:sz w:val="24"/>
          <w:szCs w:val="24"/>
          <w:highlight w:val="none"/>
          <w:u w:val="single" w:color="000000"/>
        </w:rPr>
        <w:t xml:space="preserve">                 </w:t>
      </w:r>
      <w:r>
        <w:rPr>
          <w:rFonts w:hint="eastAsia" w:ascii="宋体" w:hAnsi="宋体" w:eastAsia="宋体" w:cs="宋体"/>
          <w:spacing w:val="-8"/>
          <w:sz w:val="24"/>
          <w:szCs w:val="24"/>
          <w:highlight w:val="none"/>
        </w:rPr>
        <w:t xml:space="preserve">      </w:t>
      </w:r>
    </w:p>
    <w:p>
      <w:pPr>
        <w:pStyle w:val="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响应供应商代表签字：</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spacing w:line="440" w:lineRule="exact"/>
        <w:rPr>
          <w:rFonts w:hint="eastAsia" w:ascii="宋体" w:hAnsi="宋体" w:eastAsia="宋体" w:cs="宋体"/>
          <w:sz w:val="24"/>
          <w:szCs w:val="24"/>
          <w:highlight w:val="none"/>
        </w:rPr>
        <w:sectPr>
          <w:headerReference r:id="rId12" w:type="default"/>
          <w:footerReference r:id="rId13" w:type="default"/>
          <w:pgSz w:w="11911" w:h="16849"/>
          <w:pgMar w:top="1378" w:right="901" w:bottom="1162" w:left="1480" w:header="0" w:footer="981" w:gutter="0"/>
          <w:cols w:space="0" w:num="1"/>
        </w:sect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1"/>
          <w:sz w:val="24"/>
          <w:szCs w:val="24"/>
          <w:highlight w:val="none"/>
          <w:u w:val="single" w:color="000000"/>
        </w:rPr>
        <w:t xml:space="preserve"> </w:t>
      </w:r>
    </w:p>
    <w:p>
      <w:pPr>
        <w:spacing w:line="360" w:lineRule="auto"/>
        <w:jc w:val="center"/>
        <w:rPr>
          <w:rFonts w:hint="eastAsia" w:ascii="宋体" w:hAnsi="宋体" w:eastAsia="宋体" w:cs="宋体"/>
          <w:b/>
          <w:sz w:val="72"/>
          <w:highlight w:val="none"/>
        </w:rPr>
      </w:pPr>
      <w:r>
        <w:rPr>
          <w:rFonts w:hint="eastAsia" w:ascii="宋体" w:hAnsi="宋体" w:eastAsia="宋体" w:cs="宋体"/>
          <w:b/>
          <w:sz w:val="72"/>
          <w:highlight w:val="none"/>
        </w:rPr>
        <w:t>响 应 文 件</w:t>
      </w:r>
    </w:p>
    <w:p>
      <w:pPr>
        <w:rPr>
          <w:rFonts w:hint="eastAsia" w:ascii="宋体" w:hAnsi="宋体" w:eastAsia="宋体" w:cs="宋体"/>
          <w:highlight w:val="none"/>
        </w:rPr>
      </w:pPr>
      <w:r>
        <w:rPr>
          <w:rFonts w:hint="eastAsia" w:ascii="宋体" w:hAnsi="宋体" w:eastAsia="宋体" w:cs="宋体"/>
          <w:highlight w:val="none"/>
        </w:rPr>
        <w:t>（</w:t>
      </w:r>
    </w:p>
    <w:p>
      <w:pPr>
        <w:spacing w:line="360" w:lineRule="auto"/>
        <w:jc w:val="center"/>
        <w:rPr>
          <w:rFonts w:hint="eastAsia" w:ascii="宋体" w:hAnsi="宋体" w:eastAsia="宋体" w:cs="宋体"/>
          <w:b/>
          <w:sz w:val="36"/>
          <w:highlight w:val="none"/>
        </w:rPr>
      </w:pPr>
    </w:p>
    <w:p>
      <w:pPr>
        <w:spacing w:line="360" w:lineRule="auto"/>
        <w:jc w:val="center"/>
        <w:rPr>
          <w:rFonts w:hint="eastAsia" w:ascii="宋体" w:hAnsi="宋体" w:eastAsia="宋体" w:cs="宋体"/>
          <w:b/>
          <w:sz w:val="36"/>
          <w:highlight w:val="none"/>
        </w:rPr>
      </w:pPr>
    </w:p>
    <w:p>
      <w:pPr>
        <w:spacing w:line="360" w:lineRule="auto"/>
        <w:jc w:val="center"/>
        <w:rPr>
          <w:rFonts w:hint="eastAsia" w:ascii="宋体" w:hAnsi="宋体" w:eastAsia="宋体" w:cs="宋体"/>
          <w:b/>
          <w:sz w:val="36"/>
          <w:highlight w:val="none"/>
        </w:rPr>
      </w:pPr>
    </w:p>
    <w:p>
      <w:pPr>
        <w:spacing w:line="360" w:lineRule="auto"/>
        <w:ind w:firstLine="1084" w:firstLineChars="300"/>
        <w:rPr>
          <w:rFonts w:hint="eastAsia" w:ascii="宋体" w:hAnsi="宋体" w:eastAsia="宋体" w:cs="宋体"/>
          <w:b/>
          <w:sz w:val="36"/>
          <w:highlight w:val="none"/>
        </w:rPr>
      </w:pPr>
      <w:r>
        <w:rPr>
          <w:rFonts w:hint="eastAsia" w:ascii="宋体" w:hAnsi="宋体" w:eastAsia="宋体" w:cs="宋体"/>
          <w:b/>
          <w:sz w:val="36"/>
          <w:highlight w:val="none"/>
        </w:rPr>
        <w:t>项 目 名 称：</w:t>
      </w:r>
      <w:r>
        <w:rPr>
          <w:rFonts w:hint="eastAsia" w:ascii="宋体" w:hAnsi="宋体" w:eastAsia="宋体" w:cs="宋体"/>
          <w:b/>
          <w:sz w:val="36"/>
          <w:highlight w:val="none"/>
          <w:u w:val="single"/>
        </w:rPr>
        <w:t xml:space="preserve">               </w:t>
      </w:r>
    </w:p>
    <w:p>
      <w:pPr>
        <w:spacing w:line="360" w:lineRule="auto"/>
        <w:ind w:firstLine="1084" w:firstLineChars="300"/>
        <w:rPr>
          <w:rFonts w:hint="eastAsia" w:ascii="宋体" w:hAnsi="宋体" w:eastAsia="宋体" w:cs="宋体"/>
          <w:b/>
          <w:sz w:val="36"/>
          <w:highlight w:val="none"/>
          <w:u w:val="single"/>
        </w:rPr>
      </w:pPr>
      <w:r>
        <w:rPr>
          <w:rFonts w:hint="eastAsia" w:ascii="宋体" w:hAnsi="宋体" w:eastAsia="宋体" w:cs="宋体"/>
          <w:b/>
          <w:sz w:val="36"/>
          <w:highlight w:val="none"/>
        </w:rPr>
        <w:t>项 目 编 号：</w:t>
      </w:r>
      <w:r>
        <w:rPr>
          <w:rFonts w:hint="eastAsia" w:ascii="宋体" w:hAnsi="宋体" w:eastAsia="宋体" w:cs="宋体"/>
          <w:b/>
          <w:sz w:val="36"/>
          <w:highlight w:val="none"/>
          <w:u w:val="single"/>
        </w:rPr>
        <w:t xml:space="preserve">               </w:t>
      </w: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rPr>
      </w:pPr>
    </w:p>
    <w:p>
      <w:pPr>
        <w:spacing w:line="36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       响应供应商名称 ：</w:t>
      </w:r>
      <w:r>
        <w:rPr>
          <w:rFonts w:hint="eastAsia" w:ascii="宋体" w:hAnsi="宋体" w:eastAsia="宋体" w:cs="宋体"/>
          <w:b/>
          <w:sz w:val="36"/>
          <w:highlight w:val="none"/>
          <w:u w:val="single"/>
        </w:rPr>
        <w:t xml:space="preserve">               </w:t>
      </w:r>
    </w:p>
    <w:p>
      <w:pPr>
        <w:spacing w:line="36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p>
    <w:p>
      <w:pPr>
        <w:spacing w:line="360" w:lineRule="auto"/>
        <w:rPr>
          <w:rFonts w:hint="eastAsia" w:ascii="宋体" w:hAnsi="宋体" w:eastAsia="宋体" w:cs="宋体"/>
          <w:sz w:val="24"/>
          <w:szCs w:val="24"/>
          <w:highlight w:val="none"/>
        </w:rPr>
        <w:sectPr>
          <w:headerReference r:id="rId14" w:type="default"/>
          <w:footerReference r:id="rId15" w:type="default"/>
          <w:pgSz w:w="11911" w:h="16849"/>
          <w:pgMar w:top="1378" w:right="901" w:bottom="1162" w:left="1480" w:header="0" w:footer="981" w:gutter="0"/>
          <w:cols w:space="0" w:num="1"/>
        </w:sectPr>
      </w:pPr>
      <w:r>
        <w:rPr>
          <w:rFonts w:hint="eastAsia" w:ascii="宋体" w:hAnsi="宋体" w:eastAsia="宋体" w:cs="宋体"/>
          <w:b/>
          <w:sz w:val="36"/>
          <w:highlight w:val="none"/>
          <w:u w:val="single"/>
        </w:rPr>
        <w:br w:type="page"/>
      </w:r>
    </w:p>
    <w:p>
      <w:pPr>
        <w:spacing w:line="240" w:lineRule="auto"/>
        <w:jc w:val="left"/>
        <w:rPr>
          <w:rFonts w:hint="eastAsia" w:ascii="宋体" w:hAnsi="宋体" w:eastAsia="宋体" w:cs="宋体"/>
          <w:b/>
          <w:bCs/>
          <w:w w:val="95"/>
          <w:sz w:val="32"/>
          <w:szCs w:val="32"/>
          <w:highlight w:val="none"/>
        </w:rPr>
      </w:pPr>
    </w:p>
    <w:p>
      <w:pPr>
        <w:tabs>
          <w:tab w:val="left" w:pos="1622"/>
        </w:tabs>
        <w:spacing w:line="445" w:lineRule="exact"/>
        <w:jc w:val="center"/>
        <w:rPr>
          <w:rFonts w:hint="eastAsia" w:ascii="宋体" w:hAnsi="宋体" w:eastAsia="宋体" w:cs="宋体"/>
          <w:sz w:val="32"/>
          <w:szCs w:val="32"/>
          <w:highlight w:val="none"/>
        </w:rPr>
      </w:pPr>
      <w:r>
        <w:rPr>
          <w:rFonts w:hint="eastAsia" w:ascii="宋体" w:hAnsi="宋体" w:eastAsia="宋体" w:cs="宋体"/>
          <w:b/>
          <w:bCs/>
          <w:w w:val="95"/>
          <w:sz w:val="32"/>
          <w:szCs w:val="32"/>
          <w:highlight w:val="none"/>
        </w:rPr>
        <w:t>目</w:t>
      </w:r>
      <w:r>
        <w:rPr>
          <w:rFonts w:hint="eastAsia" w:ascii="宋体" w:hAnsi="宋体" w:eastAsia="宋体" w:cs="宋体"/>
          <w:b/>
          <w:bCs/>
          <w:w w:val="95"/>
          <w:sz w:val="32"/>
          <w:szCs w:val="32"/>
          <w:highlight w:val="none"/>
        </w:rPr>
        <w:tab/>
      </w:r>
      <w:r>
        <w:rPr>
          <w:rFonts w:hint="eastAsia" w:ascii="宋体" w:hAnsi="宋体" w:eastAsia="宋体" w:cs="宋体"/>
          <w:b/>
          <w:bCs/>
          <w:sz w:val="32"/>
          <w:szCs w:val="32"/>
          <w:highlight w:val="none"/>
        </w:rPr>
        <w:t>录</w:t>
      </w:r>
    </w:p>
    <w:p>
      <w:pPr>
        <w:pStyle w:val="9"/>
        <w:spacing w:before="214"/>
        <w:jc w:val="center"/>
        <w:rPr>
          <w:rFonts w:hint="eastAsia" w:ascii="宋体" w:hAnsi="宋体" w:eastAsia="宋体" w:cs="宋体"/>
          <w:highlight w:val="none"/>
        </w:rPr>
      </w:pPr>
      <w:r>
        <w:rPr>
          <w:rFonts w:hint="eastAsia" w:ascii="宋体" w:hAnsi="宋体" w:eastAsia="宋体" w:cs="宋体"/>
          <w:highlight w:val="none"/>
        </w:rPr>
        <w:t>（根据实际内容自行调整）</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报价函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技术规格和商务偏离表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“★”号条款逐条响应情况表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响应供应商的资格证明文件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关于资格的声明函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响应供应商的资格声明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法人营业执照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法定代表人授权书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资格承诺函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具备履行合同所必需的设备和专业技术能力的书面声明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5．服务承诺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6．响应供应商提交</w:t>
      </w:r>
      <w:r>
        <w:rPr>
          <w:rFonts w:hint="eastAsia" w:ascii="宋体" w:hAnsi="宋体" w:eastAsia="宋体" w:cs="宋体"/>
          <w:sz w:val="24"/>
          <w:szCs w:val="24"/>
          <w:highlight w:val="none"/>
          <w:lang w:eastAsia="zh-CN"/>
        </w:rPr>
        <w:t>的其他</w:t>
      </w:r>
      <w:r>
        <w:rPr>
          <w:rFonts w:hint="eastAsia" w:ascii="宋体" w:hAnsi="宋体" w:eastAsia="宋体" w:cs="宋体"/>
          <w:sz w:val="24"/>
          <w:szCs w:val="24"/>
          <w:highlight w:val="none"/>
        </w:rPr>
        <w:t xml:space="preserve">资料 </w:t>
      </w:r>
    </w:p>
    <w:p>
      <w:pPr>
        <w:spacing w:line="360" w:lineRule="auto"/>
        <w:rPr>
          <w:rFonts w:hint="eastAsia" w:ascii="宋体" w:hAnsi="宋体" w:eastAsia="宋体" w:cs="宋体"/>
          <w:sz w:val="24"/>
          <w:szCs w:val="24"/>
          <w:highlight w:val="none"/>
        </w:rPr>
        <w:sectPr>
          <w:headerReference r:id="rId16" w:type="default"/>
          <w:footerReference r:id="rId17" w:type="default"/>
          <w:pgSz w:w="11911" w:h="16849"/>
          <w:pgMar w:top="1378" w:right="901" w:bottom="1162" w:left="1480" w:header="0" w:footer="981" w:gutter="0"/>
          <w:cols w:space="0" w:num="1"/>
        </w:sectPr>
      </w:pPr>
      <w:r>
        <w:rPr>
          <w:rFonts w:hint="eastAsia" w:ascii="宋体" w:hAnsi="宋体" w:eastAsia="宋体" w:cs="宋体"/>
          <w:sz w:val="24"/>
          <w:szCs w:val="24"/>
          <w:highlight w:val="none"/>
        </w:rPr>
        <w:t>7．项目咨询服务费承诺书</w:t>
      </w:r>
    </w:p>
    <w:p>
      <w:pPr>
        <w:spacing w:line="449" w:lineRule="exact"/>
        <w:jc w:val="center"/>
        <w:rPr>
          <w:rFonts w:hint="eastAsia" w:ascii="宋体" w:hAnsi="宋体" w:eastAsia="宋体" w:cs="宋体"/>
          <w:sz w:val="36"/>
          <w:szCs w:val="36"/>
          <w:highlight w:val="none"/>
        </w:rPr>
      </w:pPr>
      <w:r>
        <w:rPr>
          <w:rFonts w:hint="eastAsia" w:ascii="宋体" w:hAnsi="宋体" w:eastAsia="宋体" w:cs="宋体"/>
          <w:b/>
          <w:bCs/>
          <w:sz w:val="36"/>
          <w:szCs w:val="36"/>
          <w:highlight w:val="none"/>
        </w:rPr>
        <w:t>报价函</w:t>
      </w:r>
    </w:p>
    <w:p>
      <w:pPr>
        <w:spacing w:line="400" w:lineRule="exact"/>
        <w:jc w:val="left"/>
        <w:rPr>
          <w:rFonts w:hint="eastAsia" w:ascii="宋体" w:hAnsi="宋体" w:eastAsia="宋体" w:cs="宋体"/>
          <w:spacing w:val="-1"/>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rPr>
        <w:t xml:space="preserve"> </w:t>
      </w:r>
    </w:p>
    <w:p>
      <w:pPr>
        <w:spacing w:line="400" w:lineRule="exact"/>
        <w:ind w:firstLine="36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根据贵方为 项目的比选邀请（项目编号： </w:t>
      </w:r>
      <w:r>
        <w:rPr>
          <w:rFonts w:hint="eastAsia" w:ascii="宋体" w:hAnsi="宋体" w:eastAsia="宋体" w:cs="宋体"/>
          <w:spacing w:val="-8"/>
          <w:sz w:val="24"/>
          <w:szCs w:val="24"/>
          <w:highlight w:val="none"/>
        </w:rPr>
        <w:t>），本签字代表</w:t>
      </w:r>
      <w:r>
        <w:rPr>
          <w:rFonts w:hint="eastAsia" w:ascii="宋体" w:hAnsi="宋体" w:eastAsia="宋体" w:cs="宋体"/>
          <w:spacing w:val="-8"/>
          <w:sz w:val="24"/>
          <w:szCs w:val="24"/>
          <w:highlight w:val="none"/>
          <w:u w:val="single" w:color="000000"/>
        </w:rPr>
        <w:t>（全名、职务）</w:t>
      </w:r>
      <w:r>
        <w:rPr>
          <w:rFonts w:hint="eastAsia" w:ascii="宋体" w:hAnsi="宋体" w:eastAsia="宋体" w:cs="宋体"/>
          <w:spacing w:val="-8"/>
          <w:sz w:val="24"/>
          <w:szCs w:val="24"/>
          <w:highlight w:val="none"/>
        </w:rPr>
        <w:t>代表</w:t>
      </w:r>
      <w:r>
        <w:rPr>
          <w:rFonts w:hint="eastAsia" w:ascii="宋体" w:hAnsi="宋体" w:eastAsia="宋体" w:cs="宋体"/>
          <w:sz w:val="24"/>
          <w:szCs w:val="24"/>
          <w:highlight w:val="none"/>
        </w:rPr>
        <w:t xml:space="preserve"> 响应供应商</w:t>
      </w:r>
      <w:r>
        <w:rPr>
          <w:rFonts w:hint="eastAsia" w:ascii="宋体" w:hAnsi="宋体" w:eastAsia="宋体" w:cs="宋体"/>
          <w:sz w:val="24"/>
          <w:szCs w:val="24"/>
          <w:highlight w:val="none"/>
          <w:u w:val="single" w:color="000000"/>
        </w:rPr>
        <w:t>（响应供应商名称、地址）</w:t>
      </w:r>
      <w:r>
        <w:rPr>
          <w:rFonts w:hint="eastAsia" w:ascii="宋体" w:hAnsi="宋体" w:eastAsia="宋体" w:cs="宋体"/>
          <w:sz w:val="24"/>
          <w:szCs w:val="24"/>
          <w:highlight w:val="none"/>
        </w:rPr>
        <w:t xml:space="preserve">提交下述文件正本一份和副本  </w:t>
      </w:r>
      <w:r>
        <w:rPr>
          <w:rFonts w:hint="eastAsia" w:ascii="宋体" w:hAnsi="宋体" w:eastAsia="宋体" w:cs="宋体"/>
          <w:spacing w:val="97"/>
          <w:sz w:val="24"/>
          <w:szCs w:val="24"/>
          <w:highlight w:val="none"/>
        </w:rPr>
        <w:t xml:space="preserve"> </w:t>
      </w:r>
      <w:r>
        <w:rPr>
          <w:rFonts w:hint="eastAsia" w:ascii="宋体" w:hAnsi="宋体" w:eastAsia="宋体" w:cs="宋体"/>
          <w:sz w:val="24"/>
          <w:szCs w:val="24"/>
          <w:highlight w:val="none"/>
        </w:rPr>
        <w:t xml:space="preserve">份。   </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 </w:t>
      </w:r>
    </w:p>
    <w:p>
      <w:pPr>
        <w:spacing w:line="400" w:lineRule="exact"/>
        <w:ind w:left="630" w:left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报价函 </w:t>
      </w:r>
    </w:p>
    <w:p>
      <w:pPr>
        <w:spacing w:line="400" w:lineRule="exact"/>
        <w:ind w:left="630" w:left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技术规格和商务偏离表 </w:t>
      </w:r>
    </w:p>
    <w:p>
      <w:pPr>
        <w:spacing w:line="400" w:lineRule="exact"/>
        <w:ind w:left="630" w:left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“★”号条款逐条响应情况表 </w:t>
      </w:r>
    </w:p>
    <w:p>
      <w:pPr>
        <w:spacing w:line="400" w:lineRule="exact"/>
        <w:ind w:left="630" w:left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响应供应商的资格证明文件 </w:t>
      </w:r>
    </w:p>
    <w:p>
      <w:pPr>
        <w:spacing w:line="400" w:lineRule="exact"/>
        <w:ind w:left="630" w:leftChars="3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关于资格的声明函 </w:t>
      </w:r>
    </w:p>
    <w:p>
      <w:pPr>
        <w:spacing w:line="400" w:lineRule="exact"/>
        <w:ind w:left="630" w:leftChars="3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响应供应商的资格声明 </w:t>
      </w:r>
    </w:p>
    <w:p>
      <w:pPr>
        <w:spacing w:line="400" w:lineRule="exact"/>
        <w:ind w:left="630" w:leftChars="3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法人营业执照 </w:t>
      </w:r>
    </w:p>
    <w:p>
      <w:pPr>
        <w:spacing w:line="400" w:lineRule="exact"/>
        <w:ind w:left="630" w:leftChars="3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法定代表人授权书 </w:t>
      </w:r>
    </w:p>
    <w:p>
      <w:pPr>
        <w:spacing w:line="400" w:lineRule="exact"/>
        <w:ind w:left="630" w:leftChars="3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资格承诺函 </w:t>
      </w:r>
    </w:p>
    <w:p>
      <w:pPr>
        <w:spacing w:line="400" w:lineRule="exact"/>
        <w:ind w:left="630" w:leftChars="3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具备履行合同所必需的设备和专业技术能力的书面声明 </w:t>
      </w:r>
    </w:p>
    <w:p>
      <w:pPr>
        <w:spacing w:line="400" w:lineRule="exact"/>
        <w:ind w:left="630" w:left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5．服务承诺 </w:t>
      </w:r>
    </w:p>
    <w:p>
      <w:pPr>
        <w:spacing w:line="400" w:lineRule="exact"/>
        <w:ind w:left="630" w:leftChars="300"/>
        <w:rPr>
          <w:rFonts w:hint="eastAsia" w:ascii="宋体" w:hAnsi="宋体" w:eastAsia="宋体" w:cs="宋体"/>
          <w:sz w:val="24"/>
          <w:szCs w:val="24"/>
          <w:highlight w:val="none"/>
        </w:rPr>
      </w:pPr>
      <w:r>
        <w:rPr>
          <w:rFonts w:hint="eastAsia" w:ascii="宋体" w:hAnsi="宋体" w:eastAsia="宋体" w:cs="宋体"/>
          <w:sz w:val="24"/>
          <w:szCs w:val="24"/>
          <w:highlight w:val="none"/>
        </w:rPr>
        <w:t>6．响应供应商提交</w:t>
      </w:r>
      <w:r>
        <w:rPr>
          <w:rFonts w:hint="eastAsia" w:ascii="宋体" w:hAnsi="宋体" w:eastAsia="宋体" w:cs="宋体"/>
          <w:sz w:val="24"/>
          <w:szCs w:val="24"/>
          <w:highlight w:val="none"/>
          <w:lang w:eastAsia="zh-CN"/>
        </w:rPr>
        <w:t>的其他</w:t>
      </w:r>
      <w:r>
        <w:rPr>
          <w:rFonts w:hint="eastAsia" w:ascii="宋体" w:hAnsi="宋体" w:eastAsia="宋体" w:cs="宋体"/>
          <w:sz w:val="24"/>
          <w:szCs w:val="24"/>
          <w:highlight w:val="none"/>
        </w:rPr>
        <w:t xml:space="preserve">资料 </w:t>
      </w:r>
    </w:p>
    <w:p>
      <w:pPr>
        <w:spacing w:line="400" w:lineRule="exact"/>
        <w:ind w:left="630" w:leftChars="30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7．项目咨询服务费承诺书 </w:t>
      </w:r>
    </w:p>
    <w:p>
      <w:pPr>
        <w:spacing w:line="400" w:lineRule="exact"/>
        <w:ind w:firstLine="482" w:firstLineChars="200"/>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据此</w:t>
      </w:r>
      <w:r>
        <w:rPr>
          <w:rFonts w:hint="eastAsia" w:ascii="宋体" w:hAnsi="宋体" w:eastAsia="宋体" w:cs="宋体"/>
          <w:b/>
          <w:bCs/>
          <w:spacing w:val="-3"/>
          <w:sz w:val="24"/>
          <w:szCs w:val="24"/>
          <w:highlight w:val="none"/>
        </w:rPr>
        <w:t>函</w:t>
      </w:r>
      <w:r>
        <w:rPr>
          <w:rFonts w:hint="eastAsia" w:ascii="宋体" w:hAnsi="宋体" w:eastAsia="宋体" w:cs="宋体"/>
          <w:b/>
          <w:bCs/>
          <w:sz w:val="24"/>
          <w:szCs w:val="24"/>
          <w:highlight w:val="none"/>
        </w:rPr>
        <w:t>，</w:t>
      </w:r>
      <w:r>
        <w:rPr>
          <w:rFonts w:hint="eastAsia" w:ascii="宋体" w:hAnsi="宋体" w:eastAsia="宋体" w:cs="宋体"/>
          <w:b/>
          <w:bCs/>
          <w:spacing w:val="-3"/>
          <w:sz w:val="24"/>
          <w:szCs w:val="24"/>
          <w:highlight w:val="none"/>
        </w:rPr>
        <w:t>签</w:t>
      </w:r>
      <w:r>
        <w:rPr>
          <w:rFonts w:hint="eastAsia" w:ascii="宋体" w:hAnsi="宋体" w:eastAsia="宋体" w:cs="宋体"/>
          <w:b/>
          <w:bCs/>
          <w:sz w:val="24"/>
          <w:szCs w:val="24"/>
          <w:highlight w:val="none"/>
        </w:rPr>
        <w:t>字</w:t>
      </w:r>
      <w:r>
        <w:rPr>
          <w:rFonts w:hint="eastAsia" w:ascii="宋体" w:hAnsi="宋体" w:eastAsia="宋体" w:cs="宋体"/>
          <w:b/>
          <w:bCs/>
          <w:spacing w:val="-3"/>
          <w:sz w:val="24"/>
          <w:szCs w:val="24"/>
          <w:highlight w:val="none"/>
        </w:rPr>
        <w:t>代</w:t>
      </w:r>
      <w:r>
        <w:rPr>
          <w:rFonts w:hint="eastAsia" w:ascii="宋体" w:hAnsi="宋体" w:eastAsia="宋体" w:cs="宋体"/>
          <w:b/>
          <w:bCs/>
          <w:sz w:val="24"/>
          <w:szCs w:val="24"/>
          <w:highlight w:val="none"/>
        </w:rPr>
        <w:t>表</w:t>
      </w:r>
      <w:r>
        <w:rPr>
          <w:rFonts w:hint="eastAsia" w:ascii="宋体" w:hAnsi="宋体" w:eastAsia="宋体" w:cs="宋体"/>
          <w:b/>
          <w:bCs/>
          <w:spacing w:val="-3"/>
          <w:sz w:val="24"/>
          <w:szCs w:val="24"/>
          <w:highlight w:val="none"/>
        </w:rPr>
        <w:t>宣</w:t>
      </w:r>
      <w:r>
        <w:rPr>
          <w:rFonts w:hint="eastAsia" w:ascii="宋体" w:hAnsi="宋体" w:eastAsia="宋体" w:cs="宋体"/>
          <w:b/>
          <w:bCs/>
          <w:sz w:val="24"/>
          <w:szCs w:val="24"/>
          <w:highlight w:val="none"/>
        </w:rPr>
        <w:t>布</w:t>
      </w:r>
      <w:r>
        <w:rPr>
          <w:rFonts w:hint="eastAsia" w:ascii="宋体" w:hAnsi="宋体" w:eastAsia="宋体" w:cs="宋体"/>
          <w:b/>
          <w:bCs/>
          <w:spacing w:val="-3"/>
          <w:sz w:val="24"/>
          <w:szCs w:val="24"/>
          <w:highlight w:val="none"/>
        </w:rPr>
        <w:t>同</w:t>
      </w:r>
      <w:r>
        <w:rPr>
          <w:rFonts w:hint="eastAsia" w:ascii="宋体" w:hAnsi="宋体" w:eastAsia="宋体" w:cs="宋体"/>
          <w:b/>
          <w:bCs/>
          <w:sz w:val="24"/>
          <w:szCs w:val="24"/>
          <w:highlight w:val="none"/>
        </w:rPr>
        <w:t>意如</w:t>
      </w:r>
      <w:r>
        <w:rPr>
          <w:rFonts w:hint="eastAsia" w:ascii="宋体" w:hAnsi="宋体" w:eastAsia="宋体" w:cs="宋体"/>
          <w:b/>
          <w:bCs/>
          <w:spacing w:val="-3"/>
          <w:sz w:val="24"/>
          <w:szCs w:val="24"/>
          <w:highlight w:val="none"/>
        </w:rPr>
        <w:t>下：</w:t>
      </w:r>
      <w:r>
        <w:rPr>
          <w:rFonts w:hint="eastAsia" w:ascii="宋体" w:hAnsi="宋体" w:eastAsia="宋体" w:cs="宋体"/>
          <w:sz w:val="24"/>
          <w:szCs w:val="24"/>
          <w:highlight w:val="none"/>
        </w:rPr>
        <w:t xml:space="preserve"> </w:t>
      </w:r>
    </w:p>
    <w:p>
      <w:pPr>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1.响应供应商已详细审查全部比选文件，包括修改文件（如有的话）和有关附件，将自行承担因对全部比选文件理解不正确或误解而产生的相应后果。 </w:t>
      </w:r>
    </w:p>
    <w:p>
      <w:pPr>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.响应供应商保证遵守比选文件的全部规定，响应供应商所提交的材料中所含的信息均为真实、准确、完整，且不具有任何误导性。 </w:t>
      </w:r>
    </w:p>
    <w:p>
      <w:pPr>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.响应供应商将按比选文件的规定履行合同责任和义务。 </w:t>
      </w:r>
    </w:p>
    <w:p>
      <w:pPr>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.本响应文件自报价截止时间起报价有效期为：在比选文件响应供应商须知前附表所规定的期限 内保持有效。 </w:t>
      </w:r>
    </w:p>
    <w:p>
      <w:pPr>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.如果发生比选文件第二章响应供应商须知所述情况，同意承担相应赔偿责任：</w:t>
      </w:r>
    </w:p>
    <w:p>
      <w:pPr>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.响应供应商同意按照采购单位要求提供与其比选有关的一切数据或资料，完全理解贵方不一定 要接受最低的报价或收到的任何比选。 </w:t>
      </w:r>
    </w:p>
    <w:p>
      <w:pPr>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 与本比选有关的一切正式往来通讯请寄： </w:t>
      </w:r>
    </w:p>
    <w:p>
      <w:pPr>
        <w:spacing w:before="0" w:line="400" w:lineRule="exact"/>
        <w:ind w:left="109" w:right="876"/>
        <w:jc w:val="left"/>
        <w:rPr>
          <w:rFonts w:hint="eastAsia" w:ascii="宋体" w:hAnsi="宋体" w:eastAsia="宋体" w:cs="宋体"/>
          <w:spacing w:val="-3"/>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p>
    <w:p>
      <w:pPr>
        <w:spacing w:before="0" w:line="400" w:lineRule="exact"/>
        <w:ind w:left="109" w:right="876" w:firstLine="720" w:firstLineChars="3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single"/>
        </w:rPr>
        <w:t xml:space="preserve">            </w:t>
      </w:r>
      <w:r>
        <w:rPr>
          <w:rFonts w:hint="eastAsia" w:ascii="宋体" w:hAnsi="宋体" w:eastAsia="宋体" w:cs="宋体"/>
          <w:spacing w:val="93"/>
          <w:sz w:val="24"/>
          <w:szCs w:val="24"/>
          <w:highlight w:val="none"/>
          <w:u w:val="single"/>
        </w:rPr>
        <w:t xml:space="preserve"> </w:t>
      </w:r>
      <w:r>
        <w:rPr>
          <w:rFonts w:hint="eastAsia" w:ascii="宋体" w:hAnsi="宋体" w:eastAsia="宋体" w:cs="宋体"/>
          <w:sz w:val="24"/>
          <w:szCs w:val="24"/>
          <w:highlight w:val="none"/>
        </w:rPr>
        <w:t>传真：</w:t>
      </w:r>
      <w:r>
        <w:rPr>
          <w:rFonts w:hint="eastAsia" w:ascii="宋体" w:hAnsi="宋体" w:eastAsia="宋体" w:cs="宋体"/>
          <w:sz w:val="24"/>
          <w:szCs w:val="24"/>
          <w:highlight w:val="none"/>
          <w:u w:val="single"/>
        </w:rPr>
        <w:t xml:space="preserve">         </w:t>
      </w:r>
    </w:p>
    <w:p>
      <w:pPr>
        <w:spacing w:before="0" w:line="400" w:lineRule="exact"/>
        <w:ind w:left="109" w:right="87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r>
        <w:rPr>
          <w:rFonts w:hint="eastAsia" w:ascii="宋体" w:hAnsi="宋体" w:eastAsia="宋体" w:cs="宋体"/>
          <w:spacing w:val="-9"/>
          <w:sz w:val="24"/>
          <w:szCs w:val="24"/>
          <w:highlight w:val="none"/>
        </w:rPr>
        <w:t>响应供应商（全称并加盖公章）：</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rPr>
        <w:t xml:space="preserve"> </w:t>
      </w:r>
    </w:p>
    <w:p>
      <w:pPr>
        <w:spacing w:before="0" w:line="400" w:lineRule="exact"/>
        <w:ind w:left="109" w:right="87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响应供应商代表签字：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3"/>
          <w:sz w:val="24"/>
          <w:szCs w:val="24"/>
          <w:highlight w:val="none"/>
          <w:u w:val="single" w:color="000000"/>
        </w:rPr>
        <w:t xml:space="preserve"> </w:t>
      </w:r>
      <w:r>
        <w:rPr>
          <w:rFonts w:hint="eastAsia" w:ascii="宋体" w:hAnsi="宋体" w:eastAsia="宋体" w:cs="宋体"/>
          <w:sz w:val="24"/>
          <w:szCs w:val="24"/>
          <w:highlight w:val="none"/>
        </w:rPr>
        <w:t xml:space="preserve"> </w:t>
      </w:r>
    </w:p>
    <w:p>
      <w:pPr>
        <w:spacing w:before="0" w:line="400" w:lineRule="exact"/>
        <w:ind w:left="109" w:right="87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日  期：     年    月  </w:t>
      </w:r>
      <w:r>
        <w:rPr>
          <w:rFonts w:hint="eastAsia" w:ascii="宋体" w:hAnsi="宋体" w:eastAsia="宋体" w:cs="宋体"/>
          <w:spacing w:val="101"/>
          <w:sz w:val="24"/>
          <w:szCs w:val="24"/>
          <w:highlight w:val="none"/>
        </w:rPr>
        <w:t xml:space="preserve"> </w:t>
      </w:r>
      <w:r>
        <w:rPr>
          <w:rFonts w:hint="eastAsia" w:ascii="宋体" w:hAnsi="宋体" w:eastAsia="宋体" w:cs="宋体"/>
          <w:spacing w:val="-3"/>
          <w:sz w:val="24"/>
          <w:szCs w:val="24"/>
          <w:highlight w:val="none"/>
        </w:rPr>
        <w:t>日</w:t>
      </w:r>
      <w:r>
        <w:rPr>
          <w:rFonts w:hint="eastAsia" w:ascii="宋体" w:hAnsi="宋体" w:eastAsia="宋体" w:cs="宋体"/>
          <w:sz w:val="24"/>
          <w:szCs w:val="24"/>
          <w:highlight w:val="none"/>
        </w:rPr>
        <w:t xml:space="preserve"> </w:t>
      </w:r>
    </w:p>
    <w:p>
      <w:pPr>
        <w:pStyle w:val="30"/>
        <w:rPr>
          <w:rFonts w:hint="eastAsia" w:ascii="宋体" w:hAnsi="宋体" w:eastAsia="宋体" w:cs="宋体"/>
          <w:highlight w:val="none"/>
        </w:rPr>
      </w:pP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br w:type="page"/>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技术和商务偏离表</w:t>
      </w:r>
    </w:p>
    <w:p>
      <w:pPr>
        <w:rPr>
          <w:rFonts w:hint="eastAsia" w:ascii="宋体" w:hAnsi="宋体" w:eastAsia="宋体" w:cs="宋体"/>
          <w:b/>
          <w:bCs/>
          <w:sz w:val="36"/>
          <w:szCs w:val="36"/>
          <w:highlight w:val="none"/>
        </w:rPr>
      </w:pPr>
    </w:p>
    <w:p>
      <w:pPr>
        <w:pStyle w:val="9"/>
        <w:spacing w:before="2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响应供应商名称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w:t>
      </w:r>
      <w:r>
        <w:rPr>
          <w:rFonts w:hint="eastAsia" w:ascii="宋体" w:hAnsi="宋体" w:eastAsia="宋体" w:cs="宋体"/>
          <w:spacing w:val="119"/>
          <w:sz w:val="24"/>
          <w:szCs w:val="24"/>
          <w:highlight w:val="none"/>
        </w:rPr>
        <w:t xml:space="preserve"> </w:t>
      </w:r>
      <w:r>
        <w:rPr>
          <w:rFonts w:hint="eastAsia" w:ascii="宋体" w:hAnsi="宋体" w:eastAsia="宋体" w:cs="宋体"/>
          <w:sz w:val="24"/>
          <w:szCs w:val="24"/>
          <w:highlight w:val="none"/>
        </w:rPr>
        <w:t xml:space="preserve">项目编号∶ </w:t>
      </w:r>
      <w:r>
        <w:rPr>
          <w:rFonts w:hint="eastAsia" w:ascii="宋体" w:hAnsi="宋体" w:eastAsia="宋体" w:cs="宋体"/>
          <w:spacing w:val="-60"/>
          <w:sz w:val="24"/>
          <w:szCs w:val="24"/>
          <w:highlight w:val="none"/>
        </w:rPr>
        <w:t xml:space="preserve"> </w:t>
      </w:r>
      <w:r>
        <w:rPr>
          <w:rFonts w:hint="eastAsia" w:ascii="宋体" w:hAnsi="宋体" w:eastAsia="宋体" w:cs="宋体"/>
          <w:sz w:val="24"/>
          <w:szCs w:val="24"/>
          <w:highlight w:val="none"/>
        </w:rPr>
        <w:t xml:space="preserve"> </w:t>
      </w:r>
    </w:p>
    <w:p>
      <w:pPr>
        <w:spacing w:before="9"/>
        <w:rPr>
          <w:rFonts w:hint="eastAsia" w:ascii="宋体" w:hAnsi="宋体" w:eastAsia="宋体" w:cs="宋体"/>
          <w:sz w:val="24"/>
          <w:szCs w:val="24"/>
          <w:highlight w:val="none"/>
        </w:rPr>
      </w:pPr>
    </w:p>
    <w:tbl>
      <w:tblPr>
        <w:tblStyle w:val="24"/>
        <w:tblW w:w="4998" w:type="pct"/>
        <w:tblInd w:w="0" w:type="dxa"/>
        <w:tblLayout w:type="autofit"/>
        <w:tblCellMar>
          <w:top w:w="0" w:type="dxa"/>
          <w:left w:w="0" w:type="dxa"/>
          <w:bottom w:w="0" w:type="dxa"/>
          <w:right w:w="0" w:type="dxa"/>
        </w:tblCellMar>
      </w:tblPr>
      <w:tblGrid>
        <w:gridCol w:w="1524"/>
        <w:gridCol w:w="1984"/>
        <w:gridCol w:w="2236"/>
        <w:gridCol w:w="1897"/>
        <w:gridCol w:w="1895"/>
      </w:tblGrid>
      <w:tr>
        <w:tblPrEx>
          <w:tblCellMar>
            <w:top w:w="0" w:type="dxa"/>
            <w:left w:w="0" w:type="dxa"/>
            <w:bottom w:w="0" w:type="dxa"/>
            <w:right w:w="0" w:type="dxa"/>
          </w:tblCellMar>
        </w:tblPrEx>
        <w:trPr>
          <w:trHeight w:val="693"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before="199"/>
              <w:ind w:left="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1040" w:type="pct"/>
            <w:tcBorders>
              <w:top w:val="single" w:color="000000" w:sz="4" w:space="0"/>
              <w:left w:val="single" w:color="000000" w:sz="4" w:space="0"/>
              <w:bottom w:val="single" w:color="000000" w:sz="4" w:space="0"/>
              <w:right w:val="single" w:color="000000" w:sz="4" w:space="0"/>
            </w:tcBorders>
          </w:tcPr>
          <w:p>
            <w:pPr>
              <w:pStyle w:val="33"/>
              <w:spacing w:before="199"/>
              <w:ind w:left="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规格条目号</w:t>
            </w:r>
          </w:p>
        </w:tc>
        <w:tc>
          <w:tcPr>
            <w:tcW w:w="1172" w:type="pct"/>
            <w:tcBorders>
              <w:top w:val="single" w:color="000000" w:sz="4" w:space="0"/>
              <w:left w:val="single" w:color="000000" w:sz="4" w:space="0"/>
              <w:bottom w:val="single" w:color="000000" w:sz="4" w:space="0"/>
              <w:right w:val="single" w:color="000000" w:sz="4" w:space="0"/>
            </w:tcBorders>
          </w:tcPr>
          <w:p>
            <w:pPr>
              <w:pStyle w:val="33"/>
              <w:spacing w:before="199"/>
              <w:ind w:left="16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比选文件要求</w:t>
            </w:r>
          </w:p>
        </w:tc>
        <w:tc>
          <w:tcPr>
            <w:tcW w:w="994" w:type="pct"/>
            <w:tcBorders>
              <w:top w:val="single" w:color="000000" w:sz="4" w:space="0"/>
              <w:left w:val="single" w:color="000000" w:sz="4" w:space="0"/>
              <w:bottom w:val="single" w:color="000000" w:sz="4" w:space="0"/>
              <w:right w:val="single" w:color="000000" w:sz="4" w:space="0"/>
            </w:tcBorders>
          </w:tcPr>
          <w:p>
            <w:pPr>
              <w:pStyle w:val="33"/>
              <w:spacing w:before="199"/>
              <w:ind w:left="27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响应情况</w:t>
            </w:r>
          </w:p>
        </w:tc>
        <w:tc>
          <w:tcPr>
            <w:tcW w:w="993" w:type="pct"/>
            <w:tcBorders>
              <w:top w:val="single" w:color="000000" w:sz="4" w:space="0"/>
              <w:left w:val="single" w:color="000000" w:sz="4" w:space="0"/>
              <w:bottom w:val="single" w:color="000000" w:sz="4" w:space="0"/>
              <w:right w:val="single" w:color="000000" w:sz="4" w:space="0"/>
            </w:tcBorders>
          </w:tcPr>
          <w:p>
            <w:pPr>
              <w:pStyle w:val="33"/>
              <w:spacing w:before="199"/>
              <w:ind w:left="27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偏离说明</w:t>
            </w:r>
          </w:p>
        </w:tc>
      </w:tr>
      <w:tr>
        <w:tblPrEx>
          <w:tblCellMar>
            <w:top w:w="0" w:type="dxa"/>
            <w:left w:w="0" w:type="dxa"/>
            <w:bottom w:w="0" w:type="dxa"/>
            <w:right w:w="0" w:type="dxa"/>
          </w:tblCellMar>
        </w:tblPrEx>
        <w:trPr>
          <w:trHeight w:val="955"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r>
      <w:tr>
        <w:tblPrEx>
          <w:tblCellMar>
            <w:top w:w="0" w:type="dxa"/>
            <w:left w:w="0" w:type="dxa"/>
            <w:bottom w:w="0" w:type="dxa"/>
            <w:right w:w="0" w:type="dxa"/>
          </w:tblCellMar>
        </w:tblPrEx>
        <w:trPr>
          <w:trHeight w:val="953"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r>
      <w:tr>
        <w:tblPrEx>
          <w:tblCellMar>
            <w:top w:w="0" w:type="dxa"/>
            <w:left w:w="0" w:type="dxa"/>
            <w:bottom w:w="0" w:type="dxa"/>
            <w:right w:w="0" w:type="dxa"/>
          </w:tblCellMar>
        </w:tblPrEx>
        <w:trPr>
          <w:trHeight w:val="955"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6" w:lineRule="exact"/>
              <w:ind w:left="1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r>
      <w:tr>
        <w:tblPrEx>
          <w:tblCellMar>
            <w:top w:w="0" w:type="dxa"/>
            <w:left w:w="0" w:type="dxa"/>
            <w:bottom w:w="0" w:type="dxa"/>
            <w:right w:w="0" w:type="dxa"/>
          </w:tblCellMar>
        </w:tblPrEx>
        <w:trPr>
          <w:trHeight w:val="953"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r>
      <w:tr>
        <w:tblPrEx>
          <w:tblCellMar>
            <w:top w:w="0" w:type="dxa"/>
            <w:left w:w="0" w:type="dxa"/>
            <w:bottom w:w="0" w:type="dxa"/>
            <w:right w:w="0" w:type="dxa"/>
          </w:tblCellMar>
        </w:tblPrEx>
        <w:trPr>
          <w:trHeight w:val="956"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1"/>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r>
      <w:tr>
        <w:tblPrEx>
          <w:tblCellMar>
            <w:top w:w="0" w:type="dxa"/>
            <w:left w:w="0" w:type="dxa"/>
            <w:bottom w:w="0" w:type="dxa"/>
            <w:right w:w="0" w:type="dxa"/>
          </w:tblCellMar>
        </w:tblPrEx>
        <w:trPr>
          <w:trHeight w:val="953"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1"/>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r>
      <w:tr>
        <w:tblPrEx>
          <w:tblCellMar>
            <w:top w:w="0" w:type="dxa"/>
            <w:left w:w="0" w:type="dxa"/>
            <w:bottom w:w="0" w:type="dxa"/>
            <w:right w:w="0" w:type="dxa"/>
          </w:tblCellMar>
        </w:tblPrEx>
        <w:trPr>
          <w:trHeight w:val="953"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1"/>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r>
      <w:tr>
        <w:tblPrEx>
          <w:tblCellMar>
            <w:top w:w="0" w:type="dxa"/>
            <w:left w:w="0" w:type="dxa"/>
            <w:bottom w:w="0" w:type="dxa"/>
            <w:right w:w="0" w:type="dxa"/>
          </w:tblCellMar>
        </w:tblPrEx>
        <w:trPr>
          <w:trHeight w:val="955"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1"/>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r>
      <w:tr>
        <w:tblPrEx>
          <w:tblCellMar>
            <w:top w:w="0" w:type="dxa"/>
            <w:left w:w="0" w:type="dxa"/>
            <w:bottom w:w="0" w:type="dxa"/>
            <w:right w:w="0" w:type="dxa"/>
          </w:tblCellMar>
        </w:tblPrEx>
        <w:trPr>
          <w:trHeight w:val="953" w:hRule="exact"/>
        </w:trPr>
        <w:tc>
          <w:tcPr>
            <w:tcW w:w="799"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040"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3"/>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1172"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4"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0"/>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c>
          <w:tcPr>
            <w:tcW w:w="993" w:type="pct"/>
            <w:tcBorders>
              <w:top w:val="single" w:color="000000" w:sz="4" w:space="0"/>
              <w:left w:val="single" w:color="000000" w:sz="4" w:space="0"/>
              <w:bottom w:val="single" w:color="000000" w:sz="4" w:space="0"/>
              <w:right w:val="single" w:color="000000" w:sz="4" w:space="0"/>
            </w:tcBorders>
          </w:tcPr>
          <w:p>
            <w:pPr>
              <w:pStyle w:val="33"/>
              <w:spacing w:line="274" w:lineRule="exact"/>
              <w:ind w:left="101"/>
              <w:jc w:val="left"/>
              <w:rPr>
                <w:rFonts w:hint="eastAsia" w:ascii="宋体" w:hAnsi="宋体" w:eastAsia="宋体" w:cs="宋体"/>
                <w:sz w:val="24"/>
                <w:szCs w:val="24"/>
                <w:highlight w:val="none"/>
              </w:rPr>
            </w:pPr>
            <w:r>
              <w:rPr>
                <w:rFonts w:hint="eastAsia" w:ascii="宋体" w:hAnsi="宋体" w:eastAsia="宋体" w:cs="宋体"/>
                <w:sz w:val="24"/>
                <w:highlight w:val="none"/>
              </w:rPr>
              <w:t xml:space="preserve"> </w:t>
            </w:r>
          </w:p>
        </w:tc>
      </w:tr>
    </w:tbl>
    <w:p>
      <w:pPr>
        <w:pStyle w:val="9"/>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注：响应供应商提交的响应文件中与比选文件的技术、商务部分的要求应逐条对比，列明在偏离表中，并注明偏离情况，否则将认为响应供应商接受比选文件的要求。响应供应商存在弄虚作</w:t>
      </w:r>
      <w:r>
        <w:rPr>
          <w:rFonts w:hint="eastAsia" w:ascii="宋体" w:hAnsi="宋体" w:eastAsia="宋体" w:cs="宋体"/>
          <w:spacing w:val="-63"/>
          <w:sz w:val="24"/>
          <w:szCs w:val="24"/>
          <w:highlight w:val="none"/>
        </w:rPr>
        <w:t xml:space="preserve"> </w:t>
      </w:r>
      <w:r>
        <w:rPr>
          <w:rFonts w:hint="eastAsia" w:ascii="宋体" w:hAnsi="宋体" w:eastAsia="宋体" w:cs="宋体"/>
          <w:sz w:val="24"/>
          <w:szCs w:val="24"/>
          <w:highlight w:val="none"/>
        </w:rPr>
        <w:t xml:space="preserve">假行为的，将依法承担相应的法律责任。 </w:t>
      </w:r>
    </w:p>
    <w:p>
      <w:pPr>
        <w:pStyle w:val="9"/>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响应供应商代表签字： </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spacing w:line="355" w:lineRule="auto"/>
        <w:jc w:val="left"/>
        <w:rPr>
          <w:rFonts w:hint="eastAsia" w:ascii="宋体" w:hAnsi="宋体" w:eastAsia="宋体" w:cs="宋体"/>
          <w:highlight w:val="none"/>
        </w:rPr>
        <w:sectPr>
          <w:headerReference r:id="rId18" w:type="default"/>
          <w:footerReference r:id="rId19" w:type="default"/>
          <w:pgSz w:w="11911" w:h="16849"/>
          <w:pgMar w:top="1378" w:right="901" w:bottom="1162" w:left="1480" w:header="0" w:footer="981" w:gutter="0"/>
          <w:cols w:space="0" w:num="1"/>
        </w:sectPr>
      </w:pPr>
    </w:p>
    <w:p>
      <w:pPr>
        <w:spacing w:line="460" w:lineRule="exact"/>
        <w:ind w:left="214" w:right="217"/>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“★”号条款逐条响应情况表</w:t>
      </w:r>
    </w:p>
    <w:p>
      <w:pPr>
        <w:pStyle w:val="9"/>
        <w:spacing w:before="173"/>
        <w:ind w:firstLine="240" w:firstLineChars="100"/>
        <w:jc w:val="left"/>
        <w:rPr>
          <w:rFonts w:hint="eastAsia" w:ascii="宋体" w:hAnsi="宋体" w:eastAsia="宋体" w:cs="宋体"/>
          <w:b/>
          <w:bCs/>
          <w:spacing w:val="-1"/>
          <w:sz w:val="24"/>
          <w:szCs w:val="24"/>
          <w:highlight w:val="none"/>
        </w:rPr>
      </w:pPr>
      <w:r>
        <w:rPr>
          <w:rFonts w:hint="eastAsia" w:ascii="宋体" w:hAnsi="宋体" w:eastAsia="宋体" w:cs="宋体"/>
          <w:sz w:val="24"/>
          <w:szCs w:val="24"/>
          <w:highlight w:val="none"/>
        </w:rPr>
        <w:t xml:space="preserve">项目编号∶ </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5455"/>
        <w:gridCol w:w="1259"/>
        <w:gridCol w:w="1200"/>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pStyle w:val="33"/>
              <w:spacing w:line="360" w:lineRule="auto"/>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序号</w:t>
            </w:r>
          </w:p>
        </w:tc>
        <w:tc>
          <w:tcPr>
            <w:tcW w:w="5455" w:type="dxa"/>
            <w:vAlign w:val="center"/>
          </w:tcPr>
          <w:p>
            <w:pPr>
              <w:pStyle w:val="33"/>
              <w:spacing w:line="360" w:lineRule="auto"/>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采购文件中带“★”号的条款</w:t>
            </w:r>
          </w:p>
        </w:tc>
        <w:tc>
          <w:tcPr>
            <w:tcW w:w="1259" w:type="dxa"/>
            <w:vAlign w:val="center"/>
          </w:tcPr>
          <w:p>
            <w:pPr>
              <w:pStyle w:val="33"/>
              <w:spacing w:line="360" w:lineRule="auto"/>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响应内容</w:t>
            </w:r>
          </w:p>
        </w:tc>
        <w:tc>
          <w:tcPr>
            <w:tcW w:w="1200" w:type="dxa"/>
            <w:vAlign w:val="center"/>
          </w:tcPr>
          <w:p>
            <w:pPr>
              <w:pStyle w:val="33"/>
              <w:spacing w:line="360" w:lineRule="auto"/>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响应情况</w:t>
            </w:r>
          </w:p>
        </w:tc>
        <w:tc>
          <w:tcPr>
            <w:tcW w:w="1183" w:type="dxa"/>
            <w:vAlign w:val="center"/>
          </w:tcPr>
          <w:p>
            <w:pPr>
              <w:pStyle w:val="33"/>
              <w:spacing w:line="360" w:lineRule="auto"/>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746" w:type="dxa"/>
            <w:gridSpan w:val="5"/>
            <w:vAlign w:val="center"/>
          </w:tcPr>
          <w:p>
            <w:pPr>
              <w:spacing w:before="60" w:line="360" w:lineRule="auto"/>
              <w:jc w:val="center"/>
              <w:rPr>
                <w:rFonts w:hint="eastAsia" w:ascii="宋体" w:hAnsi="宋体" w:eastAsia="宋体" w:cs="宋体"/>
                <w:sz w:val="22"/>
                <w:szCs w:val="22"/>
                <w:highlight w:val="none"/>
              </w:rPr>
            </w:pPr>
            <w:r>
              <w:rPr>
                <w:rFonts w:hint="eastAsia" w:ascii="宋体" w:hAnsi="宋体" w:eastAsia="宋体" w:cs="宋体"/>
                <w:b/>
                <w:bCs/>
                <w:sz w:val="22"/>
                <w:highlight w:val="none"/>
              </w:rPr>
              <w:t>二、项目需求描述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pStyle w:val="9"/>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c>
          <w:tcPr>
            <w:tcW w:w="5455" w:type="dxa"/>
          </w:tcPr>
          <w:p>
            <w:pPr>
              <w:pStyle w:val="9"/>
              <w:spacing w:line="360" w:lineRule="auto"/>
              <w:jc w:val="left"/>
              <w:rPr>
                <w:rFonts w:hint="eastAsia" w:ascii="宋体" w:hAnsi="宋体" w:eastAsia="宋体" w:cs="宋体"/>
                <w:sz w:val="22"/>
                <w:szCs w:val="22"/>
                <w:highlight w:val="none"/>
              </w:rPr>
            </w:pPr>
            <w:r>
              <w:rPr>
                <w:rFonts w:hint="eastAsia" w:ascii="宋体" w:hAnsi="宋体" w:eastAsia="宋体" w:cs="宋体"/>
                <w:b w:val="0"/>
                <w:sz w:val="22"/>
                <w:szCs w:val="22"/>
                <w:highlight w:val="none"/>
              </w:rPr>
              <w:t>★</w:t>
            </w:r>
            <w:r>
              <w:rPr>
                <w:rFonts w:hint="eastAsia" w:ascii="宋体" w:hAnsi="宋体" w:eastAsia="宋体" w:cs="宋体"/>
                <w:b w:val="0"/>
                <w:sz w:val="22"/>
                <w:szCs w:val="22"/>
                <w:highlight w:val="none"/>
                <w:lang w:val="en-US" w:eastAsia="zh-CN"/>
              </w:rPr>
              <w:t>成交供应商</w:t>
            </w:r>
            <w:r>
              <w:rPr>
                <w:rFonts w:hint="eastAsia" w:ascii="宋体" w:hAnsi="宋体" w:eastAsia="宋体" w:cs="宋体"/>
                <w:b w:val="0"/>
                <w:sz w:val="22"/>
                <w:szCs w:val="22"/>
                <w:highlight w:val="none"/>
              </w:rPr>
              <w:t>须与采购人就</w:t>
            </w:r>
            <w:r>
              <w:rPr>
                <w:rFonts w:hint="eastAsia" w:ascii="宋体" w:hAnsi="宋体" w:eastAsia="宋体" w:cs="宋体"/>
                <w:b w:val="0"/>
                <w:sz w:val="22"/>
                <w:szCs w:val="22"/>
                <w:highlight w:val="none"/>
                <w:lang w:eastAsia="zh-CN"/>
              </w:rPr>
              <w:t>机房核心设备及配套软件维保服务项目</w:t>
            </w:r>
            <w:r>
              <w:rPr>
                <w:rFonts w:hint="eastAsia" w:ascii="宋体" w:hAnsi="宋体" w:eastAsia="宋体" w:cs="宋体"/>
                <w:b w:val="0"/>
                <w:sz w:val="22"/>
                <w:szCs w:val="22"/>
                <w:highlight w:val="none"/>
              </w:rPr>
              <w:t>签署相关保密协议，做好设备系统保密工作。</w:t>
            </w:r>
          </w:p>
        </w:tc>
        <w:tc>
          <w:tcPr>
            <w:tcW w:w="1259" w:type="dxa"/>
          </w:tcPr>
          <w:p>
            <w:pPr>
              <w:spacing w:before="60" w:line="360" w:lineRule="auto"/>
              <w:jc w:val="left"/>
              <w:rPr>
                <w:rFonts w:hint="eastAsia" w:ascii="宋体" w:hAnsi="宋体" w:eastAsia="宋体" w:cs="宋体"/>
                <w:b/>
                <w:bCs/>
                <w:spacing w:val="-1"/>
                <w:sz w:val="22"/>
                <w:szCs w:val="22"/>
                <w:highlight w:val="none"/>
              </w:rPr>
            </w:pPr>
          </w:p>
        </w:tc>
        <w:tc>
          <w:tcPr>
            <w:tcW w:w="1200" w:type="dxa"/>
          </w:tcPr>
          <w:p>
            <w:pPr>
              <w:spacing w:before="60" w:line="360" w:lineRule="auto"/>
              <w:jc w:val="left"/>
              <w:rPr>
                <w:rFonts w:hint="eastAsia" w:ascii="宋体" w:hAnsi="宋体" w:eastAsia="宋体" w:cs="宋体"/>
                <w:b/>
                <w:bCs/>
                <w:spacing w:val="-1"/>
                <w:sz w:val="22"/>
                <w:szCs w:val="22"/>
                <w:highlight w:val="none"/>
              </w:rPr>
            </w:pPr>
          </w:p>
        </w:tc>
        <w:tc>
          <w:tcPr>
            <w:tcW w:w="1183" w:type="dxa"/>
            <w:vAlign w:val="center"/>
          </w:tcPr>
          <w:p>
            <w:pPr>
              <w:spacing w:before="60"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提供承诺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pStyle w:val="9"/>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c>
          <w:tcPr>
            <w:tcW w:w="5455" w:type="dxa"/>
          </w:tcPr>
          <w:p>
            <w:pPr>
              <w:pStyle w:val="9"/>
              <w:numPr>
                <w:ilvl w:val="0"/>
                <w:numId w:val="0"/>
              </w:numPr>
              <w:spacing w:line="360" w:lineRule="auto"/>
              <w:jc w:val="left"/>
              <w:rPr>
                <w:rFonts w:hint="eastAsia" w:ascii="宋体" w:hAnsi="宋体" w:eastAsia="宋体" w:cs="宋体"/>
                <w:b/>
                <w:bCs/>
                <w:sz w:val="22"/>
                <w:szCs w:val="22"/>
                <w:highlight w:val="none"/>
              </w:rPr>
            </w:pPr>
            <w:r>
              <w:rPr>
                <w:rFonts w:hint="eastAsia" w:ascii="宋体" w:hAnsi="宋体" w:eastAsia="宋体" w:cs="宋体"/>
                <w:b w:val="0"/>
                <w:sz w:val="22"/>
                <w:szCs w:val="22"/>
                <w:highlight w:val="none"/>
              </w:rPr>
              <w:t>★为保证DATAPP备份一体机、入侵检查和防火墙设备的安全，响应供应商应承诺成交后从入侵检查和防火墙生产厂商购买维保服务，根据采购人的需要，将维保清单中DATAPP备份一体机、入侵检查和防火墙设备的系统软件升级到最新稳定版本，并保证后续及时更新补丁、修复漏洞、系统安全加固、提升安全保障能力，以确保DATAPP备份一体机、入侵检查和防火墙系统的运行安全。成交供应商在签订合同时需提供入侵检查和防火墙生产厂商出具的售后服务声明函等证明材料，否则将视为提供虚假承诺。</w:t>
            </w:r>
          </w:p>
        </w:tc>
        <w:tc>
          <w:tcPr>
            <w:tcW w:w="1259" w:type="dxa"/>
          </w:tcPr>
          <w:p>
            <w:pPr>
              <w:spacing w:before="60" w:line="360" w:lineRule="auto"/>
              <w:jc w:val="left"/>
              <w:rPr>
                <w:rFonts w:hint="eastAsia" w:ascii="宋体" w:hAnsi="宋体" w:eastAsia="宋体" w:cs="宋体"/>
                <w:b/>
                <w:bCs/>
                <w:spacing w:val="-1"/>
                <w:sz w:val="22"/>
                <w:szCs w:val="22"/>
                <w:highlight w:val="none"/>
              </w:rPr>
            </w:pPr>
          </w:p>
        </w:tc>
        <w:tc>
          <w:tcPr>
            <w:tcW w:w="1200" w:type="dxa"/>
          </w:tcPr>
          <w:p>
            <w:pPr>
              <w:spacing w:before="60" w:line="360" w:lineRule="auto"/>
              <w:jc w:val="left"/>
              <w:rPr>
                <w:rFonts w:hint="eastAsia" w:ascii="宋体" w:hAnsi="宋体" w:eastAsia="宋体" w:cs="宋体"/>
                <w:b/>
                <w:bCs/>
                <w:spacing w:val="-1"/>
                <w:sz w:val="22"/>
                <w:szCs w:val="22"/>
                <w:highlight w:val="none"/>
              </w:rPr>
            </w:pPr>
          </w:p>
        </w:tc>
        <w:tc>
          <w:tcPr>
            <w:tcW w:w="1183" w:type="dxa"/>
            <w:vAlign w:val="center"/>
          </w:tcPr>
          <w:p>
            <w:pPr>
              <w:spacing w:before="60"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提供承诺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6" w:type="dxa"/>
            <w:gridSpan w:val="5"/>
            <w:vAlign w:val="center"/>
          </w:tcPr>
          <w:p>
            <w:pPr>
              <w:spacing w:before="60" w:line="360" w:lineRule="auto"/>
              <w:jc w:val="center"/>
              <w:rPr>
                <w:rFonts w:hint="eastAsia" w:ascii="宋体" w:hAnsi="宋体" w:eastAsia="宋体" w:cs="宋体"/>
                <w:sz w:val="22"/>
                <w:szCs w:val="22"/>
                <w:highlight w:val="none"/>
                <w:lang w:val="en-US" w:eastAsia="zh-CN"/>
              </w:rPr>
            </w:pPr>
            <w:r>
              <w:rPr>
                <w:rFonts w:hint="eastAsia" w:ascii="宋体" w:hAnsi="宋体" w:eastAsia="宋体" w:cs="宋体"/>
                <w:b/>
                <w:bCs/>
                <w:sz w:val="22"/>
                <w:szCs w:val="22"/>
                <w:highlight w:val="none"/>
                <w:lang w:val="en-US" w:eastAsia="zh-CN"/>
              </w:rPr>
              <w:t>四</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响应</w:t>
            </w:r>
            <w:r>
              <w:rPr>
                <w:rFonts w:hint="eastAsia" w:ascii="宋体" w:hAnsi="宋体" w:eastAsia="宋体" w:cs="宋体"/>
                <w:b/>
                <w:bCs/>
                <w:sz w:val="22"/>
                <w:szCs w:val="22"/>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pStyle w:val="9"/>
              <w:spacing w:line="360" w:lineRule="auto"/>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p>
        </w:tc>
        <w:tc>
          <w:tcPr>
            <w:tcW w:w="5455" w:type="dxa"/>
          </w:tcPr>
          <w:p>
            <w:pPr>
              <w:pStyle w:val="9"/>
              <w:numPr>
                <w:ilvl w:val="0"/>
                <w:numId w:val="0"/>
              </w:numPr>
              <w:spacing w:line="360" w:lineRule="auto"/>
              <w:jc w:val="left"/>
              <w:rPr>
                <w:rFonts w:hint="eastAsia" w:ascii="宋体" w:hAnsi="宋体" w:eastAsia="宋体" w:cs="宋体"/>
                <w:b w:val="0"/>
                <w:sz w:val="22"/>
                <w:szCs w:val="22"/>
                <w:highlight w:val="none"/>
              </w:rPr>
            </w:pPr>
            <w:r>
              <w:rPr>
                <w:rFonts w:hint="eastAsia" w:ascii="宋体" w:hAnsi="宋体" w:eastAsia="宋体" w:cs="宋体"/>
                <w:sz w:val="22"/>
                <w:szCs w:val="22"/>
                <w:highlight w:val="none"/>
              </w:rPr>
              <w:t>6、★响应供应商应承诺在接到采购人的维保服务需求后，如因自身力量无法完成服务的，需立即协调原厂技术人员提供服务，所产生费用由响应供应商承担。</w:t>
            </w:r>
          </w:p>
        </w:tc>
        <w:tc>
          <w:tcPr>
            <w:tcW w:w="1259" w:type="dxa"/>
          </w:tcPr>
          <w:p>
            <w:pPr>
              <w:spacing w:before="60" w:line="360" w:lineRule="auto"/>
              <w:jc w:val="left"/>
              <w:rPr>
                <w:rFonts w:hint="eastAsia" w:ascii="宋体" w:hAnsi="宋体" w:eastAsia="宋体" w:cs="宋体"/>
                <w:b/>
                <w:bCs/>
                <w:spacing w:val="-1"/>
                <w:sz w:val="22"/>
                <w:szCs w:val="22"/>
                <w:highlight w:val="none"/>
              </w:rPr>
            </w:pPr>
          </w:p>
        </w:tc>
        <w:tc>
          <w:tcPr>
            <w:tcW w:w="1200" w:type="dxa"/>
          </w:tcPr>
          <w:p>
            <w:pPr>
              <w:spacing w:before="60" w:line="360" w:lineRule="auto"/>
              <w:jc w:val="left"/>
              <w:rPr>
                <w:rFonts w:hint="eastAsia" w:ascii="宋体" w:hAnsi="宋体" w:eastAsia="宋体" w:cs="宋体"/>
                <w:b/>
                <w:bCs/>
                <w:spacing w:val="-1"/>
                <w:sz w:val="22"/>
                <w:szCs w:val="22"/>
                <w:highlight w:val="none"/>
              </w:rPr>
            </w:pPr>
          </w:p>
        </w:tc>
        <w:tc>
          <w:tcPr>
            <w:tcW w:w="1183" w:type="dxa"/>
            <w:vAlign w:val="center"/>
          </w:tcPr>
          <w:p>
            <w:pPr>
              <w:spacing w:before="60" w:line="360" w:lineRule="auto"/>
              <w:rPr>
                <w:rFonts w:hint="eastAsia" w:ascii="宋体" w:hAnsi="宋体" w:eastAsia="宋体" w:cs="宋体"/>
                <w:sz w:val="22"/>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6" w:type="dxa"/>
            <w:gridSpan w:val="5"/>
            <w:vAlign w:val="center"/>
          </w:tcPr>
          <w:p>
            <w:pPr>
              <w:spacing w:before="60" w:line="360" w:lineRule="auto"/>
              <w:jc w:val="center"/>
              <w:rPr>
                <w:rFonts w:hint="eastAsia" w:ascii="宋体" w:hAnsi="宋体" w:eastAsia="宋体" w:cs="宋体"/>
                <w:sz w:val="22"/>
                <w:szCs w:val="22"/>
                <w:highlight w:val="none"/>
              </w:rPr>
            </w:pPr>
            <w:r>
              <w:rPr>
                <w:rFonts w:hint="eastAsia" w:ascii="宋体" w:hAnsi="宋体" w:eastAsia="宋体" w:cs="宋体"/>
                <w:b/>
                <w:bCs/>
                <w:sz w:val="22"/>
                <w:szCs w:val="22"/>
                <w:highlight w:val="none"/>
              </w:rPr>
              <w:t>五、报价要求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pStyle w:val="9"/>
              <w:spacing w:line="360" w:lineRule="auto"/>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4</w:t>
            </w:r>
          </w:p>
        </w:tc>
        <w:tc>
          <w:tcPr>
            <w:tcW w:w="5455" w:type="dxa"/>
            <w:vAlign w:val="center"/>
          </w:tcPr>
          <w:p>
            <w:pPr>
              <w:pStyle w:val="9"/>
              <w:spacing w:line="360" w:lineRule="auto"/>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★1、本项目的采购预算为人民币贰拾贰万伍仟元整</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￥225000元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，采购预算为响应报价的最高限价，报价超过采购预算的属无效报价。</w:t>
            </w:r>
          </w:p>
        </w:tc>
        <w:tc>
          <w:tcPr>
            <w:tcW w:w="1259" w:type="dxa"/>
            <w:vAlign w:val="center"/>
          </w:tcPr>
          <w:p>
            <w:pPr>
              <w:spacing w:before="60" w:line="360" w:lineRule="auto"/>
              <w:jc w:val="center"/>
              <w:rPr>
                <w:rFonts w:hint="eastAsia" w:ascii="宋体" w:hAnsi="宋体" w:eastAsia="宋体" w:cs="宋体"/>
                <w:b/>
                <w:bCs/>
                <w:spacing w:val="-1"/>
                <w:sz w:val="22"/>
                <w:szCs w:val="22"/>
                <w:highlight w:val="none"/>
                <w:lang w:val="en-US" w:eastAsia="zh-CN"/>
              </w:rPr>
            </w:pPr>
            <w:r>
              <w:rPr>
                <w:rFonts w:hint="eastAsia" w:ascii="宋体" w:hAnsi="宋体" w:eastAsia="宋体" w:cs="宋体"/>
                <w:b/>
                <w:bCs/>
                <w:spacing w:val="-1"/>
                <w:sz w:val="22"/>
                <w:szCs w:val="22"/>
                <w:highlight w:val="none"/>
                <w:lang w:val="en-US" w:eastAsia="zh-CN"/>
              </w:rPr>
              <w:t>详见报价部分</w:t>
            </w:r>
          </w:p>
        </w:tc>
        <w:tc>
          <w:tcPr>
            <w:tcW w:w="1200" w:type="dxa"/>
            <w:vAlign w:val="center"/>
          </w:tcPr>
          <w:p>
            <w:pPr>
              <w:spacing w:before="60" w:line="360" w:lineRule="auto"/>
              <w:jc w:val="center"/>
              <w:rPr>
                <w:rFonts w:hint="eastAsia" w:ascii="宋体" w:hAnsi="宋体" w:eastAsia="宋体" w:cs="宋体"/>
                <w:b/>
                <w:bCs/>
                <w:spacing w:val="-1"/>
                <w:sz w:val="22"/>
                <w:szCs w:val="22"/>
                <w:highlight w:val="none"/>
                <w:lang w:val="en-US" w:eastAsia="zh-CN"/>
              </w:rPr>
            </w:pPr>
          </w:p>
        </w:tc>
        <w:tc>
          <w:tcPr>
            <w:tcW w:w="1183" w:type="dxa"/>
            <w:vAlign w:val="center"/>
          </w:tcPr>
          <w:p>
            <w:pPr>
              <w:spacing w:before="60"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响应文件中不要出现报价金额注明是否存在偏离即可。</w:t>
            </w:r>
          </w:p>
        </w:tc>
      </w:tr>
    </w:tbl>
    <w:p>
      <w:pPr>
        <w:spacing w:before="60" w:line="331" w:lineRule="auto"/>
        <w:ind w:left="109" w:firstLine="422"/>
        <w:jc w:val="left"/>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rPr>
        <w:t>以上★号条款为采购文件中的所有★号条款，无论是技术指标或文字描述要求，响应供应商必</w:t>
      </w:r>
      <w:r>
        <w:rPr>
          <w:rFonts w:hint="eastAsia" w:ascii="宋体" w:hAnsi="宋体" w:eastAsia="宋体" w:cs="宋体"/>
          <w:b/>
          <w:bCs/>
          <w:sz w:val="24"/>
          <w:szCs w:val="24"/>
          <w:highlight w:val="none"/>
        </w:rPr>
        <w:t>须逐条如实地书面响应。</w:t>
      </w:r>
      <w:r>
        <w:rPr>
          <w:rFonts w:hint="eastAsia" w:ascii="宋体" w:hAnsi="宋体" w:eastAsia="宋体" w:cs="宋体"/>
          <w:b/>
          <w:bCs/>
          <w:w w:val="99"/>
          <w:sz w:val="24"/>
          <w:szCs w:val="24"/>
          <w:highlight w:val="none"/>
        </w:rPr>
        <w:t xml:space="preserve"> </w:t>
      </w:r>
    </w:p>
    <w:p>
      <w:pPr>
        <w:pStyle w:val="9"/>
        <w:spacing w:line="440" w:lineRule="exact"/>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响应供应商（全称并加盖公章）：</w:t>
      </w:r>
      <w:r>
        <w:rPr>
          <w:rFonts w:hint="eastAsia" w:ascii="宋体" w:hAnsi="宋体" w:eastAsia="宋体" w:cs="宋体"/>
          <w:spacing w:val="-8"/>
          <w:sz w:val="24"/>
          <w:szCs w:val="24"/>
          <w:highlight w:val="none"/>
          <w:u w:val="single" w:color="000000"/>
        </w:rPr>
        <w:t xml:space="preserve">                 </w:t>
      </w:r>
      <w:r>
        <w:rPr>
          <w:rFonts w:hint="eastAsia" w:ascii="宋体" w:hAnsi="宋体" w:eastAsia="宋体" w:cs="宋体"/>
          <w:spacing w:val="-8"/>
          <w:sz w:val="24"/>
          <w:szCs w:val="24"/>
          <w:highlight w:val="none"/>
        </w:rPr>
        <w:t xml:space="preserve">      </w:t>
      </w:r>
    </w:p>
    <w:p>
      <w:pPr>
        <w:pStyle w:val="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响应供应商代表签字：</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spacing w:line="440" w:lineRule="exact"/>
        <w:rPr>
          <w:rFonts w:hint="eastAsia" w:ascii="宋体" w:hAnsi="宋体" w:eastAsia="宋体" w:cs="宋体"/>
          <w:sz w:val="24"/>
          <w:szCs w:val="24"/>
          <w:highlight w:val="none"/>
        </w:rPr>
        <w:sectPr>
          <w:headerReference r:id="rId20" w:type="default"/>
          <w:footerReference r:id="rId21" w:type="default"/>
          <w:pgSz w:w="11911" w:h="16849"/>
          <w:pgMar w:top="1378" w:right="901" w:bottom="1162" w:left="1480" w:header="0" w:footer="981" w:gutter="0"/>
          <w:cols w:space="0" w:num="1"/>
        </w:sect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color="000000"/>
        </w:rPr>
        <w:t xml:space="preserve">                               </w:t>
      </w:r>
      <w:r>
        <w:rPr>
          <w:rFonts w:hint="eastAsia" w:ascii="宋体" w:hAnsi="宋体" w:eastAsia="宋体" w:cs="宋体"/>
          <w:spacing w:val="1"/>
          <w:sz w:val="24"/>
          <w:szCs w:val="24"/>
          <w:highlight w:val="none"/>
          <w:u w:val="single" w:color="000000"/>
        </w:rPr>
        <w:t xml:space="preserve"> </w:t>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响应供应商的资格证明文件</w:t>
      </w:r>
    </w:p>
    <w:p>
      <w:pPr>
        <w:rPr>
          <w:rFonts w:hint="eastAsia" w:ascii="宋体" w:hAnsi="宋体" w:eastAsia="宋体" w:cs="宋体"/>
          <w:highlight w:val="none"/>
        </w:rPr>
      </w:pPr>
    </w:p>
    <w:p>
      <w:pPr>
        <w:jc w:val="center"/>
        <w:rPr>
          <w:rFonts w:hint="eastAsia" w:ascii="宋体" w:hAnsi="宋体" w:eastAsia="宋体" w:cs="宋体"/>
          <w:sz w:val="24"/>
          <w:highlight w:val="none"/>
        </w:rPr>
      </w:pPr>
      <w:r>
        <w:rPr>
          <w:rFonts w:hint="eastAsia" w:ascii="宋体" w:hAnsi="宋体" w:eastAsia="宋体" w:cs="宋体"/>
          <w:b/>
          <w:sz w:val="36"/>
          <w:szCs w:val="36"/>
          <w:highlight w:val="none"/>
        </w:rPr>
        <w:t>关于资格的声明函</w:t>
      </w:r>
      <w:r>
        <w:rPr>
          <w:rFonts w:hint="eastAsia" w:ascii="宋体" w:hAnsi="宋体" w:eastAsia="宋体" w:cs="宋体"/>
          <w:b/>
          <w:sz w:val="36"/>
          <w:szCs w:val="36"/>
          <w:highlight w:val="none"/>
        </w:rPr>
        <w:c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XX：</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关于贵方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（项目编号）比选邀请，本签字人愿意参加报价，提供比选通知书中规定的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（服务名称），并证明提交的下列文件和说明是准确的和真实的。</w:t>
      </w:r>
      <w:r>
        <w:rPr>
          <w:rFonts w:hint="eastAsia" w:ascii="宋体" w:hAnsi="宋体" w:eastAsia="宋体" w:cs="宋体"/>
          <w:sz w:val="24"/>
          <w:highlight w:val="none"/>
        </w:rPr>
        <w:cr/>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1．本签字人确认资格文件中的说明以及响应文件中所有提交的文件和材料是真实的、准确的。</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2．我方的资格声明正本一份，副本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份，随响应文件一同递交。</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p>
    <w:p>
      <w:pPr>
        <w:spacing w:line="360" w:lineRule="auto"/>
        <w:rPr>
          <w:rFonts w:hint="eastAsia" w:ascii="宋体" w:hAnsi="宋体" w:eastAsia="宋体" w:cs="宋体"/>
          <w:sz w:val="24"/>
          <w:highlight w:val="none"/>
        </w:rPr>
      </w:pPr>
    </w:p>
    <w:p>
      <w:pPr>
        <w:spacing w:line="360" w:lineRule="auto"/>
        <w:rPr>
          <w:rFonts w:hint="eastAsia" w:ascii="宋体" w:hAnsi="宋体" w:eastAsia="宋体" w:cs="宋体"/>
          <w:sz w:val="24"/>
          <w:highlight w:val="none"/>
        </w:rPr>
      </w:pPr>
    </w:p>
    <w:p>
      <w:pPr>
        <w:spacing w:line="360" w:lineRule="auto"/>
        <w:rPr>
          <w:rFonts w:hint="eastAsia" w:ascii="宋体" w:hAnsi="宋体" w:eastAsia="宋体" w:cs="宋体"/>
          <w:sz w:val="24"/>
          <w:highlight w:val="none"/>
        </w:rPr>
      </w:pPr>
    </w:p>
    <w:p>
      <w:pPr>
        <w:spacing w:line="360" w:lineRule="auto"/>
        <w:rPr>
          <w:rFonts w:hint="eastAsia" w:ascii="宋体" w:hAnsi="宋体" w:eastAsia="宋体" w:cs="宋体"/>
          <w:sz w:val="24"/>
          <w:highlight w:val="none"/>
        </w:rPr>
      </w:pP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响应供应商（全称并加盖公章）：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sz w:val="24"/>
          <w:highlight w:val="none"/>
          <w:u w:val="singl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邮     编：</w:t>
      </w:r>
      <w:r>
        <w:rPr>
          <w:rFonts w:hint="eastAsia" w:ascii="宋体" w:hAnsi="宋体" w:eastAsia="宋体" w:cs="宋体"/>
          <w:sz w:val="24"/>
          <w:highlight w:val="none"/>
          <w:u w:val="singl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电 话/传 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szCs w:val="20"/>
          <w:highlight w:val="none"/>
        </w:rPr>
        <w:t>响应供应商代表签字：</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pPr>
        <w:jc w:val="center"/>
        <w:rPr>
          <w:rFonts w:hint="eastAsia" w:ascii="宋体" w:hAnsi="宋体" w:eastAsia="宋体" w:cs="宋体"/>
          <w:sz w:val="24"/>
          <w:highlight w:val="none"/>
        </w:rPr>
      </w:pPr>
      <w:r>
        <w:rPr>
          <w:rFonts w:hint="eastAsia" w:ascii="宋体" w:hAnsi="宋体" w:eastAsia="宋体" w:cs="宋体"/>
          <w:b/>
          <w:sz w:val="36"/>
          <w:szCs w:val="36"/>
          <w:highlight w:val="none"/>
        </w:rPr>
        <w:br w:type="page"/>
      </w:r>
      <w:r>
        <w:rPr>
          <w:rFonts w:hint="eastAsia" w:ascii="宋体" w:hAnsi="宋体" w:eastAsia="宋体" w:cs="宋体"/>
          <w:b/>
          <w:sz w:val="36"/>
          <w:szCs w:val="36"/>
          <w:highlight w:val="none"/>
        </w:rPr>
        <w:t>响应供应商的资格声明</w:t>
      </w:r>
      <w:r>
        <w:rPr>
          <w:rFonts w:hint="eastAsia" w:ascii="宋体" w:hAnsi="宋体" w:eastAsia="宋体" w:cs="宋体"/>
          <w:b/>
          <w:sz w:val="36"/>
          <w:szCs w:val="36"/>
          <w:highlight w:val="none"/>
        </w:rPr>
        <w:c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1．响应供应商概况：                                   </w:t>
      </w:r>
      <w:r>
        <w:rPr>
          <w:rFonts w:hint="eastAsia" w:ascii="宋体" w:hAnsi="宋体" w:eastAsia="宋体" w:cs="宋体"/>
          <w:sz w:val="24"/>
          <w:szCs w:val="24"/>
          <w:highlight w:val="none"/>
        </w:rPr>
        <w:cr/>
      </w:r>
      <w:r>
        <w:rPr>
          <w:rFonts w:hint="eastAsia" w:ascii="宋体" w:hAnsi="宋体" w:eastAsia="宋体" w:cs="宋体"/>
          <w:sz w:val="24"/>
          <w:szCs w:val="24"/>
          <w:highlight w:val="none"/>
        </w:rPr>
        <w:t xml:space="preserve">        Ａ．响应供应商名称：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cr/>
      </w:r>
      <w:r>
        <w:rPr>
          <w:rFonts w:hint="eastAsia" w:ascii="宋体" w:hAnsi="宋体" w:eastAsia="宋体" w:cs="宋体"/>
          <w:sz w:val="24"/>
          <w:szCs w:val="24"/>
          <w:highlight w:val="none"/>
        </w:rPr>
        <w:t xml:space="preserve">        Ｂ．注册地址：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cr/>
      </w:r>
      <w:r>
        <w:rPr>
          <w:rFonts w:hint="eastAsia" w:ascii="宋体" w:hAnsi="宋体" w:eastAsia="宋体" w:cs="宋体"/>
          <w:sz w:val="24"/>
          <w:szCs w:val="24"/>
          <w:highlight w:val="none"/>
        </w:rPr>
        <w:t xml:space="preserve">            传真：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cr/>
      </w:r>
      <w:r>
        <w:rPr>
          <w:rFonts w:hint="eastAsia" w:ascii="宋体" w:hAnsi="宋体" w:eastAsia="宋体" w:cs="宋体"/>
          <w:sz w:val="24"/>
          <w:szCs w:val="24"/>
          <w:highlight w:val="none"/>
        </w:rPr>
        <w:t xml:space="preserve">        Ｃ．成立或注册日期：</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Ｄ．法定代表人：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（姓名、职务）</w:t>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实收资本：</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其中 国家资本：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法人资本：</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个人资本：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外商资本：</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Ｅ．最近资产负债表（到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日为止）。</w:t>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（1）固定资产合计：</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（2）流动资产合计：</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（3）长期负债合计：</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（4）流动负债合计：</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Ｆ．最近损益表（到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日为止）。</w:t>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（1）本年（期）利润总额累计：</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（2）本年（期）净利润累计： </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2．我方在此声明，我方具备并满足下列各项条款的规定。本声明如有虚假或不实之处，我方将失去合格响应供应商资格；给采购单位造成损失的，我方将承担相应赔偿责任：</w:t>
      </w:r>
    </w:p>
    <w:p>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（2）具有良好的商业信誉和健全的财务会计制度；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（3）具有履行合同所必需的设备和专业技术能力；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（4）有依法缴纳税收和社会保障资金的良好记录；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（5）近三年内，在经营活动中没有重大违法记录。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3．最近三年在国内主要用户的名称和地址：</w:t>
      </w:r>
    </w:p>
    <w:tbl>
      <w:tblPr>
        <w:tblStyle w:val="24"/>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299"/>
        <w:gridCol w:w="1045"/>
        <w:gridCol w:w="1463"/>
        <w:gridCol w:w="1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用户名称和地址</w:t>
            </w:r>
          </w:p>
        </w:tc>
        <w:tc>
          <w:tcPr>
            <w:tcW w:w="2299" w:type="dxa"/>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1045" w:type="dxa"/>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463" w:type="dxa"/>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完成日期</w:t>
            </w:r>
          </w:p>
        </w:tc>
        <w:tc>
          <w:tcPr>
            <w:tcW w:w="1404" w:type="dxa"/>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服务质量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rPr>
                <w:rFonts w:hint="eastAsia" w:ascii="宋体" w:hAnsi="宋体" w:eastAsia="宋体" w:cs="宋体"/>
                <w:sz w:val="24"/>
                <w:szCs w:val="24"/>
                <w:highlight w:val="none"/>
              </w:rPr>
            </w:pPr>
          </w:p>
        </w:tc>
        <w:tc>
          <w:tcPr>
            <w:tcW w:w="2299" w:type="dxa"/>
          </w:tcPr>
          <w:p>
            <w:pPr>
              <w:rPr>
                <w:rFonts w:hint="eastAsia" w:ascii="宋体" w:hAnsi="宋体" w:eastAsia="宋体" w:cs="宋体"/>
                <w:sz w:val="24"/>
                <w:szCs w:val="24"/>
                <w:highlight w:val="none"/>
              </w:rPr>
            </w:pPr>
          </w:p>
        </w:tc>
        <w:tc>
          <w:tcPr>
            <w:tcW w:w="1045" w:type="dxa"/>
          </w:tcPr>
          <w:p>
            <w:pPr>
              <w:rPr>
                <w:rFonts w:hint="eastAsia" w:ascii="宋体" w:hAnsi="宋体" w:eastAsia="宋体" w:cs="宋体"/>
                <w:sz w:val="24"/>
                <w:szCs w:val="24"/>
                <w:highlight w:val="none"/>
              </w:rPr>
            </w:pPr>
          </w:p>
        </w:tc>
        <w:tc>
          <w:tcPr>
            <w:tcW w:w="1463" w:type="dxa"/>
          </w:tcPr>
          <w:p>
            <w:pPr>
              <w:rPr>
                <w:rFonts w:hint="eastAsia" w:ascii="宋体" w:hAnsi="宋体" w:eastAsia="宋体" w:cs="宋体"/>
                <w:sz w:val="24"/>
                <w:szCs w:val="24"/>
                <w:highlight w:val="none"/>
              </w:rPr>
            </w:pPr>
          </w:p>
        </w:tc>
        <w:tc>
          <w:tcPr>
            <w:tcW w:w="1404" w:type="dxa"/>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rPr>
                <w:rFonts w:hint="eastAsia" w:ascii="宋体" w:hAnsi="宋体" w:eastAsia="宋体" w:cs="宋体"/>
                <w:sz w:val="24"/>
                <w:szCs w:val="24"/>
                <w:highlight w:val="none"/>
              </w:rPr>
            </w:pPr>
          </w:p>
        </w:tc>
        <w:tc>
          <w:tcPr>
            <w:tcW w:w="2299" w:type="dxa"/>
          </w:tcPr>
          <w:p>
            <w:pPr>
              <w:rPr>
                <w:rFonts w:hint="eastAsia" w:ascii="宋体" w:hAnsi="宋体" w:eastAsia="宋体" w:cs="宋体"/>
                <w:sz w:val="24"/>
                <w:szCs w:val="24"/>
                <w:highlight w:val="none"/>
              </w:rPr>
            </w:pPr>
          </w:p>
        </w:tc>
        <w:tc>
          <w:tcPr>
            <w:tcW w:w="1045" w:type="dxa"/>
          </w:tcPr>
          <w:p>
            <w:pPr>
              <w:rPr>
                <w:rFonts w:hint="eastAsia" w:ascii="宋体" w:hAnsi="宋体" w:eastAsia="宋体" w:cs="宋体"/>
                <w:sz w:val="24"/>
                <w:szCs w:val="24"/>
                <w:highlight w:val="none"/>
              </w:rPr>
            </w:pPr>
          </w:p>
        </w:tc>
        <w:tc>
          <w:tcPr>
            <w:tcW w:w="1463" w:type="dxa"/>
          </w:tcPr>
          <w:p>
            <w:pPr>
              <w:rPr>
                <w:rFonts w:hint="eastAsia" w:ascii="宋体" w:hAnsi="宋体" w:eastAsia="宋体" w:cs="宋体"/>
                <w:sz w:val="24"/>
                <w:szCs w:val="24"/>
                <w:highlight w:val="none"/>
              </w:rPr>
            </w:pPr>
          </w:p>
        </w:tc>
        <w:tc>
          <w:tcPr>
            <w:tcW w:w="1404" w:type="dxa"/>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rPr>
                <w:rFonts w:hint="eastAsia" w:ascii="宋体" w:hAnsi="宋体" w:eastAsia="宋体" w:cs="宋体"/>
                <w:sz w:val="24"/>
                <w:szCs w:val="24"/>
                <w:highlight w:val="none"/>
              </w:rPr>
            </w:pPr>
          </w:p>
        </w:tc>
        <w:tc>
          <w:tcPr>
            <w:tcW w:w="2299" w:type="dxa"/>
          </w:tcPr>
          <w:p>
            <w:pPr>
              <w:rPr>
                <w:rFonts w:hint="eastAsia" w:ascii="宋体" w:hAnsi="宋体" w:eastAsia="宋体" w:cs="宋体"/>
                <w:sz w:val="24"/>
                <w:szCs w:val="24"/>
                <w:highlight w:val="none"/>
              </w:rPr>
            </w:pPr>
          </w:p>
        </w:tc>
        <w:tc>
          <w:tcPr>
            <w:tcW w:w="1045" w:type="dxa"/>
          </w:tcPr>
          <w:p>
            <w:pPr>
              <w:rPr>
                <w:rFonts w:hint="eastAsia" w:ascii="宋体" w:hAnsi="宋体" w:eastAsia="宋体" w:cs="宋体"/>
                <w:sz w:val="24"/>
                <w:szCs w:val="24"/>
                <w:highlight w:val="none"/>
              </w:rPr>
            </w:pPr>
          </w:p>
        </w:tc>
        <w:tc>
          <w:tcPr>
            <w:tcW w:w="1463" w:type="dxa"/>
          </w:tcPr>
          <w:p>
            <w:pPr>
              <w:rPr>
                <w:rFonts w:hint="eastAsia" w:ascii="宋体" w:hAnsi="宋体" w:eastAsia="宋体" w:cs="宋体"/>
                <w:sz w:val="24"/>
                <w:szCs w:val="24"/>
                <w:highlight w:val="none"/>
              </w:rPr>
            </w:pPr>
          </w:p>
        </w:tc>
        <w:tc>
          <w:tcPr>
            <w:tcW w:w="1404" w:type="dxa"/>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rPr>
                <w:rFonts w:hint="eastAsia" w:ascii="宋体" w:hAnsi="宋体" w:eastAsia="宋体" w:cs="宋体"/>
                <w:sz w:val="24"/>
                <w:szCs w:val="24"/>
                <w:highlight w:val="none"/>
              </w:rPr>
            </w:pPr>
          </w:p>
        </w:tc>
        <w:tc>
          <w:tcPr>
            <w:tcW w:w="2299" w:type="dxa"/>
          </w:tcPr>
          <w:p>
            <w:pPr>
              <w:rPr>
                <w:rFonts w:hint="eastAsia" w:ascii="宋体" w:hAnsi="宋体" w:eastAsia="宋体" w:cs="宋体"/>
                <w:sz w:val="24"/>
                <w:szCs w:val="24"/>
                <w:highlight w:val="none"/>
              </w:rPr>
            </w:pPr>
          </w:p>
        </w:tc>
        <w:tc>
          <w:tcPr>
            <w:tcW w:w="1045" w:type="dxa"/>
          </w:tcPr>
          <w:p>
            <w:pPr>
              <w:rPr>
                <w:rFonts w:hint="eastAsia" w:ascii="宋体" w:hAnsi="宋体" w:eastAsia="宋体" w:cs="宋体"/>
                <w:sz w:val="24"/>
                <w:szCs w:val="24"/>
                <w:highlight w:val="none"/>
              </w:rPr>
            </w:pPr>
          </w:p>
        </w:tc>
        <w:tc>
          <w:tcPr>
            <w:tcW w:w="1463" w:type="dxa"/>
          </w:tcPr>
          <w:p>
            <w:pPr>
              <w:rPr>
                <w:rFonts w:hint="eastAsia" w:ascii="宋体" w:hAnsi="宋体" w:eastAsia="宋体" w:cs="宋体"/>
                <w:sz w:val="24"/>
                <w:szCs w:val="24"/>
                <w:highlight w:val="none"/>
              </w:rPr>
            </w:pPr>
          </w:p>
        </w:tc>
        <w:tc>
          <w:tcPr>
            <w:tcW w:w="1404" w:type="dxa"/>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rPr>
                <w:rFonts w:hint="eastAsia" w:ascii="宋体" w:hAnsi="宋体" w:eastAsia="宋体" w:cs="宋体"/>
                <w:sz w:val="24"/>
                <w:szCs w:val="24"/>
                <w:highlight w:val="none"/>
              </w:rPr>
            </w:pPr>
          </w:p>
        </w:tc>
        <w:tc>
          <w:tcPr>
            <w:tcW w:w="2299" w:type="dxa"/>
          </w:tcPr>
          <w:p>
            <w:pPr>
              <w:rPr>
                <w:rFonts w:hint="eastAsia" w:ascii="宋体" w:hAnsi="宋体" w:eastAsia="宋体" w:cs="宋体"/>
                <w:sz w:val="24"/>
                <w:szCs w:val="24"/>
                <w:highlight w:val="none"/>
              </w:rPr>
            </w:pPr>
          </w:p>
        </w:tc>
        <w:tc>
          <w:tcPr>
            <w:tcW w:w="1045" w:type="dxa"/>
          </w:tcPr>
          <w:p>
            <w:pPr>
              <w:rPr>
                <w:rFonts w:hint="eastAsia" w:ascii="宋体" w:hAnsi="宋体" w:eastAsia="宋体" w:cs="宋体"/>
                <w:sz w:val="24"/>
                <w:szCs w:val="24"/>
                <w:highlight w:val="none"/>
              </w:rPr>
            </w:pPr>
          </w:p>
        </w:tc>
        <w:tc>
          <w:tcPr>
            <w:tcW w:w="1463" w:type="dxa"/>
          </w:tcPr>
          <w:p>
            <w:pPr>
              <w:rPr>
                <w:rFonts w:hint="eastAsia" w:ascii="宋体" w:hAnsi="宋体" w:eastAsia="宋体" w:cs="宋体"/>
                <w:sz w:val="24"/>
                <w:szCs w:val="24"/>
                <w:highlight w:val="none"/>
              </w:rPr>
            </w:pPr>
          </w:p>
        </w:tc>
        <w:tc>
          <w:tcPr>
            <w:tcW w:w="1404" w:type="dxa"/>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rPr>
                <w:rFonts w:hint="eastAsia" w:ascii="宋体" w:hAnsi="宋体" w:eastAsia="宋体" w:cs="宋体"/>
                <w:sz w:val="24"/>
                <w:szCs w:val="24"/>
                <w:highlight w:val="none"/>
              </w:rPr>
            </w:pPr>
          </w:p>
        </w:tc>
        <w:tc>
          <w:tcPr>
            <w:tcW w:w="2299" w:type="dxa"/>
          </w:tcPr>
          <w:p>
            <w:pPr>
              <w:rPr>
                <w:rFonts w:hint="eastAsia" w:ascii="宋体" w:hAnsi="宋体" w:eastAsia="宋体" w:cs="宋体"/>
                <w:sz w:val="24"/>
                <w:szCs w:val="24"/>
                <w:highlight w:val="none"/>
              </w:rPr>
            </w:pPr>
          </w:p>
        </w:tc>
        <w:tc>
          <w:tcPr>
            <w:tcW w:w="1045" w:type="dxa"/>
          </w:tcPr>
          <w:p>
            <w:pPr>
              <w:rPr>
                <w:rFonts w:hint="eastAsia" w:ascii="宋体" w:hAnsi="宋体" w:eastAsia="宋体" w:cs="宋体"/>
                <w:sz w:val="24"/>
                <w:szCs w:val="24"/>
                <w:highlight w:val="none"/>
              </w:rPr>
            </w:pPr>
          </w:p>
        </w:tc>
        <w:tc>
          <w:tcPr>
            <w:tcW w:w="1463" w:type="dxa"/>
          </w:tcPr>
          <w:p>
            <w:pPr>
              <w:rPr>
                <w:rFonts w:hint="eastAsia" w:ascii="宋体" w:hAnsi="宋体" w:eastAsia="宋体" w:cs="宋体"/>
                <w:sz w:val="24"/>
                <w:szCs w:val="24"/>
                <w:highlight w:val="none"/>
              </w:rPr>
            </w:pPr>
          </w:p>
        </w:tc>
        <w:tc>
          <w:tcPr>
            <w:tcW w:w="1404" w:type="dxa"/>
          </w:tcPr>
          <w:p>
            <w:pPr>
              <w:rPr>
                <w:rFonts w:hint="eastAsia" w:ascii="宋体" w:hAnsi="宋体" w:eastAsia="宋体" w:cs="宋体"/>
                <w:sz w:val="24"/>
                <w:szCs w:val="24"/>
                <w:highlight w:val="none"/>
              </w:rPr>
            </w:pP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 法人营业执照见复印件。</w:t>
      </w:r>
    </w:p>
    <w:p>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就我方全部所知，兹证明上述声明是真实、正确的，并已提供了全部现有资料和数据，我方同意根据贵方要求出示文件予以证实。</w:t>
      </w:r>
    </w:p>
    <w:p>
      <w:pPr>
        <w:rPr>
          <w:rFonts w:hint="eastAsia" w:ascii="宋体" w:hAnsi="宋体" w:eastAsia="宋体" w:cs="宋体"/>
          <w:sz w:val="24"/>
          <w:szCs w:val="24"/>
          <w:highlight w:val="none"/>
        </w:rPr>
      </w:pP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响应供应商（全称并加盖公章）：</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响应供应商代表签字：</w:t>
      </w:r>
      <w:r>
        <w:rPr>
          <w:rFonts w:hint="eastAsia" w:ascii="宋体" w:hAnsi="宋体" w:eastAsia="宋体" w:cs="宋体"/>
          <w:sz w:val="24"/>
          <w:szCs w:val="24"/>
          <w:highlight w:val="none"/>
          <w:u w:val="single"/>
        </w:rPr>
        <w:t xml:space="preserve">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w:t>
      </w:r>
    </w:p>
    <w:p>
      <w:pPr>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电      传：</w:t>
      </w:r>
      <w:r>
        <w:rPr>
          <w:rFonts w:hint="eastAsia" w:ascii="宋体" w:hAnsi="宋体" w:eastAsia="宋体" w:cs="宋体"/>
          <w:sz w:val="24"/>
          <w:szCs w:val="24"/>
          <w:highlight w:val="none"/>
          <w:u w:val="single"/>
        </w:rPr>
        <w:t xml:space="preserve">                </w:t>
      </w:r>
    </w:p>
    <w:p>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p>
    <w:p>
      <w:pPr>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bookmarkStart w:id="134" w:name="_Toc185762843"/>
    </w:p>
    <w:p>
      <w:pPr>
        <w:tabs>
          <w:tab w:val="left" w:pos="1755"/>
          <w:tab w:val="center" w:pos="4593"/>
        </w:tabs>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bookmarkEnd w:id="134"/>
    <w:p>
      <w:pPr>
        <w:jc w:val="center"/>
        <w:rPr>
          <w:rFonts w:hint="eastAsia" w:ascii="宋体" w:hAnsi="宋体" w:eastAsia="宋体" w:cs="宋体"/>
          <w:b/>
          <w:sz w:val="36"/>
          <w:szCs w:val="36"/>
          <w:highlight w:val="none"/>
        </w:rPr>
      </w:pPr>
      <w:bookmarkStart w:id="135" w:name="_Toc185762844"/>
      <w:r>
        <w:rPr>
          <w:rFonts w:hint="eastAsia" w:ascii="宋体" w:hAnsi="宋体" w:eastAsia="宋体" w:cs="宋体"/>
          <w:b/>
          <w:sz w:val="36"/>
          <w:szCs w:val="36"/>
          <w:highlight w:val="none"/>
        </w:rPr>
        <w:t>法人营业执照</w:t>
      </w:r>
      <w:bookmarkEnd w:id="135"/>
    </w:p>
    <w:p>
      <w:pPr>
        <w:spacing w:line="360" w:lineRule="auto"/>
        <w:rPr>
          <w:rFonts w:hint="eastAsia" w:ascii="宋体" w:hAnsi="宋体" w:eastAsia="宋体" w:cs="宋体"/>
          <w:highlight w:val="none"/>
        </w:rPr>
      </w:pP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XX：</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现附上由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（签发机关名称）签发的我方法人营业执照副本复印件，该执照真实有效。</w:t>
      </w:r>
    </w:p>
    <w:p>
      <w:pPr>
        <w:spacing w:line="360" w:lineRule="auto"/>
        <w:rPr>
          <w:rFonts w:hint="eastAsia" w:ascii="宋体" w:hAnsi="宋体" w:eastAsia="宋体" w:cs="宋体"/>
          <w:sz w:val="24"/>
          <w:szCs w:val="20"/>
          <w:highlight w:val="none"/>
        </w:rPr>
      </w:pPr>
    </w:p>
    <w:p>
      <w:pPr>
        <w:pStyle w:val="9"/>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（注：上述所有证书均提供复印件，且需复印包括能说明其合格的内容，由供应商加盖公章并注明复印件与原件一致。）</w:t>
      </w:r>
    </w:p>
    <w:p>
      <w:pPr>
        <w:spacing w:line="360" w:lineRule="auto"/>
        <w:rPr>
          <w:rFonts w:hint="eastAsia" w:ascii="宋体" w:hAnsi="宋体" w:eastAsia="宋体" w:cs="宋体"/>
          <w:sz w:val="24"/>
          <w:szCs w:val="20"/>
          <w:highlight w:val="none"/>
        </w:rPr>
      </w:pPr>
    </w:p>
    <w:p>
      <w:pPr>
        <w:spacing w:line="360" w:lineRule="auto"/>
        <w:rPr>
          <w:rFonts w:hint="eastAsia" w:ascii="宋体" w:hAnsi="宋体" w:eastAsia="宋体" w:cs="宋体"/>
          <w:sz w:val="24"/>
          <w:szCs w:val="20"/>
          <w:highlight w:val="none"/>
        </w:rPr>
      </w:pPr>
    </w:p>
    <w:p>
      <w:pPr>
        <w:spacing w:line="360" w:lineRule="auto"/>
        <w:rPr>
          <w:rFonts w:hint="eastAsia" w:ascii="宋体" w:hAnsi="宋体" w:eastAsia="宋体" w:cs="宋体"/>
          <w:sz w:val="24"/>
          <w:szCs w:val="20"/>
          <w:highlight w:val="none"/>
        </w:rPr>
      </w:pPr>
    </w:p>
    <w:p>
      <w:pPr>
        <w:spacing w:line="360" w:lineRule="auto"/>
        <w:rPr>
          <w:rFonts w:hint="eastAsia" w:ascii="宋体" w:hAnsi="宋体" w:eastAsia="宋体" w:cs="宋体"/>
          <w:sz w:val="24"/>
          <w:szCs w:val="20"/>
          <w:highlight w:val="none"/>
        </w:rPr>
      </w:pPr>
    </w:p>
    <w:p>
      <w:pPr>
        <w:spacing w:line="360" w:lineRule="auto"/>
        <w:rPr>
          <w:rFonts w:hint="eastAsia" w:ascii="宋体" w:hAnsi="宋体" w:eastAsia="宋体" w:cs="宋体"/>
          <w:sz w:val="24"/>
          <w:szCs w:val="20"/>
          <w:highlight w:val="none"/>
        </w:rPr>
      </w:pPr>
    </w:p>
    <w:p>
      <w:pPr>
        <w:spacing w:line="360" w:lineRule="auto"/>
        <w:rPr>
          <w:rFonts w:hint="eastAsia" w:ascii="宋体" w:hAnsi="宋体" w:eastAsia="宋体" w:cs="宋体"/>
          <w:sz w:val="24"/>
          <w:szCs w:val="20"/>
          <w:highlight w:val="none"/>
        </w:rPr>
      </w:pPr>
    </w:p>
    <w:p>
      <w:pPr>
        <w:spacing w:line="360" w:lineRule="auto"/>
        <w:rPr>
          <w:rFonts w:hint="eastAsia" w:ascii="宋体" w:hAnsi="宋体" w:eastAsia="宋体" w:cs="宋体"/>
          <w:sz w:val="24"/>
          <w:szCs w:val="20"/>
          <w:highlight w:val="none"/>
        </w:rPr>
      </w:pP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响应供应商（全称并加盖公章）：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响应供应商代表签字：</w:t>
      </w:r>
      <w:r>
        <w:rPr>
          <w:rFonts w:hint="eastAsia" w:ascii="宋体" w:hAnsi="宋体" w:eastAsia="宋体" w:cs="宋体"/>
          <w:sz w:val="24"/>
          <w:highlight w:val="none"/>
          <w:u w:val="single"/>
        </w:rPr>
        <w:t xml:space="preserve">                         </w:t>
      </w:r>
    </w:p>
    <w:p>
      <w:pPr>
        <w:spacing w:line="449" w:lineRule="exact"/>
        <w:ind w:left="547" w:right="291"/>
        <w:jc w:val="center"/>
        <w:rPr>
          <w:rFonts w:hint="eastAsia" w:ascii="宋体" w:hAnsi="宋体" w:eastAsia="宋体" w:cs="宋体"/>
          <w:sz w:val="24"/>
          <w:highlight w:val="none"/>
          <w:u w:val="single"/>
        </w:rPr>
      </w:pPr>
      <w:r>
        <w:rPr>
          <w:rFonts w:hint="eastAsia" w:ascii="宋体" w:hAnsi="宋体" w:eastAsia="宋体" w:cs="宋体"/>
          <w:sz w:val="24"/>
          <w:highlight w:val="none"/>
        </w:rPr>
        <w:t>日      期：</w:t>
      </w:r>
      <w:r>
        <w:rPr>
          <w:rFonts w:hint="eastAsia" w:ascii="宋体" w:hAnsi="宋体" w:eastAsia="宋体" w:cs="宋体"/>
          <w:sz w:val="24"/>
          <w:highlight w:val="none"/>
          <w:u w:val="single"/>
        </w:rPr>
        <w:t xml:space="preserve">                                </w:t>
      </w:r>
    </w:p>
    <w:p>
      <w:pPr>
        <w:rPr>
          <w:rFonts w:hint="eastAsia" w:ascii="宋体" w:hAnsi="宋体" w:eastAsia="宋体" w:cs="宋体"/>
          <w:sz w:val="24"/>
          <w:highlight w:val="none"/>
          <w:u w:val="single"/>
        </w:rPr>
      </w:pP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pPr>
        <w:jc w:val="center"/>
        <w:rPr>
          <w:rFonts w:hint="eastAsia" w:ascii="宋体" w:hAnsi="宋体" w:eastAsia="宋体" w:cs="宋体"/>
          <w:highlight w:val="none"/>
        </w:rPr>
      </w:pPr>
      <w:r>
        <w:rPr>
          <w:rFonts w:hint="eastAsia" w:ascii="宋体" w:hAnsi="宋体" w:eastAsia="宋体" w:cs="宋体"/>
          <w:b/>
          <w:sz w:val="36"/>
          <w:szCs w:val="36"/>
          <w:highlight w:val="none"/>
        </w:rPr>
        <w:t>授权书</w:t>
      </w:r>
      <w:r>
        <w:rPr>
          <w:rFonts w:hint="eastAsia" w:ascii="宋体" w:hAnsi="宋体" w:eastAsia="宋体" w:cs="宋体"/>
          <w:b/>
          <w:sz w:val="36"/>
          <w:szCs w:val="36"/>
          <w:highlight w:val="none"/>
        </w:rPr>
        <w:cr/>
      </w:r>
    </w:p>
    <w:p>
      <w:pPr>
        <w:pStyle w:val="35"/>
        <w:numPr>
          <w:ilvl w:val="2"/>
          <w:numId w:val="0"/>
        </w:numPr>
        <w:adjustRightInd/>
        <w:spacing w:before="0" w:line="360" w:lineRule="auto"/>
        <w:outlineLvl w:val="9"/>
        <w:rPr>
          <w:rFonts w:hint="eastAsia" w:ascii="宋体" w:hAnsi="宋体" w:eastAsia="宋体" w:cs="宋体"/>
          <w:sz w:val="24"/>
          <w:szCs w:val="24"/>
          <w:highlight w:val="none"/>
        </w:rPr>
      </w:pP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XX：</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系我司员工，代表本司参与贵司组织的        项目（项目编号       ）询价活动，全权代表本公司处理本项目的一切事宜，包括但不限于：递交响应文件、签署与项目相关的技术方案变更、服务承诺、报价等文件。报价代表在询价过程中所签署的一切文件和处理与之有关的一切事务，本司均予以认可并对此承担责任。报价代表无转委托权。特此授权。</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本授权书自出具之日起生效。</w:t>
      </w:r>
    </w:p>
    <w:p>
      <w:pPr>
        <w:spacing w:line="360" w:lineRule="auto"/>
        <w:ind w:firstLine="480" w:firstLineChars="200"/>
        <w:rPr>
          <w:rFonts w:hint="eastAsia" w:ascii="宋体" w:hAnsi="宋体" w:eastAsia="宋体" w:cs="宋体"/>
          <w:sz w:val="24"/>
          <w:highlight w:val="none"/>
        </w:rPr>
      </w:pP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响应供应商代表：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身份证号：</w:t>
      </w:r>
      <w:r>
        <w:rPr>
          <w:rFonts w:hint="eastAsia" w:ascii="宋体" w:hAnsi="宋体" w:eastAsia="宋体" w:cs="宋体"/>
          <w:sz w:val="24"/>
          <w:highlight w:val="none"/>
          <w:u w:val="singl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部门：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职务：</w:t>
      </w:r>
      <w:r>
        <w:rPr>
          <w:rFonts w:hint="eastAsia" w:ascii="宋体" w:hAnsi="宋体" w:eastAsia="宋体" w:cs="宋体"/>
          <w:sz w:val="24"/>
          <w:highlight w:val="none"/>
          <w:u w:val="single"/>
        </w:rPr>
        <w:t xml:space="preserve">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详细通讯地址：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 </w:t>
      </w:r>
      <w:r>
        <w:rPr>
          <w:rFonts w:hint="eastAsia" w:ascii="宋体" w:hAnsi="宋体" w:eastAsia="宋体" w:cs="宋体"/>
          <w:sz w:val="24"/>
          <w:highlight w:val="none"/>
        </w:rPr>
        <w:t>邮政编码：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电话：</w:t>
      </w:r>
      <w:r>
        <w:rPr>
          <w:rFonts w:hint="eastAsia" w:ascii="宋体" w:hAnsi="宋体" w:eastAsia="宋体" w:cs="宋体"/>
          <w:sz w:val="24"/>
          <w:highlight w:val="none"/>
          <w:u w:val="single"/>
        </w:rPr>
        <w:t xml:space="preserve">              </w:t>
      </w:r>
    </w:p>
    <w:p>
      <w:pPr>
        <w:spacing w:line="360" w:lineRule="auto"/>
        <w:rPr>
          <w:rFonts w:hint="eastAsia" w:ascii="宋体" w:hAnsi="宋体" w:eastAsia="宋体" w:cs="宋体"/>
          <w:sz w:val="24"/>
          <w:highlight w:val="none"/>
        </w:rPr>
      </w:pP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附：报价代表身份证件复印件</w:t>
      </w:r>
    </w:p>
    <w:p>
      <w:pPr>
        <w:spacing w:line="360" w:lineRule="auto"/>
        <w:rPr>
          <w:rFonts w:hint="eastAsia" w:ascii="宋体" w:hAnsi="宋体" w:eastAsia="宋体" w:cs="宋体"/>
          <w:sz w:val="24"/>
          <w:highlight w:val="none"/>
        </w:rPr>
      </w:pPr>
    </w:p>
    <w:p>
      <w:pPr>
        <w:spacing w:line="360" w:lineRule="auto"/>
        <w:ind w:firstLine="4080" w:firstLineChars="1700"/>
        <w:rPr>
          <w:rFonts w:hint="eastAsia" w:ascii="宋体" w:hAnsi="宋体" w:eastAsia="宋体" w:cs="宋体"/>
          <w:sz w:val="24"/>
          <w:highlight w:val="none"/>
        </w:rPr>
      </w:pPr>
      <w:r>
        <w:rPr>
          <w:rFonts w:hint="eastAsia" w:ascii="宋体" w:hAnsi="宋体" w:eastAsia="宋体" w:cs="宋体"/>
          <w:sz w:val="24"/>
          <w:highlight w:val="none"/>
        </w:rPr>
        <w:t>授权方</w:t>
      </w:r>
    </w:p>
    <w:p>
      <w:pPr>
        <w:spacing w:line="360" w:lineRule="auto"/>
        <w:ind w:firstLine="3960" w:firstLineChars="1650"/>
        <w:rPr>
          <w:rFonts w:hint="eastAsia" w:ascii="宋体" w:hAnsi="宋体" w:eastAsia="宋体" w:cs="宋体"/>
          <w:sz w:val="24"/>
          <w:highlight w:val="none"/>
        </w:rPr>
      </w:pPr>
      <w:r>
        <w:rPr>
          <w:rFonts w:hint="eastAsia" w:ascii="宋体" w:hAnsi="宋体" w:eastAsia="宋体" w:cs="宋体"/>
          <w:sz w:val="24"/>
          <w:highlight w:val="none"/>
        </w:rPr>
        <w:t>响应供应商（全称并加盖公章）：</w:t>
      </w:r>
      <w:r>
        <w:rPr>
          <w:rFonts w:hint="eastAsia" w:ascii="宋体" w:hAnsi="宋体" w:eastAsia="宋体" w:cs="宋体"/>
          <w:sz w:val="24"/>
          <w:highlight w:val="none"/>
          <w:u w:val="single"/>
        </w:rPr>
        <w:t xml:space="preserve">                    </w:t>
      </w:r>
    </w:p>
    <w:p>
      <w:pPr>
        <w:spacing w:line="360" w:lineRule="auto"/>
        <w:ind w:firstLine="3960" w:firstLineChars="1650"/>
        <w:rPr>
          <w:rFonts w:hint="eastAsia" w:ascii="宋体" w:hAnsi="宋体" w:eastAsia="宋体" w:cs="宋体"/>
          <w:sz w:val="24"/>
          <w:highlight w:val="none"/>
        </w:rPr>
      </w:pPr>
      <w:r>
        <w:rPr>
          <w:rFonts w:hint="eastAsia" w:ascii="宋体" w:hAnsi="宋体" w:eastAsia="宋体" w:cs="宋体"/>
          <w:sz w:val="24"/>
          <w:highlight w:val="none"/>
        </w:rPr>
        <w:t>法定代表人签字：</w:t>
      </w:r>
      <w:r>
        <w:rPr>
          <w:rFonts w:hint="eastAsia" w:ascii="宋体" w:hAnsi="宋体" w:eastAsia="宋体" w:cs="宋体"/>
          <w:sz w:val="24"/>
          <w:highlight w:val="none"/>
          <w:u w:val="single"/>
        </w:rPr>
        <w:t xml:space="preserve">                     </w:t>
      </w:r>
    </w:p>
    <w:p>
      <w:pPr>
        <w:spacing w:line="360" w:lineRule="auto"/>
        <w:rPr>
          <w:rFonts w:hint="eastAsia" w:ascii="宋体" w:hAnsi="宋体" w:eastAsia="宋体" w:cs="宋体"/>
          <w:sz w:val="24"/>
          <w:highlight w:val="none"/>
        </w:rPr>
      </w:pPr>
    </w:p>
    <w:p>
      <w:pPr>
        <w:spacing w:line="360" w:lineRule="auto"/>
        <w:ind w:firstLine="4800" w:firstLineChars="2000"/>
        <w:rPr>
          <w:rFonts w:hint="eastAsia" w:ascii="宋体" w:hAnsi="宋体" w:eastAsia="宋体" w:cs="宋体"/>
          <w:sz w:val="24"/>
          <w:highlight w:val="none"/>
        </w:rPr>
      </w:pPr>
      <w:r>
        <w:rPr>
          <w:rFonts w:hint="eastAsia" w:ascii="宋体" w:hAnsi="宋体" w:eastAsia="宋体" w:cs="宋体"/>
          <w:sz w:val="24"/>
          <w:highlight w:val="none"/>
        </w:rPr>
        <w:t>日     期：</w:t>
      </w:r>
      <w:r>
        <w:rPr>
          <w:rFonts w:hint="eastAsia" w:ascii="宋体" w:hAnsi="宋体" w:eastAsia="宋体" w:cs="宋体"/>
          <w:sz w:val="24"/>
          <w:highlight w:val="none"/>
          <w:u w:val="single"/>
        </w:rPr>
        <w:t xml:space="preserve">                       </w:t>
      </w:r>
    </w:p>
    <w:p>
      <w:pPr>
        <w:spacing w:line="360" w:lineRule="auto"/>
        <w:rPr>
          <w:rFonts w:hint="eastAsia" w:ascii="宋体" w:hAnsi="宋体" w:eastAsia="宋体" w:cs="宋体"/>
          <w:sz w:val="24"/>
          <w:highlight w:val="none"/>
        </w:rPr>
      </w:pP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p>
    <w:p>
      <w:pPr>
        <w:spacing w:line="360" w:lineRule="auto"/>
        <w:ind w:firstLine="4080" w:firstLineChars="1700"/>
        <w:rPr>
          <w:rFonts w:hint="eastAsia" w:ascii="宋体" w:hAnsi="宋体" w:eastAsia="宋体" w:cs="宋体"/>
          <w:sz w:val="24"/>
          <w:highlight w:val="none"/>
        </w:rPr>
      </w:pPr>
      <w:r>
        <w:rPr>
          <w:rFonts w:hint="eastAsia" w:ascii="宋体" w:hAnsi="宋体" w:eastAsia="宋体" w:cs="宋体"/>
          <w:sz w:val="24"/>
          <w:highlight w:val="none"/>
        </w:rPr>
        <w:t>接受授权方</w:t>
      </w:r>
    </w:p>
    <w:p>
      <w:pPr>
        <w:spacing w:line="360" w:lineRule="auto"/>
        <w:ind w:firstLine="4800" w:firstLineChars="2000"/>
        <w:rPr>
          <w:rFonts w:hint="eastAsia" w:ascii="宋体" w:hAnsi="宋体" w:eastAsia="宋体" w:cs="宋体"/>
          <w:sz w:val="24"/>
          <w:highlight w:val="none"/>
        </w:rPr>
      </w:pPr>
      <w:r>
        <w:rPr>
          <w:rFonts w:hint="eastAsia" w:ascii="宋体" w:hAnsi="宋体" w:eastAsia="宋体" w:cs="宋体"/>
          <w:sz w:val="24"/>
          <w:highlight w:val="none"/>
        </w:rPr>
        <w:t>报价代表签字：</w:t>
      </w:r>
      <w:r>
        <w:rPr>
          <w:rFonts w:hint="eastAsia" w:ascii="宋体" w:hAnsi="宋体" w:eastAsia="宋体" w:cs="宋体"/>
          <w:sz w:val="24"/>
          <w:highlight w:val="none"/>
          <w:u w:val="single"/>
        </w:rPr>
        <w:t xml:space="preserve">                </w:t>
      </w:r>
    </w:p>
    <w:p>
      <w:pPr>
        <w:spacing w:line="360" w:lineRule="auto"/>
        <w:ind w:firstLine="4800" w:firstLineChars="2000"/>
        <w:rPr>
          <w:rFonts w:hint="eastAsia" w:ascii="宋体" w:hAnsi="宋体" w:eastAsia="宋体" w:cs="宋体"/>
          <w:sz w:val="24"/>
          <w:highlight w:val="none"/>
          <w:u w:val="single"/>
        </w:rPr>
      </w:pPr>
      <w:r>
        <w:rPr>
          <w:rFonts w:hint="eastAsia" w:ascii="宋体" w:hAnsi="宋体" w:eastAsia="宋体" w:cs="宋体"/>
          <w:sz w:val="24"/>
          <w:highlight w:val="none"/>
        </w:rPr>
        <w:t>日     期：</w:t>
      </w:r>
      <w:r>
        <w:rPr>
          <w:rFonts w:hint="eastAsia" w:ascii="宋体" w:hAnsi="宋体" w:eastAsia="宋体" w:cs="宋体"/>
          <w:sz w:val="24"/>
          <w:highlight w:val="none"/>
          <w:u w:val="single"/>
        </w:rPr>
        <w:t xml:space="preserve">                     </w:t>
      </w:r>
    </w:p>
    <w:p>
      <w:pPr>
        <w:rPr>
          <w:rFonts w:hint="eastAsia" w:ascii="宋体" w:hAnsi="宋体" w:eastAsia="宋体" w:cs="宋体"/>
          <w:sz w:val="24"/>
          <w:highlight w:val="none"/>
          <w:u w:val="single"/>
        </w:rPr>
      </w:pPr>
      <w:r>
        <w:rPr>
          <w:rFonts w:hint="eastAsia" w:ascii="宋体" w:hAnsi="宋体" w:eastAsia="宋体" w:cs="宋体"/>
          <w:b/>
          <w:sz w:val="36"/>
          <w:szCs w:val="36"/>
          <w:highlight w:val="none"/>
        </w:rPr>
        <w:br w:type="page"/>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资格承诺函</w:t>
      </w:r>
    </w:p>
    <w:p>
      <w:pPr>
        <w:widowControl/>
        <w:jc w:val="left"/>
        <w:rPr>
          <w:rFonts w:hint="eastAsia" w:ascii="宋体" w:hAnsi="宋体" w:eastAsia="宋体" w:cs="宋体"/>
          <w:color w:val="000000"/>
          <w:kern w:val="0"/>
          <w:sz w:val="24"/>
          <w:szCs w:val="24"/>
          <w:highlight w:val="none"/>
        </w:rPr>
      </w:pPr>
    </w:p>
    <w:p>
      <w:pPr>
        <w:widowControl/>
        <w:spacing w:line="440" w:lineRule="exact"/>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致： （采购人、采购代理机构） </w:t>
      </w:r>
    </w:p>
    <w:p>
      <w:pPr>
        <w:widowControl/>
        <w:spacing w:line="440" w:lineRule="exact"/>
        <w:ind w:firstLine="440" w:firstLineChars="200"/>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我单位参与 （项目名称） （项目编号： ）项目的政府采购活动，现承诺如下： </w:t>
      </w:r>
    </w:p>
    <w:p>
      <w:pPr>
        <w:widowControl/>
        <w:spacing w:line="440" w:lineRule="exact"/>
        <w:ind w:left="1280" w:leftChars="400" w:hanging="440" w:hangingChars="200"/>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1.我单位具有符合采购文件资格要求的财务状况报告。 </w:t>
      </w:r>
    </w:p>
    <w:p>
      <w:pPr>
        <w:widowControl/>
        <w:spacing w:line="440" w:lineRule="exact"/>
        <w:ind w:left="1280" w:leftChars="400" w:hanging="440" w:hangingChars="200"/>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2.我单位具有符合采购文件资格要求的依法缴纳税收的相关证明材料。 </w:t>
      </w:r>
    </w:p>
    <w:p>
      <w:pPr>
        <w:widowControl/>
        <w:spacing w:line="440" w:lineRule="exact"/>
        <w:ind w:left="1280" w:leftChars="400" w:hanging="440" w:hangingChars="200"/>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3.我单位具有符合采购文件资格要求的依法缴纳社会保障资金的相关证明材料。 </w:t>
      </w:r>
    </w:p>
    <w:p>
      <w:pPr>
        <w:widowControl/>
        <w:spacing w:line="440" w:lineRule="exact"/>
        <w:ind w:left="1280" w:leftChars="400" w:hanging="440" w:hangingChars="200"/>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若我单位承诺不实，自愿承担提供虚假材料谋取中标、成交的法律责任。 </w:t>
      </w:r>
    </w:p>
    <w:p>
      <w:pPr>
        <w:widowControl/>
        <w:spacing w:line="440" w:lineRule="exact"/>
        <w:jc w:val="left"/>
        <w:rPr>
          <w:rFonts w:hint="eastAsia" w:ascii="宋体" w:hAnsi="宋体" w:eastAsia="宋体" w:cs="宋体"/>
          <w:color w:val="000000"/>
          <w:kern w:val="0"/>
          <w:sz w:val="22"/>
          <w:highlight w:val="none"/>
        </w:rPr>
      </w:pPr>
    </w:p>
    <w:p>
      <w:pPr>
        <w:widowControl/>
        <w:spacing w:line="440" w:lineRule="exact"/>
        <w:jc w:val="left"/>
        <w:rPr>
          <w:rFonts w:hint="eastAsia" w:ascii="宋体" w:hAnsi="宋体" w:eastAsia="宋体" w:cs="宋体"/>
          <w:color w:val="000000"/>
          <w:kern w:val="0"/>
          <w:sz w:val="22"/>
          <w:highlight w:val="none"/>
        </w:rPr>
      </w:pPr>
    </w:p>
    <w:p>
      <w:pPr>
        <w:widowControl/>
        <w:spacing w:line="440" w:lineRule="exact"/>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承诺供应商（全称并加盖公章）： </w:t>
      </w:r>
    </w:p>
    <w:p>
      <w:pPr>
        <w:widowControl/>
        <w:spacing w:line="440" w:lineRule="exact"/>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单位负责人或授权代表（签字）： </w:t>
      </w:r>
    </w:p>
    <w:p>
      <w:pPr>
        <w:widowControl/>
        <w:spacing w:line="440" w:lineRule="exact"/>
        <w:jc w:val="left"/>
        <w:rPr>
          <w:rFonts w:hint="eastAsia" w:ascii="宋体" w:hAnsi="宋体" w:eastAsia="宋体" w:cs="宋体"/>
          <w:sz w:val="20"/>
          <w:szCs w:val="21"/>
          <w:highlight w:val="none"/>
        </w:rPr>
      </w:pPr>
      <w:r>
        <w:rPr>
          <w:rFonts w:hint="eastAsia" w:ascii="宋体" w:hAnsi="宋体" w:eastAsia="宋体" w:cs="宋体"/>
          <w:color w:val="000000"/>
          <w:kern w:val="0"/>
          <w:sz w:val="22"/>
          <w:highlight w:val="none"/>
        </w:rPr>
        <w:t xml:space="preserve">日期： </w:t>
      </w:r>
    </w:p>
    <w:p>
      <w:pPr>
        <w:widowControl/>
        <w:spacing w:line="440" w:lineRule="exact"/>
        <w:jc w:val="left"/>
        <w:rPr>
          <w:rFonts w:hint="eastAsia" w:ascii="宋体" w:hAnsi="宋体" w:eastAsia="宋体" w:cs="宋体"/>
          <w:color w:val="000000"/>
          <w:kern w:val="0"/>
          <w:sz w:val="22"/>
          <w:highlight w:val="none"/>
        </w:rPr>
      </w:pPr>
    </w:p>
    <w:p>
      <w:pPr>
        <w:widowControl/>
        <w:spacing w:line="440" w:lineRule="exact"/>
        <w:jc w:val="left"/>
        <w:rPr>
          <w:rFonts w:hint="eastAsia" w:ascii="宋体" w:hAnsi="宋体" w:eastAsia="宋体" w:cs="宋体"/>
          <w:highlight w:val="none"/>
        </w:rPr>
      </w:pPr>
      <w:r>
        <w:rPr>
          <w:rFonts w:hint="eastAsia" w:ascii="宋体" w:hAnsi="宋体" w:eastAsia="宋体" w:cs="宋体"/>
          <w:color w:val="000000"/>
          <w:kern w:val="0"/>
          <w:sz w:val="22"/>
          <w:highlight w:val="none"/>
        </w:rPr>
        <w:t xml:space="preserve">﹍﹍﹍﹍﹍﹍﹍﹍﹍﹍﹍﹍﹍﹍﹍﹍﹍﹍﹍﹍﹍﹍﹍﹍﹍﹍﹍﹍﹍﹍﹍﹍﹍﹍﹍﹍﹍ </w:t>
      </w: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sz w:val="24"/>
          <w:highlight w:val="none"/>
          <w:u w:val="single"/>
        </w:rPr>
      </w:pPr>
    </w:p>
    <w:p>
      <w:pPr>
        <w:rPr>
          <w:rFonts w:hint="eastAsia" w:ascii="宋体" w:hAnsi="宋体" w:eastAsia="宋体" w:cs="宋体"/>
          <w:sz w:val="24"/>
          <w:highlight w:val="none"/>
          <w:u w:val="single"/>
        </w:rPr>
      </w:pPr>
    </w:p>
    <w:p>
      <w:pPr>
        <w:widowControl/>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br w:type="page"/>
      </w:r>
    </w:p>
    <w:p>
      <w:pP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t>具备履行合同所必需的设备和专业技术能力的书面声明</w:t>
      </w:r>
    </w:p>
    <w:p>
      <w:pPr>
        <w:spacing w:before="12"/>
        <w:rPr>
          <w:rFonts w:hint="eastAsia" w:ascii="宋体" w:hAnsi="宋体" w:eastAsia="宋体" w:cs="宋体"/>
          <w:b/>
          <w:bCs/>
          <w:sz w:val="19"/>
          <w:szCs w:val="19"/>
          <w:highlight w:val="none"/>
        </w:rPr>
      </w:pPr>
    </w:p>
    <w:p>
      <w:pPr>
        <w:pStyle w:val="9"/>
        <w:spacing w:before="26" w:line="355" w:lineRule="auto"/>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XX： </w:t>
      </w:r>
    </w:p>
    <w:p>
      <w:pPr>
        <w:pStyle w:val="9"/>
        <w:spacing w:before="26" w:line="355" w:lineRule="auto"/>
        <w:ind w:left="1069" w:right="197" w:hanging="480"/>
        <w:jc w:val="lef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我司在此声明，若我司成交，我司具备履行合同所必需的设备和专业技术能力。</w:t>
      </w:r>
      <w:r>
        <w:rPr>
          <w:rFonts w:hint="eastAsia" w:ascii="宋体" w:hAnsi="宋体" w:eastAsia="宋体" w:cs="宋体"/>
          <w:sz w:val="24"/>
          <w:szCs w:val="24"/>
          <w:highlight w:val="none"/>
        </w:rPr>
        <w:t xml:space="preserve"> </w:t>
      </w:r>
    </w:p>
    <w:p>
      <w:pPr>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9"/>
        <w:ind w:left="3469" w:right="197" w:firstLine="448" w:firstLineChars="200"/>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响应供应商（全称并加盖公章）： </w:t>
      </w:r>
      <w:r>
        <w:rPr>
          <w:rFonts w:hint="eastAsia" w:ascii="宋体" w:hAnsi="宋体" w:eastAsia="宋体" w:cs="宋体"/>
          <w:spacing w:val="-8"/>
          <w:sz w:val="24"/>
          <w:szCs w:val="24"/>
          <w:highlight w:val="none"/>
          <w:u w:val="single" w:color="000000"/>
        </w:rPr>
        <w:t xml:space="preserve">             </w:t>
      </w:r>
      <w:r>
        <w:rPr>
          <w:rFonts w:hint="eastAsia" w:ascii="宋体" w:hAnsi="宋体" w:eastAsia="宋体" w:cs="宋体"/>
          <w:spacing w:val="-8"/>
          <w:sz w:val="24"/>
          <w:szCs w:val="24"/>
          <w:highlight w:val="none"/>
        </w:rPr>
        <w:t xml:space="preserve"> </w:t>
      </w:r>
    </w:p>
    <w:p>
      <w:pPr>
        <w:pStyle w:val="9"/>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响应供应商代表签字：</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left="3469" w:right="197"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邮 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 期： </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rPr>
          <w:rFonts w:hint="eastAsia" w:ascii="宋体" w:hAnsi="宋体" w:eastAsia="宋体" w:cs="宋体"/>
          <w:sz w:val="24"/>
          <w:szCs w:val="24"/>
          <w:highlight w:val="none"/>
        </w:rPr>
      </w:pPr>
    </w:p>
    <w:p>
      <w:pPr>
        <w:rPr>
          <w:rFonts w:hint="eastAsia" w:ascii="宋体" w:hAnsi="宋体" w:eastAsia="宋体" w:cs="宋体"/>
          <w:sz w:val="20"/>
          <w:szCs w:val="20"/>
          <w:highlight w:val="none"/>
        </w:rPr>
      </w:pPr>
    </w:p>
    <w:p>
      <w:pPr>
        <w:spacing w:before="7"/>
        <w:rPr>
          <w:rFonts w:hint="eastAsia" w:ascii="宋体" w:hAnsi="宋体" w:eastAsia="宋体" w:cs="宋体"/>
          <w:sz w:val="18"/>
          <w:szCs w:val="18"/>
          <w:highlight w:val="none"/>
        </w:rPr>
      </w:pPr>
    </w:p>
    <w:p>
      <w:pPr>
        <w:jc w:val="center"/>
        <w:rPr>
          <w:rFonts w:hint="eastAsia" w:ascii="宋体" w:hAnsi="宋体" w:eastAsia="宋体" w:cs="宋体"/>
          <w:b/>
          <w:sz w:val="36"/>
          <w:szCs w:val="36"/>
          <w:highlight w:val="none"/>
        </w:rPr>
      </w:pPr>
    </w:p>
    <w:p>
      <w:pPr>
        <w:widowControl/>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pPr>
        <w:jc w:val="center"/>
        <w:rPr>
          <w:rFonts w:hint="eastAsia" w:ascii="宋体" w:hAnsi="宋体" w:eastAsia="宋体" w:cs="宋体"/>
          <w:sz w:val="20"/>
          <w:szCs w:val="20"/>
          <w:highlight w:val="none"/>
        </w:rPr>
      </w:pPr>
      <w:r>
        <w:rPr>
          <w:rFonts w:hint="eastAsia" w:ascii="宋体" w:hAnsi="宋体" w:eastAsia="宋体" w:cs="宋体"/>
          <w:b/>
          <w:sz w:val="36"/>
          <w:szCs w:val="36"/>
          <w:highlight w:val="none"/>
        </w:rPr>
        <w:t>服务承诺书</w:t>
      </w:r>
    </w:p>
    <w:p>
      <w:pPr>
        <w:spacing w:before="4"/>
        <w:rPr>
          <w:rFonts w:hint="eastAsia" w:ascii="宋体" w:hAnsi="宋体" w:eastAsia="宋体" w:cs="宋体"/>
          <w:sz w:val="28"/>
          <w:szCs w:val="28"/>
          <w:highlight w:val="none"/>
        </w:rPr>
      </w:pPr>
    </w:p>
    <w:p>
      <w:pPr>
        <w:pStyle w:val="9"/>
        <w:spacing w:before="26"/>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w:t>
      </w:r>
    </w:p>
    <w:p>
      <w:pPr>
        <w:spacing w:before="10"/>
        <w:rPr>
          <w:rFonts w:hint="eastAsia" w:ascii="宋体" w:hAnsi="宋体" w:eastAsia="宋体" w:cs="宋体"/>
          <w:sz w:val="24"/>
          <w:szCs w:val="24"/>
          <w:highlight w:val="none"/>
        </w:rPr>
      </w:pPr>
    </w:p>
    <w:p>
      <w:pPr>
        <w:pStyle w:val="9"/>
        <w:adjustRightIn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我司参与 项目的比选（项目编号：</w:t>
      </w:r>
      <w:r>
        <w:rPr>
          <w:rFonts w:hint="eastAsia" w:ascii="宋体" w:hAnsi="宋体" w:eastAsia="宋体" w:cs="宋体"/>
          <w:spacing w:val="54"/>
          <w:sz w:val="24"/>
          <w:szCs w:val="24"/>
          <w:highlight w:val="none"/>
        </w:rPr>
        <w:t xml:space="preserve"> </w:t>
      </w:r>
      <w:r>
        <w:rPr>
          <w:rFonts w:hint="eastAsia" w:ascii="宋体" w:hAnsi="宋体" w:eastAsia="宋体" w:cs="宋体"/>
          <w:spacing w:val="-12"/>
          <w:sz w:val="24"/>
          <w:szCs w:val="24"/>
          <w:highlight w:val="none"/>
        </w:rPr>
        <w:t>），如 获 成 交，我司保</w:t>
      </w:r>
      <w:r>
        <w:rPr>
          <w:rFonts w:hint="eastAsia" w:ascii="宋体" w:hAnsi="宋体" w:eastAsia="宋体" w:cs="宋体"/>
          <w:sz w:val="24"/>
          <w:szCs w:val="24"/>
          <w:highlight w:val="none"/>
        </w:rPr>
        <w:t xml:space="preserve">证按以下条款进行服务： </w:t>
      </w:r>
    </w:p>
    <w:p>
      <w:pPr>
        <w:pStyle w:val="9"/>
        <w:adjustRightInd w:val="0"/>
        <w:spacing w:line="440" w:lineRule="exact"/>
        <w:ind w:firstLine="480" w:firstLineChars="200"/>
        <w:jc w:val="left"/>
        <w:rPr>
          <w:rFonts w:hint="eastAsia" w:ascii="宋体" w:hAnsi="宋体" w:eastAsia="宋体" w:cs="宋体"/>
          <w:sz w:val="24"/>
          <w:szCs w:val="24"/>
          <w:highlight w:val="none"/>
        </w:rPr>
      </w:pPr>
    </w:p>
    <w:p>
      <w:pPr>
        <w:pStyle w:val="1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adjustRightIn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9"/>
        <w:adjustRightIn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我方如违反上述承诺，将在货款结算等方面按合同约定被处罚，我方对此无异议。 </w:t>
      </w:r>
    </w:p>
    <w:p>
      <w:pPr>
        <w:rPr>
          <w:rFonts w:hint="eastAsia" w:ascii="宋体" w:hAnsi="宋体" w:eastAsia="宋体" w:cs="宋体"/>
          <w:sz w:val="24"/>
          <w:szCs w:val="24"/>
          <w:highlight w:val="none"/>
        </w:rPr>
      </w:pPr>
    </w:p>
    <w:p>
      <w:pPr>
        <w:pStyle w:val="9"/>
        <w:ind w:left="3469" w:right="197"/>
        <w:jc w:val="left"/>
        <w:rPr>
          <w:rFonts w:hint="eastAsia" w:ascii="宋体" w:hAnsi="宋体" w:eastAsia="宋体" w:cs="宋体"/>
          <w:spacing w:val="-8"/>
          <w:sz w:val="24"/>
          <w:szCs w:val="24"/>
          <w:highlight w:val="none"/>
        </w:rPr>
      </w:pPr>
    </w:p>
    <w:p>
      <w:pPr>
        <w:pStyle w:val="9"/>
        <w:ind w:left="3469" w:right="197"/>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响应供应商（全称并加盖公章）： </w:t>
      </w:r>
      <w:r>
        <w:rPr>
          <w:rFonts w:hint="eastAsia" w:ascii="宋体" w:hAnsi="宋体" w:eastAsia="宋体" w:cs="宋体"/>
          <w:spacing w:val="-8"/>
          <w:sz w:val="24"/>
          <w:szCs w:val="24"/>
          <w:highlight w:val="none"/>
          <w:u w:val="single" w:color="000000"/>
        </w:rPr>
        <w:t xml:space="preserve">             </w:t>
      </w:r>
      <w:r>
        <w:rPr>
          <w:rFonts w:hint="eastAsia" w:ascii="宋体" w:hAnsi="宋体" w:eastAsia="宋体" w:cs="宋体"/>
          <w:spacing w:val="-8"/>
          <w:sz w:val="24"/>
          <w:szCs w:val="24"/>
          <w:highlight w:val="none"/>
        </w:rPr>
        <w:t xml:space="preserve"> </w:t>
      </w:r>
    </w:p>
    <w:p>
      <w:pPr>
        <w:rPr>
          <w:rFonts w:hint="eastAsia" w:ascii="宋体" w:hAnsi="宋体" w:eastAsia="宋体" w:cs="宋体"/>
          <w:sz w:val="24"/>
          <w:szCs w:val="24"/>
          <w:highlight w:val="none"/>
        </w:rPr>
      </w:pPr>
    </w:p>
    <w:p>
      <w:pPr>
        <w:pStyle w:val="9"/>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响应供应商代表签字：</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left="3469"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邮 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 期： </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jc w:val="left"/>
        <w:rPr>
          <w:rFonts w:hint="eastAsia" w:ascii="宋体" w:hAnsi="宋体" w:eastAsia="宋体" w:cs="宋体"/>
          <w:highlight w:val="none"/>
        </w:rPr>
        <w:sectPr>
          <w:headerReference r:id="rId22" w:type="default"/>
          <w:footerReference r:id="rId23" w:type="default"/>
          <w:pgSz w:w="11911" w:h="16849"/>
          <w:pgMar w:top="1378" w:right="901" w:bottom="1162" w:left="1480" w:header="0" w:footer="981" w:gutter="0"/>
          <w:cols w:space="0" w:num="1"/>
        </w:sectPr>
      </w:pP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响应供应商提交</w:t>
      </w:r>
      <w:r>
        <w:rPr>
          <w:rFonts w:hint="eastAsia" w:ascii="宋体" w:hAnsi="宋体" w:eastAsia="宋体" w:cs="宋体"/>
          <w:b/>
          <w:sz w:val="36"/>
          <w:szCs w:val="36"/>
          <w:highlight w:val="none"/>
          <w:lang w:eastAsia="zh-CN"/>
        </w:rPr>
        <w:t>的其他</w:t>
      </w:r>
      <w:r>
        <w:rPr>
          <w:rFonts w:hint="eastAsia" w:ascii="宋体" w:hAnsi="宋体" w:eastAsia="宋体" w:cs="宋体"/>
          <w:b/>
          <w:sz w:val="36"/>
          <w:szCs w:val="36"/>
          <w:highlight w:val="none"/>
        </w:rPr>
        <w:t>资料</w:t>
      </w:r>
    </w:p>
    <w:p>
      <w:pPr>
        <w:rPr>
          <w:rFonts w:hint="eastAsia" w:ascii="宋体" w:hAnsi="宋体" w:eastAsia="宋体" w:cs="宋体"/>
          <w:b/>
          <w:bCs/>
          <w:sz w:val="20"/>
          <w:szCs w:val="20"/>
          <w:highlight w:val="none"/>
        </w:rPr>
      </w:pPr>
    </w:p>
    <w:p>
      <w:pPr>
        <w:spacing w:before="11"/>
        <w:rPr>
          <w:rFonts w:hint="eastAsia" w:ascii="宋体" w:hAnsi="宋体" w:eastAsia="宋体" w:cs="宋体"/>
          <w:b/>
          <w:bCs/>
          <w:sz w:val="24"/>
          <w:szCs w:val="24"/>
          <w:highlight w:val="none"/>
        </w:rPr>
      </w:pPr>
    </w:p>
    <w:p>
      <w:pPr>
        <w:pStyle w:val="9"/>
        <w:adjustRightIn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响应供应商认为应提交的其他材料， 可在此附件中提交。 </w:t>
      </w:r>
    </w:p>
    <w:p>
      <w:pPr>
        <w:rPr>
          <w:rFonts w:hint="eastAsia" w:ascii="宋体" w:hAnsi="宋体" w:eastAsia="宋体" w:cs="宋体"/>
          <w:b/>
          <w:bCs/>
          <w:sz w:val="24"/>
          <w:szCs w:val="24"/>
          <w:highlight w:val="none"/>
        </w:rPr>
      </w:pP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（至少包含技术商务评审内容、服务方案等，由供应商根据本项目比选要求进行编写）</w:t>
      </w:r>
    </w:p>
    <w:p>
      <w:pPr>
        <w:rPr>
          <w:rFonts w:hint="eastAsia" w:ascii="宋体" w:hAnsi="宋体" w:eastAsia="宋体" w:cs="宋体"/>
          <w:b/>
          <w:bCs/>
          <w:sz w:val="24"/>
          <w:szCs w:val="24"/>
          <w:highlight w:val="none"/>
        </w:rPr>
      </w:pPr>
    </w:p>
    <w:p>
      <w:pPr>
        <w:spacing w:before="9"/>
        <w:rPr>
          <w:rFonts w:hint="eastAsia" w:ascii="宋体" w:hAnsi="宋体" w:eastAsia="宋体" w:cs="宋体"/>
          <w:b/>
          <w:bCs/>
          <w:sz w:val="24"/>
          <w:szCs w:val="24"/>
          <w:highlight w:val="none"/>
        </w:rPr>
      </w:pPr>
    </w:p>
    <w:p>
      <w:pPr>
        <w:pStyle w:val="9"/>
        <w:ind w:left="3469" w:right="197"/>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响应供应商（全称并加盖公章）： </w:t>
      </w:r>
      <w:r>
        <w:rPr>
          <w:rFonts w:hint="eastAsia" w:ascii="宋体" w:hAnsi="宋体" w:eastAsia="宋体" w:cs="宋体"/>
          <w:spacing w:val="-8"/>
          <w:sz w:val="24"/>
          <w:szCs w:val="24"/>
          <w:highlight w:val="none"/>
          <w:u w:val="single" w:color="000000"/>
        </w:rPr>
        <w:t xml:space="preserve">             </w:t>
      </w:r>
      <w:r>
        <w:rPr>
          <w:rFonts w:hint="eastAsia" w:ascii="宋体" w:hAnsi="宋体" w:eastAsia="宋体" w:cs="宋体"/>
          <w:spacing w:val="-8"/>
          <w:sz w:val="24"/>
          <w:szCs w:val="24"/>
          <w:highlight w:val="none"/>
        </w:rPr>
        <w:t xml:space="preserve"> </w:t>
      </w:r>
    </w:p>
    <w:p>
      <w:pPr>
        <w:pStyle w:val="9"/>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响应供应商代表签字：</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left="3469"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邮 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 期： </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jc w:val="center"/>
        <w:rPr>
          <w:rFonts w:hint="eastAsia" w:ascii="宋体" w:hAnsi="宋体" w:eastAsia="宋体" w:cs="宋体"/>
          <w:b/>
          <w:sz w:val="36"/>
          <w:szCs w:val="36"/>
          <w:highlight w:val="none"/>
        </w:rPr>
      </w:pPr>
    </w:p>
    <w:p>
      <w:pPr>
        <w:widowControl/>
        <w:spacing w:line="360" w:lineRule="auto"/>
        <w:jc w:val="center"/>
        <w:rPr>
          <w:rFonts w:hint="eastAsia" w:ascii="宋体" w:hAnsi="宋体" w:eastAsia="宋体" w:cs="宋体"/>
          <w:b/>
          <w:bCs/>
          <w:kern w:val="0"/>
          <w:sz w:val="28"/>
          <w:szCs w:val="18"/>
          <w:highlight w:val="none"/>
        </w:rPr>
      </w:pPr>
      <w:r>
        <w:rPr>
          <w:rFonts w:hint="eastAsia" w:ascii="宋体" w:hAnsi="宋体" w:eastAsia="宋体" w:cs="宋体"/>
          <w:b/>
          <w:bCs/>
          <w:kern w:val="0"/>
          <w:sz w:val="28"/>
          <w:szCs w:val="18"/>
          <w:highlight w:val="none"/>
        </w:rPr>
        <w:t>技术商务评分响应索引表</w:t>
      </w:r>
    </w:p>
    <w:tbl>
      <w:tblPr>
        <w:tblStyle w:val="24"/>
        <w:tblW w:w="8888" w:type="dxa"/>
        <w:jc w:val="center"/>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134"/>
        <w:gridCol w:w="4732"/>
        <w:gridCol w:w="3022"/>
      </w:tblGrid>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序号</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评分标准要求</w:t>
            </w:r>
          </w:p>
        </w:tc>
        <w:tc>
          <w:tcPr>
            <w:tcW w:w="3022"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对应响应文件页码</w:t>
            </w: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8888" w:type="dxa"/>
            <w:gridSpan w:val="3"/>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技术因素评分</w:t>
            </w: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1-1</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1-2</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1-3</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1-4</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8888" w:type="dxa"/>
            <w:gridSpan w:val="3"/>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商务因素评分</w:t>
            </w: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2-1</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2-2</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r>
              <w:rPr>
                <w:rFonts w:hint="eastAsia" w:ascii="宋体" w:hAnsi="宋体" w:eastAsia="宋体" w:cs="宋体"/>
                <w:bCs/>
                <w:sz w:val="24"/>
                <w:szCs w:val="32"/>
                <w:highlight w:val="none"/>
              </w:rPr>
              <w:t>2-3</w:t>
            </w: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r>
        <w:tblPrEx>
          <w:tblBorders>
            <w:top w:val="thinThickSmallGap" w:color="auto" w:sz="18" w:space="0"/>
            <w:left w:val="thinThickSmallGap" w:color="auto" w:sz="18" w:space="0"/>
            <w:bottom w:val="thickThinSmallGap" w:color="auto" w:sz="18" w:space="0"/>
            <w:right w:val="thickThinSmallGap" w:color="auto" w:sz="18" w:space="0"/>
            <w:insideH w:val="single" w:color="auto" w:sz="6" w:space="0"/>
            <w:insideV w:val="single" w:color="auto" w:sz="6" w:space="0"/>
          </w:tblBorders>
          <w:tblCellMar>
            <w:top w:w="0" w:type="dxa"/>
            <w:left w:w="108" w:type="dxa"/>
            <w:bottom w:w="0" w:type="dxa"/>
            <w:right w:w="108" w:type="dxa"/>
          </w:tblCellMar>
        </w:tblPrEx>
        <w:trPr>
          <w:jc w:val="center"/>
        </w:trPr>
        <w:tc>
          <w:tcPr>
            <w:tcW w:w="1134" w:type="dxa"/>
            <w:vAlign w:val="center"/>
          </w:tcPr>
          <w:p>
            <w:pPr>
              <w:spacing w:before="120" w:beforeLines="50" w:after="120" w:afterLines="50"/>
              <w:jc w:val="center"/>
              <w:rPr>
                <w:rFonts w:hint="eastAsia" w:ascii="宋体" w:hAnsi="宋体" w:eastAsia="宋体" w:cs="宋体"/>
                <w:bCs/>
                <w:sz w:val="24"/>
                <w:szCs w:val="32"/>
                <w:highlight w:val="none"/>
              </w:rPr>
            </w:pPr>
          </w:p>
        </w:tc>
        <w:tc>
          <w:tcPr>
            <w:tcW w:w="4732" w:type="dxa"/>
            <w:vAlign w:val="center"/>
          </w:tcPr>
          <w:p>
            <w:pPr>
              <w:spacing w:before="120" w:beforeLines="50" w:after="120" w:afterLines="50"/>
              <w:jc w:val="center"/>
              <w:rPr>
                <w:rFonts w:hint="eastAsia" w:ascii="宋体" w:hAnsi="宋体" w:eastAsia="宋体" w:cs="宋体"/>
                <w:bCs/>
                <w:sz w:val="24"/>
                <w:szCs w:val="32"/>
                <w:highlight w:val="none"/>
              </w:rPr>
            </w:pPr>
          </w:p>
        </w:tc>
        <w:tc>
          <w:tcPr>
            <w:tcW w:w="3022" w:type="dxa"/>
            <w:vAlign w:val="center"/>
          </w:tcPr>
          <w:p>
            <w:pPr>
              <w:spacing w:before="120" w:beforeLines="50" w:after="120" w:afterLines="50"/>
              <w:jc w:val="center"/>
              <w:rPr>
                <w:rFonts w:hint="eastAsia" w:ascii="宋体" w:hAnsi="宋体" w:eastAsia="宋体" w:cs="宋体"/>
                <w:b/>
                <w:bCs/>
                <w:sz w:val="24"/>
                <w:szCs w:val="32"/>
                <w:highlight w:val="none"/>
              </w:rPr>
            </w:pPr>
          </w:p>
        </w:tc>
      </w:tr>
    </w:tbl>
    <w:p>
      <w:pPr>
        <w:rPr>
          <w:rFonts w:hint="eastAsia" w:ascii="宋体" w:hAnsi="宋体" w:eastAsia="宋体" w:cs="宋体"/>
          <w:b/>
          <w:sz w:val="36"/>
          <w:szCs w:val="36"/>
          <w:highlight w:val="none"/>
        </w:rPr>
      </w:pPr>
      <w:r>
        <w:rPr>
          <w:rFonts w:hint="eastAsia" w:ascii="宋体" w:hAnsi="宋体" w:eastAsia="宋体" w:cs="宋体"/>
          <w:b/>
          <w:bCs/>
          <w:sz w:val="30"/>
          <w:szCs w:val="32"/>
          <w:highlight w:val="none"/>
        </w:rPr>
        <w:br w:type="page"/>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项目咨询服务费承诺书</w:t>
      </w:r>
    </w:p>
    <w:p>
      <w:pPr>
        <w:spacing w:line="470" w:lineRule="exact"/>
        <w:ind w:right="842"/>
        <w:jc w:val="center"/>
        <w:rPr>
          <w:rFonts w:hint="eastAsia" w:ascii="宋体" w:hAnsi="宋体" w:eastAsia="宋体" w:cs="宋体"/>
          <w:sz w:val="36"/>
          <w:szCs w:val="36"/>
          <w:highlight w:val="none"/>
        </w:rPr>
      </w:pPr>
      <w:r>
        <w:rPr>
          <w:rFonts w:hint="eastAsia" w:ascii="宋体" w:hAnsi="宋体" w:eastAsia="宋体" w:cs="宋体"/>
          <w:sz w:val="36"/>
          <w:highlight w:val="none"/>
        </w:rPr>
        <w:t xml:space="preserve"> </w:t>
      </w:r>
    </w:p>
    <w:p>
      <w:pPr>
        <w:rPr>
          <w:rFonts w:hint="eastAsia" w:ascii="宋体" w:hAnsi="宋体" w:eastAsia="宋体" w:cs="宋体"/>
          <w:sz w:val="20"/>
          <w:szCs w:val="20"/>
          <w:highlight w:val="none"/>
        </w:rPr>
      </w:pPr>
    </w:p>
    <w:p>
      <w:pPr>
        <w:spacing w:before="4"/>
        <w:rPr>
          <w:rFonts w:hint="eastAsia" w:ascii="宋体" w:hAnsi="宋体" w:eastAsia="宋体" w:cs="宋体"/>
          <w:sz w:val="28"/>
          <w:szCs w:val="28"/>
          <w:highlight w:val="none"/>
        </w:rPr>
      </w:pPr>
    </w:p>
    <w:p>
      <w:pPr>
        <w:pStyle w:val="9"/>
        <w:spacing w:before="26"/>
        <w:ind w:right="87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厦门市招拍挂信息技术有限公司: </w:t>
      </w:r>
    </w:p>
    <w:p>
      <w:pPr>
        <w:spacing w:before="10"/>
        <w:rPr>
          <w:rFonts w:hint="eastAsia" w:ascii="宋体" w:hAnsi="宋体" w:eastAsia="宋体" w:cs="宋体"/>
          <w:sz w:val="24"/>
          <w:szCs w:val="24"/>
          <w:highlight w:val="none"/>
        </w:rPr>
      </w:pPr>
    </w:p>
    <w:p>
      <w:pPr>
        <w:pStyle w:val="9"/>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我们参与贵司协助组织的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项目比选（项目编</w:t>
      </w:r>
      <w:r>
        <w:rPr>
          <w:rFonts w:hint="eastAsia" w:ascii="宋体" w:hAnsi="宋体" w:eastAsia="宋体" w:cs="宋体"/>
          <w:spacing w:val="-4"/>
          <w:sz w:val="24"/>
          <w:szCs w:val="24"/>
          <w:highlight w:val="none"/>
        </w:rPr>
        <w:t>号：</w:t>
      </w:r>
      <w:r>
        <w:rPr>
          <w:rFonts w:hint="eastAsia" w:ascii="宋体" w:hAnsi="宋体" w:eastAsia="宋体" w:cs="宋体"/>
          <w:spacing w:val="59"/>
          <w:sz w:val="24"/>
          <w:szCs w:val="24"/>
          <w:highlight w:val="none"/>
        </w:rPr>
        <w:t xml:space="preserve"> </w:t>
      </w:r>
      <w:r>
        <w:rPr>
          <w:rFonts w:hint="eastAsia" w:ascii="宋体" w:hAnsi="宋体" w:eastAsia="宋体" w:cs="宋体"/>
          <w:spacing w:val="-6"/>
          <w:sz w:val="24"/>
          <w:szCs w:val="24"/>
          <w:highlight w:val="none"/>
        </w:rPr>
        <w:t>），如获成交，我们保证按比选文件的规定，以支票、汇票、电汇、现金</w:t>
      </w:r>
      <w:r>
        <w:rPr>
          <w:rFonts w:hint="eastAsia" w:ascii="宋体" w:hAnsi="宋体" w:eastAsia="宋体" w:cs="宋体"/>
          <w:sz w:val="24"/>
          <w:szCs w:val="24"/>
          <w:highlight w:val="none"/>
        </w:rPr>
        <w:t xml:space="preserve"> 或经贵司认可的其他付款方式，向贵司缴交项目咨询服务费承诺书，我方对此无异议。 </w:t>
      </w:r>
    </w:p>
    <w:p>
      <w:pPr>
        <w:pStyle w:val="9"/>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9"/>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 </w:t>
      </w:r>
    </w:p>
    <w:p>
      <w:pPr>
        <w:rPr>
          <w:rFonts w:hint="eastAsia" w:ascii="宋体" w:hAnsi="宋体" w:eastAsia="宋体" w:cs="宋体"/>
          <w:sz w:val="24"/>
          <w:szCs w:val="24"/>
          <w:highlight w:val="none"/>
        </w:rPr>
      </w:pPr>
    </w:p>
    <w:p>
      <w:pPr>
        <w:spacing w:before="5"/>
        <w:rPr>
          <w:rFonts w:hint="eastAsia" w:ascii="宋体" w:hAnsi="宋体" w:eastAsia="宋体" w:cs="宋体"/>
          <w:sz w:val="24"/>
          <w:szCs w:val="24"/>
          <w:highlight w:val="none"/>
        </w:rPr>
      </w:pPr>
    </w:p>
    <w:p>
      <w:pPr>
        <w:pStyle w:val="9"/>
        <w:ind w:left="3469" w:right="197"/>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响应供应商（全称并加盖公章）： </w:t>
      </w:r>
      <w:r>
        <w:rPr>
          <w:rFonts w:hint="eastAsia" w:ascii="宋体" w:hAnsi="宋体" w:eastAsia="宋体" w:cs="宋体"/>
          <w:spacing w:val="-8"/>
          <w:sz w:val="24"/>
          <w:szCs w:val="24"/>
          <w:highlight w:val="none"/>
          <w:u w:val="single" w:color="000000"/>
        </w:rPr>
        <w:t xml:space="preserve">             </w:t>
      </w:r>
      <w:r>
        <w:rPr>
          <w:rFonts w:hint="eastAsia" w:ascii="宋体" w:hAnsi="宋体" w:eastAsia="宋体" w:cs="宋体"/>
          <w:spacing w:val="-8"/>
          <w:sz w:val="24"/>
          <w:szCs w:val="24"/>
          <w:highlight w:val="none"/>
        </w:rPr>
        <w:t xml:space="preserve"> </w:t>
      </w:r>
    </w:p>
    <w:p>
      <w:pPr>
        <w:pStyle w:val="9"/>
        <w:ind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响应供应商代表签字：</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left="3469" w:right="19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邮 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color="000000"/>
        </w:rPr>
        <w:t xml:space="preserve">          </w:t>
      </w:r>
      <w:r>
        <w:rPr>
          <w:rFonts w:hint="eastAsia" w:ascii="宋体" w:hAnsi="宋体" w:eastAsia="宋体" w:cs="宋体"/>
          <w:sz w:val="24"/>
          <w:szCs w:val="24"/>
          <w:highlight w:val="none"/>
        </w:rPr>
        <w:t xml:space="preserve"> </w:t>
      </w:r>
    </w:p>
    <w:p>
      <w:pPr>
        <w:pStyle w:val="9"/>
        <w:ind w:right="197"/>
        <w:jc w:val="left"/>
        <w:rPr>
          <w:rFonts w:hint="eastAsia" w:ascii="宋体" w:hAnsi="宋体" w:eastAsia="宋体" w:cs="宋体"/>
          <w:sz w:val="24"/>
          <w:szCs w:val="24"/>
          <w:highlight w:val="none"/>
          <w:u w:val="single" w:color="000000"/>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 期： </w:t>
      </w:r>
      <w:r>
        <w:rPr>
          <w:rFonts w:hint="eastAsia" w:ascii="宋体" w:hAnsi="宋体" w:eastAsia="宋体" w:cs="宋体"/>
          <w:sz w:val="24"/>
          <w:szCs w:val="24"/>
          <w:highlight w:val="none"/>
          <w:u w:val="single" w:color="000000"/>
        </w:rPr>
        <w:t xml:space="preserve">         </w:t>
      </w:r>
    </w:p>
    <w:p>
      <w:pPr>
        <w:rPr>
          <w:rFonts w:hint="eastAsia" w:ascii="宋体" w:hAnsi="宋体" w:eastAsia="宋体" w:cs="宋体"/>
          <w:highlight w:val="none"/>
        </w:rPr>
      </w:pPr>
    </w:p>
    <w:sectPr>
      <w:headerReference r:id="rId25" w:type="first"/>
      <w:footerReference r:id="rId27" w:type="first"/>
      <w:headerReference r:id="rId24" w:type="default"/>
      <w:footerReference r:id="rId26" w:type="default"/>
      <w:pgSz w:w="11911" w:h="16849"/>
      <w:pgMar w:top="1378" w:right="901" w:bottom="1162" w:left="1480" w:header="0" w:footer="981"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思源黑体 CN Bold">
    <w:altName w:val="黑体"/>
    <w:panose1 w:val="00000000000000000000"/>
    <w:charset w:val="86"/>
    <w:family w:val="auto"/>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4384" behindDoc="1" locked="0" layoutInCell="1" allowOverlap="1">
              <wp:simplePos x="0" y="0"/>
              <wp:positionH relativeFrom="page">
                <wp:posOffset>3817620</wp:posOffset>
              </wp:positionH>
              <wp:positionV relativeFrom="page">
                <wp:posOffset>9932035</wp:posOffset>
              </wp:positionV>
              <wp:extent cx="217805" cy="139700"/>
              <wp:effectExtent l="0" t="0" r="3175" b="0"/>
              <wp:wrapNone/>
              <wp:docPr id="14" name="文本框 5"/>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12</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5" o:spid="_x0000_s1026" o:spt="1" style="position:absolute;left:0pt;margin-left:300.6pt;margin-top:782.05pt;height:11pt;width:17.15pt;mso-position-horizontal-relative:page;mso-position-vertical-relative:page;z-index:-251652096;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IK+Ku3AAAAA0BAAAPAAAAAAAAAAEAIAAA&#10;ACIAAABkcnMvZG93bnJldi54bWxQSwECFAAUAAAACACHTuJA4ccC2QgCAAD7AwAADgAAAAAAAAAB&#10;ACAAAAArAQAAZHJzL2Uyb0RvYy54bWxQSwUGAAAAAAYABgBZAQAApQU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12</w:t>
                    </w:r>
                    <w:r>
                      <w:fldChar w:fldCharType="end"/>
                    </w:r>
                    <w:r>
                      <w:rPr>
                        <w:rFonts w:ascii="Times New Roman"/>
                        <w:sz w:val="18"/>
                      </w:rPr>
                      <w:t>-</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3817620</wp:posOffset>
              </wp:positionH>
              <wp:positionV relativeFrom="page">
                <wp:posOffset>9932035</wp:posOffset>
              </wp:positionV>
              <wp:extent cx="217805" cy="139700"/>
              <wp:effectExtent l="0" t="0" r="3175" b="0"/>
              <wp:wrapNone/>
              <wp:docPr id="13" name="文本框 38"/>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26</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38" o:spid="_x0000_s1026" o:spt="1" style="position:absolute;left:0pt;margin-left:300.6pt;margin-top:782.05pt;height:11pt;width:17.15pt;mso-position-horizontal-relative:page;mso-position-vertical-relative:page;z-index:-251657216;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CvirtwAAAANAQAADwAAAAAAAAABACAA&#10;AAAiAAAAZHJzL2Rvd25yZXYueG1sUEsBAhQAFAAAAAgAh07iQPCb83AJAgAA/AMAAA4AAAAAAAAA&#10;AQAgAAAAKwEAAGRycy9lMm9Eb2MueG1sUEsFBgAAAAAGAAYAWQEAAKYFA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26</w:t>
                    </w:r>
                    <w:r>
                      <w:fldChar w:fldCharType="end"/>
                    </w:r>
                    <w:r>
                      <w:rPr>
                        <w:rFonts w:ascii="Times New Roman"/>
                        <w:sz w:val="18"/>
                      </w:rPr>
                      <w:t>-</w:t>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0288" behindDoc="1" locked="0" layoutInCell="1" allowOverlap="1">
              <wp:simplePos x="0" y="0"/>
              <wp:positionH relativeFrom="page">
                <wp:posOffset>3817620</wp:posOffset>
              </wp:positionH>
              <wp:positionV relativeFrom="page">
                <wp:posOffset>9932035</wp:posOffset>
              </wp:positionV>
              <wp:extent cx="217805" cy="139700"/>
              <wp:effectExtent l="0" t="0" r="3175" b="0"/>
              <wp:wrapNone/>
              <wp:docPr id="12" name="文本框 68"/>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46</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68" o:spid="_x0000_s1026" o:spt="1" style="position:absolute;left:0pt;margin-left:300.6pt;margin-top:782.05pt;height:11pt;width:17.15pt;mso-position-horizontal-relative:page;mso-position-vertical-relative:page;z-index:-251656192;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CvirtwAAAANAQAADwAAAAAAAAABACAA&#10;AAAiAAAAZHJzL2Rvd25yZXYueG1sUEsBAhQAFAAAAAgAh07iQLsN9OkJAgAA/AMAAA4AAAAAAAAA&#10;AQAgAAAAKwEAAGRycy9lMm9Eb2MueG1sUEsFBgAAAAAGAAYAWQEAAKYFA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46</w:t>
                    </w:r>
                    <w:r>
                      <w:fldChar w:fldCharType="end"/>
                    </w:r>
                    <w:r>
                      <w:rPr>
                        <w:rFonts w:ascii="Times New Roman"/>
                        <w:sz w:val="18"/>
                      </w:rPr>
                      <w:t>-</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1312" behindDoc="1" locked="0" layoutInCell="1" allowOverlap="1">
              <wp:simplePos x="0" y="0"/>
              <wp:positionH relativeFrom="page">
                <wp:posOffset>3817620</wp:posOffset>
              </wp:positionH>
              <wp:positionV relativeFrom="page">
                <wp:posOffset>9932035</wp:posOffset>
              </wp:positionV>
              <wp:extent cx="217805" cy="139700"/>
              <wp:effectExtent l="0" t="0" r="3175" b="0"/>
              <wp:wrapNone/>
              <wp:docPr id="9" name="文本框 21"/>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48</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21" o:spid="_x0000_s1026" o:spt="1" style="position:absolute;left:0pt;margin-left:300.6pt;margin-top:782.05pt;height:11pt;width:17.15pt;mso-position-horizontal-relative:page;mso-position-vertical-relative:page;z-index:-251655168;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gr4q7cAAAADQEAAA8AAAAAAAAAAQAgAAAA&#10;IgAAAGRycy9kb3ducmV2LnhtbFBLAQIUABQAAAAIAIdO4kAPjABRBwIAAPsDAAAOAAAAAAAAAAEA&#10;IAAAACsBAABkcnMvZTJvRG9jLnhtbFBLBQYAAAAABgAGAFkBAACkBQ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48</w:t>
                    </w:r>
                    <w:r>
                      <w:fldChar w:fldCharType="end"/>
                    </w:r>
                    <w:r>
                      <w:rPr>
                        <w:rFonts w:ascii="Times New Roman"/>
                        <w:sz w:val="18"/>
                      </w:rPr>
                      <w:t>-</w:t>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6672" behindDoc="1" locked="0" layoutInCell="1" allowOverlap="1">
              <wp:simplePos x="0" y="0"/>
              <wp:positionH relativeFrom="page">
                <wp:posOffset>3817620</wp:posOffset>
              </wp:positionH>
              <wp:positionV relativeFrom="page">
                <wp:posOffset>9932035</wp:posOffset>
              </wp:positionV>
              <wp:extent cx="217805" cy="139700"/>
              <wp:effectExtent l="0" t="0" r="0" b="0"/>
              <wp:wrapNone/>
              <wp:docPr id="4" name="文本框 9"/>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53</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9" o:spid="_x0000_s1026" o:spt="1" style="position:absolute;left:0pt;margin-left:300.6pt;margin-top:782.05pt;height:11pt;width:17.15pt;mso-position-horizontal-relative:page;mso-position-vertical-relative:page;z-index:-251639808;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IK+Ku3AAAAA0BAAAPAAAAAAAAAAEAIAAA&#10;ACIAAABkcnMvZG93bnJldi54bWxQSwECFAAUAAAACACHTuJA8I2ELggCAAD6AwAADgAAAAAAAAAB&#10;ACAAAAArAQAAZHJzL2Uyb0RvYy54bWxQSwUGAAAAAAYABgBZAQAApQU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53</w:t>
                    </w:r>
                    <w:r>
                      <w:fldChar w:fldCharType="end"/>
                    </w:r>
                    <w:r>
                      <w:rPr>
                        <w:rFonts w:ascii="Times New Roman"/>
                        <w:sz w:val="18"/>
                      </w:rPr>
                      <w:t>-</w:t>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7696" behindDoc="1" locked="0" layoutInCell="1" allowOverlap="1">
              <wp:simplePos x="0" y="0"/>
              <wp:positionH relativeFrom="page">
                <wp:posOffset>3817620</wp:posOffset>
              </wp:positionH>
              <wp:positionV relativeFrom="page">
                <wp:posOffset>9932035</wp:posOffset>
              </wp:positionV>
              <wp:extent cx="217805" cy="139700"/>
              <wp:effectExtent l="0" t="0" r="0" b="0"/>
              <wp:wrapNone/>
              <wp:docPr id="11" name="文本框 27"/>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47</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27" o:spid="_x0000_s1026" o:spt="1" style="position:absolute;left:0pt;margin-left:300.6pt;margin-top:782.05pt;height:11pt;width:17.15pt;mso-position-horizontal-relative:page;mso-position-vertical-relative:page;z-index:-251638784;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IK+Ku3AAAAA0BAAAPAAAAAAAAAAEAIAAA&#10;ACIAAABkcnMvZG93bnJldi54bWxQSwECFAAUAAAACACHTuJA2PRicggCAAD8AwAADgAAAAAAAAAB&#10;ACAAAAArAQAAZHJzL2Uyb0RvYy54bWxQSwUGAAAAAAYABgBZAQAApQU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47</w:t>
                    </w:r>
                    <w:r>
                      <w:fldChar w:fldCharType="end"/>
                    </w:r>
                    <w:r>
                      <w:rPr>
                        <w:rFonts w:ascii="Times New Roman"/>
                        <w:sz w:val="18"/>
                      </w:rPr>
                      <w:t>-</w:t>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5408" behindDoc="1" locked="0" layoutInCell="1" allowOverlap="1">
              <wp:simplePos x="0" y="0"/>
              <wp:positionH relativeFrom="page">
                <wp:posOffset>3817620</wp:posOffset>
              </wp:positionH>
              <wp:positionV relativeFrom="page">
                <wp:posOffset>9932035</wp:posOffset>
              </wp:positionV>
              <wp:extent cx="217805" cy="139700"/>
              <wp:effectExtent l="0" t="0" r="0" b="0"/>
              <wp:wrapNone/>
              <wp:docPr id="8" name="文本框 27"/>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49</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27" o:spid="_x0000_s1026" o:spt="1" style="position:absolute;left:0pt;margin-left:300.6pt;margin-top:782.05pt;height:11pt;width:17.15pt;mso-position-horizontal-relative:page;mso-position-vertical-relative:page;z-index:-251651072;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IK+Ku3AAAAA0BAAAPAAAAAAAAAAEAIAAA&#10;ACIAAABkcnMvZG93bnJldi54bWxQSwECFAAUAAAACACHTuJAMtsocQgCAAD7AwAADgAAAAAAAAAB&#10;ACAAAAArAQAAZHJzL2Uyb0RvYy54bWxQSwUGAAAAAAYABgBZAQAApQU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49</w:t>
                    </w:r>
                    <w:r>
                      <w:fldChar w:fldCharType="end"/>
                    </w:r>
                    <w:r>
                      <w:rPr>
                        <w:rFonts w:ascii="Times New Roman"/>
                        <w:sz w:val="18"/>
                      </w:rPr>
                      <w:t>-</w:t>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7456" behindDoc="1" locked="0" layoutInCell="1" allowOverlap="1">
              <wp:simplePos x="0" y="0"/>
              <wp:positionH relativeFrom="page">
                <wp:posOffset>3817620</wp:posOffset>
              </wp:positionH>
              <wp:positionV relativeFrom="page">
                <wp:posOffset>9932035</wp:posOffset>
              </wp:positionV>
              <wp:extent cx="217805" cy="139700"/>
              <wp:effectExtent l="0" t="0" r="0" b="0"/>
              <wp:wrapNone/>
              <wp:docPr id="5" name="文本框 14"/>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52</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14" o:spid="_x0000_s1026" o:spt="1" style="position:absolute;left:0pt;margin-left:300.6pt;margin-top:782.05pt;height:11pt;width:17.15pt;mso-position-horizontal-relative:page;mso-position-vertical-relative:page;z-index:-251649024;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IK+Ku3AAAAA0BAAAPAAAAAAAAAAEAIAAA&#10;ACIAAABkcnMvZG93bnJldi54bWxQSwECFAAUAAAACACHTuJAAfr7lAgCAAD7AwAADgAAAAAAAAAB&#10;ACAAAAArAQAAZHJzL2Uyb0RvYy54bWxQSwUGAAAAAAYABgBZAQAApQU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52</w:t>
                    </w:r>
                    <w:r>
                      <w:fldChar w:fldCharType="end"/>
                    </w:r>
                    <w:r>
                      <w:rPr>
                        <w:rFonts w:ascii="Times New Roman"/>
                        <w:sz w:val="18"/>
                      </w:rPr>
                      <w:t>-</w:t>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2336" behindDoc="1" locked="0" layoutInCell="1" allowOverlap="1">
              <wp:simplePos x="0" y="0"/>
              <wp:positionH relativeFrom="page">
                <wp:posOffset>3817620</wp:posOffset>
              </wp:positionH>
              <wp:positionV relativeFrom="page">
                <wp:posOffset>9932035</wp:posOffset>
              </wp:positionV>
              <wp:extent cx="217805" cy="139700"/>
              <wp:effectExtent l="0" t="0" r="3175" b="0"/>
              <wp:wrapNone/>
              <wp:docPr id="6" name="文本框 9"/>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53</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9" o:spid="_x0000_s1026" o:spt="1" style="position:absolute;left:0pt;margin-left:300.6pt;margin-top:782.05pt;height:11pt;width:17.15pt;mso-position-horizontal-relative:page;mso-position-vertical-relative:page;z-index:-251654144;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gr4q7cAAAADQEAAA8AAAAAAAAAAQAgAAAA&#10;IgAAAGRycy9kb3ducmV2LnhtbFBLAQIUABQAAAAIAIdO4kDP291TBwIAAPoDAAAOAAAAAAAAAAEA&#10;IAAAACsBAABkcnMvZTJvRG9jLnhtbFBLBQYAAAAABgAGAFkBAACkBQ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53</w:t>
                    </w:r>
                    <w:r>
                      <w:fldChar w:fldCharType="end"/>
                    </w:r>
                    <w:r>
                      <w:rPr>
                        <w:rFonts w:ascii="Times New Roman"/>
                        <w:sz w:val="18"/>
                      </w:rPr>
                      <w:t>-</w:t>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3360" behindDoc="1" locked="0" layoutInCell="1" allowOverlap="1">
              <wp:simplePos x="0" y="0"/>
              <wp:positionH relativeFrom="page">
                <wp:posOffset>3817620</wp:posOffset>
              </wp:positionH>
              <wp:positionV relativeFrom="page">
                <wp:posOffset>9932035</wp:posOffset>
              </wp:positionV>
              <wp:extent cx="217805" cy="139700"/>
              <wp:effectExtent l="0" t="0" r="3175" b="0"/>
              <wp:wrapNone/>
              <wp:docPr id="3" name="文本框 16"/>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60</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16" o:spid="_x0000_s1026" o:spt="1" style="position:absolute;left:0pt;margin-left:300.6pt;margin-top:782.05pt;height:11pt;width:17.15pt;mso-position-horizontal-relative:page;mso-position-vertical-relative:page;z-index:-251653120;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IK+Ku3AAAAA0BAAAPAAAAAAAAAAEAIAAA&#10;ACIAAABkcnMvZG93bnJldi54bWxQSwECFAAUAAAACACHTuJA5brT5wgCAAD7AwAADgAAAAAAAAAB&#10;ACAAAAArAQAAZHJzL2Uyb0RvYy54bWxQSwUGAAAAAAYABgBZAQAApQU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60</w:t>
                    </w:r>
                    <w:r>
                      <w:fldChar w:fldCharType="end"/>
                    </w:r>
                    <w:r>
                      <w:rPr>
                        <w:rFonts w:ascii="Times New Roman"/>
                        <w:sz w:val="18"/>
                      </w:rPr>
                      <w:t>-</w:t>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3360" behindDoc="1" locked="0" layoutInCell="1" allowOverlap="1">
              <wp:simplePos x="0" y="0"/>
              <wp:positionH relativeFrom="page">
                <wp:posOffset>3817620</wp:posOffset>
              </wp:positionH>
              <wp:positionV relativeFrom="page">
                <wp:posOffset>9932035</wp:posOffset>
              </wp:positionV>
              <wp:extent cx="217805" cy="139700"/>
              <wp:effectExtent l="0" t="0" r="3175" b="0"/>
              <wp:wrapNone/>
              <wp:docPr id="2" name="文本框 26"/>
              <wp:cNvGraphicFramePr/>
              <a:graphic xmlns:a="http://schemas.openxmlformats.org/drawingml/2006/main">
                <a:graphicData uri="http://schemas.microsoft.com/office/word/2010/wordprocessingShape">
                  <wps:wsp>
                    <wps:cNvSpPr>
                      <a:spLocks noChangeArrowheads="1"/>
                    </wps:cNvSpPr>
                    <wps:spPr bwMode="auto">
                      <a:xfrm>
                        <a:off x="0" y="0"/>
                        <a:ext cx="217805" cy="139700"/>
                      </a:xfrm>
                      <a:prstGeom prst="rect">
                        <a:avLst/>
                      </a:prstGeom>
                      <a:noFill/>
                      <a:ln>
                        <a:noFill/>
                      </a:ln>
                    </wps:spPr>
                    <wps:txbx>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63</w:t>
                          </w:r>
                          <w:r>
                            <w:fldChar w:fldCharType="end"/>
                          </w:r>
                          <w:r>
                            <w:rPr>
                              <w:rFonts w:ascii="Times New Roman"/>
                              <w:sz w:val="18"/>
                            </w:rPr>
                            <w:t>-</w:t>
                          </w:r>
                        </w:p>
                      </w:txbxContent>
                    </wps:txbx>
                    <wps:bodyPr rot="0" vert="horz" wrap="square" lIns="0" tIns="0" rIns="0" bIns="0" anchor="t" anchorCtr="0" upright="1">
                      <a:noAutofit/>
                    </wps:bodyPr>
                  </wps:wsp>
                </a:graphicData>
              </a:graphic>
            </wp:anchor>
          </w:drawing>
        </mc:Choice>
        <mc:Fallback>
          <w:pict>
            <v:rect id="文本框 26" o:spid="_x0000_s1026" o:spt="1" style="position:absolute;left:0pt;margin-left:300.6pt;margin-top:782.05pt;height:11pt;width:17.15pt;mso-position-horizontal-relative:page;mso-position-vertical-relative:page;z-index:-251653120;mso-width-relative:page;mso-height-relative:page;" filled="f" stroked="f" coordsize="21600,21600" o:gfxdata="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CvirtwAAAANAQAADwAAAAAAAAABACAA&#10;AAAiAAAAZHJzL2Rvd25yZXYueG1sUEsBAhQAFAAAAAgAh07iQDoZ90sJAgAA+wMAAA4AAAAAAAAA&#10;AQAgAAAAKwEAAGRycy9lMm9Eb2MueG1sUEsFBgAAAAAGAAYAWQEAAKYFAAAAAA==&#10;">
              <v:fill on="f" focussize="0,0"/>
              <v:stroke on="f"/>
              <v:imagedata o:title=""/>
              <o:lock v:ext="edit" aspectratio="f"/>
              <v:textbox inset="0mm,0mm,0mm,0mm">
                <w:txbxContent>
                  <w:p>
                    <w:pPr>
                      <w:spacing w:line="204" w:lineRule="exact"/>
                      <w:ind w:left="20"/>
                      <w:jc w:val="left"/>
                      <w:rPr>
                        <w:rFonts w:ascii="Times New Roman" w:hAnsi="Times New Roman" w:eastAsia="Times New Roman" w:cs="Times New Roman"/>
                        <w:sz w:val="18"/>
                        <w:szCs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63</w:t>
                    </w:r>
                    <w:r>
                      <w:fldChar w:fldCharType="end"/>
                    </w:r>
                    <w:r>
                      <w:rPr>
                        <w:rFonts w:ascii="Times New Roman"/>
                        <w:sz w:val="18"/>
                      </w:rPr>
                      <w:t>-</w:t>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20"/>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-31750</wp:posOffset>
              </wp:positionV>
              <wp:extent cx="6235700" cy="1905"/>
              <wp:effectExtent l="9525" t="6350" r="12700" b="10795"/>
              <wp:wrapNone/>
              <wp:docPr id="1" name="直接连接符 100"/>
              <wp:cNvGraphicFramePr/>
              <a:graphic xmlns:a="http://schemas.openxmlformats.org/drawingml/2006/main">
                <a:graphicData uri="http://schemas.microsoft.com/office/word/2010/wordprocessingShape">
                  <wps:wsp>
                    <wps:cNvCnPr>
                      <a:cxnSpLocks noChangeShapeType="1"/>
                    </wps:cNvCnPr>
                    <wps:spPr bwMode="auto">
                      <a:xfrm>
                        <a:off x="0" y="0"/>
                        <a:ext cx="6235700" cy="1905"/>
                      </a:xfrm>
                      <a:prstGeom prst="line">
                        <a:avLst/>
                      </a:prstGeom>
                      <a:noFill/>
                      <a:ln w="9525">
                        <a:solidFill>
                          <a:srgbClr val="000000"/>
                        </a:solidFill>
                        <a:round/>
                      </a:ln>
                    </wps:spPr>
                    <wps:bodyPr/>
                  </wps:wsp>
                </a:graphicData>
              </a:graphic>
            </wp:anchor>
          </w:drawing>
        </mc:Choice>
        <mc:Fallback>
          <w:pict>
            <v:line id="直接连接符 100" o:spid="_x0000_s1026" o:spt="20" style="position:absolute;left:0pt;margin-left:0pt;margin-top:-2.5pt;height:0.15pt;width:491pt;z-index:251666432;mso-width-relative:page;mso-height-relative:page;" filled="f" stroked="t" coordsize="21600,21600" o:gfxdata="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31AsWtUA&#10;AAAGAQAADwAAAAAAAAABACAAAAAiAAAAZHJzL2Rvd25yZXYueG1sUEsBAhQAFAAAAAgAh07iQJxi&#10;e9fpAQAArwMAAA4AAAAAAAAAAQAgAAAAJAEAAGRycy9lMm9Eb2MueG1sUEsFBgAAAAAGAAYAWQEA&#10;AH8FAAAAAA==&#10;">
              <v:fill on="f" focussize="0,0"/>
              <v:stroke color="#000000" joinstyle="round"/>
              <v:imagedata o:title=""/>
              <o:lock v:ext="edit" aspectratio="f"/>
            </v:line>
          </w:pict>
        </mc:Fallback>
      </mc:AlternateContent>
    </w:r>
    <w:r>
      <w:rPr>
        <w:rFonts w:hint="eastAsia"/>
        <w:sz w:val="20"/>
      </w:rPr>
      <w:t xml:space="preserve">厦门市务实采购有限公司 </w:t>
    </w:r>
    <w:r>
      <w:rPr>
        <w:rFonts w:hint="eastAsia"/>
      </w:rPr>
      <w:t xml:space="preserve">           http：//www.xmws.com                                              </w:t>
    </w:r>
    <w:r>
      <w:t xml:space="preserve">- </w:t>
    </w:r>
    <w:r>
      <w:fldChar w:fldCharType="begin"/>
    </w:r>
    <w:r>
      <w:instrText xml:space="preserve"> PAGE </w:instrText>
    </w:r>
    <w:r>
      <w:fldChar w:fldCharType="separate"/>
    </w:r>
    <w:r>
      <w:t>1</w:t>
    </w:r>
    <w:r>
      <w:fldChar w:fldCharType="end"/>
    </w:r>
    <w:r>
      <w:t xml:space="preserve"> -</w:t>
    </w:r>
    <w:r>
      <w:rPr>
        <w:rFonts w:hint="eastAsia"/>
      </w:rPr>
      <w:t xml:space="preserve">  25</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rFonts w:hint="eastAsia"/>
      </w:rPr>
      <w:t xml:space="preserve">目录                                                                                </w:t>
    </w:r>
    <w:r>
      <w:rPr>
        <w:rFonts w:hint="eastAsia"/>
        <w:i/>
        <w:iCs/>
      </w:rPr>
      <w:t>招标编号： 2007-WS120/5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686832"/>
    <w:multiLevelType w:val="singleLevel"/>
    <w:tmpl w:val="9A686832"/>
    <w:lvl w:ilvl="0" w:tentative="0">
      <w:start w:val="1"/>
      <w:numFmt w:val="decimal"/>
      <w:suff w:val="nothing"/>
      <w:lvlText w:val="（%1）"/>
      <w:lvlJc w:val="left"/>
    </w:lvl>
  </w:abstractNum>
  <w:abstractNum w:abstractNumId="1">
    <w:nsid w:val="9DBCD664"/>
    <w:multiLevelType w:val="multilevel"/>
    <w:tmpl w:val="9DBCD664"/>
    <w:lvl w:ilvl="0" w:tentative="0">
      <w:start w:val="1"/>
      <w:numFmt w:val="decimal"/>
      <w:lvlText w:val="（%1）"/>
      <w:lvlJc w:val="left"/>
      <w:pPr>
        <w:ind w:left="900" w:hanging="420"/>
      </w:pPr>
      <w:rPr>
        <w:rFonts w:hint="default" w:ascii="宋体" w:hAnsi="宋体" w:eastAsia="宋体"/>
        <w:sz w:val="24"/>
        <w:szCs w:val="24"/>
        <w:highlight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A001F2D3"/>
    <w:multiLevelType w:val="singleLevel"/>
    <w:tmpl w:val="A001F2D3"/>
    <w:lvl w:ilvl="0" w:tentative="0">
      <w:start w:val="4"/>
      <w:numFmt w:val="decimal"/>
      <w:suff w:val="space"/>
      <w:lvlText w:val="%1."/>
      <w:lvlJc w:val="left"/>
    </w:lvl>
  </w:abstractNum>
  <w:abstractNum w:abstractNumId="3">
    <w:nsid w:val="E34837F9"/>
    <w:multiLevelType w:val="singleLevel"/>
    <w:tmpl w:val="E34837F9"/>
    <w:lvl w:ilvl="0" w:tentative="0">
      <w:start w:val="1"/>
      <w:numFmt w:val="decimal"/>
      <w:lvlText w:val="%1."/>
      <w:lvlJc w:val="left"/>
      <w:pPr>
        <w:tabs>
          <w:tab w:val="left" w:pos="312"/>
        </w:tabs>
      </w:pPr>
    </w:lvl>
  </w:abstractNum>
  <w:abstractNum w:abstractNumId="4">
    <w:nsid w:val="ECED4760"/>
    <w:multiLevelType w:val="singleLevel"/>
    <w:tmpl w:val="ECED4760"/>
    <w:lvl w:ilvl="0" w:tentative="0">
      <w:start w:val="1"/>
      <w:numFmt w:val="decimal"/>
      <w:suff w:val="nothing"/>
      <w:lvlText w:val="（%1）"/>
      <w:lvlJc w:val="left"/>
    </w:lvl>
  </w:abstractNum>
  <w:abstractNum w:abstractNumId="5">
    <w:nsid w:val="FD9AC851"/>
    <w:multiLevelType w:val="singleLevel"/>
    <w:tmpl w:val="FD9AC851"/>
    <w:lvl w:ilvl="0" w:tentative="0">
      <w:start w:val="1"/>
      <w:numFmt w:val="decimal"/>
      <w:suff w:val="nothing"/>
      <w:lvlText w:val="（%1）"/>
      <w:lvlJc w:val="left"/>
    </w:lvl>
  </w:abstractNum>
  <w:abstractNum w:abstractNumId="6">
    <w:nsid w:val="1186CEC8"/>
    <w:multiLevelType w:val="singleLevel"/>
    <w:tmpl w:val="1186CEC8"/>
    <w:lvl w:ilvl="0" w:tentative="0">
      <w:start w:val="4"/>
      <w:numFmt w:val="chineseCounting"/>
      <w:suff w:val="nothing"/>
      <w:lvlText w:val="%1、"/>
      <w:lvlJc w:val="left"/>
      <w:rPr>
        <w:rFonts w:hint="eastAsia"/>
      </w:rPr>
    </w:lvl>
  </w:abstractNum>
  <w:abstractNum w:abstractNumId="7">
    <w:nsid w:val="1C8F3F6C"/>
    <w:multiLevelType w:val="singleLevel"/>
    <w:tmpl w:val="1C8F3F6C"/>
    <w:lvl w:ilvl="0" w:tentative="0">
      <w:start w:val="1"/>
      <w:numFmt w:val="decimal"/>
      <w:suff w:val="nothing"/>
      <w:lvlText w:val="（%1）"/>
      <w:lvlJc w:val="left"/>
    </w:lvl>
  </w:abstractNum>
  <w:abstractNum w:abstractNumId="8">
    <w:nsid w:val="30722FD7"/>
    <w:multiLevelType w:val="multilevel"/>
    <w:tmpl w:val="30722FD7"/>
    <w:lvl w:ilvl="0" w:tentative="0">
      <w:start w:val="1"/>
      <w:numFmt w:val="decimal"/>
      <w:lvlText w:val="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3422B59"/>
    <w:multiLevelType w:val="multilevel"/>
    <w:tmpl w:val="33422B59"/>
    <w:lvl w:ilvl="0" w:tentative="0">
      <w:start w:val="1"/>
      <w:numFmt w:val="decimal"/>
      <w:lvlText w:val="（%1）"/>
      <w:lvlJc w:val="left"/>
      <w:pPr>
        <w:ind w:left="900" w:hanging="420"/>
      </w:pPr>
      <w:rPr>
        <w:rFonts w:hint="default" w:ascii="宋体" w:hAnsi="宋体" w:eastAsia="宋体"/>
        <w:sz w:val="24"/>
        <w:szCs w:val="24"/>
        <w:highlight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46AC13E8"/>
    <w:multiLevelType w:val="singleLevel"/>
    <w:tmpl w:val="46AC13E8"/>
    <w:lvl w:ilvl="0" w:tentative="0">
      <w:start w:val="1"/>
      <w:numFmt w:val="decimal"/>
      <w:suff w:val="nothing"/>
      <w:lvlText w:val="（%1）"/>
      <w:lvlJc w:val="left"/>
    </w:lvl>
  </w:abstractNum>
  <w:abstractNum w:abstractNumId="11">
    <w:nsid w:val="52457872"/>
    <w:multiLevelType w:val="multilevel"/>
    <w:tmpl w:val="52457872"/>
    <w:lvl w:ilvl="0" w:tentative="0">
      <w:start w:val="1"/>
      <w:numFmt w:val="decimal"/>
      <w:lvlText w:val="（%1）"/>
      <w:lvlJc w:val="left"/>
      <w:pPr>
        <w:tabs>
          <w:tab w:val="left" w:pos="1280"/>
        </w:tabs>
        <w:ind w:left="128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2">
    <w:nsid w:val="62453049"/>
    <w:multiLevelType w:val="multilevel"/>
    <w:tmpl w:val="62453049"/>
    <w:lvl w:ilvl="0" w:tentative="0">
      <w:start w:val="1"/>
      <w:numFmt w:val="decimal"/>
      <w:lvlText w:val="（%1）"/>
      <w:lvlJc w:val="left"/>
      <w:pPr>
        <w:tabs>
          <w:tab w:val="left" w:pos="1280"/>
        </w:tabs>
        <w:ind w:left="128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67864187"/>
    <w:multiLevelType w:val="multilevel"/>
    <w:tmpl w:val="67864187"/>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pStyle w:val="35"/>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68B1F920"/>
    <w:multiLevelType w:val="multilevel"/>
    <w:tmpl w:val="68B1F920"/>
    <w:lvl w:ilvl="0" w:tentative="0">
      <w:start w:val="1"/>
      <w:numFmt w:val="decimal"/>
      <w:lvlText w:val="（%1）"/>
      <w:lvlJc w:val="left"/>
      <w:pPr>
        <w:tabs>
          <w:tab w:val="left" w:pos="1280"/>
        </w:tabs>
        <w:ind w:left="128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5">
    <w:nsid w:val="6CF71E48"/>
    <w:multiLevelType w:val="multilevel"/>
    <w:tmpl w:val="6CF71E48"/>
    <w:lvl w:ilvl="0" w:tentative="0">
      <w:start w:val="1"/>
      <w:numFmt w:val="decimal"/>
      <w:lvlText w:val="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E449E7F"/>
    <w:multiLevelType w:val="singleLevel"/>
    <w:tmpl w:val="6E449E7F"/>
    <w:lvl w:ilvl="0" w:tentative="0">
      <w:start w:val="1"/>
      <w:numFmt w:val="decimal"/>
      <w:suff w:val="nothing"/>
      <w:lvlText w:val="（%1）"/>
      <w:lvlJc w:val="left"/>
    </w:lvl>
  </w:abstractNum>
  <w:num w:numId="1">
    <w:abstractNumId w:val="13"/>
  </w:num>
  <w:num w:numId="2">
    <w:abstractNumId w:val="2"/>
  </w:num>
  <w:num w:numId="3">
    <w:abstractNumId w:val="3"/>
  </w:num>
  <w:num w:numId="4">
    <w:abstractNumId w:val="12"/>
  </w:num>
  <w:num w:numId="5">
    <w:abstractNumId w:val="14"/>
  </w:num>
  <w:num w:numId="6">
    <w:abstractNumId w:val="11"/>
  </w:num>
  <w:num w:numId="7">
    <w:abstractNumId w:val="8"/>
  </w:num>
  <w:num w:numId="8">
    <w:abstractNumId w:val="15"/>
  </w:num>
  <w:num w:numId="9">
    <w:abstractNumId w:val="6"/>
  </w:num>
  <w:num w:numId="10">
    <w:abstractNumId w:val="7"/>
  </w:num>
  <w:num w:numId="11">
    <w:abstractNumId w:val="4"/>
  </w:num>
  <w:num w:numId="12">
    <w:abstractNumId w:val="0"/>
  </w:num>
  <w:num w:numId="13">
    <w:abstractNumId w:val="9"/>
  </w:num>
  <w:num w:numId="14">
    <w:abstractNumId w:val="10"/>
  </w:num>
  <w:num w:numId="15">
    <w:abstractNumId w:val="16"/>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jQyLCJoZGlkIjoiNTc4OTkzMjNhYjQ4NDk4N2I0ODA4ODBmZmY5Mjk2MGUiLCJ1c2VyQ291bnQiOjV9"/>
  </w:docVars>
  <w:rsids>
    <w:rsidRoot w:val="00172A27"/>
    <w:rsid w:val="00012625"/>
    <w:rsid w:val="00020536"/>
    <w:rsid w:val="00023143"/>
    <w:rsid w:val="000263C3"/>
    <w:rsid w:val="000302AB"/>
    <w:rsid w:val="0004214B"/>
    <w:rsid w:val="000568E2"/>
    <w:rsid w:val="00063334"/>
    <w:rsid w:val="00081794"/>
    <w:rsid w:val="00092881"/>
    <w:rsid w:val="000955B7"/>
    <w:rsid w:val="000A0827"/>
    <w:rsid w:val="000A249E"/>
    <w:rsid w:val="000C26AE"/>
    <w:rsid w:val="00101744"/>
    <w:rsid w:val="0010491E"/>
    <w:rsid w:val="00104A43"/>
    <w:rsid w:val="00121E2C"/>
    <w:rsid w:val="00130526"/>
    <w:rsid w:val="001539F2"/>
    <w:rsid w:val="00153FDF"/>
    <w:rsid w:val="00171387"/>
    <w:rsid w:val="00172A27"/>
    <w:rsid w:val="00203AAA"/>
    <w:rsid w:val="002050D5"/>
    <w:rsid w:val="00210A84"/>
    <w:rsid w:val="002233D7"/>
    <w:rsid w:val="00235D3A"/>
    <w:rsid w:val="00241DDA"/>
    <w:rsid w:val="00270DC8"/>
    <w:rsid w:val="00274D43"/>
    <w:rsid w:val="002A4354"/>
    <w:rsid w:val="002D67FB"/>
    <w:rsid w:val="002E71ED"/>
    <w:rsid w:val="002F022E"/>
    <w:rsid w:val="00303844"/>
    <w:rsid w:val="003064BF"/>
    <w:rsid w:val="00330A78"/>
    <w:rsid w:val="00334FB7"/>
    <w:rsid w:val="003434BC"/>
    <w:rsid w:val="00347BED"/>
    <w:rsid w:val="00380A68"/>
    <w:rsid w:val="00382DEE"/>
    <w:rsid w:val="003971D8"/>
    <w:rsid w:val="003A125A"/>
    <w:rsid w:val="003D2939"/>
    <w:rsid w:val="003D41E7"/>
    <w:rsid w:val="003F360A"/>
    <w:rsid w:val="003F3818"/>
    <w:rsid w:val="0042208E"/>
    <w:rsid w:val="00422D1A"/>
    <w:rsid w:val="00423717"/>
    <w:rsid w:val="004275D8"/>
    <w:rsid w:val="00436769"/>
    <w:rsid w:val="004420FD"/>
    <w:rsid w:val="00461B8C"/>
    <w:rsid w:val="00466FAA"/>
    <w:rsid w:val="00491144"/>
    <w:rsid w:val="00493091"/>
    <w:rsid w:val="004A562B"/>
    <w:rsid w:val="004A7E3D"/>
    <w:rsid w:val="004C41E9"/>
    <w:rsid w:val="004E6021"/>
    <w:rsid w:val="00553D40"/>
    <w:rsid w:val="00560D29"/>
    <w:rsid w:val="005746AF"/>
    <w:rsid w:val="00596613"/>
    <w:rsid w:val="005A45FB"/>
    <w:rsid w:val="005A789F"/>
    <w:rsid w:val="005C5F65"/>
    <w:rsid w:val="005C623F"/>
    <w:rsid w:val="005D7E1C"/>
    <w:rsid w:val="005E2511"/>
    <w:rsid w:val="005E3776"/>
    <w:rsid w:val="005E6799"/>
    <w:rsid w:val="005E6CFA"/>
    <w:rsid w:val="006011AD"/>
    <w:rsid w:val="00601E00"/>
    <w:rsid w:val="00603818"/>
    <w:rsid w:val="006274D6"/>
    <w:rsid w:val="00634056"/>
    <w:rsid w:val="00654B2F"/>
    <w:rsid w:val="006654F8"/>
    <w:rsid w:val="00674066"/>
    <w:rsid w:val="0067463C"/>
    <w:rsid w:val="006A426D"/>
    <w:rsid w:val="006A4372"/>
    <w:rsid w:val="006D735E"/>
    <w:rsid w:val="006D73AF"/>
    <w:rsid w:val="006F26B9"/>
    <w:rsid w:val="007420B1"/>
    <w:rsid w:val="007E4EA9"/>
    <w:rsid w:val="007F1AC8"/>
    <w:rsid w:val="00801F39"/>
    <w:rsid w:val="008113EB"/>
    <w:rsid w:val="00814660"/>
    <w:rsid w:val="008308AE"/>
    <w:rsid w:val="00860650"/>
    <w:rsid w:val="008845D7"/>
    <w:rsid w:val="00891C3E"/>
    <w:rsid w:val="008C050A"/>
    <w:rsid w:val="008D05AA"/>
    <w:rsid w:val="008E1D76"/>
    <w:rsid w:val="00905013"/>
    <w:rsid w:val="00913D42"/>
    <w:rsid w:val="0092309F"/>
    <w:rsid w:val="00937074"/>
    <w:rsid w:val="00940D77"/>
    <w:rsid w:val="009451CB"/>
    <w:rsid w:val="009553D8"/>
    <w:rsid w:val="00957766"/>
    <w:rsid w:val="00967067"/>
    <w:rsid w:val="00976E3A"/>
    <w:rsid w:val="009924DB"/>
    <w:rsid w:val="00996FAF"/>
    <w:rsid w:val="009A00EF"/>
    <w:rsid w:val="009A43D3"/>
    <w:rsid w:val="009B5C05"/>
    <w:rsid w:val="009C10CF"/>
    <w:rsid w:val="00A061BC"/>
    <w:rsid w:val="00A24A4A"/>
    <w:rsid w:val="00A30042"/>
    <w:rsid w:val="00A30B15"/>
    <w:rsid w:val="00A64008"/>
    <w:rsid w:val="00A9628C"/>
    <w:rsid w:val="00AB07EE"/>
    <w:rsid w:val="00AE3D6E"/>
    <w:rsid w:val="00AE64F4"/>
    <w:rsid w:val="00B13C06"/>
    <w:rsid w:val="00B15140"/>
    <w:rsid w:val="00B157DE"/>
    <w:rsid w:val="00B22687"/>
    <w:rsid w:val="00B31780"/>
    <w:rsid w:val="00B50CAC"/>
    <w:rsid w:val="00B70051"/>
    <w:rsid w:val="00BC3B33"/>
    <w:rsid w:val="00BF0CD8"/>
    <w:rsid w:val="00C11DAD"/>
    <w:rsid w:val="00C15D81"/>
    <w:rsid w:val="00C2224E"/>
    <w:rsid w:val="00C52141"/>
    <w:rsid w:val="00C55F7D"/>
    <w:rsid w:val="00C63826"/>
    <w:rsid w:val="00C756B2"/>
    <w:rsid w:val="00C9412D"/>
    <w:rsid w:val="00C9489F"/>
    <w:rsid w:val="00C9659B"/>
    <w:rsid w:val="00CA6C76"/>
    <w:rsid w:val="00CD4C1F"/>
    <w:rsid w:val="00CD504F"/>
    <w:rsid w:val="00CD75AA"/>
    <w:rsid w:val="00CE1F95"/>
    <w:rsid w:val="00CE4F6E"/>
    <w:rsid w:val="00D12582"/>
    <w:rsid w:val="00D13C42"/>
    <w:rsid w:val="00D30DFF"/>
    <w:rsid w:val="00D51AE0"/>
    <w:rsid w:val="00D55B6C"/>
    <w:rsid w:val="00D55D91"/>
    <w:rsid w:val="00D56F0C"/>
    <w:rsid w:val="00D67762"/>
    <w:rsid w:val="00D82EEA"/>
    <w:rsid w:val="00DB0374"/>
    <w:rsid w:val="00DC1507"/>
    <w:rsid w:val="00E03C4A"/>
    <w:rsid w:val="00E87179"/>
    <w:rsid w:val="00EA0440"/>
    <w:rsid w:val="00EC1AE5"/>
    <w:rsid w:val="00EC58E4"/>
    <w:rsid w:val="00EF2893"/>
    <w:rsid w:val="00F245A6"/>
    <w:rsid w:val="00F43BA9"/>
    <w:rsid w:val="00F46AF9"/>
    <w:rsid w:val="00F5369B"/>
    <w:rsid w:val="00F839CA"/>
    <w:rsid w:val="00FA590F"/>
    <w:rsid w:val="00FD79AD"/>
    <w:rsid w:val="00FE06E4"/>
    <w:rsid w:val="00FF0DF4"/>
    <w:rsid w:val="00FF5646"/>
    <w:rsid w:val="00FF5B50"/>
    <w:rsid w:val="01A249C3"/>
    <w:rsid w:val="01F66ABD"/>
    <w:rsid w:val="023218F0"/>
    <w:rsid w:val="024201A4"/>
    <w:rsid w:val="026C2B2B"/>
    <w:rsid w:val="028A18FB"/>
    <w:rsid w:val="02BC028B"/>
    <w:rsid w:val="03166D2D"/>
    <w:rsid w:val="035C4ADF"/>
    <w:rsid w:val="03704648"/>
    <w:rsid w:val="038500F8"/>
    <w:rsid w:val="03C36D58"/>
    <w:rsid w:val="03EE2141"/>
    <w:rsid w:val="049727D9"/>
    <w:rsid w:val="05544226"/>
    <w:rsid w:val="05AC6D4A"/>
    <w:rsid w:val="05F9301F"/>
    <w:rsid w:val="06296354"/>
    <w:rsid w:val="064918B1"/>
    <w:rsid w:val="0682702A"/>
    <w:rsid w:val="06A42F8B"/>
    <w:rsid w:val="06A64F55"/>
    <w:rsid w:val="06C929F2"/>
    <w:rsid w:val="06D27D65"/>
    <w:rsid w:val="06F552B4"/>
    <w:rsid w:val="07790504"/>
    <w:rsid w:val="07981707"/>
    <w:rsid w:val="07C80D57"/>
    <w:rsid w:val="083E2F6B"/>
    <w:rsid w:val="085E31D9"/>
    <w:rsid w:val="086A2023"/>
    <w:rsid w:val="0A0A57FB"/>
    <w:rsid w:val="0A0A5A4F"/>
    <w:rsid w:val="0A193FBD"/>
    <w:rsid w:val="0A1D552E"/>
    <w:rsid w:val="0AC135D3"/>
    <w:rsid w:val="0B5F56D3"/>
    <w:rsid w:val="0B733606"/>
    <w:rsid w:val="0C9057CB"/>
    <w:rsid w:val="0D261E15"/>
    <w:rsid w:val="0D567B64"/>
    <w:rsid w:val="0D8458C4"/>
    <w:rsid w:val="0DBF1967"/>
    <w:rsid w:val="0DCE18FA"/>
    <w:rsid w:val="0E5A264D"/>
    <w:rsid w:val="0EAF071F"/>
    <w:rsid w:val="0F995299"/>
    <w:rsid w:val="102E211C"/>
    <w:rsid w:val="107274DB"/>
    <w:rsid w:val="10C632B3"/>
    <w:rsid w:val="10EB0AF4"/>
    <w:rsid w:val="1128513A"/>
    <w:rsid w:val="11755B31"/>
    <w:rsid w:val="11E741A1"/>
    <w:rsid w:val="121706C0"/>
    <w:rsid w:val="12E144B4"/>
    <w:rsid w:val="137672BE"/>
    <w:rsid w:val="13C74ECB"/>
    <w:rsid w:val="13C76490"/>
    <w:rsid w:val="1406698F"/>
    <w:rsid w:val="141F00F5"/>
    <w:rsid w:val="1454489E"/>
    <w:rsid w:val="14F25EDC"/>
    <w:rsid w:val="15470301"/>
    <w:rsid w:val="15910B7E"/>
    <w:rsid w:val="15F361DB"/>
    <w:rsid w:val="15F54DB0"/>
    <w:rsid w:val="160557EF"/>
    <w:rsid w:val="16B9038D"/>
    <w:rsid w:val="16C64858"/>
    <w:rsid w:val="16CB0FAA"/>
    <w:rsid w:val="16D7454C"/>
    <w:rsid w:val="177747B2"/>
    <w:rsid w:val="17F92A0B"/>
    <w:rsid w:val="18C60658"/>
    <w:rsid w:val="18EE212B"/>
    <w:rsid w:val="19063631"/>
    <w:rsid w:val="19254517"/>
    <w:rsid w:val="19B26A79"/>
    <w:rsid w:val="19BA2FEC"/>
    <w:rsid w:val="19DE635C"/>
    <w:rsid w:val="1A283CEF"/>
    <w:rsid w:val="1AA34A0A"/>
    <w:rsid w:val="1C071B9A"/>
    <w:rsid w:val="1C3404B6"/>
    <w:rsid w:val="1C647DBB"/>
    <w:rsid w:val="1C6B7D33"/>
    <w:rsid w:val="1C903C78"/>
    <w:rsid w:val="1D1502E7"/>
    <w:rsid w:val="1D954A9D"/>
    <w:rsid w:val="1E1D56A5"/>
    <w:rsid w:val="1E2E2A61"/>
    <w:rsid w:val="1E5F742C"/>
    <w:rsid w:val="1EAE48B2"/>
    <w:rsid w:val="1EF95258"/>
    <w:rsid w:val="1EFD5713"/>
    <w:rsid w:val="1F5F6803"/>
    <w:rsid w:val="1F884DA0"/>
    <w:rsid w:val="2004362A"/>
    <w:rsid w:val="201666AD"/>
    <w:rsid w:val="20267826"/>
    <w:rsid w:val="203955B2"/>
    <w:rsid w:val="207D242B"/>
    <w:rsid w:val="20EB5EB9"/>
    <w:rsid w:val="214D2ABB"/>
    <w:rsid w:val="22685D82"/>
    <w:rsid w:val="22E36792"/>
    <w:rsid w:val="2318643B"/>
    <w:rsid w:val="231A0405"/>
    <w:rsid w:val="23B343B6"/>
    <w:rsid w:val="23D42553"/>
    <w:rsid w:val="23F16FD2"/>
    <w:rsid w:val="240179FC"/>
    <w:rsid w:val="24A02B8C"/>
    <w:rsid w:val="24DB3BC4"/>
    <w:rsid w:val="25233336"/>
    <w:rsid w:val="253432D4"/>
    <w:rsid w:val="254E083A"/>
    <w:rsid w:val="25643BBA"/>
    <w:rsid w:val="256736AA"/>
    <w:rsid w:val="25733DFD"/>
    <w:rsid w:val="25846F3B"/>
    <w:rsid w:val="260A5421"/>
    <w:rsid w:val="26121868"/>
    <w:rsid w:val="261F3F85"/>
    <w:rsid w:val="263E265D"/>
    <w:rsid w:val="26C62294"/>
    <w:rsid w:val="26D956BB"/>
    <w:rsid w:val="277E554F"/>
    <w:rsid w:val="27E30E84"/>
    <w:rsid w:val="282F184E"/>
    <w:rsid w:val="284E48DD"/>
    <w:rsid w:val="28A9053F"/>
    <w:rsid w:val="291719FD"/>
    <w:rsid w:val="29F17012"/>
    <w:rsid w:val="2A41096D"/>
    <w:rsid w:val="2A4E3233"/>
    <w:rsid w:val="2A55176E"/>
    <w:rsid w:val="2B0E596A"/>
    <w:rsid w:val="2B634C1D"/>
    <w:rsid w:val="2C9605C2"/>
    <w:rsid w:val="2CAD4098"/>
    <w:rsid w:val="2CB76CC5"/>
    <w:rsid w:val="2CCF689B"/>
    <w:rsid w:val="2D0A77D8"/>
    <w:rsid w:val="2D4D6109"/>
    <w:rsid w:val="2D70181A"/>
    <w:rsid w:val="2DA41207"/>
    <w:rsid w:val="2DC2542D"/>
    <w:rsid w:val="2E6A7D67"/>
    <w:rsid w:val="2FD86DBD"/>
    <w:rsid w:val="2FFA4FDC"/>
    <w:rsid w:val="30181443"/>
    <w:rsid w:val="30437AE0"/>
    <w:rsid w:val="30704231"/>
    <w:rsid w:val="308845EF"/>
    <w:rsid w:val="309B60E0"/>
    <w:rsid w:val="30AE03DF"/>
    <w:rsid w:val="30D53BBD"/>
    <w:rsid w:val="30DD2A72"/>
    <w:rsid w:val="311143E7"/>
    <w:rsid w:val="31705508"/>
    <w:rsid w:val="318818DF"/>
    <w:rsid w:val="31A812D2"/>
    <w:rsid w:val="31F277A2"/>
    <w:rsid w:val="31F75DB5"/>
    <w:rsid w:val="323D1A1A"/>
    <w:rsid w:val="32674CE9"/>
    <w:rsid w:val="32A63EDE"/>
    <w:rsid w:val="32E60304"/>
    <w:rsid w:val="334913A6"/>
    <w:rsid w:val="33576B0C"/>
    <w:rsid w:val="34300890"/>
    <w:rsid w:val="345B262C"/>
    <w:rsid w:val="34725360"/>
    <w:rsid w:val="34EF44E3"/>
    <w:rsid w:val="34F82570"/>
    <w:rsid w:val="352B46F4"/>
    <w:rsid w:val="35627D6D"/>
    <w:rsid w:val="35817942"/>
    <w:rsid w:val="35A41705"/>
    <w:rsid w:val="35AB75E3"/>
    <w:rsid w:val="35D5640E"/>
    <w:rsid w:val="36AA0716"/>
    <w:rsid w:val="36E07F3E"/>
    <w:rsid w:val="37157295"/>
    <w:rsid w:val="37175297"/>
    <w:rsid w:val="37290834"/>
    <w:rsid w:val="37D359C3"/>
    <w:rsid w:val="37FC400F"/>
    <w:rsid w:val="383513E6"/>
    <w:rsid w:val="385648D6"/>
    <w:rsid w:val="38912AC0"/>
    <w:rsid w:val="38E075A3"/>
    <w:rsid w:val="394144E6"/>
    <w:rsid w:val="39650354"/>
    <w:rsid w:val="396957EB"/>
    <w:rsid w:val="39B43120"/>
    <w:rsid w:val="39E21907"/>
    <w:rsid w:val="3B3D0CDD"/>
    <w:rsid w:val="3B8A37F6"/>
    <w:rsid w:val="3B95663D"/>
    <w:rsid w:val="3C350110"/>
    <w:rsid w:val="3C503152"/>
    <w:rsid w:val="3D326D9B"/>
    <w:rsid w:val="3D3A1978"/>
    <w:rsid w:val="3D6F65AC"/>
    <w:rsid w:val="3D796596"/>
    <w:rsid w:val="3D995F73"/>
    <w:rsid w:val="3DC35E5C"/>
    <w:rsid w:val="3E3832C7"/>
    <w:rsid w:val="3EF07E7B"/>
    <w:rsid w:val="3F23546A"/>
    <w:rsid w:val="3FEC0081"/>
    <w:rsid w:val="404566EE"/>
    <w:rsid w:val="406020C0"/>
    <w:rsid w:val="4114603C"/>
    <w:rsid w:val="413E1C84"/>
    <w:rsid w:val="422E312E"/>
    <w:rsid w:val="42384E7D"/>
    <w:rsid w:val="42B15B0D"/>
    <w:rsid w:val="43565790"/>
    <w:rsid w:val="435C1F1C"/>
    <w:rsid w:val="4360766D"/>
    <w:rsid w:val="44BD4C3D"/>
    <w:rsid w:val="44E93C84"/>
    <w:rsid w:val="44F12324"/>
    <w:rsid w:val="450037DB"/>
    <w:rsid w:val="452078C6"/>
    <w:rsid w:val="45256BE6"/>
    <w:rsid w:val="45C83F4D"/>
    <w:rsid w:val="45CC3389"/>
    <w:rsid w:val="45EF3D99"/>
    <w:rsid w:val="46157BE8"/>
    <w:rsid w:val="4631143E"/>
    <w:rsid w:val="46AC43C7"/>
    <w:rsid w:val="473A10C3"/>
    <w:rsid w:val="47AD7DC9"/>
    <w:rsid w:val="47BB36B5"/>
    <w:rsid w:val="47C36A0E"/>
    <w:rsid w:val="48034658"/>
    <w:rsid w:val="483B65A4"/>
    <w:rsid w:val="489A1407"/>
    <w:rsid w:val="48F055E1"/>
    <w:rsid w:val="49256091"/>
    <w:rsid w:val="499917D4"/>
    <w:rsid w:val="4A6A4F1F"/>
    <w:rsid w:val="4B906C07"/>
    <w:rsid w:val="4BAC7180"/>
    <w:rsid w:val="4C212CA6"/>
    <w:rsid w:val="4CD338EE"/>
    <w:rsid w:val="4CEA0D9D"/>
    <w:rsid w:val="4D394C19"/>
    <w:rsid w:val="4D53613E"/>
    <w:rsid w:val="4D7720DF"/>
    <w:rsid w:val="4DD55F5F"/>
    <w:rsid w:val="4E6525CD"/>
    <w:rsid w:val="4F144374"/>
    <w:rsid w:val="4FB16BA6"/>
    <w:rsid w:val="502A2E7B"/>
    <w:rsid w:val="509B22D6"/>
    <w:rsid w:val="51FB1A74"/>
    <w:rsid w:val="52162415"/>
    <w:rsid w:val="523F4EE3"/>
    <w:rsid w:val="52AC559A"/>
    <w:rsid w:val="52C839C9"/>
    <w:rsid w:val="52D86AC9"/>
    <w:rsid w:val="52F52966"/>
    <w:rsid w:val="542A221A"/>
    <w:rsid w:val="54B07AEB"/>
    <w:rsid w:val="54C87412"/>
    <w:rsid w:val="54CB0CB0"/>
    <w:rsid w:val="54FC5A1B"/>
    <w:rsid w:val="5519123C"/>
    <w:rsid w:val="55774A13"/>
    <w:rsid w:val="557B26D6"/>
    <w:rsid w:val="55AF412E"/>
    <w:rsid w:val="55CD39B4"/>
    <w:rsid w:val="55EE4C56"/>
    <w:rsid w:val="57101450"/>
    <w:rsid w:val="5716272A"/>
    <w:rsid w:val="572E19ED"/>
    <w:rsid w:val="57A53A3A"/>
    <w:rsid w:val="57E8410D"/>
    <w:rsid w:val="5842572D"/>
    <w:rsid w:val="58473D60"/>
    <w:rsid w:val="58763239"/>
    <w:rsid w:val="58881203"/>
    <w:rsid w:val="588B2C30"/>
    <w:rsid w:val="58D12E63"/>
    <w:rsid w:val="59050C34"/>
    <w:rsid w:val="59F20A8D"/>
    <w:rsid w:val="5A6C083F"/>
    <w:rsid w:val="5AAD1584"/>
    <w:rsid w:val="5B2B7F94"/>
    <w:rsid w:val="5BA65531"/>
    <w:rsid w:val="5BB406F0"/>
    <w:rsid w:val="5BFC0A40"/>
    <w:rsid w:val="5C7E485A"/>
    <w:rsid w:val="5CEE0C85"/>
    <w:rsid w:val="5D5838BC"/>
    <w:rsid w:val="5D7C523D"/>
    <w:rsid w:val="5DB81848"/>
    <w:rsid w:val="5DE30E18"/>
    <w:rsid w:val="5DE4484C"/>
    <w:rsid w:val="5DFC4788"/>
    <w:rsid w:val="5E0B46BF"/>
    <w:rsid w:val="5E391921"/>
    <w:rsid w:val="5E8F2D4E"/>
    <w:rsid w:val="5EE62AEA"/>
    <w:rsid w:val="5F415100"/>
    <w:rsid w:val="5FEB56C7"/>
    <w:rsid w:val="5FFC08B7"/>
    <w:rsid w:val="60101E68"/>
    <w:rsid w:val="602223A2"/>
    <w:rsid w:val="602E2F5A"/>
    <w:rsid w:val="61355E2F"/>
    <w:rsid w:val="623632E0"/>
    <w:rsid w:val="624E5C4E"/>
    <w:rsid w:val="62F31AFE"/>
    <w:rsid w:val="633D721D"/>
    <w:rsid w:val="64065054"/>
    <w:rsid w:val="642A3C3D"/>
    <w:rsid w:val="64CB72D2"/>
    <w:rsid w:val="656960A7"/>
    <w:rsid w:val="65765D68"/>
    <w:rsid w:val="65901886"/>
    <w:rsid w:val="65BF3DD2"/>
    <w:rsid w:val="668D04BB"/>
    <w:rsid w:val="66C323C5"/>
    <w:rsid w:val="672C5157"/>
    <w:rsid w:val="675B4FF1"/>
    <w:rsid w:val="67C25F42"/>
    <w:rsid w:val="67F72ABF"/>
    <w:rsid w:val="685C1EF3"/>
    <w:rsid w:val="686A13D4"/>
    <w:rsid w:val="68701E42"/>
    <w:rsid w:val="687074B3"/>
    <w:rsid w:val="68BD7A66"/>
    <w:rsid w:val="692549DB"/>
    <w:rsid w:val="69396BE4"/>
    <w:rsid w:val="693D1D24"/>
    <w:rsid w:val="699D0A15"/>
    <w:rsid w:val="69B90B91"/>
    <w:rsid w:val="6A4E33D9"/>
    <w:rsid w:val="6A6E34AE"/>
    <w:rsid w:val="6A9C6F1F"/>
    <w:rsid w:val="6AA63EC3"/>
    <w:rsid w:val="6AEC530C"/>
    <w:rsid w:val="6B0C2CDF"/>
    <w:rsid w:val="6B52384A"/>
    <w:rsid w:val="6BCC53A6"/>
    <w:rsid w:val="6BE24828"/>
    <w:rsid w:val="6C0E1756"/>
    <w:rsid w:val="6CB95B66"/>
    <w:rsid w:val="6CFB18E0"/>
    <w:rsid w:val="6D2C27DC"/>
    <w:rsid w:val="6D312F10"/>
    <w:rsid w:val="6D33234E"/>
    <w:rsid w:val="6D9352E4"/>
    <w:rsid w:val="6D9365F8"/>
    <w:rsid w:val="6D9B34BE"/>
    <w:rsid w:val="6DCC66A0"/>
    <w:rsid w:val="6DF350A8"/>
    <w:rsid w:val="6E3F209B"/>
    <w:rsid w:val="6E5A0084"/>
    <w:rsid w:val="6EC93F1D"/>
    <w:rsid w:val="6F296E61"/>
    <w:rsid w:val="6F31687C"/>
    <w:rsid w:val="6F3579CA"/>
    <w:rsid w:val="6F8A1EC3"/>
    <w:rsid w:val="6FA53D4A"/>
    <w:rsid w:val="70DD4996"/>
    <w:rsid w:val="70EC0C42"/>
    <w:rsid w:val="71594413"/>
    <w:rsid w:val="715F2AB5"/>
    <w:rsid w:val="716A3763"/>
    <w:rsid w:val="723C6CD0"/>
    <w:rsid w:val="72776BF2"/>
    <w:rsid w:val="72937E97"/>
    <w:rsid w:val="72C123F5"/>
    <w:rsid w:val="73326E57"/>
    <w:rsid w:val="73357F10"/>
    <w:rsid w:val="734004E0"/>
    <w:rsid w:val="73872C06"/>
    <w:rsid w:val="73CB2B9E"/>
    <w:rsid w:val="742871D0"/>
    <w:rsid w:val="74AA1CE6"/>
    <w:rsid w:val="74CC77A4"/>
    <w:rsid w:val="759A405B"/>
    <w:rsid w:val="75A439D5"/>
    <w:rsid w:val="75D847C6"/>
    <w:rsid w:val="760A685F"/>
    <w:rsid w:val="765C2CFD"/>
    <w:rsid w:val="7760202A"/>
    <w:rsid w:val="77865785"/>
    <w:rsid w:val="787212BF"/>
    <w:rsid w:val="78A050F8"/>
    <w:rsid w:val="78A376CA"/>
    <w:rsid w:val="78F6027B"/>
    <w:rsid w:val="790529CE"/>
    <w:rsid w:val="79873899"/>
    <w:rsid w:val="7A2E1215"/>
    <w:rsid w:val="7A631E17"/>
    <w:rsid w:val="7BC20611"/>
    <w:rsid w:val="7BC25EC9"/>
    <w:rsid w:val="7BE75AB7"/>
    <w:rsid w:val="7C4D77C3"/>
    <w:rsid w:val="7C701FB9"/>
    <w:rsid w:val="7D101B4F"/>
    <w:rsid w:val="7D231A6D"/>
    <w:rsid w:val="7D627B54"/>
    <w:rsid w:val="7DAB4EDA"/>
    <w:rsid w:val="7DBF6D54"/>
    <w:rsid w:val="7DC556FD"/>
    <w:rsid w:val="7E000265"/>
    <w:rsid w:val="7E1B2B63"/>
    <w:rsid w:val="7E402F77"/>
    <w:rsid w:val="7E5F5E41"/>
    <w:rsid w:val="7E8813F1"/>
    <w:rsid w:val="7EAE56ED"/>
    <w:rsid w:val="7F651B7D"/>
    <w:rsid w:val="7F722201"/>
    <w:rsid w:val="7FD800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黑体"/>
      <w:kern w:val="2"/>
      <w:sz w:val="21"/>
      <w:szCs w:val="22"/>
      <w:lang w:val="en-US" w:eastAsia="zh-CN" w:bidi="ar-SA"/>
    </w:rPr>
  </w:style>
  <w:style w:type="paragraph" w:styleId="2">
    <w:name w:val="heading 1"/>
    <w:basedOn w:val="1"/>
    <w:next w:val="1"/>
    <w:autoRedefine/>
    <w:qFormat/>
    <w:uiPriority w:val="9"/>
    <w:pPr>
      <w:keepNext/>
      <w:keepLines/>
      <w:spacing w:before="340" w:after="330" w:line="576" w:lineRule="auto"/>
      <w:outlineLvl w:val="0"/>
    </w:pPr>
    <w:rPr>
      <w:kern w:val="44"/>
      <w:sz w:val="44"/>
    </w:rPr>
  </w:style>
  <w:style w:type="paragraph" w:styleId="3">
    <w:name w:val="heading 2"/>
    <w:basedOn w:val="1"/>
    <w:next w:val="1"/>
    <w:unhideWhenUsed/>
    <w:qFormat/>
    <w:uiPriority w:val="9"/>
    <w:pPr>
      <w:keepNext/>
      <w:keepLines/>
      <w:spacing w:line="416" w:lineRule="auto"/>
      <w:outlineLvl w:val="1"/>
    </w:pPr>
    <w:rPr>
      <w:rFonts w:ascii="Arial" w:hAnsi="Arial" w:eastAsia="黑体"/>
      <w:b/>
      <w:bCs/>
      <w:sz w:val="32"/>
      <w:szCs w:val="32"/>
    </w:rPr>
  </w:style>
  <w:style w:type="paragraph" w:styleId="4">
    <w:name w:val="heading 3"/>
    <w:basedOn w:val="1"/>
    <w:next w:val="1"/>
    <w:qFormat/>
    <w:uiPriority w:val="1"/>
    <w:pPr>
      <w:ind w:left="109"/>
      <w:outlineLvl w:val="2"/>
    </w:pPr>
    <w:rPr>
      <w:rFonts w:ascii="宋体" w:hAnsi="宋体" w:eastAsia="宋体"/>
      <w:b/>
      <w:bCs/>
      <w:sz w:val="28"/>
      <w:szCs w:val="28"/>
    </w:rPr>
  </w:style>
  <w:style w:type="paragraph" w:styleId="5">
    <w:name w:val="heading 4"/>
    <w:basedOn w:val="1"/>
    <w:next w:val="1"/>
    <w:autoRedefine/>
    <w:qFormat/>
    <w:uiPriority w:val="1"/>
    <w:pPr>
      <w:ind w:left="109"/>
      <w:outlineLvl w:val="3"/>
    </w:pPr>
    <w:rPr>
      <w:rFonts w:ascii="宋体" w:hAnsi="宋体" w:eastAsia="宋体"/>
      <w:sz w:val="28"/>
      <w:szCs w:val="28"/>
    </w:rPr>
  </w:style>
  <w:style w:type="paragraph" w:styleId="6">
    <w:name w:val="heading 5"/>
    <w:basedOn w:val="1"/>
    <w:next w:val="1"/>
    <w:autoRedefine/>
    <w:qFormat/>
    <w:uiPriority w:val="1"/>
    <w:pPr>
      <w:spacing w:before="34"/>
      <w:ind w:left="109"/>
      <w:outlineLvl w:val="4"/>
    </w:pPr>
    <w:rPr>
      <w:rFonts w:ascii="宋体" w:hAnsi="宋体" w:eastAsia="宋体"/>
      <w:b/>
      <w:bCs/>
      <w:sz w:val="24"/>
      <w:szCs w:val="24"/>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unhideWhenUsed/>
    <w:qFormat/>
    <w:uiPriority w:val="99"/>
    <w:pPr>
      <w:adjustRightInd w:val="0"/>
      <w:spacing w:line="360" w:lineRule="auto"/>
      <w:ind w:firstLine="420"/>
    </w:pPr>
    <w:rPr>
      <w:rFonts w:ascii="宋体" w:hAnsi="Arial"/>
      <w:kern w:val="0"/>
      <w:sz w:val="24"/>
      <w:szCs w:val="20"/>
    </w:rPr>
  </w:style>
  <w:style w:type="paragraph" w:styleId="8">
    <w:name w:val="annotation text"/>
    <w:basedOn w:val="1"/>
    <w:link w:val="41"/>
    <w:autoRedefine/>
    <w:unhideWhenUsed/>
    <w:qFormat/>
    <w:uiPriority w:val="0"/>
    <w:pPr>
      <w:jc w:val="left"/>
    </w:pPr>
  </w:style>
  <w:style w:type="paragraph" w:styleId="9">
    <w:name w:val="Body Text"/>
    <w:basedOn w:val="1"/>
    <w:next w:val="10"/>
    <w:autoRedefine/>
    <w:unhideWhenUsed/>
    <w:qFormat/>
    <w:uiPriority w:val="99"/>
    <w:rPr>
      <w:szCs w:val="20"/>
    </w:rPr>
  </w:style>
  <w:style w:type="paragraph" w:styleId="10">
    <w:name w:val="toc 2"/>
    <w:basedOn w:val="1"/>
    <w:next w:val="1"/>
    <w:autoRedefine/>
    <w:unhideWhenUsed/>
    <w:qFormat/>
    <w:uiPriority w:val="39"/>
    <w:pPr>
      <w:spacing w:before="120"/>
      <w:ind w:left="280"/>
      <w:jc w:val="left"/>
    </w:pPr>
    <w:rPr>
      <w:iCs/>
      <w:szCs w:val="20"/>
    </w:rPr>
  </w:style>
  <w:style w:type="paragraph" w:styleId="11">
    <w:name w:val="Body Text Indent"/>
    <w:basedOn w:val="1"/>
    <w:autoRedefine/>
    <w:unhideWhenUsed/>
    <w:qFormat/>
    <w:uiPriority w:val="99"/>
    <w:pPr>
      <w:ind w:firstLine="480" w:firstLineChars="200"/>
    </w:pPr>
    <w:rPr>
      <w:rFonts w:ascii="幼圆" w:eastAsia="幼圆"/>
      <w:sz w:val="24"/>
    </w:rPr>
  </w:style>
  <w:style w:type="paragraph" w:styleId="12">
    <w:name w:val="toc 3"/>
    <w:basedOn w:val="1"/>
    <w:next w:val="1"/>
    <w:autoRedefine/>
    <w:semiHidden/>
    <w:unhideWhenUsed/>
    <w:qFormat/>
    <w:uiPriority w:val="39"/>
    <w:pPr>
      <w:ind w:left="840" w:leftChars="400"/>
    </w:pPr>
  </w:style>
  <w:style w:type="paragraph" w:styleId="13">
    <w:name w:val="Plain Text"/>
    <w:basedOn w:val="1"/>
    <w:autoRedefine/>
    <w:unhideWhenUsed/>
    <w:qFormat/>
    <w:uiPriority w:val="99"/>
    <w:rPr>
      <w:rFonts w:ascii="宋体" w:hAnsi="Courier New"/>
      <w:szCs w:val="20"/>
    </w:rPr>
  </w:style>
  <w:style w:type="paragraph" w:styleId="14">
    <w:name w:val="Body Text Indent 2"/>
    <w:basedOn w:val="1"/>
    <w:autoRedefine/>
    <w:unhideWhenUsed/>
    <w:qFormat/>
    <w:uiPriority w:val="99"/>
    <w:pPr>
      <w:spacing w:line="360" w:lineRule="auto"/>
      <w:ind w:right="-31" w:rightChars="-15" w:firstLine="756" w:firstLineChars="270"/>
    </w:pPr>
  </w:style>
  <w:style w:type="paragraph" w:styleId="15">
    <w:name w:val="Balloon Text"/>
    <w:basedOn w:val="1"/>
    <w:link w:val="39"/>
    <w:autoRedefine/>
    <w:semiHidden/>
    <w:unhideWhenUsed/>
    <w:qFormat/>
    <w:uiPriority w:val="99"/>
    <w:rPr>
      <w:sz w:val="18"/>
      <w:szCs w:val="18"/>
    </w:rPr>
  </w:style>
  <w:style w:type="paragraph" w:styleId="16">
    <w:name w:val="footer"/>
    <w:basedOn w:val="1"/>
    <w:autoRedefine/>
    <w:unhideWhenUsed/>
    <w:qFormat/>
    <w:uiPriority w:val="99"/>
    <w:pPr>
      <w:tabs>
        <w:tab w:val="center" w:pos="4153"/>
        <w:tab w:val="right" w:pos="8306"/>
      </w:tabs>
      <w:snapToGrid w:val="0"/>
      <w:jc w:val="left"/>
    </w:pPr>
    <w:rPr>
      <w:sz w:val="18"/>
      <w:szCs w:val="18"/>
    </w:rPr>
  </w:style>
  <w:style w:type="paragraph" w:styleId="17">
    <w:name w:val="envelope return"/>
    <w:basedOn w:val="1"/>
    <w:autoRedefine/>
    <w:unhideWhenUsed/>
    <w:qFormat/>
    <w:uiPriority w:val="0"/>
    <w:pPr>
      <w:snapToGrid w:val="0"/>
      <w:spacing w:beforeLines="50" w:afterLines="50" w:line="360" w:lineRule="auto"/>
      <w:ind w:firstLine="480" w:firstLineChars="200"/>
    </w:pPr>
    <w:rPr>
      <w:rFonts w:ascii="Arial" w:hAnsi="Arial" w:cs="Arial"/>
      <w:sz w:val="24"/>
    </w:rPr>
  </w:style>
  <w:style w:type="paragraph" w:styleId="18">
    <w:name w:val="header"/>
    <w:basedOn w:val="1"/>
    <w:autoRedefine/>
    <w:unhideWhenUsed/>
    <w:qFormat/>
    <w:uiPriority w:val="99"/>
    <w:pP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spacing w:before="240" w:after="120"/>
      <w:jc w:val="left"/>
    </w:pPr>
    <w:rPr>
      <w:bCs/>
      <w:szCs w:val="20"/>
    </w:rPr>
  </w:style>
  <w:style w:type="paragraph" w:styleId="20">
    <w:name w:val="Normal (Web)"/>
    <w:basedOn w:val="1"/>
    <w:autoRedefine/>
    <w:unhideWhenUsed/>
    <w:qFormat/>
    <w:uiPriority w:val="0"/>
    <w:pPr>
      <w:spacing w:before="100" w:beforeAutospacing="1" w:after="100" w:afterAutospacing="1"/>
    </w:pPr>
  </w:style>
  <w:style w:type="paragraph" w:styleId="21">
    <w:name w:val="annotation subject"/>
    <w:basedOn w:val="8"/>
    <w:next w:val="8"/>
    <w:link w:val="42"/>
    <w:autoRedefine/>
    <w:semiHidden/>
    <w:unhideWhenUsed/>
    <w:qFormat/>
    <w:uiPriority w:val="99"/>
    <w:rPr>
      <w:b/>
      <w:bCs/>
    </w:rPr>
  </w:style>
  <w:style w:type="paragraph" w:styleId="22">
    <w:name w:val="Body Text First Indent"/>
    <w:basedOn w:val="9"/>
    <w:autoRedefine/>
    <w:unhideWhenUsed/>
    <w:qFormat/>
    <w:uiPriority w:val="99"/>
    <w:pPr>
      <w:ind w:firstLine="420" w:firstLineChars="100"/>
    </w:pPr>
    <w:rPr>
      <w:color w:val="FF0000"/>
      <w:szCs w:val="24"/>
    </w:rPr>
  </w:style>
  <w:style w:type="paragraph" w:styleId="23">
    <w:name w:val="Body Text First Indent 2"/>
    <w:basedOn w:val="11"/>
    <w:autoRedefine/>
    <w:unhideWhenUsed/>
    <w:qFormat/>
    <w:uiPriority w:val="99"/>
    <w:pPr>
      <w:ind w:firstLine="420"/>
    </w:pPr>
  </w:style>
  <w:style w:type="table" w:styleId="25">
    <w:name w:val="Table Grid"/>
    <w:basedOn w:val="2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autoRedefine/>
    <w:qFormat/>
    <w:uiPriority w:val="0"/>
    <w:rPr>
      <w:b/>
      <w:bCs/>
    </w:rPr>
  </w:style>
  <w:style w:type="character" w:styleId="28">
    <w:name w:val="annotation reference"/>
    <w:basedOn w:val="26"/>
    <w:autoRedefine/>
    <w:semiHidden/>
    <w:unhideWhenUsed/>
    <w:qFormat/>
    <w:uiPriority w:val="99"/>
    <w:rPr>
      <w:sz w:val="21"/>
      <w:szCs w:val="21"/>
    </w:rPr>
  </w:style>
  <w:style w:type="paragraph" w:customStyle="1" w:styleId="29">
    <w:name w:val="首行缩进"/>
    <w:basedOn w:val="1"/>
    <w:autoRedefine/>
    <w:qFormat/>
    <w:uiPriority w:val="0"/>
    <w:pPr>
      <w:spacing w:line="360" w:lineRule="auto"/>
      <w:ind w:firstLine="480" w:firstLineChars="200"/>
    </w:pPr>
    <w:rPr>
      <w:sz w:val="24"/>
    </w:rPr>
  </w:style>
  <w:style w:type="paragraph" w:customStyle="1" w:styleId="30">
    <w:name w:val="Fließtext"/>
    <w:basedOn w:val="1"/>
    <w:autoRedefine/>
    <w:qFormat/>
    <w:uiPriority w:val="0"/>
    <w:pPr>
      <w:overflowPunct w:val="0"/>
      <w:autoSpaceDE w:val="0"/>
      <w:autoSpaceDN w:val="0"/>
      <w:adjustRightInd w:val="0"/>
      <w:textAlignment w:val="baseline"/>
    </w:pPr>
    <w:rPr>
      <w:kern w:val="28"/>
      <w:szCs w:val="20"/>
    </w:rPr>
  </w:style>
  <w:style w:type="paragraph" w:customStyle="1" w:styleId="31">
    <w:name w:val="a"/>
    <w:basedOn w:val="1"/>
    <w:autoRedefine/>
    <w:qFormat/>
    <w:uiPriority w:val="0"/>
    <w:pPr>
      <w:widowControl/>
      <w:jc w:val="left"/>
    </w:pPr>
    <w:rPr>
      <w:rFonts w:ascii="宋体" w:hAnsi="宋体" w:cs="宋体"/>
      <w:kern w:val="0"/>
      <w:sz w:val="24"/>
    </w:rPr>
  </w:style>
  <w:style w:type="paragraph" w:customStyle="1" w:styleId="32">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33">
    <w:name w:val="Table Paragraph"/>
    <w:basedOn w:val="1"/>
    <w:autoRedefine/>
    <w:qFormat/>
    <w:uiPriority w:val="1"/>
  </w:style>
  <w:style w:type="paragraph" w:customStyle="1" w:styleId="34">
    <w:name w:val="样式3"/>
    <w:basedOn w:val="13"/>
    <w:autoRedefine/>
    <w:qFormat/>
    <w:uiPriority w:val="0"/>
    <w:pPr>
      <w:spacing w:line="0" w:lineRule="atLeast"/>
      <w:outlineLvl w:val="0"/>
    </w:pPr>
    <w:rPr>
      <w:rFonts w:hint="eastAsia"/>
      <w:sz w:val="28"/>
    </w:rPr>
  </w:style>
  <w:style w:type="paragraph" w:customStyle="1" w:styleId="35">
    <w:name w:val="标3"/>
    <w:basedOn w:val="1"/>
    <w:autoRedefine/>
    <w:qFormat/>
    <w:uiPriority w:val="0"/>
    <w:pPr>
      <w:numPr>
        <w:ilvl w:val="2"/>
        <w:numId w:val="1"/>
      </w:numPr>
      <w:tabs>
        <w:tab w:val="left" w:pos="720"/>
        <w:tab w:val="left" w:pos="1740"/>
      </w:tabs>
      <w:adjustRightInd w:val="0"/>
      <w:snapToGrid w:val="0"/>
      <w:spacing w:before="50"/>
      <w:ind w:left="1740"/>
      <w:outlineLvl w:val="2"/>
    </w:pPr>
    <w:rPr>
      <w:rFonts w:ascii="Arial Narrow" w:hAnsi="Arial Narrow" w:eastAsia="仿宋_GB2312"/>
      <w:szCs w:val="20"/>
    </w:rPr>
  </w:style>
  <w:style w:type="character" w:customStyle="1" w:styleId="36">
    <w:name w:val="font41"/>
    <w:autoRedefine/>
    <w:qFormat/>
    <w:uiPriority w:val="0"/>
    <w:rPr>
      <w:rFonts w:hint="eastAsia" w:ascii="宋体" w:hAnsi="宋体" w:eastAsia="宋体" w:cs="宋体"/>
      <w:color w:val="000000"/>
      <w:sz w:val="24"/>
      <w:szCs w:val="24"/>
      <w:u w:val="none"/>
    </w:rPr>
  </w:style>
  <w:style w:type="character" w:customStyle="1" w:styleId="37">
    <w:name w:val="样式 仿宋_GB2312 四号"/>
    <w:autoRedefine/>
    <w:qFormat/>
    <w:uiPriority w:val="0"/>
    <w:rPr>
      <w:rFonts w:ascii="仿宋_GB2312" w:hAnsi="仿宋_GB2312" w:eastAsia="仿宋_GB2312"/>
      <w:sz w:val="28"/>
    </w:rPr>
  </w:style>
  <w:style w:type="character" w:customStyle="1" w:styleId="38">
    <w:name w:val="font01"/>
    <w:basedOn w:val="26"/>
    <w:autoRedefine/>
    <w:qFormat/>
    <w:uiPriority w:val="0"/>
    <w:rPr>
      <w:rFonts w:hint="eastAsia" w:ascii="宋体" w:hAnsi="宋体" w:eastAsia="宋体" w:cs="宋体"/>
      <w:color w:val="000000"/>
      <w:sz w:val="24"/>
      <w:szCs w:val="24"/>
      <w:u w:val="none"/>
    </w:rPr>
  </w:style>
  <w:style w:type="character" w:customStyle="1" w:styleId="39">
    <w:name w:val="批注框文本 Char"/>
    <w:basedOn w:val="26"/>
    <w:link w:val="15"/>
    <w:autoRedefine/>
    <w:semiHidden/>
    <w:qFormat/>
    <w:uiPriority w:val="99"/>
    <w:rPr>
      <w:rFonts w:ascii="等线" w:hAnsi="等线" w:eastAsia="等线" w:cs="黑体"/>
      <w:kern w:val="2"/>
      <w:sz w:val="18"/>
      <w:szCs w:val="18"/>
    </w:rPr>
  </w:style>
  <w:style w:type="paragraph" w:customStyle="1" w:styleId="40">
    <w:name w:val="修订1"/>
    <w:autoRedefine/>
    <w:hidden/>
    <w:semiHidden/>
    <w:qFormat/>
    <w:uiPriority w:val="99"/>
    <w:rPr>
      <w:rFonts w:ascii="等线" w:hAnsi="等线" w:eastAsia="等线" w:cs="黑体"/>
      <w:kern w:val="2"/>
      <w:sz w:val="21"/>
      <w:szCs w:val="22"/>
      <w:lang w:val="en-US" w:eastAsia="zh-CN" w:bidi="ar-SA"/>
    </w:rPr>
  </w:style>
  <w:style w:type="character" w:customStyle="1" w:styleId="41">
    <w:name w:val="批注文字 Char"/>
    <w:basedOn w:val="26"/>
    <w:link w:val="8"/>
    <w:autoRedefine/>
    <w:qFormat/>
    <w:uiPriority w:val="0"/>
    <w:rPr>
      <w:rFonts w:ascii="等线" w:hAnsi="等线" w:eastAsia="等线" w:cs="黑体"/>
      <w:kern w:val="2"/>
      <w:sz w:val="21"/>
      <w:szCs w:val="22"/>
    </w:rPr>
  </w:style>
  <w:style w:type="character" w:customStyle="1" w:styleId="42">
    <w:name w:val="批注主题 Char"/>
    <w:basedOn w:val="41"/>
    <w:link w:val="21"/>
    <w:autoRedefine/>
    <w:semiHidden/>
    <w:qFormat/>
    <w:uiPriority w:val="99"/>
    <w:rPr>
      <w:rFonts w:ascii="等线" w:hAnsi="等线" w:eastAsia="等线" w:cs="黑体"/>
      <w:b/>
      <w:bCs/>
      <w:kern w:val="2"/>
      <w:sz w:val="21"/>
      <w:szCs w:val="22"/>
    </w:rPr>
  </w:style>
  <w:style w:type="paragraph" w:customStyle="1" w:styleId="43">
    <w:name w:val="普通(网站)1"/>
    <w:basedOn w:val="1"/>
    <w:autoRedefine/>
    <w:qFormat/>
    <w:uiPriority w:val="0"/>
    <w:pPr>
      <w:spacing w:line="300" w:lineRule="auto"/>
    </w:pPr>
    <w:rPr>
      <w:sz w:val="24"/>
    </w:rPr>
  </w:style>
  <w:style w:type="paragraph" w:styleId="44">
    <w:name w:val="List Paragraph"/>
    <w:basedOn w:val="1"/>
    <w:autoRedefine/>
    <w:qFormat/>
    <w:uiPriority w:val="0"/>
    <w:pPr>
      <w:ind w:firstLine="420" w:firstLineChars="200"/>
    </w:pPr>
    <w:rPr>
      <w:rFonts w:ascii="Calibri" w:hAnsi="Calibri"/>
    </w:rPr>
  </w:style>
  <w:style w:type="paragraph" w:customStyle="1" w:styleId="45">
    <w:name w:val="修订2"/>
    <w:autoRedefine/>
    <w:hidden/>
    <w:unhideWhenUsed/>
    <w:qFormat/>
    <w:uiPriority w:val="99"/>
    <w:rPr>
      <w:rFonts w:ascii="等线" w:hAnsi="等线" w:eastAsia="等线" w:cs="黑体"/>
      <w:kern w:val="2"/>
      <w:sz w:val="21"/>
      <w:szCs w:val="22"/>
      <w:lang w:val="en-US" w:eastAsia="zh-CN" w:bidi="ar-SA"/>
    </w:rPr>
  </w:style>
  <w:style w:type="character" w:customStyle="1" w:styleId="46">
    <w:name w:val="font21"/>
    <w:basedOn w:val="26"/>
    <w:autoRedefine/>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footer" Target="foot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65</Pages>
  <Words>35484</Words>
  <Characters>38980</Characters>
  <DocSecurity>0</DocSecurity>
  <Lines>332</Lines>
  <Paragraphs>93</Paragraphs>
  <ScaleCrop>false</ScaleCrop>
  <LinksUpToDate>false</LinksUpToDate>
  <CharactersWithSpaces>42475</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2024-04-07T07:08:00Z</cp:lastPrinted>
  <dcterms:created xsi:type="dcterms:W3CDTF">2023-03-17T09:22:00Z</dcterms:created>
  <dcterms:modified xsi:type="dcterms:W3CDTF">2024-04-09T07:24:12Z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KSOTemplateUUID">
    <vt:lpwstr>v1.0_mb_/FTvMHqkXt5/7JUWxLn68g==</vt:lpwstr>
  </property>
  <property fmtid="{D5CDD505-2E9C-101B-9397-08002B2CF9AE}" pid="4" name="ICV">
    <vt:lpwstr>46AE887E2CA347DD969F1A386D764D49_13</vt:lpwstr>
  </property>
</Properties>
</file>